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B41C" w14:textId="7FB28AC0" w:rsidR="00C13A96" w:rsidRPr="00A55E49" w:rsidRDefault="004B1B87" w:rsidP="00D93A5C">
      <w:pPr>
        <w:pStyle w:val="Heading1"/>
        <w:spacing w:after="0"/>
        <w:rPr>
          <w:sz w:val="24"/>
          <w:szCs w:val="24"/>
        </w:rPr>
      </w:pPr>
      <w:r>
        <w:t xml:space="preserve">Outcome </w:t>
      </w:r>
      <w:r w:rsidR="00E82B68">
        <w:t>6</w:t>
      </w:r>
      <w:r>
        <w:t xml:space="preserve">: </w:t>
      </w:r>
      <w:r w:rsidR="00E82B68">
        <w:t>Consultation</w:t>
      </w:r>
      <w:r w:rsidR="00542208">
        <w:br/>
      </w:r>
    </w:p>
    <w:p w14:paraId="6218C3A6" w14:textId="492DF63E" w:rsidR="0055142B" w:rsidRDefault="00566783" w:rsidP="00FD4282">
      <w:pPr>
        <w:shd w:val="clear" w:color="auto" w:fill="FFFFFF"/>
        <w:spacing w:after="300" w:line="360" w:lineRule="auto"/>
        <w:rPr>
          <w:rFonts w:cs="Arial"/>
        </w:rPr>
      </w:pPr>
      <w:r>
        <w:rPr>
          <w:rFonts w:cs="Arial"/>
        </w:rPr>
        <w:t>In this information sheet, c</w:t>
      </w:r>
      <w:r w:rsidR="00812A11">
        <w:rPr>
          <w:rFonts w:cs="Arial"/>
        </w:rPr>
        <w:t>onsultation</w:t>
      </w:r>
      <w:r w:rsidR="00A743AC">
        <w:rPr>
          <w:rFonts w:cs="Arial"/>
        </w:rPr>
        <w:t xml:space="preserve"> </w:t>
      </w:r>
      <w:r w:rsidR="00812A11">
        <w:rPr>
          <w:rFonts w:cs="Arial"/>
        </w:rPr>
        <w:t xml:space="preserve">refers to how your public authority </w:t>
      </w:r>
      <w:r w:rsidR="00575D33">
        <w:rPr>
          <w:rFonts w:cs="Arial"/>
        </w:rPr>
        <w:t>ensures people of all abilities have an opportunity to have their voices heard</w:t>
      </w:r>
      <w:r w:rsidR="00E13DD9">
        <w:rPr>
          <w:rFonts w:cs="Arial"/>
        </w:rPr>
        <w:t xml:space="preserve"> and value</w:t>
      </w:r>
      <w:r w:rsidR="00A94ED2">
        <w:rPr>
          <w:rFonts w:cs="Arial"/>
        </w:rPr>
        <w:t>d</w:t>
      </w:r>
      <w:r w:rsidR="000F293D">
        <w:rPr>
          <w:rFonts w:cs="Arial"/>
        </w:rPr>
        <w:t xml:space="preserve">. Meaningful engagement of people with </w:t>
      </w:r>
      <w:r w:rsidR="0039328F">
        <w:rPr>
          <w:rFonts w:cs="Arial"/>
        </w:rPr>
        <w:t xml:space="preserve">lived experience of disability </w:t>
      </w:r>
      <w:r w:rsidR="006C5D26">
        <w:rPr>
          <w:rFonts w:cs="Arial"/>
        </w:rPr>
        <w:t>in</w:t>
      </w:r>
      <w:r w:rsidR="00006D68">
        <w:rPr>
          <w:rFonts w:cs="Arial"/>
        </w:rPr>
        <w:t xml:space="preserve"> </w:t>
      </w:r>
      <w:r w:rsidR="006B0079">
        <w:rPr>
          <w:rFonts w:cs="Arial"/>
        </w:rPr>
        <w:t xml:space="preserve">the </w:t>
      </w:r>
      <w:r w:rsidR="00006D68">
        <w:rPr>
          <w:rFonts w:cs="Arial"/>
        </w:rPr>
        <w:t>planning, design, delivery and review phases of you</w:t>
      </w:r>
      <w:r w:rsidR="005D1B76">
        <w:rPr>
          <w:rFonts w:cs="Arial"/>
        </w:rPr>
        <w:t xml:space="preserve">r business </w:t>
      </w:r>
      <w:r>
        <w:rPr>
          <w:rFonts w:cs="Arial"/>
        </w:rPr>
        <w:t xml:space="preserve">delivers </w:t>
      </w:r>
      <w:r w:rsidR="00A94ED2">
        <w:rPr>
          <w:rFonts w:cs="Arial"/>
        </w:rPr>
        <w:t>better outcomes for everyone.</w:t>
      </w:r>
    </w:p>
    <w:p w14:paraId="50E5B1B8" w14:textId="1A57DAEE" w:rsidR="00531D63" w:rsidRPr="004553B2" w:rsidRDefault="00531D63" w:rsidP="00531D63">
      <w:pPr>
        <w:pStyle w:val="BodyText"/>
        <w:spacing w:line="360" w:lineRule="auto"/>
        <w:rPr>
          <w:b/>
          <w:bCs/>
        </w:rPr>
      </w:pPr>
      <w:r w:rsidRPr="004553B2">
        <w:rPr>
          <w:b/>
          <w:bCs/>
        </w:rPr>
        <w:t xml:space="preserve">Disability Access and Inclusion Plan </w:t>
      </w:r>
      <w:r w:rsidR="004553B2" w:rsidRPr="004553B2">
        <w:rPr>
          <w:b/>
          <w:bCs/>
        </w:rPr>
        <w:t>Outcome 6</w:t>
      </w:r>
    </w:p>
    <w:p w14:paraId="16DFD123" w14:textId="77777777" w:rsidR="00531D63" w:rsidRDefault="00531D63" w:rsidP="00566CA1">
      <w:pPr>
        <w:pStyle w:val="BodyText"/>
        <w:numPr>
          <w:ilvl w:val="0"/>
          <w:numId w:val="7"/>
        </w:numPr>
        <w:spacing w:line="360" w:lineRule="auto"/>
        <w:ind w:left="357" w:hanging="357"/>
      </w:pPr>
      <w:r w:rsidRPr="00395391">
        <w:t xml:space="preserve">People with disability have the same opportunities as other people to </w:t>
      </w:r>
      <w:r>
        <w:t>participate in any public consultation by a public authority.</w:t>
      </w:r>
    </w:p>
    <w:p w14:paraId="4681594E" w14:textId="6B4BD043" w:rsidR="00472328" w:rsidRPr="00395391" w:rsidRDefault="00472328" w:rsidP="0072570B">
      <w:pPr>
        <w:pStyle w:val="BodyText"/>
        <w:spacing w:after="240" w:line="360" w:lineRule="auto"/>
      </w:pPr>
      <w:r>
        <w:t>Stakeholders can include people with disability, carers, family and friends, disability service providers, public authority staff, clubs and community facilities, and the broader community.</w:t>
      </w:r>
    </w:p>
    <w:p w14:paraId="2BF53E92" w14:textId="2FB7D6B6" w:rsidR="00574E20" w:rsidRPr="00B17DA5" w:rsidRDefault="00574E20" w:rsidP="00574E20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B17DA5">
        <w:rPr>
          <w:b/>
          <w:noProof/>
          <w:color w:val="2C5C86"/>
          <w:sz w:val="30"/>
          <w:szCs w:val="30"/>
          <w:lang w:eastAsia="en-AU"/>
        </w:rPr>
        <w:t xml:space="preserve">Benefits </w:t>
      </w:r>
    </w:p>
    <w:p w14:paraId="5ADA435C" w14:textId="77777777" w:rsidR="009D4080" w:rsidRDefault="007A5956" w:rsidP="009D4080">
      <w:pPr>
        <w:shd w:val="clear" w:color="auto" w:fill="FFFFFF"/>
        <w:spacing w:after="0" w:line="360" w:lineRule="auto"/>
        <w:rPr>
          <w:rFonts w:eastAsia="Times New Roman" w:cs="Arial"/>
          <w:color w:val="0B0C0C"/>
          <w:lang w:eastAsia="en-AU"/>
        </w:rPr>
      </w:pPr>
      <w:r w:rsidRPr="002B2346">
        <w:rPr>
          <w:rFonts w:eastAsia="Times New Roman" w:cs="Arial"/>
          <w:lang w:eastAsia="en-AU"/>
        </w:rPr>
        <w:t>By engaging</w:t>
      </w:r>
      <w:r>
        <w:rPr>
          <w:rFonts w:eastAsia="Times New Roman" w:cs="Arial"/>
          <w:color w:val="0B0C0C"/>
          <w:lang w:eastAsia="en-AU"/>
        </w:rPr>
        <w:t xml:space="preserve"> with your </w:t>
      </w:r>
      <w:r w:rsidR="00DA7EDA">
        <w:rPr>
          <w:rFonts w:eastAsia="Times New Roman" w:cs="Arial"/>
          <w:color w:val="0B0C0C"/>
          <w:lang w:eastAsia="en-AU"/>
        </w:rPr>
        <w:t xml:space="preserve">stakeholders, </w:t>
      </w:r>
      <w:r>
        <w:rPr>
          <w:rFonts w:eastAsia="Times New Roman" w:cs="Arial"/>
          <w:color w:val="0B0C0C"/>
          <w:lang w:eastAsia="en-AU"/>
        </w:rPr>
        <w:t>public authorities will:</w:t>
      </w:r>
    </w:p>
    <w:p w14:paraId="1A0BC93A" w14:textId="1A909709" w:rsidR="007A5956" w:rsidRPr="009D4080" w:rsidRDefault="00874685" w:rsidP="009D408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/>
          <w:color w:val="0B0C0C"/>
          <w:lang w:eastAsia="en-AU"/>
        </w:rPr>
      </w:pPr>
      <w:r>
        <w:rPr>
          <w:rFonts w:eastAsia="Times New Roman"/>
          <w:color w:val="0B0C0C"/>
          <w:lang w:eastAsia="en-AU"/>
        </w:rPr>
        <w:t>G</w:t>
      </w:r>
      <w:r w:rsidR="007A5956" w:rsidRPr="009D4080">
        <w:rPr>
          <w:rFonts w:eastAsia="Times New Roman"/>
          <w:color w:val="0B0C0C"/>
          <w:lang w:eastAsia="en-AU"/>
        </w:rPr>
        <w:t>ain access to multiple perspectives and expertise</w:t>
      </w:r>
      <w:r w:rsidR="0046248F">
        <w:rPr>
          <w:rFonts w:eastAsia="Times New Roman"/>
          <w:color w:val="0B0C0C"/>
          <w:lang w:eastAsia="en-AU"/>
        </w:rPr>
        <w:t>.</w:t>
      </w:r>
    </w:p>
    <w:p w14:paraId="51336533" w14:textId="48B44011" w:rsidR="007A5956" w:rsidRDefault="00874685" w:rsidP="00FD4282">
      <w:pPr>
        <w:pStyle w:val="ListParagraph"/>
        <w:numPr>
          <w:ilvl w:val="0"/>
          <w:numId w:val="11"/>
        </w:numPr>
        <w:shd w:val="clear" w:color="auto" w:fill="FFFFFF"/>
        <w:spacing w:before="300" w:after="300" w:line="360" w:lineRule="auto"/>
        <w:rPr>
          <w:rFonts w:eastAsia="Times New Roman"/>
          <w:color w:val="0B0C0C"/>
          <w:lang w:eastAsia="en-AU"/>
        </w:rPr>
      </w:pPr>
      <w:r>
        <w:rPr>
          <w:rFonts w:eastAsia="Times New Roman"/>
          <w:color w:val="0B0C0C"/>
          <w:lang w:eastAsia="en-AU"/>
        </w:rPr>
        <w:t>C</w:t>
      </w:r>
      <w:r w:rsidR="007A5956" w:rsidRPr="00E34363">
        <w:rPr>
          <w:rFonts w:eastAsia="Times New Roman"/>
          <w:color w:val="0B0C0C"/>
          <w:lang w:eastAsia="en-AU"/>
        </w:rPr>
        <w:t>reate a culture of collaboration</w:t>
      </w:r>
      <w:r w:rsidR="007A5956">
        <w:rPr>
          <w:rFonts w:eastAsia="Times New Roman"/>
          <w:color w:val="0B0C0C"/>
          <w:lang w:eastAsia="en-AU"/>
        </w:rPr>
        <w:t xml:space="preserve"> both internally and externally</w:t>
      </w:r>
      <w:r w:rsidR="0046248F">
        <w:rPr>
          <w:rFonts w:eastAsia="Times New Roman"/>
          <w:color w:val="0B0C0C"/>
          <w:lang w:eastAsia="en-AU"/>
        </w:rPr>
        <w:t>.</w:t>
      </w:r>
    </w:p>
    <w:p w14:paraId="447ACA2A" w14:textId="2364440C" w:rsidR="006B0079" w:rsidRDefault="00874685" w:rsidP="006B0079">
      <w:pPr>
        <w:pStyle w:val="ListParagraph"/>
        <w:numPr>
          <w:ilvl w:val="0"/>
          <w:numId w:val="11"/>
        </w:numPr>
        <w:shd w:val="clear" w:color="auto" w:fill="FFFFFF"/>
        <w:spacing w:before="300" w:after="300" w:line="360" w:lineRule="auto"/>
        <w:rPr>
          <w:rFonts w:eastAsia="Times New Roman"/>
          <w:color w:val="0B0C0C"/>
          <w:lang w:eastAsia="en-AU"/>
        </w:rPr>
      </w:pPr>
      <w:r>
        <w:rPr>
          <w:rFonts w:eastAsia="Times New Roman"/>
          <w:color w:val="0B0C0C"/>
          <w:lang w:eastAsia="en-AU"/>
        </w:rPr>
        <w:t>E</w:t>
      </w:r>
      <w:r w:rsidR="006B0079" w:rsidRPr="00E34363">
        <w:rPr>
          <w:rFonts w:eastAsia="Times New Roman"/>
          <w:color w:val="0B0C0C"/>
          <w:lang w:eastAsia="en-AU"/>
        </w:rPr>
        <w:t>mpower community members</w:t>
      </w:r>
      <w:r w:rsidR="006B0079">
        <w:rPr>
          <w:rFonts w:eastAsia="Times New Roman"/>
          <w:color w:val="0B0C0C"/>
          <w:lang w:eastAsia="en-AU"/>
        </w:rPr>
        <w:t xml:space="preserve"> to feel included, heard and acknowledged</w:t>
      </w:r>
      <w:r w:rsidR="0046248F">
        <w:rPr>
          <w:rFonts w:eastAsia="Times New Roman"/>
          <w:color w:val="0B0C0C"/>
          <w:lang w:eastAsia="en-AU"/>
        </w:rPr>
        <w:t>.</w:t>
      </w:r>
    </w:p>
    <w:p w14:paraId="46A2FCDB" w14:textId="3D28F8BE" w:rsidR="006B0079" w:rsidRPr="00E34363" w:rsidRDefault="00874685" w:rsidP="002C4491">
      <w:pPr>
        <w:pStyle w:val="ListParagraph"/>
        <w:numPr>
          <w:ilvl w:val="0"/>
          <w:numId w:val="11"/>
        </w:numPr>
        <w:shd w:val="clear" w:color="auto" w:fill="FFFFFF"/>
        <w:spacing w:before="300" w:after="240" w:line="360" w:lineRule="auto"/>
        <w:rPr>
          <w:rFonts w:eastAsia="Times New Roman"/>
          <w:color w:val="0B0C0C"/>
          <w:lang w:eastAsia="en-AU"/>
        </w:rPr>
      </w:pPr>
      <w:r>
        <w:rPr>
          <w:rFonts w:eastAsia="Times New Roman"/>
          <w:color w:val="0B0C0C"/>
          <w:lang w:eastAsia="en-AU"/>
        </w:rPr>
        <w:t>B</w:t>
      </w:r>
      <w:r w:rsidR="006B0079" w:rsidRPr="00E34363">
        <w:rPr>
          <w:rFonts w:eastAsia="Times New Roman"/>
          <w:color w:val="0B0C0C"/>
          <w:lang w:eastAsia="en-AU"/>
        </w:rPr>
        <w:t xml:space="preserve">uild trust </w:t>
      </w:r>
      <w:r w:rsidR="0025250D">
        <w:rPr>
          <w:rFonts w:eastAsia="Times New Roman"/>
          <w:color w:val="0B0C0C"/>
          <w:lang w:eastAsia="en-AU"/>
        </w:rPr>
        <w:t xml:space="preserve">with </w:t>
      </w:r>
      <w:r w:rsidR="00244295">
        <w:rPr>
          <w:rFonts w:eastAsia="Times New Roman"/>
          <w:color w:val="0B0C0C"/>
          <w:lang w:eastAsia="en-AU"/>
        </w:rPr>
        <w:t xml:space="preserve">the </w:t>
      </w:r>
      <w:r w:rsidR="0025250D">
        <w:rPr>
          <w:rFonts w:eastAsia="Times New Roman"/>
          <w:color w:val="0B0C0C"/>
          <w:lang w:eastAsia="en-AU"/>
        </w:rPr>
        <w:t xml:space="preserve">community </w:t>
      </w:r>
      <w:r w:rsidR="006B0079">
        <w:rPr>
          <w:rFonts w:eastAsia="Times New Roman"/>
          <w:color w:val="0B0C0C"/>
          <w:lang w:eastAsia="en-AU"/>
        </w:rPr>
        <w:t>and</w:t>
      </w:r>
      <w:r w:rsidR="00244295">
        <w:rPr>
          <w:rFonts w:eastAsia="Times New Roman"/>
          <w:color w:val="0B0C0C"/>
          <w:lang w:eastAsia="en-AU"/>
        </w:rPr>
        <w:t xml:space="preserve"> positively impact your</w:t>
      </w:r>
      <w:r w:rsidR="006B0079">
        <w:rPr>
          <w:rFonts w:eastAsia="Times New Roman"/>
          <w:color w:val="0B0C0C"/>
          <w:lang w:eastAsia="en-AU"/>
        </w:rPr>
        <w:t xml:space="preserve"> organisation’s reputation</w:t>
      </w:r>
      <w:r w:rsidR="00D125C4">
        <w:rPr>
          <w:rFonts w:eastAsia="Times New Roman"/>
          <w:color w:val="0B0C0C"/>
          <w:lang w:eastAsia="en-AU"/>
        </w:rPr>
        <w:t>.</w:t>
      </w:r>
    </w:p>
    <w:p w14:paraId="15D1DB1A" w14:textId="200E3150" w:rsidR="001C11CC" w:rsidRPr="00B17DA5" w:rsidRDefault="001C11CC" w:rsidP="001C11CC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B17DA5">
        <w:rPr>
          <w:b/>
          <w:noProof/>
          <w:color w:val="2C5C86"/>
          <w:sz w:val="30"/>
          <w:szCs w:val="30"/>
          <w:lang w:eastAsia="en-AU"/>
        </w:rPr>
        <w:t xml:space="preserve">Planning  </w:t>
      </w:r>
    </w:p>
    <w:p w14:paraId="789CC710" w14:textId="4A4A7A39" w:rsidR="00023C11" w:rsidRDefault="00C82027" w:rsidP="001C11CC">
      <w:pPr>
        <w:shd w:val="clear" w:color="auto" w:fill="FFFFFF"/>
        <w:spacing w:after="0" w:line="36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 xml:space="preserve">When planning </w:t>
      </w:r>
      <w:r w:rsidR="00023C11">
        <w:rPr>
          <w:rFonts w:eastAsia="Times New Roman" w:cs="Arial"/>
          <w:lang w:eastAsia="en-AU"/>
        </w:rPr>
        <w:t>your stakeholder engagement</w:t>
      </w:r>
      <w:r w:rsidR="00B1760C">
        <w:rPr>
          <w:rFonts w:eastAsia="Times New Roman" w:cs="Arial"/>
          <w:lang w:eastAsia="en-AU"/>
        </w:rPr>
        <w:t>,</w:t>
      </w:r>
      <w:r w:rsidR="00023C11">
        <w:rPr>
          <w:rFonts w:eastAsia="Times New Roman" w:cs="Arial"/>
          <w:lang w:eastAsia="en-AU"/>
        </w:rPr>
        <w:t xml:space="preserve"> </w:t>
      </w:r>
      <w:r w:rsidR="00F20876">
        <w:rPr>
          <w:rFonts w:eastAsia="Times New Roman" w:cs="Arial"/>
          <w:lang w:eastAsia="en-AU"/>
        </w:rPr>
        <w:t>it</w:t>
      </w:r>
      <w:r w:rsidR="00B1760C">
        <w:rPr>
          <w:rFonts w:eastAsia="Times New Roman" w:cs="Arial"/>
          <w:lang w:eastAsia="en-AU"/>
        </w:rPr>
        <w:t xml:space="preserve"> i</w:t>
      </w:r>
      <w:r w:rsidR="00F20876">
        <w:rPr>
          <w:rFonts w:eastAsia="Times New Roman" w:cs="Arial"/>
          <w:lang w:eastAsia="en-AU"/>
        </w:rPr>
        <w:t xml:space="preserve">s important to be clear </w:t>
      </w:r>
      <w:r w:rsidR="00566783">
        <w:rPr>
          <w:rFonts w:eastAsia="Times New Roman" w:cs="Arial"/>
          <w:lang w:eastAsia="en-AU"/>
        </w:rPr>
        <w:t>about</w:t>
      </w:r>
      <w:r w:rsidR="00023C11">
        <w:rPr>
          <w:rFonts w:eastAsia="Times New Roman" w:cs="Arial"/>
          <w:lang w:eastAsia="en-AU"/>
        </w:rPr>
        <w:t>:</w:t>
      </w:r>
    </w:p>
    <w:p w14:paraId="7A419DA2" w14:textId="7AF73074" w:rsidR="006D24DC" w:rsidRDefault="00874685" w:rsidP="00D125C4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W</w:t>
      </w:r>
      <w:r w:rsidR="00D125C4">
        <w:rPr>
          <w:rFonts w:eastAsia="Times New Roman"/>
          <w:lang w:eastAsia="en-AU"/>
        </w:rPr>
        <w:t>h</w:t>
      </w:r>
      <w:r w:rsidR="003B546F">
        <w:rPr>
          <w:rFonts w:eastAsia="Times New Roman"/>
          <w:lang w:eastAsia="en-AU"/>
        </w:rPr>
        <w:t>y you are undertaking a stakeholder engagement process</w:t>
      </w:r>
      <w:r w:rsidR="00B1760C">
        <w:rPr>
          <w:rFonts w:eastAsia="Times New Roman"/>
          <w:lang w:eastAsia="en-AU"/>
        </w:rPr>
        <w:t>.</w:t>
      </w:r>
    </w:p>
    <w:p w14:paraId="12286AAE" w14:textId="53090225" w:rsidR="00364996" w:rsidRPr="00364996" w:rsidRDefault="00874685" w:rsidP="00364996">
      <w:pPr>
        <w:pStyle w:val="BodyText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W</w:t>
      </w:r>
      <w:r w:rsidR="00364996">
        <w:rPr>
          <w:lang w:eastAsia="en-AU"/>
        </w:rPr>
        <w:t>ho you want to engage with</w:t>
      </w:r>
      <w:r w:rsidR="00B1760C">
        <w:rPr>
          <w:lang w:eastAsia="en-AU"/>
        </w:rPr>
        <w:t>.</w:t>
      </w:r>
    </w:p>
    <w:p w14:paraId="67396F7E" w14:textId="03989017" w:rsidR="003B3822" w:rsidRDefault="00874685" w:rsidP="003B3822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W</w:t>
      </w:r>
      <w:r w:rsidR="00961236">
        <w:rPr>
          <w:rFonts w:eastAsia="Times New Roman"/>
          <w:lang w:eastAsia="en-AU"/>
        </w:rPr>
        <w:t>hat</w:t>
      </w:r>
      <w:r w:rsidR="006D24DC" w:rsidRPr="00C55955">
        <w:rPr>
          <w:rFonts w:eastAsia="Times New Roman"/>
          <w:lang w:eastAsia="en-AU"/>
        </w:rPr>
        <w:t xml:space="preserve"> engagement model </w:t>
      </w:r>
      <w:r w:rsidR="00C55955" w:rsidRPr="00C55955">
        <w:rPr>
          <w:rFonts w:eastAsia="Times New Roman"/>
          <w:lang w:eastAsia="en-AU"/>
        </w:rPr>
        <w:t>and methods you want to use</w:t>
      </w:r>
      <w:r w:rsidR="00B1760C">
        <w:rPr>
          <w:rFonts w:eastAsia="Times New Roman"/>
          <w:lang w:eastAsia="en-AU"/>
        </w:rPr>
        <w:t>.</w:t>
      </w:r>
    </w:p>
    <w:p w14:paraId="1650DD7D" w14:textId="43BF95FF" w:rsidR="003B3822" w:rsidRPr="003B3822" w:rsidRDefault="00874685" w:rsidP="003B3822">
      <w:pPr>
        <w:pStyle w:val="BodyText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H</w:t>
      </w:r>
      <w:r w:rsidR="00961236">
        <w:rPr>
          <w:lang w:eastAsia="en-AU"/>
        </w:rPr>
        <w:t>ow you will ensure your stakeholder engagement is</w:t>
      </w:r>
      <w:r w:rsidR="003B3822">
        <w:rPr>
          <w:lang w:eastAsia="en-AU"/>
        </w:rPr>
        <w:t xml:space="preserve"> accessible and inclusive</w:t>
      </w:r>
      <w:r w:rsidR="00B1760C">
        <w:rPr>
          <w:lang w:eastAsia="en-AU"/>
        </w:rPr>
        <w:t>.</w:t>
      </w:r>
    </w:p>
    <w:p w14:paraId="5851ACBC" w14:textId="5D08F78B" w:rsidR="006D24DC" w:rsidRDefault="00874685" w:rsidP="006B0EC9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W</w:t>
      </w:r>
      <w:r w:rsidR="00364996">
        <w:rPr>
          <w:rFonts w:eastAsia="Times New Roman"/>
          <w:lang w:eastAsia="en-AU"/>
        </w:rPr>
        <w:t>hat r</w:t>
      </w:r>
      <w:r w:rsidR="006D24DC" w:rsidRPr="00D125C4">
        <w:rPr>
          <w:rFonts w:eastAsia="Times New Roman"/>
          <w:lang w:eastAsia="en-AU"/>
        </w:rPr>
        <w:t>esources you will need, including budget and staffing</w:t>
      </w:r>
      <w:r w:rsidR="00B1760C">
        <w:rPr>
          <w:rFonts w:eastAsia="Times New Roman"/>
          <w:lang w:eastAsia="en-AU"/>
        </w:rPr>
        <w:t>.</w:t>
      </w:r>
    </w:p>
    <w:p w14:paraId="6047B456" w14:textId="6DCD6907" w:rsidR="006B0EC9" w:rsidRPr="006B0EC9" w:rsidRDefault="00874685" w:rsidP="006B0EC9">
      <w:pPr>
        <w:pStyle w:val="BodyText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W</w:t>
      </w:r>
      <w:r w:rsidR="006B0EC9">
        <w:rPr>
          <w:lang w:eastAsia="en-AU"/>
        </w:rPr>
        <w:t>hen and where the stakeholder engagement activities will take place</w:t>
      </w:r>
      <w:r w:rsidR="00B1760C">
        <w:rPr>
          <w:lang w:eastAsia="en-AU"/>
        </w:rPr>
        <w:t>.</w:t>
      </w:r>
    </w:p>
    <w:p w14:paraId="1F58818E" w14:textId="354BE700" w:rsidR="00746032" w:rsidRPr="00D125C4" w:rsidRDefault="00874685" w:rsidP="00D125C4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H</w:t>
      </w:r>
      <w:r w:rsidR="001C6C26" w:rsidRPr="00D125C4">
        <w:rPr>
          <w:rFonts w:eastAsia="Times New Roman"/>
          <w:lang w:eastAsia="en-AU"/>
        </w:rPr>
        <w:t>ow you will communicate the findings to stakeholders.</w:t>
      </w:r>
    </w:p>
    <w:p w14:paraId="66A6C337" w14:textId="1AEA340E" w:rsidR="00943FEB" w:rsidRDefault="00943FEB" w:rsidP="00943FEB">
      <w:pPr>
        <w:pStyle w:val="BodyText"/>
        <w:rPr>
          <w:lang w:eastAsia="en-AU"/>
        </w:rPr>
      </w:pPr>
      <w:r>
        <w:rPr>
          <w:lang w:eastAsia="en-AU"/>
        </w:rPr>
        <w:lastRenderedPageBreak/>
        <w:t>It is important that stakeholders understand:</w:t>
      </w:r>
    </w:p>
    <w:p w14:paraId="15ADBDFD" w14:textId="12DDB605" w:rsidR="00BA48E6" w:rsidRPr="00244D84" w:rsidRDefault="00874685" w:rsidP="00BA48E6">
      <w:pPr>
        <w:pStyle w:val="BodyText"/>
        <w:numPr>
          <w:ilvl w:val="0"/>
          <w:numId w:val="13"/>
        </w:numPr>
      </w:pPr>
      <w:r>
        <w:t>W</w:t>
      </w:r>
      <w:r w:rsidR="00BA48E6" w:rsidRPr="00244D84">
        <w:t xml:space="preserve">hat </w:t>
      </w:r>
      <w:r w:rsidR="00BA48E6">
        <w:t xml:space="preserve">the stakeholder engagement is </w:t>
      </w:r>
      <w:r w:rsidR="00BA48E6" w:rsidRPr="00244D84">
        <w:t>aiming to achieve</w:t>
      </w:r>
      <w:r w:rsidR="00BA48E6">
        <w:t>.</w:t>
      </w:r>
    </w:p>
    <w:p w14:paraId="455E4EDA" w14:textId="3A9DD7F7" w:rsidR="00BA48E6" w:rsidRPr="00244D84" w:rsidRDefault="00874685" w:rsidP="00BA48E6">
      <w:pPr>
        <w:pStyle w:val="BodyText"/>
        <w:numPr>
          <w:ilvl w:val="0"/>
          <w:numId w:val="13"/>
        </w:numPr>
      </w:pPr>
      <w:r>
        <w:t>H</w:t>
      </w:r>
      <w:r w:rsidR="00BA48E6" w:rsidRPr="00244D84">
        <w:t>ow their input will be used</w:t>
      </w:r>
      <w:r w:rsidR="0046248F">
        <w:t>.</w:t>
      </w:r>
    </w:p>
    <w:p w14:paraId="4E03E706" w14:textId="5A6EC26F" w:rsidR="00BA48E6" w:rsidRDefault="00874685" w:rsidP="002C4491">
      <w:pPr>
        <w:pStyle w:val="BodyText"/>
        <w:numPr>
          <w:ilvl w:val="0"/>
          <w:numId w:val="13"/>
        </w:numPr>
        <w:spacing w:after="240" w:line="360" w:lineRule="auto"/>
      </w:pPr>
      <w:r>
        <w:t>H</w:t>
      </w:r>
      <w:r w:rsidR="00BA48E6" w:rsidRPr="00244D84">
        <w:t>ow decision making will be determined.</w:t>
      </w:r>
    </w:p>
    <w:p w14:paraId="2862BDCE" w14:textId="3C0BBAC2" w:rsidR="00BF5FE5" w:rsidRPr="00B17DA5" w:rsidRDefault="00B17DA5" w:rsidP="002C4491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B17DA5">
        <w:rPr>
          <w:b/>
          <w:noProof/>
          <w:color w:val="2C5C86"/>
          <w:sz w:val="30"/>
          <w:szCs w:val="30"/>
          <w:lang w:eastAsia="en-AU"/>
        </w:rPr>
        <w:t>M</w:t>
      </w:r>
      <w:r w:rsidR="00B1760C" w:rsidRPr="00B17DA5">
        <w:rPr>
          <w:b/>
          <w:noProof/>
          <w:color w:val="2C5C86"/>
          <w:sz w:val="30"/>
          <w:szCs w:val="30"/>
          <w:lang w:eastAsia="en-AU"/>
        </w:rPr>
        <w:t>odels and methods</w:t>
      </w:r>
    </w:p>
    <w:p w14:paraId="5607698B" w14:textId="16DAC830" w:rsidR="0036752B" w:rsidRDefault="0036752B" w:rsidP="008C0D16">
      <w:pPr>
        <w:pStyle w:val="BodyText"/>
        <w:spacing w:line="360" w:lineRule="auto"/>
      </w:pPr>
      <w:r>
        <w:t xml:space="preserve">Some public authorities may have an existing corporate community engagement framework or guide. For those that </w:t>
      </w:r>
      <w:r w:rsidR="00566783">
        <w:t>don’t</w:t>
      </w:r>
      <w:r>
        <w:t xml:space="preserve">, there are several engagement models that can help you determine your approach and </w:t>
      </w:r>
      <w:r w:rsidR="004C24BB">
        <w:t xml:space="preserve">the </w:t>
      </w:r>
      <w:r>
        <w:t>engagement methods</w:t>
      </w:r>
      <w:r w:rsidR="002C2B84">
        <w:t xml:space="preserve"> to use</w:t>
      </w:r>
      <w:r>
        <w:t xml:space="preserve">. </w:t>
      </w:r>
    </w:p>
    <w:p w14:paraId="5DAEF2DF" w14:textId="285D6668" w:rsidR="00373117" w:rsidRDefault="00373117" w:rsidP="008C0D16">
      <w:pPr>
        <w:pStyle w:val="BodyText"/>
        <w:spacing w:line="360" w:lineRule="auto"/>
      </w:pPr>
      <w:r>
        <w:t xml:space="preserve">The </w:t>
      </w:r>
      <w:hyperlink r:id="rId12" w:history="1">
        <w:r w:rsidRPr="00D40F53">
          <w:rPr>
            <w:rStyle w:val="Hyperlink"/>
          </w:rPr>
          <w:t>Public Participation Spectrum</w:t>
        </w:r>
      </w:hyperlink>
      <w:r>
        <w:t xml:space="preserve"> developed by </w:t>
      </w:r>
      <w:r w:rsidR="00D3270F">
        <w:t>the Institute of Public Par</w:t>
      </w:r>
      <w:r w:rsidR="00EC30F7">
        <w:t>ticip</w:t>
      </w:r>
      <w:r w:rsidR="00D3270F">
        <w:t>ation is an example of a stakeholder engagement model</w:t>
      </w:r>
      <w:r w:rsidR="0020564A">
        <w:t xml:space="preserve">, which identifies a </w:t>
      </w:r>
      <w:r w:rsidR="00D3270F">
        <w:t>spectrum of engage</w:t>
      </w:r>
      <w:r w:rsidR="00816D52">
        <w:t>ment</w:t>
      </w:r>
      <w:r w:rsidR="00A06982">
        <w:t xml:space="preserve"> </w:t>
      </w:r>
      <w:r w:rsidR="0020564A">
        <w:t>through</w:t>
      </w:r>
      <w:r w:rsidR="00A743AC">
        <w:t xml:space="preserve"> </w:t>
      </w:r>
      <w:r w:rsidR="00A06982">
        <w:t xml:space="preserve">informing, consulting, involving, collaborating and empowering. </w:t>
      </w:r>
    </w:p>
    <w:p w14:paraId="4B4666EF" w14:textId="0BFA9CC8" w:rsidR="004A183E" w:rsidRDefault="004A183E" w:rsidP="00574E20">
      <w:pPr>
        <w:pStyle w:val="BodyText"/>
      </w:pPr>
      <w:r>
        <w:t>Methods might include:</w:t>
      </w:r>
    </w:p>
    <w:tbl>
      <w:tblPr>
        <w:tblStyle w:val="TableGridLight"/>
        <w:tblW w:w="9923" w:type="dxa"/>
        <w:tblInd w:w="-147" w:type="dxa"/>
        <w:tblLayout w:type="fixed"/>
        <w:tblLook w:val="04A0" w:firstRow="1" w:lastRow="0" w:firstColumn="1" w:lastColumn="0" w:noHBand="0" w:noVBand="1"/>
        <w:tblCaption w:val="Public participation spectrum activity types"/>
        <w:tblDescription w:val="Five column-two row table. Inform: activities include advertising, briefings, event pop-ups, factsheets, info sessions newsletters websites. Consult: activities include focus groups, call for feedback, polls, public meetings, surveys, workshops. Involve: activities include advisory groups, future search, graphic recording, story dialogue, world cafes. Collaborate - activities include charrettes, citizens' panels, co-design, working groups. Empower - activities include co-design, working groups."/>
      </w:tblPr>
      <w:tblGrid>
        <w:gridCol w:w="1843"/>
        <w:gridCol w:w="1985"/>
        <w:gridCol w:w="2268"/>
        <w:gridCol w:w="1984"/>
        <w:gridCol w:w="1843"/>
      </w:tblGrid>
      <w:tr w:rsidR="00103A0A" w14:paraId="56870BF4" w14:textId="77777777" w:rsidTr="002C4491">
        <w:trPr>
          <w:trHeight w:val="397"/>
        </w:trPr>
        <w:tc>
          <w:tcPr>
            <w:tcW w:w="1843" w:type="dxa"/>
          </w:tcPr>
          <w:p w14:paraId="6B91FA48" w14:textId="77777777" w:rsidR="00103A0A" w:rsidRPr="00321FBC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Inform</w:t>
            </w:r>
          </w:p>
        </w:tc>
        <w:tc>
          <w:tcPr>
            <w:tcW w:w="1985" w:type="dxa"/>
          </w:tcPr>
          <w:p w14:paraId="5A3B873A" w14:textId="77777777" w:rsidR="00103A0A" w:rsidRPr="00321FBC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Consult</w:t>
            </w:r>
          </w:p>
        </w:tc>
        <w:tc>
          <w:tcPr>
            <w:tcW w:w="2268" w:type="dxa"/>
          </w:tcPr>
          <w:p w14:paraId="38BFABA4" w14:textId="77777777" w:rsidR="00103A0A" w:rsidRPr="00321FBC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Involve</w:t>
            </w:r>
          </w:p>
        </w:tc>
        <w:tc>
          <w:tcPr>
            <w:tcW w:w="1984" w:type="dxa"/>
          </w:tcPr>
          <w:p w14:paraId="2C2877D0" w14:textId="77777777" w:rsidR="00103A0A" w:rsidRPr="00321FBC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Collaborate</w:t>
            </w:r>
          </w:p>
        </w:tc>
        <w:tc>
          <w:tcPr>
            <w:tcW w:w="1843" w:type="dxa"/>
          </w:tcPr>
          <w:p w14:paraId="27893A1C" w14:textId="77777777" w:rsidR="00103A0A" w:rsidRPr="00321FBC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Empower</w:t>
            </w:r>
          </w:p>
        </w:tc>
      </w:tr>
      <w:tr w:rsidR="00103A0A" w14:paraId="15C7D56D" w14:textId="77777777" w:rsidTr="002C4491">
        <w:trPr>
          <w:trHeight w:val="1692"/>
        </w:trPr>
        <w:tc>
          <w:tcPr>
            <w:tcW w:w="1843" w:type="dxa"/>
          </w:tcPr>
          <w:p w14:paraId="15E269EF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 w:rsidRPr="00463EFF">
              <w:rPr>
                <w:rFonts w:ascii="Arial" w:hAnsi="Arial" w:cs="Arial"/>
                <w:color w:val="444444"/>
              </w:rPr>
              <w:t>Advertising</w:t>
            </w:r>
          </w:p>
          <w:p w14:paraId="2A06A495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Briefings</w:t>
            </w:r>
          </w:p>
          <w:p w14:paraId="5BE4A8CA" w14:textId="77777777" w:rsidR="00103A0A" w:rsidRPr="00463EFF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Events</w:t>
            </w:r>
          </w:p>
          <w:p w14:paraId="6E2C4437" w14:textId="77777777" w:rsidR="00103A0A" w:rsidRPr="00CD020D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Factsheets</w:t>
            </w:r>
          </w:p>
          <w:p w14:paraId="3341F555" w14:textId="77777777" w:rsidR="00103A0A" w:rsidRPr="009F26F5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463EFF">
              <w:rPr>
                <w:rFonts w:ascii="Arial" w:hAnsi="Arial" w:cs="Arial"/>
                <w:color w:val="444444"/>
              </w:rPr>
              <w:t>Info</w:t>
            </w:r>
            <w:r>
              <w:rPr>
                <w:rFonts w:ascii="Arial" w:hAnsi="Arial" w:cs="Arial"/>
                <w:color w:val="444444"/>
              </w:rPr>
              <w:t xml:space="preserve"> </w:t>
            </w:r>
            <w:r w:rsidRPr="00463EFF">
              <w:rPr>
                <w:rFonts w:ascii="Arial" w:hAnsi="Arial" w:cs="Arial"/>
                <w:color w:val="444444"/>
              </w:rPr>
              <w:t>sessions Newsletters</w:t>
            </w:r>
          </w:p>
        </w:tc>
        <w:tc>
          <w:tcPr>
            <w:tcW w:w="1985" w:type="dxa"/>
          </w:tcPr>
          <w:p w14:paraId="046D8165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Focus groups</w:t>
            </w:r>
          </w:p>
          <w:p w14:paraId="7809A60D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Public comment</w:t>
            </w:r>
          </w:p>
          <w:p w14:paraId="253440ED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Round tables</w:t>
            </w:r>
          </w:p>
          <w:p w14:paraId="60AB95D8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Public meetings</w:t>
            </w:r>
          </w:p>
          <w:p w14:paraId="31A05FD4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Surveys</w:t>
            </w:r>
          </w:p>
          <w:p w14:paraId="7089121E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Pop-ups</w:t>
            </w:r>
          </w:p>
        </w:tc>
        <w:tc>
          <w:tcPr>
            <w:tcW w:w="2268" w:type="dxa"/>
          </w:tcPr>
          <w:p w14:paraId="5588FB63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Advisory groups</w:t>
            </w:r>
          </w:p>
          <w:p w14:paraId="0320F3CA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Deliberative polling</w:t>
            </w:r>
          </w:p>
          <w:p w14:paraId="2235324C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Digital storytelling</w:t>
            </w:r>
          </w:p>
          <w:p w14:paraId="6DD76400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Graphic recording</w:t>
            </w:r>
          </w:p>
          <w:p w14:paraId="7B245566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Open idea walls</w:t>
            </w:r>
          </w:p>
          <w:p w14:paraId="3BED1E92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Workshops</w:t>
            </w:r>
          </w:p>
        </w:tc>
        <w:tc>
          <w:tcPr>
            <w:tcW w:w="1984" w:type="dxa"/>
          </w:tcPr>
          <w:p w14:paraId="12BA8BE7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Charrettes</w:t>
            </w:r>
          </w:p>
          <w:p w14:paraId="1995CDA0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Citizens’ panels </w:t>
            </w:r>
          </w:p>
          <w:p w14:paraId="22FE2927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Co-design</w:t>
            </w:r>
          </w:p>
          <w:p w14:paraId="0B7D6F39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Participatory editing</w:t>
            </w:r>
          </w:p>
          <w:p w14:paraId="66209E12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Working groups</w:t>
            </w:r>
          </w:p>
        </w:tc>
        <w:tc>
          <w:tcPr>
            <w:tcW w:w="1843" w:type="dxa"/>
          </w:tcPr>
          <w:p w14:paraId="0C5CF381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Citizens’ juries</w:t>
            </w:r>
          </w:p>
          <w:p w14:paraId="64F662F8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Co-design</w:t>
            </w:r>
          </w:p>
          <w:p w14:paraId="5B3FAC65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Participatory budgeting</w:t>
            </w:r>
          </w:p>
          <w:p w14:paraId="34C5728A" w14:textId="77777777" w:rsidR="00103A0A" w:rsidRDefault="00103A0A" w:rsidP="00C27C56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44444"/>
              </w:rPr>
            </w:pPr>
          </w:p>
        </w:tc>
      </w:tr>
    </w:tbl>
    <w:p w14:paraId="0680629B" w14:textId="447280A0" w:rsidR="00910486" w:rsidRPr="00B17DA5" w:rsidRDefault="00910486" w:rsidP="0072570B">
      <w:pPr>
        <w:pStyle w:val="BodyText"/>
        <w:spacing w:before="360"/>
        <w:rPr>
          <w:b/>
          <w:noProof/>
          <w:color w:val="2C5C86"/>
          <w:sz w:val="30"/>
          <w:szCs w:val="30"/>
          <w:lang w:eastAsia="en-AU"/>
        </w:rPr>
      </w:pPr>
      <w:r w:rsidRPr="00B17DA5">
        <w:rPr>
          <w:b/>
          <w:noProof/>
          <w:color w:val="2C5C86"/>
          <w:sz w:val="30"/>
          <w:szCs w:val="30"/>
          <w:lang w:eastAsia="en-AU"/>
        </w:rPr>
        <w:t xml:space="preserve">Useful </w:t>
      </w:r>
      <w:r w:rsidR="007A1EEE">
        <w:rPr>
          <w:b/>
          <w:noProof/>
          <w:color w:val="2C5C86"/>
          <w:sz w:val="30"/>
          <w:szCs w:val="30"/>
          <w:lang w:eastAsia="en-AU"/>
        </w:rPr>
        <w:t>r</w:t>
      </w:r>
      <w:r w:rsidRPr="00B17DA5">
        <w:rPr>
          <w:b/>
          <w:noProof/>
          <w:color w:val="2C5C86"/>
          <w:sz w:val="30"/>
          <w:szCs w:val="30"/>
          <w:lang w:eastAsia="en-AU"/>
        </w:rPr>
        <w:t xml:space="preserve">esources: </w:t>
      </w:r>
    </w:p>
    <w:p w14:paraId="59F8C9E3" w14:textId="77777777" w:rsidR="008D19FD" w:rsidRDefault="000A0409" w:rsidP="00040F14">
      <w:pPr>
        <w:pStyle w:val="BodyText"/>
        <w:spacing w:line="360" w:lineRule="auto"/>
      </w:pPr>
      <w:r w:rsidRPr="00040F14">
        <w:t>Disability Gateway has a guideline to support engagement of people with disability at</w:t>
      </w:r>
      <w:r w:rsidR="008D19FD">
        <w:t xml:space="preserve"> </w:t>
      </w:r>
    </w:p>
    <w:p w14:paraId="69FB6D55" w14:textId="050633AB" w:rsidR="00D02D97" w:rsidRPr="00040F14" w:rsidRDefault="00566CA1" w:rsidP="00040F14">
      <w:pPr>
        <w:pStyle w:val="BodyText"/>
        <w:spacing w:line="360" w:lineRule="auto"/>
      </w:pPr>
      <w:hyperlink r:id="rId13" w:history="1">
        <w:r w:rsidR="00D02D97" w:rsidRPr="00B74BA1">
          <w:rPr>
            <w:rStyle w:val="Hyperlink"/>
          </w:rPr>
          <w:t>Good Practice Guidelines for Engaging with People with Disability | Disability Gateway</w:t>
        </w:r>
      </w:hyperlink>
    </w:p>
    <w:p w14:paraId="496C5C67" w14:textId="329FBFD1" w:rsidR="00B74BA1" w:rsidRDefault="000A0409" w:rsidP="00040F14">
      <w:pPr>
        <w:pStyle w:val="BodyText"/>
        <w:spacing w:line="360" w:lineRule="auto"/>
      </w:pPr>
      <w:r w:rsidRPr="00040F14">
        <w:t>WACOSS has</w:t>
      </w:r>
      <w:r w:rsidR="00F75C64">
        <w:t xml:space="preserve"> developed a </w:t>
      </w:r>
      <w:r w:rsidRPr="00040F14">
        <w:t xml:space="preserve">lived experience framework </w:t>
      </w:r>
      <w:r w:rsidR="00F75C64">
        <w:t>outlining</w:t>
      </w:r>
      <w:r w:rsidRPr="00040F14">
        <w:t xml:space="preserve"> princip</w:t>
      </w:r>
      <w:r w:rsidR="00040F14">
        <w:t>les</w:t>
      </w:r>
      <w:r w:rsidRPr="00040F14">
        <w:t xml:space="preserve"> and pr</w:t>
      </w:r>
      <w:r w:rsidR="00DF7A0D" w:rsidRPr="00040F14">
        <w:t>actices for lived experience partnerships</w:t>
      </w:r>
      <w:r w:rsidR="00797028">
        <w:t xml:space="preserve"> </w:t>
      </w:r>
    </w:p>
    <w:p w14:paraId="30719025" w14:textId="7DB9512E" w:rsidR="00106591" w:rsidRPr="00040F14" w:rsidRDefault="00566CA1" w:rsidP="00040F14">
      <w:pPr>
        <w:pStyle w:val="BodyText"/>
        <w:spacing w:line="360" w:lineRule="auto"/>
      </w:pPr>
      <w:hyperlink r:id="rId14" w:history="1">
        <w:r w:rsidR="00106591" w:rsidRPr="00797028">
          <w:rPr>
            <w:rStyle w:val="Hyperlink"/>
          </w:rPr>
          <w:t>Lived Experience Framework – Principles and Practices for Lived Experience Partnerships</w:t>
        </w:r>
      </w:hyperlink>
      <w:r w:rsidR="00106591" w:rsidRPr="00040F14">
        <w:t xml:space="preserve"> </w:t>
      </w:r>
    </w:p>
    <w:p w14:paraId="3E48ED51" w14:textId="47FA8410" w:rsidR="00597A66" w:rsidRPr="00040F14" w:rsidRDefault="00597A66" w:rsidP="00040F14">
      <w:pPr>
        <w:pStyle w:val="BodyText"/>
        <w:spacing w:line="360" w:lineRule="auto"/>
      </w:pPr>
      <w:r w:rsidRPr="00040F14">
        <w:t xml:space="preserve">Inclusion Australia has produced </w:t>
      </w:r>
    </w:p>
    <w:p w14:paraId="2D98C085" w14:textId="712EC24B" w:rsidR="00094529" w:rsidRPr="00040F14" w:rsidRDefault="00566CA1" w:rsidP="00040F14">
      <w:pPr>
        <w:pStyle w:val="BodyText"/>
        <w:spacing w:line="360" w:lineRule="auto"/>
      </w:pPr>
      <w:hyperlink r:id="rId15" w:history="1">
        <w:r w:rsidR="00094529" w:rsidRPr="00F07B51">
          <w:rPr>
            <w:rStyle w:val="Hyperlink"/>
          </w:rPr>
          <w:t>A-Guide-to-Planning-Inclusive-Consultations.pdf</w:t>
        </w:r>
      </w:hyperlink>
    </w:p>
    <w:p w14:paraId="5B43307E" w14:textId="7655D905" w:rsidR="00627237" w:rsidRPr="008B4BD4" w:rsidRDefault="00040F14" w:rsidP="007D57AF">
      <w:pPr>
        <w:shd w:val="clear" w:color="auto" w:fill="FFFFFF"/>
        <w:spacing w:after="300" w:line="360" w:lineRule="auto"/>
        <w:rPr>
          <w:color w:val="FF0000"/>
        </w:rPr>
      </w:pPr>
      <w:r w:rsidRPr="00040F14">
        <w:rPr>
          <w:rFonts w:cs="Arial"/>
        </w:rPr>
        <w:t xml:space="preserve">Mental Health Commission has a stakeholder engagement framework and toolkit at </w:t>
      </w:r>
      <w:hyperlink r:id="rId16" w:history="1">
        <w:r w:rsidRPr="00E93286">
          <w:rPr>
            <w:rStyle w:val="Hyperlink"/>
            <w:rFonts w:cs="Arial"/>
          </w:rPr>
          <w:t>Stakeholder Engagement (mhc.wa.gov.au)</w:t>
        </w:r>
      </w:hyperlink>
    </w:p>
    <w:sectPr w:rsidR="00627237" w:rsidRPr="008B4BD4" w:rsidSect="00D40F53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454F" w14:textId="77777777" w:rsidR="00AB5FC2" w:rsidRDefault="00AB5FC2" w:rsidP="00D41211">
      <w:r>
        <w:separator/>
      </w:r>
    </w:p>
  </w:endnote>
  <w:endnote w:type="continuationSeparator" w:id="0">
    <w:p w14:paraId="40F0C95A" w14:textId="77777777" w:rsidR="00AB5FC2" w:rsidRDefault="00AB5FC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9E90" w14:textId="77777777" w:rsidR="00AB5FC2" w:rsidRDefault="00AB5FC2" w:rsidP="00D41211">
      <w:r>
        <w:separator/>
      </w:r>
    </w:p>
  </w:footnote>
  <w:footnote w:type="continuationSeparator" w:id="0">
    <w:p w14:paraId="44F833BD" w14:textId="77777777" w:rsidR="00AB5FC2" w:rsidRDefault="00AB5FC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7A1F2" w14:textId="1A31E5AE" w:rsidR="00531D63" w:rsidRDefault="00531D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4FD9C" wp14:editId="486729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587490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4520E" w14:textId="28ECCB8A" w:rsidR="00531D63" w:rsidRPr="00531D63" w:rsidRDefault="00531D63" w:rsidP="00531D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31D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4F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6A4520E" w14:textId="28ECCB8A" w:rsidR="00531D63" w:rsidRPr="00531D63" w:rsidRDefault="00531D63" w:rsidP="00531D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31D6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61163875" w:rsidR="00885ACF" w:rsidRDefault="00531D63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80BBD8" wp14:editId="77D5E3C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6065945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3E360" w14:textId="7BF6ABEB" w:rsidR="00531D63" w:rsidRPr="00531D63" w:rsidRDefault="00531D63" w:rsidP="00531D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31D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0BB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EC3E360" w14:textId="7BF6ABEB" w:rsidR="00531D63" w:rsidRPr="00531D63" w:rsidRDefault="00531D63" w:rsidP="00531D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31D6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210570E6" w:rsidR="000F085D" w:rsidRPr="00885ACF" w:rsidRDefault="00D93A5C" w:rsidP="00885ACF">
    <w:pPr>
      <w:pStyle w:val="Header"/>
      <w:spacing w:after="520"/>
      <w:rPr>
        <w:b/>
        <w:bCs/>
      </w:rPr>
    </w:pPr>
    <w:r>
      <w:rPr>
        <w:b/>
        <w:bCs/>
      </w:rPr>
      <w:t xml:space="preserve">Outcome </w:t>
    </w:r>
    <w:r w:rsidR="00395391">
      <w:rPr>
        <w:b/>
        <w:bCs/>
      </w:rPr>
      <w:t>six</w:t>
    </w:r>
    <w:r w:rsidR="0081153F">
      <w:rPr>
        <w:b/>
        <w:bCs/>
      </w:rPr>
      <w:t xml:space="preserve">: </w:t>
    </w:r>
    <w:r w:rsidR="001F1B50">
      <w:rPr>
        <w:b/>
        <w:bCs/>
      </w:rPr>
      <w:t>Co</w:t>
    </w:r>
    <w:r w:rsidR="00395391">
      <w:rPr>
        <w:b/>
        <w:bCs/>
      </w:rPr>
      <w:t>nsultation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5F078D6" w:rsidR="001A0AF6" w:rsidRDefault="00531D63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58A1B4" wp14:editId="08CD42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66329719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9F90EA" w14:textId="5B8730E1" w:rsidR="00531D63" w:rsidRPr="00531D63" w:rsidRDefault="00531D63" w:rsidP="00531D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31D6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58A1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439F90EA" w14:textId="5B8730E1" w:rsidR="00531D63" w:rsidRPr="00531D63" w:rsidRDefault="00531D63" w:rsidP="00531D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31D63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8D"/>
    <w:multiLevelType w:val="hybridMultilevel"/>
    <w:tmpl w:val="19AE7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EDE"/>
    <w:multiLevelType w:val="hybridMultilevel"/>
    <w:tmpl w:val="95CAE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4579"/>
    <w:multiLevelType w:val="hybridMultilevel"/>
    <w:tmpl w:val="BBA2AD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52474"/>
    <w:multiLevelType w:val="hybridMultilevel"/>
    <w:tmpl w:val="C67E4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86BA2"/>
    <w:multiLevelType w:val="hybridMultilevel"/>
    <w:tmpl w:val="A75847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D908CA"/>
    <w:multiLevelType w:val="hybridMultilevel"/>
    <w:tmpl w:val="B8E0F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7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47D62DCF"/>
    <w:multiLevelType w:val="hybridMultilevel"/>
    <w:tmpl w:val="3D38DD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25725"/>
    <w:multiLevelType w:val="hybridMultilevel"/>
    <w:tmpl w:val="E884C1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1" w15:restartNumberingAfterBreak="0">
    <w:nsid w:val="59D57E31"/>
    <w:multiLevelType w:val="hybridMultilevel"/>
    <w:tmpl w:val="F7FAC2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66400"/>
    <w:multiLevelType w:val="hybridMultilevel"/>
    <w:tmpl w:val="426EF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6FE03C4B"/>
    <w:multiLevelType w:val="hybridMultilevel"/>
    <w:tmpl w:val="95985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5300">
    <w:abstractNumId w:val="10"/>
  </w:num>
  <w:num w:numId="2" w16cid:durableId="1565680334">
    <w:abstractNumId w:val="6"/>
  </w:num>
  <w:num w:numId="3" w16cid:durableId="1830293715">
    <w:abstractNumId w:val="13"/>
  </w:num>
  <w:num w:numId="4" w16cid:durableId="813183308">
    <w:abstractNumId w:val="7"/>
  </w:num>
  <w:num w:numId="5" w16cid:durableId="2104257153">
    <w:abstractNumId w:val="5"/>
  </w:num>
  <w:num w:numId="6" w16cid:durableId="319697943">
    <w:abstractNumId w:val="0"/>
  </w:num>
  <w:num w:numId="7" w16cid:durableId="969748856">
    <w:abstractNumId w:val="2"/>
  </w:num>
  <w:num w:numId="8" w16cid:durableId="1792437558">
    <w:abstractNumId w:val="1"/>
  </w:num>
  <w:num w:numId="9" w16cid:durableId="461308137">
    <w:abstractNumId w:val="8"/>
  </w:num>
  <w:num w:numId="10" w16cid:durableId="1887258787">
    <w:abstractNumId w:val="11"/>
  </w:num>
  <w:num w:numId="11" w16cid:durableId="810903629">
    <w:abstractNumId w:val="4"/>
  </w:num>
  <w:num w:numId="12" w16cid:durableId="1736051130">
    <w:abstractNumId w:val="9"/>
  </w:num>
  <w:num w:numId="13" w16cid:durableId="1616715983">
    <w:abstractNumId w:val="12"/>
  </w:num>
  <w:num w:numId="14" w16cid:durableId="2073772299">
    <w:abstractNumId w:val="3"/>
  </w:num>
  <w:num w:numId="15" w16cid:durableId="16136317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6D68"/>
    <w:rsid w:val="00015EC0"/>
    <w:rsid w:val="000214AD"/>
    <w:rsid w:val="00022D02"/>
    <w:rsid w:val="00023C11"/>
    <w:rsid w:val="0002401D"/>
    <w:rsid w:val="00025F3F"/>
    <w:rsid w:val="00031FB7"/>
    <w:rsid w:val="000338B3"/>
    <w:rsid w:val="00034CE5"/>
    <w:rsid w:val="00040F14"/>
    <w:rsid w:val="00044DBF"/>
    <w:rsid w:val="000477FB"/>
    <w:rsid w:val="00047DD6"/>
    <w:rsid w:val="0005696C"/>
    <w:rsid w:val="0005765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873CE"/>
    <w:rsid w:val="000900F8"/>
    <w:rsid w:val="00093B06"/>
    <w:rsid w:val="00094529"/>
    <w:rsid w:val="000958A5"/>
    <w:rsid w:val="000A0409"/>
    <w:rsid w:val="000A2E10"/>
    <w:rsid w:val="000A4E00"/>
    <w:rsid w:val="000B1741"/>
    <w:rsid w:val="000B3BDE"/>
    <w:rsid w:val="000B5EC4"/>
    <w:rsid w:val="000C45FC"/>
    <w:rsid w:val="000D1CA9"/>
    <w:rsid w:val="000D3070"/>
    <w:rsid w:val="000E28DE"/>
    <w:rsid w:val="000F085D"/>
    <w:rsid w:val="000F1402"/>
    <w:rsid w:val="000F293D"/>
    <w:rsid w:val="000F3FE8"/>
    <w:rsid w:val="00103A0A"/>
    <w:rsid w:val="0010445F"/>
    <w:rsid w:val="00106591"/>
    <w:rsid w:val="00111D6C"/>
    <w:rsid w:val="0011498E"/>
    <w:rsid w:val="00116BBF"/>
    <w:rsid w:val="001221FC"/>
    <w:rsid w:val="00123E91"/>
    <w:rsid w:val="001257CD"/>
    <w:rsid w:val="00127199"/>
    <w:rsid w:val="0013016D"/>
    <w:rsid w:val="00130207"/>
    <w:rsid w:val="00130FE2"/>
    <w:rsid w:val="001362A4"/>
    <w:rsid w:val="00144C2C"/>
    <w:rsid w:val="0015261A"/>
    <w:rsid w:val="001644FE"/>
    <w:rsid w:val="00167608"/>
    <w:rsid w:val="00170CC9"/>
    <w:rsid w:val="00171BE1"/>
    <w:rsid w:val="00182E8A"/>
    <w:rsid w:val="001933DD"/>
    <w:rsid w:val="001960EE"/>
    <w:rsid w:val="001A0AF6"/>
    <w:rsid w:val="001A26B1"/>
    <w:rsid w:val="001A3B37"/>
    <w:rsid w:val="001A5FFE"/>
    <w:rsid w:val="001A7063"/>
    <w:rsid w:val="001A7E88"/>
    <w:rsid w:val="001B4C4E"/>
    <w:rsid w:val="001C11CC"/>
    <w:rsid w:val="001C6C26"/>
    <w:rsid w:val="001D3018"/>
    <w:rsid w:val="001D3FCC"/>
    <w:rsid w:val="001E0EF3"/>
    <w:rsid w:val="001E5704"/>
    <w:rsid w:val="001E72D3"/>
    <w:rsid w:val="001E7BE4"/>
    <w:rsid w:val="001F1B50"/>
    <w:rsid w:val="00200967"/>
    <w:rsid w:val="0020481B"/>
    <w:rsid w:val="0020564A"/>
    <w:rsid w:val="00205FE3"/>
    <w:rsid w:val="002063F4"/>
    <w:rsid w:val="00211635"/>
    <w:rsid w:val="00220CB2"/>
    <w:rsid w:val="002239F5"/>
    <w:rsid w:val="00230DF7"/>
    <w:rsid w:val="00231A11"/>
    <w:rsid w:val="00235FFE"/>
    <w:rsid w:val="00240916"/>
    <w:rsid w:val="00240EE5"/>
    <w:rsid w:val="00244048"/>
    <w:rsid w:val="00244295"/>
    <w:rsid w:val="002455F2"/>
    <w:rsid w:val="00250B36"/>
    <w:rsid w:val="0025250D"/>
    <w:rsid w:val="0025250E"/>
    <w:rsid w:val="00256E54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B7A"/>
    <w:rsid w:val="00297DAD"/>
    <w:rsid w:val="002A2D3E"/>
    <w:rsid w:val="002B1DC0"/>
    <w:rsid w:val="002B3BAE"/>
    <w:rsid w:val="002B4A92"/>
    <w:rsid w:val="002C2B84"/>
    <w:rsid w:val="002C3F54"/>
    <w:rsid w:val="002C4491"/>
    <w:rsid w:val="002C5799"/>
    <w:rsid w:val="002C6CB1"/>
    <w:rsid w:val="002D0600"/>
    <w:rsid w:val="002D50F7"/>
    <w:rsid w:val="002D57C3"/>
    <w:rsid w:val="002E2C1E"/>
    <w:rsid w:val="002E45AF"/>
    <w:rsid w:val="002F0867"/>
    <w:rsid w:val="002F23EB"/>
    <w:rsid w:val="002F2C2E"/>
    <w:rsid w:val="00301447"/>
    <w:rsid w:val="003033A1"/>
    <w:rsid w:val="00306AFD"/>
    <w:rsid w:val="00310BF3"/>
    <w:rsid w:val="00314A45"/>
    <w:rsid w:val="00320C12"/>
    <w:rsid w:val="00330842"/>
    <w:rsid w:val="0034384D"/>
    <w:rsid w:val="0035395C"/>
    <w:rsid w:val="00353B45"/>
    <w:rsid w:val="00356D0E"/>
    <w:rsid w:val="00363B32"/>
    <w:rsid w:val="00364996"/>
    <w:rsid w:val="0036752B"/>
    <w:rsid w:val="00367FD9"/>
    <w:rsid w:val="0037207B"/>
    <w:rsid w:val="00373117"/>
    <w:rsid w:val="00374CC7"/>
    <w:rsid w:val="00374E81"/>
    <w:rsid w:val="003775E4"/>
    <w:rsid w:val="00383CAD"/>
    <w:rsid w:val="0039328F"/>
    <w:rsid w:val="003934F8"/>
    <w:rsid w:val="00395391"/>
    <w:rsid w:val="00395A21"/>
    <w:rsid w:val="003A1728"/>
    <w:rsid w:val="003A77CE"/>
    <w:rsid w:val="003B3822"/>
    <w:rsid w:val="003B3D56"/>
    <w:rsid w:val="003B546F"/>
    <w:rsid w:val="003B7929"/>
    <w:rsid w:val="003C3CEB"/>
    <w:rsid w:val="003D0032"/>
    <w:rsid w:val="003D4219"/>
    <w:rsid w:val="003D5381"/>
    <w:rsid w:val="003D7D41"/>
    <w:rsid w:val="003F3CB0"/>
    <w:rsid w:val="003F3D65"/>
    <w:rsid w:val="003F6F0C"/>
    <w:rsid w:val="00401D09"/>
    <w:rsid w:val="00410335"/>
    <w:rsid w:val="0041092E"/>
    <w:rsid w:val="00410A26"/>
    <w:rsid w:val="004255F7"/>
    <w:rsid w:val="0043208D"/>
    <w:rsid w:val="00442BBD"/>
    <w:rsid w:val="00450400"/>
    <w:rsid w:val="00451D26"/>
    <w:rsid w:val="004553B2"/>
    <w:rsid w:val="00455F4B"/>
    <w:rsid w:val="0046248F"/>
    <w:rsid w:val="00465381"/>
    <w:rsid w:val="00466D30"/>
    <w:rsid w:val="00472328"/>
    <w:rsid w:val="00473FC0"/>
    <w:rsid w:val="00476D68"/>
    <w:rsid w:val="00476E07"/>
    <w:rsid w:val="00483BEB"/>
    <w:rsid w:val="0048517D"/>
    <w:rsid w:val="00486F21"/>
    <w:rsid w:val="00490701"/>
    <w:rsid w:val="00490918"/>
    <w:rsid w:val="00490E41"/>
    <w:rsid w:val="004935A2"/>
    <w:rsid w:val="00496F6B"/>
    <w:rsid w:val="004A183E"/>
    <w:rsid w:val="004A1B93"/>
    <w:rsid w:val="004A3317"/>
    <w:rsid w:val="004A4094"/>
    <w:rsid w:val="004A7973"/>
    <w:rsid w:val="004B1B87"/>
    <w:rsid w:val="004C12C4"/>
    <w:rsid w:val="004C1FB8"/>
    <w:rsid w:val="004C2016"/>
    <w:rsid w:val="004C24BB"/>
    <w:rsid w:val="004D0771"/>
    <w:rsid w:val="004D546B"/>
    <w:rsid w:val="004F27B9"/>
    <w:rsid w:val="004F2E01"/>
    <w:rsid w:val="004F7557"/>
    <w:rsid w:val="0050539E"/>
    <w:rsid w:val="0051165B"/>
    <w:rsid w:val="00512C91"/>
    <w:rsid w:val="00514BE3"/>
    <w:rsid w:val="00521D5F"/>
    <w:rsid w:val="00522ECE"/>
    <w:rsid w:val="00530C64"/>
    <w:rsid w:val="00531D63"/>
    <w:rsid w:val="0054159D"/>
    <w:rsid w:val="0054188B"/>
    <w:rsid w:val="00542208"/>
    <w:rsid w:val="005463CC"/>
    <w:rsid w:val="00547F32"/>
    <w:rsid w:val="0055142B"/>
    <w:rsid w:val="005603DA"/>
    <w:rsid w:val="00566783"/>
    <w:rsid w:val="00566CA1"/>
    <w:rsid w:val="00572753"/>
    <w:rsid w:val="00573FA5"/>
    <w:rsid w:val="00574E20"/>
    <w:rsid w:val="00575D33"/>
    <w:rsid w:val="00575F62"/>
    <w:rsid w:val="00584A89"/>
    <w:rsid w:val="00584BEB"/>
    <w:rsid w:val="00586F33"/>
    <w:rsid w:val="00595B76"/>
    <w:rsid w:val="00597A66"/>
    <w:rsid w:val="005A3AD7"/>
    <w:rsid w:val="005A4BB7"/>
    <w:rsid w:val="005B0C0E"/>
    <w:rsid w:val="005B152E"/>
    <w:rsid w:val="005D1B76"/>
    <w:rsid w:val="005D4D30"/>
    <w:rsid w:val="005D65D3"/>
    <w:rsid w:val="005E33F6"/>
    <w:rsid w:val="005E495F"/>
    <w:rsid w:val="005E6C72"/>
    <w:rsid w:val="005F2AE2"/>
    <w:rsid w:val="005F46C1"/>
    <w:rsid w:val="006078A5"/>
    <w:rsid w:val="00612F7B"/>
    <w:rsid w:val="00616857"/>
    <w:rsid w:val="00617DEA"/>
    <w:rsid w:val="00621C24"/>
    <w:rsid w:val="00625DC2"/>
    <w:rsid w:val="00627237"/>
    <w:rsid w:val="006340A9"/>
    <w:rsid w:val="00643DBA"/>
    <w:rsid w:val="00643F38"/>
    <w:rsid w:val="00644363"/>
    <w:rsid w:val="00647B18"/>
    <w:rsid w:val="00653107"/>
    <w:rsid w:val="00664B53"/>
    <w:rsid w:val="006709A3"/>
    <w:rsid w:val="006724F9"/>
    <w:rsid w:val="00675E8A"/>
    <w:rsid w:val="00682726"/>
    <w:rsid w:val="00685C3E"/>
    <w:rsid w:val="00687B77"/>
    <w:rsid w:val="006927B0"/>
    <w:rsid w:val="00693D7A"/>
    <w:rsid w:val="00694E3F"/>
    <w:rsid w:val="006954F6"/>
    <w:rsid w:val="006A0AE5"/>
    <w:rsid w:val="006A293D"/>
    <w:rsid w:val="006A2DD2"/>
    <w:rsid w:val="006A4A71"/>
    <w:rsid w:val="006B0079"/>
    <w:rsid w:val="006B0EC9"/>
    <w:rsid w:val="006B2471"/>
    <w:rsid w:val="006B5A6B"/>
    <w:rsid w:val="006B5EAF"/>
    <w:rsid w:val="006C2DCD"/>
    <w:rsid w:val="006C36C8"/>
    <w:rsid w:val="006C42C3"/>
    <w:rsid w:val="006C5D26"/>
    <w:rsid w:val="006D1F87"/>
    <w:rsid w:val="006D24DC"/>
    <w:rsid w:val="006D3B1F"/>
    <w:rsid w:val="006E12FE"/>
    <w:rsid w:val="006E30CC"/>
    <w:rsid w:val="006E4CC6"/>
    <w:rsid w:val="006E621C"/>
    <w:rsid w:val="006E708E"/>
    <w:rsid w:val="006E7B75"/>
    <w:rsid w:val="006F2AAF"/>
    <w:rsid w:val="006F7352"/>
    <w:rsid w:val="006F7711"/>
    <w:rsid w:val="0070018B"/>
    <w:rsid w:val="00700605"/>
    <w:rsid w:val="00705806"/>
    <w:rsid w:val="007070A9"/>
    <w:rsid w:val="00707CDD"/>
    <w:rsid w:val="0072570B"/>
    <w:rsid w:val="0072647A"/>
    <w:rsid w:val="00732863"/>
    <w:rsid w:val="00746032"/>
    <w:rsid w:val="00752239"/>
    <w:rsid w:val="00756C54"/>
    <w:rsid w:val="00757876"/>
    <w:rsid w:val="00760C36"/>
    <w:rsid w:val="00782F85"/>
    <w:rsid w:val="007842A2"/>
    <w:rsid w:val="00787518"/>
    <w:rsid w:val="00792FD4"/>
    <w:rsid w:val="00793086"/>
    <w:rsid w:val="00797028"/>
    <w:rsid w:val="00797409"/>
    <w:rsid w:val="007A1EEE"/>
    <w:rsid w:val="007A593D"/>
    <w:rsid w:val="007A5956"/>
    <w:rsid w:val="007B3A40"/>
    <w:rsid w:val="007B4684"/>
    <w:rsid w:val="007B6CBD"/>
    <w:rsid w:val="007B795A"/>
    <w:rsid w:val="007D0655"/>
    <w:rsid w:val="007D3AD2"/>
    <w:rsid w:val="007D57AF"/>
    <w:rsid w:val="007D7046"/>
    <w:rsid w:val="007E13D8"/>
    <w:rsid w:val="007E72E0"/>
    <w:rsid w:val="007E76EB"/>
    <w:rsid w:val="007F322D"/>
    <w:rsid w:val="007F46C1"/>
    <w:rsid w:val="007F645B"/>
    <w:rsid w:val="007F6ACC"/>
    <w:rsid w:val="007F71DE"/>
    <w:rsid w:val="007F7F8E"/>
    <w:rsid w:val="008004E0"/>
    <w:rsid w:val="008011EB"/>
    <w:rsid w:val="00805848"/>
    <w:rsid w:val="0081153F"/>
    <w:rsid w:val="00812A11"/>
    <w:rsid w:val="00814D66"/>
    <w:rsid w:val="00816BD9"/>
    <w:rsid w:val="00816D52"/>
    <w:rsid w:val="008204F1"/>
    <w:rsid w:val="0082097F"/>
    <w:rsid w:val="008248DB"/>
    <w:rsid w:val="00826EC5"/>
    <w:rsid w:val="00831FB4"/>
    <w:rsid w:val="00832AD8"/>
    <w:rsid w:val="0083709B"/>
    <w:rsid w:val="008444BC"/>
    <w:rsid w:val="00844C48"/>
    <w:rsid w:val="00851595"/>
    <w:rsid w:val="00852C1B"/>
    <w:rsid w:val="00852E36"/>
    <w:rsid w:val="00856A5C"/>
    <w:rsid w:val="00860638"/>
    <w:rsid w:val="0086551B"/>
    <w:rsid w:val="0086613C"/>
    <w:rsid w:val="00867A3D"/>
    <w:rsid w:val="00871D15"/>
    <w:rsid w:val="00871E66"/>
    <w:rsid w:val="00873183"/>
    <w:rsid w:val="00874685"/>
    <w:rsid w:val="00885605"/>
    <w:rsid w:val="00885ACF"/>
    <w:rsid w:val="008876B7"/>
    <w:rsid w:val="00887D9C"/>
    <w:rsid w:val="0089264E"/>
    <w:rsid w:val="00892D9C"/>
    <w:rsid w:val="008953CC"/>
    <w:rsid w:val="008A1A8A"/>
    <w:rsid w:val="008A32F0"/>
    <w:rsid w:val="008A67F3"/>
    <w:rsid w:val="008A6A88"/>
    <w:rsid w:val="008A7A4B"/>
    <w:rsid w:val="008B0E97"/>
    <w:rsid w:val="008B18AC"/>
    <w:rsid w:val="008B1995"/>
    <w:rsid w:val="008B4BD4"/>
    <w:rsid w:val="008C0BAE"/>
    <w:rsid w:val="008C0D16"/>
    <w:rsid w:val="008C7165"/>
    <w:rsid w:val="008D0EF3"/>
    <w:rsid w:val="008D19FD"/>
    <w:rsid w:val="008D2060"/>
    <w:rsid w:val="008D3278"/>
    <w:rsid w:val="008E0253"/>
    <w:rsid w:val="008E04FB"/>
    <w:rsid w:val="008E4A63"/>
    <w:rsid w:val="008E4E93"/>
    <w:rsid w:val="008E713B"/>
    <w:rsid w:val="008F6065"/>
    <w:rsid w:val="008F7964"/>
    <w:rsid w:val="00901B16"/>
    <w:rsid w:val="00910486"/>
    <w:rsid w:val="00911CCA"/>
    <w:rsid w:val="00914E68"/>
    <w:rsid w:val="009153A2"/>
    <w:rsid w:val="0092027F"/>
    <w:rsid w:val="009240E3"/>
    <w:rsid w:val="00927548"/>
    <w:rsid w:val="00930B0F"/>
    <w:rsid w:val="00943FEB"/>
    <w:rsid w:val="00945F78"/>
    <w:rsid w:val="0094672B"/>
    <w:rsid w:val="00946B25"/>
    <w:rsid w:val="00955BE7"/>
    <w:rsid w:val="00956A08"/>
    <w:rsid w:val="00957898"/>
    <w:rsid w:val="00961236"/>
    <w:rsid w:val="009657C3"/>
    <w:rsid w:val="009675BB"/>
    <w:rsid w:val="009760C6"/>
    <w:rsid w:val="009772BC"/>
    <w:rsid w:val="00981199"/>
    <w:rsid w:val="00982C9B"/>
    <w:rsid w:val="00984EC9"/>
    <w:rsid w:val="009872D1"/>
    <w:rsid w:val="009978E0"/>
    <w:rsid w:val="009A2C54"/>
    <w:rsid w:val="009A321C"/>
    <w:rsid w:val="009A4898"/>
    <w:rsid w:val="009A7C0A"/>
    <w:rsid w:val="009C5FC8"/>
    <w:rsid w:val="009C72E3"/>
    <w:rsid w:val="009C77C4"/>
    <w:rsid w:val="009D0781"/>
    <w:rsid w:val="009D3AD9"/>
    <w:rsid w:val="009D4080"/>
    <w:rsid w:val="009E29AD"/>
    <w:rsid w:val="009E503A"/>
    <w:rsid w:val="009E5F51"/>
    <w:rsid w:val="009F06B7"/>
    <w:rsid w:val="009F2325"/>
    <w:rsid w:val="00A05BEE"/>
    <w:rsid w:val="00A06982"/>
    <w:rsid w:val="00A06A2A"/>
    <w:rsid w:val="00A07022"/>
    <w:rsid w:val="00A12E5C"/>
    <w:rsid w:val="00A13827"/>
    <w:rsid w:val="00A160B7"/>
    <w:rsid w:val="00A16919"/>
    <w:rsid w:val="00A21E2A"/>
    <w:rsid w:val="00A2202B"/>
    <w:rsid w:val="00A25DD2"/>
    <w:rsid w:val="00A27BA4"/>
    <w:rsid w:val="00A307F8"/>
    <w:rsid w:val="00A458CE"/>
    <w:rsid w:val="00A475EA"/>
    <w:rsid w:val="00A47B37"/>
    <w:rsid w:val="00A50D91"/>
    <w:rsid w:val="00A524D3"/>
    <w:rsid w:val="00A533CE"/>
    <w:rsid w:val="00A55E49"/>
    <w:rsid w:val="00A5687B"/>
    <w:rsid w:val="00A63B06"/>
    <w:rsid w:val="00A743AC"/>
    <w:rsid w:val="00A920E2"/>
    <w:rsid w:val="00A92374"/>
    <w:rsid w:val="00A93CB8"/>
    <w:rsid w:val="00A94ED2"/>
    <w:rsid w:val="00A97D34"/>
    <w:rsid w:val="00AA09A5"/>
    <w:rsid w:val="00AA43E2"/>
    <w:rsid w:val="00AA76C3"/>
    <w:rsid w:val="00AB0E9A"/>
    <w:rsid w:val="00AB47FA"/>
    <w:rsid w:val="00AB5FC2"/>
    <w:rsid w:val="00AC27C9"/>
    <w:rsid w:val="00AC2E25"/>
    <w:rsid w:val="00AC5EF0"/>
    <w:rsid w:val="00AD02B4"/>
    <w:rsid w:val="00AD6499"/>
    <w:rsid w:val="00AE2C64"/>
    <w:rsid w:val="00AE3077"/>
    <w:rsid w:val="00AE7C63"/>
    <w:rsid w:val="00AF2A42"/>
    <w:rsid w:val="00B05729"/>
    <w:rsid w:val="00B05E21"/>
    <w:rsid w:val="00B07688"/>
    <w:rsid w:val="00B07E38"/>
    <w:rsid w:val="00B10506"/>
    <w:rsid w:val="00B10F1C"/>
    <w:rsid w:val="00B1760C"/>
    <w:rsid w:val="00B17DA5"/>
    <w:rsid w:val="00B24EB3"/>
    <w:rsid w:val="00B31522"/>
    <w:rsid w:val="00B34F55"/>
    <w:rsid w:val="00B45BF3"/>
    <w:rsid w:val="00B607FC"/>
    <w:rsid w:val="00B62068"/>
    <w:rsid w:val="00B6766D"/>
    <w:rsid w:val="00B74BA1"/>
    <w:rsid w:val="00B766AB"/>
    <w:rsid w:val="00B847D0"/>
    <w:rsid w:val="00B909F7"/>
    <w:rsid w:val="00B9230D"/>
    <w:rsid w:val="00B93EC8"/>
    <w:rsid w:val="00BA48E6"/>
    <w:rsid w:val="00BA7203"/>
    <w:rsid w:val="00BA752A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BF4AF6"/>
    <w:rsid w:val="00BF5FE5"/>
    <w:rsid w:val="00BF7771"/>
    <w:rsid w:val="00C04171"/>
    <w:rsid w:val="00C04E71"/>
    <w:rsid w:val="00C061FE"/>
    <w:rsid w:val="00C13A96"/>
    <w:rsid w:val="00C14DE2"/>
    <w:rsid w:val="00C27296"/>
    <w:rsid w:val="00C27C56"/>
    <w:rsid w:val="00C35DA8"/>
    <w:rsid w:val="00C36BA5"/>
    <w:rsid w:val="00C409B0"/>
    <w:rsid w:val="00C51A9A"/>
    <w:rsid w:val="00C55955"/>
    <w:rsid w:val="00C61E5B"/>
    <w:rsid w:val="00C6255E"/>
    <w:rsid w:val="00C62717"/>
    <w:rsid w:val="00C64B57"/>
    <w:rsid w:val="00C67C72"/>
    <w:rsid w:val="00C74C57"/>
    <w:rsid w:val="00C757D4"/>
    <w:rsid w:val="00C772B4"/>
    <w:rsid w:val="00C82027"/>
    <w:rsid w:val="00C8678C"/>
    <w:rsid w:val="00C9083F"/>
    <w:rsid w:val="00C9276B"/>
    <w:rsid w:val="00C957A5"/>
    <w:rsid w:val="00CA0C2B"/>
    <w:rsid w:val="00CA36C2"/>
    <w:rsid w:val="00CB022B"/>
    <w:rsid w:val="00CB1D5C"/>
    <w:rsid w:val="00CB2133"/>
    <w:rsid w:val="00CB2ECA"/>
    <w:rsid w:val="00CB3710"/>
    <w:rsid w:val="00CB4A25"/>
    <w:rsid w:val="00CB5FC4"/>
    <w:rsid w:val="00CC2ADF"/>
    <w:rsid w:val="00CC58EF"/>
    <w:rsid w:val="00CD4E73"/>
    <w:rsid w:val="00CE294C"/>
    <w:rsid w:val="00CF12E0"/>
    <w:rsid w:val="00D02D97"/>
    <w:rsid w:val="00D02DB6"/>
    <w:rsid w:val="00D032D5"/>
    <w:rsid w:val="00D0593E"/>
    <w:rsid w:val="00D065E5"/>
    <w:rsid w:val="00D125C4"/>
    <w:rsid w:val="00D2097D"/>
    <w:rsid w:val="00D2278F"/>
    <w:rsid w:val="00D24CDA"/>
    <w:rsid w:val="00D3270F"/>
    <w:rsid w:val="00D40F53"/>
    <w:rsid w:val="00D41211"/>
    <w:rsid w:val="00D54BFD"/>
    <w:rsid w:val="00D552F0"/>
    <w:rsid w:val="00D56135"/>
    <w:rsid w:val="00D621CE"/>
    <w:rsid w:val="00D64FD2"/>
    <w:rsid w:val="00D65185"/>
    <w:rsid w:val="00D7481D"/>
    <w:rsid w:val="00D762DF"/>
    <w:rsid w:val="00D7773E"/>
    <w:rsid w:val="00D80B48"/>
    <w:rsid w:val="00D82252"/>
    <w:rsid w:val="00D82E5F"/>
    <w:rsid w:val="00D83976"/>
    <w:rsid w:val="00D84F90"/>
    <w:rsid w:val="00D92128"/>
    <w:rsid w:val="00D93A5C"/>
    <w:rsid w:val="00DA43F4"/>
    <w:rsid w:val="00DA7EDA"/>
    <w:rsid w:val="00DB41EC"/>
    <w:rsid w:val="00DB600F"/>
    <w:rsid w:val="00DC171A"/>
    <w:rsid w:val="00DC1884"/>
    <w:rsid w:val="00DC5500"/>
    <w:rsid w:val="00DD1107"/>
    <w:rsid w:val="00DD1E91"/>
    <w:rsid w:val="00DD4A32"/>
    <w:rsid w:val="00DD5C1B"/>
    <w:rsid w:val="00DD5D65"/>
    <w:rsid w:val="00DD715A"/>
    <w:rsid w:val="00DE0529"/>
    <w:rsid w:val="00DF0662"/>
    <w:rsid w:val="00DF151A"/>
    <w:rsid w:val="00DF3E9D"/>
    <w:rsid w:val="00DF7A0D"/>
    <w:rsid w:val="00E02595"/>
    <w:rsid w:val="00E0260F"/>
    <w:rsid w:val="00E02FA3"/>
    <w:rsid w:val="00E03756"/>
    <w:rsid w:val="00E043D0"/>
    <w:rsid w:val="00E0538E"/>
    <w:rsid w:val="00E120C0"/>
    <w:rsid w:val="00E13630"/>
    <w:rsid w:val="00E13DD9"/>
    <w:rsid w:val="00E1725A"/>
    <w:rsid w:val="00E204B2"/>
    <w:rsid w:val="00E2773B"/>
    <w:rsid w:val="00E30F5C"/>
    <w:rsid w:val="00E3347C"/>
    <w:rsid w:val="00E43E25"/>
    <w:rsid w:val="00E500B0"/>
    <w:rsid w:val="00E5020E"/>
    <w:rsid w:val="00E51768"/>
    <w:rsid w:val="00E5558A"/>
    <w:rsid w:val="00E57D67"/>
    <w:rsid w:val="00E7129A"/>
    <w:rsid w:val="00E71D25"/>
    <w:rsid w:val="00E734E2"/>
    <w:rsid w:val="00E7641B"/>
    <w:rsid w:val="00E777A0"/>
    <w:rsid w:val="00E817CE"/>
    <w:rsid w:val="00E82888"/>
    <w:rsid w:val="00E828A0"/>
    <w:rsid w:val="00E82B68"/>
    <w:rsid w:val="00E831DB"/>
    <w:rsid w:val="00E85102"/>
    <w:rsid w:val="00E92282"/>
    <w:rsid w:val="00E93286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30F7"/>
    <w:rsid w:val="00EC7143"/>
    <w:rsid w:val="00ED1557"/>
    <w:rsid w:val="00ED47CB"/>
    <w:rsid w:val="00ED482F"/>
    <w:rsid w:val="00ED4CB0"/>
    <w:rsid w:val="00ED6809"/>
    <w:rsid w:val="00ED6D71"/>
    <w:rsid w:val="00EE3963"/>
    <w:rsid w:val="00EE4916"/>
    <w:rsid w:val="00EF0254"/>
    <w:rsid w:val="00EF1A9D"/>
    <w:rsid w:val="00EF24FF"/>
    <w:rsid w:val="00EF3F84"/>
    <w:rsid w:val="00EF4CEE"/>
    <w:rsid w:val="00EF51B5"/>
    <w:rsid w:val="00F00D7F"/>
    <w:rsid w:val="00F07B51"/>
    <w:rsid w:val="00F129D2"/>
    <w:rsid w:val="00F132B9"/>
    <w:rsid w:val="00F13490"/>
    <w:rsid w:val="00F20876"/>
    <w:rsid w:val="00F23285"/>
    <w:rsid w:val="00F27366"/>
    <w:rsid w:val="00F27496"/>
    <w:rsid w:val="00F35327"/>
    <w:rsid w:val="00F36883"/>
    <w:rsid w:val="00F4073F"/>
    <w:rsid w:val="00F41E11"/>
    <w:rsid w:val="00F549CF"/>
    <w:rsid w:val="00F612A9"/>
    <w:rsid w:val="00F61EFA"/>
    <w:rsid w:val="00F7370C"/>
    <w:rsid w:val="00F75C64"/>
    <w:rsid w:val="00F778AA"/>
    <w:rsid w:val="00F7798A"/>
    <w:rsid w:val="00F84799"/>
    <w:rsid w:val="00F92DD0"/>
    <w:rsid w:val="00F97CAF"/>
    <w:rsid w:val="00FA3F7D"/>
    <w:rsid w:val="00FB72FA"/>
    <w:rsid w:val="00FC0260"/>
    <w:rsid w:val="00FC0BBA"/>
    <w:rsid w:val="00FC2072"/>
    <w:rsid w:val="00FC26E0"/>
    <w:rsid w:val="00FC2747"/>
    <w:rsid w:val="00FC5966"/>
    <w:rsid w:val="00FD0D5A"/>
    <w:rsid w:val="00FD136F"/>
    <w:rsid w:val="00FD16DF"/>
    <w:rsid w:val="00FD29CC"/>
    <w:rsid w:val="00FD4282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135"/>
    <w:rPr>
      <w:color w:val="808080"/>
    </w:rPr>
  </w:style>
  <w:style w:type="paragraph" w:customStyle="1" w:styleId="Default">
    <w:name w:val="Default"/>
    <w:rsid w:val="00627237"/>
    <w:pPr>
      <w:autoSpaceDE w:val="0"/>
      <w:autoSpaceDN w:val="0"/>
      <w:adjustRightInd w:val="0"/>
    </w:pPr>
    <w:rPr>
      <w:rFonts w:cs="Arial"/>
      <w:color w:val="000000"/>
    </w:rPr>
  </w:style>
  <w:style w:type="paragraph" w:styleId="NormalWeb">
    <w:name w:val="Normal (Web)"/>
    <w:basedOn w:val="Normal"/>
    <w:uiPriority w:val="99"/>
    <w:unhideWhenUsed/>
    <w:rsid w:val="003308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customStyle="1" w:styleId="Pa3">
    <w:name w:val="Pa3"/>
    <w:basedOn w:val="Default"/>
    <w:next w:val="Default"/>
    <w:uiPriority w:val="99"/>
    <w:rsid w:val="00DD5C1B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isabilitygateway.gov.au/good-practice-guidelin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iap2.org.au/resources/spectru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hc.wa.gov.au/about-us/stakeholder-engagement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nclusionaustralia.org.au/wp-content/uploads/2023/04/A-Guide-to-Planning-Inclusive-Consultations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acoss.org.au/library/lived-experience-framework-principles-practices-lived-experience-partnership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5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3733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2024-12-24T06:45:00Z</dcterms:created>
  <dcterms:modified xsi:type="dcterms:W3CDTF">2025-03-31T01:57:00Z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27891ca7,3807088,2427e5ed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2025-03-05T05:39:47Z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41dd4c01-f432-4ce5-a4b1-067357ff555f</vt:lpwstr>
  </property>
  <property fmtid="{D5CDD505-2E9C-101B-9397-08002B2CF9AE}" pid="23" name="MSIP_Label_01af4abc-7e38-4153-bace-cc7e19e3a22a_ContentBits">
    <vt:lpwstr>1</vt:lpwstr>
  </property>
</Properties>
</file>