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70A" w:rsidRPr="000179CF" w:rsidRDefault="00A37C1A">
      <w:pPr>
        <w:ind w:left="-5"/>
        <w:rPr>
          <w:b/>
        </w:rPr>
      </w:pPr>
      <w:bookmarkStart w:id="0" w:name="_GoBack"/>
      <w:bookmarkEnd w:id="0"/>
      <w:r w:rsidRPr="000179CF">
        <w:rPr>
          <w:b/>
        </w:rPr>
        <w:t xml:space="preserve">BEFORE THE WARDEN </w:t>
      </w:r>
    </w:p>
    <w:p w:rsidR="00DE370A" w:rsidRPr="000179CF" w:rsidRDefault="00A37C1A">
      <w:pPr>
        <w:ind w:left="-5"/>
        <w:rPr>
          <w:b/>
        </w:rPr>
      </w:pPr>
      <w:r w:rsidRPr="000179CF">
        <w:rPr>
          <w:b/>
        </w:rPr>
        <w:t xml:space="preserve">AT </w:t>
      </w:r>
      <w:r w:rsidR="00BE5C06">
        <w:rPr>
          <w:b/>
        </w:rPr>
        <w:t>[LOCATION]</w:t>
      </w:r>
      <w:r w:rsidRPr="000179CF">
        <w:rPr>
          <w:b/>
        </w:rPr>
        <w:t xml:space="preserve"> </w:t>
      </w:r>
    </w:p>
    <w:p w:rsidR="00DE370A" w:rsidRPr="000179CF" w:rsidRDefault="00A37C1A">
      <w:pPr>
        <w:tabs>
          <w:tab w:val="right" w:pos="8647"/>
        </w:tabs>
        <w:ind w:left="-15" w:firstLine="0"/>
        <w:rPr>
          <w:b/>
        </w:rPr>
      </w:pPr>
      <w:r w:rsidRPr="000179CF">
        <w:rPr>
          <w:b/>
        </w:rPr>
        <w:t xml:space="preserve"> </w:t>
      </w:r>
      <w:r w:rsidRPr="000179CF">
        <w:rPr>
          <w:b/>
        </w:rPr>
        <w:tab/>
        <w:t xml:space="preserve">Application   </w:t>
      </w:r>
    </w:p>
    <w:p w:rsidR="00980DA7" w:rsidRDefault="00A37C1A">
      <w:pPr>
        <w:tabs>
          <w:tab w:val="right" w:pos="8647"/>
        </w:tabs>
        <w:ind w:left="-15" w:firstLine="0"/>
        <w:rPr>
          <w:b/>
        </w:rPr>
      </w:pPr>
      <w:r w:rsidRPr="000179CF">
        <w:rPr>
          <w:b/>
        </w:rPr>
        <w:t xml:space="preserve"> </w:t>
      </w:r>
      <w:r w:rsidRPr="000179CF">
        <w:rPr>
          <w:b/>
        </w:rPr>
        <w:tab/>
        <w:t xml:space="preserve">Objection </w:t>
      </w:r>
    </w:p>
    <w:p w:rsidR="00980DA7" w:rsidRDefault="00980DA7">
      <w:pPr>
        <w:tabs>
          <w:tab w:val="right" w:pos="8647"/>
        </w:tabs>
        <w:ind w:left="-15" w:firstLine="0"/>
        <w:rPr>
          <w:b/>
        </w:rPr>
      </w:pPr>
      <w:r>
        <w:rPr>
          <w:b/>
        </w:rPr>
        <w:tab/>
        <w:t>Forfeiture</w:t>
      </w:r>
    </w:p>
    <w:p w:rsidR="00DE370A" w:rsidRPr="000179CF" w:rsidRDefault="00980DA7">
      <w:pPr>
        <w:tabs>
          <w:tab w:val="right" w:pos="8647"/>
        </w:tabs>
        <w:ind w:left="-15" w:firstLine="0"/>
        <w:rPr>
          <w:b/>
        </w:rPr>
      </w:pPr>
      <w:r>
        <w:rPr>
          <w:b/>
        </w:rPr>
        <w:tab/>
        <w:t>Plaint</w:t>
      </w:r>
      <w:r w:rsidR="00A37C1A" w:rsidRPr="000179CF">
        <w:rPr>
          <w:b/>
        </w:rPr>
        <w:t xml:space="preserve"> </w:t>
      </w:r>
    </w:p>
    <w:p w:rsidR="00DE370A" w:rsidRPr="000179CF" w:rsidRDefault="00A37C1A">
      <w:pPr>
        <w:spacing w:after="0" w:line="259" w:lineRule="auto"/>
        <w:ind w:left="0" w:firstLine="0"/>
        <w:rPr>
          <w:b/>
        </w:rPr>
      </w:pPr>
      <w:r w:rsidRPr="000179CF">
        <w:rPr>
          <w:b/>
        </w:rPr>
        <w:t xml:space="preserve"> </w:t>
      </w:r>
    </w:p>
    <w:p w:rsidR="00DE370A" w:rsidRPr="000179CF" w:rsidRDefault="00A37C1A">
      <w:pPr>
        <w:ind w:left="-5"/>
        <w:rPr>
          <w:b/>
        </w:rPr>
      </w:pPr>
      <w:r w:rsidRPr="000179CF">
        <w:rPr>
          <w:b/>
        </w:rPr>
        <w:t xml:space="preserve">BETWEEN: </w:t>
      </w:r>
    </w:p>
    <w:p w:rsidR="00DE370A" w:rsidRDefault="00A37C1A">
      <w:pPr>
        <w:spacing w:after="28" w:line="259" w:lineRule="auto"/>
        <w:ind w:left="0" w:firstLine="0"/>
      </w:pPr>
      <w:r>
        <w:t xml:space="preserve"> </w:t>
      </w:r>
    </w:p>
    <w:p w:rsidR="000179CF" w:rsidRPr="00BE5C06" w:rsidRDefault="00BE5C06" w:rsidP="000179CF">
      <w:pPr>
        <w:spacing w:after="0" w:line="259" w:lineRule="auto"/>
        <w:ind w:left="-5"/>
        <w:rPr>
          <w:b/>
        </w:rPr>
      </w:pPr>
      <w:r>
        <w:rPr>
          <w:b/>
        </w:rPr>
        <w:t xml:space="preserve">XXXXXXXXXXX </w:t>
      </w:r>
      <w:r w:rsidR="000179CF">
        <w:rPr>
          <w:b/>
        </w:rPr>
        <w:tab/>
      </w:r>
      <w:r w:rsidR="000179CF">
        <w:rPr>
          <w:b/>
        </w:rPr>
        <w:tab/>
      </w:r>
      <w:r w:rsidR="000179CF">
        <w:rPr>
          <w:b/>
        </w:rPr>
        <w:tab/>
      </w:r>
      <w:r w:rsidR="000179CF">
        <w:rPr>
          <w:b/>
        </w:rPr>
        <w:tab/>
      </w:r>
      <w:r w:rsidR="000179CF">
        <w:rPr>
          <w:b/>
        </w:rPr>
        <w:tab/>
      </w:r>
      <w:r w:rsidR="00A37C1A">
        <w:rPr>
          <w:b/>
        </w:rPr>
        <w:t xml:space="preserve"> </w:t>
      </w:r>
      <w:r w:rsidR="00A37C1A">
        <w:rPr>
          <w:b/>
        </w:rPr>
        <w:tab/>
      </w:r>
      <w:r w:rsidR="000179CF">
        <w:rPr>
          <w:b/>
        </w:rPr>
        <w:t xml:space="preserve">     </w:t>
      </w:r>
      <w:r>
        <w:rPr>
          <w:b/>
        </w:rPr>
        <w:t xml:space="preserve">           </w:t>
      </w:r>
      <w:r w:rsidR="000179CF" w:rsidRPr="00BE5C06">
        <w:rPr>
          <w:b/>
        </w:rPr>
        <w:t>Applicant/Plaintiff</w:t>
      </w:r>
    </w:p>
    <w:p w:rsidR="000179CF" w:rsidRDefault="000179CF" w:rsidP="000179CF">
      <w:pPr>
        <w:spacing w:after="0" w:line="259" w:lineRule="auto"/>
        <w:ind w:left="-5"/>
      </w:pPr>
    </w:p>
    <w:p w:rsidR="00DE370A" w:rsidRPr="000179CF" w:rsidRDefault="000179CF" w:rsidP="000179CF">
      <w:pPr>
        <w:spacing w:after="0" w:line="259" w:lineRule="auto"/>
        <w:ind w:left="-5"/>
        <w:rPr>
          <w:b/>
        </w:rPr>
      </w:pPr>
      <w:r w:rsidRPr="000179CF">
        <w:rPr>
          <w:b/>
        </w:rPr>
        <w:t>-</w:t>
      </w:r>
      <w:r w:rsidR="00A37C1A" w:rsidRPr="000179CF">
        <w:rPr>
          <w:b/>
        </w:rPr>
        <w:t>and</w:t>
      </w:r>
      <w:r w:rsidRPr="000179CF">
        <w:rPr>
          <w:b/>
        </w:rPr>
        <w:t>-</w:t>
      </w:r>
      <w:r w:rsidR="00A37C1A" w:rsidRPr="000179CF">
        <w:rPr>
          <w:b/>
        </w:rPr>
        <w:t xml:space="preserve"> </w:t>
      </w:r>
    </w:p>
    <w:p w:rsidR="00DE370A" w:rsidRDefault="00A37C1A">
      <w:pPr>
        <w:spacing w:after="9" w:line="259" w:lineRule="auto"/>
        <w:ind w:left="0" w:firstLine="0"/>
      </w:pPr>
      <w:r>
        <w:t xml:space="preserve"> </w:t>
      </w:r>
    </w:p>
    <w:p w:rsidR="00DE370A" w:rsidRPr="00BE5C06" w:rsidRDefault="000179CF" w:rsidP="000179CF">
      <w:pPr>
        <w:tabs>
          <w:tab w:val="center" w:pos="8647"/>
        </w:tabs>
        <w:spacing w:after="0" w:line="259" w:lineRule="auto"/>
        <w:ind w:left="-15" w:firstLine="0"/>
        <w:rPr>
          <w:b/>
        </w:rPr>
      </w:pPr>
      <w:r>
        <w:rPr>
          <w:b/>
        </w:rPr>
        <w:t>XXXXXXXXXXXX</w:t>
      </w:r>
      <w:r w:rsidR="00A37C1A">
        <w:t xml:space="preserve"> </w:t>
      </w:r>
      <w:r>
        <w:tab/>
      </w:r>
      <w:r w:rsidR="00A37C1A" w:rsidRPr="00BE5C06">
        <w:rPr>
          <w:b/>
        </w:rPr>
        <w:t>Objector</w:t>
      </w:r>
      <w:r w:rsidRPr="00BE5C06">
        <w:rPr>
          <w:b/>
        </w:rPr>
        <w:t>/Respondent</w:t>
      </w:r>
      <w:r w:rsidR="00A37C1A" w:rsidRPr="00BE5C06">
        <w:rPr>
          <w:b/>
        </w:rPr>
        <w:t xml:space="preserve"> </w:t>
      </w:r>
    </w:p>
    <w:p w:rsidR="00DE370A" w:rsidRDefault="00A37C1A">
      <w:pPr>
        <w:spacing w:after="0" w:line="259" w:lineRule="auto"/>
        <w:ind w:left="0" w:firstLine="0"/>
      </w:pPr>
      <w:r>
        <w:t xml:space="preserve"> </w:t>
      </w:r>
    </w:p>
    <w:p w:rsidR="00DE370A" w:rsidRDefault="00A37C1A">
      <w:pPr>
        <w:spacing w:after="57" w:line="259" w:lineRule="auto"/>
        <w:ind w:left="-29" w:right="-29" w:firstLine="0"/>
      </w:pPr>
      <w:r>
        <w:rPr>
          <w:rFonts w:ascii="Calibri" w:eastAsia="Calibri" w:hAnsi="Calibri" w:cs="Calibri"/>
          <w:noProof/>
          <w:sz w:val="22"/>
        </w:rPr>
        <mc:AlternateContent>
          <mc:Choice Requires="wpg">
            <w:drawing>
              <wp:inline distT="0" distB="0" distL="0" distR="0">
                <wp:extent cx="5527548" cy="6096"/>
                <wp:effectExtent l="0" t="0" r="0" b="0"/>
                <wp:docPr id="755" name="Group 755"/>
                <wp:cNvGraphicFramePr/>
                <a:graphic xmlns:a="http://schemas.openxmlformats.org/drawingml/2006/main">
                  <a:graphicData uri="http://schemas.microsoft.com/office/word/2010/wordprocessingGroup">
                    <wpg:wgp>
                      <wpg:cNvGrpSpPr/>
                      <wpg:grpSpPr>
                        <a:xfrm>
                          <a:off x="0" y="0"/>
                          <a:ext cx="5527548" cy="6096"/>
                          <a:chOff x="0" y="0"/>
                          <a:chExt cx="5527548" cy="6096"/>
                        </a:xfrm>
                      </wpg:grpSpPr>
                      <wps:wsp>
                        <wps:cNvPr id="1441" name="Shape 1441"/>
                        <wps:cNvSpPr/>
                        <wps:spPr>
                          <a:xfrm>
                            <a:off x="0" y="0"/>
                            <a:ext cx="5527548" cy="9144"/>
                          </a:xfrm>
                          <a:custGeom>
                            <a:avLst/>
                            <a:gdLst/>
                            <a:ahLst/>
                            <a:cxnLst/>
                            <a:rect l="0" t="0" r="0" b="0"/>
                            <a:pathLst>
                              <a:path w="5527548" h="9144">
                                <a:moveTo>
                                  <a:pt x="0" y="0"/>
                                </a:moveTo>
                                <a:lnTo>
                                  <a:pt x="5527548" y="0"/>
                                </a:lnTo>
                                <a:lnTo>
                                  <a:pt x="5527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5" style="width:435.24pt;height:0.47998pt;mso-position-horizontal-relative:char;mso-position-vertical-relative:line" coordsize="55275,60">
                <v:shape id="Shape 1442" style="position:absolute;width:55275;height:91;left:0;top:0;" coordsize="5527548,9144" path="m0,0l5527548,0l5527548,9144l0,9144l0,0">
                  <v:stroke weight="0pt" endcap="flat" joinstyle="miter" miterlimit="10" on="false" color="#000000" opacity="0"/>
                  <v:fill on="true" color="#000000"/>
                </v:shape>
              </v:group>
            </w:pict>
          </mc:Fallback>
        </mc:AlternateContent>
      </w:r>
    </w:p>
    <w:p w:rsidR="00DE370A" w:rsidRDefault="00A37C1A">
      <w:pPr>
        <w:spacing w:after="0" w:line="259" w:lineRule="auto"/>
        <w:ind w:left="0" w:firstLine="0"/>
      </w:pPr>
      <w:r>
        <w:t xml:space="preserve"> </w:t>
      </w:r>
    </w:p>
    <w:p w:rsidR="00DE370A" w:rsidRDefault="00A37C1A">
      <w:pPr>
        <w:spacing w:after="0" w:line="259" w:lineRule="auto"/>
        <w:ind w:left="0" w:right="3" w:firstLine="0"/>
        <w:jc w:val="center"/>
      </w:pPr>
      <w:r>
        <w:rPr>
          <w:b/>
        </w:rPr>
        <w:t xml:space="preserve">MINUTE OF </w:t>
      </w:r>
      <w:r w:rsidR="0093609A">
        <w:rPr>
          <w:b/>
        </w:rPr>
        <w:t>PROGRAMMING DIRECTIONS BY CONSENT</w:t>
      </w:r>
      <w:r w:rsidR="001E713C">
        <w:rPr>
          <w:b/>
        </w:rPr>
        <w:t xml:space="preserve"> </w:t>
      </w:r>
      <w:r w:rsidR="000179CF">
        <w:rPr>
          <w:b/>
        </w:rPr>
        <w:t xml:space="preserve"> </w:t>
      </w:r>
      <w:r>
        <w:rPr>
          <w:b/>
        </w:rPr>
        <w:t xml:space="preserve"> </w:t>
      </w:r>
    </w:p>
    <w:p w:rsidR="00DE370A" w:rsidRDefault="00A37C1A">
      <w:pPr>
        <w:spacing w:after="0" w:line="259" w:lineRule="auto"/>
        <w:ind w:left="0" w:firstLine="0"/>
      </w:pPr>
      <w:r>
        <w:t xml:space="preserve"> </w:t>
      </w:r>
    </w:p>
    <w:p w:rsidR="00DE370A" w:rsidRDefault="00A37C1A">
      <w:pPr>
        <w:spacing w:after="57" w:line="259" w:lineRule="auto"/>
        <w:ind w:left="-29" w:right="-29" w:firstLine="0"/>
      </w:pPr>
      <w:r>
        <w:rPr>
          <w:rFonts w:ascii="Calibri" w:eastAsia="Calibri" w:hAnsi="Calibri" w:cs="Calibri"/>
          <w:noProof/>
          <w:sz w:val="22"/>
        </w:rPr>
        <mc:AlternateContent>
          <mc:Choice Requires="wpg">
            <w:drawing>
              <wp:inline distT="0" distB="0" distL="0" distR="0">
                <wp:extent cx="5527548" cy="6096"/>
                <wp:effectExtent l="0" t="0" r="0" b="0"/>
                <wp:docPr id="756" name="Group 756"/>
                <wp:cNvGraphicFramePr/>
                <a:graphic xmlns:a="http://schemas.openxmlformats.org/drawingml/2006/main">
                  <a:graphicData uri="http://schemas.microsoft.com/office/word/2010/wordprocessingGroup">
                    <wpg:wgp>
                      <wpg:cNvGrpSpPr/>
                      <wpg:grpSpPr>
                        <a:xfrm>
                          <a:off x="0" y="0"/>
                          <a:ext cx="5527548" cy="6096"/>
                          <a:chOff x="0" y="0"/>
                          <a:chExt cx="5527548" cy="6096"/>
                        </a:xfrm>
                      </wpg:grpSpPr>
                      <wps:wsp>
                        <wps:cNvPr id="1443" name="Shape 1443"/>
                        <wps:cNvSpPr/>
                        <wps:spPr>
                          <a:xfrm>
                            <a:off x="0" y="0"/>
                            <a:ext cx="5527548" cy="9144"/>
                          </a:xfrm>
                          <a:custGeom>
                            <a:avLst/>
                            <a:gdLst/>
                            <a:ahLst/>
                            <a:cxnLst/>
                            <a:rect l="0" t="0" r="0" b="0"/>
                            <a:pathLst>
                              <a:path w="5527548" h="9144">
                                <a:moveTo>
                                  <a:pt x="0" y="0"/>
                                </a:moveTo>
                                <a:lnTo>
                                  <a:pt x="5527548" y="0"/>
                                </a:lnTo>
                                <a:lnTo>
                                  <a:pt x="5527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 style="width:435.24pt;height:0.47998pt;mso-position-horizontal-relative:char;mso-position-vertical-relative:line" coordsize="55275,60">
                <v:shape id="Shape 1444" style="position:absolute;width:55275;height:91;left:0;top:0;" coordsize="5527548,9144" path="m0,0l5527548,0l5527548,9144l0,9144l0,0">
                  <v:stroke weight="0pt" endcap="flat" joinstyle="miter" miterlimit="10" on="false" color="#000000" opacity="0"/>
                  <v:fill on="true" color="#000000"/>
                </v:shape>
              </v:group>
            </w:pict>
          </mc:Fallback>
        </mc:AlternateContent>
      </w:r>
    </w:p>
    <w:p w:rsidR="00DE370A" w:rsidRDefault="00A37C1A">
      <w:pPr>
        <w:spacing w:after="0" w:line="259" w:lineRule="auto"/>
        <w:ind w:left="58" w:firstLine="0"/>
        <w:jc w:val="center"/>
      </w:pPr>
      <w:r>
        <w:t xml:space="preserve"> </w:t>
      </w:r>
    </w:p>
    <w:tbl>
      <w:tblPr>
        <w:tblStyle w:val="TableGrid"/>
        <w:tblW w:w="8414" w:type="dxa"/>
        <w:tblInd w:w="0" w:type="dxa"/>
        <w:tblLook w:val="04A0" w:firstRow="1" w:lastRow="0" w:firstColumn="1" w:lastColumn="0" w:noHBand="0" w:noVBand="1"/>
      </w:tblPr>
      <w:tblGrid>
        <w:gridCol w:w="3022"/>
        <w:gridCol w:w="5392"/>
      </w:tblGrid>
      <w:tr w:rsidR="00DE370A">
        <w:trPr>
          <w:trHeight w:val="523"/>
        </w:trPr>
        <w:tc>
          <w:tcPr>
            <w:tcW w:w="3022" w:type="dxa"/>
            <w:tcBorders>
              <w:top w:val="nil"/>
              <w:left w:val="nil"/>
              <w:bottom w:val="nil"/>
              <w:right w:val="nil"/>
            </w:tcBorders>
          </w:tcPr>
          <w:p w:rsidR="00DE370A" w:rsidRDefault="00A37C1A">
            <w:pPr>
              <w:spacing w:after="0" w:line="259" w:lineRule="auto"/>
              <w:ind w:left="0" w:firstLine="0"/>
            </w:pPr>
            <w:r>
              <w:t xml:space="preserve">Date of Document: </w:t>
            </w:r>
          </w:p>
          <w:p w:rsidR="00DE370A" w:rsidRDefault="00A37C1A">
            <w:pPr>
              <w:spacing w:after="0" w:line="259" w:lineRule="auto"/>
              <w:ind w:left="0" w:firstLine="0"/>
            </w:pPr>
            <w:r>
              <w:t xml:space="preserve"> </w:t>
            </w:r>
          </w:p>
        </w:tc>
        <w:tc>
          <w:tcPr>
            <w:tcW w:w="5393" w:type="dxa"/>
            <w:tcBorders>
              <w:top w:val="nil"/>
              <w:left w:val="nil"/>
              <w:bottom w:val="nil"/>
              <w:right w:val="nil"/>
            </w:tcBorders>
          </w:tcPr>
          <w:p w:rsidR="00DE370A" w:rsidRDefault="000179CF">
            <w:pPr>
              <w:spacing w:after="0" w:line="259" w:lineRule="auto"/>
              <w:ind w:left="1478" w:firstLine="0"/>
            </w:pPr>
            <w:r>
              <w:t>XXXXXXX</w:t>
            </w:r>
            <w:r w:rsidR="00A37C1A">
              <w:t xml:space="preserve"> </w:t>
            </w:r>
          </w:p>
        </w:tc>
      </w:tr>
      <w:tr w:rsidR="00DE370A">
        <w:trPr>
          <w:trHeight w:val="552"/>
        </w:trPr>
        <w:tc>
          <w:tcPr>
            <w:tcW w:w="3022" w:type="dxa"/>
            <w:tcBorders>
              <w:top w:val="nil"/>
              <w:left w:val="nil"/>
              <w:bottom w:val="nil"/>
              <w:right w:val="nil"/>
            </w:tcBorders>
          </w:tcPr>
          <w:p w:rsidR="00DE370A" w:rsidRDefault="00A37C1A">
            <w:pPr>
              <w:spacing w:after="0" w:line="259" w:lineRule="auto"/>
              <w:ind w:left="0" w:firstLine="0"/>
            </w:pPr>
            <w:r>
              <w:t xml:space="preserve">Filed on behalf of: </w:t>
            </w:r>
          </w:p>
          <w:p w:rsidR="00DE370A" w:rsidRDefault="00A37C1A">
            <w:pPr>
              <w:spacing w:after="0" w:line="259" w:lineRule="auto"/>
              <w:ind w:left="0" w:firstLine="0"/>
            </w:pPr>
            <w:r>
              <w:t xml:space="preserve"> </w:t>
            </w:r>
          </w:p>
        </w:tc>
        <w:tc>
          <w:tcPr>
            <w:tcW w:w="5393" w:type="dxa"/>
            <w:tcBorders>
              <w:top w:val="nil"/>
              <w:left w:val="nil"/>
              <w:bottom w:val="nil"/>
              <w:right w:val="nil"/>
            </w:tcBorders>
          </w:tcPr>
          <w:p w:rsidR="00DE370A" w:rsidRDefault="00A37C1A" w:rsidP="000179CF">
            <w:pPr>
              <w:spacing w:after="0" w:line="259" w:lineRule="auto"/>
              <w:ind w:left="1478" w:firstLine="0"/>
            </w:pPr>
            <w:r>
              <w:t xml:space="preserve">The  </w:t>
            </w:r>
          </w:p>
        </w:tc>
      </w:tr>
      <w:tr w:rsidR="00DE370A">
        <w:trPr>
          <w:trHeight w:val="828"/>
        </w:trPr>
        <w:tc>
          <w:tcPr>
            <w:tcW w:w="3022" w:type="dxa"/>
            <w:tcBorders>
              <w:top w:val="nil"/>
              <w:left w:val="nil"/>
              <w:bottom w:val="nil"/>
              <w:right w:val="nil"/>
            </w:tcBorders>
          </w:tcPr>
          <w:p w:rsidR="00DE370A" w:rsidRDefault="00A37C1A">
            <w:pPr>
              <w:spacing w:after="0" w:line="259" w:lineRule="auto"/>
              <w:ind w:left="0" w:firstLine="0"/>
            </w:pPr>
            <w:r>
              <w:t xml:space="preserve">Date of Filing: </w:t>
            </w:r>
          </w:p>
          <w:p w:rsidR="00DE370A" w:rsidRDefault="00A37C1A">
            <w:pPr>
              <w:spacing w:after="0" w:line="259" w:lineRule="auto"/>
              <w:ind w:left="0" w:firstLine="0"/>
            </w:pPr>
            <w:r>
              <w:t xml:space="preserve"> </w:t>
            </w:r>
          </w:p>
          <w:p w:rsidR="00DE370A" w:rsidRDefault="00A37C1A" w:rsidP="000179CF">
            <w:pPr>
              <w:spacing w:after="0" w:line="259" w:lineRule="auto"/>
              <w:ind w:left="0" w:firstLine="0"/>
            </w:pPr>
            <w:r>
              <w:t>Prepared by:</w:t>
            </w:r>
          </w:p>
        </w:tc>
        <w:tc>
          <w:tcPr>
            <w:tcW w:w="5393" w:type="dxa"/>
            <w:tcBorders>
              <w:top w:val="nil"/>
              <w:left w:val="nil"/>
              <w:bottom w:val="nil"/>
              <w:right w:val="nil"/>
            </w:tcBorders>
          </w:tcPr>
          <w:p w:rsidR="00DE370A" w:rsidRDefault="000179CF">
            <w:pPr>
              <w:spacing w:after="0" w:line="259" w:lineRule="auto"/>
              <w:ind w:left="1478" w:firstLine="0"/>
            </w:pPr>
            <w:r>
              <w:t>XXXXXXX</w:t>
            </w:r>
            <w:r w:rsidR="00A37C1A">
              <w:t xml:space="preserve"> </w:t>
            </w:r>
          </w:p>
        </w:tc>
      </w:tr>
      <w:tr w:rsidR="00DE370A">
        <w:trPr>
          <w:trHeight w:val="276"/>
        </w:trPr>
        <w:tc>
          <w:tcPr>
            <w:tcW w:w="3022" w:type="dxa"/>
            <w:tcBorders>
              <w:top w:val="nil"/>
              <w:left w:val="nil"/>
              <w:bottom w:val="nil"/>
              <w:right w:val="nil"/>
            </w:tcBorders>
          </w:tcPr>
          <w:p w:rsidR="00DE370A" w:rsidRDefault="00BE5C06">
            <w:pPr>
              <w:spacing w:after="0" w:line="259" w:lineRule="auto"/>
              <w:ind w:left="0" w:firstLine="0"/>
            </w:pPr>
            <w:r>
              <w:t>[FIRM]</w:t>
            </w:r>
            <w:r w:rsidR="00A37C1A">
              <w:t xml:space="preserve"> </w:t>
            </w:r>
          </w:p>
        </w:tc>
        <w:tc>
          <w:tcPr>
            <w:tcW w:w="5393" w:type="dxa"/>
            <w:tcBorders>
              <w:top w:val="nil"/>
              <w:left w:val="nil"/>
              <w:bottom w:val="nil"/>
              <w:right w:val="nil"/>
            </w:tcBorders>
          </w:tcPr>
          <w:p w:rsidR="00DE370A" w:rsidRDefault="00A37C1A" w:rsidP="000179CF">
            <w:pPr>
              <w:tabs>
                <w:tab w:val="center" w:pos="1671"/>
                <w:tab w:val="center" w:pos="3118"/>
              </w:tabs>
              <w:spacing w:after="0" w:line="259" w:lineRule="auto"/>
              <w:ind w:left="0" w:firstLine="0"/>
            </w:pPr>
            <w:r>
              <w:rPr>
                <w:rFonts w:ascii="Calibri" w:eastAsia="Calibri" w:hAnsi="Calibri" w:cs="Calibri"/>
                <w:sz w:val="22"/>
              </w:rPr>
              <w:tab/>
            </w:r>
            <w:r>
              <w:t xml:space="preserve">Tel: </w:t>
            </w:r>
            <w:r>
              <w:tab/>
              <w:t xml:space="preserve"> </w:t>
            </w:r>
          </w:p>
        </w:tc>
      </w:tr>
      <w:tr w:rsidR="00DE370A">
        <w:trPr>
          <w:trHeight w:val="276"/>
        </w:trPr>
        <w:tc>
          <w:tcPr>
            <w:tcW w:w="3022" w:type="dxa"/>
            <w:tcBorders>
              <w:top w:val="nil"/>
              <w:left w:val="nil"/>
              <w:bottom w:val="nil"/>
              <w:right w:val="nil"/>
            </w:tcBorders>
          </w:tcPr>
          <w:p w:rsidR="00DE370A" w:rsidRDefault="00A37C1A">
            <w:pPr>
              <w:spacing w:after="0" w:line="259" w:lineRule="auto"/>
              <w:ind w:left="0" w:firstLine="0"/>
            </w:pPr>
            <w:r>
              <w:t xml:space="preserve"> </w:t>
            </w:r>
          </w:p>
        </w:tc>
        <w:tc>
          <w:tcPr>
            <w:tcW w:w="5393" w:type="dxa"/>
            <w:tcBorders>
              <w:top w:val="nil"/>
              <w:left w:val="nil"/>
              <w:bottom w:val="nil"/>
              <w:right w:val="nil"/>
            </w:tcBorders>
          </w:tcPr>
          <w:p w:rsidR="00DE370A" w:rsidRDefault="00A37C1A" w:rsidP="000179CF">
            <w:pPr>
              <w:tabs>
                <w:tab w:val="center" w:pos="1799"/>
                <w:tab w:val="right" w:pos="5393"/>
              </w:tabs>
              <w:spacing w:after="0" w:line="259" w:lineRule="auto"/>
              <w:ind w:left="0" w:firstLine="0"/>
            </w:pPr>
            <w:r>
              <w:rPr>
                <w:rFonts w:ascii="Calibri" w:eastAsia="Calibri" w:hAnsi="Calibri" w:cs="Calibri"/>
                <w:sz w:val="22"/>
              </w:rPr>
              <w:tab/>
            </w:r>
            <w:r>
              <w:t xml:space="preserve">Email: </w:t>
            </w:r>
            <w:r>
              <w:tab/>
              <w:t xml:space="preserve"> </w:t>
            </w:r>
          </w:p>
        </w:tc>
      </w:tr>
      <w:tr w:rsidR="00DE370A">
        <w:trPr>
          <w:trHeight w:val="523"/>
        </w:trPr>
        <w:tc>
          <w:tcPr>
            <w:tcW w:w="3022" w:type="dxa"/>
            <w:tcBorders>
              <w:top w:val="nil"/>
              <w:left w:val="nil"/>
              <w:bottom w:val="nil"/>
              <w:right w:val="nil"/>
            </w:tcBorders>
          </w:tcPr>
          <w:p w:rsidR="00DE370A" w:rsidRDefault="00A37C1A">
            <w:pPr>
              <w:spacing w:after="0" w:line="259" w:lineRule="auto"/>
              <w:ind w:left="0" w:firstLine="0"/>
            </w:pPr>
            <w:r>
              <w:t xml:space="preserve"> </w:t>
            </w:r>
          </w:p>
        </w:tc>
        <w:tc>
          <w:tcPr>
            <w:tcW w:w="5393" w:type="dxa"/>
            <w:tcBorders>
              <w:top w:val="nil"/>
              <w:left w:val="nil"/>
              <w:bottom w:val="nil"/>
              <w:right w:val="nil"/>
            </w:tcBorders>
          </w:tcPr>
          <w:p w:rsidR="00DE370A" w:rsidRDefault="00A37C1A" w:rsidP="00B20EC6">
            <w:pPr>
              <w:tabs>
                <w:tab w:val="center" w:pos="1685"/>
                <w:tab w:val="center" w:pos="2618"/>
              </w:tabs>
              <w:spacing w:after="0" w:line="259" w:lineRule="auto"/>
              <w:ind w:left="0" w:firstLine="0"/>
            </w:pPr>
            <w:r>
              <w:rPr>
                <w:rFonts w:ascii="Calibri" w:eastAsia="Calibri" w:hAnsi="Calibri" w:cs="Calibri"/>
                <w:sz w:val="22"/>
              </w:rPr>
              <w:tab/>
            </w:r>
            <w:r>
              <w:t xml:space="preserve">Ref: </w:t>
            </w:r>
            <w:r>
              <w:tab/>
              <w:t xml:space="preserve"> </w:t>
            </w:r>
          </w:p>
        </w:tc>
      </w:tr>
    </w:tbl>
    <w:p w:rsidR="00DE370A" w:rsidRDefault="00A37C1A" w:rsidP="000179CF">
      <w:pPr>
        <w:spacing w:after="0" w:line="259" w:lineRule="auto"/>
        <w:ind w:left="0" w:firstLine="0"/>
        <w:jc w:val="center"/>
      </w:pPr>
      <w:r>
        <w:t>_____________________________________</w:t>
      </w:r>
    </w:p>
    <w:p w:rsidR="00DE370A" w:rsidRDefault="00A37C1A">
      <w:pPr>
        <w:spacing w:after="232" w:line="259" w:lineRule="auto"/>
        <w:ind w:left="0" w:firstLine="0"/>
      </w:pPr>
      <w:r>
        <w:t xml:space="preserve"> </w:t>
      </w:r>
    </w:p>
    <w:p w:rsidR="00DE370A" w:rsidRDefault="00A37C1A">
      <w:pPr>
        <w:spacing w:after="272"/>
        <w:ind w:left="-5"/>
      </w:pPr>
      <w:r>
        <w:t xml:space="preserve">BY CONSENT the parties seek the following orders: </w:t>
      </w:r>
    </w:p>
    <w:p w:rsidR="00DE370A" w:rsidRDefault="0093609A" w:rsidP="00072D8F">
      <w:pPr>
        <w:numPr>
          <w:ilvl w:val="0"/>
          <w:numId w:val="1"/>
        </w:numPr>
        <w:spacing w:before="120" w:after="120" w:line="360" w:lineRule="auto"/>
        <w:ind w:left="851" w:hanging="851"/>
      </w:pPr>
      <w:r>
        <w:t>Subject to clause 2 and 5 below, application for [LICENCE TYPE] [FIELD NUMBER]</w:t>
      </w:r>
      <w:r w:rsidR="00015870">
        <w:t xml:space="preserve"> </w:t>
      </w:r>
      <w:r>
        <w:t>/</w:t>
      </w:r>
      <w:r w:rsidR="00015870">
        <w:t xml:space="preserve"> </w:t>
      </w:r>
      <w:r>
        <w:t>[TENEMENT NUMBER] (</w:t>
      </w:r>
      <w:r w:rsidR="00015870">
        <w:rPr>
          <w:b/>
          <w:i/>
        </w:rPr>
        <w:t>the Application</w:t>
      </w:r>
      <w:r w:rsidR="00015870">
        <w:t>) is to be determined in chambers without further evidence or submissions from either the Applicant or Objector in relation to Objection/s number/ed [NUMBER/S]</w:t>
      </w:r>
      <w:r w:rsidR="00A37C1A">
        <w:t xml:space="preserve">. </w:t>
      </w:r>
    </w:p>
    <w:p w:rsidR="00072D8F" w:rsidRDefault="00015870" w:rsidP="00072D8F">
      <w:pPr>
        <w:numPr>
          <w:ilvl w:val="0"/>
          <w:numId w:val="1"/>
        </w:numPr>
        <w:spacing w:before="120" w:after="120" w:line="360" w:lineRule="auto"/>
        <w:ind w:left="851" w:hanging="851"/>
      </w:pPr>
      <w:r>
        <w:t xml:space="preserve">For the purposes of these directions the Applicant and Objector agree to the following facts </w:t>
      </w:r>
      <w:r w:rsidR="00072D8F">
        <w:t>:</w:t>
      </w:r>
    </w:p>
    <w:p w:rsidR="00072D8F" w:rsidRDefault="00072D8F" w:rsidP="00E334A4">
      <w:pPr>
        <w:numPr>
          <w:ilvl w:val="1"/>
          <w:numId w:val="1"/>
        </w:numPr>
        <w:spacing w:before="120" w:after="120" w:line="360" w:lineRule="auto"/>
        <w:ind w:hanging="851"/>
      </w:pPr>
      <w:r>
        <w:lastRenderedPageBreak/>
        <w:t xml:space="preserve">The </w:t>
      </w:r>
      <w:r w:rsidR="00015870">
        <w:t xml:space="preserve">Applicant has in all aspects complied with the provisions of the </w:t>
      </w:r>
      <w:r w:rsidR="00015870">
        <w:rPr>
          <w:i/>
        </w:rPr>
        <w:t xml:space="preserve">Mining Act 1978 </w:t>
      </w:r>
      <w:r w:rsidR="00015870">
        <w:t>(WA) (</w:t>
      </w:r>
      <w:r w:rsidR="00015870">
        <w:rPr>
          <w:b/>
          <w:i/>
        </w:rPr>
        <w:t xml:space="preserve">the Act) </w:t>
      </w:r>
      <w:r w:rsidR="00015870">
        <w:t xml:space="preserve">and the </w:t>
      </w:r>
      <w:r w:rsidR="00015870">
        <w:rPr>
          <w:i/>
        </w:rPr>
        <w:t>Mining Regulations</w:t>
      </w:r>
      <w:r w:rsidR="006D4A42">
        <w:rPr>
          <w:i/>
        </w:rPr>
        <w:t xml:space="preserve"> 1981 </w:t>
      </w:r>
      <w:r w:rsidR="006D4A42">
        <w:t>(WA) (</w:t>
      </w:r>
      <w:r w:rsidR="006D4A42">
        <w:rPr>
          <w:b/>
          <w:i/>
        </w:rPr>
        <w:t>the Regulations</w:t>
      </w:r>
      <w:r w:rsidR="006D4A42">
        <w:t>) in respect of the Application</w:t>
      </w:r>
      <w:r>
        <w:t>.</w:t>
      </w:r>
    </w:p>
    <w:p w:rsidR="00072D8F" w:rsidRDefault="00072D8F" w:rsidP="00E334A4">
      <w:pPr>
        <w:numPr>
          <w:ilvl w:val="1"/>
          <w:numId w:val="1"/>
        </w:numPr>
        <w:spacing w:before="120" w:after="120" w:line="360" w:lineRule="auto"/>
        <w:ind w:hanging="851"/>
      </w:pPr>
      <w:r>
        <w:t xml:space="preserve">The </w:t>
      </w:r>
      <w:r w:rsidR="006D4A42">
        <w:t>Application encroaches onto the following tenure held by the Objector:</w:t>
      </w:r>
    </w:p>
    <w:p w:rsidR="006D4A42" w:rsidRDefault="006D4A42" w:rsidP="00E334A4">
      <w:pPr>
        <w:numPr>
          <w:ilvl w:val="2"/>
          <w:numId w:val="1"/>
        </w:numPr>
        <w:spacing w:before="120" w:after="120" w:line="360" w:lineRule="auto"/>
        <w:ind w:hanging="851"/>
      </w:pPr>
      <w:r>
        <w:t>[NUMBER] as to [NUMBER] hectares;</w:t>
      </w:r>
    </w:p>
    <w:p w:rsidR="006D4A42" w:rsidRDefault="006D4A42" w:rsidP="00E334A4">
      <w:pPr>
        <w:numPr>
          <w:ilvl w:val="2"/>
          <w:numId w:val="1"/>
        </w:numPr>
        <w:spacing w:before="120" w:after="120" w:line="360" w:lineRule="auto"/>
        <w:ind w:hanging="851"/>
      </w:pPr>
      <w:r>
        <w:t>NUMBER] as to [NUMBER] hectares;</w:t>
      </w:r>
    </w:p>
    <w:p w:rsidR="00562915" w:rsidRPr="00BE4A68" w:rsidRDefault="006D4A42" w:rsidP="0098076B">
      <w:pPr>
        <w:numPr>
          <w:ilvl w:val="0"/>
          <w:numId w:val="1"/>
        </w:numPr>
        <w:spacing w:before="120" w:after="120" w:line="360" w:lineRule="auto"/>
        <w:ind w:left="851" w:hanging="851"/>
        <w:rPr>
          <w:szCs w:val="24"/>
        </w:rPr>
      </w:pPr>
      <w:r w:rsidRPr="00BE4A68">
        <w:rPr>
          <w:color w:val="150F13"/>
          <w:szCs w:val="24"/>
        </w:rPr>
        <w:t xml:space="preserve">The Mining Warden will give consideration to recommending </w:t>
      </w:r>
      <w:r w:rsidRPr="00BE4A68">
        <w:rPr>
          <w:color w:val="110F11"/>
          <w:szCs w:val="24"/>
        </w:rPr>
        <w:t>the</w:t>
      </w:r>
      <w:r w:rsidRPr="00BE4A68">
        <w:rPr>
          <w:color w:val="150F13"/>
          <w:szCs w:val="24"/>
        </w:rPr>
        <w:t xml:space="preserve"> imposition of the Department of Mines, Industry Regulation and Safety Standard Conditions / Endorsements, which the parties agree ought be imposed (the </w:t>
      </w:r>
      <w:r w:rsidRPr="00BE4A68">
        <w:rPr>
          <w:b/>
          <w:i/>
          <w:color w:val="150F13"/>
          <w:szCs w:val="24"/>
        </w:rPr>
        <w:t>Standard</w:t>
      </w:r>
      <w:r w:rsidRPr="00BE4A68">
        <w:rPr>
          <w:b/>
          <w:i/>
          <w:color w:val="150F13"/>
          <w:spacing w:val="14"/>
          <w:szCs w:val="24"/>
        </w:rPr>
        <w:t xml:space="preserve"> </w:t>
      </w:r>
      <w:r w:rsidRPr="00BE4A68">
        <w:rPr>
          <w:b/>
          <w:i/>
          <w:color w:val="150F13"/>
          <w:szCs w:val="24"/>
        </w:rPr>
        <w:t>Conditions)</w:t>
      </w:r>
      <w:r w:rsidRPr="00BE4A68">
        <w:rPr>
          <w:bCs/>
          <w:iCs/>
          <w:color w:val="150F13"/>
          <w:szCs w:val="24"/>
        </w:rPr>
        <w:t>, and a copy of which are annexed hereto as Schedule</w:t>
      </w:r>
      <w:r w:rsidR="00BE4A68">
        <w:rPr>
          <w:bCs/>
          <w:iCs/>
          <w:color w:val="150F13"/>
          <w:szCs w:val="24"/>
        </w:rPr>
        <w:t xml:space="preserve"> 1</w:t>
      </w:r>
      <w:r w:rsidR="009224F3" w:rsidRPr="00BE4A68">
        <w:rPr>
          <w:szCs w:val="24"/>
        </w:rPr>
        <w:t>.</w:t>
      </w:r>
    </w:p>
    <w:p w:rsidR="00562915" w:rsidRPr="00E334A4" w:rsidRDefault="00BE4A68" w:rsidP="0098076B">
      <w:pPr>
        <w:numPr>
          <w:ilvl w:val="0"/>
          <w:numId w:val="1"/>
        </w:numPr>
        <w:spacing w:before="120" w:after="120" w:line="360" w:lineRule="auto"/>
        <w:ind w:left="851" w:hanging="851"/>
        <w:rPr>
          <w:szCs w:val="24"/>
        </w:rPr>
      </w:pPr>
      <w:r w:rsidRPr="00E334A4">
        <w:rPr>
          <w:color w:val="150F13"/>
          <w:szCs w:val="24"/>
        </w:rPr>
        <w:t xml:space="preserve">Further, the Mining Warden will give consideration to recommending </w:t>
      </w:r>
      <w:r w:rsidRPr="00E334A4">
        <w:rPr>
          <w:color w:val="110F11"/>
          <w:szCs w:val="24"/>
        </w:rPr>
        <w:t>the</w:t>
      </w:r>
      <w:r w:rsidRPr="00E334A4">
        <w:rPr>
          <w:color w:val="150F13"/>
          <w:szCs w:val="24"/>
        </w:rPr>
        <w:t xml:space="preserve"> imposition of the further conditions which the parties agree </w:t>
      </w:r>
      <w:r w:rsidR="00E334A4" w:rsidRPr="00E334A4">
        <w:rPr>
          <w:color w:val="150F13"/>
          <w:szCs w:val="24"/>
        </w:rPr>
        <w:t>ought to</w:t>
      </w:r>
      <w:r w:rsidRPr="00E334A4">
        <w:rPr>
          <w:color w:val="150F13"/>
          <w:szCs w:val="24"/>
        </w:rPr>
        <w:t xml:space="preserve"> be imposed (the </w:t>
      </w:r>
      <w:r w:rsidRPr="00E334A4">
        <w:rPr>
          <w:b/>
          <w:i/>
          <w:color w:val="150F13"/>
          <w:szCs w:val="24"/>
        </w:rPr>
        <w:t>Further</w:t>
      </w:r>
      <w:r w:rsidRPr="00E334A4">
        <w:rPr>
          <w:b/>
          <w:i/>
          <w:color w:val="150F13"/>
          <w:spacing w:val="14"/>
          <w:szCs w:val="24"/>
        </w:rPr>
        <w:t xml:space="preserve"> </w:t>
      </w:r>
      <w:r w:rsidRPr="00E334A4">
        <w:rPr>
          <w:b/>
          <w:i/>
          <w:color w:val="150F13"/>
          <w:szCs w:val="24"/>
        </w:rPr>
        <w:t>Conditions)</w:t>
      </w:r>
      <w:r w:rsidRPr="00E334A4">
        <w:rPr>
          <w:bCs/>
          <w:iCs/>
          <w:color w:val="150F13"/>
          <w:szCs w:val="24"/>
        </w:rPr>
        <w:t>, and a copy of which are annexed hereto as Schedule 2</w:t>
      </w:r>
      <w:r w:rsidR="00562915" w:rsidRPr="00E334A4">
        <w:rPr>
          <w:szCs w:val="24"/>
        </w:rPr>
        <w:t>.</w:t>
      </w:r>
    </w:p>
    <w:p w:rsidR="00334B5C" w:rsidRPr="00334B5C" w:rsidRDefault="00334B5C" w:rsidP="0098076B">
      <w:pPr>
        <w:numPr>
          <w:ilvl w:val="0"/>
          <w:numId w:val="1"/>
        </w:numPr>
        <w:spacing w:before="120" w:after="120" w:line="360" w:lineRule="auto"/>
        <w:ind w:left="851" w:hanging="851"/>
        <w:rPr>
          <w:szCs w:val="24"/>
        </w:rPr>
      </w:pPr>
      <w:r>
        <w:rPr>
          <w:szCs w:val="24"/>
        </w:rPr>
        <w:t xml:space="preserve">The Mining Warden will forthwith provide a copy of this Minute with the proposed Further Conditions to the Department of Mines, Industry Regulation and Safety, with a direction that any view held by the Department of Mines, Industry Regulation and Safety as to the lawfulness or otherwise of any of the said Further Conditions is to be provided in a written report to the Warden, and the parties, within 14 days of the date of this Minute. </w:t>
      </w:r>
    </w:p>
    <w:p w:rsidR="00BE4A68" w:rsidRPr="00E334A4" w:rsidRDefault="00BE4A68" w:rsidP="0098076B">
      <w:pPr>
        <w:numPr>
          <w:ilvl w:val="0"/>
          <w:numId w:val="1"/>
        </w:numPr>
        <w:spacing w:before="120" w:after="120" w:line="360" w:lineRule="auto"/>
        <w:ind w:left="851" w:hanging="851"/>
        <w:rPr>
          <w:szCs w:val="24"/>
        </w:rPr>
      </w:pPr>
      <w:r w:rsidRPr="00E334A4">
        <w:rPr>
          <w:color w:val="150F13"/>
          <w:szCs w:val="24"/>
        </w:rPr>
        <w:t xml:space="preserve">If the Mining Warden determines that the Application is to be recommended for grant with a recommendation that those Standard </w:t>
      </w:r>
      <w:r w:rsidRPr="00E334A4">
        <w:rPr>
          <w:color w:val="110F11"/>
          <w:szCs w:val="24"/>
        </w:rPr>
        <w:t>Conditions</w:t>
      </w:r>
      <w:r w:rsidRPr="00E334A4">
        <w:rPr>
          <w:color w:val="150F13"/>
          <w:szCs w:val="24"/>
        </w:rPr>
        <w:t xml:space="preserve"> set out in Schedule 1 and the Further Conditions set out in Schedule 2, be imposed, no further hearing is</w:t>
      </w:r>
      <w:r w:rsidRPr="00E334A4">
        <w:rPr>
          <w:color w:val="150F13"/>
          <w:spacing w:val="-21"/>
          <w:szCs w:val="24"/>
        </w:rPr>
        <w:t xml:space="preserve"> </w:t>
      </w:r>
      <w:r w:rsidRPr="00E334A4">
        <w:rPr>
          <w:color w:val="150F13"/>
          <w:szCs w:val="24"/>
        </w:rPr>
        <w:t>required, and the matter may be determined accordingly.</w:t>
      </w:r>
    </w:p>
    <w:p w:rsidR="00BE4A68" w:rsidRDefault="00BE4A68" w:rsidP="00E334A4">
      <w:pPr>
        <w:numPr>
          <w:ilvl w:val="0"/>
          <w:numId w:val="1"/>
        </w:numPr>
        <w:spacing w:before="120" w:after="120" w:line="360" w:lineRule="auto"/>
        <w:ind w:hanging="851"/>
      </w:pPr>
      <w:r>
        <w:t>If the Mining Warden forms a preliminary view that the Warden may:</w:t>
      </w:r>
    </w:p>
    <w:p w:rsidR="00E334A4" w:rsidRDefault="00E334A4" w:rsidP="00783A71">
      <w:pPr>
        <w:numPr>
          <w:ilvl w:val="1"/>
          <w:numId w:val="1"/>
        </w:numPr>
        <w:spacing w:before="120" w:after="120" w:line="360" w:lineRule="auto"/>
        <w:ind w:hanging="851"/>
      </w:pPr>
      <w:r>
        <w:t xml:space="preserve">not recommend the grant </w:t>
      </w:r>
      <w:r w:rsidR="00783A71">
        <w:t>of the A</w:t>
      </w:r>
      <w:r>
        <w:t>pplication</w:t>
      </w:r>
      <w:r w:rsidR="00783A71">
        <w:t>; and, or</w:t>
      </w:r>
    </w:p>
    <w:p w:rsidR="002C677D" w:rsidRDefault="00783A71" w:rsidP="00783A71">
      <w:pPr>
        <w:numPr>
          <w:ilvl w:val="1"/>
          <w:numId w:val="1"/>
        </w:numPr>
        <w:spacing w:before="120" w:after="120" w:line="360" w:lineRule="auto"/>
        <w:ind w:hanging="851"/>
      </w:pPr>
      <w:r>
        <w:t>recommend the grant of the Application without the imposition of one or more of the Standard Conditions set out in Schedule 1; and, or</w:t>
      </w:r>
    </w:p>
    <w:p w:rsidR="00783A71" w:rsidRDefault="00783A71" w:rsidP="00783A71">
      <w:pPr>
        <w:numPr>
          <w:ilvl w:val="1"/>
          <w:numId w:val="1"/>
        </w:numPr>
        <w:spacing w:before="120" w:after="120" w:line="360" w:lineRule="auto"/>
        <w:ind w:hanging="851"/>
      </w:pPr>
      <w:r>
        <w:t>recommend the grant of the Application without the imposition of one or more of the Further Conditions set out in Schedule 2: and, or</w:t>
      </w:r>
    </w:p>
    <w:p w:rsidR="00783A71" w:rsidRDefault="00783A71" w:rsidP="00783A71">
      <w:pPr>
        <w:numPr>
          <w:ilvl w:val="1"/>
          <w:numId w:val="1"/>
        </w:numPr>
        <w:spacing w:before="120" w:after="120" w:line="360" w:lineRule="auto"/>
        <w:ind w:hanging="851"/>
      </w:pPr>
      <w:r>
        <w:lastRenderedPageBreak/>
        <w:t>to recommend the grant of the Application but with a condition or endorsement being imposed that is not a Standard Condition as set out in Schedule 1, or Further Schedule as set out in Schedule 2: or</w:t>
      </w:r>
    </w:p>
    <w:p w:rsidR="00783A71" w:rsidRDefault="00783A71" w:rsidP="00783A71">
      <w:pPr>
        <w:numPr>
          <w:ilvl w:val="1"/>
          <w:numId w:val="1"/>
        </w:numPr>
        <w:spacing w:before="120" w:after="120" w:line="360" w:lineRule="auto"/>
        <w:ind w:hanging="851"/>
      </w:pPr>
      <w:r>
        <w:t>to list the Application for hearing in relation to any objection associated  with it for any other reason;</w:t>
      </w:r>
    </w:p>
    <w:p w:rsidR="00783A71" w:rsidRDefault="00783A71" w:rsidP="00783A71">
      <w:pPr>
        <w:spacing w:before="120" w:after="120" w:line="360" w:lineRule="auto"/>
        <w:ind w:left="1080" w:firstLine="0"/>
      </w:pPr>
      <w:r>
        <w:t>then in any such case the Mining Warden will give the Applicant and Objector notice, and an opportunity to be heard prior to the Mining Warden making a determination or providing any such recommendation to the Minister, or taking any further step.</w:t>
      </w:r>
    </w:p>
    <w:p w:rsidR="00783A71" w:rsidRDefault="0098076B" w:rsidP="0098076B">
      <w:pPr>
        <w:pStyle w:val="ListParagraph"/>
        <w:numPr>
          <w:ilvl w:val="0"/>
          <w:numId w:val="1"/>
        </w:numPr>
        <w:spacing w:before="120" w:after="120" w:line="360" w:lineRule="auto"/>
        <w:ind w:left="851" w:hanging="851"/>
      </w:pPr>
      <w:r>
        <w:t>Subject to clause 6, the Objector is excused from further attendance at any listing of the Application.</w:t>
      </w:r>
    </w:p>
    <w:p w:rsidR="0098076B" w:rsidRDefault="0098076B" w:rsidP="0098076B">
      <w:pPr>
        <w:pStyle w:val="ListParagraph"/>
        <w:spacing w:before="120" w:after="120" w:line="360" w:lineRule="auto"/>
        <w:ind w:left="851" w:firstLine="0"/>
      </w:pPr>
    </w:p>
    <w:p w:rsidR="0098076B" w:rsidRDefault="0098076B" w:rsidP="0098076B">
      <w:pPr>
        <w:pStyle w:val="ListParagraph"/>
        <w:numPr>
          <w:ilvl w:val="0"/>
          <w:numId w:val="1"/>
        </w:numPr>
        <w:spacing w:before="120" w:after="120" w:line="360" w:lineRule="auto"/>
        <w:ind w:left="851" w:hanging="851"/>
      </w:pPr>
      <w:r>
        <w:t>In the event that the Mining Warden makes a recommendation pursuant to this Minute of Programming Directions, Notice will be provided to the parties.</w:t>
      </w:r>
    </w:p>
    <w:p w:rsidR="0098076B" w:rsidRDefault="0098076B" w:rsidP="0098076B">
      <w:pPr>
        <w:pStyle w:val="ListParagraph"/>
      </w:pPr>
    </w:p>
    <w:p w:rsidR="0098076B" w:rsidRDefault="0098076B" w:rsidP="0098076B">
      <w:pPr>
        <w:pStyle w:val="ListParagraph"/>
        <w:numPr>
          <w:ilvl w:val="0"/>
          <w:numId w:val="1"/>
        </w:numPr>
        <w:spacing w:before="120" w:after="120" w:line="360" w:lineRule="auto"/>
        <w:ind w:left="851" w:hanging="851"/>
      </w:pPr>
      <w:r>
        <w:t xml:space="preserve">In the event that the Mining Warden makes a recommendation pursuant to this Minute of Programming Directions, the matter will be determined accordingly, with no order as to costs and the objection dismissed.  </w:t>
      </w:r>
    </w:p>
    <w:p w:rsidR="00562915" w:rsidRDefault="00562915" w:rsidP="00562915">
      <w:pPr>
        <w:spacing w:after="230"/>
      </w:pPr>
    </w:p>
    <w:p w:rsidR="00562915" w:rsidRDefault="00562915" w:rsidP="00562915">
      <w:pPr>
        <w:spacing w:after="230"/>
      </w:pPr>
    </w:p>
    <w:p w:rsidR="00DE370A" w:rsidRDefault="00A37C1A" w:rsidP="00980DA7">
      <w:pPr>
        <w:spacing w:after="96" w:line="259" w:lineRule="auto"/>
        <w:ind w:left="0" w:firstLine="0"/>
      </w:pPr>
      <w:r>
        <w:t xml:space="preserve">_____________________________ </w:t>
      </w:r>
      <w:r>
        <w:tab/>
      </w:r>
      <w:r w:rsidR="00980DA7">
        <w:t xml:space="preserve">           </w:t>
      </w:r>
      <w:r>
        <w:t xml:space="preserve">_____________________________ </w:t>
      </w:r>
    </w:p>
    <w:p w:rsidR="00DE370A" w:rsidRDefault="00980DA7">
      <w:pPr>
        <w:tabs>
          <w:tab w:val="center" w:pos="5686"/>
        </w:tabs>
        <w:ind w:left="-15" w:firstLine="0"/>
      </w:pPr>
      <w:r>
        <w:t>[FIRM]</w:t>
      </w:r>
      <w:r w:rsidR="00BE5C06">
        <w:t xml:space="preserve">                                                             [FIRM]</w:t>
      </w:r>
      <w:r>
        <w:tab/>
      </w:r>
      <w:r w:rsidR="00A37C1A">
        <w:tab/>
        <w:t xml:space="preserve"> </w:t>
      </w:r>
    </w:p>
    <w:p w:rsidR="006D4A42" w:rsidRDefault="00A37C1A" w:rsidP="00FE7BEC">
      <w:pPr>
        <w:tabs>
          <w:tab w:val="center" w:pos="5793"/>
        </w:tabs>
        <w:ind w:left="-15" w:firstLine="0"/>
      </w:pPr>
      <w:r>
        <w:t>Solicitors for the Applicant</w:t>
      </w:r>
      <w:r w:rsidR="000179CF">
        <w:t>/Plaintiff</w:t>
      </w:r>
      <w:r>
        <w:t xml:space="preserve"> </w:t>
      </w:r>
      <w:r>
        <w:tab/>
      </w:r>
      <w:r w:rsidR="000179CF">
        <w:t xml:space="preserve">               </w:t>
      </w:r>
      <w:r>
        <w:t>Solicitors for the Objector</w:t>
      </w:r>
      <w:r w:rsidR="000179CF">
        <w:t>/Respondent</w:t>
      </w:r>
    </w:p>
    <w:p w:rsidR="006D4A42" w:rsidRDefault="006D4A42" w:rsidP="00FE7BEC">
      <w:pPr>
        <w:tabs>
          <w:tab w:val="center" w:pos="5793"/>
        </w:tabs>
        <w:ind w:left="-15" w:firstLine="0"/>
      </w:pPr>
    </w:p>
    <w:p w:rsidR="006D4A42" w:rsidRDefault="006D4A42" w:rsidP="00FE7BEC">
      <w:pPr>
        <w:tabs>
          <w:tab w:val="center" w:pos="5793"/>
        </w:tabs>
        <w:ind w:left="-15" w:firstLine="0"/>
      </w:pPr>
    </w:p>
    <w:p w:rsidR="006D4A42" w:rsidRDefault="006D4A42">
      <w:pPr>
        <w:spacing w:after="160" w:line="259" w:lineRule="auto"/>
        <w:ind w:left="0" w:firstLine="0"/>
      </w:pPr>
      <w:r>
        <w:br w:type="page"/>
      </w:r>
    </w:p>
    <w:p w:rsidR="00DE370A" w:rsidRDefault="006D4A42" w:rsidP="006D4A42">
      <w:pPr>
        <w:tabs>
          <w:tab w:val="center" w:pos="5793"/>
        </w:tabs>
        <w:ind w:left="-15" w:firstLine="0"/>
        <w:jc w:val="center"/>
        <w:rPr>
          <w:b/>
          <w:sz w:val="22"/>
          <w:u w:val="single"/>
        </w:rPr>
      </w:pPr>
      <w:r>
        <w:rPr>
          <w:b/>
          <w:sz w:val="22"/>
          <w:u w:val="single"/>
        </w:rPr>
        <w:lastRenderedPageBreak/>
        <w:t>SCHEDULE 1</w:t>
      </w:r>
    </w:p>
    <w:p w:rsidR="00F05815" w:rsidRDefault="00F05815" w:rsidP="006D4A42">
      <w:pPr>
        <w:tabs>
          <w:tab w:val="center" w:pos="5793"/>
        </w:tabs>
        <w:ind w:left="-15" w:firstLine="0"/>
        <w:jc w:val="center"/>
        <w:rPr>
          <w:b/>
          <w:sz w:val="22"/>
          <w:u w:val="single"/>
        </w:rPr>
      </w:pPr>
    </w:p>
    <w:p w:rsidR="0098076B" w:rsidRDefault="00545ED3" w:rsidP="00545ED3">
      <w:pPr>
        <w:jc w:val="center"/>
        <w:rPr>
          <w:rFonts w:eastAsia="Calibri"/>
          <w:b/>
          <w:color w:val="150F13"/>
          <w:sz w:val="26"/>
          <w:szCs w:val="26"/>
          <w:u w:val="single"/>
          <w:lang w:eastAsia="en-US"/>
        </w:rPr>
      </w:pPr>
      <w:r>
        <w:rPr>
          <w:rFonts w:eastAsia="Calibri"/>
          <w:b/>
          <w:color w:val="150F13"/>
          <w:sz w:val="26"/>
          <w:szCs w:val="26"/>
          <w:u w:val="single"/>
          <w:lang w:eastAsia="en-US"/>
        </w:rPr>
        <w:t>DEPARTMENT OF MINES, INDUSTRY REGULATION &amp; SAFETY</w:t>
      </w:r>
      <w:r w:rsidR="0098076B" w:rsidRPr="00545ED3">
        <w:rPr>
          <w:rFonts w:eastAsia="Calibri"/>
          <w:b/>
          <w:color w:val="150F13"/>
          <w:sz w:val="26"/>
          <w:szCs w:val="26"/>
          <w:u w:val="single"/>
          <w:lang w:eastAsia="en-US"/>
        </w:rPr>
        <w:t xml:space="preserve"> STANDARD CONDITIONS AND ENDORSEMENTS</w:t>
      </w:r>
    </w:p>
    <w:p w:rsidR="00545ED3" w:rsidRDefault="00545ED3" w:rsidP="00545ED3">
      <w:pPr>
        <w:jc w:val="center"/>
        <w:rPr>
          <w:rFonts w:eastAsia="Calibri"/>
          <w:b/>
          <w:color w:val="150F13"/>
          <w:sz w:val="26"/>
          <w:szCs w:val="26"/>
          <w:u w:val="single"/>
          <w:lang w:eastAsia="en-US"/>
        </w:rPr>
      </w:pPr>
    </w:p>
    <w:p w:rsidR="00545ED3" w:rsidRDefault="00545ED3" w:rsidP="00545ED3">
      <w:pPr>
        <w:jc w:val="center"/>
        <w:rPr>
          <w:rFonts w:eastAsia="Calibri"/>
          <w:b/>
          <w:color w:val="150F13"/>
          <w:sz w:val="26"/>
          <w:szCs w:val="26"/>
          <w:u w:val="single"/>
          <w:lang w:eastAsia="en-US"/>
        </w:rPr>
      </w:pPr>
    </w:p>
    <w:p w:rsidR="00545ED3" w:rsidRPr="00545ED3" w:rsidRDefault="00545ED3" w:rsidP="00545ED3">
      <w:pPr>
        <w:jc w:val="center"/>
        <w:rPr>
          <w:rFonts w:eastAsia="Calibri"/>
          <w:b/>
          <w:color w:val="150F13"/>
          <w:sz w:val="26"/>
          <w:szCs w:val="26"/>
          <w:lang w:eastAsia="en-US"/>
        </w:rPr>
      </w:pPr>
      <w:r w:rsidRPr="00545ED3">
        <w:rPr>
          <w:rFonts w:eastAsia="Calibri"/>
          <w:b/>
          <w:color w:val="150F13"/>
          <w:sz w:val="26"/>
          <w:szCs w:val="26"/>
          <w:lang w:eastAsia="en-US"/>
        </w:rPr>
        <w:t>Annexe a copy of the Draft Standard Conditions and Endorsements obtained from the Department</w:t>
      </w:r>
      <w:r>
        <w:rPr>
          <w:rFonts w:eastAsia="Calibri"/>
          <w:b/>
          <w:color w:val="150F13"/>
          <w:sz w:val="26"/>
          <w:szCs w:val="26"/>
          <w:lang w:eastAsia="en-US"/>
        </w:rPr>
        <w:t xml:space="preserve"> of Mines, Industry Regulation &amp; Safety</w:t>
      </w:r>
      <w:r w:rsidRPr="00545ED3">
        <w:rPr>
          <w:rFonts w:eastAsia="Calibri"/>
          <w:b/>
          <w:color w:val="150F13"/>
          <w:sz w:val="26"/>
          <w:szCs w:val="26"/>
          <w:lang w:eastAsia="en-US"/>
        </w:rPr>
        <w:t>.</w:t>
      </w:r>
    </w:p>
    <w:p w:rsidR="00545ED3" w:rsidRPr="00545ED3" w:rsidRDefault="00545ED3" w:rsidP="00545ED3">
      <w:pPr>
        <w:jc w:val="center"/>
        <w:rPr>
          <w:rFonts w:eastAsia="Calibri"/>
          <w:b/>
          <w:color w:val="150F13"/>
          <w:sz w:val="26"/>
          <w:szCs w:val="26"/>
          <w:lang w:eastAsia="en-US"/>
        </w:rPr>
      </w:pPr>
    </w:p>
    <w:p w:rsidR="00BE4A68" w:rsidRDefault="00BE4A68" w:rsidP="006D4A42">
      <w:pPr>
        <w:tabs>
          <w:tab w:val="center" w:pos="5793"/>
        </w:tabs>
        <w:ind w:left="-15" w:firstLine="0"/>
        <w:jc w:val="center"/>
        <w:rPr>
          <w:b/>
          <w:sz w:val="22"/>
          <w:u w:val="single"/>
        </w:rPr>
      </w:pPr>
    </w:p>
    <w:p w:rsidR="00BE4A68" w:rsidRDefault="00BE4A68">
      <w:pPr>
        <w:spacing w:after="160" w:line="259" w:lineRule="auto"/>
        <w:ind w:left="0" w:firstLine="0"/>
        <w:rPr>
          <w:b/>
          <w:sz w:val="22"/>
          <w:u w:val="single"/>
        </w:rPr>
      </w:pPr>
      <w:r>
        <w:rPr>
          <w:b/>
          <w:sz w:val="22"/>
          <w:u w:val="single"/>
        </w:rPr>
        <w:br w:type="page"/>
      </w:r>
    </w:p>
    <w:p w:rsidR="00BE4A68" w:rsidRDefault="00BE4A68" w:rsidP="006D4A42">
      <w:pPr>
        <w:tabs>
          <w:tab w:val="center" w:pos="5793"/>
        </w:tabs>
        <w:ind w:left="-15" w:firstLine="0"/>
        <w:jc w:val="center"/>
        <w:rPr>
          <w:b/>
          <w:u w:val="single"/>
        </w:rPr>
      </w:pPr>
      <w:r>
        <w:rPr>
          <w:b/>
          <w:u w:val="single"/>
        </w:rPr>
        <w:lastRenderedPageBreak/>
        <w:t>SCHEDULE 2</w:t>
      </w:r>
    </w:p>
    <w:p w:rsidR="00F05815" w:rsidRDefault="00F05815" w:rsidP="006D4A42">
      <w:pPr>
        <w:tabs>
          <w:tab w:val="center" w:pos="5793"/>
        </w:tabs>
        <w:ind w:left="-15" w:firstLine="0"/>
        <w:jc w:val="center"/>
        <w:rPr>
          <w:b/>
          <w:u w:val="single"/>
        </w:rPr>
      </w:pPr>
    </w:p>
    <w:p w:rsidR="00F05815" w:rsidRDefault="00545ED3" w:rsidP="006D4A42">
      <w:pPr>
        <w:tabs>
          <w:tab w:val="center" w:pos="5793"/>
        </w:tabs>
        <w:ind w:left="-15" w:firstLine="0"/>
        <w:jc w:val="center"/>
        <w:rPr>
          <w:b/>
          <w:bCs/>
          <w:sz w:val="32"/>
          <w:szCs w:val="32"/>
          <w:u w:val="single"/>
        </w:rPr>
      </w:pPr>
      <w:r>
        <w:rPr>
          <w:b/>
          <w:bCs/>
          <w:sz w:val="32"/>
          <w:szCs w:val="32"/>
          <w:u w:val="single"/>
        </w:rPr>
        <w:t>FURTHER CONDITIONS</w:t>
      </w:r>
    </w:p>
    <w:p w:rsidR="00545ED3" w:rsidRDefault="00545ED3" w:rsidP="006D4A42">
      <w:pPr>
        <w:tabs>
          <w:tab w:val="center" w:pos="5793"/>
        </w:tabs>
        <w:ind w:left="-15" w:firstLine="0"/>
        <w:jc w:val="center"/>
        <w:rPr>
          <w:b/>
          <w:bCs/>
          <w:sz w:val="32"/>
          <w:szCs w:val="32"/>
          <w:u w:val="single"/>
        </w:rPr>
      </w:pPr>
    </w:p>
    <w:p w:rsidR="00545ED3" w:rsidRPr="00545ED3" w:rsidRDefault="00545ED3" w:rsidP="006D4A42">
      <w:pPr>
        <w:tabs>
          <w:tab w:val="center" w:pos="5793"/>
        </w:tabs>
        <w:ind w:left="-15" w:firstLine="0"/>
        <w:jc w:val="center"/>
        <w:rPr>
          <w:b/>
          <w:u w:val="single"/>
        </w:rPr>
      </w:pPr>
      <w:r w:rsidRPr="00545ED3">
        <w:rPr>
          <w:rFonts w:eastAsia="Calibri"/>
          <w:b/>
          <w:color w:val="150F13"/>
          <w:sz w:val="26"/>
          <w:szCs w:val="26"/>
          <w:lang w:eastAsia="en-US"/>
        </w:rPr>
        <w:t>List such further bespoke conditions that</w:t>
      </w:r>
      <w:r>
        <w:rPr>
          <w:rFonts w:eastAsia="Calibri"/>
          <w:b/>
          <w:color w:val="150F13"/>
          <w:sz w:val="26"/>
          <w:szCs w:val="26"/>
          <w:lang w:eastAsia="en-US"/>
        </w:rPr>
        <w:t xml:space="preserve"> the parties seek to be imposed.</w:t>
      </w:r>
    </w:p>
    <w:sectPr w:rsidR="00545ED3" w:rsidRPr="00545ED3">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56E" w:rsidRDefault="0049056E" w:rsidP="00AF5C23">
      <w:pPr>
        <w:spacing w:after="0" w:line="240" w:lineRule="auto"/>
      </w:pPr>
      <w:r>
        <w:separator/>
      </w:r>
    </w:p>
  </w:endnote>
  <w:endnote w:type="continuationSeparator" w:id="0">
    <w:p w:rsidR="0049056E" w:rsidRDefault="0049056E" w:rsidP="00AF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EC" w:rsidRDefault="00FE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EC" w:rsidRDefault="00FE7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EC" w:rsidRDefault="00FE7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56E" w:rsidRDefault="0049056E" w:rsidP="00AF5C23">
      <w:pPr>
        <w:spacing w:after="0" w:line="240" w:lineRule="auto"/>
      </w:pPr>
      <w:r>
        <w:separator/>
      </w:r>
    </w:p>
  </w:footnote>
  <w:footnote w:type="continuationSeparator" w:id="0">
    <w:p w:rsidR="0049056E" w:rsidRDefault="0049056E" w:rsidP="00AF5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EC" w:rsidRDefault="00FE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910653"/>
      <w:docPartObj>
        <w:docPartGallery w:val="Page Numbers (Top of Page)"/>
        <w:docPartUnique/>
      </w:docPartObj>
    </w:sdtPr>
    <w:sdtEndPr>
      <w:rPr>
        <w:noProof/>
      </w:rPr>
    </w:sdtEndPr>
    <w:sdtContent>
      <w:p w:rsidR="00904444" w:rsidRDefault="00904444">
        <w:pPr>
          <w:pStyle w:val="Header"/>
          <w:jc w:val="center"/>
        </w:pPr>
        <w:r>
          <w:fldChar w:fldCharType="begin"/>
        </w:r>
        <w:r>
          <w:instrText xml:space="preserve"> PAGE   \* MERGEFORMAT </w:instrText>
        </w:r>
        <w:r>
          <w:fldChar w:fldCharType="separate"/>
        </w:r>
        <w:r w:rsidR="00B528FB">
          <w:rPr>
            <w:noProof/>
          </w:rPr>
          <w:t>2</w:t>
        </w:r>
        <w:r>
          <w:rPr>
            <w:noProof/>
          </w:rPr>
          <w:fldChar w:fldCharType="end"/>
        </w:r>
      </w:p>
    </w:sdtContent>
  </w:sdt>
  <w:p w:rsidR="00AF5C23" w:rsidRDefault="00AF5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EC" w:rsidRDefault="00FE7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271B8"/>
    <w:multiLevelType w:val="hybridMultilevel"/>
    <w:tmpl w:val="5DCA719A"/>
    <w:lvl w:ilvl="0" w:tplc="3F5E8C18">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B6EBEC">
      <w:start w:val="1"/>
      <w:numFmt w:val="lowerLetter"/>
      <w:lvlText w:val="(%2)"/>
      <w:lvlJc w:val="left"/>
      <w:pPr>
        <w:ind w:left="1080"/>
      </w:pPr>
      <w:rPr>
        <w:rFonts w:hint="default"/>
        <w:b w:val="0"/>
        <w:i w:val="0"/>
        <w:strike w:val="0"/>
        <w:dstrike w:val="0"/>
        <w:color w:val="000000"/>
        <w:spacing w:val="-1"/>
        <w:w w:val="97"/>
        <w:sz w:val="24"/>
        <w:szCs w:val="24"/>
        <w:u w:val="none" w:color="000000"/>
        <w:bdr w:val="none" w:sz="0" w:space="0" w:color="auto"/>
        <w:shd w:val="clear" w:color="auto" w:fill="auto"/>
        <w:vertAlign w:val="baseline"/>
      </w:rPr>
    </w:lvl>
    <w:lvl w:ilvl="2" w:tplc="F98050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C42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F87C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1A1D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6FD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B4FB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6CB6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0A"/>
    <w:rsid w:val="00015870"/>
    <w:rsid w:val="000179CF"/>
    <w:rsid w:val="00072D8F"/>
    <w:rsid w:val="00082695"/>
    <w:rsid w:val="001059B8"/>
    <w:rsid w:val="0012304E"/>
    <w:rsid w:val="001D3BD6"/>
    <w:rsid w:val="001E713C"/>
    <w:rsid w:val="00284B55"/>
    <w:rsid w:val="002C677D"/>
    <w:rsid w:val="00334B5C"/>
    <w:rsid w:val="00340E5B"/>
    <w:rsid w:val="0049056E"/>
    <w:rsid w:val="00545ED3"/>
    <w:rsid w:val="00562915"/>
    <w:rsid w:val="006D4A42"/>
    <w:rsid w:val="00783A71"/>
    <w:rsid w:val="007B2952"/>
    <w:rsid w:val="00857963"/>
    <w:rsid w:val="00904444"/>
    <w:rsid w:val="009224F3"/>
    <w:rsid w:val="0093609A"/>
    <w:rsid w:val="0098076B"/>
    <w:rsid w:val="00980DA7"/>
    <w:rsid w:val="00A37C1A"/>
    <w:rsid w:val="00A82232"/>
    <w:rsid w:val="00A96B24"/>
    <w:rsid w:val="00AF5C23"/>
    <w:rsid w:val="00B20EC6"/>
    <w:rsid w:val="00B528FB"/>
    <w:rsid w:val="00B86201"/>
    <w:rsid w:val="00B92D38"/>
    <w:rsid w:val="00BE4A68"/>
    <w:rsid w:val="00BE5C06"/>
    <w:rsid w:val="00D421BB"/>
    <w:rsid w:val="00DE370A"/>
    <w:rsid w:val="00E334A4"/>
    <w:rsid w:val="00ED2B66"/>
    <w:rsid w:val="00F05815"/>
    <w:rsid w:val="00F630EF"/>
    <w:rsid w:val="00FE7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E802"/>
  <w15:docId w15:val="{6F5A1571-E822-4CDC-92AB-3F0F0C95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F5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C2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F5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C23"/>
    <w:rPr>
      <w:rFonts w:ascii="Times New Roman" w:eastAsia="Times New Roman" w:hAnsi="Times New Roman" w:cs="Times New Roman"/>
      <w:color w:val="000000"/>
      <w:sz w:val="24"/>
    </w:rPr>
  </w:style>
  <w:style w:type="paragraph" w:styleId="ListParagraph">
    <w:name w:val="List Paragraph"/>
    <w:basedOn w:val="Normal"/>
    <w:uiPriority w:val="34"/>
    <w:qFormat/>
    <w:rsid w:val="002C6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2E7D1-2E39-49E9-B5F7-6306E76F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709</Words>
  <Characters>3752</Characters>
  <Application>Microsoft Office Word</Application>
  <DocSecurity>0</DocSecurity>
  <Lines>125</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Mines and Petroleum</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cp:lastModifiedBy>GODSMAN, Garth</cp:lastModifiedBy>
  <cp:revision>2</cp:revision>
  <dcterms:created xsi:type="dcterms:W3CDTF">2023-07-11T02:15:00Z</dcterms:created>
  <dcterms:modified xsi:type="dcterms:W3CDTF">2023-07-11T02:15:00Z</dcterms:modified>
</cp:coreProperties>
</file>