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589D" w14:textId="4839FD53" w:rsidR="00D24A2C" w:rsidRPr="00A3556F" w:rsidRDefault="00A3556F" w:rsidP="00D24A2C">
      <w:pPr>
        <w:pStyle w:val="DCHeading"/>
        <w:tabs>
          <w:tab w:val="left" w:pos="3015"/>
        </w:tabs>
        <w:jc w:val="center"/>
        <w:rPr>
          <w:rFonts w:asciiTheme="minorHAnsi" w:hAnsiTheme="minorHAnsi" w:cstheme="minorHAnsi"/>
          <w:sz w:val="36"/>
          <w:szCs w:val="36"/>
        </w:rPr>
      </w:pPr>
      <w:r w:rsidRPr="00A3556F">
        <w:rPr>
          <w:rFonts w:asciiTheme="minorHAnsi" w:hAnsiTheme="minorHAnsi" w:cstheme="minorHAnsi"/>
          <w:noProof/>
          <w:sz w:val="36"/>
          <w:szCs w:val="36"/>
        </w:rPr>
        <mc:AlternateContent>
          <mc:Choice Requires="wps">
            <w:drawing>
              <wp:anchor distT="45720" distB="45720" distL="114300" distR="114300" simplePos="0" relativeHeight="251659264" behindDoc="1" locked="0" layoutInCell="1" allowOverlap="1" wp14:anchorId="76EEEED9" wp14:editId="0132FBD0">
                <wp:simplePos x="0" y="0"/>
                <wp:positionH relativeFrom="margin">
                  <wp:align>center</wp:align>
                </wp:positionH>
                <wp:positionV relativeFrom="paragraph">
                  <wp:posOffset>-783590</wp:posOffset>
                </wp:positionV>
                <wp:extent cx="2914650" cy="3905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390525"/>
                        </a:xfrm>
                        <a:prstGeom prst="rect">
                          <a:avLst/>
                        </a:prstGeom>
                        <a:noFill/>
                        <a:ln w="9525">
                          <a:noFill/>
                          <a:miter lim="800000"/>
                          <a:headEnd/>
                          <a:tailEnd/>
                        </a:ln>
                      </wps:spPr>
                      <wps:txb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EEED9" id="_x0000_t202" coordsize="21600,21600" o:spt="202" path="m,l,21600r21600,l21600,xe">
                <v:stroke joinstyle="miter"/>
                <v:path gradientshapeok="t" o:connecttype="rect"/>
              </v:shapetype>
              <v:shape id="Text Box 2" o:spid="_x0000_s1026" type="#_x0000_t202" style="position:absolute;left:0;text-align:left;margin-left:0;margin-top:-61.7pt;width:229.5pt;height:30.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n4I9QEAAM0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" filled="f" stroked="f">
                <v:textbox>
                  <w:txbxContent>
                    <w:p w14:paraId="4C31401B" w14:textId="7AD4B20F" w:rsidR="00A3556F" w:rsidRPr="00A3556F" w:rsidRDefault="00A3556F" w:rsidP="00A3556F">
                      <w:pPr>
                        <w:pStyle w:val="DCHeading"/>
                        <w:tabs>
                          <w:tab w:val="left" w:pos="3015"/>
                        </w:tabs>
                        <w:jc w:val="center"/>
                        <w:rPr>
                          <w:rFonts w:asciiTheme="minorHAnsi" w:hAnsiTheme="minorHAnsi" w:cstheme="minorHAnsi"/>
                          <w:color w:val="FFFFFF" w:themeColor="background1"/>
                          <w:sz w:val="36"/>
                          <w:szCs w:val="36"/>
                        </w:rPr>
                      </w:pPr>
                      <w:r w:rsidRPr="00A3556F">
                        <w:rPr>
                          <w:rFonts w:asciiTheme="minorHAnsi" w:hAnsiTheme="minorHAnsi" w:cstheme="minorHAnsi"/>
                          <w:color w:val="FFFFFF" w:themeColor="background1"/>
                          <w:sz w:val="36"/>
                          <w:szCs w:val="36"/>
                        </w:rPr>
                        <w:t>BUILDER FACT SHEET</w:t>
                      </w:r>
                    </w:p>
                  </w:txbxContent>
                </v:textbox>
                <w10:wrap anchorx="margin"/>
              </v:shape>
            </w:pict>
          </mc:Fallback>
        </mc:AlternateContent>
      </w:r>
      <w:r w:rsidR="00B06707">
        <w:rPr>
          <w:rFonts w:asciiTheme="minorHAnsi" w:hAnsiTheme="minorHAnsi" w:cstheme="minorHAnsi"/>
          <w:sz w:val="36"/>
          <w:szCs w:val="36"/>
        </w:rPr>
        <w:t>MID-WEST</w:t>
      </w:r>
      <w:r w:rsidR="00A45BB2" w:rsidRPr="00A3556F">
        <w:rPr>
          <w:rFonts w:asciiTheme="minorHAnsi" w:hAnsiTheme="minorHAnsi" w:cstheme="minorHAnsi"/>
          <w:sz w:val="36"/>
          <w:szCs w:val="36"/>
        </w:rPr>
        <w:t xml:space="preserve"> </w:t>
      </w:r>
      <w:r w:rsidR="00005A83" w:rsidRPr="00A3556F">
        <w:rPr>
          <w:rFonts w:asciiTheme="minorHAnsi" w:hAnsiTheme="minorHAnsi" w:cstheme="minorHAnsi"/>
          <w:sz w:val="36"/>
          <w:szCs w:val="36"/>
        </w:rPr>
        <w:t xml:space="preserve">REGION </w:t>
      </w:r>
    </w:p>
    <w:p w14:paraId="33567B71" w14:textId="77473871" w:rsidR="00B27D36" w:rsidRPr="00A3556F" w:rsidRDefault="00B27D36" w:rsidP="006F2CD7">
      <w:pPr>
        <w:pStyle w:val="Heading2BN"/>
        <w:rPr>
          <w:rFonts w:asciiTheme="minorHAnsi" w:hAnsiTheme="minorHAnsi" w:cstheme="minorHAnsi"/>
          <w:b w:val="0"/>
          <w:bCs w:val="0"/>
          <w:i w:val="0"/>
          <w:iCs w:val="0"/>
          <w:color w:val="000000" w:themeColor="text1"/>
          <w:sz w:val="22"/>
          <w:szCs w:val="22"/>
          <w:lang w:eastAsia="en-AU"/>
        </w:rPr>
      </w:pPr>
      <w:bookmarkStart w:id="0" w:name="_Hlk85628221"/>
      <w:bookmarkStart w:id="1" w:name="_Hlk85628205"/>
      <w:r w:rsidRPr="00A3556F">
        <w:rPr>
          <w:rFonts w:asciiTheme="minorHAnsi" w:hAnsiTheme="minorHAnsi" w:cstheme="minorHAnsi"/>
          <w:b w:val="0"/>
          <w:bCs w:val="0"/>
          <w:i w:val="0"/>
          <w:iCs w:val="0"/>
          <w:color w:val="000000" w:themeColor="text1"/>
          <w:sz w:val="22"/>
          <w:szCs w:val="22"/>
          <w:lang w:eastAsia="en-AU"/>
        </w:rPr>
        <w:t xml:space="preserve">The Department of Communities (‘Communities’) delivers construction and refurbishment projects across the State through </w:t>
      </w:r>
      <w:r w:rsidR="004D10E8" w:rsidRPr="00A3556F">
        <w:rPr>
          <w:rFonts w:asciiTheme="minorHAnsi" w:hAnsiTheme="minorHAnsi" w:cstheme="minorHAnsi"/>
          <w:b w:val="0"/>
          <w:bCs w:val="0"/>
          <w:i w:val="0"/>
          <w:iCs w:val="0"/>
          <w:color w:val="000000" w:themeColor="text1"/>
          <w:sz w:val="22"/>
          <w:szCs w:val="22"/>
          <w:lang w:eastAsia="en-AU"/>
        </w:rPr>
        <w:t xml:space="preserve">various </w:t>
      </w:r>
      <w:r w:rsidR="00387D82" w:rsidRPr="00A3556F">
        <w:rPr>
          <w:rFonts w:asciiTheme="minorHAnsi" w:hAnsiTheme="minorHAnsi" w:cstheme="minorHAnsi"/>
          <w:b w:val="0"/>
          <w:bCs w:val="0"/>
          <w:i w:val="0"/>
          <w:iCs w:val="0"/>
          <w:color w:val="000000" w:themeColor="text1"/>
          <w:sz w:val="22"/>
          <w:szCs w:val="22"/>
          <w:lang w:eastAsia="en-AU"/>
        </w:rPr>
        <w:t>pathways</w:t>
      </w:r>
      <w:r w:rsidR="003534BD">
        <w:rPr>
          <w:rFonts w:asciiTheme="minorHAnsi" w:hAnsiTheme="minorHAnsi" w:cstheme="minorHAnsi"/>
          <w:b w:val="0"/>
          <w:bCs w:val="0"/>
          <w:i w:val="0"/>
          <w:iCs w:val="0"/>
          <w:color w:val="000000" w:themeColor="text1"/>
          <w:sz w:val="22"/>
          <w:szCs w:val="22"/>
          <w:lang w:eastAsia="en-AU"/>
        </w:rPr>
        <w:t>, including:</w:t>
      </w:r>
    </w:p>
    <w:p w14:paraId="49A062F4" w14:textId="4F00AB72" w:rsidR="00B27D36" w:rsidRPr="00A3556F" w:rsidRDefault="00B27D36" w:rsidP="002E1C80">
      <w:pPr>
        <w:pStyle w:val="Heading2BN"/>
        <w:rPr>
          <w:rFonts w:asciiTheme="minorHAnsi" w:hAnsiTheme="minorHAnsi" w:cstheme="minorHAnsi"/>
          <w:b w:val="0"/>
          <w:bCs w:val="0"/>
          <w:i w:val="0"/>
          <w:iCs w:val="0"/>
          <w:color w:val="000000" w:themeColor="text1"/>
          <w:sz w:val="22"/>
          <w:szCs w:val="22"/>
          <w:lang w:eastAsia="en-AU"/>
        </w:rPr>
      </w:pPr>
    </w:p>
    <w:p w14:paraId="62869B00" w14:textId="2308838E"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Housing Construction and Refurbishment Builders Panel</w:t>
      </w:r>
    </w:p>
    <w:p w14:paraId="60F54935" w14:textId="5A5960A1"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State</w:t>
      </w:r>
      <w:r w:rsidR="004D10E8" w:rsidRPr="00A3556F">
        <w:rPr>
          <w:rFonts w:asciiTheme="minorHAnsi" w:hAnsiTheme="minorHAnsi" w:cstheme="minorHAnsi"/>
          <w:b w:val="0"/>
          <w:bCs w:val="0"/>
          <w:i w:val="0"/>
          <w:iCs w:val="0"/>
          <w:color w:val="000000" w:themeColor="text1"/>
          <w:sz w:val="22"/>
          <w:szCs w:val="22"/>
          <w:lang w:eastAsia="en-AU"/>
        </w:rPr>
        <w:t>-W</w:t>
      </w:r>
      <w:r w:rsidRPr="00A3556F">
        <w:rPr>
          <w:rFonts w:asciiTheme="minorHAnsi" w:hAnsiTheme="minorHAnsi" w:cstheme="minorHAnsi"/>
          <w:b w:val="0"/>
          <w:bCs w:val="0"/>
          <w:i w:val="0"/>
          <w:iCs w:val="0"/>
          <w:color w:val="000000" w:themeColor="text1"/>
          <w:sz w:val="22"/>
          <w:szCs w:val="22"/>
          <w:lang w:eastAsia="en-AU"/>
        </w:rPr>
        <w:t xml:space="preserve">ide Modular Panel </w:t>
      </w:r>
    </w:p>
    <w:p w14:paraId="72725622" w14:textId="7768C872"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Prefabricated Builders List </w:t>
      </w:r>
    </w:p>
    <w:p w14:paraId="0D3A3937" w14:textId="6872C99A"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Call for Submissions f</w:t>
      </w:r>
      <w:r w:rsidR="00F82581" w:rsidRPr="00A3556F">
        <w:rPr>
          <w:rFonts w:asciiTheme="minorHAnsi" w:hAnsiTheme="minorHAnsi" w:cstheme="minorHAnsi"/>
          <w:b w:val="0"/>
          <w:bCs w:val="0"/>
          <w:i w:val="0"/>
          <w:iCs w:val="0"/>
          <w:color w:val="000000" w:themeColor="text1"/>
          <w:sz w:val="22"/>
          <w:szCs w:val="22"/>
          <w:lang w:eastAsia="en-AU"/>
        </w:rPr>
        <w:t>or Social Housing</w:t>
      </w:r>
      <w:r w:rsidRPr="00A3556F">
        <w:rPr>
          <w:rFonts w:asciiTheme="minorHAnsi" w:hAnsiTheme="minorHAnsi" w:cstheme="minorHAnsi"/>
          <w:b w:val="0"/>
          <w:bCs w:val="0"/>
          <w:i w:val="0"/>
          <w:iCs w:val="0"/>
          <w:color w:val="000000" w:themeColor="text1"/>
          <w:sz w:val="22"/>
          <w:szCs w:val="22"/>
          <w:lang w:eastAsia="en-AU"/>
        </w:rPr>
        <w:t xml:space="preserve">  </w:t>
      </w:r>
    </w:p>
    <w:p w14:paraId="7788486C" w14:textId="1505DCC0" w:rsidR="00387D82" w:rsidRPr="00A3556F" w:rsidRDefault="00387D82" w:rsidP="00387D82">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Publicly advertised Tenders</w:t>
      </w:r>
    </w:p>
    <w:p w14:paraId="4E4A9C84" w14:textId="1F634088" w:rsidR="006F2CD7" w:rsidRPr="00A3556F" w:rsidRDefault="006F2CD7" w:rsidP="006F2CD7">
      <w:pPr>
        <w:pStyle w:val="NormalBN"/>
        <w:rPr>
          <w:rFonts w:asciiTheme="minorHAnsi" w:hAnsiTheme="minorHAnsi" w:cstheme="minorHAnsi"/>
          <w:sz w:val="22"/>
          <w:szCs w:val="22"/>
          <w:lang w:eastAsia="en-AU"/>
        </w:rPr>
      </w:pPr>
    </w:p>
    <w:p w14:paraId="072F8340" w14:textId="1B94ED2E" w:rsidR="006F2CD7" w:rsidRPr="00A3556F" w:rsidRDefault="006F2CD7" w:rsidP="006F2CD7">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Housing Construction and Refurbishment Builders Panel</w:t>
      </w:r>
    </w:p>
    <w:p w14:paraId="4F9CF506" w14:textId="258C21A5" w:rsidR="00F045AF" w:rsidRPr="003534BD" w:rsidRDefault="00F045AF" w:rsidP="003534BD">
      <w:pPr>
        <w:pStyle w:val="Heading2BN"/>
        <w:numPr>
          <w:ilvl w:val="0"/>
          <w:numId w:val="8"/>
        </w:numPr>
        <w:ind w:left="284"/>
        <w:rPr>
          <w:rFonts w:asciiTheme="minorHAnsi" w:hAnsiTheme="minorHAnsi" w:cstheme="minorHAnsi"/>
          <w:b w:val="0"/>
          <w:bCs w:val="0"/>
          <w:i w:val="0"/>
          <w:iCs w:val="0"/>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Housing Construction and Refurbishment Builders Panel </w:t>
      </w:r>
      <w:r w:rsidR="003534BD">
        <w:rPr>
          <w:rFonts w:asciiTheme="minorHAnsi" w:hAnsiTheme="minorHAnsi" w:cstheme="minorHAnsi"/>
          <w:b w:val="0"/>
          <w:bCs w:val="0"/>
          <w:i w:val="0"/>
          <w:iCs w:val="0"/>
          <w:color w:val="000000" w:themeColor="text1"/>
          <w:sz w:val="22"/>
          <w:szCs w:val="22"/>
          <w:lang w:eastAsia="en-AU"/>
        </w:rPr>
        <w:t xml:space="preserve">was established in 2022 </w:t>
      </w:r>
      <w:r w:rsidRPr="00A3556F">
        <w:rPr>
          <w:rFonts w:asciiTheme="minorHAnsi" w:hAnsiTheme="minorHAnsi" w:cstheme="minorHAnsi"/>
          <w:b w:val="0"/>
          <w:bCs w:val="0"/>
          <w:i w:val="0"/>
          <w:iCs w:val="0"/>
          <w:color w:val="000000" w:themeColor="text1"/>
          <w:sz w:val="22"/>
          <w:szCs w:val="22"/>
          <w:lang w:eastAsia="en-AU"/>
        </w:rPr>
        <w:t>to build Communities’ capacity to deliver Social Housing</w:t>
      </w:r>
      <w:r w:rsidR="003534BD">
        <w:rPr>
          <w:rFonts w:asciiTheme="minorHAnsi" w:hAnsiTheme="minorHAnsi" w:cstheme="minorHAnsi"/>
          <w:b w:val="0"/>
          <w:bCs w:val="0"/>
          <w:i w:val="0"/>
          <w:iCs w:val="0"/>
          <w:color w:val="000000" w:themeColor="text1"/>
          <w:sz w:val="22"/>
          <w:szCs w:val="22"/>
          <w:lang w:eastAsia="en-AU"/>
        </w:rPr>
        <w:t xml:space="preserve"> and</w:t>
      </w:r>
      <w:r w:rsidRPr="00A3556F">
        <w:rPr>
          <w:rFonts w:asciiTheme="minorHAnsi" w:hAnsiTheme="minorHAnsi" w:cstheme="minorHAnsi"/>
          <w:b w:val="0"/>
          <w:bCs w:val="0"/>
          <w:i w:val="0"/>
          <w:iCs w:val="0"/>
          <w:color w:val="000000" w:themeColor="text1"/>
          <w:sz w:val="22"/>
          <w:szCs w:val="22"/>
          <w:lang w:eastAsia="en-AU"/>
        </w:rPr>
        <w:t xml:space="preserve"> Government employee accommodation projects across the State. </w:t>
      </w:r>
      <w:r w:rsidRPr="003534BD">
        <w:rPr>
          <w:rFonts w:asciiTheme="minorHAnsi" w:hAnsiTheme="minorHAnsi" w:cstheme="minorHAnsi"/>
          <w:b w:val="0"/>
          <w:bCs w:val="0"/>
          <w:i w:val="0"/>
          <w:iCs w:val="0"/>
          <w:color w:val="000000" w:themeColor="text1"/>
          <w:sz w:val="22"/>
          <w:szCs w:val="22"/>
          <w:lang w:eastAsia="en-AU"/>
        </w:rPr>
        <w:t>This includes, the</w:t>
      </w:r>
      <w:r w:rsidR="003534BD">
        <w:rPr>
          <w:rFonts w:asciiTheme="minorHAnsi" w:hAnsiTheme="minorHAnsi" w:cstheme="minorHAnsi"/>
          <w:b w:val="0"/>
          <w:bCs w:val="0"/>
          <w:i w:val="0"/>
          <w:iCs w:val="0"/>
          <w:color w:val="000000" w:themeColor="text1"/>
          <w:sz w:val="22"/>
          <w:szCs w:val="22"/>
          <w:lang w:eastAsia="en-AU"/>
        </w:rPr>
        <w:t>:</w:t>
      </w:r>
    </w:p>
    <w:p w14:paraId="200F27FF" w14:textId="6C239BE5" w:rsidR="00187C40" w:rsidRPr="00A3556F" w:rsidRDefault="00187C40" w:rsidP="00187C40">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single detached and group residential Class 1 projects;</w:t>
      </w:r>
    </w:p>
    <w:p w14:paraId="007E2EBE" w14:textId="446BE911"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design and</w:t>
      </w:r>
      <w:r w:rsidR="003534BD">
        <w:rPr>
          <w:rFonts w:asciiTheme="minorHAnsi" w:hAnsiTheme="minorHAnsi" w:cstheme="minorHAnsi"/>
          <w:b w:val="0"/>
          <w:bCs w:val="0"/>
          <w:i w:val="0"/>
          <w:iCs w:val="0"/>
          <w:color w:val="000000" w:themeColor="text1"/>
          <w:sz w:val="22"/>
          <w:szCs w:val="22"/>
          <w:lang w:eastAsia="en-AU"/>
        </w:rPr>
        <w:t>/or</w:t>
      </w:r>
      <w:r w:rsidRPr="00A3556F">
        <w:rPr>
          <w:rFonts w:asciiTheme="minorHAnsi" w:hAnsiTheme="minorHAnsi" w:cstheme="minorHAnsi"/>
          <w:b w:val="0"/>
          <w:bCs w:val="0"/>
          <w:i w:val="0"/>
          <w:iCs w:val="0"/>
          <w:color w:val="000000" w:themeColor="text1"/>
          <w:sz w:val="22"/>
          <w:szCs w:val="22"/>
          <w:lang w:eastAsia="en-AU"/>
        </w:rPr>
        <w:t xml:space="preserve"> construction of residential Class 2 projects;</w:t>
      </w:r>
    </w:p>
    <w:p w14:paraId="03FC7E03" w14:textId="2681C497" w:rsidR="00187C40" w:rsidRPr="00A3556F" w:rsidRDefault="00187C40" w:rsidP="004F3FF9">
      <w:pPr>
        <w:pStyle w:val="Heading2BN"/>
        <w:numPr>
          <w:ilvl w:val="1"/>
          <w:numId w:val="8"/>
        </w:numPr>
        <w:ind w:left="720" w:hanging="436"/>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construction of residential Class 3 buildings;</w:t>
      </w:r>
      <w:r w:rsidR="00DF08E1">
        <w:rPr>
          <w:rFonts w:asciiTheme="minorHAnsi" w:hAnsiTheme="minorHAnsi" w:cstheme="minorHAnsi"/>
          <w:b w:val="0"/>
          <w:bCs w:val="0"/>
          <w:i w:val="0"/>
          <w:iCs w:val="0"/>
          <w:color w:val="000000" w:themeColor="text1"/>
          <w:sz w:val="22"/>
          <w:szCs w:val="22"/>
          <w:lang w:eastAsia="en-AU"/>
        </w:rPr>
        <w:t xml:space="preserve"> and</w:t>
      </w:r>
    </w:p>
    <w:p w14:paraId="087AFCC1" w14:textId="575FFE16" w:rsidR="00187C40" w:rsidRPr="00A3556F" w:rsidRDefault="00187C40" w:rsidP="00187C40">
      <w:pPr>
        <w:pStyle w:val="Heading2BN"/>
        <w:numPr>
          <w:ilvl w:val="1"/>
          <w:numId w:val="8"/>
        </w:numPr>
        <w:ind w:left="284" w:firstLine="0"/>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major </w:t>
      </w:r>
      <w:r w:rsidR="003534BD">
        <w:rPr>
          <w:rFonts w:asciiTheme="minorHAnsi" w:hAnsiTheme="minorHAnsi" w:cstheme="minorHAnsi"/>
          <w:b w:val="0"/>
          <w:bCs w:val="0"/>
          <w:i w:val="0"/>
          <w:iCs w:val="0"/>
          <w:color w:val="000000" w:themeColor="text1"/>
          <w:sz w:val="22"/>
          <w:szCs w:val="22"/>
          <w:lang w:eastAsia="en-AU"/>
        </w:rPr>
        <w:t xml:space="preserve">and/or minor </w:t>
      </w:r>
      <w:r w:rsidRPr="00A3556F">
        <w:rPr>
          <w:rFonts w:asciiTheme="minorHAnsi" w:hAnsiTheme="minorHAnsi" w:cstheme="minorHAnsi"/>
          <w:b w:val="0"/>
          <w:bCs w:val="0"/>
          <w:i w:val="0"/>
          <w:iCs w:val="0"/>
          <w:color w:val="000000" w:themeColor="text1"/>
          <w:sz w:val="22"/>
          <w:szCs w:val="22"/>
          <w:lang w:eastAsia="en-AU"/>
        </w:rPr>
        <w:t>housing refurbishment work</w:t>
      </w:r>
      <w:r w:rsidR="003534BD">
        <w:rPr>
          <w:rFonts w:asciiTheme="minorHAnsi" w:hAnsiTheme="minorHAnsi" w:cstheme="minorHAnsi"/>
          <w:b w:val="0"/>
          <w:bCs w:val="0"/>
          <w:i w:val="0"/>
          <w:iCs w:val="0"/>
          <w:color w:val="000000" w:themeColor="text1"/>
          <w:sz w:val="22"/>
          <w:szCs w:val="22"/>
          <w:lang w:eastAsia="en-AU"/>
        </w:rPr>
        <w:t>s.</w:t>
      </w:r>
    </w:p>
    <w:p w14:paraId="713F2C69" w14:textId="18A37D98" w:rsidR="00187C40" w:rsidRPr="00A3556F" w:rsidRDefault="00187C40" w:rsidP="00F74128">
      <w:pPr>
        <w:pStyle w:val="Heading2BN"/>
        <w:ind w:left="284"/>
        <w:rPr>
          <w:rFonts w:asciiTheme="minorHAnsi" w:hAnsiTheme="minorHAnsi" w:cstheme="minorHAnsi"/>
          <w:b w:val="0"/>
          <w:bCs w:val="0"/>
          <w:i w:val="0"/>
          <w:iCs w:val="0"/>
          <w:color w:val="000000" w:themeColor="text1"/>
          <w:sz w:val="22"/>
          <w:szCs w:val="22"/>
          <w:lang w:eastAsia="en-AU"/>
        </w:rPr>
      </w:pPr>
    </w:p>
    <w:bookmarkEnd w:id="0"/>
    <w:bookmarkEnd w:id="1"/>
    <w:p w14:paraId="55FC3636" w14:textId="3901AC99" w:rsidR="002E1C80" w:rsidRPr="00A3556F" w:rsidRDefault="004F6C8D" w:rsidP="00994E18">
      <w:pPr>
        <w:pStyle w:val="Heading2BN"/>
        <w:numPr>
          <w:ilvl w:val="0"/>
          <w:numId w:val="8"/>
        </w:numPr>
        <w:ind w:left="284"/>
        <w:jc w:val="left"/>
        <w:rPr>
          <w:rFonts w:asciiTheme="minorHAnsi" w:hAnsiTheme="minorHAnsi" w:cstheme="minorHAnsi"/>
          <w:b w:val="0"/>
          <w:bCs w:val="0"/>
          <w:i w:val="0"/>
          <w:iCs w:val="0"/>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152</w:t>
      </w:r>
      <w:r w:rsidR="00187C40" w:rsidRPr="00A3556F">
        <w:rPr>
          <w:rFonts w:asciiTheme="minorHAnsi" w:hAnsiTheme="minorHAnsi" w:cstheme="minorHAnsi"/>
          <w:b w:val="0"/>
          <w:bCs w:val="0"/>
          <w:i w:val="0"/>
          <w:iCs w:val="0"/>
          <w:color w:val="000000" w:themeColor="text1"/>
          <w:sz w:val="22"/>
          <w:szCs w:val="22"/>
          <w:lang w:eastAsia="en-AU"/>
        </w:rPr>
        <w:t xml:space="preserve"> builders have been appointed to the Panel</w:t>
      </w:r>
      <w:r w:rsidR="00A21C60" w:rsidRPr="00A3556F">
        <w:rPr>
          <w:rFonts w:asciiTheme="minorHAnsi" w:hAnsiTheme="minorHAnsi" w:cstheme="minorHAnsi"/>
          <w:b w:val="0"/>
          <w:bCs w:val="0"/>
          <w:i w:val="0"/>
          <w:iCs w:val="0"/>
          <w:color w:val="000000" w:themeColor="text1"/>
          <w:sz w:val="22"/>
          <w:szCs w:val="22"/>
          <w:lang w:eastAsia="en-AU"/>
        </w:rPr>
        <w:t xml:space="preserve">. </w:t>
      </w:r>
      <w:r w:rsidR="006F2CD7" w:rsidRPr="00A3556F">
        <w:rPr>
          <w:rFonts w:asciiTheme="minorHAnsi" w:hAnsiTheme="minorHAnsi" w:cstheme="minorHAnsi"/>
          <w:b w:val="0"/>
          <w:bCs w:val="0"/>
          <w:i w:val="0"/>
          <w:iCs w:val="0"/>
          <w:color w:val="000000" w:themeColor="text1"/>
          <w:sz w:val="22"/>
          <w:szCs w:val="22"/>
          <w:lang w:eastAsia="en-AU"/>
        </w:rPr>
        <w:t>The</w:t>
      </w:r>
      <w:r w:rsidR="003534BD">
        <w:rPr>
          <w:rFonts w:asciiTheme="minorHAnsi" w:hAnsiTheme="minorHAnsi" w:cstheme="minorHAnsi"/>
          <w:b w:val="0"/>
          <w:bCs w:val="0"/>
          <w:i w:val="0"/>
          <w:iCs w:val="0"/>
          <w:color w:val="000000" w:themeColor="text1"/>
          <w:sz w:val="22"/>
          <w:szCs w:val="22"/>
          <w:lang w:eastAsia="en-AU"/>
        </w:rPr>
        <w:t xml:space="preserve"> current</w:t>
      </w:r>
      <w:r w:rsidR="006F2CD7" w:rsidRPr="00A3556F">
        <w:rPr>
          <w:rFonts w:asciiTheme="minorHAnsi" w:hAnsiTheme="minorHAnsi" w:cstheme="minorHAnsi"/>
          <w:b w:val="0"/>
          <w:bCs w:val="0"/>
          <w:i w:val="0"/>
          <w:iCs w:val="0"/>
          <w:color w:val="000000" w:themeColor="text1"/>
          <w:sz w:val="22"/>
          <w:szCs w:val="22"/>
          <w:lang w:eastAsia="en-AU"/>
        </w:rPr>
        <w:t xml:space="preserve"> Panel </w:t>
      </w:r>
      <w:r w:rsidR="003534BD">
        <w:rPr>
          <w:rFonts w:asciiTheme="minorHAnsi" w:hAnsiTheme="minorHAnsi" w:cstheme="minorHAnsi"/>
          <w:b w:val="0"/>
          <w:bCs w:val="0"/>
          <w:i w:val="0"/>
          <w:iCs w:val="0"/>
          <w:color w:val="000000" w:themeColor="text1"/>
          <w:sz w:val="22"/>
          <w:szCs w:val="22"/>
          <w:lang w:eastAsia="en-AU"/>
        </w:rPr>
        <w:t>is valid until</w:t>
      </w:r>
      <w:r w:rsidR="006925F5">
        <w:rPr>
          <w:rFonts w:asciiTheme="minorHAnsi" w:hAnsiTheme="minorHAnsi" w:cstheme="minorHAnsi"/>
          <w:b w:val="0"/>
          <w:bCs w:val="0"/>
          <w:i w:val="0"/>
          <w:iCs w:val="0"/>
          <w:color w:val="000000" w:themeColor="text1"/>
          <w:sz w:val="22"/>
          <w:szCs w:val="22"/>
          <w:lang w:eastAsia="en-AU"/>
        </w:rPr>
        <w:t xml:space="preserve"> November </w:t>
      </w:r>
      <w:r w:rsidR="003534BD">
        <w:rPr>
          <w:rFonts w:asciiTheme="minorHAnsi" w:hAnsiTheme="minorHAnsi" w:cstheme="minorHAnsi"/>
          <w:b w:val="0"/>
          <w:bCs w:val="0"/>
          <w:i w:val="0"/>
          <w:iCs w:val="0"/>
          <w:color w:val="000000" w:themeColor="text1"/>
          <w:sz w:val="22"/>
          <w:szCs w:val="22"/>
          <w:lang w:eastAsia="en-AU"/>
        </w:rPr>
        <w:t>2024, at which point f</w:t>
      </w:r>
      <w:r w:rsidR="004D10E8" w:rsidRPr="00A3556F">
        <w:rPr>
          <w:rFonts w:asciiTheme="minorHAnsi" w:hAnsiTheme="minorHAnsi" w:cstheme="minorHAnsi"/>
          <w:b w:val="0"/>
          <w:bCs w:val="0"/>
          <w:i w:val="0"/>
          <w:iCs w:val="0"/>
          <w:color w:val="000000" w:themeColor="text1"/>
          <w:sz w:val="22"/>
          <w:szCs w:val="22"/>
          <w:lang w:eastAsia="en-AU"/>
        </w:rPr>
        <w:t>uture o</w:t>
      </w:r>
      <w:r w:rsidR="00F045AF" w:rsidRPr="00A3556F">
        <w:rPr>
          <w:rFonts w:asciiTheme="minorHAnsi" w:hAnsiTheme="minorHAnsi" w:cstheme="minorHAnsi"/>
          <w:b w:val="0"/>
          <w:bCs w:val="0"/>
          <w:i w:val="0"/>
          <w:iCs w:val="0"/>
          <w:color w:val="000000" w:themeColor="text1"/>
          <w:sz w:val="22"/>
          <w:szCs w:val="22"/>
          <w:lang w:eastAsia="en-AU"/>
        </w:rPr>
        <w:t xml:space="preserve">pportunities </w:t>
      </w:r>
      <w:r w:rsidR="003534BD">
        <w:rPr>
          <w:rFonts w:asciiTheme="minorHAnsi" w:hAnsiTheme="minorHAnsi" w:cstheme="minorHAnsi"/>
          <w:b w:val="0"/>
          <w:bCs w:val="0"/>
          <w:i w:val="0"/>
          <w:iCs w:val="0"/>
          <w:color w:val="000000" w:themeColor="text1"/>
          <w:sz w:val="22"/>
          <w:szCs w:val="22"/>
          <w:lang w:eastAsia="en-AU"/>
        </w:rPr>
        <w:t xml:space="preserve">for local businesses and companies </w:t>
      </w:r>
      <w:r w:rsidR="00F045AF" w:rsidRPr="00A3556F">
        <w:rPr>
          <w:rFonts w:asciiTheme="minorHAnsi" w:hAnsiTheme="minorHAnsi" w:cstheme="minorHAnsi"/>
          <w:b w:val="0"/>
          <w:bCs w:val="0"/>
          <w:i w:val="0"/>
          <w:iCs w:val="0"/>
          <w:color w:val="000000" w:themeColor="text1"/>
          <w:sz w:val="22"/>
          <w:szCs w:val="22"/>
          <w:lang w:eastAsia="en-AU"/>
        </w:rPr>
        <w:t xml:space="preserve">to join the Panel </w:t>
      </w:r>
      <w:r w:rsidR="007777A2" w:rsidRPr="00A3556F">
        <w:rPr>
          <w:rFonts w:asciiTheme="minorHAnsi" w:hAnsiTheme="minorHAnsi" w:cstheme="minorHAnsi"/>
          <w:b w:val="0"/>
          <w:bCs w:val="0"/>
          <w:i w:val="0"/>
          <w:iCs w:val="0"/>
          <w:color w:val="000000" w:themeColor="text1"/>
          <w:sz w:val="22"/>
          <w:szCs w:val="22"/>
          <w:lang w:eastAsia="en-AU"/>
        </w:rPr>
        <w:t xml:space="preserve">will be advertised </w:t>
      </w:r>
      <w:r w:rsidR="00F045AF" w:rsidRPr="00A3556F">
        <w:rPr>
          <w:rFonts w:asciiTheme="minorHAnsi" w:hAnsiTheme="minorHAnsi" w:cstheme="minorHAnsi"/>
          <w:b w:val="0"/>
          <w:bCs w:val="0"/>
          <w:i w:val="0"/>
          <w:iCs w:val="0"/>
          <w:color w:val="000000" w:themeColor="text1"/>
          <w:sz w:val="22"/>
          <w:szCs w:val="22"/>
          <w:lang w:eastAsia="en-AU"/>
        </w:rPr>
        <w:t>on the Tenders WA site at</w:t>
      </w:r>
      <w:r w:rsidR="00F045AF" w:rsidRPr="00A3556F">
        <w:rPr>
          <w:rFonts w:asciiTheme="minorHAnsi" w:eastAsia="Arial" w:hAnsiTheme="minorHAnsi" w:cstheme="minorHAnsi"/>
          <w:b w:val="0"/>
          <w:bCs w:val="0"/>
          <w:i w:val="0"/>
          <w:iCs w:val="0"/>
          <w:color w:val="0000FF"/>
          <w:sz w:val="22"/>
          <w:szCs w:val="22"/>
          <w:u w:val="single"/>
        </w:rPr>
        <w:t xml:space="preserve"> </w:t>
      </w:r>
      <w:hyperlink r:id="rId13" w:history="1">
        <w:r w:rsidR="00F045AF" w:rsidRPr="00A3556F">
          <w:rPr>
            <w:rStyle w:val="Hyperlink"/>
            <w:rFonts w:asciiTheme="minorHAnsi" w:hAnsiTheme="minorHAnsi" w:cstheme="minorHAnsi"/>
            <w:b w:val="0"/>
            <w:bCs w:val="0"/>
            <w:i w:val="0"/>
            <w:iCs w:val="0"/>
            <w:sz w:val="22"/>
            <w:szCs w:val="22"/>
            <w:lang w:eastAsia="en-AU"/>
          </w:rPr>
          <w:t>https://www.tenders.wa.gov.au/watenders/index.do</w:t>
        </w:r>
      </w:hyperlink>
      <w:r w:rsidR="00F045AF" w:rsidRPr="00A3556F">
        <w:rPr>
          <w:rFonts w:asciiTheme="minorHAnsi" w:hAnsiTheme="minorHAnsi" w:cstheme="minorHAnsi"/>
          <w:b w:val="0"/>
          <w:bCs w:val="0"/>
          <w:i w:val="0"/>
          <w:iCs w:val="0"/>
          <w:color w:val="000000" w:themeColor="text1"/>
          <w:sz w:val="22"/>
          <w:szCs w:val="22"/>
          <w:lang w:eastAsia="en-AU"/>
        </w:rPr>
        <w:t>.</w:t>
      </w:r>
    </w:p>
    <w:p w14:paraId="3A15441A" w14:textId="77777777" w:rsidR="00994E18" w:rsidRPr="00A3556F" w:rsidRDefault="00994E18" w:rsidP="00994E18">
      <w:pPr>
        <w:pStyle w:val="NormalBN"/>
        <w:rPr>
          <w:rFonts w:asciiTheme="minorHAnsi" w:hAnsiTheme="minorHAnsi" w:cstheme="minorHAnsi"/>
          <w:b/>
          <w:bCs/>
          <w:color w:val="000000" w:themeColor="text1"/>
          <w:sz w:val="22"/>
          <w:szCs w:val="22"/>
          <w:lang w:eastAsia="en-AU"/>
        </w:rPr>
      </w:pPr>
    </w:p>
    <w:p w14:paraId="131F81F2" w14:textId="62A0108E"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State-Wide Modular Panel</w:t>
      </w:r>
    </w:p>
    <w:p w14:paraId="3AC8EF11" w14:textId="31A7F207" w:rsidR="00994E18" w:rsidRPr="00A3556F" w:rsidRDefault="00994E18" w:rsidP="00994E18">
      <w:pPr>
        <w:pStyle w:val="Heading2BN"/>
        <w:numPr>
          <w:ilvl w:val="0"/>
          <w:numId w:val="8"/>
        </w:numPr>
        <w:ind w:left="284"/>
        <w:rPr>
          <w:rFonts w:asciiTheme="minorHAnsi" w:hAnsiTheme="minorHAnsi" w:cstheme="minorHAnsi"/>
          <w:b w:val="0"/>
          <w:bCs w:val="0"/>
          <w:i w:val="0"/>
          <w:iCs w:val="0"/>
          <w:color w:val="000000" w:themeColor="text1"/>
          <w:sz w:val="22"/>
          <w:szCs w:val="22"/>
          <w:lang w:eastAsia="en-AU"/>
        </w:rPr>
      </w:pPr>
      <w:r w:rsidRPr="00A3556F">
        <w:rPr>
          <w:rFonts w:asciiTheme="minorHAnsi" w:hAnsiTheme="minorHAnsi" w:cstheme="minorHAnsi"/>
          <w:b w:val="0"/>
          <w:bCs w:val="0"/>
          <w:i w:val="0"/>
          <w:iCs w:val="0"/>
          <w:color w:val="000000" w:themeColor="text1"/>
          <w:sz w:val="22"/>
          <w:szCs w:val="22"/>
          <w:lang w:eastAsia="en-AU"/>
        </w:rPr>
        <w:t xml:space="preserve">The State-Wide Modular Panel has been </w:t>
      </w:r>
      <w:r w:rsidR="003011BA">
        <w:rPr>
          <w:rFonts w:asciiTheme="minorHAnsi" w:hAnsiTheme="minorHAnsi" w:cstheme="minorHAnsi"/>
          <w:b w:val="0"/>
          <w:bCs w:val="0"/>
          <w:i w:val="0"/>
          <w:iCs w:val="0"/>
          <w:color w:val="000000" w:themeColor="text1"/>
          <w:sz w:val="22"/>
          <w:szCs w:val="22"/>
          <w:lang w:eastAsia="en-AU"/>
        </w:rPr>
        <w:t>established</w:t>
      </w:r>
      <w:r w:rsidR="003011BA" w:rsidRPr="00A3556F">
        <w:rPr>
          <w:rFonts w:asciiTheme="minorHAnsi" w:hAnsiTheme="minorHAnsi" w:cstheme="minorHAnsi"/>
          <w:b w:val="0"/>
          <w:bCs w:val="0"/>
          <w:i w:val="0"/>
          <w:iCs w:val="0"/>
          <w:color w:val="000000" w:themeColor="text1"/>
          <w:sz w:val="22"/>
          <w:szCs w:val="22"/>
          <w:lang w:eastAsia="en-AU"/>
        </w:rPr>
        <w:t xml:space="preserve"> </w:t>
      </w:r>
      <w:r w:rsidRPr="00A3556F">
        <w:rPr>
          <w:rFonts w:asciiTheme="minorHAnsi" w:hAnsiTheme="minorHAnsi" w:cstheme="minorHAnsi"/>
          <w:b w:val="0"/>
          <w:bCs w:val="0"/>
          <w:i w:val="0"/>
          <w:iCs w:val="0"/>
          <w:color w:val="000000" w:themeColor="text1"/>
          <w:sz w:val="22"/>
          <w:szCs w:val="22"/>
          <w:lang w:eastAsia="en-AU"/>
        </w:rPr>
        <w:t>for the delivery of pre-manufactured modular housing. Modular construction involves the construction of dwellings which are transported to site and installed at the location. This method suits locations</w:t>
      </w:r>
      <w:r w:rsidR="003011BA">
        <w:rPr>
          <w:rFonts w:asciiTheme="minorHAnsi" w:hAnsiTheme="minorHAnsi" w:cstheme="minorHAnsi"/>
          <w:b w:val="0"/>
          <w:bCs w:val="0"/>
          <w:i w:val="0"/>
          <w:iCs w:val="0"/>
          <w:color w:val="000000" w:themeColor="text1"/>
          <w:sz w:val="22"/>
          <w:szCs w:val="22"/>
          <w:lang w:eastAsia="en-AU"/>
        </w:rPr>
        <w:t xml:space="preserve"> such as the regions,</w:t>
      </w:r>
      <w:r w:rsidRPr="00A3556F">
        <w:rPr>
          <w:rFonts w:asciiTheme="minorHAnsi" w:hAnsiTheme="minorHAnsi" w:cstheme="minorHAnsi"/>
          <w:b w:val="0"/>
          <w:bCs w:val="0"/>
          <w:i w:val="0"/>
          <w:iCs w:val="0"/>
          <w:color w:val="000000" w:themeColor="text1"/>
          <w:sz w:val="22"/>
          <w:szCs w:val="22"/>
          <w:lang w:eastAsia="en-AU"/>
        </w:rPr>
        <w:t xml:space="preserve"> where it is challenging to deliver in-situ housing due to trade shortages at locations and/or due to challenging sites.</w:t>
      </w:r>
    </w:p>
    <w:p w14:paraId="126F1E9F" w14:textId="498823F6" w:rsidR="002E1C80" w:rsidRPr="00A3556F" w:rsidRDefault="002E1C80" w:rsidP="002E1C80">
      <w:pPr>
        <w:pStyle w:val="Heading2BN"/>
        <w:ind w:left="284"/>
        <w:rPr>
          <w:rFonts w:asciiTheme="minorHAnsi" w:hAnsiTheme="minorHAnsi" w:cstheme="minorHAnsi"/>
          <w:b w:val="0"/>
          <w:bCs w:val="0"/>
          <w:i w:val="0"/>
          <w:iCs w:val="0"/>
          <w:color w:val="000000" w:themeColor="text1"/>
          <w:sz w:val="22"/>
          <w:szCs w:val="22"/>
          <w:lang w:eastAsia="en-AU"/>
        </w:rPr>
      </w:pPr>
    </w:p>
    <w:p w14:paraId="386473EE" w14:textId="12FCB33D"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Prefabricated Builders List</w:t>
      </w:r>
    </w:p>
    <w:p w14:paraId="00C04CF4" w14:textId="336A9A2B" w:rsidR="00994E18" w:rsidRPr="00A3556F" w:rsidRDefault="003011BA" w:rsidP="000A62E0">
      <w:pPr>
        <w:pStyle w:val="Heading2BN"/>
        <w:numPr>
          <w:ilvl w:val="0"/>
          <w:numId w:val="8"/>
        </w:numPr>
        <w:ind w:left="284"/>
        <w:rPr>
          <w:rFonts w:asciiTheme="minorHAnsi" w:hAnsiTheme="minorHAnsi" w:cstheme="minorHAnsi"/>
          <w:color w:val="000000" w:themeColor="text1"/>
          <w:sz w:val="22"/>
          <w:szCs w:val="22"/>
          <w:lang w:eastAsia="en-AU"/>
        </w:rPr>
      </w:pPr>
      <w:r>
        <w:rPr>
          <w:rFonts w:asciiTheme="minorHAnsi" w:hAnsiTheme="minorHAnsi" w:cstheme="minorHAnsi"/>
          <w:b w:val="0"/>
          <w:bCs w:val="0"/>
          <w:i w:val="0"/>
          <w:iCs w:val="0"/>
          <w:color w:val="000000" w:themeColor="text1"/>
          <w:sz w:val="22"/>
          <w:szCs w:val="22"/>
          <w:lang w:eastAsia="en-AU"/>
        </w:rPr>
        <w:t>The</w:t>
      </w:r>
      <w:r w:rsidR="00994E18" w:rsidRPr="00A3556F">
        <w:rPr>
          <w:rFonts w:asciiTheme="minorHAnsi" w:hAnsiTheme="minorHAnsi" w:cstheme="minorHAnsi"/>
          <w:b w:val="0"/>
          <w:bCs w:val="0"/>
          <w:i w:val="0"/>
          <w:iCs w:val="0"/>
          <w:color w:val="000000" w:themeColor="text1"/>
          <w:sz w:val="22"/>
          <w:szCs w:val="22"/>
          <w:lang w:eastAsia="en-AU"/>
        </w:rPr>
        <w:t xml:space="preserve"> Prefabricated Builders List </w:t>
      </w:r>
      <w:r w:rsidR="00FA78D9">
        <w:rPr>
          <w:rFonts w:asciiTheme="minorHAnsi" w:hAnsiTheme="minorHAnsi" w:cstheme="minorHAnsi"/>
          <w:b w:val="0"/>
          <w:bCs w:val="0"/>
          <w:i w:val="0"/>
          <w:iCs w:val="0"/>
          <w:color w:val="000000" w:themeColor="text1"/>
          <w:sz w:val="22"/>
          <w:szCs w:val="22"/>
          <w:lang w:eastAsia="en-AU"/>
        </w:rPr>
        <w:t xml:space="preserve">has been established </w:t>
      </w:r>
      <w:r w:rsidR="00994E18" w:rsidRPr="00A3556F">
        <w:rPr>
          <w:rFonts w:asciiTheme="minorHAnsi" w:hAnsiTheme="minorHAnsi" w:cstheme="minorHAnsi"/>
          <w:b w:val="0"/>
          <w:bCs w:val="0"/>
          <w:i w:val="0"/>
          <w:iCs w:val="0"/>
          <w:color w:val="000000" w:themeColor="text1"/>
          <w:sz w:val="22"/>
          <w:szCs w:val="22"/>
          <w:lang w:eastAsia="en-AU"/>
        </w:rPr>
        <w:t xml:space="preserve">for the State-wide delivery of pre-manufactured housing. </w:t>
      </w:r>
      <w:r w:rsidR="00594D2A">
        <w:rPr>
          <w:rFonts w:asciiTheme="minorHAnsi" w:hAnsiTheme="minorHAnsi" w:cstheme="minorHAnsi"/>
          <w:b w:val="0"/>
          <w:bCs w:val="0"/>
          <w:i w:val="0"/>
          <w:iCs w:val="0"/>
          <w:color w:val="000000" w:themeColor="text1"/>
          <w:sz w:val="22"/>
          <w:szCs w:val="22"/>
          <w:lang w:eastAsia="en-AU"/>
        </w:rPr>
        <w:t xml:space="preserve">Prefabricated construction </w:t>
      </w:r>
      <w:r w:rsidR="00994E18" w:rsidRPr="00A3556F">
        <w:rPr>
          <w:rFonts w:asciiTheme="minorHAnsi" w:hAnsiTheme="minorHAnsi" w:cstheme="minorHAnsi"/>
          <w:b w:val="0"/>
          <w:bCs w:val="0"/>
          <w:i w:val="0"/>
          <w:iCs w:val="0"/>
          <w:color w:val="000000" w:themeColor="text1"/>
          <w:sz w:val="22"/>
          <w:szCs w:val="22"/>
          <w:lang w:eastAsia="en-AU"/>
        </w:rPr>
        <w:t>involves the construction of dwellings in sections offsite with panels and/or sections being transported to site and installed at the location.</w:t>
      </w:r>
    </w:p>
    <w:p w14:paraId="530A903D" w14:textId="77777777" w:rsidR="001E7BB6" w:rsidRDefault="001E7BB6" w:rsidP="00994E18">
      <w:pPr>
        <w:pStyle w:val="NormalBN"/>
        <w:rPr>
          <w:rFonts w:asciiTheme="minorHAnsi" w:hAnsiTheme="minorHAnsi" w:cstheme="minorHAnsi"/>
          <w:b/>
          <w:bCs/>
          <w:color w:val="000000" w:themeColor="text1"/>
          <w:sz w:val="22"/>
          <w:szCs w:val="22"/>
          <w:lang w:eastAsia="en-AU"/>
        </w:rPr>
      </w:pPr>
    </w:p>
    <w:p w14:paraId="7E999B68" w14:textId="03B3FEE2" w:rsidR="00994E18" w:rsidRPr="00A3556F" w:rsidRDefault="00994E18" w:rsidP="00994E18">
      <w:pPr>
        <w:pStyle w:val="NormalBN"/>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Enquiries  </w:t>
      </w:r>
    </w:p>
    <w:p w14:paraId="65EBD240" w14:textId="1BA92D21" w:rsidR="00994E18" w:rsidRPr="00A3556F" w:rsidRDefault="00994E18" w:rsidP="00994E18">
      <w:pPr>
        <w:pStyle w:val="Heading2BN"/>
        <w:numPr>
          <w:ilvl w:val="0"/>
          <w:numId w:val="8"/>
        </w:numPr>
        <w:ind w:left="284"/>
        <w:rPr>
          <w:rFonts w:asciiTheme="minorHAnsi" w:hAnsiTheme="minorHAnsi" w:cstheme="minorHAnsi"/>
          <w:b w:val="0"/>
          <w:i w:val="0"/>
          <w:iCs w:val="0"/>
          <w:color w:val="000000" w:themeColor="text1"/>
          <w:sz w:val="22"/>
          <w:szCs w:val="22"/>
          <w:lang w:eastAsia="en-AU"/>
        </w:rPr>
      </w:pPr>
      <w:r w:rsidRPr="00A3556F">
        <w:rPr>
          <w:rFonts w:asciiTheme="minorHAnsi" w:hAnsiTheme="minorHAnsi" w:cstheme="minorHAnsi"/>
          <w:b w:val="0"/>
          <w:i w:val="0"/>
          <w:iCs w:val="0"/>
          <w:color w:val="000000" w:themeColor="text1"/>
          <w:sz w:val="22"/>
          <w:szCs w:val="22"/>
          <w:lang w:eastAsia="en-AU"/>
        </w:rPr>
        <w:t xml:space="preserve">Enquiries can be made at </w:t>
      </w:r>
      <w:hyperlink r:id="rId14" w:history="1">
        <w:r w:rsidR="00594D2A" w:rsidRPr="00594D2A">
          <w:rPr>
            <w:rStyle w:val="Hyperlink"/>
            <w:rFonts w:asciiTheme="minorHAnsi" w:hAnsiTheme="minorHAnsi" w:cstheme="minorHAnsi"/>
            <w:b w:val="0"/>
            <w:bCs w:val="0"/>
            <w:i w:val="0"/>
            <w:iCs w:val="0"/>
            <w:sz w:val="22"/>
            <w:szCs w:val="22"/>
            <w:lang w:eastAsia="en-AU"/>
          </w:rPr>
          <w:t>builders.panel@communities.wa.gov.au</w:t>
        </w:r>
      </w:hyperlink>
      <w:r w:rsidRPr="00A3556F">
        <w:rPr>
          <w:rFonts w:asciiTheme="minorHAnsi" w:hAnsiTheme="minorHAnsi" w:cstheme="minorHAnsi"/>
          <w:b w:val="0"/>
          <w:i w:val="0"/>
          <w:iCs w:val="0"/>
          <w:color w:val="000000" w:themeColor="text1"/>
          <w:sz w:val="22"/>
          <w:szCs w:val="22"/>
          <w:lang w:eastAsia="en-AU"/>
        </w:rPr>
        <w:t xml:space="preserve"> </w:t>
      </w:r>
    </w:p>
    <w:p w14:paraId="21E204E1" w14:textId="77777777" w:rsidR="005A6DD9" w:rsidRDefault="005A6DD9" w:rsidP="00994E18">
      <w:pPr>
        <w:pStyle w:val="NormalBN"/>
        <w:jc w:val="left"/>
        <w:rPr>
          <w:rFonts w:asciiTheme="minorHAnsi" w:hAnsiTheme="minorHAnsi" w:cstheme="minorHAnsi"/>
          <w:b/>
          <w:bCs/>
          <w:color w:val="000000" w:themeColor="text1"/>
          <w:sz w:val="22"/>
          <w:szCs w:val="22"/>
          <w:lang w:eastAsia="en-AU"/>
        </w:rPr>
      </w:pPr>
    </w:p>
    <w:p w14:paraId="6021ABB8" w14:textId="23C3996F"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Call for Submissions for Social Housing </w:t>
      </w:r>
    </w:p>
    <w:p w14:paraId="06C5A264" w14:textId="77777777" w:rsidR="00994E18" w:rsidRDefault="00994E18" w:rsidP="00994E18">
      <w:pPr>
        <w:pStyle w:val="Heading2BN"/>
        <w:numPr>
          <w:ilvl w:val="0"/>
          <w:numId w:val="8"/>
        </w:numPr>
        <w:ind w:left="284"/>
        <w:jc w:val="left"/>
        <w:rPr>
          <w:rFonts w:asciiTheme="minorHAnsi" w:eastAsia="Arial" w:hAnsiTheme="minorHAnsi" w:cstheme="minorHAnsi"/>
          <w:b w:val="0"/>
          <w:bCs w:val="0"/>
          <w:i w:val="0"/>
          <w:iCs w:val="0"/>
          <w:sz w:val="22"/>
          <w:szCs w:val="22"/>
        </w:rPr>
      </w:pPr>
      <w:r w:rsidRPr="00A3556F">
        <w:rPr>
          <w:rFonts w:asciiTheme="minorHAnsi" w:hAnsiTheme="minorHAnsi" w:cstheme="minorHAnsi"/>
          <w:b w:val="0"/>
          <w:bCs w:val="0"/>
          <w:i w:val="0"/>
          <w:iCs w:val="0"/>
          <w:color w:val="000000" w:themeColor="text1"/>
          <w:sz w:val="22"/>
          <w:szCs w:val="22"/>
          <w:lang w:eastAsia="en-AU"/>
        </w:rPr>
        <w:t xml:space="preserve">Communities invites submissions from the property and construction industry to help deliver liveable and sustainable grouped and multiple dwelling residential developments (of up to 30 homes) for social housing in Perth or regional Western Australia. Interested parties can register and download the Call for Submission documentation at this site </w:t>
      </w:r>
      <w:hyperlink r:id="rId15" w:history="1">
        <w:r w:rsidRPr="00A3556F">
          <w:rPr>
            <w:rStyle w:val="Hyperlink"/>
            <w:rFonts w:asciiTheme="minorHAnsi" w:eastAsia="Arial" w:hAnsiTheme="minorHAnsi" w:cstheme="minorHAnsi"/>
            <w:b w:val="0"/>
            <w:bCs w:val="0"/>
            <w:i w:val="0"/>
            <w:iCs w:val="0"/>
            <w:sz w:val="22"/>
            <w:szCs w:val="22"/>
          </w:rPr>
          <w:t>https://www.wa.gov.au/organisation/department-of-communities/department-of-communities-housing-business-opportunities</w:t>
        </w:r>
      </w:hyperlink>
      <w:r w:rsidRPr="00A3556F">
        <w:rPr>
          <w:rFonts w:asciiTheme="minorHAnsi" w:eastAsia="Arial" w:hAnsiTheme="minorHAnsi" w:cstheme="minorHAnsi"/>
          <w:b w:val="0"/>
          <w:bCs w:val="0"/>
          <w:i w:val="0"/>
          <w:iCs w:val="0"/>
          <w:sz w:val="22"/>
          <w:szCs w:val="22"/>
        </w:rPr>
        <w:t xml:space="preserve">. </w:t>
      </w:r>
    </w:p>
    <w:p w14:paraId="7403C91C" w14:textId="60911DD9" w:rsidR="005A77A5" w:rsidRDefault="005A77A5" w:rsidP="00C24221">
      <w:pPr>
        <w:pStyle w:val="NormalBN"/>
      </w:pPr>
    </w:p>
    <w:p w14:paraId="3A32EAAB" w14:textId="77777777" w:rsidR="006925F5" w:rsidRDefault="006925F5" w:rsidP="00C24221">
      <w:pPr>
        <w:pStyle w:val="NormalBN"/>
      </w:pPr>
    </w:p>
    <w:p w14:paraId="2CBF244C" w14:textId="77777777" w:rsidR="005A77A5" w:rsidRPr="004401CB" w:rsidRDefault="005A77A5" w:rsidP="005A77A5">
      <w:pPr>
        <w:pStyle w:val="NormalBN"/>
        <w:jc w:val="left"/>
        <w:rPr>
          <w:rFonts w:asciiTheme="minorHAnsi" w:hAnsiTheme="minorHAnsi" w:cstheme="minorHAnsi"/>
          <w:b/>
          <w:bCs/>
          <w:color w:val="000000" w:themeColor="text1"/>
          <w:sz w:val="22"/>
          <w:szCs w:val="22"/>
          <w:lang w:eastAsia="en-AU"/>
        </w:rPr>
      </w:pPr>
      <w:r w:rsidRPr="004401CB">
        <w:rPr>
          <w:rFonts w:asciiTheme="minorHAnsi" w:hAnsiTheme="minorHAnsi" w:cstheme="minorHAnsi"/>
          <w:b/>
          <w:bCs/>
          <w:color w:val="000000" w:themeColor="text1"/>
          <w:sz w:val="22"/>
          <w:szCs w:val="22"/>
          <w:lang w:eastAsia="en-AU"/>
        </w:rPr>
        <w:t>Government Regional Officer Housing (GROH)</w:t>
      </w:r>
    </w:p>
    <w:p w14:paraId="3BE0356D"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lastRenderedPageBreak/>
        <w:t>The Department of Communities partners with a range of stakeholders to deliver safe and accessible housing for government employees across regional Western Australia.</w:t>
      </w:r>
    </w:p>
    <w:p w14:paraId="236E6AD2" w14:textId="77777777" w:rsidR="005A77A5" w:rsidRPr="004401CB" w:rsidRDefault="005A77A5" w:rsidP="00667C33">
      <w:pPr>
        <w:pStyle w:val="ListParagraph"/>
        <w:numPr>
          <w:ilvl w:val="0"/>
          <w:numId w:val="21"/>
        </w:numPr>
        <w:spacing w:after="0" w:line="240" w:lineRule="auto"/>
        <w:ind w:left="426" w:hanging="284"/>
        <w:rPr>
          <w:rFonts w:asciiTheme="minorHAnsi" w:eastAsia="Times New Roman" w:hAnsiTheme="minorHAnsi" w:cstheme="minorHAnsi"/>
          <w:color w:val="000000" w:themeColor="text1"/>
          <w:sz w:val="22"/>
          <w:szCs w:val="22"/>
          <w:lang w:eastAsia="en-AU"/>
        </w:rPr>
      </w:pPr>
      <w:r w:rsidRPr="004401CB">
        <w:rPr>
          <w:rFonts w:asciiTheme="minorHAnsi" w:eastAsia="Times New Roman" w:hAnsiTheme="minorHAnsi" w:cstheme="minorHAnsi"/>
          <w:color w:val="000000" w:themeColor="text1"/>
          <w:sz w:val="22"/>
          <w:szCs w:val="22"/>
          <w:lang w:eastAsia="en-AU"/>
        </w:rPr>
        <w:t xml:space="preserve">Further information can be found here: </w:t>
      </w:r>
    </w:p>
    <w:p w14:paraId="5E04B40F" w14:textId="77777777" w:rsidR="005A77A5" w:rsidRPr="004401CB" w:rsidRDefault="004F6C8D" w:rsidP="005A77A5">
      <w:pPr>
        <w:pStyle w:val="ListParagraph"/>
        <w:numPr>
          <w:ilvl w:val="0"/>
          <w:numId w:val="0"/>
        </w:numPr>
        <w:spacing w:after="0"/>
        <w:ind w:left="426"/>
        <w:rPr>
          <w:rStyle w:val="Hyperlink"/>
          <w:rFonts w:asciiTheme="minorHAnsi" w:hAnsiTheme="minorHAnsi"/>
          <w:sz w:val="22"/>
        </w:rPr>
      </w:pPr>
      <w:hyperlink r:id="rId16" w:history="1">
        <w:r w:rsidR="005A77A5" w:rsidRPr="004401CB">
          <w:rPr>
            <w:rStyle w:val="Hyperlink"/>
            <w:rFonts w:asciiTheme="minorHAnsi" w:hAnsiTheme="minorHAnsi"/>
            <w:sz w:val="22"/>
          </w:rPr>
          <w:t>https://www.wa.gov.au/organisation/department-of-communities/partnering-the-department-of-communities-government-regional-officer-housing-groh-development-information</w:t>
        </w:r>
      </w:hyperlink>
    </w:p>
    <w:p w14:paraId="44216E95" w14:textId="12A9D313" w:rsidR="005A77A5" w:rsidRPr="004401CB" w:rsidRDefault="005A77A5" w:rsidP="005A77A5">
      <w:pPr>
        <w:pStyle w:val="ListParagraph"/>
        <w:numPr>
          <w:ilvl w:val="0"/>
          <w:numId w:val="0"/>
        </w:numPr>
        <w:spacing w:after="0"/>
        <w:ind w:left="720" w:hanging="294"/>
        <w:rPr>
          <w:rStyle w:val="Hyperlink"/>
          <w:rFonts w:asciiTheme="minorHAnsi" w:hAnsiTheme="minorHAnsi"/>
          <w:sz w:val="22"/>
        </w:rPr>
      </w:pPr>
      <w:r w:rsidRPr="004401CB">
        <w:rPr>
          <w:rFonts w:asciiTheme="minorHAnsi" w:eastAsia="Times New Roman" w:hAnsiTheme="minorHAnsi" w:cstheme="minorHAnsi"/>
          <w:color w:val="000000" w:themeColor="text1"/>
          <w:sz w:val="22"/>
          <w:szCs w:val="22"/>
          <w:lang w:eastAsia="en-AU"/>
        </w:rPr>
        <w:t>Or contact via email</w:t>
      </w:r>
      <w:r>
        <w:rPr>
          <w:rFonts w:asciiTheme="minorHAnsi" w:eastAsia="Times New Roman" w:hAnsiTheme="minorHAnsi" w:cstheme="minorHAnsi"/>
          <w:color w:val="000000" w:themeColor="text1"/>
          <w:sz w:val="22"/>
          <w:szCs w:val="22"/>
          <w:lang w:eastAsia="en-AU"/>
        </w:rPr>
        <w:t>:</w:t>
      </w:r>
      <w:r w:rsidR="00667C33">
        <w:rPr>
          <w:rFonts w:asciiTheme="minorHAnsi" w:eastAsia="Times New Roman" w:hAnsiTheme="minorHAnsi" w:cstheme="minorHAnsi"/>
          <w:color w:val="000000" w:themeColor="text1"/>
          <w:sz w:val="22"/>
          <w:szCs w:val="22"/>
          <w:lang w:eastAsia="en-AU"/>
        </w:rPr>
        <w:t xml:space="preserve"> </w:t>
      </w:r>
      <w:hyperlink r:id="rId17" w:history="1">
        <w:r w:rsidR="00667C33" w:rsidRPr="00A1031A">
          <w:rPr>
            <w:rStyle w:val="Hyperlink"/>
            <w:rFonts w:asciiTheme="minorHAnsi" w:hAnsiTheme="minorHAnsi"/>
            <w:sz w:val="22"/>
          </w:rPr>
          <w:t>GROHEOI@communities.wa.gov.au</w:t>
        </w:r>
      </w:hyperlink>
      <w:r w:rsidRPr="004401CB">
        <w:rPr>
          <w:rStyle w:val="Hyperlink"/>
          <w:rFonts w:asciiTheme="minorHAnsi" w:hAnsiTheme="minorHAnsi"/>
          <w:sz w:val="22"/>
        </w:rPr>
        <w:t xml:space="preserve"> </w:t>
      </w:r>
    </w:p>
    <w:p w14:paraId="5352DB97" w14:textId="77777777" w:rsidR="005A77A5" w:rsidRPr="00C24221" w:rsidRDefault="005A77A5" w:rsidP="00C24221">
      <w:pPr>
        <w:pStyle w:val="NormalBN"/>
        <w:rPr>
          <w:b/>
          <w:bCs/>
          <w:i/>
          <w:iCs/>
        </w:rPr>
      </w:pPr>
    </w:p>
    <w:p w14:paraId="26F7C126" w14:textId="77777777" w:rsidR="00994E18" w:rsidRPr="00A3556F" w:rsidRDefault="00994E18" w:rsidP="00994E18">
      <w:pPr>
        <w:pStyle w:val="NormalBN"/>
        <w:jc w:val="left"/>
        <w:rPr>
          <w:rFonts w:asciiTheme="minorHAnsi" w:hAnsiTheme="minorHAnsi" w:cstheme="minorHAnsi"/>
          <w:b/>
          <w:bCs/>
          <w:color w:val="000000" w:themeColor="text1"/>
          <w:sz w:val="22"/>
          <w:szCs w:val="22"/>
          <w:lang w:eastAsia="en-AU"/>
        </w:rPr>
      </w:pPr>
      <w:r w:rsidRPr="00A3556F">
        <w:rPr>
          <w:rFonts w:asciiTheme="minorHAnsi" w:hAnsiTheme="minorHAnsi" w:cstheme="minorHAnsi"/>
          <w:b/>
          <w:bCs/>
          <w:color w:val="000000" w:themeColor="text1"/>
          <w:sz w:val="22"/>
          <w:szCs w:val="22"/>
          <w:lang w:eastAsia="en-AU"/>
        </w:rPr>
        <w:t xml:space="preserve">Publicly advertised Tenders </w:t>
      </w:r>
    </w:p>
    <w:p w14:paraId="09B99B76" w14:textId="00E9A4D8" w:rsidR="00994E18" w:rsidRDefault="00994E18" w:rsidP="00994E18">
      <w:pPr>
        <w:pStyle w:val="NormalBN"/>
        <w:numPr>
          <w:ilvl w:val="0"/>
          <w:numId w:val="8"/>
        </w:numPr>
        <w:jc w:val="left"/>
        <w:rPr>
          <w:rFonts w:asciiTheme="minorHAnsi" w:hAnsiTheme="minorHAnsi" w:cstheme="minorHAnsi"/>
          <w:color w:val="000000" w:themeColor="text1"/>
          <w:sz w:val="22"/>
          <w:szCs w:val="22"/>
          <w:lang w:eastAsia="en-AU"/>
        </w:rPr>
      </w:pPr>
      <w:r w:rsidRPr="00A3556F">
        <w:rPr>
          <w:rFonts w:asciiTheme="minorHAnsi" w:hAnsiTheme="minorHAnsi" w:cstheme="minorHAnsi"/>
          <w:color w:val="000000" w:themeColor="text1"/>
          <w:sz w:val="22"/>
          <w:szCs w:val="22"/>
          <w:lang w:eastAsia="en-AU"/>
        </w:rPr>
        <w:t xml:space="preserve">Builders interested in working with Communities are encouraged to register with TendersWA, as public tenders are also advertised at </w:t>
      </w:r>
      <w:hyperlink r:id="rId18" w:history="1">
        <w:r w:rsidRPr="00A3556F">
          <w:rPr>
            <w:rStyle w:val="Hyperlink"/>
            <w:rFonts w:asciiTheme="minorHAnsi" w:hAnsiTheme="minorHAnsi" w:cstheme="minorHAnsi"/>
            <w:sz w:val="22"/>
            <w:szCs w:val="22"/>
            <w:lang w:eastAsia="en-AU"/>
          </w:rPr>
          <w:t>https://www.tenders.wa.gov.au/watenders/index.do</w:t>
        </w:r>
      </w:hyperlink>
      <w:r w:rsidRPr="00A3556F">
        <w:rPr>
          <w:rFonts w:asciiTheme="minorHAnsi" w:hAnsiTheme="minorHAnsi" w:cstheme="minorHAnsi"/>
          <w:color w:val="000000" w:themeColor="text1"/>
          <w:sz w:val="22"/>
          <w:szCs w:val="22"/>
          <w:lang w:eastAsia="en-AU"/>
        </w:rPr>
        <w:t xml:space="preserve"> </w:t>
      </w:r>
    </w:p>
    <w:p w14:paraId="72DD438A" w14:textId="29E02DD6" w:rsidR="00FA78D9" w:rsidRDefault="00FA78D9" w:rsidP="00994E18">
      <w:pPr>
        <w:pStyle w:val="NormalBN"/>
        <w:numPr>
          <w:ilvl w:val="0"/>
          <w:numId w:val="8"/>
        </w:numPr>
        <w:jc w:val="left"/>
        <w:rPr>
          <w:rFonts w:asciiTheme="minorHAnsi" w:hAnsiTheme="minorHAnsi" w:cstheme="minorHAnsi"/>
          <w:color w:val="000000" w:themeColor="text1"/>
          <w:sz w:val="22"/>
          <w:szCs w:val="22"/>
          <w:lang w:eastAsia="en-AU"/>
        </w:rPr>
      </w:pPr>
      <w:r>
        <w:rPr>
          <w:rFonts w:asciiTheme="minorHAnsi" w:hAnsiTheme="minorHAnsi" w:cstheme="minorHAnsi"/>
          <w:color w:val="000000" w:themeColor="text1"/>
          <w:sz w:val="22"/>
          <w:szCs w:val="22"/>
          <w:lang w:eastAsia="en-AU"/>
        </w:rPr>
        <w:t>The Panels will be renewed via TendersWA</w:t>
      </w:r>
      <w:r w:rsidR="006925F5">
        <w:rPr>
          <w:rFonts w:asciiTheme="minorHAnsi" w:hAnsiTheme="minorHAnsi" w:cstheme="minorHAnsi"/>
          <w:color w:val="000000" w:themeColor="text1"/>
          <w:sz w:val="22"/>
          <w:szCs w:val="22"/>
          <w:lang w:eastAsia="en-AU"/>
        </w:rPr>
        <w:t xml:space="preserve"> annually. </w:t>
      </w:r>
    </w:p>
    <w:p w14:paraId="184B4602" w14:textId="1AC97759" w:rsidR="00B06707" w:rsidRDefault="00B06707" w:rsidP="00B06707">
      <w:pPr>
        <w:pStyle w:val="NormalBN"/>
        <w:jc w:val="left"/>
        <w:rPr>
          <w:rFonts w:asciiTheme="minorHAnsi" w:hAnsiTheme="minorHAnsi" w:cstheme="minorHAnsi"/>
          <w:color w:val="000000" w:themeColor="text1"/>
          <w:sz w:val="22"/>
          <w:szCs w:val="22"/>
          <w:lang w:eastAsia="en-AU"/>
        </w:rPr>
      </w:pPr>
    </w:p>
    <w:p w14:paraId="5EB2EE5C" w14:textId="77777777" w:rsidR="00B06707" w:rsidRPr="00B06707" w:rsidRDefault="00B06707" w:rsidP="00B06707">
      <w:pPr>
        <w:pStyle w:val="NormalBN"/>
        <w:ind w:left="396"/>
        <w:jc w:val="left"/>
        <w:rPr>
          <w:rFonts w:asciiTheme="minorHAnsi" w:hAnsiTheme="minorHAnsi" w:cstheme="minorHAnsi"/>
          <w:color w:val="000000" w:themeColor="text1"/>
          <w:sz w:val="22"/>
          <w:szCs w:val="22"/>
          <w:lang w:eastAsia="en-AU"/>
        </w:rPr>
      </w:pPr>
    </w:p>
    <w:tbl>
      <w:tblPr>
        <w:tblStyle w:val="TableSty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65"/>
      </w:tblGrid>
      <w:tr w:rsidR="00B06707" w:rsidRPr="00B06707" w14:paraId="7344D62A" w14:textId="77777777" w:rsidTr="007966CF">
        <w:trPr>
          <w:cnfStyle w:val="100000000000" w:firstRow="1" w:lastRow="0" w:firstColumn="0" w:lastColumn="0" w:oddVBand="0" w:evenVBand="0" w:oddHBand="0" w:evenHBand="0" w:firstRowFirstColumn="0" w:firstRowLastColumn="0" w:lastRowFirstColumn="0" w:lastRowLastColumn="0"/>
        </w:trPr>
        <w:tc>
          <w:tcPr>
            <w:tcW w:w="9622" w:type="dxa"/>
            <w:gridSpan w:val="2"/>
            <w:shd w:val="clear" w:color="auto" w:fill="C8C1BB" w:themeFill="background2" w:themeFillShade="E6"/>
          </w:tcPr>
          <w:p w14:paraId="116F3B5B" w14:textId="104743CD" w:rsidR="00B06707" w:rsidRPr="00B06707" w:rsidRDefault="00B06707" w:rsidP="007966CF">
            <w:pPr>
              <w:pStyle w:val="NormalBN"/>
              <w:jc w:val="center"/>
              <w:rPr>
                <w:rFonts w:asciiTheme="minorHAnsi" w:hAnsiTheme="minorHAnsi" w:cstheme="minorHAnsi"/>
                <w:lang w:eastAsia="en-AU"/>
              </w:rPr>
            </w:pPr>
            <w:r w:rsidRPr="00B06707">
              <w:rPr>
                <w:rFonts w:asciiTheme="minorHAnsi" w:hAnsiTheme="minorHAnsi" w:cstheme="minorHAnsi"/>
                <w:lang w:eastAsia="en-AU"/>
              </w:rPr>
              <w:t>HOUSING CONSTRUCTION AND REFUBISHMENT BUILDERS PANEL 2022</w:t>
            </w:r>
          </w:p>
        </w:tc>
      </w:tr>
      <w:tr w:rsidR="00B06707" w:rsidRPr="00B06707" w14:paraId="4BF09E2B" w14:textId="77777777" w:rsidTr="007966CF">
        <w:tc>
          <w:tcPr>
            <w:tcW w:w="9622" w:type="dxa"/>
            <w:gridSpan w:val="2"/>
          </w:tcPr>
          <w:p w14:paraId="32D90DBB" w14:textId="77777777" w:rsidR="00B06707" w:rsidRPr="00B06707" w:rsidRDefault="00B06707" w:rsidP="007966CF">
            <w:pPr>
              <w:pStyle w:val="NormalBN"/>
              <w:jc w:val="left"/>
              <w:rPr>
                <w:rFonts w:asciiTheme="minorHAnsi" w:hAnsiTheme="minorHAnsi" w:cstheme="minorHAnsi"/>
                <w:b/>
                <w:bCs/>
                <w:lang w:eastAsia="en-AU"/>
              </w:rPr>
            </w:pPr>
            <w:r w:rsidRPr="00B06707">
              <w:rPr>
                <w:rFonts w:asciiTheme="minorHAnsi" w:hAnsiTheme="minorHAnsi" w:cstheme="minorHAnsi"/>
                <w:b/>
                <w:bCs/>
                <w:lang w:eastAsia="en-AU"/>
              </w:rPr>
              <w:t>Builders with offices located within the Region</w:t>
            </w:r>
          </w:p>
        </w:tc>
      </w:tr>
      <w:tr w:rsidR="00B06707" w:rsidRPr="00B06707" w14:paraId="3DC0BD9B" w14:textId="77777777" w:rsidTr="00862973">
        <w:tc>
          <w:tcPr>
            <w:tcW w:w="4957" w:type="dxa"/>
          </w:tcPr>
          <w:p w14:paraId="68F0AC4A"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Coral Coast Homes (WA) Pty Ltd</w:t>
            </w:r>
          </w:p>
          <w:p w14:paraId="740E7676"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Crothers Construction Pty Ltd</w:t>
            </w:r>
          </w:p>
          <w:p w14:paraId="69E37610"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GBSC Meedac Joint Venture</w:t>
            </w:r>
          </w:p>
          <w:p w14:paraId="563544EA"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GBSC Yurra Pty Ltd</w:t>
            </w:r>
          </w:p>
          <w:p w14:paraId="54A19D92"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J.Hine &amp; Son Construction</w:t>
            </w:r>
          </w:p>
          <w:p w14:paraId="5726DEB4"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PS Chester &amp; Son</w:t>
            </w:r>
          </w:p>
          <w:p w14:paraId="093A721D"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Richard Irving</w:t>
            </w:r>
          </w:p>
          <w:p w14:paraId="22388A65"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Wilson Complete Midwest</w:t>
            </w:r>
          </w:p>
        </w:tc>
        <w:tc>
          <w:tcPr>
            <w:tcW w:w="4665" w:type="dxa"/>
          </w:tcPr>
          <w:p w14:paraId="6E21FF95"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2956EE7E"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070818E4"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5CAF9062"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5642EA39"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Refurbishment projects</w:t>
            </w:r>
          </w:p>
          <w:p w14:paraId="602078C1"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58C55B1B"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Refurbishment projects</w:t>
            </w:r>
          </w:p>
          <w:p w14:paraId="2644F03B"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Refurbishment projects</w:t>
            </w:r>
          </w:p>
        </w:tc>
      </w:tr>
      <w:tr w:rsidR="00B06707" w:rsidRPr="00B06707" w14:paraId="1EE336E2" w14:textId="77777777" w:rsidTr="007966CF">
        <w:tc>
          <w:tcPr>
            <w:tcW w:w="9622" w:type="dxa"/>
            <w:gridSpan w:val="2"/>
          </w:tcPr>
          <w:p w14:paraId="2636C9AA" w14:textId="77777777" w:rsidR="00B06707" w:rsidRPr="00B06707" w:rsidRDefault="00B06707" w:rsidP="007966CF">
            <w:pPr>
              <w:pStyle w:val="NormalBN"/>
              <w:jc w:val="left"/>
              <w:rPr>
                <w:rFonts w:asciiTheme="minorHAnsi" w:hAnsiTheme="minorHAnsi" w:cstheme="minorHAnsi"/>
                <w:b/>
                <w:bCs/>
                <w:lang w:eastAsia="en-AU"/>
              </w:rPr>
            </w:pPr>
            <w:r w:rsidRPr="00B06707">
              <w:rPr>
                <w:rFonts w:asciiTheme="minorHAnsi" w:hAnsiTheme="minorHAnsi" w:cstheme="minorHAnsi"/>
                <w:b/>
                <w:bCs/>
                <w:lang w:eastAsia="en-AU"/>
              </w:rPr>
              <w:t>Other Builders Available to Deliver Work in the Region</w:t>
            </w:r>
          </w:p>
        </w:tc>
      </w:tr>
      <w:tr w:rsidR="00B06707" w:rsidRPr="00B06707" w14:paraId="4E57086D" w14:textId="77777777" w:rsidTr="00862973">
        <w:tc>
          <w:tcPr>
            <w:tcW w:w="4957" w:type="dxa"/>
          </w:tcPr>
          <w:p w14:paraId="0DBD3174"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Ascot Group WA Pty Ltd</w:t>
            </w:r>
          </w:p>
          <w:p w14:paraId="2E1EEF35"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AE Hosking Building Services</w:t>
            </w:r>
          </w:p>
          <w:p w14:paraId="73CB8357"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Bidi Facility Services Pty Ltd</w:t>
            </w:r>
          </w:p>
          <w:p w14:paraId="617A9E8F"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Bilco Group Pty Ltd</w:t>
            </w:r>
          </w:p>
          <w:p w14:paraId="3821BAD4"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Broad Construction Pty Ltd</w:t>
            </w:r>
          </w:p>
          <w:p w14:paraId="0109198E"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Building Base Pty Ltd</w:t>
            </w:r>
          </w:p>
          <w:p w14:paraId="55261B73"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Bullcreek Building Company</w:t>
            </w:r>
          </w:p>
          <w:p w14:paraId="31F7F3D4"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CLPM Pty Ltd</w:t>
            </w:r>
          </w:p>
          <w:p w14:paraId="1051E449"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Eco Homes Group Pty Ltd</w:t>
            </w:r>
          </w:p>
          <w:p w14:paraId="30AF76F3"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Evoke Living Homes</w:t>
            </w:r>
          </w:p>
          <w:p w14:paraId="5673051E"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Fox Transportables Pty Ltd</w:t>
            </w:r>
          </w:p>
          <w:p w14:paraId="15983C9F"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GBSC Yurra Pty Ltd</w:t>
            </w:r>
          </w:p>
          <w:p w14:paraId="0C5A68BF"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JWH Group Pty Ltd</w:t>
            </w:r>
          </w:p>
          <w:p w14:paraId="037117B8"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Kardan Constructions</w:t>
            </w:r>
          </w:p>
          <w:p w14:paraId="24A7A764"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MACS Australia Pty Ltd</w:t>
            </w:r>
          </w:p>
          <w:p w14:paraId="4ECD6DFC"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Matthew Griffiths Building &amp; Maintenance Pty Ltd</w:t>
            </w:r>
          </w:p>
          <w:p w14:paraId="3A014167"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PCB Port City Building Co Pty Ltd</w:t>
            </w:r>
          </w:p>
          <w:p w14:paraId="5D36D2A0"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Peel Property Solutions Pty Ltd</w:t>
            </w:r>
          </w:p>
          <w:p w14:paraId="1B3B2589"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Quality Builders Pty Ltd</w:t>
            </w:r>
          </w:p>
          <w:p w14:paraId="471BB157"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Thomas Building</w:t>
            </w:r>
          </w:p>
          <w:p w14:paraId="0C6F35C5"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Timberbuilt Australia Pty Ltd</w:t>
            </w:r>
          </w:p>
          <w:p w14:paraId="5389D21D" w14:textId="77777777" w:rsid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Westport Construction WA Pty Ltd</w:t>
            </w:r>
          </w:p>
          <w:p w14:paraId="49FF365D" w14:textId="77777777"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Modularis Pty Ltd</w:t>
            </w:r>
          </w:p>
          <w:p w14:paraId="5ED570EA" w14:textId="77777777"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Boodjera Construct Pty Ltd</w:t>
            </w:r>
          </w:p>
          <w:p w14:paraId="3D59A6C3" w14:textId="77777777" w:rsidR="00724655" w:rsidRPr="00724655" w:rsidRDefault="00724655" w:rsidP="00724655">
            <w:pPr>
              <w:pStyle w:val="NormalBN"/>
              <w:rPr>
                <w:rFonts w:asciiTheme="minorHAnsi" w:hAnsiTheme="minorHAnsi" w:cstheme="minorHAnsi"/>
                <w:sz w:val="22"/>
                <w:szCs w:val="22"/>
                <w:lang w:eastAsia="en-AU"/>
              </w:rPr>
            </w:pPr>
            <w:proofErr w:type="spellStart"/>
            <w:r w:rsidRPr="00724655">
              <w:rPr>
                <w:rFonts w:asciiTheme="minorHAnsi" w:hAnsiTheme="minorHAnsi" w:cstheme="minorHAnsi"/>
                <w:sz w:val="22"/>
                <w:szCs w:val="22"/>
                <w:lang w:eastAsia="en-AU"/>
              </w:rPr>
              <w:t>Calsen</w:t>
            </w:r>
            <w:proofErr w:type="spellEnd"/>
            <w:r w:rsidRPr="00724655">
              <w:rPr>
                <w:rFonts w:asciiTheme="minorHAnsi" w:hAnsiTheme="minorHAnsi" w:cstheme="minorHAnsi"/>
                <w:sz w:val="22"/>
                <w:szCs w:val="22"/>
                <w:lang w:eastAsia="en-AU"/>
              </w:rPr>
              <w:t xml:space="preserve"> Pty Ltd</w:t>
            </w:r>
          </w:p>
          <w:p w14:paraId="335F53F1" w14:textId="77777777" w:rsidR="00724655" w:rsidRPr="00724655" w:rsidRDefault="00724655" w:rsidP="00724655">
            <w:pPr>
              <w:pStyle w:val="NormalBN"/>
              <w:rPr>
                <w:rFonts w:asciiTheme="minorHAnsi" w:hAnsiTheme="minorHAnsi" w:cstheme="minorHAnsi"/>
                <w:sz w:val="22"/>
                <w:szCs w:val="22"/>
                <w:lang w:eastAsia="en-AU"/>
              </w:rPr>
            </w:pPr>
            <w:proofErr w:type="spellStart"/>
            <w:r w:rsidRPr="00724655">
              <w:rPr>
                <w:rFonts w:asciiTheme="minorHAnsi" w:hAnsiTheme="minorHAnsi" w:cstheme="minorHAnsi"/>
                <w:sz w:val="22"/>
                <w:szCs w:val="22"/>
                <w:lang w:eastAsia="en-AU"/>
              </w:rPr>
              <w:t>Devlyn</w:t>
            </w:r>
            <w:proofErr w:type="spellEnd"/>
            <w:r w:rsidRPr="00724655">
              <w:rPr>
                <w:rFonts w:asciiTheme="minorHAnsi" w:hAnsiTheme="minorHAnsi" w:cstheme="minorHAnsi"/>
                <w:sz w:val="22"/>
                <w:szCs w:val="22"/>
                <w:lang w:eastAsia="en-AU"/>
              </w:rPr>
              <w:t xml:space="preserve"> Australia Pty Ltd</w:t>
            </w:r>
          </w:p>
          <w:p w14:paraId="6B241ADE" w14:textId="77777777"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Mine Trades &amp; Maintenance Electrical Pty Ltd</w:t>
            </w:r>
          </w:p>
          <w:p w14:paraId="63279A14" w14:textId="77777777"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Ngaanyatjarra Services Inc</w:t>
            </w:r>
          </w:p>
          <w:p w14:paraId="014ECC9B" w14:textId="77777777"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AK Waters Pty Ltd</w:t>
            </w:r>
          </w:p>
          <w:p w14:paraId="470C19E5" w14:textId="77777777"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Quayside Construction Pty Ltd</w:t>
            </w:r>
          </w:p>
          <w:p w14:paraId="364A39E3" w14:textId="77777777"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SOS Enterprises Pty. Ltd.</w:t>
            </w:r>
          </w:p>
          <w:p w14:paraId="589B9AA5" w14:textId="77777777"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lastRenderedPageBreak/>
              <w:t>Stockdale Building Company Pty Ltd</w:t>
            </w:r>
          </w:p>
          <w:p w14:paraId="216E6DE8" w14:textId="64889C55" w:rsidR="00724655" w:rsidRPr="00B06707"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Modularis Joint Venture</w:t>
            </w:r>
          </w:p>
        </w:tc>
        <w:tc>
          <w:tcPr>
            <w:tcW w:w="4665" w:type="dxa"/>
            <w:vAlign w:val="center"/>
          </w:tcPr>
          <w:p w14:paraId="247B1E9F"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lastRenderedPageBreak/>
              <w:t>Refurbishment projects</w:t>
            </w:r>
          </w:p>
          <w:p w14:paraId="22527C3A"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517474F7"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7BB814E6"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6006AE58"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projects</w:t>
            </w:r>
          </w:p>
          <w:p w14:paraId="7B5B4A4B"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783E27C3"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Refurbishment projects</w:t>
            </w:r>
          </w:p>
          <w:p w14:paraId="0388623F"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222DCED9"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projects</w:t>
            </w:r>
          </w:p>
          <w:p w14:paraId="52652B01"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projects</w:t>
            </w:r>
          </w:p>
          <w:p w14:paraId="0E2FACD8"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projects</w:t>
            </w:r>
          </w:p>
          <w:p w14:paraId="56068806"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539D38CD"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projects</w:t>
            </w:r>
          </w:p>
          <w:p w14:paraId="5198FC85"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Refurbishment projects</w:t>
            </w:r>
          </w:p>
          <w:p w14:paraId="751C514E"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5A68191E"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Refurbishment projects</w:t>
            </w:r>
          </w:p>
          <w:p w14:paraId="6698706F"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011E38AE"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7F712354"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projects</w:t>
            </w:r>
          </w:p>
          <w:p w14:paraId="32654F98"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projects</w:t>
            </w:r>
          </w:p>
          <w:p w14:paraId="73AB45D2" w14:textId="77777777" w:rsidR="00B06707" w:rsidRP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projects</w:t>
            </w:r>
          </w:p>
          <w:p w14:paraId="0E0FFA83" w14:textId="77777777" w:rsidR="00B06707" w:rsidRDefault="00B06707" w:rsidP="007966CF">
            <w:pPr>
              <w:pStyle w:val="NormalBN"/>
              <w:rPr>
                <w:rFonts w:asciiTheme="minorHAnsi" w:hAnsiTheme="minorHAnsi" w:cstheme="minorHAnsi"/>
                <w:sz w:val="22"/>
                <w:szCs w:val="22"/>
                <w:lang w:eastAsia="en-AU"/>
              </w:rPr>
            </w:pPr>
            <w:r w:rsidRPr="00B06707">
              <w:rPr>
                <w:rFonts w:asciiTheme="minorHAnsi" w:hAnsiTheme="minorHAnsi" w:cstheme="minorHAnsi"/>
                <w:sz w:val="22"/>
                <w:szCs w:val="22"/>
                <w:lang w:eastAsia="en-AU"/>
              </w:rPr>
              <w:t>Construction and Refurbishment projects</w:t>
            </w:r>
          </w:p>
          <w:p w14:paraId="2EF50617" w14:textId="7E60E273"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08F77D32" w14:textId="557B17FB"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Construction and Refurbishment</w:t>
            </w:r>
            <w:r>
              <w:rPr>
                <w:rFonts w:asciiTheme="minorHAnsi" w:hAnsiTheme="minorHAnsi" w:cstheme="minorHAnsi"/>
                <w:sz w:val="22"/>
                <w:szCs w:val="22"/>
                <w:lang w:eastAsia="en-AU"/>
              </w:rPr>
              <w:t xml:space="preserve"> Projects</w:t>
            </w:r>
          </w:p>
          <w:p w14:paraId="198A9CAA" w14:textId="5610FE41"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 xml:space="preserve">Construction </w:t>
            </w:r>
            <w:r>
              <w:rPr>
                <w:rFonts w:asciiTheme="minorHAnsi" w:hAnsiTheme="minorHAnsi" w:cstheme="minorHAnsi"/>
                <w:sz w:val="22"/>
                <w:szCs w:val="22"/>
                <w:lang w:eastAsia="en-AU"/>
              </w:rPr>
              <w:t>Projects</w:t>
            </w:r>
          </w:p>
          <w:p w14:paraId="75A8F3C1" w14:textId="7462E995"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6D9C36AF" w14:textId="6389F25F"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1CEAD648" w14:textId="06D36F91"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782B41A0" w14:textId="77A88324"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 xml:space="preserve">Construction and Refurbishment </w:t>
            </w:r>
            <w:r>
              <w:rPr>
                <w:rFonts w:asciiTheme="minorHAnsi" w:hAnsiTheme="minorHAnsi" w:cstheme="minorHAnsi"/>
                <w:sz w:val="22"/>
                <w:szCs w:val="22"/>
                <w:lang w:eastAsia="en-AU"/>
              </w:rPr>
              <w:t>Projects</w:t>
            </w:r>
          </w:p>
          <w:p w14:paraId="2E817D2E" w14:textId="33DB5126"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38AC1079" w14:textId="3407D71D"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Refurbishment</w:t>
            </w:r>
            <w:r>
              <w:rPr>
                <w:rFonts w:asciiTheme="minorHAnsi" w:hAnsiTheme="minorHAnsi" w:cstheme="minorHAnsi"/>
                <w:sz w:val="22"/>
                <w:szCs w:val="22"/>
                <w:lang w:eastAsia="en-AU"/>
              </w:rPr>
              <w:t xml:space="preserve"> Projects</w:t>
            </w:r>
          </w:p>
          <w:p w14:paraId="3C00C5BA" w14:textId="72DEC982" w:rsidR="00724655" w:rsidRPr="00724655"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lastRenderedPageBreak/>
              <w:t>Refurbishment</w:t>
            </w:r>
            <w:r>
              <w:rPr>
                <w:rFonts w:asciiTheme="minorHAnsi" w:hAnsiTheme="minorHAnsi" w:cstheme="minorHAnsi"/>
                <w:sz w:val="22"/>
                <w:szCs w:val="22"/>
                <w:lang w:eastAsia="en-AU"/>
              </w:rPr>
              <w:t xml:space="preserve"> Projects</w:t>
            </w:r>
          </w:p>
          <w:p w14:paraId="0CA26DB2" w14:textId="3CA7ED0A" w:rsidR="00724655" w:rsidRPr="00B06707" w:rsidRDefault="00724655" w:rsidP="00724655">
            <w:pPr>
              <w:pStyle w:val="NormalBN"/>
              <w:rPr>
                <w:rFonts w:asciiTheme="minorHAnsi" w:hAnsiTheme="minorHAnsi" w:cstheme="minorHAnsi"/>
                <w:sz w:val="22"/>
                <w:szCs w:val="22"/>
                <w:lang w:eastAsia="en-AU"/>
              </w:rPr>
            </w:pPr>
            <w:r w:rsidRPr="00724655">
              <w:rPr>
                <w:rFonts w:asciiTheme="minorHAnsi" w:hAnsiTheme="minorHAnsi" w:cstheme="minorHAnsi"/>
                <w:sz w:val="22"/>
                <w:szCs w:val="22"/>
                <w:lang w:eastAsia="en-AU"/>
              </w:rPr>
              <w:t>Construction</w:t>
            </w:r>
            <w:r>
              <w:rPr>
                <w:rFonts w:asciiTheme="minorHAnsi" w:hAnsiTheme="minorHAnsi" w:cstheme="minorHAnsi"/>
                <w:sz w:val="22"/>
                <w:szCs w:val="22"/>
                <w:lang w:eastAsia="en-AU"/>
              </w:rPr>
              <w:t xml:space="preserve"> Projects</w:t>
            </w:r>
          </w:p>
        </w:tc>
      </w:tr>
    </w:tbl>
    <w:p w14:paraId="3DF442C9" w14:textId="2921CE8B" w:rsidR="00825003" w:rsidRDefault="00825003" w:rsidP="00B06707">
      <w:pPr>
        <w:pStyle w:val="NormalBN"/>
        <w:jc w:val="left"/>
        <w:rPr>
          <w:rFonts w:asciiTheme="minorHAnsi" w:hAnsiTheme="minorHAnsi" w:cstheme="minorHAnsi"/>
          <w:color w:val="000000" w:themeColor="text1"/>
          <w:sz w:val="22"/>
          <w:szCs w:val="22"/>
          <w:lang w:eastAsia="en-AU"/>
        </w:rPr>
      </w:pPr>
    </w:p>
    <w:p w14:paraId="10FD6B03" w14:textId="77777777" w:rsidR="00825003" w:rsidRDefault="00825003">
      <w:pPr>
        <w:spacing w:after="0" w:line="240" w:lineRule="auto"/>
        <w:rPr>
          <w:rFonts w:asciiTheme="minorHAnsi" w:eastAsia="Times New Roman" w:hAnsiTheme="minorHAnsi" w:cstheme="minorHAnsi"/>
          <w:color w:val="000000" w:themeColor="text1"/>
          <w:sz w:val="22"/>
          <w:szCs w:val="22"/>
          <w:lang w:eastAsia="en-AU"/>
        </w:rPr>
      </w:pPr>
      <w:r>
        <w:rPr>
          <w:rFonts w:asciiTheme="minorHAnsi" w:hAnsiTheme="minorHAnsi" w:cstheme="minorHAnsi"/>
          <w:color w:val="000000" w:themeColor="text1"/>
          <w:sz w:val="22"/>
          <w:szCs w:val="22"/>
          <w:lang w:eastAsia="en-AU"/>
        </w:rPr>
        <w:br w:type="page"/>
      </w:r>
    </w:p>
    <w:p w14:paraId="0AFD0E7F" w14:textId="77777777" w:rsidR="00B06707" w:rsidRDefault="00B06707" w:rsidP="00B06707">
      <w:pPr>
        <w:pStyle w:val="NormalBN"/>
        <w:jc w:val="left"/>
        <w:rPr>
          <w:rFonts w:asciiTheme="minorHAnsi" w:hAnsiTheme="minorHAnsi" w:cstheme="minorHAnsi"/>
          <w:color w:val="000000" w:themeColor="text1"/>
          <w:sz w:val="22"/>
          <w:szCs w:val="22"/>
          <w:lang w:eastAsia="en-AU"/>
        </w:rPr>
      </w:pPr>
    </w:p>
    <w:tbl>
      <w:tblPr>
        <w:tblStyle w:val="TableGrid1"/>
        <w:tblW w:w="9622" w:type="dxa"/>
        <w:jc w:val="center"/>
        <w:tblLook w:val="04A0" w:firstRow="1" w:lastRow="0" w:firstColumn="1" w:lastColumn="0" w:noHBand="0" w:noVBand="1"/>
      </w:tblPr>
      <w:tblGrid>
        <w:gridCol w:w="4811"/>
        <w:gridCol w:w="4811"/>
      </w:tblGrid>
      <w:tr w:rsidR="00276D7E" w:rsidRPr="00461551" w14:paraId="3015DCFB" w14:textId="77777777" w:rsidTr="002D3142">
        <w:trPr>
          <w:trHeight w:val="454"/>
          <w:jc w:val="center"/>
        </w:trPr>
        <w:tc>
          <w:tcPr>
            <w:tcW w:w="9622" w:type="dxa"/>
            <w:gridSpan w:val="2"/>
            <w:tcBorders>
              <w:bottom w:val="single" w:sz="4" w:space="0" w:color="000000"/>
            </w:tcBorders>
            <w:shd w:val="clear" w:color="auto" w:fill="C8C1BB" w:themeFill="background2" w:themeFillShade="E6"/>
            <w:vAlign w:val="center"/>
          </w:tcPr>
          <w:p w14:paraId="3C2344DE" w14:textId="77777777" w:rsidR="00276D7E" w:rsidRPr="00461551" w:rsidRDefault="00276D7E" w:rsidP="002D3142">
            <w:pPr>
              <w:autoSpaceDE w:val="0"/>
              <w:autoSpaceDN w:val="0"/>
              <w:spacing w:after="0" w:line="240" w:lineRule="auto"/>
              <w:jc w:val="center"/>
              <w:rPr>
                <w:rFonts w:asciiTheme="minorHAnsi" w:eastAsia="Times New Roman" w:hAnsiTheme="minorHAnsi" w:cstheme="minorHAnsi"/>
                <w:b/>
                <w:sz w:val="24"/>
                <w:lang w:eastAsia="en-AU"/>
              </w:rPr>
            </w:pPr>
            <w:r w:rsidRPr="00461551">
              <w:rPr>
                <w:rFonts w:asciiTheme="minorHAnsi" w:eastAsia="Times New Roman" w:hAnsiTheme="minorHAnsi" w:cstheme="minorHAnsi"/>
                <w:b/>
                <w:sz w:val="24"/>
                <w:lang w:eastAsia="en-AU"/>
              </w:rPr>
              <w:br w:type="page"/>
              <w:t>STATE-WIDE MODULAR HOUSING PANEL</w:t>
            </w:r>
          </w:p>
        </w:tc>
      </w:tr>
      <w:tr w:rsidR="00276D7E" w:rsidRPr="00461551" w14:paraId="4607FFC9" w14:textId="77777777" w:rsidTr="002D3142">
        <w:trPr>
          <w:trHeight w:val="454"/>
          <w:jc w:val="center"/>
        </w:trPr>
        <w:tc>
          <w:tcPr>
            <w:tcW w:w="4811" w:type="dxa"/>
            <w:tcBorders>
              <w:right w:val="nil"/>
            </w:tcBorders>
            <w:vAlign w:val="center"/>
          </w:tcPr>
          <w:p w14:paraId="51CB44FA"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Evoke Living Homes</w:t>
            </w:r>
          </w:p>
          <w:p w14:paraId="7E2202B5"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Fleetwood Homes</w:t>
            </w:r>
          </w:p>
          <w:p w14:paraId="79CEDC6D"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0FEB3969"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 xml:space="preserve">Modular WA </w:t>
            </w:r>
          </w:p>
          <w:p w14:paraId="4E0635B4"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Murray River North Pty Ltd</w:t>
            </w:r>
          </w:p>
          <w:p w14:paraId="5F471BF2"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Quality Builders Pty Ltd</w:t>
            </w:r>
          </w:p>
        </w:tc>
      </w:tr>
      <w:tr w:rsidR="00276D7E" w:rsidRPr="00461551" w14:paraId="7EB3FDA2" w14:textId="77777777" w:rsidTr="002D3142">
        <w:trPr>
          <w:trHeight w:val="454"/>
          <w:jc w:val="center"/>
        </w:trPr>
        <w:tc>
          <w:tcPr>
            <w:tcW w:w="9622" w:type="dxa"/>
            <w:gridSpan w:val="2"/>
            <w:tcBorders>
              <w:bottom w:val="single" w:sz="4" w:space="0" w:color="000000"/>
            </w:tcBorders>
            <w:shd w:val="clear" w:color="auto" w:fill="C8C1BB" w:themeFill="background2" w:themeFillShade="E6"/>
            <w:vAlign w:val="center"/>
          </w:tcPr>
          <w:p w14:paraId="3BEC98F0" w14:textId="77777777" w:rsidR="00276D7E" w:rsidRPr="00461551" w:rsidRDefault="00276D7E" w:rsidP="002D3142">
            <w:pPr>
              <w:autoSpaceDE w:val="0"/>
              <w:autoSpaceDN w:val="0"/>
              <w:spacing w:after="0" w:line="240" w:lineRule="auto"/>
              <w:jc w:val="center"/>
              <w:rPr>
                <w:rFonts w:asciiTheme="minorHAnsi" w:eastAsia="Times New Roman" w:hAnsiTheme="minorHAnsi" w:cstheme="minorHAnsi"/>
                <w:b/>
                <w:sz w:val="24"/>
                <w:lang w:eastAsia="en-AU"/>
              </w:rPr>
            </w:pPr>
            <w:r w:rsidRPr="00461551">
              <w:rPr>
                <w:rFonts w:asciiTheme="minorHAnsi" w:eastAsia="Times New Roman" w:hAnsiTheme="minorHAnsi" w:cstheme="minorHAnsi"/>
                <w:b/>
                <w:sz w:val="24"/>
                <w:lang w:eastAsia="en-AU"/>
              </w:rPr>
              <w:t>STATE-WIDE PREFABRICATED BUILDERS LIST</w:t>
            </w:r>
          </w:p>
        </w:tc>
      </w:tr>
      <w:tr w:rsidR="00276D7E" w:rsidRPr="00461551" w14:paraId="748DD6C0" w14:textId="77777777" w:rsidTr="002D3142">
        <w:trPr>
          <w:trHeight w:val="454"/>
          <w:jc w:val="center"/>
        </w:trPr>
        <w:tc>
          <w:tcPr>
            <w:tcW w:w="4811" w:type="dxa"/>
            <w:tcBorders>
              <w:right w:val="nil"/>
            </w:tcBorders>
            <w:vAlign w:val="center"/>
          </w:tcPr>
          <w:p w14:paraId="5A1636DF"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Acero Construction Pty Ltd</w:t>
            </w:r>
          </w:p>
          <w:p w14:paraId="2143EF24"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Aussie Modular Solutions Pty Ltd</w:t>
            </w:r>
          </w:p>
          <w:p w14:paraId="463A01A8"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Evoke Living Homes</w:t>
            </w:r>
          </w:p>
          <w:p w14:paraId="3A5E721B"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Fox Modular</w:t>
            </w:r>
          </w:p>
        </w:tc>
        <w:tc>
          <w:tcPr>
            <w:tcW w:w="4811" w:type="dxa"/>
            <w:tcBorders>
              <w:left w:val="nil"/>
            </w:tcBorders>
            <w:vAlign w:val="center"/>
          </w:tcPr>
          <w:p w14:paraId="544C5B1C"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IPSA Holding Australia Pty Ltd</w:t>
            </w:r>
          </w:p>
          <w:p w14:paraId="10503131"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NXT TEC</w:t>
            </w:r>
          </w:p>
          <w:p w14:paraId="6F7BED7B"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Summit Projects</w:t>
            </w:r>
          </w:p>
          <w:p w14:paraId="005268DF" w14:textId="77777777" w:rsidR="00276D7E" w:rsidRPr="00461551" w:rsidRDefault="00276D7E" w:rsidP="002D3142">
            <w:pPr>
              <w:numPr>
                <w:ilvl w:val="0"/>
                <w:numId w:val="6"/>
              </w:numPr>
              <w:spacing w:after="0" w:line="240" w:lineRule="auto"/>
              <w:ind w:left="714" w:hanging="357"/>
              <w:contextualSpacing/>
              <w:rPr>
                <w:rFonts w:asciiTheme="minorHAnsi" w:eastAsia="Times New Roman" w:hAnsiTheme="minorHAnsi" w:cstheme="minorHAnsi"/>
                <w:color w:val="000000" w:themeColor="text1"/>
                <w:sz w:val="22"/>
                <w:szCs w:val="22"/>
                <w:lang w:eastAsia="en-AU"/>
              </w:rPr>
            </w:pPr>
            <w:r w:rsidRPr="00461551">
              <w:rPr>
                <w:rFonts w:asciiTheme="minorHAnsi" w:eastAsia="Times New Roman" w:hAnsiTheme="minorHAnsi" w:cstheme="minorHAnsi"/>
                <w:color w:val="000000" w:themeColor="text1"/>
                <w:sz w:val="22"/>
                <w:szCs w:val="22"/>
                <w:lang w:eastAsia="en-AU"/>
              </w:rPr>
              <w:t xml:space="preserve">Tech Onshore MEP Prefabricators </w:t>
            </w:r>
            <w:r w:rsidRPr="00461551">
              <w:rPr>
                <w:rFonts w:asciiTheme="minorHAnsi" w:eastAsia="Times New Roman" w:hAnsiTheme="minorHAnsi" w:cstheme="minorHAnsi"/>
                <w:color w:val="000000" w:themeColor="text1"/>
                <w:sz w:val="21"/>
                <w:szCs w:val="21"/>
                <w:lang w:eastAsia="en-AU"/>
              </w:rPr>
              <w:t>Pty Ltd</w:t>
            </w:r>
          </w:p>
        </w:tc>
      </w:tr>
    </w:tbl>
    <w:p w14:paraId="6BA1E035" w14:textId="77777777" w:rsidR="00276D7E" w:rsidRPr="00A3556F" w:rsidRDefault="00276D7E" w:rsidP="00B06707">
      <w:pPr>
        <w:pStyle w:val="NormalBN"/>
        <w:jc w:val="left"/>
        <w:rPr>
          <w:rFonts w:asciiTheme="minorHAnsi" w:hAnsiTheme="minorHAnsi" w:cstheme="minorHAnsi"/>
          <w:color w:val="000000" w:themeColor="text1"/>
          <w:sz w:val="22"/>
          <w:szCs w:val="22"/>
          <w:lang w:eastAsia="en-AU"/>
        </w:rPr>
      </w:pPr>
    </w:p>
    <w:sectPr w:rsidR="00276D7E" w:rsidRPr="00A3556F" w:rsidSect="00A3556F">
      <w:headerReference w:type="even" r:id="rId19"/>
      <w:headerReference w:type="default" r:id="rId20"/>
      <w:footerReference w:type="even" r:id="rId21"/>
      <w:footerReference w:type="default" r:id="rId22"/>
      <w:headerReference w:type="first" r:id="rId23"/>
      <w:footerReference w:type="first" r:id="rId24"/>
      <w:pgSz w:w="11900" w:h="16840" w:code="9"/>
      <w:pgMar w:top="1094"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228E4" w14:textId="77777777" w:rsidR="00865AC7" w:rsidRDefault="00865AC7" w:rsidP="00D41211">
      <w:r>
        <w:separator/>
      </w:r>
    </w:p>
  </w:endnote>
  <w:endnote w:type="continuationSeparator" w:id="0">
    <w:p w14:paraId="0E6CB39F" w14:textId="77777777" w:rsidR="00865AC7" w:rsidRDefault="00865AC7"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E502" w14:textId="77777777" w:rsidR="005E2964" w:rsidRDefault="005E2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4F6C8D">
      <w:fldChar w:fldCharType="begin"/>
    </w:r>
    <w:r w:rsidR="004F6C8D">
      <w:instrText xml:space="preserve"> NUMPAGES   \* MERGEFORMAT </w:instrText>
    </w:r>
    <w:r w:rsidR="004F6C8D">
      <w:fldChar w:fldCharType="separate"/>
    </w:r>
    <w:r>
      <w:t>6</w:t>
    </w:r>
    <w:r w:rsidR="004F6C8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79EDE52" w:rsidR="001A0AF6" w:rsidRPr="00276D7E" w:rsidRDefault="00B862BD" w:rsidP="00B862BD">
    <w:pPr>
      <w:pStyle w:val="Footer"/>
      <w:jc w:val="left"/>
      <w:rPr>
        <w:rStyle w:val="PageNumber"/>
        <w:b/>
        <w:bCs/>
        <w:sz w:val="16"/>
        <w:szCs w:val="16"/>
      </w:rPr>
    </w:pPr>
    <w:r w:rsidRPr="00276D7E">
      <w:rPr>
        <w:rStyle w:val="Bold"/>
        <w:rFonts w:ascii="Segoe UI Symbol" w:hAnsi="Segoe UI Symbol" w:cs="Arial"/>
        <w:b w:val="0"/>
        <w:bCs w:val="0"/>
        <w:sz w:val="16"/>
        <w:szCs w:val="16"/>
      </w:rPr>
      <w:fldChar w:fldCharType="begin"/>
    </w:r>
    <w:r w:rsidRPr="00276D7E">
      <w:rPr>
        <w:rStyle w:val="Bold"/>
        <w:rFonts w:ascii="Segoe UI Symbol" w:hAnsi="Segoe UI Symbol" w:cs="Arial"/>
        <w:b w:val="0"/>
        <w:bCs w:val="0"/>
        <w:sz w:val="16"/>
        <w:szCs w:val="16"/>
      </w:rPr>
      <w:instrText xml:space="preserve"> FILENAME  \* Caps  \* MERGEFORMAT </w:instrText>
    </w:r>
    <w:r w:rsidRPr="00276D7E">
      <w:rPr>
        <w:rStyle w:val="Bold"/>
        <w:rFonts w:ascii="Segoe UI Symbol" w:hAnsi="Segoe UI Symbol" w:cs="Arial"/>
        <w:b w:val="0"/>
        <w:bCs w:val="0"/>
        <w:sz w:val="16"/>
        <w:szCs w:val="16"/>
      </w:rPr>
      <w:fldChar w:fldCharType="separate"/>
    </w:r>
    <w:r w:rsidR="00FA1C38">
      <w:rPr>
        <w:rStyle w:val="Bold"/>
        <w:rFonts w:ascii="Segoe UI Symbol" w:hAnsi="Segoe UI Symbol" w:cs="Arial"/>
        <w:b w:val="0"/>
        <w:bCs w:val="0"/>
        <w:noProof/>
        <w:sz w:val="16"/>
        <w:szCs w:val="16"/>
      </w:rPr>
      <w:t>A55121037.Docx</w:t>
    </w:r>
    <w:r w:rsidRPr="00276D7E">
      <w:rPr>
        <w:rStyle w:val="Bold"/>
        <w:rFonts w:ascii="Segoe UI Symbol" w:hAnsi="Segoe UI Symbol" w:cs="Arial"/>
        <w:b w:val="0"/>
        <w:bC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5633B" w14:textId="77777777" w:rsidR="00865AC7" w:rsidRDefault="00865AC7" w:rsidP="00D41211">
      <w:r>
        <w:separator/>
      </w:r>
    </w:p>
  </w:footnote>
  <w:footnote w:type="continuationSeparator" w:id="0">
    <w:p w14:paraId="0CC34BC8" w14:textId="77777777" w:rsidR="00865AC7" w:rsidRDefault="00865AC7"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0497" w14:textId="77777777" w:rsidR="005E2964" w:rsidRDefault="005E2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4F3F" w14:textId="7AC90804" w:rsidR="000F085D" w:rsidRPr="00455F4B" w:rsidRDefault="004F6C8D" w:rsidP="00181B08">
    <w:pPr>
      <w:pStyle w:val="Header"/>
      <w:spacing w:before="568"/>
    </w:pPr>
    <w:r>
      <w:rPr>
        <w:rStyle w:val="Bold"/>
        <w:rFonts w:ascii="Arial" w:hAnsi="Arial" w:cs="Arial"/>
        <w:b w:val="0"/>
        <w:bCs w:val="0"/>
      </w:rPr>
      <w:pict w14:anchorId="716E3D80">
        <v:rect id="_x0000_i1025" style="width:481.6pt;height:4.5pt" o:hrstd="t" o:hrnoshade="t" o:hr="t" fillcolor="#9b9b9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479B41D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1E9"/>
    <w:multiLevelType w:val="multilevel"/>
    <w:tmpl w:val="B57E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0106E"/>
    <w:multiLevelType w:val="hybridMultilevel"/>
    <w:tmpl w:val="0A629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71A01"/>
    <w:multiLevelType w:val="hybridMultilevel"/>
    <w:tmpl w:val="B96A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BE1A92"/>
    <w:multiLevelType w:val="hybridMultilevel"/>
    <w:tmpl w:val="36B0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42D778C8"/>
    <w:multiLevelType w:val="hybridMultilevel"/>
    <w:tmpl w:val="B92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E5B63"/>
    <w:multiLevelType w:val="hybridMultilevel"/>
    <w:tmpl w:val="81064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F94F15"/>
    <w:multiLevelType w:val="hybridMultilevel"/>
    <w:tmpl w:val="AA90CE38"/>
    <w:lvl w:ilvl="0" w:tplc="354E48C2">
      <w:start w:val="1"/>
      <w:numFmt w:val="bullet"/>
      <w:lvlText w:val=""/>
      <w:lvlJc w:val="left"/>
      <w:pPr>
        <w:ind w:left="396" w:hanging="284"/>
      </w:pPr>
      <w:rPr>
        <w:rFonts w:ascii="Symbol" w:eastAsia="Symbol" w:hAnsi="Symbol" w:hint="default"/>
        <w:w w:val="100"/>
        <w:sz w:val="24"/>
        <w:szCs w:val="24"/>
      </w:rPr>
    </w:lvl>
    <w:lvl w:ilvl="1" w:tplc="AE5A4704">
      <w:start w:val="1"/>
      <w:numFmt w:val="bullet"/>
      <w:lvlText w:val="o"/>
      <w:lvlJc w:val="left"/>
      <w:pPr>
        <w:ind w:left="1138" w:hanging="360"/>
      </w:pPr>
      <w:rPr>
        <w:rFonts w:ascii="Courier New" w:eastAsia="Courier New" w:hAnsi="Courier New" w:hint="default"/>
        <w:w w:val="100"/>
        <w:sz w:val="24"/>
        <w:szCs w:val="24"/>
      </w:rPr>
    </w:lvl>
    <w:lvl w:ilvl="2" w:tplc="C49E7A50">
      <w:start w:val="1"/>
      <w:numFmt w:val="bullet"/>
      <w:lvlText w:val=""/>
      <w:lvlJc w:val="left"/>
      <w:pPr>
        <w:ind w:left="1858" w:hanging="360"/>
      </w:pPr>
      <w:rPr>
        <w:rFonts w:ascii="Symbol" w:eastAsia="Symbol" w:hAnsi="Symbol" w:hint="default"/>
        <w:w w:val="100"/>
        <w:sz w:val="24"/>
        <w:szCs w:val="24"/>
      </w:rPr>
    </w:lvl>
    <w:lvl w:ilvl="3" w:tplc="C8C269AC">
      <w:start w:val="1"/>
      <w:numFmt w:val="bullet"/>
      <w:lvlText w:val="•"/>
      <w:lvlJc w:val="left"/>
      <w:pPr>
        <w:ind w:left="2897" w:hanging="360"/>
      </w:pPr>
      <w:rPr>
        <w:rFonts w:hint="default"/>
      </w:rPr>
    </w:lvl>
    <w:lvl w:ilvl="4" w:tplc="4DE0D892">
      <w:start w:val="1"/>
      <w:numFmt w:val="bullet"/>
      <w:lvlText w:val="•"/>
      <w:lvlJc w:val="left"/>
      <w:pPr>
        <w:ind w:left="3934" w:hanging="360"/>
      </w:pPr>
      <w:rPr>
        <w:rFonts w:hint="default"/>
      </w:rPr>
    </w:lvl>
    <w:lvl w:ilvl="5" w:tplc="E79E1D5C">
      <w:start w:val="1"/>
      <w:numFmt w:val="bullet"/>
      <w:lvlText w:val="•"/>
      <w:lvlJc w:val="left"/>
      <w:pPr>
        <w:ind w:left="4972" w:hanging="360"/>
      </w:pPr>
      <w:rPr>
        <w:rFonts w:hint="default"/>
      </w:rPr>
    </w:lvl>
    <w:lvl w:ilvl="6" w:tplc="AA703FA2">
      <w:start w:val="1"/>
      <w:numFmt w:val="bullet"/>
      <w:lvlText w:val="•"/>
      <w:lvlJc w:val="left"/>
      <w:pPr>
        <w:ind w:left="6009" w:hanging="360"/>
      </w:pPr>
      <w:rPr>
        <w:rFonts w:hint="default"/>
      </w:rPr>
    </w:lvl>
    <w:lvl w:ilvl="7" w:tplc="96B40D18">
      <w:start w:val="1"/>
      <w:numFmt w:val="bullet"/>
      <w:lvlText w:val="•"/>
      <w:lvlJc w:val="left"/>
      <w:pPr>
        <w:ind w:left="7047" w:hanging="360"/>
      </w:pPr>
      <w:rPr>
        <w:rFonts w:hint="default"/>
      </w:rPr>
    </w:lvl>
    <w:lvl w:ilvl="8" w:tplc="CFB4A4EE">
      <w:start w:val="1"/>
      <w:numFmt w:val="bullet"/>
      <w:lvlText w:val="•"/>
      <w:lvlJc w:val="left"/>
      <w:pPr>
        <w:ind w:left="8084" w:hanging="360"/>
      </w:pPr>
      <w:rPr>
        <w:rFonts w:hint="default"/>
      </w:rPr>
    </w:lvl>
  </w:abstractNum>
  <w:abstractNum w:abstractNumId="9"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0" w15:restartNumberingAfterBreak="0">
    <w:nsid w:val="659D130A"/>
    <w:multiLevelType w:val="multilevel"/>
    <w:tmpl w:val="445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A01F5"/>
    <w:multiLevelType w:val="hybridMultilevel"/>
    <w:tmpl w:val="98E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2F73410"/>
    <w:multiLevelType w:val="hybridMultilevel"/>
    <w:tmpl w:val="F0C4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498441">
    <w:abstractNumId w:val="9"/>
  </w:num>
  <w:num w:numId="2" w16cid:durableId="1722049912">
    <w:abstractNumId w:val="4"/>
  </w:num>
  <w:num w:numId="3" w16cid:durableId="1300914522">
    <w:abstractNumId w:val="12"/>
  </w:num>
  <w:num w:numId="4" w16cid:durableId="2064138847">
    <w:abstractNumId w:val="5"/>
  </w:num>
  <w:num w:numId="5" w16cid:durableId="536508004">
    <w:abstractNumId w:val="3"/>
  </w:num>
  <w:num w:numId="6" w16cid:durableId="181207757">
    <w:abstractNumId w:val="1"/>
  </w:num>
  <w:num w:numId="7" w16cid:durableId="1318144173">
    <w:abstractNumId w:val="11"/>
  </w:num>
  <w:num w:numId="8" w16cid:durableId="1132022203">
    <w:abstractNumId w:val="8"/>
  </w:num>
  <w:num w:numId="9" w16cid:durableId="679504297">
    <w:abstractNumId w:val="6"/>
  </w:num>
  <w:num w:numId="10" w16cid:durableId="688334228">
    <w:abstractNumId w:val="4"/>
  </w:num>
  <w:num w:numId="11" w16cid:durableId="1302270291">
    <w:abstractNumId w:val="4"/>
  </w:num>
  <w:num w:numId="12" w16cid:durableId="764806351">
    <w:abstractNumId w:val="2"/>
  </w:num>
  <w:num w:numId="13" w16cid:durableId="1140539191">
    <w:abstractNumId w:val="4"/>
  </w:num>
  <w:num w:numId="14" w16cid:durableId="359160533">
    <w:abstractNumId w:val="4"/>
  </w:num>
  <w:num w:numId="15" w16cid:durableId="2009019556">
    <w:abstractNumId w:val="13"/>
  </w:num>
  <w:num w:numId="16" w16cid:durableId="1017386161">
    <w:abstractNumId w:val="4"/>
  </w:num>
  <w:num w:numId="17" w16cid:durableId="1973317139">
    <w:abstractNumId w:val="4"/>
  </w:num>
  <w:num w:numId="18" w16cid:durableId="1324119336">
    <w:abstractNumId w:val="0"/>
  </w:num>
  <w:num w:numId="19" w16cid:durableId="333604475">
    <w:abstractNumId w:val="10"/>
  </w:num>
  <w:num w:numId="20" w16cid:durableId="1613778568">
    <w:abstractNumId w:val="4"/>
  </w:num>
  <w:num w:numId="21" w16cid:durableId="91829150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5A83"/>
    <w:rsid w:val="00015EC0"/>
    <w:rsid w:val="000214AD"/>
    <w:rsid w:val="00022D02"/>
    <w:rsid w:val="00025F3F"/>
    <w:rsid w:val="000338B3"/>
    <w:rsid w:val="00034CE5"/>
    <w:rsid w:val="00044DBF"/>
    <w:rsid w:val="00047DD6"/>
    <w:rsid w:val="00054FC1"/>
    <w:rsid w:val="0005696C"/>
    <w:rsid w:val="000572E4"/>
    <w:rsid w:val="00060292"/>
    <w:rsid w:val="00063F98"/>
    <w:rsid w:val="00064337"/>
    <w:rsid w:val="0006459B"/>
    <w:rsid w:val="00065542"/>
    <w:rsid w:val="00066CCF"/>
    <w:rsid w:val="00067CFC"/>
    <w:rsid w:val="00075D15"/>
    <w:rsid w:val="00075F81"/>
    <w:rsid w:val="00083942"/>
    <w:rsid w:val="000A62E0"/>
    <w:rsid w:val="000B1741"/>
    <w:rsid w:val="000B3BDE"/>
    <w:rsid w:val="000B5EC4"/>
    <w:rsid w:val="000C45FC"/>
    <w:rsid w:val="000C4C7C"/>
    <w:rsid w:val="000E6505"/>
    <w:rsid w:val="000E6BC3"/>
    <w:rsid w:val="000F085D"/>
    <w:rsid w:val="0010445F"/>
    <w:rsid w:val="00111D6C"/>
    <w:rsid w:val="00116BBF"/>
    <w:rsid w:val="001221FC"/>
    <w:rsid w:val="00123E91"/>
    <w:rsid w:val="00127199"/>
    <w:rsid w:val="00130FE2"/>
    <w:rsid w:val="00143F51"/>
    <w:rsid w:val="00144C2C"/>
    <w:rsid w:val="001501A0"/>
    <w:rsid w:val="0015043A"/>
    <w:rsid w:val="0015261A"/>
    <w:rsid w:val="001644FE"/>
    <w:rsid w:val="00166518"/>
    <w:rsid w:val="00167608"/>
    <w:rsid w:val="00170CC9"/>
    <w:rsid w:val="00171BE1"/>
    <w:rsid w:val="00181B08"/>
    <w:rsid w:val="00182E8A"/>
    <w:rsid w:val="00187C40"/>
    <w:rsid w:val="001960EE"/>
    <w:rsid w:val="001A0AF6"/>
    <w:rsid w:val="001A26B1"/>
    <w:rsid w:val="001A3B37"/>
    <w:rsid w:val="001A5FFE"/>
    <w:rsid w:val="001A7E88"/>
    <w:rsid w:val="001B4C4E"/>
    <w:rsid w:val="001B7552"/>
    <w:rsid w:val="001E0EF3"/>
    <w:rsid w:val="001E7BB6"/>
    <w:rsid w:val="001E7BE4"/>
    <w:rsid w:val="00200967"/>
    <w:rsid w:val="0020481B"/>
    <w:rsid w:val="00205FE3"/>
    <w:rsid w:val="002063F4"/>
    <w:rsid w:val="00213680"/>
    <w:rsid w:val="00214CB3"/>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7E"/>
    <w:rsid w:val="00276DC9"/>
    <w:rsid w:val="00277361"/>
    <w:rsid w:val="00280D8D"/>
    <w:rsid w:val="00281683"/>
    <w:rsid w:val="00292F53"/>
    <w:rsid w:val="00297DAD"/>
    <w:rsid w:val="002B1DC0"/>
    <w:rsid w:val="002C6CB1"/>
    <w:rsid w:val="002D50F7"/>
    <w:rsid w:val="002D57C3"/>
    <w:rsid w:val="002E1C80"/>
    <w:rsid w:val="002E2C1E"/>
    <w:rsid w:val="003011BA"/>
    <w:rsid w:val="003033A1"/>
    <w:rsid w:val="00306AFD"/>
    <w:rsid w:val="00314A45"/>
    <w:rsid w:val="00315DF5"/>
    <w:rsid w:val="00320C12"/>
    <w:rsid w:val="0033296E"/>
    <w:rsid w:val="003534BD"/>
    <w:rsid w:val="00353B45"/>
    <w:rsid w:val="00367FD9"/>
    <w:rsid w:val="00373AA4"/>
    <w:rsid w:val="00374E81"/>
    <w:rsid w:val="003775E4"/>
    <w:rsid w:val="00383CAD"/>
    <w:rsid w:val="00383D82"/>
    <w:rsid w:val="00387D82"/>
    <w:rsid w:val="003934F8"/>
    <w:rsid w:val="00395A21"/>
    <w:rsid w:val="003A77CE"/>
    <w:rsid w:val="003B3D56"/>
    <w:rsid w:val="003B7929"/>
    <w:rsid w:val="003C191D"/>
    <w:rsid w:val="003C2D63"/>
    <w:rsid w:val="003C7BE2"/>
    <w:rsid w:val="003D0A7F"/>
    <w:rsid w:val="003D5381"/>
    <w:rsid w:val="003F3CB0"/>
    <w:rsid w:val="003F3D65"/>
    <w:rsid w:val="00401D09"/>
    <w:rsid w:val="0041092E"/>
    <w:rsid w:val="00410A26"/>
    <w:rsid w:val="00410E66"/>
    <w:rsid w:val="004255F7"/>
    <w:rsid w:val="00450400"/>
    <w:rsid w:val="00451D26"/>
    <w:rsid w:val="00455F4B"/>
    <w:rsid w:val="00465381"/>
    <w:rsid w:val="00473FC0"/>
    <w:rsid w:val="00476D68"/>
    <w:rsid w:val="00486F21"/>
    <w:rsid w:val="0049013B"/>
    <w:rsid w:val="00490701"/>
    <w:rsid w:val="00490918"/>
    <w:rsid w:val="00490E41"/>
    <w:rsid w:val="004935A2"/>
    <w:rsid w:val="00495D8B"/>
    <w:rsid w:val="00496F6B"/>
    <w:rsid w:val="004A3317"/>
    <w:rsid w:val="004A4094"/>
    <w:rsid w:val="004A7973"/>
    <w:rsid w:val="004C2016"/>
    <w:rsid w:val="004D0771"/>
    <w:rsid w:val="004D10E8"/>
    <w:rsid w:val="004D546B"/>
    <w:rsid w:val="004F27B9"/>
    <w:rsid w:val="004F2E01"/>
    <w:rsid w:val="004F3FF9"/>
    <w:rsid w:val="004F4C53"/>
    <w:rsid w:val="004F6C8D"/>
    <w:rsid w:val="0051165B"/>
    <w:rsid w:val="00512C91"/>
    <w:rsid w:val="00513375"/>
    <w:rsid w:val="00513D80"/>
    <w:rsid w:val="00530C64"/>
    <w:rsid w:val="0054188B"/>
    <w:rsid w:val="00542208"/>
    <w:rsid w:val="005437FB"/>
    <w:rsid w:val="00543E6F"/>
    <w:rsid w:val="005463CC"/>
    <w:rsid w:val="00547F32"/>
    <w:rsid w:val="00573FA5"/>
    <w:rsid w:val="00575F62"/>
    <w:rsid w:val="00584A89"/>
    <w:rsid w:val="00586F33"/>
    <w:rsid w:val="0058724E"/>
    <w:rsid w:val="00594D2A"/>
    <w:rsid w:val="005A4BB7"/>
    <w:rsid w:val="005A6DD9"/>
    <w:rsid w:val="005A77A5"/>
    <w:rsid w:val="005B0C0E"/>
    <w:rsid w:val="005D00B3"/>
    <w:rsid w:val="005D00EA"/>
    <w:rsid w:val="005D4D30"/>
    <w:rsid w:val="005D65D3"/>
    <w:rsid w:val="005E2964"/>
    <w:rsid w:val="005E3001"/>
    <w:rsid w:val="005E6C72"/>
    <w:rsid w:val="005F2CCB"/>
    <w:rsid w:val="005F46C1"/>
    <w:rsid w:val="00612F7B"/>
    <w:rsid w:val="00616857"/>
    <w:rsid w:val="00617DEA"/>
    <w:rsid w:val="00625DC2"/>
    <w:rsid w:val="006340A9"/>
    <w:rsid w:val="006344F5"/>
    <w:rsid w:val="00637B63"/>
    <w:rsid w:val="006471BE"/>
    <w:rsid w:val="006517FA"/>
    <w:rsid w:val="00653107"/>
    <w:rsid w:val="00660698"/>
    <w:rsid w:val="00664B53"/>
    <w:rsid w:val="00667C33"/>
    <w:rsid w:val="006709A3"/>
    <w:rsid w:val="00675E8A"/>
    <w:rsid w:val="00682726"/>
    <w:rsid w:val="00683B6A"/>
    <w:rsid w:val="00685C3E"/>
    <w:rsid w:val="006925F5"/>
    <w:rsid w:val="006927B0"/>
    <w:rsid w:val="00693D7A"/>
    <w:rsid w:val="00694E3F"/>
    <w:rsid w:val="006A293D"/>
    <w:rsid w:val="006A4A71"/>
    <w:rsid w:val="006B2471"/>
    <w:rsid w:val="006B3B08"/>
    <w:rsid w:val="006B5EAF"/>
    <w:rsid w:val="006C36C8"/>
    <w:rsid w:val="006D0D8D"/>
    <w:rsid w:val="006D1F87"/>
    <w:rsid w:val="006D1FCF"/>
    <w:rsid w:val="006D3B1F"/>
    <w:rsid w:val="006E12FE"/>
    <w:rsid w:val="006E30CC"/>
    <w:rsid w:val="006E621C"/>
    <w:rsid w:val="006E708E"/>
    <w:rsid w:val="006F1F7D"/>
    <w:rsid w:val="006F2AAF"/>
    <w:rsid w:val="006F2CD7"/>
    <w:rsid w:val="006F7711"/>
    <w:rsid w:val="00707CDD"/>
    <w:rsid w:val="00711786"/>
    <w:rsid w:val="00716BBC"/>
    <w:rsid w:val="00724655"/>
    <w:rsid w:val="0072647A"/>
    <w:rsid w:val="00732863"/>
    <w:rsid w:val="00732E77"/>
    <w:rsid w:val="00752239"/>
    <w:rsid w:val="00756C54"/>
    <w:rsid w:val="00760C36"/>
    <w:rsid w:val="00776289"/>
    <w:rsid w:val="007777A2"/>
    <w:rsid w:val="00782F85"/>
    <w:rsid w:val="00787518"/>
    <w:rsid w:val="00793086"/>
    <w:rsid w:val="00797D9A"/>
    <w:rsid w:val="007A593D"/>
    <w:rsid w:val="007B6CBD"/>
    <w:rsid w:val="007C6162"/>
    <w:rsid w:val="007D2319"/>
    <w:rsid w:val="007D3AD2"/>
    <w:rsid w:val="007D5656"/>
    <w:rsid w:val="007E13D8"/>
    <w:rsid w:val="007E76EB"/>
    <w:rsid w:val="007F322D"/>
    <w:rsid w:val="007F46C1"/>
    <w:rsid w:val="007F645B"/>
    <w:rsid w:val="007F6ACC"/>
    <w:rsid w:val="007F71DE"/>
    <w:rsid w:val="008011EB"/>
    <w:rsid w:val="00805848"/>
    <w:rsid w:val="00814D66"/>
    <w:rsid w:val="008204F1"/>
    <w:rsid w:val="0082097F"/>
    <w:rsid w:val="008248DB"/>
    <w:rsid w:val="00825003"/>
    <w:rsid w:val="00831FB4"/>
    <w:rsid w:val="00832AD8"/>
    <w:rsid w:val="00836524"/>
    <w:rsid w:val="008444BC"/>
    <w:rsid w:val="00845CA8"/>
    <w:rsid w:val="00847B0C"/>
    <w:rsid w:val="00852E36"/>
    <w:rsid w:val="00856A5C"/>
    <w:rsid w:val="00860638"/>
    <w:rsid w:val="00862973"/>
    <w:rsid w:val="0086551B"/>
    <w:rsid w:val="00865AC7"/>
    <w:rsid w:val="00867A3D"/>
    <w:rsid w:val="00873183"/>
    <w:rsid w:val="00874663"/>
    <w:rsid w:val="00882588"/>
    <w:rsid w:val="008876B7"/>
    <w:rsid w:val="00887D9C"/>
    <w:rsid w:val="0089264E"/>
    <w:rsid w:val="008955BF"/>
    <w:rsid w:val="008A1A8A"/>
    <w:rsid w:val="008A32F0"/>
    <w:rsid w:val="008A67F3"/>
    <w:rsid w:val="008B0E97"/>
    <w:rsid w:val="008B1065"/>
    <w:rsid w:val="008B18AC"/>
    <w:rsid w:val="008C7165"/>
    <w:rsid w:val="008D2060"/>
    <w:rsid w:val="008D3278"/>
    <w:rsid w:val="008E0253"/>
    <w:rsid w:val="008E04FB"/>
    <w:rsid w:val="008E4A63"/>
    <w:rsid w:val="008E713B"/>
    <w:rsid w:val="00911CCA"/>
    <w:rsid w:val="00914E68"/>
    <w:rsid w:val="009215FA"/>
    <w:rsid w:val="009240E3"/>
    <w:rsid w:val="00924F2C"/>
    <w:rsid w:val="00925A2C"/>
    <w:rsid w:val="00926A78"/>
    <w:rsid w:val="00930B0F"/>
    <w:rsid w:val="0093604E"/>
    <w:rsid w:val="009412C0"/>
    <w:rsid w:val="0094672B"/>
    <w:rsid w:val="00946B25"/>
    <w:rsid w:val="00957898"/>
    <w:rsid w:val="009675BB"/>
    <w:rsid w:val="00971E3C"/>
    <w:rsid w:val="00981199"/>
    <w:rsid w:val="00982C9B"/>
    <w:rsid w:val="00984EC9"/>
    <w:rsid w:val="00994E18"/>
    <w:rsid w:val="009978E0"/>
    <w:rsid w:val="009A2C54"/>
    <w:rsid w:val="009A321C"/>
    <w:rsid w:val="009A4898"/>
    <w:rsid w:val="009C5FC8"/>
    <w:rsid w:val="009C72E3"/>
    <w:rsid w:val="009C77C4"/>
    <w:rsid w:val="009E29AD"/>
    <w:rsid w:val="009F06B7"/>
    <w:rsid w:val="00A03550"/>
    <w:rsid w:val="00A05BEE"/>
    <w:rsid w:val="00A072F5"/>
    <w:rsid w:val="00A12E5C"/>
    <w:rsid w:val="00A160B7"/>
    <w:rsid w:val="00A16919"/>
    <w:rsid w:val="00A16B89"/>
    <w:rsid w:val="00A21C60"/>
    <w:rsid w:val="00A2202B"/>
    <w:rsid w:val="00A307F8"/>
    <w:rsid w:val="00A3556F"/>
    <w:rsid w:val="00A441D4"/>
    <w:rsid w:val="00A458CE"/>
    <w:rsid w:val="00A45BB2"/>
    <w:rsid w:val="00A46C55"/>
    <w:rsid w:val="00A47B37"/>
    <w:rsid w:val="00A533CE"/>
    <w:rsid w:val="00A554FF"/>
    <w:rsid w:val="00A70D24"/>
    <w:rsid w:val="00A81299"/>
    <w:rsid w:val="00A920E2"/>
    <w:rsid w:val="00A92374"/>
    <w:rsid w:val="00A93CB8"/>
    <w:rsid w:val="00A9603D"/>
    <w:rsid w:val="00AA09A5"/>
    <w:rsid w:val="00AA43E2"/>
    <w:rsid w:val="00AA76C3"/>
    <w:rsid w:val="00AC2E25"/>
    <w:rsid w:val="00AC5EF0"/>
    <w:rsid w:val="00AD02B4"/>
    <w:rsid w:val="00AD6499"/>
    <w:rsid w:val="00AE4DD6"/>
    <w:rsid w:val="00AE7C63"/>
    <w:rsid w:val="00AF1B9E"/>
    <w:rsid w:val="00AF2A42"/>
    <w:rsid w:val="00B05729"/>
    <w:rsid w:val="00B05E21"/>
    <w:rsid w:val="00B06707"/>
    <w:rsid w:val="00B07688"/>
    <w:rsid w:val="00B07E38"/>
    <w:rsid w:val="00B10F1C"/>
    <w:rsid w:val="00B24D9F"/>
    <w:rsid w:val="00B27D36"/>
    <w:rsid w:val="00B31A4A"/>
    <w:rsid w:val="00B34F55"/>
    <w:rsid w:val="00B5186E"/>
    <w:rsid w:val="00B60A67"/>
    <w:rsid w:val="00B62068"/>
    <w:rsid w:val="00B62369"/>
    <w:rsid w:val="00B66F08"/>
    <w:rsid w:val="00B67CF6"/>
    <w:rsid w:val="00B751A0"/>
    <w:rsid w:val="00B75A56"/>
    <w:rsid w:val="00B847D0"/>
    <w:rsid w:val="00B862BD"/>
    <w:rsid w:val="00B9230D"/>
    <w:rsid w:val="00B94ECE"/>
    <w:rsid w:val="00BA7203"/>
    <w:rsid w:val="00BA7A57"/>
    <w:rsid w:val="00BB0301"/>
    <w:rsid w:val="00BB4029"/>
    <w:rsid w:val="00BB4EAA"/>
    <w:rsid w:val="00BB5604"/>
    <w:rsid w:val="00BC3586"/>
    <w:rsid w:val="00BC38E3"/>
    <w:rsid w:val="00BC60D4"/>
    <w:rsid w:val="00BC6A6B"/>
    <w:rsid w:val="00BC77EF"/>
    <w:rsid w:val="00BD0D55"/>
    <w:rsid w:val="00BE6B0A"/>
    <w:rsid w:val="00C01B56"/>
    <w:rsid w:val="00C061FE"/>
    <w:rsid w:val="00C11C87"/>
    <w:rsid w:val="00C13A96"/>
    <w:rsid w:val="00C24221"/>
    <w:rsid w:val="00C36BA5"/>
    <w:rsid w:val="00C51A9A"/>
    <w:rsid w:val="00C54E7A"/>
    <w:rsid w:val="00C61E5B"/>
    <w:rsid w:val="00C6255E"/>
    <w:rsid w:val="00C64B57"/>
    <w:rsid w:val="00C74C57"/>
    <w:rsid w:val="00C8291D"/>
    <w:rsid w:val="00C83EF8"/>
    <w:rsid w:val="00C8678C"/>
    <w:rsid w:val="00C9083F"/>
    <w:rsid w:val="00C957A5"/>
    <w:rsid w:val="00CA0C2B"/>
    <w:rsid w:val="00CA36C2"/>
    <w:rsid w:val="00CA3EF1"/>
    <w:rsid w:val="00CB022B"/>
    <w:rsid w:val="00CB2133"/>
    <w:rsid w:val="00CB4A25"/>
    <w:rsid w:val="00CC58EF"/>
    <w:rsid w:val="00CD3FC4"/>
    <w:rsid w:val="00CD6D0A"/>
    <w:rsid w:val="00CF02ED"/>
    <w:rsid w:val="00CF12E0"/>
    <w:rsid w:val="00D02DB6"/>
    <w:rsid w:val="00D065E5"/>
    <w:rsid w:val="00D10DD7"/>
    <w:rsid w:val="00D159EA"/>
    <w:rsid w:val="00D24A2C"/>
    <w:rsid w:val="00D41211"/>
    <w:rsid w:val="00D516AB"/>
    <w:rsid w:val="00D64FD2"/>
    <w:rsid w:val="00D65185"/>
    <w:rsid w:val="00D7481D"/>
    <w:rsid w:val="00D75B7C"/>
    <w:rsid w:val="00D75D07"/>
    <w:rsid w:val="00D82252"/>
    <w:rsid w:val="00D82E5F"/>
    <w:rsid w:val="00D83976"/>
    <w:rsid w:val="00D84F90"/>
    <w:rsid w:val="00DC171A"/>
    <w:rsid w:val="00DC1884"/>
    <w:rsid w:val="00DD1E91"/>
    <w:rsid w:val="00DD5D65"/>
    <w:rsid w:val="00DD715A"/>
    <w:rsid w:val="00DE0529"/>
    <w:rsid w:val="00DE6E10"/>
    <w:rsid w:val="00DE7709"/>
    <w:rsid w:val="00DE7ECD"/>
    <w:rsid w:val="00DF08E1"/>
    <w:rsid w:val="00DF3E9D"/>
    <w:rsid w:val="00E03756"/>
    <w:rsid w:val="00E043D0"/>
    <w:rsid w:val="00E13630"/>
    <w:rsid w:val="00E1725A"/>
    <w:rsid w:val="00E30F5C"/>
    <w:rsid w:val="00E5020E"/>
    <w:rsid w:val="00E5558A"/>
    <w:rsid w:val="00E57D67"/>
    <w:rsid w:val="00E7129A"/>
    <w:rsid w:val="00E75603"/>
    <w:rsid w:val="00E771EA"/>
    <w:rsid w:val="00E777A0"/>
    <w:rsid w:val="00E817CE"/>
    <w:rsid w:val="00E82888"/>
    <w:rsid w:val="00E828A0"/>
    <w:rsid w:val="00E831DB"/>
    <w:rsid w:val="00E85102"/>
    <w:rsid w:val="00E96060"/>
    <w:rsid w:val="00E967AE"/>
    <w:rsid w:val="00EA04AD"/>
    <w:rsid w:val="00EA3AD0"/>
    <w:rsid w:val="00EA7FD7"/>
    <w:rsid w:val="00EB1A58"/>
    <w:rsid w:val="00EB3123"/>
    <w:rsid w:val="00EB55B1"/>
    <w:rsid w:val="00EB730E"/>
    <w:rsid w:val="00EC2B8A"/>
    <w:rsid w:val="00EC2BC4"/>
    <w:rsid w:val="00EC7143"/>
    <w:rsid w:val="00ED1557"/>
    <w:rsid w:val="00ED482F"/>
    <w:rsid w:val="00ED4CB0"/>
    <w:rsid w:val="00ED6D71"/>
    <w:rsid w:val="00EE4916"/>
    <w:rsid w:val="00EE55ED"/>
    <w:rsid w:val="00EF1A9D"/>
    <w:rsid w:val="00EF24FF"/>
    <w:rsid w:val="00EF4CEE"/>
    <w:rsid w:val="00EF51B5"/>
    <w:rsid w:val="00F00D7F"/>
    <w:rsid w:val="00F045AF"/>
    <w:rsid w:val="00F129D2"/>
    <w:rsid w:val="00F132B9"/>
    <w:rsid w:val="00F13490"/>
    <w:rsid w:val="00F17DDC"/>
    <w:rsid w:val="00F23285"/>
    <w:rsid w:val="00F27366"/>
    <w:rsid w:val="00F27496"/>
    <w:rsid w:val="00F35327"/>
    <w:rsid w:val="00F4073F"/>
    <w:rsid w:val="00F41E11"/>
    <w:rsid w:val="00F612A9"/>
    <w:rsid w:val="00F61EFA"/>
    <w:rsid w:val="00F65DEF"/>
    <w:rsid w:val="00F74128"/>
    <w:rsid w:val="00F82581"/>
    <w:rsid w:val="00F84799"/>
    <w:rsid w:val="00FA1C38"/>
    <w:rsid w:val="00FA78D9"/>
    <w:rsid w:val="00FB0AB0"/>
    <w:rsid w:val="00FB5565"/>
    <w:rsid w:val="00FB72FA"/>
    <w:rsid w:val="00FC0260"/>
    <w:rsid w:val="00FC0BBA"/>
    <w:rsid w:val="00FC2072"/>
    <w:rsid w:val="00FC26E0"/>
    <w:rsid w:val="00FC5966"/>
    <w:rsid w:val="00FD0946"/>
    <w:rsid w:val="00FD0D5A"/>
    <w:rsid w:val="00FD136F"/>
    <w:rsid w:val="00FD29CC"/>
    <w:rsid w:val="00FE0B92"/>
    <w:rsid w:val="00FE2EB5"/>
    <w:rsid w:val="00FE40E1"/>
    <w:rsid w:val="00FE5DC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DCHeading">
    <w:name w:val="DC Heading"/>
    <w:basedOn w:val="Normal"/>
    <w:qFormat/>
    <w:rsid w:val="00D24A2C"/>
    <w:pPr>
      <w:spacing w:after="240" w:line="240" w:lineRule="auto"/>
    </w:pPr>
    <w:rPr>
      <w:rFonts w:eastAsia="Times New Roman" w:cs="Arial"/>
      <w:b/>
      <w:color w:val="2C5C86"/>
      <w:sz w:val="42"/>
      <w:szCs w:val="42"/>
      <w:lang w:eastAsia="en-AU"/>
    </w:rPr>
  </w:style>
  <w:style w:type="paragraph" w:customStyle="1" w:styleId="DCSubheading1">
    <w:name w:val="DC Sub heading 1"/>
    <w:basedOn w:val="Normal"/>
    <w:qFormat/>
    <w:rsid w:val="00D24A2C"/>
    <w:pPr>
      <w:spacing w:after="240" w:line="240" w:lineRule="auto"/>
    </w:pPr>
    <w:rPr>
      <w:rFonts w:eastAsia="Times New Roman" w:cs="Arial"/>
      <w:b/>
      <w:color w:val="000000" w:themeColor="text1"/>
      <w:sz w:val="30"/>
      <w:szCs w:val="30"/>
      <w:lang w:eastAsia="en-AU"/>
    </w:rPr>
  </w:style>
  <w:style w:type="paragraph" w:customStyle="1" w:styleId="NormalBN">
    <w:name w:val="Normal BN"/>
    <w:basedOn w:val="Normal"/>
    <w:uiPriority w:val="99"/>
    <w:rsid w:val="00187C40"/>
    <w:pPr>
      <w:autoSpaceDE w:val="0"/>
      <w:autoSpaceDN w:val="0"/>
      <w:spacing w:after="0" w:line="240" w:lineRule="auto"/>
      <w:jc w:val="both"/>
    </w:pPr>
    <w:rPr>
      <w:rFonts w:eastAsia="Times New Roman" w:cs="Arial"/>
    </w:rPr>
  </w:style>
  <w:style w:type="paragraph" w:customStyle="1" w:styleId="Heading2BN">
    <w:name w:val="Heading 2 BN"/>
    <w:basedOn w:val="Heading2"/>
    <w:next w:val="NormalBN"/>
    <w:uiPriority w:val="99"/>
    <w:rsid w:val="00187C40"/>
    <w:pPr>
      <w:autoSpaceDE w:val="0"/>
      <w:autoSpaceDN w:val="0"/>
      <w:spacing w:before="0" w:after="0"/>
      <w:jc w:val="both"/>
    </w:pPr>
    <w:rPr>
      <w:rFonts w:eastAsia="Times New Roman"/>
      <w:bCs/>
      <w:i/>
      <w:iCs/>
      <w:noProof w:val="0"/>
      <w:color w:val="auto"/>
      <w:sz w:val="24"/>
      <w:szCs w:val="24"/>
      <w:lang w:eastAsia="en-US"/>
    </w:rPr>
  </w:style>
  <w:style w:type="paragraph" w:styleId="NormalWeb">
    <w:name w:val="Normal (Web)"/>
    <w:basedOn w:val="Normal"/>
    <w:uiPriority w:val="99"/>
    <w:unhideWhenUsed/>
    <w:rsid w:val="00D516AB"/>
    <w:pPr>
      <w:spacing w:before="100" w:beforeAutospacing="1" w:after="100" w:afterAutospacing="1" w:line="240" w:lineRule="auto"/>
    </w:pPr>
    <w:rPr>
      <w:rFonts w:ascii="Times New Roman" w:eastAsia="Times New Roman" w:hAnsi="Times New Roman"/>
      <w:lang w:eastAsia="en-AU"/>
    </w:rPr>
  </w:style>
  <w:style w:type="table" w:customStyle="1" w:styleId="TableGrid1">
    <w:name w:val="Table Grid1"/>
    <w:basedOn w:val="TableNormal"/>
    <w:next w:val="TableGrid"/>
    <w:uiPriority w:val="59"/>
    <w:rsid w:val="00276D7E"/>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297064">
      <w:bodyDiv w:val="1"/>
      <w:marLeft w:val="0"/>
      <w:marRight w:val="0"/>
      <w:marTop w:val="0"/>
      <w:marBottom w:val="0"/>
      <w:divBdr>
        <w:top w:val="none" w:sz="0" w:space="0" w:color="auto"/>
        <w:left w:val="none" w:sz="0" w:space="0" w:color="auto"/>
        <w:bottom w:val="none" w:sz="0" w:space="0" w:color="auto"/>
        <w:right w:val="none" w:sz="0" w:space="0" w:color="auto"/>
      </w:divBdr>
    </w:div>
    <w:div w:id="1358583502">
      <w:bodyDiv w:val="1"/>
      <w:marLeft w:val="0"/>
      <w:marRight w:val="0"/>
      <w:marTop w:val="0"/>
      <w:marBottom w:val="0"/>
      <w:divBdr>
        <w:top w:val="none" w:sz="0" w:space="0" w:color="auto"/>
        <w:left w:val="none" w:sz="0" w:space="0" w:color="auto"/>
        <w:bottom w:val="none" w:sz="0" w:space="0" w:color="auto"/>
        <w:right w:val="none" w:sz="0" w:space="0" w:color="auto"/>
      </w:divBdr>
    </w:div>
    <w:div w:id="1358699930">
      <w:bodyDiv w:val="1"/>
      <w:marLeft w:val="0"/>
      <w:marRight w:val="0"/>
      <w:marTop w:val="0"/>
      <w:marBottom w:val="0"/>
      <w:divBdr>
        <w:top w:val="none" w:sz="0" w:space="0" w:color="auto"/>
        <w:left w:val="none" w:sz="0" w:space="0" w:color="auto"/>
        <w:bottom w:val="none" w:sz="0" w:space="0" w:color="auto"/>
        <w:right w:val="none" w:sz="0" w:space="0" w:color="auto"/>
      </w:divBdr>
    </w:div>
    <w:div w:id="1469587504">
      <w:bodyDiv w:val="1"/>
      <w:marLeft w:val="0"/>
      <w:marRight w:val="0"/>
      <w:marTop w:val="0"/>
      <w:marBottom w:val="0"/>
      <w:divBdr>
        <w:top w:val="none" w:sz="0" w:space="0" w:color="auto"/>
        <w:left w:val="none" w:sz="0" w:space="0" w:color="auto"/>
        <w:bottom w:val="none" w:sz="0" w:space="0" w:color="auto"/>
        <w:right w:val="none" w:sz="0" w:space="0" w:color="auto"/>
      </w:divBdr>
    </w:div>
    <w:div w:id="1557427306">
      <w:bodyDiv w:val="1"/>
      <w:marLeft w:val="0"/>
      <w:marRight w:val="0"/>
      <w:marTop w:val="0"/>
      <w:marBottom w:val="0"/>
      <w:divBdr>
        <w:top w:val="none" w:sz="0" w:space="0" w:color="auto"/>
        <w:left w:val="none" w:sz="0" w:space="0" w:color="auto"/>
        <w:bottom w:val="none" w:sz="0" w:space="0" w:color="auto"/>
        <w:right w:val="none" w:sz="0" w:space="0" w:color="auto"/>
      </w:divBdr>
    </w:div>
    <w:div w:id="1916470679">
      <w:bodyDiv w:val="1"/>
      <w:marLeft w:val="0"/>
      <w:marRight w:val="0"/>
      <w:marTop w:val="0"/>
      <w:marBottom w:val="0"/>
      <w:divBdr>
        <w:top w:val="none" w:sz="0" w:space="0" w:color="auto"/>
        <w:left w:val="none" w:sz="0" w:space="0" w:color="auto"/>
        <w:bottom w:val="none" w:sz="0" w:space="0" w:color="auto"/>
        <w:right w:val="none" w:sz="0" w:space="0" w:color="auto"/>
      </w:divBdr>
    </w:div>
    <w:div w:id="19691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enders.wa.gov.au/watenders/index.do" TargetMode="External"/><Relationship Id="rId18" Type="http://schemas.openxmlformats.org/officeDocument/2006/relationships/hyperlink" Target="https://www.tenders.wa.gov.au/watenders/index.do"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ROHEOI@communities.wa.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gov.au/organisation/department-of-communities/partnering-the-department-of-communities-government-regional-officer-housing-groh-development-inform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wa.gov.au/organisation/department-of-communities/department-of-communities-housing-business-opportunities"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ilders.panel@communities.wa.gov.au"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e278f-9f50-4af2-bc61-3ec198ebef6c" ContentTypeId="0x01010000739C5F412E4FFF9422A5756B897F2D" PreviousValue="false"/>
</file>

<file path=customXml/item3.xml><?xml version="1.0" encoding="utf-8"?>
<metadata xmlns="http://www.objective.com/ecm/document/metadata/E33714F3EF854325AA8BBAA0BA2C5425" version="1.0.0">
  <systemFields>
    <field name="Objective-Id">
      <value order="0">A55121037</value>
    </field>
    <field name="Objective-Title">
      <value order="0">Builder Fact Sheet - Mid-West Region 25072023</value>
    </field>
    <field name="Objective-Description">
      <value order="0"/>
    </field>
    <field name="Objective-CreationStamp">
      <value order="0">2023-07-31T05:31:41Z</value>
    </field>
    <field name="Objective-IsApproved">
      <value order="0">false</value>
    </field>
    <field name="Objective-IsPublished">
      <value order="0">true</value>
    </field>
    <field name="Objective-DatePublished">
      <value order="0">2023-07-31T08:46:25Z</value>
    </field>
    <field name="Objective-ModificationStamp">
      <value order="0">2023-07-31T08:46:25Z</value>
    </field>
    <field name="Objective-Owner">
      <value order="0">Rosetta Castellano</value>
    </field>
    <field name="Objective-Path">
      <value order="0">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alue>
    </field>
    <field name="Objective-Parent">
      <value order="0">78-14657 - Department Initiated Ministerial - 78-14657- Carey - Builder Fact Sheets - July 2023</value>
    </field>
    <field name="Objective-State">
      <value order="0">Published</value>
    </field>
    <field name="Objective-VersionId">
      <value order="0">vA59406382</value>
    </field>
    <field name="Objective-Version">
      <value order="0">3.0</value>
    </field>
    <field name="Objective-VersionNumber">
      <value order="0">3</value>
    </field>
    <field name="Objective-VersionComment">
      <value order="0"/>
    </field>
    <field name="Objective-FileNumber">
      <value order="0">2023/30680</value>
    </field>
    <field name="Objective-Classification">
      <value order="0"/>
    </field>
    <field name="Objective-Caveats">
      <value order="0"/>
    </field>
  </systemFields>
  <catalogues>
    <catalogue name="Document Type Catalogue" type="type" ori="id:cA130">
      <field name="Objective-Document Type">
        <value order="0">Briefing Note</value>
      </field>
      <field name="Objective-Document Sub Type">
        <value order="0"/>
      </field>
      <field name="Objective-Document Date">
        <value order="0">2023-07-30T16:00:00Z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Props1.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2.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4.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6.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6602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2024-03-23T02:07:00Z</dcterms:created>
  <dcterms:modified xsi:type="dcterms:W3CDTF">2024-03-26T07:24:00Z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MSIP_Label_116cf7cf-4bad-475a-a557-f71d08d59046_Enabled">
    <vt:lpwstr>true</vt:lpwstr>
  </property>
  <property fmtid="{D5CDD505-2E9C-101B-9397-08002B2CF9AE}" pid="7" name="MSIP_Label_116cf7cf-4bad-475a-a557-f71d08d59046_SetDate">
    <vt:lpwstr>2023-07-14T08:54:21Z</vt:lpwstr>
  </property>
  <property fmtid="{D5CDD505-2E9C-101B-9397-08002B2CF9AE}" pid="8" name="MSIP_Label_116cf7cf-4bad-475a-a557-f71d08d59046_Method">
    <vt:lpwstr>Standard</vt:lpwstr>
  </property>
  <property fmtid="{D5CDD505-2E9C-101B-9397-08002B2CF9AE}" pid="9" name="MSIP_Label_116cf7cf-4bad-475a-a557-f71d08d59046_Name">
    <vt:lpwstr>OFFICIAL [ Office ]</vt:lpwstr>
  </property>
  <property fmtid="{D5CDD505-2E9C-101B-9397-08002B2CF9AE}" pid="10" name="MSIP_Label_116cf7cf-4bad-475a-a557-f71d08d59046_SiteId">
    <vt:lpwstr>d48144b5-571f-4b68-9721-e41bc0071e17</vt:lpwstr>
  </property>
  <property fmtid="{D5CDD505-2E9C-101B-9397-08002B2CF9AE}" pid="11" name="MSIP_Label_116cf7cf-4bad-475a-a557-f71d08d59046_ActionId">
    <vt:lpwstr>526b14ad-0ef9-4ec4-8fa9-1b89457296f6</vt:lpwstr>
  </property>
  <property fmtid="{D5CDD505-2E9C-101B-9397-08002B2CF9AE}" pid="12" name="MSIP_Label_116cf7cf-4bad-475a-a557-f71d08d59046_ContentBits">
    <vt:lpwstr>0</vt:lpwstr>
  </property>
  <property fmtid="{D5CDD505-2E9C-101B-9397-08002B2CF9AE}" pid="13" name="_NewReviewCycle">
    <vt:lpwstr/>
  </property>
  <property fmtid="{D5CDD505-2E9C-101B-9397-08002B2CF9AE}" pid="14" name="Objective-Id">
    <vt:lpwstr>A55121037</vt:lpwstr>
  </property>
  <property fmtid="{D5CDD505-2E9C-101B-9397-08002B2CF9AE}" pid="15" name="Objective-Title">
    <vt:lpwstr>Builder Fact Sheet - Mid-West Region 25072023</vt:lpwstr>
  </property>
  <property fmtid="{D5CDD505-2E9C-101B-9397-08002B2CF9AE}" pid="16" name="Objective-Description">
    <vt:lpwstr/>
  </property>
  <property fmtid="{D5CDD505-2E9C-101B-9397-08002B2CF9AE}" pid="17" name="Objective-CreationStamp">
    <vt:filetime>2023-07-31T05:31:49Z</vt:filetime>
  </property>
  <property fmtid="{D5CDD505-2E9C-101B-9397-08002B2CF9AE}" pid="18" name="Objective-IsApproved">
    <vt:bool>false</vt:bool>
  </property>
  <property fmtid="{D5CDD505-2E9C-101B-9397-08002B2CF9AE}" pid="19" name="Objective-IsPublished">
    <vt:bool>true</vt:bool>
  </property>
  <property fmtid="{D5CDD505-2E9C-101B-9397-08002B2CF9AE}" pid="20" name="Objective-DatePublished">
    <vt:filetime>2023-07-31T08:46:25Z</vt:filetime>
  </property>
  <property fmtid="{D5CDD505-2E9C-101B-9397-08002B2CF9AE}" pid="21" name="Objective-ModificationStamp">
    <vt:filetime>2023-07-31T08:46:25Z</vt:filetime>
  </property>
  <property fmtid="{D5CDD505-2E9C-101B-9397-08002B2CF9AE}" pid="22" name="Objective-Owner">
    <vt:lpwstr>Rosetta Castellano</vt:lpwstr>
  </property>
  <property fmtid="{D5CDD505-2E9C-101B-9397-08002B2CF9AE}" pid="23" name="Objective-Path">
    <vt:lpwstr>Objective Global Folder:Division of Child Protection and Family Support:Office of the Director General:Executive Services:Executive Ministerials:2023:Housing and Assets:78 - Carey - Builder Fact Sheets - July 2023:78-14657 - Department Initiated Ministerial - 78-14657- Carey - Builder Fact Sheets - July 2023:</vt:lpwstr>
  </property>
  <property fmtid="{D5CDD505-2E9C-101B-9397-08002B2CF9AE}" pid="24" name="Objective-Parent">
    <vt:lpwstr>78-14657 - Department Initiated Ministerial - 78-14657- Carey - Builder Fact Sheets - July 2023</vt:lpwstr>
  </property>
  <property fmtid="{D5CDD505-2E9C-101B-9397-08002B2CF9AE}" pid="25" name="Objective-State">
    <vt:lpwstr>Published</vt:lpwstr>
  </property>
  <property fmtid="{D5CDD505-2E9C-101B-9397-08002B2CF9AE}" pid="26" name="Objective-VersionId">
    <vt:lpwstr>vA59406382</vt:lpwstr>
  </property>
  <property fmtid="{D5CDD505-2E9C-101B-9397-08002B2CF9AE}" pid="27" name="Objective-Version">
    <vt:lpwstr>3.0</vt:lpwstr>
  </property>
  <property fmtid="{D5CDD505-2E9C-101B-9397-08002B2CF9AE}" pid="28" name="Objective-VersionNumber">
    <vt:r8>3</vt:r8>
  </property>
  <property fmtid="{D5CDD505-2E9C-101B-9397-08002B2CF9AE}" pid="29" name="Objective-VersionComment">
    <vt:lpwstr/>
  </property>
  <property fmtid="{D5CDD505-2E9C-101B-9397-08002B2CF9AE}" pid="30" name="Objective-FileNumber">
    <vt:lpwstr>2023/30680</vt:lpwstr>
  </property>
  <property fmtid="{D5CDD505-2E9C-101B-9397-08002B2CF9AE}" pid="31" name="Objective-Classification">
    <vt:lpwstr>[Inherited - none]</vt:lpwstr>
  </property>
  <property fmtid="{D5CDD505-2E9C-101B-9397-08002B2CF9AE}" pid="32" name="Objective-Caveats">
    <vt:lpwstr/>
  </property>
  <property fmtid="{D5CDD505-2E9C-101B-9397-08002B2CF9AE}" pid="33" name="Objective-Document Type">
    <vt:lpwstr>Briefing Note</vt:lpwstr>
  </property>
  <property fmtid="{D5CDD505-2E9C-101B-9397-08002B2CF9AE}" pid="34" name="Objective-Document Sub Type">
    <vt:lpwstr/>
  </property>
  <property fmtid="{D5CDD505-2E9C-101B-9397-08002B2CF9AE}" pid="35" name="Objective-Document Date">
    <vt:filetime>2023-07-30T16:00:00Z</vt:filetime>
  </property>
  <property fmtid="{D5CDD505-2E9C-101B-9397-08002B2CF9AE}" pid="36" name="Objective-Security Classification">
    <vt:lpwstr/>
  </property>
  <property fmtid="{D5CDD505-2E9C-101B-9397-08002B2CF9AE}" pid="37" name="Objective-Addressee">
    <vt:lpwstr/>
  </property>
  <property fmtid="{D5CDD505-2E9C-101B-9397-08002B2CF9AE}" pid="38" name="Objective-Signatory">
    <vt:lpwstr/>
  </property>
  <property fmtid="{D5CDD505-2E9C-101B-9397-08002B2CF9AE}" pid="39" name="Objective-Document Description">
    <vt:lpwstr/>
  </property>
  <property fmtid="{D5CDD505-2E9C-101B-9397-08002B2CF9AE}" pid="40" name="Objective-Publish Exemption">
    <vt:lpwstr>No</vt:lpwstr>
  </property>
  <property fmtid="{D5CDD505-2E9C-101B-9397-08002B2CF9AE}" pid="41" name="Objective-Approval Status">
    <vt:lpwstr/>
  </property>
  <property fmtid="{D5CDD505-2E9C-101B-9397-08002B2CF9AE}" pid="42" name="Objective-Connect Creator">
    <vt:lpwstr/>
  </property>
  <property fmtid="{D5CDD505-2E9C-101B-9397-08002B2CF9AE}" pid="43" name="Objective-Mail Returned">
    <vt:lpwstr/>
  </property>
  <property fmtid="{D5CDD505-2E9C-101B-9397-08002B2CF9AE}" pid="44" name="Objective-Comment">
    <vt:lpwstr/>
  </property>
</Properties>
</file>