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3ADA1FFD" w:rsidR="00F140D9" w:rsidRPr="004D0F80" w:rsidRDefault="002C4629" w:rsidP="002C4629">
      <w:pPr>
        <w:pStyle w:val="Heading1"/>
        <w:spacing w:before="72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CA54A" wp14:editId="12DE139E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34551" cy="1580707"/>
            <wp:effectExtent l="0" t="0" r="0" b="635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1" cy="15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235D77">
        <w:t>p</w:t>
      </w:r>
      <w:r w:rsidR="00F140D9" w:rsidRPr="004D0F80">
        <w:t xml:space="preserve">ublic </w:t>
      </w:r>
      <w:r w:rsidR="00235D77">
        <w:t>s</w:t>
      </w:r>
      <w:r w:rsidR="00F140D9" w:rsidRPr="004D0F80">
        <w:t xml:space="preserve">ector </w:t>
      </w:r>
      <w:r w:rsidR="00F76D8B">
        <w:t>q</w:t>
      </w:r>
      <w:r w:rsidR="00C51C2E" w:rsidRPr="004D0F80">
        <w:t>uarterly workforce report</w:t>
      </w:r>
      <w:r w:rsidR="00607466">
        <w:t xml:space="preserve"> – </w:t>
      </w:r>
      <w:r w:rsidR="00052DB4">
        <w:br/>
      </w:r>
      <w:r w:rsidR="00C57D7C">
        <w:t>September</w:t>
      </w:r>
      <w:r w:rsidR="00BF5262">
        <w:t xml:space="preserve"> 2023</w:t>
      </w:r>
    </w:p>
    <w:p w14:paraId="6D273999" w14:textId="11743C42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4D98CE9" w14:textId="3537F645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C57D7C">
          <w:rPr>
            <w:rStyle w:val="Hyperlink"/>
          </w:rPr>
          <w:t>State of the WA Government Sector Workforce 2022-23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24E59307" w:rsidR="00F140D9" w:rsidRPr="006258A2" w:rsidRDefault="006258A2" w:rsidP="006A2B08">
      <w:pPr>
        <w:pStyle w:val="Heading2"/>
        <w:spacing w:before="320" w:beforeAutospacing="0" w:after="240" w:after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917C55">
        <w:t xml:space="preserve">ector as </w:t>
      </w:r>
      <w:proofErr w:type="gramStart"/>
      <w:r w:rsidR="00917C55">
        <w:t>at</w:t>
      </w:r>
      <w:proofErr w:type="gramEnd"/>
      <w:r w:rsidR="00CC76B7">
        <w:t xml:space="preserve"> </w:t>
      </w:r>
      <w:r w:rsidR="00C57D7C">
        <w:t>September</w:t>
      </w:r>
      <w:r w:rsidR="00BF5262">
        <w:t xml:space="preserve"> 2023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F86D38" w:rsidRPr="004D0F80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324BC8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Headcount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56D54886" w14:textId="0DB3406B" w:rsidR="00F86D38" w:rsidRPr="00324BC8" w:rsidRDefault="001D21F5" w:rsidP="002C4629">
            <w:pPr>
              <w:pStyle w:val="TableText"/>
              <w:spacing w:before="20" w:beforeAutospacing="0" w:after="2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highlight w:val="yellow"/>
                <w:shd w:val="clear" w:color="auto" w:fill="FFFFFF"/>
              </w:rPr>
            </w:pPr>
            <w:bookmarkStart w:id="0" w:name="_Hlk135211554"/>
            <w:r w:rsidRPr="00324BC8">
              <w:rPr>
                <w:b w:val="0"/>
                <w:sz w:val="20"/>
                <w:shd w:val="clear" w:color="auto" w:fill="FFFFFF"/>
              </w:rPr>
              <w:t>16</w:t>
            </w:r>
            <w:r w:rsidR="00C57D7C">
              <w:rPr>
                <w:b w:val="0"/>
                <w:sz w:val="20"/>
                <w:shd w:val="clear" w:color="auto" w:fill="FFFFFF"/>
              </w:rPr>
              <w:t>8</w:t>
            </w:r>
            <w:r w:rsidRPr="00324BC8">
              <w:rPr>
                <w:b w:val="0"/>
                <w:sz w:val="20"/>
                <w:shd w:val="clear" w:color="auto" w:fill="FFFFFF"/>
              </w:rPr>
              <w:t>,</w:t>
            </w:r>
            <w:bookmarkEnd w:id="0"/>
            <w:r w:rsidR="00C57D7C">
              <w:rPr>
                <w:b w:val="0"/>
                <w:sz w:val="20"/>
                <w:shd w:val="clear" w:color="auto" w:fill="FFFFFF"/>
              </w:rPr>
              <w:t>312</w:t>
            </w:r>
          </w:p>
        </w:tc>
      </w:tr>
      <w:tr w:rsidR="00F86D38" w:rsidRPr="004D0F80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324BC8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548AEA04" w:rsidR="00F86D38" w:rsidRPr="00324BC8" w:rsidRDefault="001D21F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</w:t>
            </w:r>
            <w:r w:rsidR="00C57D7C">
              <w:rPr>
                <w:sz w:val="20"/>
                <w:shd w:val="clear" w:color="auto" w:fill="FFFFFF"/>
              </w:rPr>
              <w:t>31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C57D7C">
              <w:rPr>
                <w:sz w:val="20"/>
                <w:shd w:val="clear" w:color="auto" w:fill="FFFFFF"/>
              </w:rPr>
              <w:t>859</w:t>
            </w:r>
          </w:p>
        </w:tc>
      </w:tr>
      <w:tr w:rsidR="008750E6" w:rsidRPr="0022190A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1D20AED2" w14:textId="77777777" w:rsidR="00036DCA" w:rsidRPr="00324BC8" w:rsidRDefault="008750E6" w:rsidP="002C4629">
            <w:pPr>
              <w:pStyle w:val="TableText"/>
              <w:spacing w:before="20" w:beforeAutospacing="0" w:after="20" w:line="240" w:lineRule="auto"/>
              <w:rPr>
                <w:bCs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 xml:space="preserve">General government </w:t>
            </w:r>
            <w:r w:rsidR="006926A7" w:rsidRPr="00324BC8">
              <w:rPr>
                <w:b w:val="0"/>
                <w:sz w:val="20"/>
                <w:shd w:val="clear" w:color="auto" w:fill="FFFFFF"/>
              </w:rPr>
              <w:t xml:space="preserve">salaries </w:t>
            </w:r>
            <w:r w:rsidRPr="00324BC8">
              <w:rPr>
                <w:b w:val="0"/>
                <w:sz w:val="20"/>
                <w:shd w:val="clear" w:color="auto" w:fill="FFFFFF"/>
              </w:rPr>
              <w:t>expenses</w:t>
            </w:r>
          </w:p>
          <w:p w14:paraId="642B25AC" w14:textId="27B6858E" w:rsidR="008750E6" w:rsidRPr="00324BC8" w:rsidRDefault="0007344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(</w:t>
            </w:r>
            <w:r w:rsidR="00C57D7C">
              <w:rPr>
                <w:b w:val="0"/>
                <w:sz w:val="20"/>
                <w:shd w:val="clear" w:color="auto" w:fill="FFFFFF"/>
              </w:rPr>
              <w:t>September</w:t>
            </w:r>
            <w:r w:rsidRPr="00324BC8">
              <w:rPr>
                <w:b w:val="0"/>
                <w:sz w:val="20"/>
                <w:shd w:val="clear" w:color="auto" w:fill="FFFFFF"/>
              </w:rPr>
              <w:t xml:space="preserve"> quarter)</w:t>
            </w:r>
          </w:p>
        </w:tc>
        <w:tc>
          <w:tcPr>
            <w:tcW w:w="3686" w:type="dxa"/>
            <w:vAlign w:val="center"/>
          </w:tcPr>
          <w:p w14:paraId="66512567" w14:textId="6A918DE5" w:rsidR="008750E6" w:rsidRPr="00324BC8" w:rsidRDefault="00BB3594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$</w:t>
            </w:r>
            <w:r w:rsidR="002C300F">
              <w:rPr>
                <w:sz w:val="20"/>
                <w:shd w:val="clear" w:color="auto" w:fill="FFFFFF"/>
              </w:rPr>
              <w:t>4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2C300F">
              <w:rPr>
                <w:sz w:val="20"/>
                <w:shd w:val="clear" w:color="auto" w:fill="FFFFFF"/>
              </w:rPr>
              <w:t>003</w:t>
            </w:r>
            <w:r w:rsidRPr="00324BC8">
              <w:rPr>
                <w:sz w:val="20"/>
                <w:shd w:val="clear" w:color="auto" w:fill="FFFFFF"/>
              </w:rPr>
              <w:t xml:space="preserve"> M</w:t>
            </w:r>
          </w:p>
        </w:tc>
      </w:tr>
      <w:tr w:rsidR="00F86D38" w:rsidRPr="00DA0F3B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324BC8" w:rsidRDefault="006A5FF7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Public sector m</w:t>
            </w:r>
            <w:r w:rsidR="00F86D38" w:rsidRPr="00324BC8">
              <w:rPr>
                <w:b w:val="0"/>
                <w:sz w:val="20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6A18E8CC" w:rsidR="00F86D38" w:rsidRPr="00324BC8" w:rsidRDefault="007922A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4</w:t>
            </w:r>
            <w:r w:rsidR="00BF5262" w:rsidRPr="00324BC8">
              <w:rPr>
                <w:sz w:val="20"/>
                <w:shd w:val="clear" w:color="auto" w:fill="FFFFFF"/>
              </w:rPr>
              <w:t>4</w:t>
            </w:r>
          </w:p>
        </w:tc>
      </w:tr>
      <w:tr w:rsidR="00F86D38" w:rsidRPr="000610C7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324BC8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324BC8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77644770" w:rsidR="00F86D38" w:rsidRPr="00324BC8" w:rsidRDefault="001D21F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18.</w:t>
            </w:r>
            <w:r w:rsidR="00C57D7C">
              <w:rPr>
                <w:sz w:val="20"/>
                <w:shd w:val="clear" w:color="auto" w:fill="FFFFFF"/>
              </w:rPr>
              <w:t>2</w:t>
            </w:r>
            <w:r w:rsidR="007922A5" w:rsidRPr="00324BC8">
              <w:rPr>
                <w:sz w:val="20"/>
                <w:shd w:val="clear" w:color="auto" w:fill="FFFFFF"/>
              </w:rPr>
              <w:t>%</w:t>
            </w:r>
          </w:p>
        </w:tc>
      </w:tr>
      <w:tr w:rsidR="00F86D38" w:rsidRPr="000610C7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324BC8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324BC8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1C340D7B" w:rsidR="00F86D38" w:rsidRPr="00324BC8" w:rsidRDefault="001D21F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16.</w:t>
            </w:r>
            <w:r w:rsidR="00C57D7C">
              <w:rPr>
                <w:sz w:val="20"/>
                <w:shd w:val="clear" w:color="auto" w:fill="FFFFFF"/>
              </w:rPr>
              <w:t>6</w:t>
            </w:r>
            <w:r w:rsidR="007922A5" w:rsidRPr="00324BC8">
              <w:rPr>
                <w:sz w:val="20"/>
                <w:shd w:val="clear" w:color="auto" w:fill="FFFFFF"/>
              </w:rPr>
              <w:t>%</w:t>
            </w:r>
          </w:p>
        </w:tc>
      </w:tr>
      <w:tr w:rsidR="00F86D38" w:rsidRPr="000610C7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324BC8" w:rsidRDefault="00F86D38" w:rsidP="002C4629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324BC8" w:rsidRDefault="00F86D38" w:rsidP="002C4629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0C52322C" w:rsidR="00F86D38" w:rsidRPr="00324BC8" w:rsidRDefault="007922A5" w:rsidP="002C4629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11.</w:t>
            </w:r>
            <w:r w:rsidR="00BF5262" w:rsidRPr="00324BC8">
              <w:rPr>
                <w:sz w:val="20"/>
                <w:shd w:val="clear" w:color="auto" w:fill="FFFFFF"/>
              </w:rPr>
              <w:t>2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324BC8" w:rsidRDefault="00B271FA" w:rsidP="002C4629">
            <w:pPr>
              <w:spacing w:beforeLines="20" w:before="48" w:beforeAutospacing="0" w:afterLines="20" w:after="48"/>
              <w:ind w:right="245"/>
              <w:rPr>
                <w:color w:val="FFFFFF" w:themeColor="background1"/>
                <w:sz w:val="20"/>
                <w:szCs w:val="20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2844A351" w:rsidR="00B271FA" w:rsidRPr="00324BC8" w:rsidRDefault="00984657" w:rsidP="002C4629">
            <w:pPr>
              <w:spacing w:beforeLines="20" w:before="48" w:beforeAutospacing="0" w:afterLines="20" w:after="48"/>
              <w:ind w:right="245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September</w:t>
            </w:r>
            <w:r w:rsidR="00BF5262" w:rsidRPr="00324BC8">
              <w:rPr>
                <w:color w:val="FFFFFF" w:themeColor="background1"/>
                <w:sz w:val="20"/>
                <w:szCs w:val="20"/>
              </w:rPr>
              <w:t xml:space="preserve"> 2023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324BC8" w:rsidRDefault="00B271FA" w:rsidP="002C4629">
            <w:pPr>
              <w:spacing w:beforeLines="20" w:before="48" w:beforeAutospacing="0" w:afterLines="20" w:after="48"/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Aspirational target</w:t>
            </w:r>
          </w:p>
        </w:tc>
      </w:tr>
      <w:tr w:rsidR="00C45D44" w:rsidRPr="009308A2" w14:paraId="28E26A0F" w14:textId="77777777" w:rsidTr="00324BC8">
        <w:trPr>
          <w:trHeight w:val="20"/>
        </w:trPr>
        <w:tc>
          <w:tcPr>
            <w:tcW w:w="3539" w:type="dxa"/>
          </w:tcPr>
          <w:p w14:paraId="4DB1B1E2" w14:textId="37C9DEAA" w:rsidR="00C45D44" w:rsidRPr="00324BC8" w:rsidRDefault="00C45D44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Women in the 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4C918C0F" w:rsidR="00C45D44" w:rsidRPr="00324BC8" w:rsidRDefault="00C45D44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191FEFFE" w:rsidR="00C45D44" w:rsidRPr="00324BC8" w:rsidRDefault="00FB1BA2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FB1BA2">
              <w:rPr>
                <w:sz w:val="20"/>
                <w:shd w:val="clear" w:color="auto" w:fill="FFFFFF"/>
              </w:rPr>
              <w:t>49</w:t>
            </w:r>
            <w:r w:rsidR="00926AAB" w:rsidRPr="00FB1BA2">
              <w:rPr>
                <w:sz w:val="20"/>
                <w:shd w:val="clear" w:color="auto" w:fill="FFFFFF"/>
              </w:rPr>
              <w:t>.</w:t>
            </w:r>
            <w:r w:rsidR="00C57D7C">
              <w:rPr>
                <w:sz w:val="20"/>
                <w:shd w:val="clear" w:color="auto" w:fill="FFFFFF"/>
              </w:rPr>
              <w:t>2</w:t>
            </w:r>
            <w:r w:rsidR="00C45D44" w:rsidRPr="00FB1BA2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</w:tcPr>
          <w:p w14:paraId="121E20F1" w14:textId="77777777" w:rsidR="00C45D44" w:rsidRPr="00324BC8" w:rsidRDefault="00C45D44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50.0%</w:t>
            </w:r>
          </w:p>
        </w:tc>
      </w:tr>
      <w:tr w:rsidR="0040733D" w:rsidRPr="009308A2" w14:paraId="6AECC508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BDEF391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23424FB3" w:rsidR="0040733D" w:rsidRPr="00324BC8" w:rsidRDefault="007922A5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2.</w:t>
            </w:r>
            <w:r w:rsidR="00137BAC">
              <w:rPr>
                <w:sz w:val="20"/>
                <w:shd w:val="clear" w:color="auto" w:fill="FFFFFF"/>
              </w:rPr>
              <w:t>8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324BC8">
        <w:trPr>
          <w:trHeight w:val="20"/>
        </w:trPr>
        <w:tc>
          <w:tcPr>
            <w:tcW w:w="3539" w:type="dxa"/>
            <w:vMerge/>
          </w:tcPr>
          <w:p w14:paraId="184FA3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08D86E1C" w:rsidR="0040733D" w:rsidRPr="00324BC8" w:rsidRDefault="001D21F5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3,</w:t>
            </w:r>
            <w:r w:rsidR="00C57D7C">
              <w:rPr>
                <w:sz w:val="20"/>
                <w:shd w:val="clear" w:color="auto" w:fill="FFFFFF"/>
              </w:rPr>
              <w:t>524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02B3A48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23847D0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270504F4" w:rsidR="0040733D" w:rsidRPr="00324BC8" w:rsidRDefault="00C05B59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1.</w:t>
            </w:r>
            <w:r w:rsidR="00BF5262" w:rsidRPr="00324BC8">
              <w:rPr>
                <w:sz w:val="20"/>
                <w:shd w:val="clear" w:color="auto" w:fill="FFFFFF"/>
              </w:rPr>
              <w:t>6</w:t>
            </w:r>
            <w:r w:rsidR="0050478D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324BC8">
        <w:trPr>
          <w:trHeight w:val="20"/>
        </w:trPr>
        <w:tc>
          <w:tcPr>
            <w:tcW w:w="3539" w:type="dxa"/>
            <w:vMerge/>
          </w:tcPr>
          <w:p w14:paraId="40BCBBF2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141726EF" w:rsidR="0040733D" w:rsidRPr="00324BC8" w:rsidRDefault="00C57D7C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highlight w:val="yellow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</w:t>
            </w:r>
            <w:r w:rsidR="001D21F5" w:rsidRPr="00324BC8">
              <w:rPr>
                <w:sz w:val="20"/>
                <w:shd w:val="clear" w:color="auto" w:fill="FFFFFF"/>
              </w:rPr>
              <w:t>,</w:t>
            </w:r>
            <w:r>
              <w:rPr>
                <w:sz w:val="20"/>
                <w:shd w:val="clear" w:color="auto" w:fill="FFFFFF"/>
              </w:rPr>
              <w:t>024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7B27020C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DACA1C3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0CCBF8B1" w:rsidR="0040733D" w:rsidRPr="00324BC8" w:rsidRDefault="00C05B59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</w:t>
            </w:r>
            <w:r w:rsidR="00C57D7C">
              <w:rPr>
                <w:sz w:val="20"/>
                <w:shd w:val="clear" w:color="auto" w:fill="FFFFFF"/>
              </w:rPr>
              <w:t>7</w:t>
            </w:r>
            <w:r w:rsidRPr="00324BC8">
              <w:rPr>
                <w:sz w:val="20"/>
                <w:shd w:val="clear" w:color="auto" w:fill="FFFFFF"/>
              </w:rPr>
              <w:t>.</w:t>
            </w:r>
            <w:r w:rsidR="00C57D7C">
              <w:rPr>
                <w:sz w:val="20"/>
                <w:shd w:val="clear" w:color="auto" w:fill="FFFFFF"/>
              </w:rPr>
              <w:t>0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2C4629">
        <w:trPr>
          <w:trHeight w:val="70"/>
        </w:trPr>
        <w:tc>
          <w:tcPr>
            <w:tcW w:w="3539" w:type="dxa"/>
            <w:vMerge/>
          </w:tcPr>
          <w:p w14:paraId="22866D50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4C18841E" w:rsidR="0040733D" w:rsidRPr="00324BC8" w:rsidRDefault="00C57D7C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20</w:t>
            </w:r>
            <w:r w:rsidR="001D21F5" w:rsidRPr="00324BC8">
              <w:rPr>
                <w:sz w:val="20"/>
                <w:shd w:val="clear" w:color="auto" w:fill="FFFFFF"/>
              </w:rPr>
              <w:t>,</w:t>
            </w:r>
            <w:r>
              <w:rPr>
                <w:sz w:val="20"/>
                <w:shd w:val="clear" w:color="auto" w:fill="FFFFFF"/>
              </w:rPr>
              <w:t>156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2A45285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33BE395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Youth </w:t>
            </w:r>
            <w:r w:rsidRPr="00324BC8">
              <w:rPr>
                <w:sz w:val="20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5B309E30" w:rsidR="0040733D" w:rsidRPr="00324BC8" w:rsidRDefault="00C05B59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</w:t>
            </w:r>
            <w:r w:rsidR="00C57D7C">
              <w:rPr>
                <w:sz w:val="20"/>
                <w:shd w:val="clear" w:color="auto" w:fill="FFFFFF"/>
              </w:rPr>
              <w:t>3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324BC8">
        <w:trPr>
          <w:trHeight w:val="20"/>
        </w:trPr>
        <w:tc>
          <w:tcPr>
            <w:tcW w:w="3539" w:type="dxa"/>
            <w:vMerge/>
          </w:tcPr>
          <w:p w14:paraId="3A2A99C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67341F9B" w:rsidR="0040733D" w:rsidRPr="00324BC8" w:rsidRDefault="001D21F5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8,</w:t>
            </w:r>
            <w:r w:rsidR="00C57D7C">
              <w:rPr>
                <w:sz w:val="20"/>
                <w:shd w:val="clear" w:color="auto" w:fill="FFFFFF"/>
              </w:rPr>
              <w:t>953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9308A2" w14:paraId="72F15DC5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DE8B508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Mature </w:t>
            </w:r>
            <w:r w:rsidRPr="00324BC8">
              <w:rPr>
                <w:sz w:val="20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7B2AE277" w:rsidR="0040733D" w:rsidRPr="00324BC8" w:rsidRDefault="00BF5262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49</w:t>
            </w:r>
            <w:r w:rsidR="00C05B59" w:rsidRPr="00324BC8">
              <w:rPr>
                <w:sz w:val="20"/>
                <w:shd w:val="clear" w:color="auto" w:fill="FFFFFF"/>
              </w:rPr>
              <w:t>.</w:t>
            </w:r>
            <w:r w:rsidR="00C57D7C">
              <w:rPr>
                <w:sz w:val="20"/>
                <w:shd w:val="clear" w:color="auto" w:fill="FFFFFF"/>
              </w:rPr>
              <w:t>4</w:t>
            </w:r>
            <w:r w:rsidR="00C05B59"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324BC8" w:rsidRDefault="0040733D" w:rsidP="002C4629">
            <w:pPr>
              <w:pStyle w:val="TableText"/>
              <w:spacing w:beforeLines="20" w:before="48" w:beforeAutospacing="0" w:afterLines="20" w:after="48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proofErr w:type="spellStart"/>
            <w:r w:rsidRPr="00324BC8">
              <w:rPr>
                <w:sz w:val="20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324BC8">
        <w:trPr>
          <w:trHeight w:val="20"/>
        </w:trPr>
        <w:tc>
          <w:tcPr>
            <w:tcW w:w="3539" w:type="dxa"/>
            <w:vMerge/>
          </w:tcPr>
          <w:p w14:paraId="30A7361E" w14:textId="77777777" w:rsidR="00B271FA" w:rsidRPr="00324BC8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324BC8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7A19CEF9" w:rsidR="00B271FA" w:rsidRPr="00324BC8" w:rsidRDefault="001D21F5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8</w:t>
            </w:r>
            <w:r w:rsidR="00C57D7C">
              <w:rPr>
                <w:sz w:val="20"/>
                <w:shd w:val="clear" w:color="auto" w:fill="FFFFFF"/>
              </w:rPr>
              <w:t>3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C57D7C">
              <w:rPr>
                <w:sz w:val="20"/>
                <w:shd w:val="clear" w:color="auto" w:fill="FFFFFF"/>
              </w:rPr>
              <w:t>106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324BC8" w:rsidRDefault="00B271FA" w:rsidP="002C4629">
            <w:pPr>
              <w:pStyle w:val="TableText"/>
              <w:spacing w:beforeLines="20" w:before="48" w:beforeAutospacing="0" w:afterLines="20" w:after="48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</w:tbl>
    <w:p w14:paraId="58C6BD78" w14:textId="77777777" w:rsidR="00333619" w:rsidRDefault="00333619">
      <w:pPr>
        <w:spacing w:before="0" w:beforeAutospacing="0" w:after="16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>
        <w:br w:type="page"/>
      </w:r>
    </w:p>
    <w:p w14:paraId="4D724E11" w14:textId="64E24D92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0BE1B817" w14:textId="77777777" w:rsidR="002F3AD7" w:rsidRPr="009C4818" w:rsidRDefault="002F3AD7" w:rsidP="00A112DD">
      <w:pPr>
        <w:spacing w:before="0" w:beforeAutospacing="0" w:after="0"/>
      </w:pPr>
      <w:r w:rsidRPr="009C4818">
        <w:t xml:space="preserve">In </w:t>
      </w:r>
      <w:r>
        <w:t>September</w:t>
      </w:r>
      <w:r w:rsidRPr="009C4818">
        <w:t xml:space="preserve"> 2023 the WA public sector employed 16</w:t>
      </w:r>
      <w:r>
        <w:t>8</w:t>
      </w:r>
      <w:r w:rsidRPr="009C4818">
        <w:t>,</w:t>
      </w:r>
      <w:r>
        <w:t>312</w:t>
      </w:r>
      <w:r w:rsidRPr="009C4818">
        <w:t xml:space="preserve"> people, equating to 1</w:t>
      </w:r>
      <w:r>
        <w:t>31</w:t>
      </w:r>
      <w:r w:rsidRPr="009C4818">
        <w:t>,</w:t>
      </w:r>
      <w:r>
        <w:t>859</w:t>
      </w:r>
      <w:r w:rsidRPr="009C4818">
        <w:t xml:space="preserve"> full time equivalent (FTE) employees.</w:t>
      </w:r>
    </w:p>
    <w:p w14:paraId="6D5FFB22" w14:textId="77777777" w:rsidR="002F3AD7" w:rsidRPr="009C4818" w:rsidRDefault="002F3AD7" w:rsidP="00A112DD">
      <w:pPr>
        <w:spacing w:before="0" w:beforeAutospacing="0" w:after="0"/>
      </w:pPr>
    </w:p>
    <w:p w14:paraId="16322AB6" w14:textId="77777777" w:rsidR="002F3AD7" w:rsidRPr="009C4818" w:rsidRDefault="002F3AD7" w:rsidP="00A112DD">
      <w:pPr>
        <w:spacing w:before="0" w:beforeAutospacing="0" w:after="0"/>
      </w:pPr>
      <w:r w:rsidRPr="009C4818">
        <w:t xml:space="preserve">In headcount terms, this reflected a quarterly increase of </w:t>
      </w:r>
      <w:r>
        <w:t>3,655</w:t>
      </w:r>
      <w:r w:rsidRPr="009C4818">
        <w:t xml:space="preserve"> (+</w:t>
      </w:r>
      <w:r>
        <w:t>2.2</w:t>
      </w:r>
      <w:r w:rsidRPr="009C4818">
        <w:t xml:space="preserve">%) since </w:t>
      </w:r>
      <w:r>
        <w:t>June</w:t>
      </w:r>
      <w:r w:rsidRPr="009C4818">
        <w:t xml:space="preserve"> 2023, and an annual increase of </w:t>
      </w:r>
      <w:r>
        <w:t>6,782</w:t>
      </w:r>
      <w:r w:rsidRPr="009C4818">
        <w:t xml:space="preserve"> (+</w:t>
      </w:r>
      <w:r>
        <w:t>4.2</w:t>
      </w:r>
      <w:r w:rsidRPr="009C4818">
        <w:t xml:space="preserve">%) since </w:t>
      </w:r>
      <w:r>
        <w:t>September</w:t>
      </w:r>
      <w:r w:rsidRPr="009C4818">
        <w:t xml:space="preserve"> 2022.</w:t>
      </w:r>
    </w:p>
    <w:p w14:paraId="1D9D3633" w14:textId="77777777" w:rsidR="002F3AD7" w:rsidRPr="009C4818" w:rsidRDefault="002F3AD7" w:rsidP="00A112DD">
      <w:pPr>
        <w:spacing w:before="0" w:beforeAutospacing="0" w:after="0"/>
      </w:pPr>
    </w:p>
    <w:p w14:paraId="33351134" w14:textId="77777777" w:rsidR="002F3AD7" w:rsidRDefault="002F3AD7" w:rsidP="00A112DD">
      <w:pPr>
        <w:spacing w:before="0" w:beforeAutospacing="0" w:after="0"/>
      </w:pPr>
      <w:r w:rsidRPr="009C4818">
        <w:t xml:space="preserve">In FTE terms, this reflected a quarterly </w:t>
      </w:r>
      <w:r>
        <w:t>inc</w:t>
      </w:r>
      <w:r w:rsidRPr="009C4818">
        <w:t xml:space="preserve">rease of </w:t>
      </w:r>
      <w:r>
        <w:t>3,114</w:t>
      </w:r>
      <w:r w:rsidRPr="009C4818">
        <w:t xml:space="preserve"> (</w:t>
      </w:r>
      <w:r>
        <w:t>+2.4</w:t>
      </w:r>
      <w:r w:rsidRPr="009C4818">
        <w:t xml:space="preserve">%) since </w:t>
      </w:r>
      <w:r>
        <w:t>June</w:t>
      </w:r>
      <w:r w:rsidRPr="009C4818">
        <w:t xml:space="preserve"> 2023, and an annual increase of </w:t>
      </w:r>
      <w:r>
        <w:t>5</w:t>
      </w:r>
      <w:r w:rsidRPr="009C4818">
        <w:t>,</w:t>
      </w:r>
      <w:r>
        <w:t>438</w:t>
      </w:r>
      <w:r w:rsidRPr="009C4818">
        <w:t xml:space="preserve"> (+</w:t>
      </w:r>
      <w:r>
        <w:t>4.3</w:t>
      </w:r>
      <w:r w:rsidRPr="009C4818">
        <w:t xml:space="preserve">%) since </w:t>
      </w:r>
      <w:r>
        <w:t>September</w:t>
      </w:r>
      <w:r w:rsidRPr="009C4818">
        <w:t xml:space="preserve"> 2022.</w:t>
      </w:r>
    </w:p>
    <w:p w14:paraId="336D8E7F" w14:textId="77777777" w:rsidR="00A112DD" w:rsidRDefault="00A112DD" w:rsidP="00A112DD">
      <w:pPr>
        <w:spacing w:before="0" w:beforeAutospacing="0" w:after="0"/>
      </w:pPr>
    </w:p>
    <w:p w14:paraId="0723C82E" w14:textId="6F40B422" w:rsidR="002F3AD7" w:rsidRPr="00020CA8" w:rsidRDefault="002F3AD7" w:rsidP="00A112DD">
      <w:pPr>
        <w:spacing w:before="0" w:beforeAutospacing="0" w:after="0"/>
      </w:pPr>
      <w:bookmarkStart w:id="1" w:name="_Hlk113617056"/>
      <w:bookmarkStart w:id="2" w:name="_Hlk121291811"/>
      <w:r w:rsidRPr="00020CA8">
        <w:t>The Department of Education increased by 1,217 FTE (+2.8%) in the quarter. Most of the increase w</w:t>
      </w:r>
      <w:r w:rsidR="00F05586">
        <w:t xml:space="preserve">ere </w:t>
      </w:r>
      <w:r w:rsidRPr="00020CA8">
        <w:t>teachers (</w:t>
      </w:r>
      <w:r>
        <w:t>+</w:t>
      </w:r>
      <w:r w:rsidRPr="00020CA8">
        <w:t>603 FTE) and education aides (</w:t>
      </w:r>
      <w:r>
        <w:t>+</w:t>
      </w:r>
      <w:r w:rsidRPr="00020CA8">
        <w:t>441 FTE).</w:t>
      </w:r>
      <w:r>
        <w:t xml:space="preserve"> Department of Education reported the increase relates to usual seasonal patterns, a</w:t>
      </w:r>
      <w:r w:rsidRPr="00B31357">
        <w:t>dditional school-based staff employed to meet growth in student enrolments</w:t>
      </w:r>
      <w:r>
        <w:t xml:space="preserve"> and special needs education assistants in mainstream schools due to increases in the Individual Disability Allocations.</w:t>
      </w:r>
    </w:p>
    <w:p w14:paraId="02C347D5" w14:textId="77777777" w:rsidR="002F3AD7" w:rsidRPr="00020CA8" w:rsidRDefault="002F3AD7" w:rsidP="00A112DD">
      <w:pPr>
        <w:spacing w:before="0" w:beforeAutospacing="0" w:after="0"/>
      </w:pPr>
    </w:p>
    <w:p w14:paraId="18A775EC" w14:textId="77777777" w:rsidR="002F3AD7" w:rsidRDefault="002F3AD7" w:rsidP="00A112DD">
      <w:pPr>
        <w:spacing w:before="0" w:beforeAutospacing="0" w:after="0"/>
        <w:rPr>
          <w:noProof/>
          <w:highlight w:val="yellow"/>
        </w:rPr>
      </w:pPr>
      <w:r w:rsidRPr="00020CA8">
        <w:t xml:space="preserve">WA Health was up 1,143 FTE (+2.6%). All health service providers reported an increase except </w:t>
      </w:r>
      <w:r w:rsidRPr="00F72725">
        <w:t>Health Support Services</w:t>
      </w:r>
      <w:r w:rsidRPr="00020CA8">
        <w:t xml:space="preserve"> (down 3.4%) and PathWest (down 1.2%). The </w:t>
      </w:r>
      <w:r w:rsidRPr="00F72725">
        <w:t>WA Country Health Service had the largest increase (+4.5%).</w:t>
      </w:r>
    </w:p>
    <w:bookmarkEnd w:id="1"/>
    <w:bookmarkEnd w:id="2"/>
    <w:p w14:paraId="776D250A" w14:textId="25235CD0" w:rsidR="006926A7" w:rsidRPr="00D46CC8" w:rsidRDefault="00CC76B7" w:rsidP="007C5210">
      <w:pPr>
        <w:pStyle w:val="Heading3"/>
      </w:pPr>
      <w:r w:rsidRPr="00D46CC8">
        <w:t>Salaries expenditure</w:t>
      </w:r>
    </w:p>
    <w:p w14:paraId="7EE48B93" w14:textId="77777777" w:rsidR="00A34253" w:rsidRDefault="00A34253" w:rsidP="00A34253">
      <w:pPr>
        <w:spacing w:before="0" w:beforeAutospacing="0" w:after="0"/>
        <w:rPr>
          <w:shd w:val="clear" w:color="auto" w:fill="FFFFFF"/>
        </w:rPr>
      </w:pPr>
      <w:bookmarkStart w:id="3" w:name="_Hlk136241217"/>
      <w:r w:rsidRPr="00A34253">
        <w:rPr>
          <w:shd w:val="clear" w:color="auto" w:fill="FFFFFF"/>
        </w:rPr>
        <w:t>Salaries represent the single largest component of general government sector expenses (at 41% for the three months to 30 September 2023, or 46% if concurrent superannuation costs are also included).</w:t>
      </w:r>
    </w:p>
    <w:p w14:paraId="15B50229" w14:textId="77777777" w:rsidR="00A34253" w:rsidRPr="00A34253" w:rsidRDefault="00A34253" w:rsidP="00A34253">
      <w:pPr>
        <w:spacing w:before="0" w:beforeAutospacing="0" w:after="0"/>
        <w:rPr>
          <w:shd w:val="clear" w:color="auto" w:fill="FFFFFF"/>
        </w:rPr>
      </w:pPr>
    </w:p>
    <w:p w14:paraId="165F39E7" w14:textId="590699A8" w:rsidR="00A34253" w:rsidRDefault="00A34253" w:rsidP="00442770">
      <w:pPr>
        <w:spacing w:before="0" w:beforeAutospacing="0" w:after="0"/>
        <w:rPr>
          <w:shd w:val="clear" w:color="auto" w:fill="FFFFFF"/>
        </w:rPr>
      </w:pPr>
      <w:r w:rsidRPr="00A34253">
        <w:rPr>
          <w:shd w:val="clear" w:color="auto" w:fill="FFFFFF"/>
        </w:rPr>
        <w:t>General government salaries totalled $4</w:t>
      </w:r>
      <w:r w:rsidR="005C054C">
        <w:rPr>
          <w:shd w:val="clear" w:color="auto" w:fill="FFFFFF"/>
        </w:rPr>
        <w:t>,</w:t>
      </w:r>
      <w:r>
        <w:rPr>
          <w:shd w:val="clear" w:color="auto" w:fill="FFFFFF"/>
        </w:rPr>
        <w:t>0</w:t>
      </w:r>
      <w:r w:rsidR="005C054C">
        <w:rPr>
          <w:shd w:val="clear" w:color="auto" w:fill="FFFFFF"/>
        </w:rPr>
        <w:t>03</w:t>
      </w:r>
      <w:r w:rsidRPr="00A34253">
        <w:rPr>
          <w:shd w:val="clear" w:color="auto" w:fill="FFFFFF"/>
        </w:rPr>
        <w:t xml:space="preserve"> </w:t>
      </w:r>
      <w:r w:rsidR="005C054C">
        <w:rPr>
          <w:shd w:val="clear" w:color="auto" w:fill="FFFFFF"/>
        </w:rPr>
        <w:t>m</w:t>
      </w:r>
      <w:r w:rsidRPr="00A34253">
        <w:rPr>
          <w:shd w:val="clear" w:color="auto" w:fill="FFFFFF"/>
        </w:rPr>
        <w:t>illion for the first three months of 2023-24 (an increase of 7.6% compared to the same period in 2022-23).</w:t>
      </w:r>
    </w:p>
    <w:p w14:paraId="5AF009AC" w14:textId="5412A240" w:rsidR="00442770" w:rsidRPr="00A34253" w:rsidRDefault="005C054C" w:rsidP="00442770">
      <w:pPr>
        <w:spacing w:before="0" w:beforeAutospacing="0" w:after="0"/>
        <w:rPr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 wp14:anchorId="69E765C3" wp14:editId="1B1F8249">
            <wp:extent cx="5731510" cy="2963545"/>
            <wp:effectExtent l="0" t="0" r="2540" b="8255"/>
            <wp:docPr id="842149434" name="Chart 1" descr="Chart of salary increases between 2013-14 and 2023-24">
              <a:extLst xmlns:a="http://schemas.openxmlformats.org/drawingml/2006/main">
                <a:ext uri="{FF2B5EF4-FFF2-40B4-BE49-F238E27FC236}">
                  <a16:creationId xmlns:a16="http://schemas.microsoft.com/office/drawing/2014/main" id="{11C35F88-8A3F-42DF-AFC7-3897D47787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619694" w14:textId="4EBA5116" w:rsidR="006926A7" w:rsidRDefault="00442770" w:rsidP="00AF27DE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 w:rsidRPr="00EE31DB">
        <w:rPr>
          <w:sz w:val="20"/>
          <w:szCs w:val="20"/>
        </w:rPr>
        <w:t>Source: Department of Treasury</w:t>
      </w:r>
      <w:r w:rsidR="006926A7">
        <w:br w:type="page"/>
      </w:r>
    </w:p>
    <w:bookmarkEnd w:id="3"/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4" w:name="_Ref501379223"/>
            <w:bookmarkEnd w:id="4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5" w:name="_Ref501379429"/>
            <w:bookmarkEnd w:id="5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1420AB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5C7A6E8" w14:textId="3F4F087A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shd w:val="clear" w:color="auto" w:fill="auto"/>
          </w:tcPr>
          <w:p w14:paraId="575AD50B" w14:textId="19F37D9D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shd w:val="clear" w:color="auto" w:fill="auto"/>
          </w:tcPr>
          <w:p w14:paraId="52ABDAC4" w14:textId="3F613E7E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shd w:val="clear" w:color="auto" w:fill="auto"/>
          </w:tcPr>
          <w:p w14:paraId="25F46DE4" w14:textId="7CC6479B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023</w:t>
            </w:r>
          </w:p>
        </w:tc>
      </w:tr>
      <w:tr w:rsidR="001420AB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2C9951EB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42F8D285" w14:textId="42304FF0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5EB117B3" w14:textId="4B5651A4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>
              <w:rPr>
                <w:shd w:val="clear" w:color="auto" w:fill="FFFFFF"/>
              </w:rPr>
              <w:t>,</w:t>
            </w:r>
            <w:r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4AE710A2" w14:textId="55FD2677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091</w:t>
            </w:r>
          </w:p>
        </w:tc>
      </w:tr>
      <w:tr w:rsidR="001420AB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50D90563" w14:textId="45A6D138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shd w:val="clear" w:color="auto" w:fill="auto"/>
          </w:tcPr>
          <w:p w14:paraId="30B07AA9" w14:textId="621DE689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shd w:val="clear" w:color="auto" w:fill="auto"/>
          </w:tcPr>
          <w:p w14:paraId="7D5E7B1C" w14:textId="23142CC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shd w:val="clear" w:color="auto" w:fill="auto"/>
          </w:tcPr>
          <w:p w14:paraId="2CA5D995" w14:textId="0A40502D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</w:t>
            </w:r>
            <w:r w:rsidRPr="00EB09F0">
              <w:rPr>
                <w:shd w:val="clear" w:color="auto" w:fill="FFFFFF"/>
              </w:rPr>
              <w:t>982</w:t>
            </w:r>
          </w:p>
        </w:tc>
      </w:tr>
      <w:tr w:rsidR="001420AB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0CAB00A7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6E3776E" w14:textId="454C5098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7F697FA3" w14:textId="2ECAB62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0D5297C3" w14:textId="091B232F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172</w:t>
            </w:r>
          </w:p>
        </w:tc>
      </w:tr>
      <w:tr w:rsidR="001420AB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E13590A" w14:textId="29F8474C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shd w:val="clear" w:color="auto" w:fill="auto"/>
          </w:tcPr>
          <w:p w14:paraId="574BC373" w14:textId="402AB0F0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shd w:val="clear" w:color="auto" w:fill="auto"/>
          </w:tcPr>
          <w:p w14:paraId="1096056C" w14:textId="72942092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shd w:val="clear" w:color="auto" w:fill="auto"/>
          </w:tcPr>
          <w:p w14:paraId="665AB043" w14:textId="55460295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140</w:t>
            </w:r>
          </w:p>
        </w:tc>
      </w:tr>
      <w:tr w:rsidR="001420A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508C0D1A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2C826C39" w14:textId="448C0961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227E9EC0" w14:textId="706F5762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6E9CEFA2" w14:textId="721FE67F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212</w:t>
            </w:r>
          </w:p>
        </w:tc>
      </w:tr>
      <w:tr w:rsidR="001420A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3432A0D" w14:textId="7722AC3B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shd w:val="clear" w:color="auto" w:fill="auto"/>
          </w:tcPr>
          <w:p w14:paraId="42B0F9F5" w14:textId="265BCF97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146,343</w:t>
            </w:r>
          </w:p>
        </w:tc>
        <w:tc>
          <w:tcPr>
            <w:tcW w:w="1701" w:type="dxa"/>
            <w:shd w:val="clear" w:color="auto" w:fill="auto"/>
          </w:tcPr>
          <w:p w14:paraId="1A71FF8E" w14:textId="0C91B694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115,548</w:t>
            </w:r>
          </w:p>
        </w:tc>
        <w:tc>
          <w:tcPr>
            <w:tcW w:w="2405" w:type="dxa"/>
            <w:shd w:val="clear" w:color="auto" w:fill="auto"/>
          </w:tcPr>
          <w:p w14:paraId="2265A302" w14:textId="62E77CEC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3,147</w:t>
            </w:r>
          </w:p>
        </w:tc>
      </w:tr>
      <w:tr w:rsidR="001420A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391CAD8C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160FD679" w14:textId="0E2A0B9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78A3A989" w14:textId="36BC401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39ABD4D8" w14:textId="341C4FCE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1420AB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22287206" w14:textId="376A2E97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shd w:val="clear" w:color="auto" w:fill="auto"/>
          </w:tcPr>
          <w:p w14:paraId="04AB24A1" w14:textId="7472233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shd w:val="clear" w:color="auto" w:fill="auto"/>
          </w:tcPr>
          <w:p w14:paraId="34A8DCCD" w14:textId="60443097" w:rsidR="001420AB" w:rsidRPr="00BB1612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117,773</w:t>
            </w:r>
          </w:p>
        </w:tc>
        <w:tc>
          <w:tcPr>
            <w:tcW w:w="2405" w:type="dxa"/>
            <w:shd w:val="clear" w:color="auto" w:fill="auto"/>
          </w:tcPr>
          <w:p w14:paraId="4D2B73AC" w14:textId="77AAA5A3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1420AB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0E3208C4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5266F07B" w14:textId="47933CA1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5224839C" w14:textId="1F95AA2A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5DD9EB36" w14:textId="63C7BDF8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1420AB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655105E" w14:textId="3A18DF46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861E48E" w14:textId="42897E84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151,753</w:t>
            </w:r>
          </w:p>
        </w:tc>
        <w:tc>
          <w:tcPr>
            <w:tcW w:w="1701" w:type="dxa"/>
            <w:shd w:val="clear" w:color="auto" w:fill="auto"/>
          </w:tcPr>
          <w:p w14:paraId="1E89DF8C" w14:textId="0FC04A1A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120,357</w:t>
            </w:r>
          </w:p>
        </w:tc>
        <w:tc>
          <w:tcPr>
            <w:tcW w:w="2405" w:type="dxa"/>
            <w:shd w:val="clear" w:color="auto" w:fill="auto"/>
          </w:tcPr>
          <w:p w14:paraId="2A51CE09" w14:textId="7399C7ED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1420AB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72F8BA4D" w:rsidR="001420AB" w:rsidRPr="00607466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33D8C59D" w14:textId="439741C9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153,396</w:t>
            </w:r>
          </w:p>
        </w:tc>
        <w:tc>
          <w:tcPr>
            <w:tcW w:w="1701" w:type="dxa"/>
            <w:shd w:val="clear" w:color="auto" w:fill="auto"/>
          </w:tcPr>
          <w:p w14:paraId="1E21DDF2" w14:textId="15C09173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121,298</w:t>
            </w:r>
          </w:p>
        </w:tc>
        <w:tc>
          <w:tcPr>
            <w:tcW w:w="2405" w:type="dxa"/>
            <w:shd w:val="clear" w:color="auto" w:fill="auto"/>
          </w:tcPr>
          <w:p w14:paraId="144C5273" w14:textId="589A6E26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  <w:tr w:rsidR="001420AB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5AD767A2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34480548" w14:textId="30FB8F88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49FF5E37" w14:textId="3F8BCBE7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64CE539F" w14:textId="1399FA56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1420AB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57A22757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</w:t>
            </w:r>
            <w:r w:rsidRPr="00917C55">
              <w:rPr>
                <w:b w:val="0"/>
                <w:shd w:val="clear" w:color="auto" w:fill="FFFFFF"/>
              </w:rPr>
              <w:t xml:space="preserve"> 2021</w:t>
            </w:r>
          </w:p>
        </w:tc>
        <w:tc>
          <w:tcPr>
            <w:tcW w:w="1845" w:type="dxa"/>
            <w:shd w:val="clear" w:color="auto" w:fill="auto"/>
          </w:tcPr>
          <w:p w14:paraId="63B0848E" w14:textId="6D4C8F4D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</w:t>
            </w:r>
            <w:r>
              <w:t>963</w:t>
            </w:r>
          </w:p>
        </w:tc>
        <w:tc>
          <w:tcPr>
            <w:tcW w:w="1701" w:type="dxa"/>
            <w:shd w:val="clear" w:color="auto" w:fill="auto"/>
          </w:tcPr>
          <w:p w14:paraId="05DA3712" w14:textId="1EEF929D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t>122,361</w:t>
            </w:r>
          </w:p>
        </w:tc>
        <w:tc>
          <w:tcPr>
            <w:tcW w:w="2405" w:type="dxa"/>
            <w:shd w:val="clear" w:color="auto" w:fill="auto"/>
          </w:tcPr>
          <w:p w14:paraId="1F7F6E34" w14:textId="6E368DDB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3,574</w:t>
            </w:r>
          </w:p>
        </w:tc>
      </w:tr>
      <w:tr w:rsidR="001420AB" w:rsidRPr="00917C55" w14:paraId="78F96526" w14:textId="77777777" w:rsidTr="00E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46B1EFF8" w:rsidR="001420AB" w:rsidRPr="00917C55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2022</w:t>
            </w:r>
          </w:p>
        </w:tc>
        <w:tc>
          <w:tcPr>
            <w:tcW w:w="1845" w:type="dxa"/>
            <w:shd w:val="clear" w:color="auto" w:fill="auto"/>
          </w:tcPr>
          <w:p w14:paraId="608CAEE6" w14:textId="171B15D6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159,839</w:t>
            </w:r>
          </w:p>
        </w:tc>
        <w:tc>
          <w:tcPr>
            <w:tcW w:w="1701" w:type="dxa"/>
            <w:shd w:val="clear" w:color="auto" w:fill="auto"/>
          </w:tcPr>
          <w:p w14:paraId="101E946F" w14:textId="717474CF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125,623</w:t>
            </w:r>
          </w:p>
        </w:tc>
        <w:tc>
          <w:tcPr>
            <w:tcW w:w="2405" w:type="dxa"/>
            <w:shd w:val="clear" w:color="auto" w:fill="auto"/>
          </w:tcPr>
          <w:p w14:paraId="003128DD" w14:textId="1BA654DB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3,476</w:t>
            </w:r>
          </w:p>
        </w:tc>
      </w:tr>
      <w:tr w:rsidR="001420AB" w:rsidRPr="00917C55" w14:paraId="2EBA950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102ED32" w14:textId="6CC2EF7A" w:rsidR="001420AB" w:rsidRPr="00917C55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2022</w:t>
            </w:r>
          </w:p>
        </w:tc>
        <w:tc>
          <w:tcPr>
            <w:tcW w:w="1845" w:type="dxa"/>
            <w:shd w:val="clear" w:color="auto" w:fill="auto"/>
          </w:tcPr>
          <w:p w14:paraId="48528755" w14:textId="3AD413AC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9453B8">
              <w:t>160,281</w:t>
            </w:r>
          </w:p>
        </w:tc>
        <w:tc>
          <w:tcPr>
            <w:tcW w:w="1701" w:type="dxa"/>
            <w:shd w:val="clear" w:color="auto" w:fill="auto"/>
          </w:tcPr>
          <w:p w14:paraId="211E9E80" w14:textId="211287DB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9453B8">
              <w:t>125,623</w:t>
            </w:r>
          </w:p>
        </w:tc>
        <w:tc>
          <w:tcPr>
            <w:tcW w:w="2405" w:type="dxa"/>
            <w:shd w:val="clear" w:color="auto" w:fill="auto"/>
          </w:tcPr>
          <w:p w14:paraId="2EB34714" w14:textId="1D161DB7" w:rsidR="001420AB" w:rsidRPr="006926A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3,717</w:t>
            </w:r>
          </w:p>
        </w:tc>
      </w:tr>
      <w:tr w:rsidR="001420AB" w:rsidRPr="00917C55" w14:paraId="5F18B504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2671237" w14:textId="3E3AE19A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DD6729">
              <w:rPr>
                <w:b w:val="0"/>
                <w:shd w:val="clear" w:color="auto" w:fill="FFFFFF"/>
              </w:rPr>
              <w:t>September 2022</w:t>
            </w:r>
          </w:p>
        </w:tc>
        <w:tc>
          <w:tcPr>
            <w:tcW w:w="1845" w:type="dxa"/>
            <w:shd w:val="clear" w:color="auto" w:fill="auto"/>
          </w:tcPr>
          <w:p w14:paraId="47326F8B" w14:textId="7F1CB9EE" w:rsidR="001420AB" w:rsidRPr="007471C9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161,530</w:t>
            </w:r>
          </w:p>
        </w:tc>
        <w:tc>
          <w:tcPr>
            <w:tcW w:w="1701" w:type="dxa"/>
            <w:shd w:val="clear" w:color="auto" w:fill="auto"/>
          </w:tcPr>
          <w:p w14:paraId="74EDFDBD" w14:textId="3E3DCDFD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126,421</w:t>
            </w:r>
          </w:p>
        </w:tc>
        <w:tc>
          <w:tcPr>
            <w:tcW w:w="2405" w:type="dxa"/>
            <w:shd w:val="clear" w:color="auto" w:fill="auto"/>
          </w:tcPr>
          <w:p w14:paraId="692C2F1F" w14:textId="75ED149F" w:rsidR="001420AB" w:rsidRPr="007922A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3,721</w:t>
            </w:r>
          </w:p>
        </w:tc>
      </w:tr>
      <w:tr w:rsidR="001420AB" w:rsidRPr="00917C55" w14:paraId="0391B1F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26B48E46" w14:textId="75A2C061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24479E">
              <w:rPr>
                <w:b w:val="0"/>
                <w:bCs w:val="0"/>
                <w:shd w:val="clear" w:color="auto" w:fill="FFFFFF"/>
              </w:rPr>
              <w:t>December</w:t>
            </w:r>
            <w:r>
              <w:rPr>
                <w:b w:val="0"/>
                <w:bCs w:val="0"/>
                <w:shd w:val="clear" w:color="auto" w:fill="FFFFFF"/>
              </w:rPr>
              <w:t xml:space="preserve"> 2022</w:t>
            </w:r>
          </w:p>
        </w:tc>
        <w:tc>
          <w:tcPr>
            <w:tcW w:w="1845" w:type="dxa"/>
            <w:shd w:val="clear" w:color="auto" w:fill="auto"/>
          </w:tcPr>
          <w:p w14:paraId="77C2EBD8" w14:textId="4E147059" w:rsidR="001420AB" w:rsidRPr="0077251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79E">
              <w:t>160,</w:t>
            </w:r>
            <w:r>
              <w:t>923</w:t>
            </w:r>
          </w:p>
        </w:tc>
        <w:tc>
          <w:tcPr>
            <w:tcW w:w="1701" w:type="dxa"/>
            <w:shd w:val="clear" w:color="auto" w:fill="auto"/>
          </w:tcPr>
          <w:p w14:paraId="0BDEA433" w14:textId="4BC34609" w:rsidR="001420AB" w:rsidRPr="0077251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126,136</w:t>
            </w:r>
          </w:p>
        </w:tc>
        <w:tc>
          <w:tcPr>
            <w:tcW w:w="2405" w:type="dxa"/>
            <w:shd w:val="clear" w:color="auto" w:fill="auto"/>
          </w:tcPr>
          <w:p w14:paraId="774DED33" w14:textId="6BAECD99" w:rsidR="001420AB" w:rsidRPr="007922A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3,942</w:t>
            </w:r>
          </w:p>
        </w:tc>
      </w:tr>
      <w:tr w:rsidR="007922A5" w:rsidRPr="00917C55" w14:paraId="1B3AD650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A4BE09" w14:textId="105394B6" w:rsidR="007922A5" w:rsidRPr="00DD6729" w:rsidRDefault="001420AB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2023</w:t>
            </w:r>
          </w:p>
        </w:tc>
        <w:tc>
          <w:tcPr>
            <w:tcW w:w="1845" w:type="dxa"/>
            <w:shd w:val="clear" w:color="auto" w:fill="auto"/>
          </w:tcPr>
          <w:p w14:paraId="5C1B380F" w14:textId="646CEAA9" w:rsidR="007922A5" w:rsidRPr="009453B8" w:rsidRDefault="001420A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164,141</w:t>
            </w:r>
          </w:p>
        </w:tc>
        <w:tc>
          <w:tcPr>
            <w:tcW w:w="1701" w:type="dxa"/>
            <w:shd w:val="clear" w:color="auto" w:fill="auto"/>
          </w:tcPr>
          <w:p w14:paraId="1B427AA8" w14:textId="069DCD1D" w:rsidR="007922A5" w:rsidRPr="009453B8" w:rsidRDefault="001420A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128,784</w:t>
            </w:r>
          </w:p>
        </w:tc>
        <w:tc>
          <w:tcPr>
            <w:tcW w:w="2405" w:type="dxa"/>
            <w:shd w:val="clear" w:color="auto" w:fill="auto"/>
          </w:tcPr>
          <w:p w14:paraId="60684563" w14:textId="07A1FCBC" w:rsidR="007922A5" w:rsidRPr="007922A5" w:rsidRDefault="00EE31D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4,081</w:t>
            </w:r>
          </w:p>
        </w:tc>
      </w:tr>
      <w:tr w:rsidR="005E235C" w:rsidRPr="00917C55" w14:paraId="3DC93DF4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57DAC8" w14:textId="76B55661" w:rsidR="005E235C" w:rsidRPr="005E235C" w:rsidRDefault="005E235C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5E235C">
              <w:rPr>
                <w:b w:val="0"/>
                <w:shd w:val="clear" w:color="auto" w:fill="FFFFFF"/>
              </w:rPr>
              <w:t>June 2023</w:t>
            </w:r>
          </w:p>
        </w:tc>
        <w:tc>
          <w:tcPr>
            <w:tcW w:w="1845" w:type="dxa"/>
            <w:shd w:val="clear" w:color="auto" w:fill="auto"/>
          </w:tcPr>
          <w:p w14:paraId="56710BD6" w14:textId="52D1227F" w:rsidR="005E235C" w:rsidRPr="005E235C" w:rsidRDefault="005E235C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35C">
              <w:t>164,657</w:t>
            </w:r>
          </w:p>
        </w:tc>
        <w:tc>
          <w:tcPr>
            <w:tcW w:w="1701" w:type="dxa"/>
            <w:shd w:val="clear" w:color="auto" w:fill="auto"/>
          </w:tcPr>
          <w:p w14:paraId="49E00122" w14:textId="0C5E72BB" w:rsidR="005E235C" w:rsidRPr="005E235C" w:rsidRDefault="005E235C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235C">
              <w:t>128,745</w:t>
            </w:r>
          </w:p>
        </w:tc>
        <w:tc>
          <w:tcPr>
            <w:tcW w:w="2405" w:type="dxa"/>
            <w:shd w:val="clear" w:color="auto" w:fill="auto"/>
          </w:tcPr>
          <w:p w14:paraId="319860E0" w14:textId="4CEAB5F0" w:rsidR="005E235C" w:rsidRPr="005E235C" w:rsidRDefault="00BB3594" w:rsidP="007922A5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3,983</w:t>
            </w:r>
          </w:p>
        </w:tc>
      </w:tr>
      <w:tr w:rsidR="00C57D7C" w:rsidRPr="00917C55" w14:paraId="23B1E9AE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38E1B63" w14:textId="299E62E7" w:rsidR="00C57D7C" w:rsidRPr="00C57D7C" w:rsidRDefault="00C57D7C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C57D7C">
              <w:rPr>
                <w:b w:val="0"/>
                <w:shd w:val="clear" w:color="auto" w:fill="FFFFFF"/>
              </w:rPr>
              <w:t>September 2023</w:t>
            </w:r>
          </w:p>
        </w:tc>
        <w:tc>
          <w:tcPr>
            <w:tcW w:w="1845" w:type="dxa"/>
            <w:shd w:val="clear" w:color="auto" w:fill="auto"/>
          </w:tcPr>
          <w:p w14:paraId="5DBD804D" w14:textId="453087F2" w:rsidR="00C57D7C" w:rsidRPr="00C57D7C" w:rsidRDefault="00C57D7C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168,312</w:t>
            </w:r>
          </w:p>
        </w:tc>
        <w:tc>
          <w:tcPr>
            <w:tcW w:w="1701" w:type="dxa"/>
            <w:shd w:val="clear" w:color="auto" w:fill="auto"/>
          </w:tcPr>
          <w:p w14:paraId="49EFF3EC" w14:textId="370F466E" w:rsidR="00C57D7C" w:rsidRPr="00C57D7C" w:rsidRDefault="00C57D7C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131,859</w:t>
            </w:r>
          </w:p>
        </w:tc>
        <w:tc>
          <w:tcPr>
            <w:tcW w:w="2405" w:type="dxa"/>
            <w:shd w:val="clear" w:color="auto" w:fill="auto"/>
          </w:tcPr>
          <w:p w14:paraId="156D786F" w14:textId="471C4CF0" w:rsidR="00C57D7C" w:rsidRPr="00C57D7C" w:rsidRDefault="002C300F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4</w:t>
            </w:r>
            <w:r w:rsidR="00C57D7C">
              <w:rPr>
                <w:bCs/>
                <w:shd w:val="clear" w:color="auto" w:fill="FFFFFF"/>
              </w:rPr>
              <w:t>,</w:t>
            </w:r>
            <w:r>
              <w:rPr>
                <w:bCs/>
                <w:shd w:val="clear" w:color="auto" w:fill="FFFFFF"/>
              </w:rPr>
              <w:t>003</w:t>
            </w:r>
          </w:p>
        </w:tc>
      </w:tr>
    </w:tbl>
    <w:p w14:paraId="464080CB" w14:textId="31D29C2C" w:rsidR="0034676E" w:rsidRDefault="0034676E" w:rsidP="00647C0A"/>
    <w:p w14:paraId="77BE0EC2" w14:textId="77777777" w:rsidR="0034676E" w:rsidRDefault="0034676E">
      <w:pPr>
        <w:spacing w:before="0" w:beforeAutospacing="0" w:after="160"/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9889" w:type="dxa"/>
        <w:tblInd w:w="-29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347"/>
        <w:gridCol w:w="1347"/>
        <w:gridCol w:w="992"/>
        <w:gridCol w:w="968"/>
      </w:tblGrid>
      <w:tr w:rsidR="004970D8" w:rsidRPr="00607466" w14:paraId="4EDFC1D0" w14:textId="77777777" w:rsidTr="00240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235" w:type="dxa"/>
            <w:tcBorders>
              <w:bottom w:val="single" w:sz="12" w:space="0" w:color="2B9947"/>
            </w:tcBorders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347" w:type="dxa"/>
            <w:tcBorders>
              <w:bottom w:val="single" w:sz="12" w:space="0" w:color="2B9947"/>
            </w:tcBorders>
            <w:vAlign w:val="bottom"/>
          </w:tcPr>
          <w:p w14:paraId="32CE3E0D" w14:textId="6C832F7E" w:rsidR="004970D8" w:rsidRPr="00E1633D" w:rsidRDefault="00C57D7C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1C7E5E">
              <w:rPr>
                <w:b w:val="0"/>
                <w:color w:val="FFFFFF" w:themeColor="background1"/>
              </w:rPr>
              <w:t>-23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347" w:type="dxa"/>
            <w:tcBorders>
              <w:bottom w:val="single" w:sz="12" w:space="0" w:color="2B9947"/>
            </w:tcBorders>
            <w:vAlign w:val="bottom"/>
          </w:tcPr>
          <w:p w14:paraId="597F64BE" w14:textId="1B192BD0" w:rsidR="004970D8" w:rsidRPr="00E1633D" w:rsidRDefault="00C57D7C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Sep</w:t>
            </w:r>
            <w:r w:rsidR="001C7E5E">
              <w:rPr>
                <w:b w:val="0"/>
                <w:color w:val="FFFFFF" w:themeColor="background1"/>
              </w:rPr>
              <w:t>-23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992" w:type="dxa"/>
            <w:tcBorders>
              <w:bottom w:val="single" w:sz="12" w:space="0" w:color="2B9947"/>
            </w:tcBorders>
            <w:vAlign w:val="bottom"/>
            <w:hideMark/>
          </w:tcPr>
          <w:p w14:paraId="16733DD4" w14:textId="02293522" w:rsidR="004970D8" w:rsidRPr="00E1633D" w:rsidRDefault="004970D8" w:rsidP="00E825C0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C57D7C">
              <w:rPr>
                <w:b w:val="0"/>
                <w:color w:val="FFFFFF" w:themeColor="background1"/>
              </w:rPr>
              <w:t>Jun</w:t>
            </w:r>
            <w:r w:rsidR="00E825C0">
              <w:rPr>
                <w:b w:val="0"/>
                <w:color w:val="FFFFFF" w:themeColor="background1"/>
              </w:rPr>
              <w:t>-2</w:t>
            </w:r>
            <w:r w:rsidR="00EF4DF9">
              <w:rPr>
                <w:b w:val="0"/>
                <w:color w:val="FFFFFF" w:themeColor="background1"/>
              </w:rPr>
              <w:t>3</w:t>
            </w:r>
          </w:p>
        </w:tc>
        <w:tc>
          <w:tcPr>
            <w:tcW w:w="968" w:type="dxa"/>
            <w:tcBorders>
              <w:bottom w:val="single" w:sz="12" w:space="0" w:color="2B9947"/>
            </w:tcBorders>
            <w:vAlign w:val="bottom"/>
            <w:hideMark/>
          </w:tcPr>
          <w:p w14:paraId="5E17B74C" w14:textId="3ED52666" w:rsidR="004970D8" w:rsidRPr="004970D8" w:rsidRDefault="004970D8" w:rsidP="00D1159E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C57D7C">
              <w:rPr>
                <w:b w:val="0"/>
                <w:color w:val="FFFFFF" w:themeColor="background1"/>
              </w:rPr>
              <w:t>Sep</w:t>
            </w:r>
            <w:r w:rsidR="001C7E5E">
              <w:rPr>
                <w:b w:val="0"/>
                <w:color w:val="FFFFFF" w:themeColor="background1"/>
              </w:rPr>
              <w:t>-2</w:t>
            </w:r>
            <w:r w:rsidR="008C345A">
              <w:rPr>
                <w:b w:val="0"/>
                <w:color w:val="FFFFFF" w:themeColor="background1"/>
              </w:rPr>
              <w:t>2</w:t>
            </w:r>
          </w:p>
        </w:tc>
      </w:tr>
      <w:tr w:rsidR="00976459" w:rsidRPr="00F108EC" w14:paraId="282ABDF2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</w:tcPr>
          <w:p w14:paraId="25F15ACB" w14:textId="2DBB3DBD" w:rsidR="00976459" w:rsidRPr="00976459" w:rsidRDefault="00976459" w:rsidP="00976459">
            <w:pPr>
              <w:spacing w:beforeLines="20" w:before="48" w:beforeAutospacing="0" w:afterLines="20" w:after="48"/>
              <w:contextualSpacing w:val="0"/>
              <w:rPr>
                <w:b/>
                <w:bCs/>
              </w:rPr>
            </w:pPr>
            <w:r w:rsidRPr="00976459">
              <w:rPr>
                <w:b/>
                <w:bCs/>
              </w:rPr>
              <w:t xml:space="preserve">WA </w:t>
            </w:r>
            <w:r>
              <w:rPr>
                <w:b/>
                <w:bCs/>
              </w:rPr>
              <w:t>p</w:t>
            </w:r>
            <w:r w:rsidRPr="00976459">
              <w:rPr>
                <w:b/>
                <w:bCs/>
              </w:rPr>
              <w:t xml:space="preserve">ublic </w:t>
            </w:r>
            <w:r>
              <w:rPr>
                <w:b/>
                <w:bCs/>
              </w:rPr>
              <w:t>s</w:t>
            </w:r>
            <w:r w:rsidRPr="00976459">
              <w:rPr>
                <w:b/>
                <w:bCs/>
              </w:rPr>
              <w:t>ector</w:t>
            </w:r>
          </w:p>
        </w:tc>
        <w:tc>
          <w:tcPr>
            <w:tcW w:w="1347" w:type="dxa"/>
            <w:noWrap/>
          </w:tcPr>
          <w:p w14:paraId="3734F723" w14:textId="07E078BE" w:rsidR="00976459" w:rsidRPr="00976459" w:rsidRDefault="00976459" w:rsidP="00976459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976459">
              <w:rPr>
                <w:b/>
                <w:bCs/>
              </w:rPr>
              <w:t>168,312</w:t>
            </w:r>
          </w:p>
        </w:tc>
        <w:tc>
          <w:tcPr>
            <w:tcW w:w="1347" w:type="dxa"/>
            <w:noWrap/>
          </w:tcPr>
          <w:p w14:paraId="05F9C7F2" w14:textId="4984BF7B" w:rsidR="00976459" w:rsidRPr="00976459" w:rsidRDefault="00976459" w:rsidP="00976459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976459">
              <w:rPr>
                <w:b/>
                <w:bCs/>
              </w:rPr>
              <w:t>131,859</w:t>
            </w:r>
          </w:p>
        </w:tc>
        <w:tc>
          <w:tcPr>
            <w:tcW w:w="992" w:type="dxa"/>
            <w:noWrap/>
          </w:tcPr>
          <w:p w14:paraId="5A78344D" w14:textId="04B29CD7" w:rsidR="00976459" w:rsidRPr="00976459" w:rsidRDefault="00976459" w:rsidP="00976459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976459">
              <w:rPr>
                <w:b/>
                <w:bCs/>
              </w:rPr>
              <w:t>3,114</w:t>
            </w:r>
          </w:p>
        </w:tc>
        <w:tc>
          <w:tcPr>
            <w:tcW w:w="968" w:type="dxa"/>
            <w:noWrap/>
          </w:tcPr>
          <w:p w14:paraId="507B6050" w14:textId="53379EB3" w:rsidR="00976459" w:rsidRPr="00976459" w:rsidRDefault="00976459" w:rsidP="00976459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976459">
              <w:rPr>
                <w:b/>
                <w:bCs/>
              </w:rPr>
              <w:t>5,438</w:t>
            </w:r>
          </w:p>
        </w:tc>
      </w:tr>
      <w:tr w:rsidR="00976459" w:rsidRPr="00F108EC" w14:paraId="334ED251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418FB87" w14:textId="24AFDD7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1347" w:type="dxa"/>
            <w:noWrap/>
            <w:hideMark/>
          </w:tcPr>
          <w:p w14:paraId="2D766022" w14:textId="1983EE6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60,858</w:t>
            </w:r>
          </w:p>
        </w:tc>
        <w:tc>
          <w:tcPr>
            <w:tcW w:w="1347" w:type="dxa"/>
            <w:noWrap/>
            <w:hideMark/>
          </w:tcPr>
          <w:p w14:paraId="3152B605" w14:textId="2086347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45,471</w:t>
            </w:r>
          </w:p>
        </w:tc>
        <w:tc>
          <w:tcPr>
            <w:tcW w:w="992" w:type="dxa"/>
            <w:noWrap/>
            <w:hideMark/>
          </w:tcPr>
          <w:p w14:paraId="4D1DA419" w14:textId="742D17E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1,217</w:t>
            </w:r>
          </w:p>
        </w:tc>
        <w:tc>
          <w:tcPr>
            <w:tcW w:w="968" w:type="dxa"/>
            <w:noWrap/>
            <w:hideMark/>
          </w:tcPr>
          <w:p w14:paraId="052D3B76" w14:textId="52D8ED9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1,457</w:t>
            </w:r>
          </w:p>
        </w:tc>
      </w:tr>
      <w:tr w:rsidR="00976459" w:rsidRPr="00F108EC" w14:paraId="61FB5C40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1E74CF5" w14:textId="5C7319C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1347" w:type="dxa"/>
            <w:noWrap/>
            <w:hideMark/>
          </w:tcPr>
          <w:p w14:paraId="5180438C" w14:textId="7CE6EEFF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60,473</w:t>
            </w:r>
          </w:p>
        </w:tc>
        <w:tc>
          <w:tcPr>
            <w:tcW w:w="1347" w:type="dxa"/>
            <w:noWrap/>
            <w:hideMark/>
          </w:tcPr>
          <w:p w14:paraId="40AC251B" w14:textId="39DDAE5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45,160</w:t>
            </w:r>
          </w:p>
        </w:tc>
        <w:tc>
          <w:tcPr>
            <w:tcW w:w="992" w:type="dxa"/>
            <w:noWrap/>
            <w:hideMark/>
          </w:tcPr>
          <w:p w14:paraId="27184F15" w14:textId="110C029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1,143</w:t>
            </w:r>
          </w:p>
        </w:tc>
        <w:tc>
          <w:tcPr>
            <w:tcW w:w="968" w:type="dxa"/>
            <w:noWrap/>
            <w:hideMark/>
          </w:tcPr>
          <w:p w14:paraId="6A9E9D09" w14:textId="7E6F446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1,603</w:t>
            </w:r>
          </w:p>
        </w:tc>
      </w:tr>
      <w:tr w:rsidR="00976459" w:rsidRPr="00F108EC" w14:paraId="68F5A5AD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30EF85E" w14:textId="39D56434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(North Metropolitan Health Service)</w:t>
            </w:r>
          </w:p>
        </w:tc>
        <w:tc>
          <w:tcPr>
            <w:tcW w:w="1347" w:type="dxa"/>
            <w:noWrap/>
            <w:hideMark/>
          </w:tcPr>
          <w:p w14:paraId="705ADDF3" w14:textId="0F6EA5F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13,123</w:t>
            </w:r>
          </w:p>
        </w:tc>
        <w:tc>
          <w:tcPr>
            <w:tcW w:w="1347" w:type="dxa"/>
            <w:noWrap/>
            <w:hideMark/>
          </w:tcPr>
          <w:p w14:paraId="6901AF22" w14:textId="6047FC2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9,726</w:t>
            </w:r>
          </w:p>
        </w:tc>
        <w:tc>
          <w:tcPr>
            <w:tcW w:w="992" w:type="dxa"/>
            <w:noWrap/>
            <w:hideMark/>
          </w:tcPr>
          <w:p w14:paraId="00A8A5DD" w14:textId="1887575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300</w:t>
            </w:r>
          </w:p>
        </w:tc>
        <w:tc>
          <w:tcPr>
            <w:tcW w:w="968" w:type="dxa"/>
            <w:noWrap/>
            <w:hideMark/>
          </w:tcPr>
          <w:p w14:paraId="60EFC216" w14:textId="37F36E0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534</w:t>
            </w:r>
          </w:p>
        </w:tc>
      </w:tr>
      <w:tr w:rsidR="00976459" w:rsidRPr="00F108EC" w14:paraId="08C63CDC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2E1C16E" w14:textId="5733A1BD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(South Metropolitan Health Service)</w:t>
            </w:r>
          </w:p>
        </w:tc>
        <w:tc>
          <w:tcPr>
            <w:tcW w:w="1347" w:type="dxa"/>
            <w:noWrap/>
            <w:hideMark/>
          </w:tcPr>
          <w:p w14:paraId="19C65BCD" w14:textId="4A28C37E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12,548</w:t>
            </w:r>
          </w:p>
        </w:tc>
        <w:tc>
          <w:tcPr>
            <w:tcW w:w="1347" w:type="dxa"/>
            <w:noWrap/>
            <w:hideMark/>
          </w:tcPr>
          <w:p w14:paraId="69BC7BD8" w14:textId="780F7D9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9,209</w:t>
            </w:r>
          </w:p>
        </w:tc>
        <w:tc>
          <w:tcPr>
            <w:tcW w:w="992" w:type="dxa"/>
            <w:noWrap/>
            <w:hideMark/>
          </w:tcPr>
          <w:p w14:paraId="7EE80C65" w14:textId="4A80969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239</w:t>
            </w:r>
          </w:p>
        </w:tc>
        <w:tc>
          <w:tcPr>
            <w:tcW w:w="968" w:type="dxa"/>
            <w:noWrap/>
            <w:hideMark/>
          </w:tcPr>
          <w:p w14:paraId="2730735B" w14:textId="6FD509B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331</w:t>
            </w:r>
          </w:p>
        </w:tc>
      </w:tr>
      <w:tr w:rsidR="00976459" w:rsidRPr="00F108EC" w14:paraId="7B3CDB0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8196C62" w14:textId="2EFEFECD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(WA Country Health Service)</w:t>
            </w:r>
          </w:p>
        </w:tc>
        <w:tc>
          <w:tcPr>
            <w:tcW w:w="1347" w:type="dxa"/>
            <w:noWrap/>
            <w:hideMark/>
          </w:tcPr>
          <w:p w14:paraId="425FC8BD" w14:textId="175D9464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11,569</w:t>
            </w:r>
          </w:p>
        </w:tc>
        <w:tc>
          <w:tcPr>
            <w:tcW w:w="1347" w:type="dxa"/>
            <w:noWrap/>
            <w:hideMark/>
          </w:tcPr>
          <w:p w14:paraId="6FA4CC08" w14:textId="6A6A5D9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8,723</w:t>
            </w:r>
          </w:p>
        </w:tc>
        <w:tc>
          <w:tcPr>
            <w:tcW w:w="992" w:type="dxa"/>
            <w:noWrap/>
            <w:hideMark/>
          </w:tcPr>
          <w:p w14:paraId="203432CA" w14:textId="2CCC94F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379</w:t>
            </w:r>
          </w:p>
        </w:tc>
        <w:tc>
          <w:tcPr>
            <w:tcW w:w="968" w:type="dxa"/>
            <w:noWrap/>
            <w:hideMark/>
          </w:tcPr>
          <w:p w14:paraId="0D8D27CF" w14:textId="04067A5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157</w:t>
            </w:r>
          </w:p>
        </w:tc>
      </w:tr>
      <w:tr w:rsidR="00976459" w:rsidRPr="00F108EC" w14:paraId="0EF159C0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8ACA464" w14:textId="1EB5C2D4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(East Metropolitan Health Service)</w:t>
            </w:r>
          </w:p>
        </w:tc>
        <w:tc>
          <w:tcPr>
            <w:tcW w:w="1347" w:type="dxa"/>
            <w:noWrap/>
            <w:hideMark/>
          </w:tcPr>
          <w:p w14:paraId="422B775B" w14:textId="1FF252D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10,249</w:t>
            </w:r>
          </w:p>
        </w:tc>
        <w:tc>
          <w:tcPr>
            <w:tcW w:w="1347" w:type="dxa"/>
            <w:noWrap/>
            <w:hideMark/>
          </w:tcPr>
          <w:p w14:paraId="188EAE89" w14:textId="55EB18B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7,841</w:t>
            </w:r>
          </w:p>
        </w:tc>
        <w:tc>
          <w:tcPr>
            <w:tcW w:w="992" w:type="dxa"/>
            <w:noWrap/>
            <w:hideMark/>
          </w:tcPr>
          <w:p w14:paraId="34CA7465" w14:textId="39C969F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243</w:t>
            </w:r>
          </w:p>
        </w:tc>
        <w:tc>
          <w:tcPr>
            <w:tcW w:w="968" w:type="dxa"/>
            <w:noWrap/>
            <w:hideMark/>
          </w:tcPr>
          <w:p w14:paraId="55E00A20" w14:textId="63C9576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153</w:t>
            </w:r>
          </w:p>
        </w:tc>
      </w:tr>
      <w:tr w:rsidR="00976459" w:rsidRPr="00F108EC" w14:paraId="700DD88D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C0CD258" w14:textId="4069CAED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(Child and Adolescent Health Service)</w:t>
            </w:r>
          </w:p>
        </w:tc>
        <w:tc>
          <w:tcPr>
            <w:tcW w:w="1347" w:type="dxa"/>
            <w:noWrap/>
            <w:hideMark/>
          </w:tcPr>
          <w:p w14:paraId="72EE71A0" w14:textId="0A7D85FD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6,459</w:t>
            </w:r>
          </w:p>
        </w:tc>
        <w:tc>
          <w:tcPr>
            <w:tcW w:w="1347" w:type="dxa"/>
            <w:noWrap/>
            <w:hideMark/>
          </w:tcPr>
          <w:p w14:paraId="408A0A66" w14:textId="20BF325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4,630</w:t>
            </w:r>
          </w:p>
        </w:tc>
        <w:tc>
          <w:tcPr>
            <w:tcW w:w="992" w:type="dxa"/>
            <w:noWrap/>
            <w:hideMark/>
          </w:tcPr>
          <w:p w14:paraId="0ABDCDE4" w14:textId="67031B1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60</w:t>
            </w:r>
          </w:p>
        </w:tc>
        <w:tc>
          <w:tcPr>
            <w:tcW w:w="968" w:type="dxa"/>
            <w:noWrap/>
            <w:hideMark/>
          </w:tcPr>
          <w:p w14:paraId="2E904758" w14:textId="2E7E89A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206</w:t>
            </w:r>
          </w:p>
        </w:tc>
      </w:tr>
      <w:tr w:rsidR="00976459" w:rsidRPr="00F108EC" w14:paraId="67AD882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E399467" w14:textId="148AF493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(Health Support Services)</w:t>
            </w:r>
          </w:p>
        </w:tc>
        <w:tc>
          <w:tcPr>
            <w:tcW w:w="1347" w:type="dxa"/>
            <w:noWrap/>
            <w:hideMark/>
          </w:tcPr>
          <w:p w14:paraId="61FF24EF" w14:textId="63BC575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2,780</w:t>
            </w:r>
          </w:p>
        </w:tc>
        <w:tc>
          <w:tcPr>
            <w:tcW w:w="1347" w:type="dxa"/>
            <w:noWrap/>
            <w:hideMark/>
          </w:tcPr>
          <w:p w14:paraId="1438C5C9" w14:textId="265D23B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1,971</w:t>
            </w:r>
          </w:p>
        </w:tc>
        <w:tc>
          <w:tcPr>
            <w:tcW w:w="992" w:type="dxa"/>
            <w:noWrap/>
            <w:hideMark/>
          </w:tcPr>
          <w:p w14:paraId="61086524" w14:textId="69CCA3E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-69</w:t>
            </w:r>
          </w:p>
        </w:tc>
        <w:tc>
          <w:tcPr>
            <w:tcW w:w="968" w:type="dxa"/>
            <w:noWrap/>
            <w:hideMark/>
          </w:tcPr>
          <w:p w14:paraId="1A1D0DF7" w14:textId="4B9C088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220</w:t>
            </w:r>
          </w:p>
        </w:tc>
      </w:tr>
      <w:tr w:rsidR="00976459" w:rsidRPr="00F108EC" w14:paraId="186A1ECC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74E498C" w14:textId="16C0D0F8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(PathWest)</w:t>
            </w:r>
          </w:p>
        </w:tc>
        <w:tc>
          <w:tcPr>
            <w:tcW w:w="1347" w:type="dxa"/>
            <w:noWrap/>
            <w:hideMark/>
          </w:tcPr>
          <w:p w14:paraId="6168247F" w14:textId="4ADBC1E2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2,410</w:t>
            </w:r>
          </w:p>
        </w:tc>
        <w:tc>
          <w:tcPr>
            <w:tcW w:w="1347" w:type="dxa"/>
            <w:noWrap/>
            <w:hideMark/>
          </w:tcPr>
          <w:p w14:paraId="734D1585" w14:textId="6C5DFE9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1,917</w:t>
            </w:r>
          </w:p>
        </w:tc>
        <w:tc>
          <w:tcPr>
            <w:tcW w:w="992" w:type="dxa"/>
            <w:noWrap/>
            <w:hideMark/>
          </w:tcPr>
          <w:p w14:paraId="6F3F730B" w14:textId="4B47DA4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-24</w:t>
            </w:r>
          </w:p>
        </w:tc>
        <w:tc>
          <w:tcPr>
            <w:tcW w:w="968" w:type="dxa"/>
            <w:noWrap/>
            <w:hideMark/>
          </w:tcPr>
          <w:p w14:paraId="702D6434" w14:textId="407FFE8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</w:tr>
      <w:tr w:rsidR="00976459" w:rsidRPr="00F108EC" w14:paraId="6AFED3E0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A2C2DFC" w14:textId="766B4053" w:rsidR="00976459" w:rsidRPr="00F108EC" w:rsidRDefault="00976459" w:rsidP="00976459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(Department of Health)</w:t>
            </w:r>
          </w:p>
        </w:tc>
        <w:tc>
          <w:tcPr>
            <w:tcW w:w="1347" w:type="dxa"/>
            <w:noWrap/>
            <w:hideMark/>
          </w:tcPr>
          <w:p w14:paraId="4BECE706" w14:textId="20A17980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1,335</w:t>
            </w:r>
          </w:p>
        </w:tc>
        <w:tc>
          <w:tcPr>
            <w:tcW w:w="1347" w:type="dxa"/>
            <w:noWrap/>
            <w:hideMark/>
          </w:tcPr>
          <w:p w14:paraId="5A67C026" w14:textId="4F580ED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1,143</w:t>
            </w:r>
          </w:p>
        </w:tc>
        <w:tc>
          <w:tcPr>
            <w:tcW w:w="992" w:type="dxa"/>
            <w:noWrap/>
            <w:hideMark/>
          </w:tcPr>
          <w:p w14:paraId="59434C04" w14:textId="5678F37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</w:t>
            </w:r>
          </w:p>
        </w:tc>
        <w:tc>
          <w:tcPr>
            <w:tcW w:w="968" w:type="dxa"/>
            <w:noWrap/>
            <w:hideMark/>
          </w:tcPr>
          <w:p w14:paraId="05C829F8" w14:textId="793AC4E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-18</w:t>
            </w:r>
          </w:p>
        </w:tc>
      </w:tr>
      <w:tr w:rsidR="00976459" w:rsidRPr="00F108EC" w14:paraId="20FEE38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4D132ED6" w14:textId="6B5F009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Justice</w:t>
            </w:r>
          </w:p>
        </w:tc>
        <w:tc>
          <w:tcPr>
            <w:tcW w:w="1347" w:type="dxa"/>
            <w:noWrap/>
            <w:hideMark/>
          </w:tcPr>
          <w:p w14:paraId="73F8A852" w14:textId="10DF25F7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7,563</w:t>
            </w:r>
          </w:p>
        </w:tc>
        <w:tc>
          <w:tcPr>
            <w:tcW w:w="1347" w:type="dxa"/>
            <w:noWrap/>
            <w:hideMark/>
          </w:tcPr>
          <w:p w14:paraId="255E572A" w14:textId="7831CFA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6,910</w:t>
            </w:r>
          </w:p>
        </w:tc>
        <w:tc>
          <w:tcPr>
            <w:tcW w:w="992" w:type="dxa"/>
            <w:noWrap/>
            <w:hideMark/>
          </w:tcPr>
          <w:p w14:paraId="2F42A606" w14:textId="17EC876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287</w:t>
            </w:r>
          </w:p>
        </w:tc>
        <w:tc>
          <w:tcPr>
            <w:tcW w:w="968" w:type="dxa"/>
            <w:noWrap/>
            <w:hideMark/>
          </w:tcPr>
          <w:p w14:paraId="2AE7FDC3" w14:textId="61173F5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263</w:t>
            </w:r>
          </w:p>
        </w:tc>
      </w:tr>
      <w:tr w:rsidR="00976459" w:rsidRPr="00F108EC" w14:paraId="1C1604C0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D6C7D86" w14:textId="22875B8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Communities</w:t>
            </w:r>
          </w:p>
        </w:tc>
        <w:tc>
          <w:tcPr>
            <w:tcW w:w="1347" w:type="dxa"/>
            <w:noWrap/>
            <w:hideMark/>
          </w:tcPr>
          <w:p w14:paraId="76186DB2" w14:textId="5001F6DE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6,452</w:t>
            </w:r>
          </w:p>
        </w:tc>
        <w:tc>
          <w:tcPr>
            <w:tcW w:w="1347" w:type="dxa"/>
            <w:noWrap/>
            <w:hideMark/>
          </w:tcPr>
          <w:p w14:paraId="223534C9" w14:textId="203207F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5,674</w:t>
            </w:r>
          </w:p>
        </w:tc>
        <w:tc>
          <w:tcPr>
            <w:tcW w:w="992" w:type="dxa"/>
            <w:noWrap/>
            <w:hideMark/>
          </w:tcPr>
          <w:p w14:paraId="6E36C4E1" w14:textId="433B2A9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104</w:t>
            </w:r>
          </w:p>
        </w:tc>
        <w:tc>
          <w:tcPr>
            <w:tcW w:w="968" w:type="dxa"/>
            <w:noWrap/>
            <w:hideMark/>
          </w:tcPr>
          <w:p w14:paraId="462BDEFA" w14:textId="0ED542B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453</w:t>
            </w:r>
          </w:p>
        </w:tc>
      </w:tr>
      <w:tr w:rsidR="00976459" w:rsidRPr="00F108EC" w14:paraId="776B8BC9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3C0EAC2" w14:textId="22C88B6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Western Australia Police</w:t>
            </w:r>
          </w:p>
        </w:tc>
        <w:tc>
          <w:tcPr>
            <w:tcW w:w="1347" w:type="dxa"/>
            <w:noWrap/>
            <w:hideMark/>
          </w:tcPr>
          <w:p w14:paraId="6AFAC002" w14:textId="447F27F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2,960</w:t>
            </w:r>
          </w:p>
        </w:tc>
        <w:tc>
          <w:tcPr>
            <w:tcW w:w="1347" w:type="dxa"/>
            <w:noWrap/>
            <w:hideMark/>
          </w:tcPr>
          <w:p w14:paraId="30A4FB06" w14:textId="1F47E46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2,104</w:t>
            </w:r>
          </w:p>
        </w:tc>
        <w:tc>
          <w:tcPr>
            <w:tcW w:w="992" w:type="dxa"/>
            <w:noWrap/>
            <w:hideMark/>
          </w:tcPr>
          <w:p w14:paraId="443ED70B" w14:textId="70ACA36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968" w:type="dxa"/>
            <w:noWrap/>
            <w:hideMark/>
          </w:tcPr>
          <w:p w14:paraId="39CC8DE0" w14:textId="2DDFEF4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</w:tr>
      <w:tr w:rsidR="00976459" w:rsidRPr="00F108EC" w14:paraId="363B1F35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3DE8DCF" w14:textId="15B568B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Public Transport Authority</w:t>
            </w:r>
          </w:p>
        </w:tc>
        <w:tc>
          <w:tcPr>
            <w:tcW w:w="1347" w:type="dxa"/>
            <w:noWrap/>
            <w:hideMark/>
          </w:tcPr>
          <w:p w14:paraId="3BF33EB4" w14:textId="1410734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2,523</w:t>
            </w:r>
          </w:p>
        </w:tc>
        <w:tc>
          <w:tcPr>
            <w:tcW w:w="1347" w:type="dxa"/>
            <w:noWrap/>
            <w:hideMark/>
          </w:tcPr>
          <w:p w14:paraId="7DB946A5" w14:textId="23883B7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2,407</w:t>
            </w:r>
          </w:p>
        </w:tc>
        <w:tc>
          <w:tcPr>
            <w:tcW w:w="992" w:type="dxa"/>
            <w:noWrap/>
            <w:hideMark/>
          </w:tcPr>
          <w:p w14:paraId="47D81E2E" w14:textId="6F5B7D8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69</w:t>
            </w:r>
          </w:p>
        </w:tc>
        <w:tc>
          <w:tcPr>
            <w:tcW w:w="968" w:type="dxa"/>
            <w:noWrap/>
            <w:hideMark/>
          </w:tcPr>
          <w:p w14:paraId="490A9677" w14:textId="1F3FF6B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222</w:t>
            </w:r>
          </w:p>
        </w:tc>
      </w:tr>
      <w:tr w:rsidR="00976459" w:rsidRPr="00F108EC" w14:paraId="5C94326D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5291524" w14:textId="325E607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Biodiversity, Conservation and Attractions</w:t>
            </w:r>
          </w:p>
        </w:tc>
        <w:tc>
          <w:tcPr>
            <w:tcW w:w="1347" w:type="dxa"/>
            <w:noWrap/>
            <w:hideMark/>
          </w:tcPr>
          <w:p w14:paraId="641CB43B" w14:textId="30862DC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2,451</w:t>
            </w:r>
          </w:p>
        </w:tc>
        <w:tc>
          <w:tcPr>
            <w:tcW w:w="1347" w:type="dxa"/>
            <w:noWrap/>
            <w:hideMark/>
          </w:tcPr>
          <w:p w14:paraId="3C3B3771" w14:textId="01A5A30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2,071</w:t>
            </w:r>
          </w:p>
        </w:tc>
        <w:tc>
          <w:tcPr>
            <w:tcW w:w="992" w:type="dxa"/>
            <w:noWrap/>
            <w:hideMark/>
          </w:tcPr>
          <w:p w14:paraId="46CAB521" w14:textId="0A7D023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968" w:type="dxa"/>
            <w:noWrap/>
            <w:hideMark/>
          </w:tcPr>
          <w:p w14:paraId="69938CFA" w14:textId="3E9A58E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</w:t>
            </w:r>
          </w:p>
        </w:tc>
      </w:tr>
      <w:tr w:rsidR="00976459" w:rsidRPr="00F108EC" w14:paraId="7F9F80A4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C5F771C" w14:textId="5D4CCFE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Primary Industries and Regional Development</w:t>
            </w:r>
          </w:p>
        </w:tc>
        <w:tc>
          <w:tcPr>
            <w:tcW w:w="1347" w:type="dxa"/>
            <w:noWrap/>
            <w:hideMark/>
          </w:tcPr>
          <w:p w14:paraId="35693C26" w14:textId="7EFA24EF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2,073</w:t>
            </w:r>
          </w:p>
        </w:tc>
        <w:tc>
          <w:tcPr>
            <w:tcW w:w="1347" w:type="dxa"/>
            <w:noWrap/>
            <w:hideMark/>
          </w:tcPr>
          <w:p w14:paraId="21354284" w14:textId="72EA306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1,892</w:t>
            </w:r>
          </w:p>
        </w:tc>
        <w:tc>
          <w:tcPr>
            <w:tcW w:w="992" w:type="dxa"/>
            <w:noWrap/>
            <w:hideMark/>
          </w:tcPr>
          <w:p w14:paraId="13458B16" w14:textId="0EDD62D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87</w:t>
            </w:r>
          </w:p>
        </w:tc>
        <w:tc>
          <w:tcPr>
            <w:tcW w:w="968" w:type="dxa"/>
            <w:noWrap/>
            <w:hideMark/>
          </w:tcPr>
          <w:p w14:paraId="6DF58941" w14:textId="1168E39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114</w:t>
            </w:r>
          </w:p>
        </w:tc>
      </w:tr>
      <w:tr w:rsidR="00976459" w:rsidRPr="00F108EC" w14:paraId="41E60B24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5170180" w14:textId="2E4CA28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Fire and Emergency Services</w:t>
            </w:r>
          </w:p>
        </w:tc>
        <w:tc>
          <w:tcPr>
            <w:tcW w:w="1347" w:type="dxa"/>
            <w:noWrap/>
            <w:hideMark/>
          </w:tcPr>
          <w:p w14:paraId="7EA150F4" w14:textId="581F1D5D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1,874</w:t>
            </w:r>
          </w:p>
        </w:tc>
        <w:tc>
          <w:tcPr>
            <w:tcW w:w="1347" w:type="dxa"/>
            <w:noWrap/>
            <w:hideMark/>
          </w:tcPr>
          <w:p w14:paraId="0DABAF75" w14:textId="3DB425F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1,745</w:t>
            </w:r>
          </w:p>
        </w:tc>
        <w:tc>
          <w:tcPr>
            <w:tcW w:w="992" w:type="dxa"/>
            <w:noWrap/>
            <w:hideMark/>
          </w:tcPr>
          <w:p w14:paraId="0E76D713" w14:textId="5475C3B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</w:t>
            </w:r>
          </w:p>
        </w:tc>
        <w:tc>
          <w:tcPr>
            <w:tcW w:w="968" w:type="dxa"/>
            <w:noWrap/>
            <w:hideMark/>
          </w:tcPr>
          <w:p w14:paraId="0025B6E4" w14:textId="6360A68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35</w:t>
            </w:r>
          </w:p>
        </w:tc>
      </w:tr>
      <w:tr w:rsidR="00976459" w:rsidRPr="00F108EC" w14:paraId="3C0BE4F2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1463467" w14:textId="050C421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Mines, Industry Regulation and Safety</w:t>
            </w:r>
          </w:p>
        </w:tc>
        <w:tc>
          <w:tcPr>
            <w:tcW w:w="1347" w:type="dxa"/>
            <w:noWrap/>
            <w:hideMark/>
          </w:tcPr>
          <w:p w14:paraId="6D5530DA" w14:textId="0CC134B5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1,811</w:t>
            </w:r>
          </w:p>
        </w:tc>
        <w:tc>
          <w:tcPr>
            <w:tcW w:w="1347" w:type="dxa"/>
            <w:noWrap/>
            <w:hideMark/>
          </w:tcPr>
          <w:p w14:paraId="78400870" w14:textId="5448ABD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1,665</w:t>
            </w:r>
          </w:p>
        </w:tc>
        <w:tc>
          <w:tcPr>
            <w:tcW w:w="992" w:type="dxa"/>
            <w:noWrap/>
            <w:hideMark/>
          </w:tcPr>
          <w:p w14:paraId="4B90AA98" w14:textId="3865DB5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  <w:tc>
          <w:tcPr>
            <w:tcW w:w="968" w:type="dxa"/>
            <w:noWrap/>
            <w:hideMark/>
          </w:tcPr>
          <w:p w14:paraId="07ED7771" w14:textId="1932F3A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72</w:t>
            </w:r>
          </w:p>
        </w:tc>
      </w:tr>
      <w:tr w:rsidR="00976459" w:rsidRPr="00F108EC" w14:paraId="71286976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F5AE8EA" w14:textId="43D6651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Transport</w:t>
            </w:r>
          </w:p>
        </w:tc>
        <w:tc>
          <w:tcPr>
            <w:tcW w:w="1347" w:type="dxa"/>
            <w:noWrap/>
            <w:hideMark/>
          </w:tcPr>
          <w:p w14:paraId="4DA61A0C" w14:textId="59DC881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1,689</w:t>
            </w:r>
          </w:p>
        </w:tc>
        <w:tc>
          <w:tcPr>
            <w:tcW w:w="1347" w:type="dxa"/>
            <w:noWrap/>
            <w:hideMark/>
          </w:tcPr>
          <w:p w14:paraId="78420B4F" w14:textId="2E97F93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1,519</w:t>
            </w:r>
          </w:p>
        </w:tc>
        <w:tc>
          <w:tcPr>
            <w:tcW w:w="992" w:type="dxa"/>
            <w:noWrap/>
            <w:hideMark/>
          </w:tcPr>
          <w:p w14:paraId="18B8C472" w14:textId="1CDB25D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25</w:t>
            </w:r>
          </w:p>
        </w:tc>
        <w:tc>
          <w:tcPr>
            <w:tcW w:w="968" w:type="dxa"/>
            <w:noWrap/>
            <w:hideMark/>
          </w:tcPr>
          <w:p w14:paraId="03550EE0" w14:textId="4447478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67</w:t>
            </w:r>
          </w:p>
        </w:tc>
      </w:tr>
      <w:tr w:rsidR="00976459" w:rsidRPr="00F108EC" w14:paraId="2187ABF0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662B5A7" w14:textId="1EEF6FA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North Metropolitan TAFE</w:t>
            </w:r>
          </w:p>
        </w:tc>
        <w:tc>
          <w:tcPr>
            <w:tcW w:w="1347" w:type="dxa"/>
            <w:noWrap/>
            <w:hideMark/>
          </w:tcPr>
          <w:p w14:paraId="03DF93B9" w14:textId="6070D89E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1,577</w:t>
            </w:r>
          </w:p>
        </w:tc>
        <w:tc>
          <w:tcPr>
            <w:tcW w:w="1347" w:type="dxa"/>
            <w:noWrap/>
            <w:hideMark/>
          </w:tcPr>
          <w:p w14:paraId="3332E1B2" w14:textId="16A1345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1,265</w:t>
            </w:r>
          </w:p>
        </w:tc>
        <w:tc>
          <w:tcPr>
            <w:tcW w:w="992" w:type="dxa"/>
            <w:noWrap/>
            <w:hideMark/>
          </w:tcPr>
          <w:p w14:paraId="42093A10" w14:textId="7FEB38F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-45</w:t>
            </w:r>
          </w:p>
        </w:tc>
        <w:tc>
          <w:tcPr>
            <w:tcW w:w="968" w:type="dxa"/>
            <w:noWrap/>
            <w:hideMark/>
          </w:tcPr>
          <w:p w14:paraId="77054DD4" w14:textId="4D1EC02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49</w:t>
            </w:r>
          </w:p>
        </w:tc>
      </w:tr>
      <w:tr w:rsidR="00976459" w:rsidRPr="00F108EC" w14:paraId="2EF1D96A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CDBDBA5" w14:textId="4FF0B67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South Metropolitan TAFE</w:t>
            </w:r>
          </w:p>
        </w:tc>
        <w:tc>
          <w:tcPr>
            <w:tcW w:w="1347" w:type="dxa"/>
            <w:noWrap/>
            <w:hideMark/>
          </w:tcPr>
          <w:p w14:paraId="49863164" w14:textId="66FC9319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1,497</w:t>
            </w:r>
          </w:p>
        </w:tc>
        <w:tc>
          <w:tcPr>
            <w:tcW w:w="1347" w:type="dxa"/>
            <w:noWrap/>
            <w:hideMark/>
          </w:tcPr>
          <w:p w14:paraId="3C21AB43" w14:textId="69CE84B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1,226</w:t>
            </w:r>
          </w:p>
        </w:tc>
        <w:tc>
          <w:tcPr>
            <w:tcW w:w="992" w:type="dxa"/>
            <w:noWrap/>
            <w:hideMark/>
          </w:tcPr>
          <w:p w14:paraId="72B3EC53" w14:textId="606EE7B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-38</w:t>
            </w:r>
          </w:p>
        </w:tc>
        <w:tc>
          <w:tcPr>
            <w:tcW w:w="968" w:type="dxa"/>
            <w:noWrap/>
            <w:hideMark/>
          </w:tcPr>
          <w:p w14:paraId="7B7E14D3" w14:textId="5651E30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63</w:t>
            </w:r>
          </w:p>
        </w:tc>
      </w:tr>
      <w:tr w:rsidR="00976459" w:rsidRPr="00F108EC" w14:paraId="5DBACF1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F2E8D9B" w14:textId="76BDDFE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Main Roads Western Australia</w:t>
            </w:r>
          </w:p>
        </w:tc>
        <w:tc>
          <w:tcPr>
            <w:tcW w:w="1347" w:type="dxa"/>
            <w:noWrap/>
            <w:hideMark/>
          </w:tcPr>
          <w:p w14:paraId="07FB1B79" w14:textId="472F84B9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1,480</w:t>
            </w:r>
          </w:p>
        </w:tc>
        <w:tc>
          <w:tcPr>
            <w:tcW w:w="1347" w:type="dxa"/>
            <w:noWrap/>
            <w:hideMark/>
          </w:tcPr>
          <w:p w14:paraId="4759B238" w14:textId="726F33E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1,398</w:t>
            </w:r>
          </w:p>
        </w:tc>
        <w:tc>
          <w:tcPr>
            <w:tcW w:w="992" w:type="dxa"/>
            <w:noWrap/>
            <w:hideMark/>
          </w:tcPr>
          <w:p w14:paraId="5716F033" w14:textId="7A99EDE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50</w:t>
            </w:r>
          </w:p>
        </w:tc>
        <w:tc>
          <w:tcPr>
            <w:tcW w:w="968" w:type="dxa"/>
            <w:noWrap/>
            <w:hideMark/>
          </w:tcPr>
          <w:p w14:paraId="2609B6E9" w14:textId="1BAD40D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190</w:t>
            </w:r>
          </w:p>
        </w:tc>
      </w:tr>
      <w:tr w:rsidR="00976459" w:rsidRPr="00F108EC" w14:paraId="1F857E5A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2A70236" w14:textId="3165EF1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 xml:space="preserve">Department of Local Government, </w:t>
            </w:r>
            <w:proofErr w:type="gramStart"/>
            <w:r>
              <w:t>Sport</w:t>
            </w:r>
            <w:proofErr w:type="gramEnd"/>
            <w:r>
              <w:t xml:space="preserve"> and Cultural Industries</w:t>
            </w:r>
          </w:p>
        </w:tc>
        <w:tc>
          <w:tcPr>
            <w:tcW w:w="1347" w:type="dxa"/>
            <w:noWrap/>
            <w:hideMark/>
          </w:tcPr>
          <w:p w14:paraId="3C0CCA8D" w14:textId="35CC5DF5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1,230</w:t>
            </w:r>
          </w:p>
        </w:tc>
        <w:tc>
          <w:tcPr>
            <w:tcW w:w="1347" w:type="dxa"/>
            <w:noWrap/>
            <w:hideMark/>
          </w:tcPr>
          <w:p w14:paraId="51C36381" w14:textId="59F9F6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1,075</w:t>
            </w:r>
          </w:p>
        </w:tc>
        <w:tc>
          <w:tcPr>
            <w:tcW w:w="992" w:type="dxa"/>
            <w:noWrap/>
            <w:hideMark/>
          </w:tcPr>
          <w:p w14:paraId="4FCD355D" w14:textId="5D32D41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</w:t>
            </w:r>
          </w:p>
        </w:tc>
        <w:tc>
          <w:tcPr>
            <w:tcW w:w="968" w:type="dxa"/>
            <w:noWrap/>
            <w:hideMark/>
          </w:tcPr>
          <w:p w14:paraId="0E850109" w14:textId="2DE1B38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87</w:t>
            </w:r>
          </w:p>
        </w:tc>
      </w:tr>
      <w:tr w:rsidR="00976459" w:rsidRPr="00F108EC" w14:paraId="014AF661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F4D127E" w14:textId="11992C0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Finance</w:t>
            </w:r>
          </w:p>
        </w:tc>
        <w:tc>
          <w:tcPr>
            <w:tcW w:w="1347" w:type="dxa"/>
            <w:noWrap/>
            <w:hideMark/>
          </w:tcPr>
          <w:p w14:paraId="2ACB56C6" w14:textId="2FDC7093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1,194</w:t>
            </w:r>
          </w:p>
        </w:tc>
        <w:tc>
          <w:tcPr>
            <w:tcW w:w="1347" w:type="dxa"/>
            <w:noWrap/>
            <w:hideMark/>
          </w:tcPr>
          <w:p w14:paraId="55CCAC17" w14:textId="03960F9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1,101</w:t>
            </w:r>
          </w:p>
        </w:tc>
        <w:tc>
          <w:tcPr>
            <w:tcW w:w="992" w:type="dxa"/>
            <w:noWrap/>
            <w:hideMark/>
          </w:tcPr>
          <w:p w14:paraId="27F2D71B" w14:textId="1C6C759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38</w:t>
            </w:r>
          </w:p>
        </w:tc>
        <w:tc>
          <w:tcPr>
            <w:tcW w:w="968" w:type="dxa"/>
            <w:noWrap/>
            <w:hideMark/>
          </w:tcPr>
          <w:p w14:paraId="2A32FE1A" w14:textId="6917543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70</w:t>
            </w:r>
          </w:p>
        </w:tc>
      </w:tr>
      <w:tr w:rsidR="00976459" w:rsidRPr="00F108EC" w14:paraId="6FA2C9B4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3DA8CEE" w14:textId="57419B5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Planning, Lands and Heritage</w:t>
            </w:r>
          </w:p>
        </w:tc>
        <w:tc>
          <w:tcPr>
            <w:tcW w:w="1347" w:type="dxa"/>
            <w:noWrap/>
            <w:hideMark/>
          </w:tcPr>
          <w:p w14:paraId="625D47F3" w14:textId="53C6D6C0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1,094</w:t>
            </w:r>
          </w:p>
        </w:tc>
        <w:tc>
          <w:tcPr>
            <w:tcW w:w="1347" w:type="dxa"/>
            <w:noWrap/>
            <w:hideMark/>
          </w:tcPr>
          <w:p w14:paraId="2F9E112E" w14:textId="6764F41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982</w:t>
            </w:r>
          </w:p>
        </w:tc>
        <w:tc>
          <w:tcPr>
            <w:tcW w:w="992" w:type="dxa"/>
            <w:noWrap/>
            <w:hideMark/>
          </w:tcPr>
          <w:p w14:paraId="5E05D00D" w14:textId="137A956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47</w:t>
            </w:r>
          </w:p>
        </w:tc>
        <w:tc>
          <w:tcPr>
            <w:tcW w:w="968" w:type="dxa"/>
            <w:noWrap/>
            <w:hideMark/>
          </w:tcPr>
          <w:p w14:paraId="200B615C" w14:textId="0FDA344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155</w:t>
            </w:r>
          </w:p>
        </w:tc>
      </w:tr>
      <w:tr w:rsidR="00976459" w:rsidRPr="00F108EC" w14:paraId="1EFB47AB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32102F0" w14:textId="2F63795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Water and Environmental Regulation</w:t>
            </w:r>
          </w:p>
        </w:tc>
        <w:tc>
          <w:tcPr>
            <w:tcW w:w="1347" w:type="dxa"/>
            <w:noWrap/>
            <w:hideMark/>
          </w:tcPr>
          <w:p w14:paraId="347A9777" w14:textId="367E4C6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1,030</w:t>
            </w:r>
          </w:p>
        </w:tc>
        <w:tc>
          <w:tcPr>
            <w:tcW w:w="1347" w:type="dxa"/>
            <w:noWrap/>
            <w:hideMark/>
          </w:tcPr>
          <w:p w14:paraId="5E1187BF" w14:textId="688640F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950</w:t>
            </w:r>
          </w:p>
        </w:tc>
        <w:tc>
          <w:tcPr>
            <w:tcW w:w="992" w:type="dxa"/>
            <w:noWrap/>
            <w:hideMark/>
          </w:tcPr>
          <w:p w14:paraId="61918A38" w14:textId="2FB9232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968" w:type="dxa"/>
            <w:noWrap/>
            <w:hideMark/>
          </w:tcPr>
          <w:p w14:paraId="27706C66" w14:textId="2498952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52</w:t>
            </w:r>
          </w:p>
        </w:tc>
      </w:tr>
      <w:tr w:rsidR="00976459" w:rsidRPr="00F108EC" w14:paraId="09DE808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8F930F5" w14:textId="6BA93D6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the Premier and Cabinet</w:t>
            </w:r>
          </w:p>
        </w:tc>
        <w:tc>
          <w:tcPr>
            <w:tcW w:w="1347" w:type="dxa"/>
            <w:noWrap/>
            <w:hideMark/>
          </w:tcPr>
          <w:p w14:paraId="7AD7E591" w14:textId="19DF95AC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716</w:t>
            </w:r>
          </w:p>
        </w:tc>
        <w:tc>
          <w:tcPr>
            <w:tcW w:w="1347" w:type="dxa"/>
            <w:noWrap/>
            <w:hideMark/>
          </w:tcPr>
          <w:p w14:paraId="478EDF37" w14:textId="3B7AB7D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635</w:t>
            </w:r>
          </w:p>
        </w:tc>
        <w:tc>
          <w:tcPr>
            <w:tcW w:w="992" w:type="dxa"/>
            <w:noWrap/>
            <w:hideMark/>
          </w:tcPr>
          <w:p w14:paraId="4F161E6A" w14:textId="199DB0C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968" w:type="dxa"/>
            <w:noWrap/>
            <w:hideMark/>
          </w:tcPr>
          <w:p w14:paraId="1E99B5C1" w14:textId="4A0480F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</w:tr>
      <w:tr w:rsidR="00976459" w:rsidRPr="00F108EC" w14:paraId="2402C8AA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7F4DB6F" w14:textId="61B5135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lastRenderedPageBreak/>
              <w:t>South Regional TAFE</w:t>
            </w:r>
          </w:p>
        </w:tc>
        <w:tc>
          <w:tcPr>
            <w:tcW w:w="1347" w:type="dxa"/>
            <w:noWrap/>
            <w:hideMark/>
          </w:tcPr>
          <w:p w14:paraId="479313DB" w14:textId="4DE30774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637</w:t>
            </w:r>
          </w:p>
        </w:tc>
        <w:tc>
          <w:tcPr>
            <w:tcW w:w="1347" w:type="dxa"/>
            <w:noWrap/>
            <w:hideMark/>
          </w:tcPr>
          <w:p w14:paraId="706D8CED" w14:textId="6F07D51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478</w:t>
            </w:r>
          </w:p>
        </w:tc>
        <w:tc>
          <w:tcPr>
            <w:tcW w:w="992" w:type="dxa"/>
            <w:noWrap/>
            <w:hideMark/>
          </w:tcPr>
          <w:p w14:paraId="35C44E2B" w14:textId="448E02B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  <w:tc>
          <w:tcPr>
            <w:tcW w:w="968" w:type="dxa"/>
            <w:noWrap/>
            <w:hideMark/>
          </w:tcPr>
          <w:p w14:paraId="46F79B04" w14:textId="461997A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65</w:t>
            </w:r>
          </w:p>
        </w:tc>
      </w:tr>
      <w:tr w:rsidR="00976459" w:rsidRPr="00F108EC" w14:paraId="00CFBEB4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9D8DDEE" w14:textId="2F6A53C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 xml:space="preserve">Department of Jobs, Tourism, </w:t>
            </w:r>
            <w:proofErr w:type="gramStart"/>
            <w:r>
              <w:t>Science</w:t>
            </w:r>
            <w:proofErr w:type="gramEnd"/>
            <w:r>
              <w:t xml:space="preserve"> and Innovation</w:t>
            </w:r>
          </w:p>
        </w:tc>
        <w:tc>
          <w:tcPr>
            <w:tcW w:w="1347" w:type="dxa"/>
            <w:noWrap/>
            <w:hideMark/>
          </w:tcPr>
          <w:p w14:paraId="2FC6A178" w14:textId="4EE331EA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517</w:t>
            </w:r>
          </w:p>
        </w:tc>
        <w:tc>
          <w:tcPr>
            <w:tcW w:w="1347" w:type="dxa"/>
            <w:noWrap/>
            <w:hideMark/>
          </w:tcPr>
          <w:p w14:paraId="722D404C" w14:textId="52027B7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471</w:t>
            </w:r>
          </w:p>
        </w:tc>
        <w:tc>
          <w:tcPr>
            <w:tcW w:w="992" w:type="dxa"/>
            <w:noWrap/>
            <w:hideMark/>
          </w:tcPr>
          <w:p w14:paraId="4D089D4B" w14:textId="7CB21B1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</w:t>
            </w:r>
          </w:p>
        </w:tc>
        <w:tc>
          <w:tcPr>
            <w:tcW w:w="968" w:type="dxa"/>
            <w:noWrap/>
            <w:hideMark/>
          </w:tcPr>
          <w:p w14:paraId="5E871F7C" w14:textId="6F37B56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94</w:t>
            </w:r>
          </w:p>
        </w:tc>
      </w:tr>
      <w:tr w:rsidR="00976459" w:rsidRPr="00F108EC" w14:paraId="7F0B20D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CD3AD06" w14:textId="0606E31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Training and Workforce Development</w:t>
            </w:r>
          </w:p>
        </w:tc>
        <w:tc>
          <w:tcPr>
            <w:tcW w:w="1347" w:type="dxa"/>
            <w:noWrap/>
            <w:hideMark/>
          </w:tcPr>
          <w:p w14:paraId="1FA18A69" w14:textId="72DAC919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515</w:t>
            </w:r>
          </w:p>
        </w:tc>
        <w:tc>
          <w:tcPr>
            <w:tcW w:w="1347" w:type="dxa"/>
            <w:noWrap/>
            <w:hideMark/>
          </w:tcPr>
          <w:p w14:paraId="1347AB2D" w14:textId="14E276A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467</w:t>
            </w:r>
          </w:p>
        </w:tc>
        <w:tc>
          <w:tcPr>
            <w:tcW w:w="992" w:type="dxa"/>
            <w:noWrap/>
            <w:hideMark/>
          </w:tcPr>
          <w:p w14:paraId="3F7E8655" w14:textId="37C7762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  <w:tc>
          <w:tcPr>
            <w:tcW w:w="968" w:type="dxa"/>
            <w:noWrap/>
            <w:hideMark/>
          </w:tcPr>
          <w:p w14:paraId="73F4526D" w14:textId="305EAF1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30</w:t>
            </w:r>
          </w:p>
        </w:tc>
      </w:tr>
      <w:tr w:rsidR="00976459" w:rsidRPr="00F108EC" w14:paraId="096D2F94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8F80B68" w14:textId="30AC229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VenuesWest</w:t>
            </w:r>
            <w:proofErr w:type="spellEnd"/>
          </w:p>
        </w:tc>
        <w:tc>
          <w:tcPr>
            <w:tcW w:w="1347" w:type="dxa"/>
            <w:noWrap/>
            <w:hideMark/>
          </w:tcPr>
          <w:p w14:paraId="0EDA8840" w14:textId="42145932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501</w:t>
            </w:r>
          </w:p>
        </w:tc>
        <w:tc>
          <w:tcPr>
            <w:tcW w:w="1347" w:type="dxa"/>
            <w:noWrap/>
            <w:hideMark/>
          </w:tcPr>
          <w:p w14:paraId="70A9AF34" w14:textId="44D3D52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248</w:t>
            </w:r>
          </w:p>
        </w:tc>
        <w:tc>
          <w:tcPr>
            <w:tcW w:w="992" w:type="dxa"/>
            <w:noWrap/>
            <w:hideMark/>
          </w:tcPr>
          <w:p w14:paraId="38B34152" w14:textId="30085E2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  <w:tc>
          <w:tcPr>
            <w:tcW w:w="968" w:type="dxa"/>
            <w:noWrap/>
            <w:hideMark/>
          </w:tcPr>
          <w:p w14:paraId="4FDDC220" w14:textId="1E047DE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</w:tr>
      <w:tr w:rsidR="00976459" w:rsidRPr="00F108EC" w14:paraId="4C4C2C1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CC6EE19" w14:textId="4C320FF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Landgate</w:t>
            </w:r>
          </w:p>
        </w:tc>
        <w:tc>
          <w:tcPr>
            <w:tcW w:w="1347" w:type="dxa"/>
            <w:noWrap/>
            <w:hideMark/>
          </w:tcPr>
          <w:p w14:paraId="36A90ACD" w14:textId="4472D6F3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494</w:t>
            </w:r>
          </w:p>
        </w:tc>
        <w:tc>
          <w:tcPr>
            <w:tcW w:w="1347" w:type="dxa"/>
            <w:noWrap/>
            <w:hideMark/>
          </w:tcPr>
          <w:p w14:paraId="0E102C86" w14:textId="7EC0AD5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440</w:t>
            </w:r>
          </w:p>
        </w:tc>
        <w:tc>
          <w:tcPr>
            <w:tcW w:w="992" w:type="dxa"/>
            <w:noWrap/>
            <w:hideMark/>
          </w:tcPr>
          <w:p w14:paraId="1D88C030" w14:textId="274E841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2241AB0F" w14:textId="26066D8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976459" w:rsidRPr="00F108EC" w14:paraId="653C4E5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143B5A3" w14:textId="47401BD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Insurance Commission of Western Australia</w:t>
            </w:r>
          </w:p>
        </w:tc>
        <w:tc>
          <w:tcPr>
            <w:tcW w:w="1347" w:type="dxa"/>
            <w:noWrap/>
            <w:hideMark/>
          </w:tcPr>
          <w:p w14:paraId="3D9BF4CC" w14:textId="2EC370EC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488</w:t>
            </w:r>
          </w:p>
        </w:tc>
        <w:tc>
          <w:tcPr>
            <w:tcW w:w="1347" w:type="dxa"/>
            <w:noWrap/>
            <w:hideMark/>
          </w:tcPr>
          <w:p w14:paraId="230B13FF" w14:textId="3455B6B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445</w:t>
            </w:r>
          </w:p>
        </w:tc>
        <w:tc>
          <w:tcPr>
            <w:tcW w:w="992" w:type="dxa"/>
            <w:noWrap/>
            <w:hideMark/>
          </w:tcPr>
          <w:p w14:paraId="7B0AE7F6" w14:textId="7523DC8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  <w:tc>
          <w:tcPr>
            <w:tcW w:w="968" w:type="dxa"/>
            <w:noWrap/>
            <w:hideMark/>
          </w:tcPr>
          <w:p w14:paraId="6C71CFC3" w14:textId="02497F5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36</w:t>
            </w:r>
          </w:p>
        </w:tc>
      </w:tr>
      <w:tr w:rsidR="00976459" w:rsidRPr="00F108EC" w14:paraId="70868B0F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59766F4" w14:textId="7830A26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Legal Aid Commission of Western Australia</w:t>
            </w:r>
          </w:p>
        </w:tc>
        <w:tc>
          <w:tcPr>
            <w:tcW w:w="1347" w:type="dxa"/>
            <w:noWrap/>
            <w:hideMark/>
          </w:tcPr>
          <w:p w14:paraId="2C5593AE" w14:textId="261F753A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473</w:t>
            </w:r>
          </w:p>
        </w:tc>
        <w:tc>
          <w:tcPr>
            <w:tcW w:w="1347" w:type="dxa"/>
            <w:noWrap/>
            <w:hideMark/>
          </w:tcPr>
          <w:p w14:paraId="6A0F4968" w14:textId="1598D21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419</w:t>
            </w:r>
          </w:p>
        </w:tc>
        <w:tc>
          <w:tcPr>
            <w:tcW w:w="992" w:type="dxa"/>
            <w:noWrap/>
            <w:hideMark/>
          </w:tcPr>
          <w:p w14:paraId="67801AC2" w14:textId="3F745B7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  <w:tc>
          <w:tcPr>
            <w:tcW w:w="968" w:type="dxa"/>
            <w:noWrap/>
            <w:hideMark/>
          </w:tcPr>
          <w:p w14:paraId="388F679C" w14:textId="2083182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46</w:t>
            </w:r>
          </w:p>
        </w:tc>
      </w:tr>
      <w:tr w:rsidR="00976459" w:rsidRPr="00F108EC" w14:paraId="42D2D316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491B1E9" w14:textId="14D1EBC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Mental Health Commission</w:t>
            </w:r>
          </w:p>
        </w:tc>
        <w:tc>
          <w:tcPr>
            <w:tcW w:w="1347" w:type="dxa"/>
            <w:noWrap/>
            <w:hideMark/>
          </w:tcPr>
          <w:p w14:paraId="14633467" w14:textId="10528A2F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466</w:t>
            </w:r>
          </w:p>
        </w:tc>
        <w:tc>
          <w:tcPr>
            <w:tcW w:w="1347" w:type="dxa"/>
            <w:noWrap/>
            <w:hideMark/>
          </w:tcPr>
          <w:p w14:paraId="3CDE1787" w14:textId="149FE50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388</w:t>
            </w:r>
          </w:p>
        </w:tc>
        <w:tc>
          <w:tcPr>
            <w:tcW w:w="992" w:type="dxa"/>
            <w:noWrap/>
            <w:hideMark/>
          </w:tcPr>
          <w:p w14:paraId="2F397427" w14:textId="6FD1E9F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4A29DB67" w14:textId="01ABCCB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</w:t>
            </w:r>
          </w:p>
        </w:tc>
      </w:tr>
      <w:tr w:rsidR="00976459" w:rsidRPr="00F108EC" w14:paraId="47D1FC0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CF8D693" w14:textId="49E8F4A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Central Regional TAFE</w:t>
            </w:r>
          </w:p>
        </w:tc>
        <w:tc>
          <w:tcPr>
            <w:tcW w:w="1347" w:type="dxa"/>
            <w:noWrap/>
            <w:hideMark/>
          </w:tcPr>
          <w:p w14:paraId="614C883D" w14:textId="076D2EA3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465</w:t>
            </w:r>
          </w:p>
        </w:tc>
        <w:tc>
          <w:tcPr>
            <w:tcW w:w="1347" w:type="dxa"/>
            <w:noWrap/>
            <w:hideMark/>
          </w:tcPr>
          <w:p w14:paraId="501366E6" w14:textId="3ACB64B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376</w:t>
            </w:r>
          </w:p>
        </w:tc>
        <w:tc>
          <w:tcPr>
            <w:tcW w:w="992" w:type="dxa"/>
            <w:noWrap/>
            <w:hideMark/>
          </w:tcPr>
          <w:p w14:paraId="135F5E1F" w14:textId="62FD14F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  <w:tc>
          <w:tcPr>
            <w:tcW w:w="968" w:type="dxa"/>
            <w:noWrap/>
            <w:hideMark/>
          </w:tcPr>
          <w:p w14:paraId="4CAA9990" w14:textId="41FBE3F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</w:t>
            </w:r>
          </w:p>
        </w:tc>
      </w:tr>
      <w:tr w:rsidR="00976459" w:rsidRPr="00F108EC" w14:paraId="4ABB2245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DBEAD20" w14:textId="08F3ADF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Office of the Director of Public Prosecutions</w:t>
            </w:r>
          </w:p>
        </w:tc>
        <w:tc>
          <w:tcPr>
            <w:tcW w:w="1347" w:type="dxa"/>
            <w:noWrap/>
            <w:hideMark/>
          </w:tcPr>
          <w:p w14:paraId="770485E1" w14:textId="70798231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357</w:t>
            </w:r>
          </w:p>
        </w:tc>
        <w:tc>
          <w:tcPr>
            <w:tcW w:w="1347" w:type="dxa"/>
            <w:noWrap/>
            <w:hideMark/>
          </w:tcPr>
          <w:p w14:paraId="0391001A" w14:textId="76A31BF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316</w:t>
            </w:r>
          </w:p>
        </w:tc>
        <w:tc>
          <w:tcPr>
            <w:tcW w:w="992" w:type="dxa"/>
            <w:noWrap/>
            <w:hideMark/>
          </w:tcPr>
          <w:p w14:paraId="6CBDA68E" w14:textId="284FAA7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42AB8FDE" w14:textId="7E16212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25</w:t>
            </w:r>
          </w:p>
        </w:tc>
      </w:tr>
      <w:tr w:rsidR="00976459" w:rsidRPr="00F108EC" w14:paraId="5A66700D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81E9D1E" w14:textId="4AF5ACD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North Regional TAFE</w:t>
            </w:r>
          </w:p>
        </w:tc>
        <w:tc>
          <w:tcPr>
            <w:tcW w:w="1347" w:type="dxa"/>
            <w:noWrap/>
            <w:hideMark/>
          </w:tcPr>
          <w:p w14:paraId="197E3888" w14:textId="4475F5A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324</w:t>
            </w:r>
          </w:p>
        </w:tc>
        <w:tc>
          <w:tcPr>
            <w:tcW w:w="1347" w:type="dxa"/>
            <w:noWrap/>
            <w:hideMark/>
          </w:tcPr>
          <w:p w14:paraId="1A4B6877" w14:textId="4D07FEE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298</w:t>
            </w:r>
          </w:p>
        </w:tc>
        <w:tc>
          <w:tcPr>
            <w:tcW w:w="992" w:type="dxa"/>
            <w:noWrap/>
            <w:hideMark/>
          </w:tcPr>
          <w:p w14:paraId="59F35367" w14:textId="7AFE536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</w:t>
            </w:r>
          </w:p>
        </w:tc>
        <w:tc>
          <w:tcPr>
            <w:tcW w:w="968" w:type="dxa"/>
            <w:noWrap/>
            <w:hideMark/>
          </w:tcPr>
          <w:p w14:paraId="66D37CC5" w14:textId="1B5A63A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</w:tr>
      <w:tr w:rsidR="00976459" w:rsidRPr="00F108EC" w14:paraId="33268EFB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6E57E70" w14:textId="1229D12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Treasury</w:t>
            </w:r>
          </w:p>
        </w:tc>
        <w:tc>
          <w:tcPr>
            <w:tcW w:w="1347" w:type="dxa"/>
            <w:noWrap/>
            <w:hideMark/>
          </w:tcPr>
          <w:p w14:paraId="4D304EC0" w14:textId="3EB25123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308</w:t>
            </w:r>
          </w:p>
        </w:tc>
        <w:tc>
          <w:tcPr>
            <w:tcW w:w="1347" w:type="dxa"/>
            <w:noWrap/>
            <w:hideMark/>
          </w:tcPr>
          <w:p w14:paraId="514A0134" w14:textId="6DEE377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271</w:t>
            </w:r>
          </w:p>
        </w:tc>
        <w:tc>
          <w:tcPr>
            <w:tcW w:w="992" w:type="dxa"/>
            <w:noWrap/>
            <w:hideMark/>
          </w:tcPr>
          <w:p w14:paraId="1F1CFF7C" w14:textId="2383D2C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968" w:type="dxa"/>
            <w:noWrap/>
            <w:hideMark/>
          </w:tcPr>
          <w:p w14:paraId="3681F87C" w14:textId="216AA2E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</w:tr>
      <w:tr w:rsidR="00976459" w:rsidRPr="00F108EC" w14:paraId="5CDEB51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947F62B" w14:textId="56DEE54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Lotterywest</w:t>
            </w:r>
            <w:proofErr w:type="spellEnd"/>
          </w:p>
        </w:tc>
        <w:tc>
          <w:tcPr>
            <w:tcW w:w="1347" w:type="dxa"/>
            <w:noWrap/>
            <w:hideMark/>
          </w:tcPr>
          <w:p w14:paraId="08BBB84D" w14:textId="7EAA22AC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303</w:t>
            </w:r>
          </w:p>
        </w:tc>
        <w:tc>
          <w:tcPr>
            <w:tcW w:w="1347" w:type="dxa"/>
            <w:noWrap/>
            <w:hideMark/>
          </w:tcPr>
          <w:p w14:paraId="249A0BEF" w14:textId="242ACA5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287</w:t>
            </w:r>
          </w:p>
        </w:tc>
        <w:tc>
          <w:tcPr>
            <w:tcW w:w="992" w:type="dxa"/>
            <w:noWrap/>
            <w:hideMark/>
          </w:tcPr>
          <w:p w14:paraId="44C89EE0" w14:textId="52DC884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968" w:type="dxa"/>
            <w:noWrap/>
            <w:hideMark/>
          </w:tcPr>
          <w:p w14:paraId="5F83C30D" w14:textId="75BC8CC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</w:t>
            </w:r>
          </w:p>
        </w:tc>
      </w:tr>
      <w:tr w:rsidR="00976459" w:rsidRPr="00F108EC" w14:paraId="5D3DA57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6D63EB8" w14:textId="1A6F077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Office of the Auditor General</w:t>
            </w:r>
          </w:p>
        </w:tc>
        <w:tc>
          <w:tcPr>
            <w:tcW w:w="1347" w:type="dxa"/>
            <w:noWrap/>
            <w:hideMark/>
          </w:tcPr>
          <w:p w14:paraId="4431135A" w14:textId="0638F5E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230</w:t>
            </w:r>
          </w:p>
        </w:tc>
        <w:tc>
          <w:tcPr>
            <w:tcW w:w="1347" w:type="dxa"/>
            <w:noWrap/>
            <w:hideMark/>
          </w:tcPr>
          <w:p w14:paraId="29C03CDD" w14:textId="431E4B7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202</w:t>
            </w:r>
          </w:p>
        </w:tc>
        <w:tc>
          <w:tcPr>
            <w:tcW w:w="992" w:type="dxa"/>
            <w:noWrap/>
            <w:hideMark/>
          </w:tcPr>
          <w:p w14:paraId="4EEBA39B" w14:textId="0917918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-7</w:t>
            </w:r>
          </w:p>
        </w:tc>
        <w:tc>
          <w:tcPr>
            <w:tcW w:w="968" w:type="dxa"/>
            <w:noWrap/>
            <w:hideMark/>
          </w:tcPr>
          <w:p w14:paraId="40F0496D" w14:textId="3346CF6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</w:tr>
      <w:tr w:rsidR="00976459" w:rsidRPr="00F108EC" w14:paraId="3F6E884B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101183A" w14:textId="2986669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Public Sector Commission</w:t>
            </w:r>
          </w:p>
        </w:tc>
        <w:tc>
          <w:tcPr>
            <w:tcW w:w="1347" w:type="dxa"/>
            <w:noWrap/>
            <w:hideMark/>
          </w:tcPr>
          <w:p w14:paraId="420B2EAE" w14:textId="3C50C7A3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181</w:t>
            </w:r>
          </w:p>
        </w:tc>
        <w:tc>
          <w:tcPr>
            <w:tcW w:w="1347" w:type="dxa"/>
            <w:noWrap/>
            <w:hideMark/>
          </w:tcPr>
          <w:p w14:paraId="420A993C" w14:textId="7786743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140</w:t>
            </w:r>
          </w:p>
        </w:tc>
        <w:tc>
          <w:tcPr>
            <w:tcW w:w="992" w:type="dxa"/>
            <w:noWrap/>
            <w:hideMark/>
          </w:tcPr>
          <w:p w14:paraId="2BA56C56" w14:textId="61295DB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  <w:tc>
          <w:tcPr>
            <w:tcW w:w="968" w:type="dxa"/>
            <w:noWrap/>
            <w:hideMark/>
          </w:tcPr>
          <w:p w14:paraId="0439FB68" w14:textId="01315BE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</w:t>
            </w:r>
          </w:p>
        </w:tc>
      </w:tr>
      <w:tr w:rsidR="00976459" w:rsidRPr="00F108EC" w14:paraId="14F507BF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E6F71FA" w14:textId="420EC4B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Forest Products Commission</w:t>
            </w:r>
          </w:p>
        </w:tc>
        <w:tc>
          <w:tcPr>
            <w:tcW w:w="1347" w:type="dxa"/>
            <w:noWrap/>
            <w:hideMark/>
          </w:tcPr>
          <w:p w14:paraId="6474374B" w14:textId="0D12A5F4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174</w:t>
            </w:r>
          </w:p>
        </w:tc>
        <w:tc>
          <w:tcPr>
            <w:tcW w:w="1347" w:type="dxa"/>
            <w:noWrap/>
            <w:hideMark/>
          </w:tcPr>
          <w:p w14:paraId="597A3048" w14:textId="718E8E8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162</w:t>
            </w:r>
          </w:p>
        </w:tc>
        <w:tc>
          <w:tcPr>
            <w:tcW w:w="992" w:type="dxa"/>
            <w:noWrap/>
            <w:hideMark/>
          </w:tcPr>
          <w:p w14:paraId="3F9B138C" w14:textId="32799C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-10</w:t>
            </w:r>
          </w:p>
        </w:tc>
        <w:tc>
          <w:tcPr>
            <w:tcW w:w="968" w:type="dxa"/>
            <w:noWrap/>
            <w:hideMark/>
          </w:tcPr>
          <w:p w14:paraId="3B49B016" w14:textId="6C84FD6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</w:t>
            </w:r>
          </w:p>
        </w:tc>
      </w:tr>
      <w:tr w:rsidR="00976459" w:rsidRPr="00F108EC" w14:paraId="09EB1D0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736F65E" w14:textId="6C8CB8F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ChemCentre</w:t>
            </w:r>
            <w:proofErr w:type="spellEnd"/>
          </w:p>
        </w:tc>
        <w:tc>
          <w:tcPr>
            <w:tcW w:w="1347" w:type="dxa"/>
            <w:noWrap/>
            <w:hideMark/>
          </w:tcPr>
          <w:p w14:paraId="32962EAB" w14:textId="55ED4341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158</w:t>
            </w:r>
          </w:p>
        </w:tc>
        <w:tc>
          <w:tcPr>
            <w:tcW w:w="1347" w:type="dxa"/>
            <w:noWrap/>
            <w:hideMark/>
          </w:tcPr>
          <w:p w14:paraId="46892AA4" w14:textId="6B7DA9C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142</w:t>
            </w:r>
          </w:p>
        </w:tc>
        <w:tc>
          <w:tcPr>
            <w:tcW w:w="992" w:type="dxa"/>
            <w:noWrap/>
            <w:hideMark/>
          </w:tcPr>
          <w:p w14:paraId="1735AB39" w14:textId="453583F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968" w:type="dxa"/>
            <w:noWrap/>
            <w:hideMark/>
          </w:tcPr>
          <w:p w14:paraId="00F674CA" w14:textId="5539504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</w:tr>
      <w:tr w:rsidR="00976459" w:rsidRPr="00F108EC" w14:paraId="31FF083C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BC4B557" w14:textId="65E7604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Metropolitan Cemeteries Board</w:t>
            </w:r>
          </w:p>
        </w:tc>
        <w:tc>
          <w:tcPr>
            <w:tcW w:w="1347" w:type="dxa"/>
            <w:noWrap/>
            <w:hideMark/>
          </w:tcPr>
          <w:p w14:paraId="646D80E4" w14:textId="770D637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155</w:t>
            </w:r>
          </w:p>
        </w:tc>
        <w:tc>
          <w:tcPr>
            <w:tcW w:w="1347" w:type="dxa"/>
            <w:noWrap/>
            <w:hideMark/>
          </w:tcPr>
          <w:p w14:paraId="57F68873" w14:textId="44AD6BD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145</w:t>
            </w:r>
          </w:p>
        </w:tc>
        <w:tc>
          <w:tcPr>
            <w:tcW w:w="992" w:type="dxa"/>
            <w:noWrap/>
            <w:hideMark/>
          </w:tcPr>
          <w:p w14:paraId="27DD8F3A" w14:textId="1184147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968" w:type="dxa"/>
            <w:noWrap/>
            <w:hideMark/>
          </w:tcPr>
          <w:p w14:paraId="79CC69AD" w14:textId="044FC0F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</w:tr>
      <w:tr w:rsidR="00976459" w:rsidRPr="00F108EC" w14:paraId="0D890749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FEBBF57" w14:textId="400216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WorkCover</w:t>
            </w:r>
            <w:proofErr w:type="spellEnd"/>
            <w:r>
              <w:t xml:space="preserve"> Western Australia</w:t>
            </w:r>
          </w:p>
        </w:tc>
        <w:tc>
          <w:tcPr>
            <w:tcW w:w="1347" w:type="dxa"/>
            <w:noWrap/>
            <w:hideMark/>
          </w:tcPr>
          <w:p w14:paraId="32182268" w14:textId="5326B0CA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149</w:t>
            </w:r>
          </w:p>
        </w:tc>
        <w:tc>
          <w:tcPr>
            <w:tcW w:w="1347" w:type="dxa"/>
            <w:noWrap/>
            <w:hideMark/>
          </w:tcPr>
          <w:p w14:paraId="62ECB34A" w14:textId="0C27F2A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136</w:t>
            </w:r>
          </w:p>
        </w:tc>
        <w:tc>
          <w:tcPr>
            <w:tcW w:w="992" w:type="dxa"/>
            <w:noWrap/>
            <w:hideMark/>
          </w:tcPr>
          <w:p w14:paraId="2DA710F9" w14:textId="45F79CB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968" w:type="dxa"/>
            <w:noWrap/>
            <w:hideMark/>
          </w:tcPr>
          <w:p w14:paraId="7D42FA4B" w14:textId="276EADB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</w:tr>
      <w:tr w:rsidR="00976459" w:rsidRPr="00F108EC" w14:paraId="1CBF1959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CE92EB2" w14:textId="5EA1996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Corruption and Crime Commission</w:t>
            </w:r>
          </w:p>
        </w:tc>
        <w:tc>
          <w:tcPr>
            <w:tcW w:w="1347" w:type="dxa"/>
            <w:noWrap/>
            <w:hideMark/>
          </w:tcPr>
          <w:p w14:paraId="78B13ED3" w14:textId="7D3F72DC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142</w:t>
            </w:r>
          </w:p>
        </w:tc>
        <w:tc>
          <w:tcPr>
            <w:tcW w:w="1347" w:type="dxa"/>
            <w:noWrap/>
            <w:hideMark/>
          </w:tcPr>
          <w:p w14:paraId="42C40E87" w14:textId="0772CFB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134</w:t>
            </w:r>
          </w:p>
        </w:tc>
        <w:tc>
          <w:tcPr>
            <w:tcW w:w="992" w:type="dxa"/>
            <w:noWrap/>
            <w:hideMark/>
          </w:tcPr>
          <w:p w14:paraId="766E1DD7" w14:textId="5431A9F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968" w:type="dxa"/>
            <w:noWrap/>
            <w:hideMark/>
          </w:tcPr>
          <w:p w14:paraId="797BC846" w14:textId="6C3C019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</w:tr>
      <w:tr w:rsidR="00976459" w:rsidRPr="00F108EC" w14:paraId="5D567EB7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A3C1ECE" w14:textId="3EEFDCC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Ombudsman Western Australia</w:t>
            </w:r>
          </w:p>
        </w:tc>
        <w:tc>
          <w:tcPr>
            <w:tcW w:w="1347" w:type="dxa"/>
            <w:noWrap/>
            <w:hideMark/>
          </w:tcPr>
          <w:p w14:paraId="1F76BCE0" w14:textId="07FECE82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91</w:t>
            </w:r>
          </w:p>
        </w:tc>
        <w:tc>
          <w:tcPr>
            <w:tcW w:w="1347" w:type="dxa"/>
            <w:noWrap/>
            <w:hideMark/>
          </w:tcPr>
          <w:p w14:paraId="29389067" w14:textId="522BB21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77</w:t>
            </w:r>
          </w:p>
        </w:tc>
        <w:tc>
          <w:tcPr>
            <w:tcW w:w="992" w:type="dxa"/>
            <w:noWrap/>
            <w:hideMark/>
          </w:tcPr>
          <w:p w14:paraId="7A088DA4" w14:textId="57BCE54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  <w:tc>
          <w:tcPr>
            <w:tcW w:w="968" w:type="dxa"/>
            <w:noWrap/>
            <w:hideMark/>
          </w:tcPr>
          <w:p w14:paraId="352EBEB2" w14:textId="5157F44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</w:t>
            </w:r>
          </w:p>
        </w:tc>
      </w:tr>
      <w:tr w:rsidR="00976459" w:rsidRPr="00F108EC" w14:paraId="6F8A746C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A481A54" w14:textId="3C5920A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Economic Regulation Authority</w:t>
            </w:r>
          </w:p>
        </w:tc>
        <w:tc>
          <w:tcPr>
            <w:tcW w:w="1347" w:type="dxa"/>
            <w:noWrap/>
            <w:hideMark/>
          </w:tcPr>
          <w:p w14:paraId="1B26FF48" w14:textId="4B88599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76</w:t>
            </w:r>
          </w:p>
        </w:tc>
        <w:tc>
          <w:tcPr>
            <w:tcW w:w="1347" w:type="dxa"/>
            <w:noWrap/>
            <w:hideMark/>
          </w:tcPr>
          <w:p w14:paraId="421C1CD0" w14:textId="167FD8A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66</w:t>
            </w:r>
          </w:p>
        </w:tc>
        <w:tc>
          <w:tcPr>
            <w:tcW w:w="992" w:type="dxa"/>
            <w:noWrap/>
            <w:hideMark/>
          </w:tcPr>
          <w:p w14:paraId="4B8A1F1E" w14:textId="49F01C6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0CD8ADA6" w14:textId="0E7C813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</w:tr>
      <w:tr w:rsidR="00976459" w:rsidRPr="00F108EC" w14:paraId="76E6CE8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DA13923" w14:textId="3BF0CC6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GESB</w:t>
            </w:r>
          </w:p>
        </w:tc>
        <w:tc>
          <w:tcPr>
            <w:tcW w:w="1347" w:type="dxa"/>
            <w:noWrap/>
            <w:hideMark/>
          </w:tcPr>
          <w:p w14:paraId="1D19CEC1" w14:textId="16D59E11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73</w:t>
            </w:r>
          </w:p>
        </w:tc>
        <w:tc>
          <w:tcPr>
            <w:tcW w:w="1347" w:type="dxa"/>
            <w:noWrap/>
            <w:hideMark/>
          </w:tcPr>
          <w:p w14:paraId="021D9031" w14:textId="3C345DA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69</w:t>
            </w:r>
          </w:p>
        </w:tc>
        <w:tc>
          <w:tcPr>
            <w:tcW w:w="992" w:type="dxa"/>
            <w:noWrap/>
            <w:hideMark/>
          </w:tcPr>
          <w:p w14:paraId="4331659E" w14:textId="4392D46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968" w:type="dxa"/>
            <w:noWrap/>
            <w:hideMark/>
          </w:tcPr>
          <w:p w14:paraId="5914329E" w14:textId="3FFB4AF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</w:t>
            </w:r>
          </w:p>
        </w:tc>
      </w:tr>
      <w:tr w:rsidR="00976459" w:rsidRPr="00F108EC" w14:paraId="6C5F3AF6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F8E3045" w14:textId="7BAF9D1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Small Business Development Corporation</w:t>
            </w:r>
          </w:p>
        </w:tc>
        <w:tc>
          <w:tcPr>
            <w:tcW w:w="1347" w:type="dxa"/>
            <w:noWrap/>
            <w:hideMark/>
          </w:tcPr>
          <w:p w14:paraId="5CDE7A17" w14:textId="659457F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68</w:t>
            </w:r>
          </w:p>
        </w:tc>
        <w:tc>
          <w:tcPr>
            <w:tcW w:w="1347" w:type="dxa"/>
            <w:noWrap/>
            <w:hideMark/>
          </w:tcPr>
          <w:p w14:paraId="5DFEB8F1" w14:textId="2BA3009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59</w:t>
            </w:r>
          </w:p>
        </w:tc>
        <w:tc>
          <w:tcPr>
            <w:tcW w:w="992" w:type="dxa"/>
            <w:noWrap/>
            <w:hideMark/>
          </w:tcPr>
          <w:p w14:paraId="1009E7AB" w14:textId="79D0C9D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67095719" w14:textId="5A66378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976459" w:rsidRPr="00F108EC" w14:paraId="568968CF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C65EA41" w14:textId="463E1B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Western Australian Electoral Commission</w:t>
            </w:r>
          </w:p>
        </w:tc>
        <w:tc>
          <w:tcPr>
            <w:tcW w:w="1347" w:type="dxa"/>
            <w:noWrap/>
            <w:hideMark/>
          </w:tcPr>
          <w:p w14:paraId="0CD86EE6" w14:textId="4444F7C9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51</w:t>
            </w:r>
          </w:p>
        </w:tc>
        <w:tc>
          <w:tcPr>
            <w:tcW w:w="1347" w:type="dxa"/>
            <w:noWrap/>
            <w:hideMark/>
          </w:tcPr>
          <w:p w14:paraId="66231244" w14:textId="294E62C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47</w:t>
            </w:r>
          </w:p>
        </w:tc>
        <w:tc>
          <w:tcPr>
            <w:tcW w:w="992" w:type="dxa"/>
            <w:noWrap/>
            <w:hideMark/>
          </w:tcPr>
          <w:p w14:paraId="6A80BB0E" w14:textId="1A58249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968" w:type="dxa"/>
            <w:noWrap/>
            <w:hideMark/>
          </w:tcPr>
          <w:p w14:paraId="6794E7B1" w14:textId="5D97FEA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976459" w:rsidRPr="00F108EC" w14:paraId="3BA8AD06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086C289" w14:textId="5F97193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Department of the Registrar, Western Australian Industrial Relations Commission</w:t>
            </w:r>
          </w:p>
        </w:tc>
        <w:tc>
          <w:tcPr>
            <w:tcW w:w="1347" w:type="dxa"/>
            <w:noWrap/>
            <w:hideMark/>
          </w:tcPr>
          <w:p w14:paraId="7CE1ECD7" w14:textId="63ED3DF7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48</w:t>
            </w:r>
          </w:p>
        </w:tc>
        <w:tc>
          <w:tcPr>
            <w:tcW w:w="1347" w:type="dxa"/>
            <w:noWrap/>
            <w:hideMark/>
          </w:tcPr>
          <w:p w14:paraId="0247E3AE" w14:textId="03EE231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</w:t>
            </w:r>
          </w:p>
        </w:tc>
        <w:tc>
          <w:tcPr>
            <w:tcW w:w="992" w:type="dxa"/>
            <w:noWrap/>
            <w:hideMark/>
          </w:tcPr>
          <w:p w14:paraId="1AF62929" w14:textId="66142AE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7095BE0B" w14:textId="4CAE1BB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</w:tr>
      <w:tr w:rsidR="00976459" w:rsidRPr="00F108EC" w14:paraId="006510B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10290ED" w14:textId="011874C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Legal Practice Board</w:t>
            </w:r>
          </w:p>
        </w:tc>
        <w:tc>
          <w:tcPr>
            <w:tcW w:w="1347" w:type="dxa"/>
            <w:noWrap/>
            <w:hideMark/>
          </w:tcPr>
          <w:p w14:paraId="6A7EB474" w14:textId="3E9F22D6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47</w:t>
            </w:r>
          </w:p>
        </w:tc>
        <w:tc>
          <w:tcPr>
            <w:tcW w:w="1347" w:type="dxa"/>
            <w:noWrap/>
            <w:hideMark/>
          </w:tcPr>
          <w:p w14:paraId="19DDB69C" w14:textId="290AB63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45</w:t>
            </w:r>
          </w:p>
        </w:tc>
        <w:tc>
          <w:tcPr>
            <w:tcW w:w="992" w:type="dxa"/>
            <w:noWrap/>
            <w:hideMark/>
          </w:tcPr>
          <w:p w14:paraId="69B34ACC" w14:textId="033F5A5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968" w:type="dxa"/>
            <w:noWrap/>
            <w:hideMark/>
          </w:tcPr>
          <w:p w14:paraId="1E4962EE" w14:textId="3B5724F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</w:tr>
      <w:tr w:rsidR="00976459" w:rsidRPr="00F108EC" w14:paraId="5A2942A1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403FF90E" w14:textId="0DADBD8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National Trust of Australia (W.A.)</w:t>
            </w:r>
          </w:p>
        </w:tc>
        <w:tc>
          <w:tcPr>
            <w:tcW w:w="1347" w:type="dxa"/>
            <w:noWrap/>
            <w:hideMark/>
          </w:tcPr>
          <w:p w14:paraId="7142521F" w14:textId="72DB8EF7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39</w:t>
            </w:r>
          </w:p>
        </w:tc>
        <w:tc>
          <w:tcPr>
            <w:tcW w:w="1347" w:type="dxa"/>
            <w:noWrap/>
            <w:hideMark/>
          </w:tcPr>
          <w:p w14:paraId="185554CB" w14:textId="20B2DB6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</w:t>
            </w:r>
          </w:p>
        </w:tc>
        <w:tc>
          <w:tcPr>
            <w:tcW w:w="992" w:type="dxa"/>
            <w:noWrap/>
            <w:hideMark/>
          </w:tcPr>
          <w:p w14:paraId="1CA2A805" w14:textId="3B82930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27148B1B" w14:textId="5EC865EB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976459" w:rsidRPr="00F108EC" w14:paraId="58A8B06D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BEE00B0" w14:textId="5A6EBB7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Construction Training Fund</w:t>
            </w:r>
          </w:p>
        </w:tc>
        <w:tc>
          <w:tcPr>
            <w:tcW w:w="1347" w:type="dxa"/>
            <w:noWrap/>
            <w:hideMark/>
          </w:tcPr>
          <w:p w14:paraId="749D56D9" w14:textId="3D1FB51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35</w:t>
            </w:r>
          </w:p>
        </w:tc>
        <w:tc>
          <w:tcPr>
            <w:tcW w:w="1347" w:type="dxa"/>
            <w:noWrap/>
            <w:hideMark/>
          </w:tcPr>
          <w:p w14:paraId="5319A6DC" w14:textId="65DDE82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34</w:t>
            </w:r>
          </w:p>
        </w:tc>
        <w:tc>
          <w:tcPr>
            <w:tcW w:w="992" w:type="dxa"/>
            <w:noWrap/>
            <w:hideMark/>
          </w:tcPr>
          <w:p w14:paraId="1A2332A5" w14:textId="484CD22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535AACEC" w14:textId="5F233B7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</w:tr>
      <w:tr w:rsidR="00976459" w:rsidRPr="00F108EC" w14:paraId="242B7B1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A852581" w14:textId="441E5CE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MyLeave</w:t>
            </w:r>
            <w:proofErr w:type="spellEnd"/>
          </w:p>
        </w:tc>
        <w:tc>
          <w:tcPr>
            <w:tcW w:w="1347" w:type="dxa"/>
            <w:noWrap/>
            <w:hideMark/>
          </w:tcPr>
          <w:p w14:paraId="40FCB2E2" w14:textId="67263B34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28</w:t>
            </w:r>
          </w:p>
        </w:tc>
        <w:tc>
          <w:tcPr>
            <w:tcW w:w="1347" w:type="dxa"/>
            <w:noWrap/>
            <w:hideMark/>
          </w:tcPr>
          <w:p w14:paraId="39676CF5" w14:textId="41D24DB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</w:t>
            </w:r>
          </w:p>
        </w:tc>
        <w:tc>
          <w:tcPr>
            <w:tcW w:w="992" w:type="dxa"/>
            <w:noWrap/>
            <w:hideMark/>
          </w:tcPr>
          <w:p w14:paraId="4FCBB936" w14:textId="5F0922E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558D2E06" w14:textId="3B3657C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</w:tr>
      <w:tr w:rsidR="00976459" w:rsidRPr="00F108EC" w14:paraId="0211A93E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31EE6B2" w14:textId="3AEFD5A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Western Australian Meat Industry Authority</w:t>
            </w:r>
          </w:p>
        </w:tc>
        <w:tc>
          <w:tcPr>
            <w:tcW w:w="1347" w:type="dxa"/>
            <w:noWrap/>
            <w:hideMark/>
          </w:tcPr>
          <w:p w14:paraId="4385085D" w14:textId="7F85EAB0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27</w:t>
            </w:r>
          </w:p>
        </w:tc>
        <w:tc>
          <w:tcPr>
            <w:tcW w:w="1347" w:type="dxa"/>
            <w:noWrap/>
            <w:hideMark/>
          </w:tcPr>
          <w:p w14:paraId="619EBF7C" w14:textId="61C9706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</w:t>
            </w:r>
          </w:p>
        </w:tc>
        <w:tc>
          <w:tcPr>
            <w:tcW w:w="992" w:type="dxa"/>
            <w:noWrap/>
            <w:hideMark/>
          </w:tcPr>
          <w:p w14:paraId="2224E0E0" w14:textId="15BE3EB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968" w:type="dxa"/>
            <w:noWrap/>
            <w:hideMark/>
          </w:tcPr>
          <w:p w14:paraId="7BD3A945" w14:textId="413F528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</w:tr>
      <w:tr w:rsidR="00976459" w:rsidRPr="00F108EC" w14:paraId="2445FF01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A9655A9" w14:textId="0BA2454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Health and Disability Services Complaints Office</w:t>
            </w:r>
          </w:p>
        </w:tc>
        <w:tc>
          <w:tcPr>
            <w:tcW w:w="1347" w:type="dxa"/>
            <w:noWrap/>
            <w:hideMark/>
          </w:tcPr>
          <w:p w14:paraId="74611FB1" w14:textId="57E2A20D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23</w:t>
            </w:r>
          </w:p>
        </w:tc>
        <w:tc>
          <w:tcPr>
            <w:tcW w:w="1347" w:type="dxa"/>
            <w:noWrap/>
            <w:hideMark/>
          </w:tcPr>
          <w:p w14:paraId="4D09BE6A" w14:textId="538C260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992" w:type="dxa"/>
            <w:noWrap/>
            <w:hideMark/>
          </w:tcPr>
          <w:p w14:paraId="09DABEC1" w14:textId="5B5DD24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  <w:tc>
          <w:tcPr>
            <w:tcW w:w="968" w:type="dxa"/>
            <w:noWrap/>
            <w:hideMark/>
          </w:tcPr>
          <w:p w14:paraId="27D4A837" w14:textId="500F223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976459" w:rsidRPr="00F108EC" w14:paraId="7B200019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2C54859B" w14:textId="761C3AE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lastRenderedPageBreak/>
              <w:t>Infrastructure WA</w:t>
            </w:r>
          </w:p>
        </w:tc>
        <w:tc>
          <w:tcPr>
            <w:tcW w:w="1347" w:type="dxa"/>
            <w:noWrap/>
            <w:hideMark/>
          </w:tcPr>
          <w:p w14:paraId="419666A5" w14:textId="70726C6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21</w:t>
            </w:r>
          </w:p>
        </w:tc>
        <w:tc>
          <w:tcPr>
            <w:tcW w:w="1347" w:type="dxa"/>
            <w:noWrap/>
            <w:hideMark/>
          </w:tcPr>
          <w:p w14:paraId="41ECB1E4" w14:textId="06714E7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</w:t>
            </w:r>
          </w:p>
        </w:tc>
        <w:tc>
          <w:tcPr>
            <w:tcW w:w="992" w:type="dxa"/>
            <w:noWrap/>
            <w:hideMark/>
          </w:tcPr>
          <w:p w14:paraId="30714B86" w14:textId="7064140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968" w:type="dxa"/>
            <w:noWrap/>
            <w:hideMark/>
          </w:tcPr>
          <w:p w14:paraId="056B2967" w14:textId="11834B3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976459" w:rsidRPr="00F108EC" w14:paraId="5B2A7C4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5B0BB51" w14:textId="3F9C016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Office of the Inspector of Custodial Services</w:t>
            </w:r>
          </w:p>
        </w:tc>
        <w:tc>
          <w:tcPr>
            <w:tcW w:w="1347" w:type="dxa"/>
            <w:noWrap/>
            <w:hideMark/>
          </w:tcPr>
          <w:p w14:paraId="380ECC32" w14:textId="090D4E5F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19</w:t>
            </w:r>
          </w:p>
        </w:tc>
        <w:tc>
          <w:tcPr>
            <w:tcW w:w="1347" w:type="dxa"/>
            <w:noWrap/>
            <w:hideMark/>
          </w:tcPr>
          <w:p w14:paraId="2ABC75BA" w14:textId="11F11E6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  <w:tc>
          <w:tcPr>
            <w:tcW w:w="992" w:type="dxa"/>
            <w:noWrap/>
            <w:hideMark/>
          </w:tcPr>
          <w:p w14:paraId="1AFD3910" w14:textId="49D4058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7F82E224" w14:textId="490C7B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</w:tr>
      <w:tr w:rsidR="00976459" w:rsidRPr="00F108EC" w14:paraId="163A9CE6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7EEC414" w14:textId="796FC6C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Metropolitan Redevelopment Authority</w:t>
            </w:r>
          </w:p>
        </w:tc>
        <w:tc>
          <w:tcPr>
            <w:tcW w:w="1347" w:type="dxa"/>
            <w:noWrap/>
            <w:hideMark/>
          </w:tcPr>
          <w:p w14:paraId="6DE4F8A6" w14:textId="5E6B3F6B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17</w:t>
            </w:r>
          </w:p>
        </w:tc>
        <w:tc>
          <w:tcPr>
            <w:tcW w:w="1347" w:type="dxa"/>
            <w:noWrap/>
            <w:hideMark/>
          </w:tcPr>
          <w:p w14:paraId="0423D9CA" w14:textId="12C39C6F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992" w:type="dxa"/>
            <w:noWrap/>
            <w:hideMark/>
          </w:tcPr>
          <w:p w14:paraId="6E66D9FF" w14:textId="5A04BDB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  <w:tc>
          <w:tcPr>
            <w:tcW w:w="968" w:type="dxa"/>
            <w:noWrap/>
            <w:hideMark/>
          </w:tcPr>
          <w:p w14:paraId="7AC5EDA4" w14:textId="12FB2B48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976459" w:rsidRPr="00F108EC" w14:paraId="030F89F1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61A1E1D2" w14:textId="592CA72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Office of the Information Commissioner</w:t>
            </w:r>
          </w:p>
        </w:tc>
        <w:tc>
          <w:tcPr>
            <w:tcW w:w="1347" w:type="dxa"/>
            <w:noWrap/>
            <w:hideMark/>
          </w:tcPr>
          <w:p w14:paraId="1A610CF5" w14:textId="5F4724F2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16</w:t>
            </w:r>
          </w:p>
        </w:tc>
        <w:tc>
          <w:tcPr>
            <w:tcW w:w="1347" w:type="dxa"/>
            <w:noWrap/>
            <w:hideMark/>
          </w:tcPr>
          <w:p w14:paraId="183ADA6A" w14:textId="7BE02FA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</w:t>
            </w:r>
          </w:p>
        </w:tc>
        <w:tc>
          <w:tcPr>
            <w:tcW w:w="992" w:type="dxa"/>
            <w:noWrap/>
            <w:hideMark/>
          </w:tcPr>
          <w:p w14:paraId="24D9CBF5" w14:textId="1B40293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968" w:type="dxa"/>
            <w:noWrap/>
            <w:hideMark/>
          </w:tcPr>
          <w:p w14:paraId="5272395D" w14:textId="402904B5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</w:tr>
      <w:tr w:rsidR="00976459" w:rsidRPr="00F108EC" w14:paraId="6C55F9B5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062B9E46" w14:textId="090131D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Commissioner for Children and Young People</w:t>
            </w:r>
          </w:p>
        </w:tc>
        <w:tc>
          <w:tcPr>
            <w:tcW w:w="1347" w:type="dxa"/>
            <w:noWrap/>
            <w:hideMark/>
          </w:tcPr>
          <w:p w14:paraId="52638DFE" w14:textId="24B2C8FD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13</w:t>
            </w:r>
          </w:p>
        </w:tc>
        <w:tc>
          <w:tcPr>
            <w:tcW w:w="1347" w:type="dxa"/>
            <w:noWrap/>
            <w:hideMark/>
          </w:tcPr>
          <w:p w14:paraId="504B1A56" w14:textId="09C8FB0E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</w:t>
            </w:r>
          </w:p>
        </w:tc>
        <w:tc>
          <w:tcPr>
            <w:tcW w:w="992" w:type="dxa"/>
            <w:noWrap/>
            <w:hideMark/>
          </w:tcPr>
          <w:p w14:paraId="6C3E3453" w14:textId="74BEADD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968" w:type="dxa"/>
            <w:noWrap/>
            <w:hideMark/>
          </w:tcPr>
          <w:p w14:paraId="296A4140" w14:textId="08D33E4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</w:tr>
      <w:tr w:rsidR="00976459" w:rsidRPr="00F108EC" w14:paraId="18D59D3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39597D34" w14:textId="31E6759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Burswood Park Board</w:t>
            </w:r>
          </w:p>
        </w:tc>
        <w:tc>
          <w:tcPr>
            <w:tcW w:w="1347" w:type="dxa"/>
            <w:noWrap/>
            <w:hideMark/>
          </w:tcPr>
          <w:p w14:paraId="392515D3" w14:textId="4520EC2A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12</w:t>
            </w:r>
          </w:p>
        </w:tc>
        <w:tc>
          <w:tcPr>
            <w:tcW w:w="1347" w:type="dxa"/>
            <w:noWrap/>
            <w:hideMark/>
          </w:tcPr>
          <w:p w14:paraId="5EC302A3" w14:textId="720B489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</w:t>
            </w:r>
          </w:p>
        </w:tc>
        <w:tc>
          <w:tcPr>
            <w:tcW w:w="992" w:type="dxa"/>
            <w:noWrap/>
            <w:hideMark/>
          </w:tcPr>
          <w:p w14:paraId="7A490FE3" w14:textId="44E4B14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  <w:tc>
          <w:tcPr>
            <w:tcW w:w="968" w:type="dxa"/>
            <w:noWrap/>
            <w:hideMark/>
          </w:tcPr>
          <w:p w14:paraId="5FF36E26" w14:textId="6789934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</w:t>
            </w:r>
          </w:p>
        </w:tc>
      </w:tr>
      <w:tr w:rsidR="00976459" w:rsidRPr="00F108EC" w14:paraId="5692DA12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5FD3905" w14:textId="165D37C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Keep Australia Beautiful WA</w:t>
            </w:r>
          </w:p>
        </w:tc>
        <w:tc>
          <w:tcPr>
            <w:tcW w:w="1347" w:type="dxa"/>
            <w:noWrap/>
            <w:hideMark/>
          </w:tcPr>
          <w:p w14:paraId="6E816030" w14:textId="1042C90F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8</w:t>
            </w:r>
          </w:p>
        </w:tc>
        <w:tc>
          <w:tcPr>
            <w:tcW w:w="1347" w:type="dxa"/>
            <w:noWrap/>
            <w:hideMark/>
          </w:tcPr>
          <w:p w14:paraId="7453F670" w14:textId="2FEC4174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  <w:tc>
          <w:tcPr>
            <w:tcW w:w="992" w:type="dxa"/>
            <w:noWrap/>
            <w:hideMark/>
          </w:tcPr>
          <w:p w14:paraId="54222132" w14:textId="7C8BB0F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968" w:type="dxa"/>
            <w:noWrap/>
            <w:hideMark/>
          </w:tcPr>
          <w:p w14:paraId="3C605467" w14:textId="7D4920C2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976459" w:rsidRPr="00F108EC" w14:paraId="59150E1A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5AC4B888" w14:textId="730030B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Minerals Research Institute of Western Australia (MRIWA)</w:t>
            </w:r>
          </w:p>
        </w:tc>
        <w:tc>
          <w:tcPr>
            <w:tcW w:w="1347" w:type="dxa"/>
            <w:noWrap/>
            <w:hideMark/>
          </w:tcPr>
          <w:p w14:paraId="47E82AFF" w14:textId="30444A17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8</w:t>
            </w:r>
          </w:p>
        </w:tc>
        <w:tc>
          <w:tcPr>
            <w:tcW w:w="1347" w:type="dxa"/>
            <w:noWrap/>
            <w:hideMark/>
          </w:tcPr>
          <w:p w14:paraId="30C66090" w14:textId="61122B2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992" w:type="dxa"/>
            <w:noWrap/>
            <w:hideMark/>
          </w:tcPr>
          <w:p w14:paraId="45734BAE" w14:textId="58895A43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732B241B" w14:textId="6BCDBA2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976459" w:rsidRPr="00F108EC" w14:paraId="261533B3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7CAE3AC" w14:textId="62A9B3A9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Veterinary Practice Board</w:t>
            </w:r>
          </w:p>
        </w:tc>
        <w:tc>
          <w:tcPr>
            <w:tcW w:w="1347" w:type="dxa"/>
            <w:noWrap/>
            <w:hideMark/>
          </w:tcPr>
          <w:p w14:paraId="5D8D0A5C" w14:textId="7003D398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6</w:t>
            </w:r>
          </w:p>
        </w:tc>
        <w:tc>
          <w:tcPr>
            <w:tcW w:w="1347" w:type="dxa"/>
            <w:noWrap/>
            <w:hideMark/>
          </w:tcPr>
          <w:p w14:paraId="06D35334" w14:textId="79FAD091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</w:t>
            </w:r>
          </w:p>
        </w:tc>
        <w:tc>
          <w:tcPr>
            <w:tcW w:w="992" w:type="dxa"/>
            <w:noWrap/>
            <w:hideMark/>
          </w:tcPr>
          <w:p w14:paraId="742B94F4" w14:textId="3E501DCC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46FE5524" w14:textId="1E46213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976459" w:rsidRPr="00F108EC" w14:paraId="544F3EF8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166D29E7" w14:textId="131B583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Architects Board of Western Australia</w:t>
            </w:r>
          </w:p>
        </w:tc>
        <w:tc>
          <w:tcPr>
            <w:tcW w:w="1347" w:type="dxa"/>
            <w:noWrap/>
            <w:hideMark/>
          </w:tcPr>
          <w:p w14:paraId="74ED4E85" w14:textId="09B90305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</w:t>
            </w:r>
          </w:p>
        </w:tc>
        <w:tc>
          <w:tcPr>
            <w:tcW w:w="1347" w:type="dxa"/>
            <w:noWrap/>
            <w:hideMark/>
          </w:tcPr>
          <w:p w14:paraId="4EEA28B8" w14:textId="626DA91A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992" w:type="dxa"/>
            <w:noWrap/>
            <w:hideMark/>
          </w:tcPr>
          <w:p w14:paraId="082903F9" w14:textId="41D5F12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968" w:type="dxa"/>
            <w:noWrap/>
            <w:hideMark/>
          </w:tcPr>
          <w:p w14:paraId="288A14DE" w14:textId="234330F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976459" w:rsidRPr="00F108EC" w14:paraId="4D707D2F" w14:textId="77777777" w:rsidTr="00F108EC">
        <w:tblPrEx>
          <w:tblBorders>
            <w:top w:val="single" w:sz="12" w:space="0" w:color="2B9947"/>
            <w:left w:val="single" w:sz="12" w:space="0" w:color="2B9947"/>
            <w:bottom w:val="single" w:sz="12" w:space="0" w:color="2B9947"/>
            <w:right w:val="single" w:sz="12" w:space="0" w:color="2B9947"/>
            <w:insideH w:val="single" w:sz="12" w:space="0" w:color="2B9947"/>
            <w:insideV w:val="single" w:sz="12" w:space="0" w:color="2B9947"/>
          </w:tblBorders>
        </w:tblPrEx>
        <w:trPr>
          <w:trHeight w:val="300"/>
        </w:trPr>
        <w:tc>
          <w:tcPr>
            <w:tcW w:w="5235" w:type="dxa"/>
            <w:noWrap/>
            <w:hideMark/>
          </w:tcPr>
          <w:p w14:paraId="7F2FA461" w14:textId="4F8E59F0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</w:pPr>
            <w:r>
              <w:t>Salaries and Allowances Tribunal</w:t>
            </w:r>
          </w:p>
        </w:tc>
        <w:tc>
          <w:tcPr>
            <w:tcW w:w="1347" w:type="dxa"/>
            <w:noWrap/>
            <w:hideMark/>
          </w:tcPr>
          <w:p w14:paraId="61C219D8" w14:textId="30CA0665" w:rsidR="00976459" w:rsidRPr="00F108EC" w:rsidRDefault="00976459" w:rsidP="00976459">
            <w:pPr>
              <w:spacing w:beforeLines="20" w:before="48" w:beforeAutospacing="0" w:afterLines="20" w:after="48"/>
              <w:jc w:val="right"/>
            </w:pPr>
            <w:r>
              <w:t>2</w:t>
            </w:r>
          </w:p>
        </w:tc>
        <w:tc>
          <w:tcPr>
            <w:tcW w:w="1347" w:type="dxa"/>
            <w:noWrap/>
            <w:hideMark/>
          </w:tcPr>
          <w:p w14:paraId="6E665001" w14:textId="0BA38ADD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</w:t>
            </w:r>
          </w:p>
        </w:tc>
        <w:tc>
          <w:tcPr>
            <w:tcW w:w="992" w:type="dxa"/>
            <w:noWrap/>
            <w:hideMark/>
          </w:tcPr>
          <w:p w14:paraId="66181CB7" w14:textId="21011047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968" w:type="dxa"/>
            <w:noWrap/>
            <w:hideMark/>
          </w:tcPr>
          <w:p w14:paraId="4612771D" w14:textId="0E51DA86" w:rsidR="00976459" w:rsidRPr="00F108EC" w:rsidRDefault="00976459" w:rsidP="00976459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</w:tbl>
    <w:p w14:paraId="6DE1E2D0" w14:textId="7E75B29E" w:rsidR="006258A2" w:rsidRPr="00142732" w:rsidRDefault="00C66375" w:rsidP="00FF6E54">
      <w:pPr>
        <w:pStyle w:val="Heading2"/>
        <w:spacing w:before="240" w:beforeAutospacing="0" w:after="120" w:afterAutospacing="0" w:line="240" w:lineRule="auto"/>
      </w:pPr>
      <w:r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FF6E54">
      <w:pPr>
        <w:pStyle w:val="Heading2"/>
        <w:spacing w:before="0" w:beforeAutospacing="0"/>
      </w:pPr>
      <w:r w:rsidRPr="00142732">
        <w:t>Contact</w:t>
      </w:r>
    </w:p>
    <w:p w14:paraId="5BF6743A" w14:textId="1877A2B1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2" w:history="1">
        <w:r w:rsidRPr="00EA7FC5">
          <w:rPr>
            <w:color w:val="2E74B5" w:themeColor="accent1" w:themeShade="BF"/>
          </w:rPr>
          <w:t>stateadministrator@psc.wa.gov.au</w:t>
        </w:r>
      </w:hyperlink>
      <w:r w:rsidR="00E1633D">
        <w:t xml:space="preserve">. </w:t>
      </w:r>
    </w:p>
    <w:sectPr w:rsidR="00C736B0" w:rsidRPr="00142732" w:rsidSect="00324BC8">
      <w:footerReference w:type="default" r:id="rId13"/>
      <w:headerReference w:type="firs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2BBD" w14:textId="77777777" w:rsidR="00D87DE0" w:rsidRDefault="00D87DE0" w:rsidP="00607466">
      <w:r>
        <w:separator/>
      </w:r>
    </w:p>
  </w:endnote>
  <w:endnote w:type="continuationSeparator" w:id="0">
    <w:p w14:paraId="68549BF0" w14:textId="77777777" w:rsidR="00D87DE0" w:rsidRDefault="00D87DE0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A66027" w:rsidRPr="00DD61C1" w:rsidRDefault="00A6602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4F39ED61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2CAB97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2F1B351A" w:rsidR="00A66027" w:rsidRPr="00DD61C1" w:rsidRDefault="00A6602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 w:rsidR="00C57D7C">
      <w:rPr>
        <w:rFonts w:ascii="Century Gothic" w:eastAsiaTheme="minorHAnsi" w:hAnsi="Century Gothic"/>
        <w:color w:val="auto"/>
        <w:sz w:val="18"/>
        <w:szCs w:val="24"/>
        <w:lang w:eastAsia="en-US"/>
      </w:rPr>
      <w:t>September</w:t>
    </w:r>
    <w:r w:rsidR="001118D7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2023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646DB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8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65B6" w14:textId="77777777" w:rsidR="00D87DE0" w:rsidRDefault="00D87DE0" w:rsidP="00607466">
      <w:r>
        <w:separator/>
      </w:r>
    </w:p>
  </w:footnote>
  <w:footnote w:type="continuationSeparator" w:id="0">
    <w:p w14:paraId="74965B00" w14:textId="77777777" w:rsidR="00D87DE0" w:rsidRDefault="00D87DE0" w:rsidP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A66027" w:rsidRDefault="00A6602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7C548777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31F"/>
    <w:multiLevelType w:val="hybridMultilevel"/>
    <w:tmpl w:val="43F46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0D77354"/>
    <w:multiLevelType w:val="hybridMultilevel"/>
    <w:tmpl w:val="5646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0BBA"/>
    <w:multiLevelType w:val="hybridMultilevel"/>
    <w:tmpl w:val="FCB41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04285"/>
    <w:multiLevelType w:val="hybridMultilevel"/>
    <w:tmpl w:val="31D88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627">
    <w:abstractNumId w:val="18"/>
  </w:num>
  <w:num w:numId="2" w16cid:durableId="205455841">
    <w:abstractNumId w:val="16"/>
  </w:num>
  <w:num w:numId="3" w16cid:durableId="1640527047">
    <w:abstractNumId w:val="6"/>
  </w:num>
  <w:num w:numId="4" w16cid:durableId="1932084160">
    <w:abstractNumId w:val="8"/>
  </w:num>
  <w:num w:numId="5" w16cid:durableId="708188947">
    <w:abstractNumId w:val="11"/>
  </w:num>
  <w:num w:numId="6" w16cid:durableId="1121999163">
    <w:abstractNumId w:val="1"/>
  </w:num>
  <w:num w:numId="7" w16cid:durableId="1009335998">
    <w:abstractNumId w:val="7"/>
  </w:num>
  <w:num w:numId="8" w16cid:durableId="1811751700">
    <w:abstractNumId w:val="12"/>
  </w:num>
  <w:num w:numId="9" w16cid:durableId="1329409340">
    <w:abstractNumId w:val="0"/>
  </w:num>
  <w:num w:numId="10" w16cid:durableId="711004170">
    <w:abstractNumId w:val="19"/>
  </w:num>
  <w:num w:numId="11" w16cid:durableId="1475757976">
    <w:abstractNumId w:val="2"/>
  </w:num>
  <w:num w:numId="12" w16cid:durableId="1256593069">
    <w:abstractNumId w:val="13"/>
  </w:num>
  <w:num w:numId="13" w16cid:durableId="189683929">
    <w:abstractNumId w:val="9"/>
  </w:num>
  <w:num w:numId="14" w16cid:durableId="551119858">
    <w:abstractNumId w:val="3"/>
  </w:num>
  <w:num w:numId="15" w16cid:durableId="1289169612">
    <w:abstractNumId w:val="4"/>
  </w:num>
  <w:num w:numId="16" w16cid:durableId="269357990">
    <w:abstractNumId w:val="15"/>
  </w:num>
  <w:num w:numId="17" w16cid:durableId="921523630">
    <w:abstractNumId w:val="5"/>
  </w:num>
  <w:num w:numId="18" w16cid:durableId="641153176">
    <w:abstractNumId w:val="10"/>
  </w:num>
  <w:num w:numId="19" w16cid:durableId="238517261">
    <w:abstractNumId w:val="14"/>
  </w:num>
  <w:num w:numId="20" w16cid:durableId="1884827410">
    <w:abstractNumId w:val="20"/>
  </w:num>
  <w:num w:numId="21" w16cid:durableId="13319852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07C1"/>
    <w:rsid w:val="00022074"/>
    <w:rsid w:val="00024274"/>
    <w:rsid w:val="00027334"/>
    <w:rsid w:val="0003049E"/>
    <w:rsid w:val="00030603"/>
    <w:rsid w:val="00034091"/>
    <w:rsid w:val="00034220"/>
    <w:rsid w:val="00035D91"/>
    <w:rsid w:val="00036DCA"/>
    <w:rsid w:val="00052DB4"/>
    <w:rsid w:val="00056D16"/>
    <w:rsid w:val="000610C7"/>
    <w:rsid w:val="000633EC"/>
    <w:rsid w:val="00066AAA"/>
    <w:rsid w:val="000670C1"/>
    <w:rsid w:val="00070C4C"/>
    <w:rsid w:val="00071A0B"/>
    <w:rsid w:val="00073448"/>
    <w:rsid w:val="00073FAA"/>
    <w:rsid w:val="00087D31"/>
    <w:rsid w:val="000903CB"/>
    <w:rsid w:val="00090CE8"/>
    <w:rsid w:val="000922E4"/>
    <w:rsid w:val="00093DCC"/>
    <w:rsid w:val="00096972"/>
    <w:rsid w:val="000A3161"/>
    <w:rsid w:val="000A6CFF"/>
    <w:rsid w:val="000B1091"/>
    <w:rsid w:val="000B5B90"/>
    <w:rsid w:val="000B67A1"/>
    <w:rsid w:val="000C4D29"/>
    <w:rsid w:val="000C7180"/>
    <w:rsid w:val="000D0B9E"/>
    <w:rsid w:val="000D1422"/>
    <w:rsid w:val="000D297F"/>
    <w:rsid w:val="000D3754"/>
    <w:rsid w:val="000D7AD8"/>
    <w:rsid w:val="000E1883"/>
    <w:rsid w:val="000E1D23"/>
    <w:rsid w:val="000F6B00"/>
    <w:rsid w:val="00103AF5"/>
    <w:rsid w:val="001118D7"/>
    <w:rsid w:val="00112F25"/>
    <w:rsid w:val="00114B34"/>
    <w:rsid w:val="00115034"/>
    <w:rsid w:val="001164A8"/>
    <w:rsid w:val="00124A29"/>
    <w:rsid w:val="001272D1"/>
    <w:rsid w:val="0013168B"/>
    <w:rsid w:val="00137BAC"/>
    <w:rsid w:val="001420AB"/>
    <w:rsid w:val="00142732"/>
    <w:rsid w:val="00144419"/>
    <w:rsid w:val="001533F4"/>
    <w:rsid w:val="00155969"/>
    <w:rsid w:val="00155B99"/>
    <w:rsid w:val="00156AF1"/>
    <w:rsid w:val="0016001B"/>
    <w:rsid w:val="00160270"/>
    <w:rsid w:val="00161957"/>
    <w:rsid w:val="0016263F"/>
    <w:rsid w:val="00163AC1"/>
    <w:rsid w:val="001648F9"/>
    <w:rsid w:val="00165927"/>
    <w:rsid w:val="00166066"/>
    <w:rsid w:val="00166F9C"/>
    <w:rsid w:val="00167A36"/>
    <w:rsid w:val="00173063"/>
    <w:rsid w:val="00173395"/>
    <w:rsid w:val="00174840"/>
    <w:rsid w:val="00176402"/>
    <w:rsid w:val="001772B6"/>
    <w:rsid w:val="0017783C"/>
    <w:rsid w:val="001819FB"/>
    <w:rsid w:val="00184365"/>
    <w:rsid w:val="001943ED"/>
    <w:rsid w:val="0019442D"/>
    <w:rsid w:val="00194E7C"/>
    <w:rsid w:val="00194F4C"/>
    <w:rsid w:val="001966C0"/>
    <w:rsid w:val="001B1B01"/>
    <w:rsid w:val="001B3D81"/>
    <w:rsid w:val="001B563A"/>
    <w:rsid w:val="001C2218"/>
    <w:rsid w:val="001C2AD2"/>
    <w:rsid w:val="001C5084"/>
    <w:rsid w:val="001C7E5E"/>
    <w:rsid w:val="001D0F7C"/>
    <w:rsid w:val="001D1367"/>
    <w:rsid w:val="001D1C75"/>
    <w:rsid w:val="001D1D5D"/>
    <w:rsid w:val="001D21F5"/>
    <w:rsid w:val="001D35F8"/>
    <w:rsid w:val="001D5DEC"/>
    <w:rsid w:val="001E2493"/>
    <w:rsid w:val="001E2937"/>
    <w:rsid w:val="001F332C"/>
    <w:rsid w:val="001F3558"/>
    <w:rsid w:val="001F4612"/>
    <w:rsid w:val="001F5036"/>
    <w:rsid w:val="001F6946"/>
    <w:rsid w:val="00201696"/>
    <w:rsid w:val="00205D96"/>
    <w:rsid w:val="00220804"/>
    <w:rsid w:val="0022190A"/>
    <w:rsid w:val="00225510"/>
    <w:rsid w:val="00235732"/>
    <w:rsid w:val="00235D77"/>
    <w:rsid w:val="002366CD"/>
    <w:rsid w:val="00237216"/>
    <w:rsid w:val="002407DF"/>
    <w:rsid w:val="00243430"/>
    <w:rsid w:val="002443EF"/>
    <w:rsid w:val="0024476A"/>
    <w:rsid w:val="0024479E"/>
    <w:rsid w:val="0024639B"/>
    <w:rsid w:val="002470F4"/>
    <w:rsid w:val="002500BA"/>
    <w:rsid w:val="002506AA"/>
    <w:rsid w:val="0025175B"/>
    <w:rsid w:val="00254FD5"/>
    <w:rsid w:val="002561B4"/>
    <w:rsid w:val="00261B99"/>
    <w:rsid w:val="00262956"/>
    <w:rsid w:val="00262E0A"/>
    <w:rsid w:val="002660F9"/>
    <w:rsid w:val="00266709"/>
    <w:rsid w:val="002677BA"/>
    <w:rsid w:val="00272492"/>
    <w:rsid w:val="00272816"/>
    <w:rsid w:val="00273A8D"/>
    <w:rsid w:val="002741E8"/>
    <w:rsid w:val="0027558C"/>
    <w:rsid w:val="00276D58"/>
    <w:rsid w:val="00277CE4"/>
    <w:rsid w:val="00281C7E"/>
    <w:rsid w:val="00284476"/>
    <w:rsid w:val="002861A8"/>
    <w:rsid w:val="0029182E"/>
    <w:rsid w:val="002952BA"/>
    <w:rsid w:val="00297FF6"/>
    <w:rsid w:val="002C300F"/>
    <w:rsid w:val="002C4629"/>
    <w:rsid w:val="002D2312"/>
    <w:rsid w:val="002D4961"/>
    <w:rsid w:val="002E25E1"/>
    <w:rsid w:val="002E40BB"/>
    <w:rsid w:val="002F3AD7"/>
    <w:rsid w:val="00300820"/>
    <w:rsid w:val="00301393"/>
    <w:rsid w:val="00301C13"/>
    <w:rsid w:val="00303049"/>
    <w:rsid w:val="00303693"/>
    <w:rsid w:val="00307CD4"/>
    <w:rsid w:val="0031286C"/>
    <w:rsid w:val="003157D6"/>
    <w:rsid w:val="003167AF"/>
    <w:rsid w:val="00323411"/>
    <w:rsid w:val="003239DA"/>
    <w:rsid w:val="00324BC8"/>
    <w:rsid w:val="00327D17"/>
    <w:rsid w:val="00333619"/>
    <w:rsid w:val="003336F7"/>
    <w:rsid w:val="003401E6"/>
    <w:rsid w:val="003444F2"/>
    <w:rsid w:val="00344738"/>
    <w:rsid w:val="0034676E"/>
    <w:rsid w:val="00350690"/>
    <w:rsid w:val="00353B63"/>
    <w:rsid w:val="0035762C"/>
    <w:rsid w:val="00360B0E"/>
    <w:rsid w:val="00361907"/>
    <w:rsid w:val="00362E86"/>
    <w:rsid w:val="00366958"/>
    <w:rsid w:val="00366ECE"/>
    <w:rsid w:val="00370A08"/>
    <w:rsid w:val="00370A3C"/>
    <w:rsid w:val="00372658"/>
    <w:rsid w:val="00373FD9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A6A05"/>
    <w:rsid w:val="003B5090"/>
    <w:rsid w:val="003B67F9"/>
    <w:rsid w:val="003B7136"/>
    <w:rsid w:val="003B73FF"/>
    <w:rsid w:val="003B74DA"/>
    <w:rsid w:val="003D4484"/>
    <w:rsid w:val="003D4C38"/>
    <w:rsid w:val="003D7A87"/>
    <w:rsid w:val="003E1971"/>
    <w:rsid w:val="003E1A9C"/>
    <w:rsid w:val="003E40AB"/>
    <w:rsid w:val="003E5358"/>
    <w:rsid w:val="003E6D70"/>
    <w:rsid w:val="003F0A06"/>
    <w:rsid w:val="003F109B"/>
    <w:rsid w:val="003F1D50"/>
    <w:rsid w:val="003F31B7"/>
    <w:rsid w:val="003F3BE7"/>
    <w:rsid w:val="003F5010"/>
    <w:rsid w:val="003F5682"/>
    <w:rsid w:val="00402C29"/>
    <w:rsid w:val="00403A6B"/>
    <w:rsid w:val="00405CAE"/>
    <w:rsid w:val="00406171"/>
    <w:rsid w:val="00406B35"/>
    <w:rsid w:val="0040733D"/>
    <w:rsid w:val="0040739E"/>
    <w:rsid w:val="0040746E"/>
    <w:rsid w:val="00415527"/>
    <w:rsid w:val="0041564A"/>
    <w:rsid w:val="00417961"/>
    <w:rsid w:val="00417AF6"/>
    <w:rsid w:val="00423313"/>
    <w:rsid w:val="00425F5A"/>
    <w:rsid w:val="004309BB"/>
    <w:rsid w:val="004338CC"/>
    <w:rsid w:val="004375DD"/>
    <w:rsid w:val="0044026E"/>
    <w:rsid w:val="0044046D"/>
    <w:rsid w:val="00442770"/>
    <w:rsid w:val="00443D3E"/>
    <w:rsid w:val="004449CA"/>
    <w:rsid w:val="00446A3F"/>
    <w:rsid w:val="00451D50"/>
    <w:rsid w:val="004522BF"/>
    <w:rsid w:val="00455B8B"/>
    <w:rsid w:val="004560E9"/>
    <w:rsid w:val="004619AD"/>
    <w:rsid w:val="0046768C"/>
    <w:rsid w:val="00470068"/>
    <w:rsid w:val="004704B6"/>
    <w:rsid w:val="00475B2E"/>
    <w:rsid w:val="00480722"/>
    <w:rsid w:val="00484458"/>
    <w:rsid w:val="00491065"/>
    <w:rsid w:val="004939BE"/>
    <w:rsid w:val="00495618"/>
    <w:rsid w:val="004970D8"/>
    <w:rsid w:val="0049790C"/>
    <w:rsid w:val="004A3184"/>
    <w:rsid w:val="004B0540"/>
    <w:rsid w:val="004B1A28"/>
    <w:rsid w:val="004B4E73"/>
    <w:rsid w:val="004B5374"/>
    <w:rsid w:val="004B5A06"/>
    <w:rsid w:val="004C1114"/>
    <w:rsid w:val="004C7EDF"/>
    <w:rsid w:val="004D0D70"/>
    <w:rsid w:val="004D0F80"/>
    <w:rsid w:val="004D1F4A"/>
    <w:rsid w:val="004D2D10"/>
    <w:rsid w:val="004D67BF"/>
    <w:rsid w:val="004E0D93"/>
    <w:rsid w:val="004E0EE5"/>
    <w:rsid w:val="004E52A9"/>
    <w:rsid w:val="00500F12"/>
    <w:rsid w:val="00504075"/>
    <w:rsid w:val="00504646"/>
    <w:rsid w:val="0050478D"/>
    <w:rsid w:val="00510811"/>
    <w:rsid w:val="005111CC"/>
    <w:rsid w:val="0051632C"/>
    <w:rsid w:val="005164C9"/>
    <w:rsid w:val="00517FE7"/>
    <w:rsid w:val="005211EB"/>
    <w:rsid w:val="00523436"/>
    <w:rsid w:val="00526D6D"/>
    <w:rsid w:val="00537716"/>
    <w:rsid w:val="00540BCC"/>
    <w:rsid w:val="005430B9"/>
    <w:rsid w:val="00557AF6"/>
    <w:rsid w:val="00557EEB"/>
    <w:rsid w:val="00562226"/>
    <w:rsid w:val="005660CE"/>
    <w:rsid w:val="0056675A"/>
    <w:rsid w:val="00566F6A"/>
    <w:rsid w:val="00572E33"/>
    <w:rsid w:val="00576493"/>
    <w:rsid w:val="00576C5C"/>
    <w:rsid w:val="0058055E"/>
    <w:rsid w:val="0058211D"/>
    <w:rsid w:val="00583006"/>
    <w:rsid w:val="00590449"/>
    <w:rsid w:val="005939B5"/>
    <w:rsid w:val="00593DB6"/>
    <w:rsid w:val="0059550D"/>
    <w:rsid w:val="005A0512"/>
    <w:rsid w:val="005A2B23"/>
    <w:rsid w:val="005A6E16"/>
    <w:rsid w:val="005B22C8"/>
    <w:rsid w:val="005B7B66"/>
    <w:rsid w:val="005C054C"/>
    <w:rsid w:val="005C4AC3"/>
    <w:rsid w:val="005C5C7B"/>
    <w:rsid w:val="005C79A8"/>
    <w:rsid w:val="005D4604"/>
    <w:rsid w:val="005D7B2A"/>
    <w:rsid w:val="005E0E6E"/>
    <w:rsid w:val="005E2237"/>
    <w:rsid w:val="005E235C"/>
    <w:rsid w:val="005E38F4"/>
    <w:rsid w:val="005E5722"/>
    <w:rsid w:val="005E68B2"/>
    <w:rsid w:val="005E7A49"/>
    <w:rsid w:val="005F66C6"/>
    <w:rsid w:val="006021C4"/>
    <w:rsid w:val="0060329E"/>
    <w:rsid w:val="00603666"/>
    <w:rsid w:val="0060392D"/>
    <w:rsid w:val="006062AB"/>
    <w:rsid w:val="0060725F"/>
    <w:rsid w:val="00607466"/>
    <w:rsid w:val="006122AC"/>
    <w:rsid w:val="00613088"/>
    <w:rsid w:val="00622D0C"/>
    <w:rsid w:val="00623A1B"/>
    <w:rsid w:val="006258A2"/>
    <w:rsid w:val="006369EB"/>
    <w:rsid w:val="00637B41"/>
    <w:rsid w:val="006472D5"/>
    <w:rsid w:val="00647C0A"/>
    <w:rsid w:val="006542A7"/>
    <w:rsid w:val="0065446D"/>
    <w:rsid w:val="0066429F"/>
    <w:rsid w:val="00664DAC"/>
    <w:rsid w:val="00665B90"/>
    <w:rsid w:val="00677EE7"/>
    <w:rsid w:val="0068110F"/>
    <w:rsid w:val="0068227C"/>
    <w:rsid w:val="00684AFE"/>
    <w:rsid w:val="006908B0"/>
    <w:rsid w:val="006926A7"/>
    <w:rsid w:val="006961F2"/>
    <w:rsid w:val="006A2B08"/>
    <w:rsid w:val="006A5FF7"/>
    <w:rsid w:val="006B0093"/>
    <w:rsid w:val="006B2D39"/>
    <w:rsid w:val="006B3054"/>
    <w:rsid w:val="006B44BD"/>
    <w:rsid w:val="006C2116"/>
    <w:rsid w:val="006C5CBE"/>
    <w:rsid w:val="006D3B95"/>
    <w:rsid w:val="006D4389"/>
    <w:rsid w:val="006D445E"/>
    <w:rsid w:val="006D595F"/>
    <w:rsid w:val="006D614E"/>
    <w:rsid w:val="006E4698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6F26"/>
    <w:rsid w:val="0072796E"/>
    <w:rsid w:val="00727EE6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28A9"/>
    <w:rsid w:val="00763D60"/>
    <w:rsid w:val="00764B0B"/>
    <w:rsid w:val="00772517"/>
    <w:rsid w:val="00775186"/>
    <w:rsid w:val="007817B0"/>
    <w:rsid w:val="00782C87"/>
    <w:rsid w:val="00785C66"/>
    <w:rsid w:val="00785CF3"/>
    <w:rsid w:val="007922A5"/>
    <w:rsid w:val="00792A3A"/>
    <w:rsid w:val="007947EA"/>
    <w:rsid w:val="0079537F"/>
    <w:rsid w:val="00796580"/>
    <w:rsid w:val="007A6956"/>
    <w:rsid w:val="007B3317"/>
    <w:rsid w:val="007B372C"/>
    <w:rsid w:val="007B4FC7"/>
    <w:rsid w:val="007C05E6"/>
    <w:rsid w:val="007C147E"/>
    <w:rsid w:val="007C5210"/>
    <w:rsid w:val="007D15D8"/>
    <w:rsid w:val="007D31EE"/>
    <w:rsid w:val="007D4DB2"/>
    <w:rsid w:val="007D74F4"/>
    <w:rsid w:val="007E0645"/>
    <w:rsid w:val="007E2B6C"/>
    <w:rsid w:val="007E5220"/>
    <w:rsid w:val="007E6A33"/>
    <w:rsid w:val="007F2DA5"/>
    <w:rsid w:val="007F4DB2"/>
    <w:rsid w:val="007F6B9B"/>
    <w:rsid w:val="008035E6"/>
    <w:rsid w:val="00803B35"/>
    <w:rsid w:val="00807AB4"/>
    <w:rsid w:val="00807C0C"/>
    <w:rsid w:val="008147D5"/>
    <w:rsid w:val="00814D13"/>
    <w:rsid w:val="00820973"/>
    <w:rsid w:val="00822699"/>
    <w:rsid w:val="0082329E"/>
    <w:rsid w:val="00826F9F"/>
    <w:rsid w:val="00835C76"/>
    <w:rsid w:val="008374F7"/>
    <w:rsid w:val="00841678"/>
    <w:rsid w:val="008451CE"/>
    <w:rsid w:val="00852838"/>
    <w:rsid w:val="00855F16"/>
    <w:rsid w:val="00864BC2"/>
    <w:rsid w:val="008750E6"/>
    <w:rsid w:val="00880F9C"/>
    <w:rsid w:val="0088303B"/>
    <w:rsid w:val="00884B91"/>
    <w:rsid w:val="00893864"/>
    <w:rsid w:val="008A3CCD"/>
    <w:rsid w:val="008A73CD"/>
    <w:rsid w:val="008B0478"/>
    <w:rsid w:val="008B0C87"/>
    <w:rsid w:val="008B2549"/>
    <w:rsid w:val="008B61E4"/>
    <w:rsid w:val="008B64B5"/>
    <w:rsid w:val="008C345A"/>
    <w:rsid w:val="008E1087"/>
    <w:rsid w:val="008E2E47"/>
    <w:rsid w:val="008E60DB"/>
    <w:rsid w:val="008E6FDA"/>
    <w:rsid w:val="008E78FE"/>
    <w:rsid w:val="008F0DDE"/>
    <w:rsid w:val="008F67C0"/>
    <w:rsid w:val="008F7AA5"/>
    <w:rsid w:val="0090220D"/>
    <w:rsid w:val="00903FC6"/>
    <w:rsid w:val="00904528"/>
    <w:rsid w:val="00904564"/>
    <w:rsid w:val="00905088"/>
    <w:rsid w:val="00906918"/>
    <w:rsid w:val="00917C55"/>
    <w:rsid w:val="00921487"/>
    <w:rsid w:val="009228C1"/>
    <w:rsid w:val="00925062"/>
    <w:rsid w:val="0092508A"/>
    <w:rsid w:val="00926AAB"/>
    <w:rsid w:val="00931992"/>
    <w:rsid w:val="009348F3"/>
    <w:rsid w:val="009365AA"/>
    <w:rsid w:val="00943959"/>
    <w:rsid w:val="009453B8"/>
    <w:rsid w:val="009464A3"/>
    <w:rsid w:val="00952CFF"/>
    <w:rsid w:val="00955AD6"/>
    <w:rsid w:val="00956B01"/>
    <w:rsid w:val="0096722E"/>
    <w:rsid w:val="00967C58"/>
    <w:rsid w:val="00972AB7"/>
    <w:rsid w:val="00974DEC"/>
    <w:rsid w:val="00976459"/>
    <w:rsid w:val="00981050"/>
    <w:rsid w:val="009839E8"/>
    <w:rsid w:val="00983E85"/>
    <w:rsid w:val="00984657"/>
    <w:rsid w:val="009871F6"/>
    <w:rsid w:val="00987BF2"/>
    <w:rsid w:val="00992D51"/>
    <w:rsid w:val="00994760"/>
    <w:rsid w:val="0099607C"/>
    <w:rsid w:val="00997333"/>
    <w:rsid w:val="009A2073"/>
    <w:rsid w:val="009A60E3"/>
    <w:rsid w:val="009B3DAD"/>
    <w:rsid w:val="009B62B3"/>
    <w:rsid w:val="009B75CD"/>
    <w:rsid w:val="009C012D"/>
    <w:rsid w:val="009C0E44"/>
    <w:rsid w:val="009C28B3"/>
    <w:rsid w:val="009D1E82"/>
    <w:rsid w:val="009D43F4"/>
    <w:rsid w:val="009D4B14"/>
    <w:rsid w:val="009D4F20"/>
    <w:rsid w:val="009D5A65"/>
    <w:rsid w:val="009D7A62"/>
    <w:rsid w:val="009F2188"/>
    <w:rsid w:val="009F4EF3"/>
    <w:rsid w:val="009F516F"/>
    <w:rsid w:val="009F5326"/>
    <w:rsid w:val="009F7BC7"/>
    <w:rsid w:val="00A02813"/>
    <w:rsid w:val="00A03D1D"/>
    <w:rsid w:val="00A04729"/>
    <w:rsid w:val="00A07A2A"/>
    <w:rsid w:val="00A112D3"/>
    <w:rsid w:val="00A112DD"/>
    <w:rsid w:val="00A14B65"/>
    <w:rsid w:val="00A14F67"/>
    <w:rsid w:val="00A21ABE"/>
    <w:rsid w:val="00A257CB"/>
    <w:rsid w:val="00A25DC0"/>
    <w:rsid w:val="00A26E99"/>
    <w:rsid w:val="00A33D96"/>
    <w:rsid w:val="00A34253"/>
    <w:rsid w:val="00A35F89"/>
    <w:rsid w:val="00A40195"/>
    <w:rsid w:val="00A41CC5"/>
    <w:rsid w:val="00A4444D"/>
    <w:rsid w:val="00A467BB"/>
    <w:rsid w:val="00A5247E"/>
    <w:rsid w:val="00A52697"/>
    <w:rsid w:val="00A60109"/>
    <w:rsid w:val="00A60D4F"/>
    <w:rsid w:val="00A60D76"/>
    <w:rsid w:val="00A60E5F"/>
    <w:rsid w:val="00A61904"/>
    <w:rsid w:val="00A64506"/>
    <w:rsid w:val="00A646DB"/>
    <w:rsid w:val="00A66027"/>
    <w:rsid w:val="00A67125"/>
    <w:rsid w:val="00A70646"/>
    <w:rsid w:val="00A72C02"/>
    <w:rsid w:val="00A73995"/>
    <w:rsid w:val="00A7781C"/>
    <w:rsid w:val="00A81B43"/>
    <w:rsid w:val="00A87B49"/>
    <w:rsid w:val="00A9236C"/>
    <w:rsid w:val="00A966F1"/>
    <w:rsid w:val="00A969C2"/>
    <w:rsid w:val="00A97B50"/>
    <w:rsid w:val="00AA0B53"/>
    <w:rsid w:val="00AA1998"/>
    <w:rsid w:val="00AA5212"/>
    <w:rsid w:val="00AB1F70"/>
    <w:rsid w:val="00AB64E8"/>
    <w:rsid w:val="00AC4B44"/>
    <w:rsid w:val="00AD57A5"/>
    <w:rsid w:val="00AD7474"/>
    <w:rsid w:val="00AE23DF"/>
    <w:rsid w:val="00AE35DD"/>
    <w:rsid w:val="00AE5150"/>
    <w:rsid w:val="00AE52D2"/>
    <w:rsid w:val="00AF27DE"/>
    <w:rsid w:val="00AF4110"/>
    <w:rsid w:val="00AF6C37"/>
    <w:rsid w:val="00AF7A0D"/>
    <w:rsid w:val="00AF7ABC"/>
    <w:rsid w:val="00B043C4"/>
    <w:rsid w:val="00B05E23"/>
    <w:rsid w:val="00B06FAD"/>
    <w:rsid w:val="00B07157"/>
    <w:rsid w:val="00B12D35"/>
    <w:rsid w:val="00B22A8E"/>
    <w:rsid w:val="00B271FA"/>
    <w:rsid w:val="00B302DE"/>
    <w:rsid w:val="00B316D7"/>
    <w:rsid w:val="00B456EB"/>
    <w:rsid w:val="00B4588C"/>
    <w:rsid w:val="00B547E5"/>
    <w:rsid w:val="00B54C21"/>
    <w:rsid w:val="00B563B1"/>
    <w:rsid w:val="00B57116"/>
    <w:rsid w:val="00B62A5F"/>
    <w:rsid w:val="00B62D66"/>
    <w:rsid w:val="00B728CC"/>
    <w:rsid w:val="00B72D78"/>
    <w:rsid w:val="00B73D1B"/>
    <w:rsid w:val="00B7476C"/>
    <w:rsid w:val="00B75F29"/>
    <w:rsid w:val="00B76B6F"/>
    <w:rsid w:val="00B76FBB"/>
    <w:rsid w:val="00B800D1"/>
    <w:rsid w:val="00B83360"/>
    <w:rsid w:val="00B91CED"/>
    <w:rsid w:val="00B92A2D"/>
    <w:rsid w:val="00B93932"/>
    <w:rsid w:val="00B945A7"/>
    <w:rsid w:val="00B97653"/>
    <w:rsid w:val="00BA12D6"/>
    <w:rsid w:val="00BA26FE"/>
    <w:rsid w:val="00BA5DD5"/>
    <w:rsid w:val="00BB1612"/>
    <w:rsid w:val="00BB3594"/>
    <w:rsid w:val="00BB499B"/>
    <w:rsid w:val="00BB74E6"/>
    <w:rsid w:val="00BC2116"/>
    <w:rsid w:val="00BC6761"/>
    <w:rsid w:val="00BC6983"/>
    <w:rsid w:val="00BD092D"/>
    <w:rsid w:val="00BD2AF5"/>
    <w:rsid w:val="00BD55E1"/>
    <w:rsid w:val="00BD7270"/>
    <w:rsid w:val="00BE086E"/>
    <w:rsid w:val="00BE1E48"/>
    <w:rsid w:val="00BE223B"/>
    <w:rsid w:val="00BF3D4D"/>
    <w:rsid w:val="00BF3EA4"/>
    <w:rsid w:val="00BF4A87"/>
    <w:rsid w:val="00BF5262"/>
    <w:rsid w:val="00BF7A90"/>
    <w:rsid w:val="00C050EB"/>
    <w:rsid w:val="00C05B59"/>
    <w:rsid w:val="00C07157"/>
    <w:rsid w:val="00C13BC1"/>
    <w:rsid w:val="00C14672"/>
    <w:rsid w:val="00C338E1"/>
    <w:rsid w:val="00C36EDA"/>
    <w:rsid w:val="00C37C7D"/>
    <w:rsid w:val="00C40167"/>
    <w:rsid w:val="00C4027C"/>
    <w:rsid w:val="00C4073F"/>
    <w:rsid w:val="00C45397"/>
    <w:rsid w:val="00C45D44"/>
    <w:rsid w:val="00C51C2E"/>
    <w:rsid w:val="00C53454"/>
    <w:rsid w:val="00C540DA"/>
    <w:rsid w:val="00C57D7C"/>
    <w:rsid w:val="00C63010"/>
    <w:rsid w:val="00C65D11"/>
    <w:rsid w:val="00C66375"/>
    <w:rsid w:val="00C728FE"/>
    <w:rsid w:val="00C736B0"/>
    <w:rsid w:val="00C81E22"/>
    <w:rsid w:val="00C8204B"/>
    <w:rsid w:val="00C85BC2"/>
    <w:rsid w:val="00C901AA"/>
    <w:rsid w:val="00C910D3"/>
    <w:rsid w:val="00C928CA"/>
    <w:rsid w:val="00C96AD0"/>
    <w:rsid w:val="00C96C7E"/>
    <w:rsid w:val="00CA1856"/>
    <w:rsid w:val="00CA1B50"/>
    <w:rsid w:val="00CA4321"/>
    <w:rsid w:val="00CA540F"/>
    <w:rsid w:val="00CA5A81"/>
    <w:rsid w:val="00CA7882"/>
    <w:rsid w:val="00CB15A1"/>
    <w:rsid w:val="00CB36F5"/>
    <w:rsid w:val="00CC22E0"/>
    <w:rsid w:val="00CC4677"/>
    <w:rsid w:val="00CC73AB"/>
    <w:rsid w:val="00CC74B2"/>
    <w:rsid w:val="00CC76B7"/>
    <w:rsid w:val="00CD0213"/>
    <w:rsid w:val="00CD2F1C"/>
    <w:rsid w:val="00CD7582"/>
    <w:rsid w:val="00CE4FCA"/>
    <w:rsid w:val="00CF389B"/>
    <w:rsid w:val="00CF39DC"/>
    <w:rsid w:val="00CF3CF5"/>
    <w:rsid w:val="00D1159E"/>
    <w:rsid w:val="00D16723"/>
    <w:rsid w:val="00D22474"/>
    <w:rsid w:val="00D23D74"/>
    <w:rsid w:val="00D30820"/>
    <w:rsid w:val="00D35FC7"/>
    <w:rsid w:val="00D40DF7"/>
    <w:rsid w:val="00D42895"/>
    <w:rsid w:val="00D42F5B"/>
    <w:rsid w:val="00D453C8"/>
    <w:rsid w:val="00D46CC8"/>
    <w:rsid w:val="00D47BA3"/>
    <w:rsid w:val="00D55AAF"/>
    <w:rsid w:val="00D65FD3"/>
    <w:rsid w:val="00D7121A"/>
    <w:rsid w:val="00D762E2"/>
    <w:rsid w:val="00D772B7"/>
    <w:rsid w:val="00D863C0"/>
    <w:rsid w:val="00D87DE0"/>
    <w:rsid w:val="00D932B6"/>
    <w:rsid w:val="00D94274"/>
    <w:rsid w:val="00DA0E34"/>
    <w:rsid w:val="00DA0F3B"/>
    <w:rsid w:val="00DA2C0E"/>
    <w:rsid w:val="00DA35A9"/>
    <w:rsid w:val="00DA5773"/>
    <w:rsid w:val="00DB0BDA"/>
    <w:rsid w:val="00DB33F8"/>
    <w:rsid w:val="00DB7426"/>
    <w:rsid w:val="00DC0A1B"/>
    <w:rsid w:val="00DC18A1"/>
    <w:rsid w:val="00DC3674"/>
    <w:rsid w:val="00DC38B1"/>
    <w:rsid w:val="00DC3E11"/>
    <w:rsid w:val="00DC45F1"/>
    <w:rsid w:val="00DD0B40"/>
    <w:rsid w:val="00DD120E"/>
    <w:rsid w:val="00DD16E2"/>
    <w:rsid w:val="00DD4EFB"/>
    <w:rsid w:val="00DD5F21"/>
    <w:rsid w:val="00DD61C1"/>
    <w:rsid w:val="00DD6729"/>
    <w:rsid w:val="00DE5842"/>
    <w:rsid w:val="00DE6386"/>
    <w:rsid w:val="00DE7481"/>
    <w:rsid w:val="00E00549"/>
    <w:rsid w:val="00E02769"/>
    <w:rsid w:val="00E04FA9"/>
    <w:rsid w:val="00E106F8"/>
    <w:rsid w:val="00E107F3"/>
    <w:rsid w:val="00E119AB"/>
    <w:rsid w:val="00E12BC0"/>
    <w:rsid w:val="00E1633D"/>
    <w:rsid w:val="00E16EB5"/>
    <w:rsid w:val="00E171A4"/>
    <w:rsid w:val="00E21BDB"/>
    <w:rsid w:val="00E23D5E"/>
    <w:rsid w:val="00E32716"/>
    <w:rsid w:val="00E327C6"/>
    <w:rsid w:val="00E407DE"/>
    <w:rsid w:val="00E4669E"/>
    <w:rsid w:val="00E47372"/>
    <w:rsid w:val="00E47A3C"/>
    <w:rsid w:val="00E51AEF"/>
    <w:rsid w:val="00E62899"/>
    <w:rsid w:val="00E64377"/>
    <w:rsid w:val="00E704AE"/>
    <w:rsid w:val="00E75335"/>
    <w:rsid w:val="00E80C53"/>
    <w:rsid w:val="00E825C0"/>
    <w:rsid w:val="00E84001"/>
    <w:rsid w:val="00E90851"/>
    <w:rsid w:val="00EA677F"/>
    <w:rsid w:val="00EA7FC5"/>
    <w:rsid w:val="00EB0109"/>
    <w:rsid w:val="00EB0619"/>
    <w:rsid w:val="00EB09F0"/>
    <w:rsid w:val="00EB0D97"/>
    <w:rsid w:val="00EB4AC2"/>
    <w:rsid w:val="00EC0437"/>
    <w:rsid w:val="00EC0817"/>
    <w:rsid w:val="00ED289B"/>
    <w:rsid w:val="00ED2C27"/>
    <w:rsid w:val="00ED5777"/>
    <w:rsid w:val="00EE31DB"/>
    <w:rsid w:val="00EE3418"/>
    <w:rsid w:val="00EE39C4"/>
    <w:rsid w:val="00EF4166"/>
    <w:rsid w:val="00EF4B0F"/>
    <w:rsid w:val="00EF4DF9"/>
    <w:rsid w:val="00EF4F5E"/>
    <w:rsid w:val="00EF5FD2"/>
    <w:rsid w:val="00EF64F7"/>
    <w:rsid w:val="00EF6C1F"/>
    <w:rsid w:val="00F01D47"/>
    <w:rsid w:val="00F05586"/>
    <w:rsid w:val="00F1026C"/>
    <w:rsid w:val="00F108EC"/>
    <w:rsid w:val="00F140D9"/>
    <w:rsid w:val="00F22100"/>
    <w:rsid w:val="00F27804"/>
    <w:rsid w:val="00F41F79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4C7C"/>
    <w:rsid w:val="00F85D21"/>
    <w:rsid w:val="00F86D38"/>
    <w:rsid w:val="00F91416"/>
    <w:rsid w:val="00F92BD1"/>
    <w:rsid w:val="00F955C4"/>
    <w:rsid w:val="00F9683E"/>
    <w:rsid w:val="00F96B14"/>
    <w:rsid w:val="00FA235B"/>
    <w:rsid w:val="00FB056F"/>
    <w:rsid w:val="00FB0FF1"/>
    <w:rsid w:val="00FB1BA2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6AA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B23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C45D44"/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teadministrator@psc.w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22-23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dpc\publicsector$\PSC\Policy%20and%20Data%20Analytics\Data%20Analytics%20and%20Reporting\Secure\HRMOIR%20data\Quarterly%20WorkForce%20Reports\2024%20Q1\Working_documents\Salaries_expenditure_September_2023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381337798193607E-2"/>
          <c:y val="3.7319772480287575E-2"/>
          <c:w val="0.95645462188815966"/>
          <c:h val="0.8356326318564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0.0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'Salary Expenditure from TSR'!$D$31:$N$31</c:f>
              <c:strCache>
                <c:ptCount val="11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  <c:pt idx="10">
                  <c:v>2023-24</c:v>
                </c:pt>
              </c:strCache>
            </c:strRef>
          </c:cat>
          <c:val>
            <c:numRef>
              <c:f>'Salary Expenditure from TSR'!$D$32:$N$32</c:f>
              <c:numCache>
                <c:formatCode>#,##0.0</c:formatCode>
                <c:ptCount val="11"/>
                <c:pt idx="0">
                  <c:v>7.0937527962357336</c:v>
                </c:pt>
                <c:pt idx="1">
                  <c:v>1.8973199584043876</c:v>
                </c:pt>
                <c:pt idx="2">
                  <c:v>4.7834416712866812</c:v>
                </c:pt>
                <c:pt idx="3">
                  <c:v>1.7647591710901676</c:v>
                </c:pt>
                <c:pt idx="4">
                  <c:v>3.2153491033586468</c:v>
                </c:pt>
                <c:pt idx="5">
                  <c:v>1.4609256992781114</c:v>
                </c:pt>
                <c:pt idx="6">
                  <c:v>3.8610405125959359</c:v>
                </c:pt>
                <c:pt idx="7">
                  <c:v>5.6926411958387169</c:v>
                </c:pt>
                <c:pt idx="8">
                  <c:v>5.8300136523481223</c:v>
                </c:pt>
                <c:pt idx="9">
                  <c:v>5.9448252613932846</c:v>
                </c:pt>
                <c:pt idx="10">
                  <c:v>7.5667256271878411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B-4381-9E45-6A97AC9065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522398176"/>
        <c:axId val="522397848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'Salary Expenditure from TSR'!$D$31:$N$31</c:f>
              <c:strCache>
                <c:ptCount val="11"/>
                <c:pt idx="0">
                  <c:v>2013-14</c:v>
                </c:pt>
                <c:pt idx="1">
                  <c:v>2014-15</c:v>
                </c:pt>
                <c:pt idx="2">
                  <c:v>2015-16</c:v>
                </c:pt>
                <c:pt idx="3">
                  <c:v>2016-17</c:v>
                </c:pt>
                <c:pt idx="4">
                  <c:v>2017-18</c:v>
                </c:pt>
                <c:pt idx="5">
                  <c:v>2018-19</c:v>
                </c:pt>
                <c:pt idx="6">
                  <c:v>2019-20</c:v>
                </c:pt>
                <c:pt idx="7">
                  <c:v>2020-21</c:v>
                </c:pt>
                <c:pt idx="8">
                  <c:v>2021-22</c:v>
                </c:pt>
                <c:pt idx="9">
                  <c:v>2022-23</c:v>
                </c:pt>
                <c:pt idx="10">
                  <c:v>2023-24</c:v>
                </c:pt>
              </c:strCache>
            </c:strRef>
          </c:cat>
          <c:val>
            <c:numRef>
              <c:f>'Salary Expenditure from TSR'!$D$33:$N$33</c:f>
              <c:numCache>
                <c:formatCode>0.0</c:formatCode>
                <c:ptCount val="11"/>
                <c:pt idx="0">
                  <c:v>4.1368914204768403</c:v>
                </c:pt>
                <c:pt idx="1">
                  <c:v>4.1368914204768403</c:v>
                </c:pt>
                <c:pt idx="2">
                  <c:v>4.1368914204768403</c:v>
                </c:pt>
                <c:pt idx="3">
                  <c:v>4.1368914204768403</c:v>
                </c:pt>
                <c:pt idx="4">
                  <c:v>4.1368914204768403</c:v>
                </c:pt>
                <c:pt idx="5">
                  <c:v>4.1368914204768403</c:v>
                </c:pt>
                <c:pt idx="6">
                  <c:v>4.1368914204768403</c:v>
                </c:pt>
                <c:pt idx="7">
                  <c:v>4.1368914204768403</c:v>
                </c:pt>
                <c:pt idx="8">
                  <c:v>4.1368914204768403</c:v>
                </c:pt>
                <c:pt idx="9">
                  <c:v>4.1368914204768403</c:v>
                </c:pt>
                <c:pt idx="10">
                  <c:v>4.1368914204768403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AB-4381-9E45-6A97AC9065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2398176"/>
        <c:axId val="522397848"/>
      </c:lineChart>
      <c:catAx>
        <c:axId val="52239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22397848"/>
        <c:crosses val="autoZero"/>
        <c:auto val="1"/>
        <c:lblAlgn val="ctr"/>
        <c:lblOffset val="100"/>
        <c:noMultiLvlLbl val="0"/>
      </c:catAx>
      <c:valAx>
        <c:axId val="522397848"/>
        <c:scaling>
          <c:orientation val="minMax"/>
          <c:max val="10"/>
        </c:scaling>
        <c:delete val="1"/>
        <c:axPos val="l"/>
        <c:numFmt formatCode="#,##0.0" sourceLinked="1"/>
        <c:majorTickMark val="out"/>
        <c:minorTickMark val="none"/>
        <c:tickLblPos val="nextTo"/>
        <c:crossAx val="52239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0.34103</cdr:x>
      <cdr:y>0.37929</cdr:y>
    </cdr:from>
    <cdr:to>
      <cdr:x>0.62576</cdr:x>
      <cdr:y>0.51993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62563" y="1186322"/>
          <a:ext cx="1722037" cy="439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AU" sz="1000" b="1">
              <a:latin typeface="Arial" panose="020B0604020202020204" pitchFamily="34" charset="0"/>
              <a:cs typeface="Arial" panose="020B0604020202020204" pitchFamily="34" charset="0"/>
            </a:rPr>
            <a:t>Decade</a:t>
          </a:r>
          <a:r>
            <a:rPr lang="en-AU" sz="1000" b="1" baseline="0">
              <a:latin typeface="Arial" panose="020B0604020202020204" pitchFamily="34" charset="0"/>
              <a:cs typeface="Arial" panose="020B0604020202020204" pitchFamily="34" charset="0"/>
            </a:rPr>
            <a:t> average = 4.1%</a:t>
          </a:r>
          <a:endParaRPr lang="en-AU" sz="10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C2D-E358-4F08-AFFF-AB2CC9D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– September 2023</dc:title>
  <dc:subject/>
  <dc:creator>Public Sector Commission</dc:creator>
  <cp:keywords/>
  <dc:description/>
  <cp:lastModifiedBy>Partridge, Julian</cp:lastModifiedBy>
  <cp:revision>89</cp:revision>
  <cp:lastPrinted>2021-09-06T09:28:00Z</cp:lastPrinted>
  <dcterms:created xsi:type="dcterms:W3CDTF">2023-02-19T01:45:00Z</dcterms:created>
  <dcterms:modified xsi:type="dcterms:W3CDTF">2024-01-23T04:20:00Z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2023-02-17T06:00:00Z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980988ef-f067-46e6-b35c-a57e9dc16841</vt:lpwstr>
  </property>
  <property fmtid="{D5CDD505-2E9C-101B-9397-08002B2CF9AE}" pid="8" name="MSIP_Label_9debd643-ebde-44ed-8e8b-40a2ae139fe2_ContentBits">
    <vt:lpwstr>0</vt:lpwstr>
  </property>
</Properties>
</file>