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49B4E" w14:textId="11404593" w:rsidR="008254D5" w:rsidRDefault="00DE5BAD" w:rsidP="00C33468">
      <w:pPr>
        <w:spacing w:before="240" w:line="240" w:lineRule="auto"/>
        <w:rPr>
          <w:b/>
          <w:bCs/>
        </w:rPr>
      </w:pPr>
      <w:r>
        <w:rPr>
          <w:noProof/>
        </w:rPr>
        <w:drawing>
          <wp:anchor distT="0" distB="0" distL="114300" distR="114300" simplePos="0" relativeHeight="251675648" behindDoc="1" locked="0" layoutInCell="1" allowOverlap="1" wp14:anchorId="48BDACB8" wp14:editId="6F486B81">
            <wp:simplePos x="0" y="0"/>
            <wp:positionH relativeFrom="page">
              <wp:align>left</wp:align>
            </wp:positionH>
            <wp:positionV relativeFrom="paragraph">
              <wp:posOffset>-914400</wp:posOffset>
            </wp:positionV>
            <wp:extent cx="7581600" cy="10724400"/>
            <wp:effectExtent l="0" t="0" r="635" b="1270"/>
            <wp:wrapNone/>
            <wp:docPr id="4605746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74635"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16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E1A9A" w14:textId="3BDC588A" w:rsidR="008254D5" w:rsidRDefault="008254D5" w:rsidP="00C33468">
      <w:pPr>
        <w:spacing w:before="240" w:line="240" w:lineRule="auto"/>
        <w:rPr>
          <w:b/>
          <w:bCs/>
        </w:rPr>
      </w:pPr>
    </w:p>
    <w:p w14:paraId="70675DE7" w14:textId="03C44C46" w:rsidR="00FB6C85" w:rsidRPr="00D44B4B" w:rsidRDefault="00FB6C85" w:rsidP="00C33468">
      <w:pPr>
        <w:spacing w:before="240" w:line="240" w:lineRule="auto"/>
        <w:rPr>
          <w:b/>
          <w:bCs/>
        </w:rPr>
      </w:pPr>
    </w:p>
    <w:p w14:paraId="7CB4CF45" w14:textId="5D653C28" w:rsidR="00FB6C85" w:rsidRDefault="00FB6C85" w:rsidP="00B915C4"/>
    <w:p w14:paraId="6EE3BBF7" w14:textId="1AA23F5B" w:rsidR="008254D5" w:rsidRDefault="008254D5" w:rsidP="008254D5">
      <w:pPr>
        <w:ind w:left="3686"/>
        <w:rPr>
          <w:b/>
          <w:bCs/>
          <w:sz w:val="40"/>
          <w:szCs w:val="40"/>
        </w:rPr>
      </w:pPr>
      <w:bookmarkStart w:id="0" w:name="_Hlk150172211"/>
      <w:bookmarkEnd w:id="0"/>
    </w:p>
    <w:p w14:paraId="7D390061" w14:textId="3B14F43F" w:rsidR="00F41C55" w:rsidRDefault="00F41C55" w:rsidP="008254D5">
      <w:pPr>
        <w:ind w:left="3686"/>
        <w:rPr>
          <w:b/>
          <w:bCs/>
          <w:sz w:val="40"/>
          <w:szCs w:val="40"/>
        </w:rPr>
      </w:pPr>
    </w:p>
    <w:p w14:paraId="449A08A4" w14:textId="0A71A9BE" w:rsidR="008254D5" w:rsidRPr="00DF6D84" w:rsidRDefault="008254D5" w:rsidP="00DF6D84">
      <w:pPr>
        <w:pStyle w:val="Heading1"/>
        <w:spacing w:before="8160"/>
        <w:ind w:firstLine="3544"/>
      </w:pPr>
      <w:r w:rsidRPr="00DF6D84">
        <w:t>State of the WA Government</w:t>
      </w:r>
    </w:p>
    <w:p w14:paraId="3F80815A" w14:textId="506A63E5" w:rsidR="00FB6C85" w:rsidRPr="00DF6D84" w:rsidRDefault="008254D5" w:rsidP="00DF6D84">
      <w:pPr>
        <w:pStyle w:val="Heading1"/>
        <w:ind w:left="3544"/>
      </w:pPr>
      <w:r w:rsidRPr="00DF6D84">
        <w:t>Sector Report 2022-23</w:t>
      </w:r>
    </w:p>
    <w:p w14:paraId="5795D50F" w14:textId="05C9F9F0" w:rsidR="00B915C4" w:rsidRDefault="00B915C4" w:rsidP="00B915C4"/>
    <w:p w14:paraId="2A1B8ED2" w14:textId="33F2BA1F" w:rsidR="00B915C4" w:rsidRDefault="00B915C4" w:rsidP="00B915C4"/>
    <w:p w14:paraId="7E42D71E" w14:textId="4ECA3684" w:rsidR="00B915C4" w:rsidRDefault="00B915C4" w:rsidP="00B915C4"/>
    <w:p w14:paraId="74A7F4E1" w14:textId="6F45863E" w:rsidR="00FB6C85" w:rsidRPr="00FF7D8E" w:rsidRDefault="008A4CF4" w:rsidP="000F0C4A">
      <w:pPr>
        <w:spacing w:after="240"/>
        <w:rPr>
          <w:rFonts w:ascii="Century Gothic" w:hAnsi="Century Gothic"/>
          <w:color w:val="2E74B5" w:themeColor="accent1" w:themeShade="BF"/>
          <w:sz w:val="44"/>
          <w:szCs w:val="44"/>
        </w:rPr>
      </w:pPr>
      <w:r>
        <w:br w:type="page"/>
      </w:r>
      <w:r w:rsidR="00FB6C85" w:rsidRPr="00AF0739">
        <w:rPr>
          <w:rFonts w:ascii="Century Gothic" w:hAnsi="Century Gothic"/>
          <w:color w:val="2E74B5" w:themeColor="accent1" w:themeShade="BF"/>
          <w:sz w:val="44"/>
          <w:szCs w:val="44"/>
        </w:rPr>
        <w:lastRenderedPageBreak/>
        <w:t xml:space="preserve">Letter </w:t>
      </w:r>
      <w:r w:rsidR="00FB6C85" w:rsidRPr="00FF7D8E">
        <w:rPr>
          <w:rFonts w:ascii="Century Gothic" w:hAnsi="Century Gothic"/>
          <w:color w:val="2E74B5" w:themeColor="accent1" w:themeShade="BF"/>
          <w:sz w:val="44"/>
          <w:szCs w:val="44"/>
        </w:rPr>
        <w:t xml:space="preserve">of </w:t>
      </w:r>
      <w:r w:rsidR="00FB6C85" w:rsidRPr="00E44DF2">
        <w:rPr>
          <w:rFonts w:ascii="Century Gothic" w:hAnsi="Century Gothic"/>
          <w:b/>
          <w:bCs/>
          <w:color w:val="2E74B5" w:themeColor="accent1" w:themeShade="BF"/>
          <w:sz w:val="44"/>
          <w:szCs w:val="44"/>
        </w:rPr>
        <w:t>transmittal</w:t>
      </w:r>
    </w:p>
    <w:p w14:paraId="1F34B357" w14:textId="040702EE" w:rsidR="00FB6C85" w:rsidRPr="003519C3" w:rsidRDefault="00FB6C85" w:rsidP="00FF7D8E">
      <w:pPr>
        <w:spacing w:after="0"/>
        <w:ind w:left="3969" w:hanging="3969"/>
        <w:rPr>
          <w:b/>
          <w:bCs/>
        </w:rPr>
      </w:pPr>
      <w:r w:rsidRPr="003519C3">
        <w:rPr>
          <w:b/>
          <w:bCs/>
        </w:rPr>
        <w:t>S</w:t>
      </w:r>
      <w:r w:rsidR="00FC1F3A" w:rsidRPr="003519C3">
        <w:rPr>
          <w:b/>
          <w:bCs/>
        </w:rPr>
        <w:t>peaker</w:t>
      </w:r>
      <w:r w:rsidR="00FC1F3A" w:rsidRPr="003519C3">
        <w:rPr>
          <w:b/>
          <w:bCs/>
        </w:rPr>
        <w:tab/>
        <w:t>President</w:t>
      </w:r>
      <w:r w:rsidRPr="003519C3">
        <w:rPr>
          <w:b/>
          <w:bCs/>
        </w:rPr>
        <w:t xml:space="preserve"> </w:t>
      </w:r>
    </w:p>
    <w:p w14:paraId="43D0DDA2" w14:textId="7BC92571" w:rsidR="00FB6C85" w:rsidRPr="003519C3" w:rsidRDefault="00FC1F3A" w:rsidP="00FF7D8E">
      <w:pPr>
        <w:spacing w:after="240"/>
        <w:ind w:left="3969" w:hanging="3969"/>
        <w:rPr>
          <w:b/>
          <w:bCs/>
        </w:rPr>
      </w:pPr>
      <w:r w:rsidRPr="003519C3">
        <w:rPr>
          <w:b/>
          <w:bCs/>
        </w:rPr>
        <w:t>Legislative Assembly</w:t>
      </w:r>
      <w:r w:rsidRPr="003519C3">
        <w:rPr>
          <w:b/>
          <w:bCs/>
        </w:rPr>
        <w:tab/>
        <w:t>Legislative Council</w:t>
      </w:r>
    </w:p>
    <w:p w14:paraId="190440B6" w14:textId="1FD67C26" w:rsidR="00AF0739" w:rsidRDefault="247C46D8" w:rsidP="00FF7D8E">
      <w:r>
        <w:t xml:space="preserve">I hereby submit to the Parliament of Western Australia the State of the Western Australian Government Sector Workforce </w:t>
      </w:r>
      <w:r w:rsidR="2FE0BCA8">
        <w:t>20</w:t>
      </w:r>
      <w:r w:rsidR="1F33F826">
        <w:t>2</w:t>
      </w:r>
      <w:r w:rsidR="005C4E22">
        <w:t>2</w:t>
      </w:r>
      <w:r w:rsidR="1F33F826">
        <w:t>-2</w:t>
      </w:r>
      <w:r w:rsidR="005C4E22">
        <w:t>3</w:t>
      </w:r>
      <w:r>
        <w:t xml:space="preserve"> in accordance with </w:t>
      </w:r>
      <w:r w:rsidR="2F9214CA">
        <w:t>s</w:t>
      </w:r>
      <w:r>
        <w:t xml:space="preserve">ection 22D of the </w:t>
      </w:r>
      <w:r w:rsidRPr="0255B8E1">
        <w:rPr>
          <w:i/>
          <w:iCs/>
        </w:rPr>
        <w:t>Public Sector Management Act 1994</w:t>
      </w:r>
      <w:r>
        <w:t xml:space="preserve">, </w:t>
      </w:r>
      <w:r w:rsidR="2F9214CA">
        <w:t>s</w:t>
      </w:r>
      <w:r>
        <w:t xml:space="preserve">ection 22 of the </w:t>
      </w:r>
      <w:r w:rsidRPr="0255B8E1">
        <w:rPr>
          <w:i/>
          <w:iCs/>
        </w:rPr>
        <w:t>Public Interest Disclosure Act 2003</w:t>
      </w:r>
      <w:r>
        <w:t xml:space="preserve"> and </w:t>
      </w:r>
      <w:r w:rsidR="2F9214CA">
        <w:t>s</w:t>
      </w:r>
      <w:r>
        <w:t xml:space="preserve">ection 45ZD of the </w:t>
      </w:r>
      <w:r w:rsidRPr="0255B8E1">
        <w:rPr>
          <w:i/>
          <w:iCs/>
        </w:rPr>
        <w:t>Corruption, Crime and Misconduct Act 2003</w:t>
      </w:r>
      <w:r w:rsidR="2F9214CA">
        <w:t>.</w:t>
      </w:r>
    </w:p>
    <w:p w14:paraId="011E078C" w14:textId="4379DC88" w:rsidR="00FF7D8E" w:rsidRDefault="003111D8" w:rsidP="00FF7D8E">
      <w:r>
        <w:rPr>
          <w:noProof/>
        </w:rPr>
        <w:drawing>
          <wp:inline distT="0" distB="0" distL="0" distR="0" wp14:anchorId="350E2D77" wp14:editId="5CA02A13">
            <wp:extent cx="1266825" cy="535305"/>
            <wp:effectExtent l="0" t="0" r="9525" b="0"/>
            <wp:docPr id="1005577359" name="Picture 1005577359" descr="Image of Sharyn O'Nei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7359" name="Picture 1005577359" descr="Image of Sharyn O'Neill signa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825" cy="535305"/>
                    </a:xfrm>
                    <a:prstGeom prst="rect">
                      <a:avLst/>
                    </a:prstGeom>
                  </pic:spPr>
                </pic:pic>
              </a:graphicData>
            </a:graphic>
          </wp:inline>
        </w:drawing>
      </w:r>
    </w:p>
    <w:p w14:paraId="06525445" w14:textId="77777777" w:rsidR="008937AB" w:rsidRPr="00240621" w:rsidRDefault="008937AB" w:rsidP="00FF7D8E"/>
    <w:p w14:paraId="781432F7" w14:textId="6843B481" w:rsidR="00FF7D8E" w:rsidRPr="00240621" w:rsidRDefault="00FB6C85" w:rsidP="00FF7D8E">
      <w:pPr>
        <w:spacing w:after="0"/>
        <w:rPr>
          <w:color w:val="2E74B5" w:themeColor="accent1" w:themeShade="BF"/>
        </w:rPr>
      </w:pPr>
      <w:r w:rsidRPr="00240621">
        <w:rPr>
          <w:color w:val="2E74B5" w:themeColor="accent1" w:themeShade="BF"/>
        </w:rPr>
        <w:t>SHARYN O'NEILL</w:t>
      </w:r>
      <w:r w:rsidR="00E73C75">
        <w:rPr>
          <w:color w:val="2E74B5" w:themeColor="accent1" w:themeShade="BF"/>
        </w:rPr>
        <w:t xml:space="preserve"> PSM</w:t>
      </w:r>
    </w:p>
    <w:p w14:paraId="39F414E9" w14:textId="77777777" w:rsidR="00FF7D8E" w:rsidRPr="00240621" w:rsidRDefault="00FF7D8E" w:rsidP="00FF7D8E">
      <w:pPr>
        <w:rPr>
          <w:color w:val="2E74B5" w:themeColor="accent1" w:themeShade="BF"/>
        </w:rPr>
      </w:pPr>
      <w:r w:rsidRPr="00240621">
        <w:rPr>
          <w:color w:val="2E74B5" w:themeColor="accent1" w:themeShade="BF"/>
        </w:rPr>
        <w:t>PUBLIC SECTOR COMMISSIONER</w:t>
      </w:r>
    </w:p>
    <w:p w14:paraId="2EA67500" w14:textId="3FD65F22" w:rsidR="008F322B" w:rsidRDefault="000658EA">
      <w:pPr>
        <w:spacing w:after="160"/>
      </w:pPr>
      <w:r>
        <w:t xml:space="preserve">27 </w:t>
      </w:r>
      <w:r w:rsidR="00006830">
        <w:t>November 2023</w:t>
      </w:r>
    </w:p>
    <w:p w14:paraId="5B8215E4" w14:textId="77777777" w:rsidR="00692387" w:rsidRDefault="00692387" w:rsidP="00692387">
      <w:pPr>
        <w:spacing w:after="0"/>
      </w:pPr>
    </w:p>
    <w:p w14:paraId="4DC25D18" w14:textId="77777777" w:rsidR="00692387" w:rsidRDefault="00692387" w:rsidP="00692387">
      <w:pPr>
        <w:spacing w:after="0"/>
      </w:pPr>
    </w:p>
    <w:p w14:paraId="33DEC946" w14:textId="77777777" w:rsidR="00692387" w:rsidRDefault="00692387" w:rsidP="00692387">
      <w:pPr>
        <w:spacing w:after="0"/>
      </w:pPr>
    </w:p>
    <w:p w14:paraId="6A1DD389" w14:textId="77777777" w:rsidR="00692387" w:rsidRDefault="00692387" w:rsidP="00692387">
      <w:pPr>
        <w:spacing w:after="0"/>
      </w:pPr>
    </w:p>
    <w:p w14:paraId="03343748" w14:textId="77777777" w:rsidR="003519C3" w:rsidRDefault="003519C3" w:rsidP="00692387">
      <w:pPr>
        <w:spacing w:after="0"/>
      </w:pPr>
    </w:p>
    <w:p w14:paraId="0A53FF54" w14:textId="77777777" w:rsidR="003519C3" w:rsidRDefault="003519C3" w:rsidP="00692387">
      <w:pPr>
        <w:spacing w:after="0"/>
      </w:pPr>
    </w:p>
    <w:p w14:paraId="47807ED2" w14:textId="77777777" w:rsidR="003769B4" w:rsidRDefault="003769B4" w:rsidP="00692387">
      <w:pPr>
        <w:spacing w:after="0"/>
        <w:rPr>
          <w:b/>
          <w:bCs/>
        </w:rPr>
      </w:pPr>
    </w:p>
    <w:p w14:paraId="6952A9BB" w14:textId="77777777" w:rsidR="003769B4" w:rsidRDefault="003769B4" w:rsidP="00692387">
      <w:pPr>
        <w:spacing w:after="0"/>
        <w:rPr>
          <w:b/>
          <w:bCs/>
        </w:rPr>
      </w:pPr>
    </w:p>
    <w:p w14:paraId="58C2AFC0" w14:textId="77777777" w:rsidR="003769B4" w:rsidRDefault="003769B4" w:rsidP="00692387">
      <w:pPr>
        <w:spacing w:after="0"/>
        <w:rPr>
          <w:b/>
          <w:bCs/>
        </w:rPr>
      </w:pPr>
    </w:p>
    <w:p w14:paraId="68D9069F" w14:textId="77777777" w:rsidR="003769B4" w:rsidRDefault="003769B4" w:rsidP="00692387">
      <w:pPr>
        <w:spacing w:after="0"/>
        <w:rPr>
          <w:b/>
          <w:bCs/>
        </w:rPr>
      </w:pPr>
    </w:p>
    <w:p w14:paraId="074C55C8" w14:textId="77777777" w:rsidR="003769B4" w:rsidRDefault="003769B4" w:rsidP="00692387">
      <w:pPr>
        <w:spacing w:after="0"/>
        <w:rPr>
          <w:b/>
          <w:bCs/>
        </w:rPr>
      </w:pPr>
    </w:p>
    <w:p w14:paraId="2B70790F" w14:textId="77777777" w:rsidR="003769B4" w:rsidRDefault="003769B4" w:rsidP="00692387">
      <w:pPr>
        <w:spacing w:after="0"/>
        <w:rPr>
          <w:b/>
          <w:bCs/>
        </w:rPr>
      </w:pPr>
    </w:p>
    <w:p w14:paraId="19B717B9" w14:textId="77777777" w:rsidR="003769B4" w:rsidRDefault="003769B4" w:rsidP="00692387">
      <w:pPr>
        <w:spacing w:after="0"/>
        <w:rPr>
          <w:b/>
          <w:bCs/>
        </w:rPr>
      </w:pPr>
    </w:p>
    <w:p w14:paraId="55634B1B" w14:textId="77777777" w:rsidR="00FA1DC5" w:rsidRDefault="00FA1DC5" w:rsidP="00692387">
      <w:pPr>
        <w:spacing w:after="0"/>
        <w:rPr>
          <w:b/>
          <w:bCs/>
        </w:rPr>
      </w:pPr>
    </w:p>
    <w:p w14:paraId="3FEF4DBD" w14:textId="77777777" w:rsidR="00FA1DC5" w:rsidRDefault="00FA1DC5" w:rsidP="00692387">
      <w:pPr>
        <w:spacing w:after="0"/>
        <w:rPr>
          <w:b/>
          <w:bCs/>
        </w:rPr>
      </w:pPr>
    </w:p>
    <w:p w14:paraId="6417D6AD" w14:textId="77777777" w:rsidR="00FA1DC5" w:rsidRDefault="00FA1DC5" w:rsidP="00692387">
      <w:pPr>
        <w:spacing w:after="0"/>
        <w:rPr>
          <w:b/>
          <w:bCs/>
        </w:rPr>
      </w:pPr>
    </w:p>
    <w:p w14:paraId="14251C4D" w14:textId="77777777" w:rsidR="00FA1DC5" w:rsidRDefault="00FA1DC5" w:rsidP="00692387">
      <w:pPr>
        <w:spacing w:after="0"/>
        <w:rPr>
          <w:b/>
          <w:bCs/>
        </w:rPr>
      </w:pPr>
    </w:p>
    <w:p w14:paraId="283EED24" w14:textId="77777777" w:rsidR="00FA1DC5" w:rsidRDefault="00FA1DC5" w:rsidP="00692387">
      <w:pPr>
        <w:spacing w:after="0"/>
        <w:rPr>
          <w:b/>
          <w:bCs/>
        </w:rPr>
      </w:pPr>
    </w:p>
    <w:p w14:paraId="03FBCB5D" w14:textId="77777777" w:rsidR="00FA1DC5" w:rsidRDefault="00FA1DC5" w:rsidP="00692387">
      <w:pPr>
        <w:spacing w:after="0"/>
        <w:rPr>
          <w:b/>
          <w:bCs/>
        </w:rPr>
      </w:pPr>
    </w:p>
    <w:p w14:paraId="607C4D8C" w14:textId="77777777" w:rsidR="00FA1DC5" w:rsidRDefault="00FA1DC5" w:rsidP="00692387">
      <w:pPr>
        <w:spacing w:after="0"/>
        <w:rPr>
          <w:b/>
          <w:bCs/>
        </w:rPr>
      </w:pPr>
    </w:p>
    <w:p w14:paraId="2E8B2790" w14:textId="77777777" w:rsidR="003769B4" w:rsidRDefault="003769B4" w:rsidP="00692387">
      <w:pPr>
        <w:spacing w:after="0"/>
        <w:rPr>
          <w:rFonts w:ascii="Century Gothic" w:hAnsi="Century Gothic"/>
          <w:b/>
          <w:bCs/>
          <w:color w:val="2E74B5" w:themeColor="accent1" w:themeShade="BF"/>
        </w:rPr>
      </w:pPr>
    </w:p>
    <w:p w14:paraId="2DD4B3DC" w14:textId="77777777" w:rsidR="003769B4" w:rsidRDefault="003769B4" w:rsidP="00692387">
      <w:pPr>
        <w:spacing w:after="0"/>
        <w:rPr>
          <w:rFonts w:ascii="Century Gothic" w:hAnsi="Century Gothic"/>
          <w:b/>
          <w:bCs/>
          <w:color w:val="2E74B5" w:themeColor="accent1" w:themeShade="BF"/>
        </w:rPr>
      </w:pPr>
    </w:p>
    <w:p w14:paraId="7141C15B" w14:textId="77777777" w:rsidR="003769B4" w:rsidRDefault="003769B4" w:rsidP="00692387">
      <w:pPr>
        <w:spacing w:after="0"/>
        <w:rPr>
          <w:rFonts w:ascii="Century Gothic" w:hAnsi="Century Gothic"/>
          <w:b/>
          <w:bCs/>
          <w:color w:val="2E74B5" w:themeColor="accent1" w:themeShade="BF"/>
        </w:rPr>
      </w:pPr>
    </w:p>
    <w:p w14:paraId="09C44CBD" w14:textId="10DB709B" w:rsidR="003769B4" w:rsidRPr="000F0C4A" w:rsidRDefault="003519C3" w:rsidP="00B44773">
      <w:pPr>
        <w:rPr>
          <w:rFonts w:ascii="Century Gothic" w:hAnsi="Century Gothic"/>
          <w:b/>
          <w:bCs/>
          <w:color w:val="2E74B5" w:themeColor="accent1" w:themeShade="BF"/>
          <w:sz w:val="28"/>
          <w:szCs w:val="28"/>
        </w:rPr>
      </w:pPr>
      <w:r w:rsidRPr="000F0C4A">
        <w:rPr>
          <w:rFonts w:ascii="Century Gothic" w:hAnsi="Century Gothic"/>
          <w:b/>
          <w:bCs/>
          <w:color w:val="2E74B5" w:themeColor="accent1" w:themeShade="BF"/>
          <w:sz w:val="28"/>
          <w:szCs w:val="28"/>
        </w:rPr>
        <w:t>Acknowledgement of Country</w:t>
      </w:r>
    </w:p>
    <w:p w14:paraId="0EC6F0D6" w14:textId="2B302176" w:rsidR="003519C3" w:rsidRPr="000F0C4A" w:rsidRDefault="0020235A" w:rsidP="00692387">
      <w:pPr>
        <w:spacing w:after="0"/>
        <w:rPr>
          <w:rFonts w:ascii="Century Gothic" w:hAnsi="Century Gothic"/>
          <w:color w:val="2E74B5" w:themeColor="accent1" w:themeShade="BF"/>
          <w:sz w:val="24"/>
          <w:szCs w:val="24"/>
        </w:rPr>
      </w:pPr>
      <w:r w:rsidRPr="000F0C4A">
        <w:rPr>
          <w:rFonts w:ascii="Century Gothic" w:hAnsi="Century Gothic"/>
          <w:color w:val="2E74B5" w:themeColor="accent1" w:themeShade="BF"/>
          <w:sz w:val="24"/>
          <w:szCs w:val="24"/>
        </w:rPr>
        <w:t xml:space="preserve">We are proud to deliver our services from </w:t>
      </w:r>
      <w:proofErr w:type="spellStart"/>
      <w:r w:rsidRPr="000F0C4A">
        <w:rPr>
          <w:rFonts w:ascii="Century Gothic" w:hAnsi="Century Gothic"/>
          <w:color w:val="2E74B5" w:themeColor="accent1" w:themeShade="BF"/>
          <w:sz w:val="24"/>
          <w:szCs w:val="24"/>
        </w:rPr>
        <w:t>Whadjuk</w:t>
      </w:r>
      <w:proofErr w:type="spellEnd"/>
      <w:r w:rsidRPr="000F0C4A">
        <w:rPr>
          <w:rFonts w:ascii="Century Gothic" w:hAnsi="Century Gothic"/>
          <w:color w:val="2E74B5" w:themeColor="accent1" w:themeShade="BF"/>
          <w:sz w:val="24"/>
          <w:szCs w:val="24"/>
        </w:rPr>
        <w:t xml:space="preserve"> Noongar </w:t>
      </w:r>
      <w:proofErr w:type="spellStart"/>
      <w:r w:rsidRPr="000F0C4A">
        <w:rPr>
          <w:rFonts w:ascii="Century Gothic" w:hAnsi="Century Gothic"/>
          <w:color w:val="2E74B5" w:themeColor="accent1" w:themeShade="BF"/>
          <w:sz w:val="24"/>
          <w:szCs w:val="24"/>
        </w:rPr>
        <w:t>boodja</w:t>
      </w:r>
      <w:proofErr w:type="spellEnd"/>
      <w:r w:rsidRPr="000F0C4A">
        <w:rPr>
          <w:rFonts w:ascii="Century Gothic" w:hAnsi="Century Gothic"/>
          <w:color w:val="2E74B5" w:themeColor="accent1" w:themeShade="BF"/>
          <w:sz w:val="24"/>
          <w:szCs w:val="24"/>
        </w:rPr>
        <w:t>.</w:t>
      </w:r>
      <w:r w:rsidR="00107626">
        <w:rPr>
          <w:rFonts w:ascii="Century Gothic" w:hAnsi="Century Gothic"/>
          <w:color w:val="2E74B5" w:themeColor="accent1" w:themeShade="BF"/>
          <w:sz w:val="24"/>
          <w:szCs w:val="24"/>
        </w:rPr>
        <w:br/>
      </w:r>
      <w:r w:rsidRPr="000F0C4A">
        <w:rPr>
          <w:rFonts w:ascii="Century Gothic" w:hAnsi="Century Gothic"/>
          <w:color w:val="2E74B5" w:themeColor="accent1" w:themeShade="BF"/>
          <w:sz w:val="24"/>
          <w:szCs w:val="24"/>
        </w:rPr>
        <w:t>We acknowledge and pay respect to Elders, Traditional Owners and Custodians from the many land and language groups of Western Australia.</w:t>
      </w:r>
    </w:p>
    <w:p w14:paraId="194D965A" w14:textId="77777777" w:rsidR="00FF7D8E" w:rsidRDefault="00FF7D8E">
      <w:pPr>
        <w:spacing w:after="160"/>
      </w:pPr>
      <w:r>
        <w:br w:type="page"/>
      </w:r>
    </w:p>
    <w:p w14:paraId="508DAD7F" w14:textId="77777777" w:rsidR="00C47AD0" w:rsidRDefault="00C47AD0" w:rsidP="005D51AC">
      <w:pPr>
        <w:sectPr w:rsidR="00C47AD0" w:rsidSect="00F306B5">
          <w:headerReference w:type="default" r:id="rId13"/>
          <w:footerReference w:type="default" r:id="rId14"/>
          <w:pgSz w:w="11906" w:h="16838"/>
          <w:pgMar w:top="1440" w:right="1274" w:bottom="1440" w:left="1440" w:header="708" w:footer="123" w:gutter="0"/>
          <w:cols w:space="708"/>
          <w:titlePg/>
          <w:docGrid w:linePitch="360"/>
        </w:sectPr>
      </w:pPr>
    </w:p>
    <w:sdt>
      <w:sdtPr>
        <w:rPr>
          <w:rFonts w:ascii="Arial" w:eastAsia="Times New Roman" w:hAnsi="Arial" w:cs="Arial"/>
          <w:color w:val="auto"/>
          <w:sz w:val="22"/>
          <w:szCs w:val="22"/>
          <w:lang w:val="en-AU" w:eastAsia="en-AU"/>
        </w:rPr>
        <w:id w:val="-1728369216"/>
        <w:docPartObj>
          <w:docPartGallery w:val="Table of Contents"/>
          <w:docPartUnique/>
        </w:docPartObj>
      </w:sdtPr>
      <w:sdtEndPr>
        <w:rPr>
          <w:b/>
          <w:bCs/>
          <w:noProof/>
        </w:rPr>
      </w:sdtEndPr>
      <w:sdtContent>
        <w:p w14:paraId="31584047" w14:textId="5AC8076C" w:rsidR="00674F72" w:rsidRPr="00175A0A" w:rsidRDefault="00674F72" w:rsidP="00A5015A">
          <w:pPr>
            <w:pStyle w:val="TOCHeading"/>
            <w:spacing w:after="120"/>
            <w:rPr>
              <w:b/>
              <w:bCs/>
              <w:sz w:val="44"/>
              <w:szCs w:val="44"/>
            </w:rPr>
          </w:pPr>
          <w:r w:rsidRPr="00175A0A">
            <w:rPr>
              <w:b/>
              <w:bCs/>
              <w:sz w:val="44"/>
              <w:szCs w:val="44"/>
            </w:rPr>
            <w:t>Contents</w:t>
          </w:r>
        </w:p>
        <w:p w14:paraId="7A24FAAC" w14:textId="354A2144" w:rsidR="00170486" w:rsidRDefault="00674F72">
          <w:pPr>
            <w:pStyle w:val="TOC2"/>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51900160" w:history="1">
            <w:r w:rsidR="00170486" w:rsidRPr="000A26D2">
              <w:rPr>
                <w:rStyle w:val="Hyperlink"/>
                <w:noProof/>
              </w:rPr>
              <w:t xml:space="preserve">From the </w:t>
            </w:r>
            <w:r w:rsidR="00170486" w:rsidRPr="000A26D2">
              <w:rPr>
                <w:rStyle w:val="Hyperlink"/>
                <w:b/>
                <w:bCs/>
                <w:noProof/>
              </w:rPr>
              <w:t>Commissioner</w:t>
            </w:r>
            <w:r w:rsidR="00170486">
              <w:rPr>
                <w:noProof/>
                <w:webHidden/>
              </w:rPr>
              <w:tab/>
            </w:r>
            <w:r w:rsidR="00170486">
              <w:rPr>
                <w:noProof/>
                <w:webHidden/>
              </w:rPr>
              <w:fldChar w:fldCharType="begin"/>
            </w:r>
            <w:r w:rsidR="00170486">
              <w:rPr>
                <w:noProof/>
                <w:webHidden/>
              </w:rPr>
              <w:instrText xml:space="preserve"> PAGEREF _Toc151900160 \h </w:instrText>
            </w:r>
            <w:r w:rsidR="00170486">
              <w:rPr>
                <w:noProof/>
                <w:webHidden/>
              </w:rPr>
            </w:r>
            <w:r w:rsidR="00170486">
              <w:rPr>
                <w:noProof/>
                <w:webHidden/>
              </w:rPr>
              <w:fldChar w:fldCharType="separate"/>
            </w:r>
            <w:r w:rsidR="00170486">
              <w:rPr>
                <w:noProof/>
                <w:webHidden/>
              </w:rPr>
              <w:t>5</w:t>
            </w:r>
            <w:r w:rsidR="00170486">
              <w:rPr>
                <w:noProof/>
                <w:webHidden/>
              </w:rPr>
              <w:fldChar w:fldCharType="end"/>
            </w:r>
          </w:hyperlink>
        </w:p>
        <w:p w14:paraId="77B19337" w14:textId="01809DF8" w:rsidR="00170486" w:rsidRDefault="00000000">
          <w:pPr>
            <w:pStyle w:val="TOC2"/>
            <w:rPr>
              <w:rFonts w:asciiTheme="minorHAnsi" w:eastAsiaTheme="minorEastAsia" w:hAnsiTheme="minorHAnsi" w:cstheme="minorBidi"/>
              <w:noProof/>
              <w:color w:val="auto"/>
              <w:kern w:val="2"/>
              <w14:ligatures w14:val="standardContextual"/>
            </w:rPr>
          </w:pPr>
          <w:hyperlink w:anchor="_Toc151900161" w:history="1">
            <w:r w:rsidR="00170486" w:rsidRPr="000A26D2">
              <w:rPr>
                <w:rStyle w:val="Hyperlink"/>
                <w:noProof/>
              </w:rPr>
              <w:t xml:space="preserve">About this </w:t>
            </w:r>
            <w:r w:rsidR="00170486" w:rsidRPr="000A26D2">
              <w:rPr>
                <w:rStyle w:val="Hyperlink"/>
                <w:b/>
                <w:bCs/>
                <w:noProof/>
              </w:rPr>
              <w:t>report</w:t>
            </w:r>
            <w:r w:rsidR="00170486">
              <w:rPr>
                <w:noProof/>
                <w:webHidden/>
              </w:rPr>
              <w:tab/>
            </w:r>
            <w:r w:rsidR="00170486">
              <w:rPr>
                <w:noProof/>
                <w:webHidden/>
              </w:rPr>
              <w:fldChar w:fldCharType="begin"/>
            </w:r>
            <w:r w:rsidR="00170486">
              <w:rPr>
                <w:noProof/>
                <w:webHidden/>
              </w:rPr>
              <w:instrText xml:space="preserve"> PAGEREF _Toc151900161 \h </w:instrText>
            </w:r>
            <w:r w:rsidR="00170486">
              <w:rPr>
                <w:noProof/>
                <w:webHidden/>
              </w:rPr>
            </w:r>
            <w:r w:rsidR="00170486">
              <w:rPr>
                <w:noProof/>
                <w:webHidden/>
              </w:rPr>
              <w:fldChar w:fldCharType="separate"/>
            </w:r>
            <w:r w:rsidR="00170486">
              <w:rPr>
                <w:noProof/>
                <w:webHidden/>
              </w:rPr>
              <w:t>6</w:t>
            </w:r>
            <w:r w:rsidR="00170486">
              <w:rPr>
                <w:noProof/>
                <w:webHidden/>
              </w:rPr>
              <w:fldChar w:fldCharType="end"/>
            </w:r>
          </w:hyperlink>
        </w:p>
        <w:p w14:paraId="72699332" w14:textId="4C65BB36" w:rsidR="00170486" w:rsidRDefault="00000000">
          <w:pPr>
            <w:pStyle w:val="TOC2"/>
            <w:rPr>
              <w:rFonts w:asciiTheme="minorHAnsi" w:eastAsiaTheme="minorEastAsia" w:hAnsiTheme="minorHAnsi" w:cstheme="minorBidi"/>
              <w:noProof/>
              <w:color w:val="auto"/>
              <w:kern w:val="2"/>
              <w14:ligatures w14:val="standardContextual"/>
            </w:rPr>
          </w:pPr>
          <w:hyperlink w:anchor="_Toc151900162" w:history="1">
            <w:r w:rsidR="00170486" w:rsidRPr="000A26D2">
              <w:rPr>
                <w:rStyle w:val="Hyperlink"/>
                <w:noProof/>
              </w:rPr>
              <w:t xml:space="preserve">Section 1: </w:t>
            </w:r>
            <w:r w:rsidR="00170486" w:rsidRPr="000A26D2">
              <w:rPr>
                <w:rStyle w:val="Hyperlink"/>
                <w:b/>
                <w:bCs/>
                <w:noProof/>
              </w:rPr>
              <w:t>Structure</w:t>
            </w:r>
            <w:r w:rsidR="00170486">
              <w:rPr>
                <w:noProof/>
                <w:webHidden/>
              </w:rPr>
              <w:tab/>
            </w:r>
            <w:r w:rsidR="00170486">
              <w:rPr>
                <w:noProof/>
                <w:webHidden/>
              </w:rPr>
              <w:fldChar w:fldCharType="begin"/>
            </w:r>
            <w:r w:rsidR="00170486">
              <w:rPr>
                <w:noProof/>
                <w:webHidden/>
              </w:rPr>
              <w:instrText xml:space="preserve"> PAGEREF _Toc151900162 \h </w:instrText>
            </w:r>
            <w:r w:rsidR="00170486">
              <w:rPr>
                <w:noProof/>
                <w:webHidden/>
              </w:rPr>
            </w:r>
            <w:r w:rsidR="00170486">
              <w:rPr>
                <w:noProof/>
                <w:webHidden/>
              </w:rPr>
              <w:fldChar w:fldCharType="separate"/>
            </w:r>
            <w:r w:rsidR="00170486">
              <w:rPr>
                <w:noProof/>
                <w:webHidden/>
              </w:rPr>
              <w:t>7</w:t>
            </w:r>
            <w:r w:rsidR="00170486">
              <w:rPr>
                <w:noProof/>
                <w:webHidden/>
              </w:rPr>
              <w:fldChar w:fldCharType="end"/>
            </w:r>
          </w:hyperlink>
        </w:p>
        <w:p w14:paraId="5740ECDC" w14:textId="4AB293A6" w:rsidR="00170486" w:rsidRDefault="00000000">
          <w:pPr>
            <w:pStyle w:val="TOC2"/>
            <w:rPr>
              <w:rFonts w:asciiTheme="minorHAnsi" w:eastAsiaTheme="minorEastAsia" w:hAnsiTheme="minorHAnsi" w:cstheme="minorBidi"/>
              <w:noProof/>
              <w:color w:val="auto"/>
              <w:kern w:val="2"/>
              <w14:ligatures w14:val="standardContextual"/>
            </w:rPr>
          </w:pPr>
          <w:hyperlink w:anchor="_Toc151900163" w:history="1">
            <w:r w:rsidR="00170486" w:rsidRPr="000A26D2">
              <w:rPr>
                <w:rStyle w:val="Hyperlink"/>
                <w:noProof/>
              </w:rPr>
              <w:t xml:space="preserve">Section 2: </w:t>
            </w:r>
            <w:r w:rsidR="00170486" w:rsidRPr="000A26D2">
              <w:rPr>
                <w:rStyle w:val="Hyperlink"/>
                <w:b/>
                <w:bCs/>
                <w:noProof/>
              </w:rPr>
              <w:t>Workforce profile</w:t>
            </w:r>
            <w:r w:rsidR="00170486">
              <w:rPr>
                <w:noProof/>
                <w:webHidden/>
              </w:rPr>
              <w:tab/>
            </w:r>
            <w:r w:rsidR="00170486">
              <w:rPr>
                <w:noProof/>
                <w:webHidden/>
              </w:rPr>
              <w:fldChar w:fldCharType="begin"/>
            </w:r>
            <w:r w:rsidR="00170486">
              <w:rPr>
                <w:noProof/>
                <w:webHidden/>
              </w:rPr>
              <w:instrText xml:space="preserve"> PAGEREF _Toc151900163 \h </w:instrText>
            </w:r>
            <w:r w:rsidR="00170486">
              <w:rPr>
                <w:noProof/>
                <w:webHidden/>
              </w:rPr>
            </w:r>
            <w:r w:rsidR="00170486">
              <w:rPr>
                <w:noProof/>
                <w:webHidden/>
              </w:rPr>
              <w:fldChar w:fldCharType="separate"/>
            </w:r>
            <w:r w:rsidR="00170486">
              <w:rPr>
                <w:noProof/>
                <w:webHidden/>
              </w:rPr>
              <w:t>9</w:t>
            </w:r>
            <w:r w:rsidR="00170486">
              <w:rPr>
                <w:noProof/>
                <w:webHidden/>
              </w:rPr>
              <w:fldChar w:fldCharType="end"/>
            </w:r>
          </w:hyperlink>
        </w:p>
        <w:p w14:paraId="70CB8BF6" w14:textId="6C0ABFD8" w:rsidR="00170486" w:rsidRDefault="00000000">
          <w:pPr>
            <w:pStyle w:val="TOC3"/>
            <w:rPr>
              <w:rFonts w:asciiTheme="minorHAnsi" w:eastAsiaTheme="minorEastAsia" w:hAnsiTheme="minorHAnsi" w:cstheme="minorBidi"/>
              <w:noProof/>
              <w:kern w:val="2"/>
              <w14:ligatures w14:val="standardContextual"/>
            </w:rPr>
          </w:pPr>
          <w:hyperlink w:anchor="_Toc151900164" w:history="1">
            <w:r w:rsidR="00170486" w:rsidRPr="000A26D2">
              <w:rPr>
                <w:rStyle w:val="Hyperlink"/>
                <w:noProof/>
              </w:rPr>
              <w:t>Workforce size</w:t>
            </w:r>
            <w:r w:rsidR="00170486">
              <w:rPr>
                <w:noProof/>
                <w:webHidden/>
              </w:rPr>
              <w:tab/>
            </w:r>
            <w:r w:rsidR="00170486">
              <w:rPr>
                <w:noProof/>
                <w:webHidden/>
              </w:rPr>
              <w:fldChar w:fldCharType="begin"/>
            </w:r>
            <w:r w:rsidR="00170486">
              <w:rPr>
                <w:noProof/>
                <w:webHidden/>
              </w:rPr>
              <w:instrText xml:space="preserve"> PAGEREF _Toc151900164 \h </w:instrText>
            </w:r>
            <w:r w:rsidR="00170486">
              <w:rPr>
                <w:noProof/>
                <w:webHidden/>
              </w:rPr>
            </w:r>
            <w:r w:rsidR="00170486">
              <w:rPr>
                <w:noProof/>
                <w:webHidden/>
              </w:rPr>
              <w:fldChar w:fldCharType="separate"/>
            </w:r>
            <w:r w:rsidR="00170486">
              <w:rPr>
                <w:noProof/>
                <w:webHidden/>
              </w:rPr>
              <w:t>9</w:t>
            </w:r>
            <w:r w:rsidR="00170486">
              <w:rPr>
                <w:noProof/>
                <w:webHidden/>
              </w:rPr>
              <w:fldChar w:fldCharType="end"/>
            </w:r>
          </w:hyperlink>
        </w:p>
        <w:p w14:paraId="4BC5469D" w14:textId="3F9CA76D" w:rsidR="00170486" w:rsidRDefault="00000000">
          <w:pPr>
            <w:pStyle w:val="TOC3"/>
            <w:rPr>
              <w:rFonts w:asciiTheme="minorHAnsi" w:eastAsiaTheme="minorEastAsia" w:hAnsiTheme="minorHAnsi" w:cstheme="minorBidi"/>
              <w:noProof/>
              <w:kern w:val="2"/>
              <w14:ligatures w14:val="standardContextual"/>
            </w:rPr>
          </w:pPr>
          <w:hyperlink w:anchor="_Toc151900165" w:history="1">
            <w:r w:rsidR="00170486" w:rsidRPr="000A26D2">
              <w:rPr>
                <w:rStyle w:val="Hyperlink"/>
                <w:noProof/>
              </w:rPr>
              <w:t>State finances</w:t>
            </w:r>
            <w:r w:rsidR="00170486">
              <w:rPr>
                <w:noProof/>
                <w:webHidden/>
              </w:rPr>
              <w:tab/>
            </w:r>
            <w:r w:rsidR="00170486">
              <w:rPr>
                <w:noProof/>
                <w:webHidden/>
              </w:rPr>
              <w:fldChar w:fldCharType="begin"/>
            </w:r>
            <w:r w:rsidR="00170486">
              <w:rPr>
                <w:noProof/>
                <w:webHidden/>
              </w:rPr>
              <w:instrText xml:space="preserve"> PAGEREF _Toc151900165 \h </w:instrText>
            </w:r>
            <w:r w:rsidR="00170486">
              <w:rPr>
                <w:noProof/>
                <w:webHidden/>
              </w:rPr>
            </w:r>
            <w:r w:rsidR="00170486">
              <w:rPr>
                <w:noProof/>
                <w:webHidden/>
              </w:rPr>
              <w:fldChar w:fldCharType="separate"/>
            </w:r>
            <w:r w:rsidR="00170486">
              <w:rPr>
                <w:noProof/>
                <w:webHidden/>
              </w:rPr>
              <w:t>13</w:t>
            </w:r>
            <w:r w:rsidR="00170486">
              <w:rPr>
                <w:noProof/>
                <w:webHidden/>
              </w:rPr>
              <w:fldChar w:fldCharType="end"/>
            </w:r>
          </w:hyperlink>
        </w:p>
        <w:p w14:paraId="6A32E4C0" w14:textId="60437477" w:rsidR="00170486" w:rsidRDefault="00000000">
          <w:pPr>
            <w:pStyle w:val="TOC3"/>
            <w:rPr>
              <w:rFonts w:asciiTheme="minorHAnsi" w:eastAsiaTheme="minorEastAsia" w:hAnsiTheme="minorHAnsi" w:cstheme="minorBidi"/>
              <w:noProof/>
              <w:kern w:val="2"/>
              <w14:ligatures w14:val="standardContextual"/>
            </w:rPr>
          </w:pPr>
          <w:hyperlink w:anchor="_Toc151900166" w:history="1">
            <w:r w:rsidR="00170486" w:rsidRPr="000A26D2">
              <w:rPr>
                <w:rStyle w:val="Hyperlink"/>
                <w:noProof/>
              </w:rPr>
              <w:t>Recruitment activities</w:t>
            </w:r>
            <w:r w:rsidR="00170486">
              <w:rPr>
                <w:noProof/>
                <w:webHidden/>
              </w:rPr>
              <w:tab/>
            </w:r>
            <w:r w:rsidR="00170486">
              <w:rPr>
                <w:noProof/>
                <w:webHidden/>
              </w:rPr>
              <w:fldChar w:fldCharType="begin"/>
            </w:r>
            <w:r w:rsidR="00170486">
              <w:rPr>
                <w:noProof/>
                <w:webHidden/>
              </w:rPr>
              <w:instrText xml:space="preserve"> PAGEREF _Toc151900166 \h </w:instrText>
            </w:r>
            <w:r w:rsidR="00170486">
              <w:rPr>
                <w:noProof/>
                <w:webHidden/>
              </w:rPr>
            </w:r>
            <w:r w:rsidR="00170486">
              <w:rPr>
                <w:noProof/>
                <w:webHidden/>
              </w:rPr>
              <w:fldChar w:fldCharType="separate"/>
            </w:r>
            <w:r w:rsidR="00170486">
              <w:rPr>
                <w:noProof/>
                <w:webHidden/>
              </w:rPr>
              <w:t>14</w:t>
            </w:r>
            <w:r w:rsidR="00170486">
              <w:rPr>
                <w:noProof/>
                <w:webHidden/>
              </w:rPr>
              <w:fldChar w:fldCharType="end"/>
            </w:r>
          </w:hyperlink>
        </w:p>
        <w:p w14:paraId="3D7E9349" w14:textId="708B9001" w:rsidR="00170486" w:rsidRDefault="00000000">
          <w:pPr>
            <w:pStyle w:val="TOC3"/>
            <w:rPr>
              <w:rFonts w:asciiTheme="minorHAnsi" w:eastAsiaTheme="minorEastAsia" w:hAnsiTheme="minorHAnsi" w:cstheme="minorBidi"/>
              <w:noProof/>
              <w:kern w:val="2"/>
              <w14:ligatures w14:val="standardContextual"/>
            </w:rPr>
          </w:pPr>
          <w:hyperlink w:anchor="_Toc151900167" w:history="1">
            <w:r w:rsidR="00170486" w:rsidRPr="000A26D2">
              <w:rPr>
                <w:rStyle w:val="Hyperlink"/>
                <w:noProof/>
              </w:rPr>
              <w:t>Appointment types</w:t>
            </w:r>
            <w:r w:rsidR="00170486">
              <w:rPr>
                <w:noProof/>
                <w:webHidden/>
              </w:rPr>
              <w:tab/>
            </w:r>
            <w:r w:rsidR="00170486">
              <w:rPr>
                <w:noProof/>
                <w:webHidden/>
              </w:rPr>
              <w:fldChar w:fldCharType="begin"/>
            </w:r>
            <w:r w:rsidR="00170486">
              <w:rPr>
                <w:noProof/>
                <w:webHidden/>
              </w:rPr>
              <w:instrText xml:space="preserve"> PAGEREF _Toc151900167 \h </w:instrText>
            </w:r>
            <w:r w:rsidR="00170486">
              <w:rPr>
                <w:noProof/>
                <w:webHidden/>
              </w:rPr>
            </w:r>
            <w:r w:rsidR="00170486">
              <w:rPr>
                <w:noProof/>
                <w:webHidden/>
              </w:rPr>
              <w:fldChar w:fldCharType="separate"/>
            </w:r>
            <w:r w:rsidR="00170486">
              <w:rPr>
                <w:noProof/>
                <w:webHidden/>
              </w:rPr>
              <w:t>17</w:t>
            </w:r>
            <w:r w:rsidR="00170486">
              <w:rPr>
                <w:noProof/>
                <w:webHidden/>
              </w:rPr>
              <w:fldChar w:fldCharType="end"/>
            </w:r>
          </w:hyperlink>
        </w:p>
        <w:p w14:paraId="3BE522D3" w14:textId="78B0DE6D" w:rsidR="00170486" w:rsidRDefault="00000000">
          <w:pPr>
            <w:pStyle w:val="TOC3"/>
            <w:rPr>
              <w:rFonts w:asciiTheme="minorHAnsi" w:eastAsiaTheme="minorEastAsia" w:hAnsiTheme="minorHAnsi" w:cstheme="minorBidi"/>
              <w:noProof/>
              <w:kern w:val="2"/>
              <w14:ligatures w14:val="standardContextual"/>
            </w:rPr>
          </w:pPr>
          <w:hyperlink w:anchor="_Toc151900168" w:history="1">
            <w:r w:rsidR="00170486" w:rsidRPr="000A26D2">
              <w:rPr>
                <w:rStyle w:val="Hyperlink"/>
                <w:noProof/>
              </w:rPr>
              <w:t>Age and gender</w:t>
            </w:r>
            <w:r w:rsidR="00170486">
              <w:rPr>
                <w:noProof/>
                <w:webHidden/>
              </w:rPr>
              <w:tab/>
            </w:r>
            <w:r w:rsidR="00170486">
              <w:rPr>
                <w:noProof/>
                <w:webHidden/>
              </w:rPr>
              <w:fldChar w:fldCharType="begin"/>
            </w:r>
            <w:r w:rsidR="00170486">
              <w:rPr>
                <w:noProof/>
                <w:webHidden/>
              </w:rPr>
              <w:instrText xml:space="preserve"> PAGEREF _Toc151900168 \h </w:instrText>
            </w:r>
            <w:r w:rsidR="00170486">
              <w:rPr>
                <w:noProof/>
                <w:webHidden/>
              </w:rPr>
            </w:r>
            <w:r w:rsidR="00170486">
              <w:rPr>
                <w:noProof/>
                <w:webHidden/>
              </w:rPr>
              <w:fldChar w:fldCharType="separate"/>
            </w:r>
            <w:r w:rsidR="00170486">
              <w:rPr>
                <w:noProof/>
                <w:webHidden/>
              </w:rPr>
              <w:t>19</w:t>
            </w:r>
            <w:r w:rsidR="00170486">
              <w:rPr>
                <w:noProof/>
                <w:webHidden/>
              </w:rPr>
              <w:fldChar w:fldCharType="end"/>
            </w:r>
          </w:hyperlink>
        </w:p>
        <w:p w14:paraId="6075C12E" w14:textId="4429ACE4" w:rsidR="00170486" w:rsidRDefault="00000000">
          <w:pPr>
            <w:pStyle w:val="TOC3"/>
            <w:rPr>
              <w:rFonts w:asciiTheme="minorHAnsi" w:eastAsiaTheme="minorEastAsia" w:hAnsiTheme="minorHAnsi" w:cstheme="minorBidi"/>
              <w:noProof/>
              <w:kern w:val="2"/>
              <w14:ligatures w14:val="standardContextual"/>
            </w:rPr>
          </w:pPr>
          <w:hyperlink w:anchor="_Toc151900169" w:history="1">
            <w:r w:rsidR="00170486" w:rsidRPr="000A26D2">
              <w:rPr>
                <w:rStyle w:val="Hyperlink"/>
                <w:noProof/>
              </w:rPr>
              <w:t>Occupations</w:t>
            </w:r>
            <w:r w:rsidR="00170486">
              <w:rPr>
                <w:noProof/>
                <w:webHidden/>
              </w:rPr>
              <w:tab/>
            </w:r>
            <w:r w:rsidR="00170486">
              <w:rPr>
                <w:noProof/>
                <w:webHidden/>
              </w:rPr>
              <w:fldChar w:fldCharType="begin"/>
            </w:r>
            <w:r w:rsidR="00170486">
              <w:rPr>
                <w:noProof/>
                <w:webHidden/>
              </w:rPr>
              <w:instrText xml:space="preserve"> PAGEREF _Toc151900169 \h </w:instrText>
            </w:r>
            <w:r w:rsidR="00170486">
              <w:rPr>
                <w:noProof/>
                <w:webHidden/>
              </w:rPr>
            </w:r>
            <w:r w:rsidR="00170486">
              <w:rPr>
                <w:noProof/>
                <w:webHidden/>
              </w:rPr>
              <w:fldChar w:fldCharType="separate"/>
            </w:r>
            <w:r w:rsidR="00170486">
              <w:rPr>
                <w:noProof/>
                <w:webHidden/>
              </w:rPr>
              <w:t>25</w:t>
            </w:r>
            <w:r w:rsidR="00170486">
              <w:rPr>
                <w:noProof/>
                <w:webHidden/>
              </w:rPr>
              <w:fldChar w:fldCharType="end"/>
            </w:r>
          </w:hyperlink>
        </w:p>
        <w:p w14:paraId="2080FB52" w14:textId="2CB6F50B" w:rsidR="00170486" w:rsidRDefault="00000000">
          <w:pPr>
            <w:pStyle w:val="TOC3"/>
            <w:rPr>
              <w:rFonts w:asciiTheme="minorHAnsi" w:eastAsiaTheme="minorEastAsia" w:hAnsiTheme="minorHAnsi" w:cstheme="minorBidi"/>
              <w:noProof/>
              <w:kern w:val="2"/>
              <w14:ligatures w14:val="standardContextual"/>
            </w:rPr>
          </w:pPr>
          <w:hyperlink w:anchor="_Toc151900170" w:history="1">
            <w:r w:rsidR="00170486" w:rsidRPr="000A26D2">
              <w:rPr>
                <w:rStyle w:val="Hyperlink"/>
                <w:noProof/>
              </w:rPr>
              <w:t>Locations</w:t>
            </w:r>
            <w:r w:rsidR="00170486">
              <w:rPr>
                <w:noProof/>
                <w:webHidden/>
              </w:rPr>
              <w:tab/>
            </w:r>
            <w:r w:rsidR="00170486">
              <w:rPr>
                <w:noProof/>
                <w:webHidden/>
              </w:rPr>
              <w:fldChar w:fldCharType="begin"/>
            </w:r>
            <w:r w:rsidR="00170486">
              <w:rPr>
                <w:noProof/>
                <w:webHidden/>
              </w:rPr>
              <w:instrText xml:space="preserve"> PAGEREF _Toc151900170 \h </w:instrText>
            </w:r>
            <w:r w:rsidR="00170486">
              <w:rPr>
                <w:noProof/>
                <w:webHidden/>
              </w:rPr>
            </w:r>
            <w:r w:rsidR="00170486">
              <w:rPr>
                <w:noProof/>
                <w:webHidden/>
              </w:rPr>
              <w:fldChar w:fldCharType="separate"/>
            </w:r>
            <w:r w:rsidR="00170486">
              <w:rPr>
                <w:noProof/>
                <w:webHidden/>
              </w:rPr>
              <w:t>29</w:t>
            </w:r>
            <w:r w:rsidR="00170486">
              <w:rPr>
                <w:noProof/>
                <w:webHidden/>
              </w:rPr>
              <w:fldChar w:fldCharType="end"/>
            </w:r>
          </w:hyperlink>
        </w:p>
        <w:p w14:paraId="0F364B10" w14:textId="5A5B4461" w:rsidR="00170486" w:rsidRDefault="00000000">
          <w:pPr>
            <w:pStyle w:val="TOC3"/>
            <w:rPr>
              <w:rFonts w:asciiTheme="minorHAnsi" w:eastAsiaTheme="minorEastAsia" w:hAnsiTheme="minorHAnsi" w:cstheme="minorBidi"/>
              <w:noProof/>
              <w:kern w:val="2"/>
              <w14:ligatures w14:val="standardContextual"/>
            </w:rPr>
          </w:pPr>
          <w:hyperlink w:anchor="_Toc151900171" w:history="1">
            <w:r w:rsidR="00170486" w:rsidRPr="000A26D2">
              <w:rPr>
                <w:rStyle w:val="Hyperlink"/>
                <w:noProof/>
              </w:rPr>
              <w:t>Redeployment, redundancy, severances and separation payments</w:t>
            </w:r>
            <w:r w:rsidR="00170486">
              <w:rPr>
                <w:noProof/>
                <w:webHidden/>
              </w:rPr>
              <w:tab/>
            </w:r>
            <w:r w:rsidR="00170486">
              <w:rPr>
                <w:noProof/>
                <w:webHidden/>
              </w:rPr>
              <w:fldChar w:fldCharType="begin"/>
            </w:r>
            <w:r w:rsidR="00170486">
              <w:rPr>
                <w:noProof/>
                <w:webHidden/>
              </w:rPr>
              <w:instrText xml:space="preserve"> PAGEREF _Toc151900171 \h </w:instrText>
            </w:r>
            <w:r w:rsidR="00170486">
              <w:rPr>
                <w:noProof/>
                <w:webHidden/>
              </w:rPr>
            </w:r>
            <w:r w:rsidR="00170486">
              <w:rPr>
                <w:noProof/>
                <w:webHidden/>
              </w:rPr>
              <w:fldChar w:fldCharType="separate"/>
            </w:r>
            <w:r w:rsidR="00170486">
              <w:rPr>
                <w:noProof/>
                <w:webHidden/>
              </w:rPr>
              <w:t>31</w:t>
            </w:r>
            <w:r w:rsidR="00170486">
              <w:rPr>
                <w:noProof/>
                <w:webHidden/>
              </w:rPr>
              <w:fldChar w:fldCharType="end"/>
            </w:r>
          </w:hyperlink>
        </w:p>
        <w:p w14:paraId="30EA6939" w14:textId="238AEE75" w:rsidR="00170486" w:rsidRDefault="00000000">
          <w:pPr>
            <w:pStyle w:val="TOC3"/>
            <w:rPr>
              <w:rFonts w:asciiTheme="minorHAnsi" w:eastAsiaTheme="minorEastAsia" w:hAnsiTheme="minorHAnsi" w:cstheme="minorBidi"/>
              <w:noProof/>
              <w:kern w:val="2"/>
              <w14:ligatures w14:val="standardContextual"/>
            </w:rPr>
          </w:pPr>
          <w:hyperlink w:anchor="_Toc151900172" w:history="1">
            <w:r w:rsidR="00170486" w:rsidRPr="000A26D2">
              <w:rPr>
                <w:rStyle w:val="Hyperlink"/>
                <w:noProof/>
              </w:rPr>
              <w:t>Managing temporary personnel in the public sector</w:t>
            </w:r>
            <w:r w:rsidR="00170486">
              <w:rPr>
                <w:noProof/>
                <w:webHidden/>
              </w:rPr>
              <w:tab/>
            </w:r>
            <w:r w:rsidR="00170486">
              <w:rPr>
                <w:noProof/>
                <w:webHidden/>
              </w:rPr>
              <w:fldChar w:fldCharType="begin"/>
            </w:r>
            <w:r w:rsidR="00170486">
              <w:rPr>
                <w:noProof/>
                <w:webHidden/>
              </w:rPr>
              <w:instrText xml:space="preserve"> PAGEREF _Toc151900172 \h </w:instrText>
            </w:r>
            <w:r w:rsidR="00170486">
              <w:rPr>
                <w:noProof/>
                <w:webHidden/>
              </w:rPr>
            </w:r>
            <w:r w:rsidR="00170486">
              <w:rPr>
                <w:noProof/>
                <w:webHidden/>
              </w:rPr>
              <w:fldChar w:fldCharType="separate"/>
            </w:r>
            <w:r w:rsidR="00170486">
              <w:rPr>
                <w:noProof/>
                <w:webHidden/>
              </w:rPr>
              <w:t>31</w:t>
            </w:r>
            <w:r w:rsidR="00170486">
              <w:rPr>
                <w:noProof/>
                <w:webHidden/>
              </w:rPr>
              <w:fldChar w:fldCharType="end"/>
            </w:r>
          </w:hyperlink>
        </w:p>
        <w:p w14:paraId="2BD38354" w14:textId="1F0DA6B8" w:rsidR="00170486" w:rsidRDefault="00000000">
          <w:pPr>
            <w:pStyle w:val="TOC3"/>
            <w:rPr>
              <w:rFonts w:asciiTheme="minorHAnsi" w:eastAsiaTheme="minorEastAsia" w:hAnsiTheme="minorHAnsi" w:cstheme="minorBidi"/>
              <w:noProof/>
              <w:kern w:val="2"/>
              <w14:ligatures w14:val="standardContextual"/>
            </w:rPr>
          </w:pPr>
          <w:hyperlink w:anchor="_Toc151900173" w:history="1">
            <w:r w:rsidR="00170486" w:rsidRPr="000A26D2">
              <w:rPr>
                <w:rStyle w:val="Hyperlink"/>
                <w:rFonts w:eastAsia="Calibri"/>
                <w:noProof/>
                <w:lang w:val="en-US" w:eastAsia="en-US"/>
              </w:rPr>
              <w:t>Managing leave</w:t>
            </w:r>
            <w:r w:rsidR="00170486">
              <w:rPr>
                <w:noProof/>
                <w:webHidden/>
              </w:rPr>
              <w:tab/>
            </w:r>
            <w:r w:rsidR="00170486">
              <w:rPr>
                <w:noProof/>
                <w:webHidden/>
              </w:rPr>
              <w:fldChar w:fldCharType="begin"/>
            </w:r>
            <w:r w:rsidR="00170486">
              <w:rPr>
                <w:noProof/>
                <w:webHidden/>
              </w:rPr>
              <w:instrText xml:space="preserve"> PAGEREF _Toc151900173 \h </w:instrText>
            </w:r>
            <w:r w:rsidR="00170486">
              <w:rPr>
                <w:noProof/>
                <w:webHidden/>
              </w:rPr>
            </w:r>
            <w:r w:rsidR="00170486">
              <w:rPr>
                <w:noProof/>
                <w:webHidden/>
              </w:rPr>
              <w:fldChar w:fldCharType="separate"/>
            </w:r>
            <w:r w:rsidR="00170486">
              <w:rPr>
                <w:noProof/>
                <w:webHidden/>
              </w:rPr>
              <w:t>32</w:t>
            </w:r>
            <w:r w:rsidR="00170486">
              <w:rPr>
                <w:noProof/>
                <w:webHidden/>
              </w:rPr>
              <w:fldChar w:fldCharType="end"/>
            </w:r>
          </w:hyperlink>
        </w:p>
        <w:p w14:paraId="6C61FC43" w14:textId="40D381D6" w:rsidR="00170486" w:rsidRDefault="00000000">
          <w:pPr>
            <w:pStyle w:val="TOC3"/>
            <w:rPr>
              <w:rFonts w:asciiTheme="minorHAnsi" w:eastAsiaTheme="minorEastAsia" w:hAnsiTheme="minorHAnsi" w:cstheme="minorBidi"/>
              <w:noProof/>
              <w:kern w:val="2"/>
              <w14:ligatures w14:val="standardContextual"/>
            </w:rPr>
          </w:pPr>
          <w:hyperlink w:anchor="_Toc151900174" w:history="1">
            <w:r w:rsidR="00170486" w:rsidRPr="000A26D2">
              <w:rPr>
                <w:rStyle w:val="Hyperlink"/>
                <w:b/>
                <w:bCs/>
                <w:noProof/>
              </w:rPr>
              <w:t xml:space="preserve">Commissioner’s </w:t>
            </w:r>
            <w:r w:rsidR="00170486" w:rsidRPr="000A26D2">
              <w:rPr>
                <w:rStyle w:val="Hyperlink"/>
                <w:noProof/>
              </w:rPr>
              <w:t>observations</w:t>
            </w:r>
            <w:r w:rsidR="00170486">
              <w:rPr>
                <w:noProof/>
                <w:webHidden/>
              </w:rPr>
              <w:tab/>
            </w:r>
            <w:r w:rsidR="00170486">
              <w:rPr>
                <w:noProof/>
                <w:webHidden/>
              </w:rPr>
              <w:fldChar w:fldCharType="begin"/>
            </w:r>
            <w:r w:rsidR="00170486">
              <w:rPr>
                <w:noProof/>
                <w:webHidden/>
              </w:rPr>
              <w:instrText xml:space="preserve"> PAGEREF _Toc151900174 \h </w:instrText>
            </w:r>
            <w:r w:rsidR="00170486">
              <w:rPr>
                <w:noProof/>
                <w:webHidden/>
              </w:rPr>
            </w:r>
            <w:r w:rsidR="00170486">
              <w:rPr>
                <w:noProof/>
                <w:webHidden/>
              </w:rPr>
              <w:fldChar w:fldCharType="separate"/>
            </w:r>
            <w:r w:rsidR="00170486">
              <w:rPr>
                <w:noProof/>
                <w:webHidden/>
              </w:rPr>
              <w:t>34</w:t>
            </w:r>
            <w:r w:rsidR="00170486">
              <w:rPr>
                <w:noProof/>
                <w:webHidden/>
              </w:rPr>
              <w:fldChar w:fldCharType="end"/>
            </w:r>
          </w:hyperlink>
        </w:p>
        <w:p w14:paraId="061792E0" w14:textId="64C89EA1" w:rsidR="00170486" w:rsidRDefault="00000000">
          <w:pPr>
            <w:pStyle w:val="TOC2"/>
            <w:rPr>
              <w:rFonts w:asciiTheme="minorHAnsi" w:eastAsiaTheme="minorEastAsia" w:hAnsiTheme="minorHAnsi" w:cstheme="minorBidi"/>
              <w:noProof/>
              <w:color w:val="auto"/>
              <w:kern w:val="2"/>
              <w14:ligatures w14:val="standardContextual"/>
            </w:rPr>
          </w:pPr>
          <w:hyperlink w:anchor="_Toc151900175" w:history="1">
            <w:r w:rsidR="00170486" w:rsidRPr="000A26D2">
              <w:rPr>
                <w:rStyle w:val="Hyperlink"/>
                <w:noProof/>
              </w:rPr>
              <w:t xml:space="preserve">Section 3: </w:t>
            </w:r>
            <w:r w:rsidR="00170486" w:rsidRPr="000A26D2">
              <w:rPr>
                <w:rStyle w:val="Hyperlink"/>
                <w:b/>
                <w:bCs/>
                <w:noProof/>
              </w:rPr>
              <w:t>Workforce diversity</w:t>
            </w:r>
            <w:r w:rsidR="00170486">
              <w:rPr>
                <w:noProof/>
                <w:webHidden/>
              </w:rPr>
              <w:tab/>
            </w:r>
            <w:r w:rsidR="00170486">
              <w:rPr>
                <w:noProof/>
                <w:webHidden/>
              </w:rPr>
              <w:fldChar w:fldCharType="begin"/>
            </w:r>
            <w:r w:rsidR="00170486">
              <w:rPr>
                <w:noProof/>
                <w:webHidden/>
              </w:rPr>
              <w:instrText xml:space="preserve"> PAGEREF _Toc151900175 \h </w:instrText>
            </w:r>
            <w:r w:rsidR="00170486">
              <w:rPr>
                <w:noProof/>
                <w:webHidden/>
              </w:rPr>
            </w:r>
            <w:r w:rsidR="00170486">
              <w:rPr>
                <w:noProof/>
                <w:webHidden/>
              </w:rPr>
              <w:fldChar w:fldCharType="separate"/>
            </w:r>
            <w:r w:rsidR="00170486">
              <w:rPr>
                <w:noProof/>
                <w:webHidden/>
              </w:rPr>
              <w:t>35</w:t>
            </w:r>
            <w:r w:rsidR="00170486">
              <w:rPr>
                <w:noProof/>
                <w:webHidden/>
              </w:rPr>
              <w:fldChar w:fldCharType="end"/>
            </w:r>
          </w:hyperlink>
        </w:p>
        <w:p w14:paraId="516A4AA7" w14:textId="2502CC8C" w:rsidR="00170486" w:rsidRDefault="00000000">
          <w:pPr>
            <w:pStyle w:val="TOC3"/>
            <w:rPr>
              <w:rFonts w:asciiTheme="minorHAnsi" w:eastAsiaTheme="minorEastAsia" w:hAnsiTheme="minorHAnsi" w:cstheme="minorBidi"/>
              <w:noProof/>
              <w:kern w:val="2"/>
              <w14:ligatures w14:val="standardContextual"/>
            </w:rPr>
          </w:pPr>
          <w:hyperlink w:anchor="_Toc151900176" w:history="1">
            <w:r w:rsidR="00170486" w:rsidRPr="000A26D2">
              <w:rPr>
                <w:rStyle w:val="Hyperlink"/>
                <w:noProof/>
              </w:rPr>
              <w:t>Women employees</w:t>
            </w:r>
            <w:r w:rsidR="00170486">
              <w:rPr>
                <w:noProof/>
                <w:webHidden/>
              </w:rPr>
              <w:tab/>
            </w:r>
            <w:r w:rsidR="00170486">
              <w:rPr>
                <w:noProof/>
                <w:webHidden/>
              </w:rPr>
              <w:fldChar w:fldCharType="begin"/>
            </w:r>
            <w:r w:rsidR="00170486">
              <w:rPr>
                <w:noProof/>
                <w:webHidden/>
              </w:rPr>
              <w:instrText xml:space="preserve"> PAGEREF _Toc151900176 \h </w:instrText>
            </w:r>
            <w:r w:rsidR="00170486">
              <w:rPr>
                <w:noProof/>
                <w:webHidden/>
              </w:rPr>
            </w:r>
            <w:r w:rsidR="00170486">
              <w:rPr>
                <w:noProof/>
                <w:webHidden/>
              </w:rPr>
              <w:fldChar w:fldCharType="separate"/>
            </w:r>
            <w:r w:rsidR="00170486">
              <w:rPr>
                <w:noProof/>
                <w:webHidden/>
              </w:rPr>
              <w:t>35</w:t>
            </w:r>
            <w:r w:rsidR="00170486">
              <w:rPr>
                <w:noProof/>
                <w:webHidden/>
              </w:rPr>
              <w:fldChar w:fldCharType="end"/>
            </w:r>
          </w:hyperlink>
        </w:p>
        <w:p w14:paraId="75BEDA1B" w14:textId="68CFF2E6" w:rsidR="00170486" w:rsidRDefault="00000000">
          <w:pPr>
            <w:pStyle w:val="TOC3"/>
            <w:rPr>
              <w:rFonts w:asciiTheme="minorHAnsi" w:eastAsiaTheme="minorEastAsia" w:hAnsiTheme="minorHAnsi" w:cstheme="minorBidi"/>
              <w:noProof/>
              <w:kern w:val="2"/>
              <w14:ligatures w14:val="standardContextual"/>
            </w:rPr>
          </w:pPr>
          <w:hyperlink w:anchor="_Toc151900177" w:history="1">
            <w:r w:rsidR="00170486" w:rsidRPr="000A26D2">
              <w:rPr>
                <w:rStyle w:val="Hyperlink"/>
                <w:noProof/>
              </w:rPr>
              <w:t>Aboriginal and Torres Strait Islander employees</w:t>
            </w:r>
            <w:r w:rsidR="00170486">
              <w:rPr>
                <w:noProof/>
                <w:webHidden/>
              </w:rPr>
              <w:tab/>
            </w:r>
            <w:r w:rsidR="00170486">
              <w:rPr>
                <w:noProof/>
                <w:webHidden/>
              </w:rPr>
              <w:fldChar w:fldCharType="begin"/>
            </w:r>
            <w:r w:rsidR="00170486">
              <w:rPr>
                <w:noProof/>
                <w:webHidden/>
              </w:rPr>
              <w:instrText xml:space="preserve"> PAGEREF _Toc151900177 \h </w:instrText>
            </w:r>
            <w:r w:rsidR="00170486">
              <w:rPr>
                <w:noProof/>
                <w:webHidden/>
              </w:rPr>
            </w:r>
            <w:r w:rsidR="00170486">
              <w:rPr>
                <w:noProof/>
                <w:webHidden/>
              </w:rPr>
              <w:fldChar w:fldCharType="separate"/>
            </w:r>
            <w:r w:rsidR="00170486">
              <w:rPr>
                <w:noProof/>
                <w:webHidden/>
              </w:rPr>
              <w:t>37</w:t>
            </w:r>
            <w:r w:rsidR="00170486">
              <w:rPr>
                <w:noProof/>
                <w:webHidden/>
              </w:rPr>
              <w:fldChar w:fldCharType="end"/>
            </w:r>
          </w:hyperlink>
        </w:p>
        <w:p w14:paraId="35C23E29" w14:textId="0DD88715" w:rsidR="00170486" w:rsidRDefault="00000000">
          <w:pPr>
            <w:pStyle w:val="TOC3"/>
            <w:rPr>
              <w:rFonts w:asciiTheme="minorHAnsi" w:eastAsiaTheme="minorEastAsia" w:hAnsiTheme="minorHAnsi" w:cstheme="minorBidi"/>
              <w:noProof/>
              <w:kern w:val="2"/>
              <w14:ligatures w14:val="standardContextual"/>
            </w:rPr>
          </w:pPr>
          <w:hyperlink w:anchor="_Toc151900178" w:history="1">
            <w:r w:rsidR="00170486" w:rsidRPr="000A26D2">
              <w:rPr>
                <w:rStyle w:val="Hyperlink"/>
                <w:noProof/>
              </w:rPr>
              <w:t>Employees with disability</w:t>
            </w:r>
            <w:r w:rsidR="00170486">
              <w:rPr>
                <w:noProof/>
                <w:webHidden/>
              </w:rPr>
              <w:tab/>
            </w:r>
            <w:r w:rsidR="00170486">
              <w:rPr>
                <w:noProof/>
                <w:webHidden/>
              </w:rPr>
              <w:fldChar w:fldCharType="begin"/>
            </w:r>
            <w:r w:rsidR="00170486">
              <w:rPr>
                <w:noProof/>
                <w:webHidden/>
              </w:rPr>
              <w:instrText xml:space="preserve"> PAGEREF _Toc151900178 \h </w:instrText>
            </w:r>
            <w:r w:rsidR="00170486">
              <w:rPr>
                <w:noProof/>
                <w:webHidden/>
              </w:rPr>
            </w:r>
            <w:r w:rsidR="00170486">
              <w:rPr>
                <w:noProof/>
                <w:webHidden/>
              </w:rPr>
              <w:fldChar w:fldCharType="separate"/>
            </w:r>
            <w:r w:rsidR="00170486">
              <w:rPr>
                <w:noProof/>
                <w:webHidden/>
              </w:rPr>
              <w:t>39</w:t>
            </w:r>
            <w:r w:rsidR="00170486">
              <w:rPr>
                <w:noProof/>
                <w:webHidden/>
              </w:rPr>
              <w:fldChar w:fldCharType="end"/>
            </w:r>
          </w:hyperlink>
        </w:p>
        <w:p w14:paraId="77D78A93" w14:textId="72BF0279" w:rsidR="00170486" w:rsidRDefault="00000000">
          <w:pPr>
            <w:pStyle w:val="TOC3"/>
            <w:rPr>
              <w:rFonts w:asciiTheme="minorHAnsi" w:eastAsiaTheme="minorEastAsia" w:hAnsiTheme="minorHAnsi" w:cstheme="minorBidi"/>
              <w:noProof/>
              <w:kern w:val="2"/>
              <w14:ligatures w14:val="standardContextual"/>
            </w:rPr>
          </w:pPr>
          <w:hyperlink w:anchor="_Toc151900179" w:history="1">
            <w:r w:rsidR="00170486" w:rsidRPr="000A26D2">
              <w:rPr>
                <w:rStyle w:val="Hyperlink"/>
                <w:noProof/>
              </w:rPr>
              <w:t>Culturally and linguistically diverse employees</w:t>
            </w:r>
            <w:r w:rsidR="00170486">
              <w:rPr>
                <w:noProof/>
                <w:webHidden/>
              </w:rPr>
              <w:tab/>
            </w:r>
            <w:r w:rsidR="00170486">
              <w:rPr>
                <w:noProof/>
                <w:webHidden/>
              </w:rPr>
              <w:fldChar w:fldCharType="begin"/>
            </w:r>
            <w:r w:rsidR="00170486">
              <w:rPr>
                <w:noProof/>
                <w:webHidden/>
              </w:rPr>
              <w:instrText xml:space="preserve"> PAGEREF _Toc151900179 \h </w:instrText>
            </w:r>
            <w:r w:rsidR="00170486">
              <w:rPr>
                <w:noProof/>
                <w:webHidden/>
              </w:rPr>
            </w:r>
            <w:r w:rsidR="00170486">
              <w:rPr>
                <w:noProof/>
                <w:webHidden/>
              </w:rPr>
              <w:fldChar w:fldCharType="separate"/>
            </w:r>
            <w:r w:rsidR="00170486">
              <w:rPr>
                <w:noProof/>
                <w:webHidden/>
              </w:rPr>
              <w:t>40</w:t>
            </w:r>
            <w:r w:rsidR="00170486">
              <w:rPr>
                <w:noProof/>
                <w:webHidden/>
              </w:rPr>
              <w:fldChar w:fldCharType="end"/>
            </w:r>
          </w:hyperlink>
        </w:p>
        <w:p w14:paraId="22EC27E2" w14:textId="12523BCB" w:rsidR="00170486" w:rsidRDefault="00000000">
          <w:pPr>
            <w:pStyle w:val="TOC3"/>
            <w:rPr>
              <w:rFonts w:asciiTheme="minorHAnsi" w:eastAsiaTheme="minorEastAsia" w:hAnsiTheme="minorHAnsi" w:cstheme="minorBidi"/>
              <w:noProof/>
              <w:kern w:val="2"/>
              <w14:ligatures w14:val="standardContextual"/>
            </w:rPr>
          </w:pPr>
          <w:hyperlink w:anchor="_Toc151900180" w:history="1">
            <w:r w:rsidR="00170486" w:rsidRPr="000A26D2">
              <w:rPr>
                <w:rStyle w:val="Hyperlink"/>
                <w:noProof/>
              </w:rPr>
              <w:t>Youth employees</w:t>
            </w:r>
            <w:r w:rsidR="00170486">
              <w:rPr>
                <w:noProof/>
                <w:webHidden/>
              </w:rPr>
              <w:tab/>
            </w:r>
            <w:r w:rsidR="00170486">
              <w:rPr>
                <w:noProof/>
                <w:webHidden/>
              </w:rPr>
              <w:fldChar w:fldCharType="begin"/>
            </w:r>
            <w:r w:rsidR="00170486">
              <w:rPr>
                <w:noProof/>
                <w:webHidden/>
              </w:rPr>
              <w:instrText xml:space="preserve"> PAGEREF _Toc151900180 \h </w:instrText>
            </w:r>
            <w:r w:rsidR="00170486">
              <w:rPr>
                <w:noProof/>
                <w:webHidden/>
              </w:rPr>
            </w:r>
            <w:r w:rsidR="00170486">
              <w:rPr>
                <w:noProof/>
                <w:webHidden/>
              </w:rPr>
              <w:fldChar w:fldCharType="separate"/>
            </w:r>
            <w:r w:rsidR="00170486">
              <w:rPr>
                <w:noProof/>
                <w:webHidden/>
              </w:rPr>
              <w:t>41</w:t>
            </w:r>
            <w:r w:rsidR="00170486">
              <w:rPr>
                <w:noProof/>
                <w:webHidden/>
              </w:rPr>
              <w:fldChar w:fldCharType="end"/>
            </w:r>
          </w:hyperlink>
        </w:p>
        <w:p w14:paraId="58C2D3F4" w14:textId="4F827D87" w:rsidR="00170486" w:rsidRDefault="00000000">
          <w:pPr>
            <w:pStyle w:val="TOC3"/>
            <w:rPr>
              <w:rFonts w:asciiTheme="minorHAnsi" w:eastAsiaTheme="minorEastAsia" w:hAnsiTheme="minorHAnsi" w:cstheme="minorBidi"/>
              <w:noProof/>
              <w:kern w:val="2"/>
              <w14:ligatures w14:val="standardContextual"/>
            </w:rPr>
          </w:pPr>
          <w:hyperlink w:anchor="_Toc151900181" w:history="1">
            <w:r w:rsidR="00170486" w:rsidRPr="000A26D2">
              <w:rPr>
                <w:rStyle w:val="Hyperlink"/>
                <w:noProof/>
              </w:rPr>
              <w:t>Employees of diverse sexualities and genders</w:t>
            </w:r>
            <w:r w:rsidR="00170486">
              <w:rPr>
                <w:noProof/>
                <w:webHidden/>
              </w:rPr>
              <w:tab/>
            </w:r>
            <w:r w:rsidR="00170486">
              <w:rPr>
                <w:noProof/>
                <w:webHidden/>
              </w:rPr>
              <w:fldChar w:fldCharType="begin"/>
            </w:r>
            <w:r w:rsidR="00170486">
              <w:rPr>
                <w:noProof/>
                <w:webHidden/>
              </w:rPr>
              <w:instrText xml:space="preserve"> PAGEREF _Toc151900181 \h </w:instrText>
            </w:r>
            <w:r w:rsidR="00170486">
              <w:rPr>
                <w:noProof/>
                <w:webHidden/>
              </w:rPr>
            </w:r>
            <w:r w:rsidR="00170486">
              <w:rPr>
                <w:noProof/>
                <w:webHidden/>
              </w:rPr>
              <w:fldChar w:fldCharType="separate"/>
            </w:r>
            <w:r w:rsidR="00170486">
              <w:rPr>
                <w:noProof/>
                <w:webHidden/>
              </w:rPr>
              <w:t>42</w:t>
            </w:r>
            <w:r w:rsidR="00170486">
              <w:rPr>
                <w:noProof/>
                <w:webHidden/>
              </w:rPr>
              <w:fldChar w:fldCharType="end"/>
            </w:r>
          </w:hyperlink>
        </w:p>
        <w:p w14:paraId="454A2316" w14:textId="310F0EB5" w:rsidR="00170486" w:rsidRDefault="00000000">
          <w:pPr>
            <w:pStyle w:val="TOC3"/>
            <w:rPr>
              <w:rFonts w:asciiTheme="minorHAnsi" w:eastAsiaTheme="minorEastAsia" w:hAnsiTheme="minorHAnsi" w:cstheme="minorBidi"/>
              <w:noProof/>
              <w:kern w:val="2"/>
              <w14:ligatures w14:val="standardContextual"/>
            </w:rPr>
          </w:pPr>
          <w:hyperlink w:anchor="_Toc151900182" w:history="1">
            <w:r w:rsidR="00170486" w:rsidRPr="000A26D2">
              <w:rPr>
                <w:rStyle w:val="Hyperlink"/>
                <w:b/>
                <w:bCs/>
                <w:noProof/>
              </w:rPr>
              <w:t xml:space="preserve">Commissioner’s </w:t>
            </w:r>
            <w:r w:rsidR="00170486" w:rsidRPr="000A26D2">
              <w:rPr>
                <w:rStyle w:val="Hyperlink"/>
                <w:noProof/>
              </w:rPr>
              <w:t>observations</w:t>
            </w:r>
            <w:r w:rsidR="00170486">
              <w:rPr>
                <w:noProof/>
                <w:webHidden/>
              </w:rPr>
              <w:tab/>
            </w:r>
            <w:r w:rsidR="00170486">
              <w:rPr>
                <w:noProof/>
                <w:webHidden/>
              </w:rPr>
              <w:fldChar w:fldCharType="begin"/>
            </w:r>
            <w:r w:rsidR="00170486">
              <w:rPr>
                <w:noProof/>
                <w:webHidden/>
              </w:rPr>
              <w:instrText xml:space="preserve"> PAGEREF _Toc151900182 \h </w:instrText>
            </w:r>
            <w:r w:rsidR="00170486">
              <w:rPr>
                <w:noProof/>
                <w:webHidden/>
              </w:rPr>
            </w:r>
            <w:r w:rsidR="00170486">
              <w:rPr>
                <w:noProof/>
                <w:webHidden/>
              </w:rPr>
              <w:fldChar w:fldCharType="separate"/>
            </w:r>
            <w:r w:rsidR="00170486">
              <w:rPr>
                <w:noProof/>
                <w:webHidden/>
              </w:rPr>
              <w:t>43</w:t>
            </w:r>
            <w:r w:rsidR="00170486">
              <w:rPr>
                <w:noProof/>
                <w:webHidden/>
              </w:rPr>
              <w:fldChar w:fldCharType="end"/>
            </w:r>
          </w:hyperlink>
        </w:p>
        <w:p w14:paraId="4830EEF7" w14:textId="4415A509" w:rsidR="00170486" w:rsidRDefault="00000000">
          <w:pPr>
            <w:pStyle w:val="TOC2"/>
            <w:rPr>
              <w:rFonts w:asciiTheme="minorHAnsi" w:eastAsiaTheme="minorEastAsia" w:hAnsiTheme="minorHAnsi" w:cstheme="minorBidi"/>
              <w:noProof/>
              <w:color w:val="auto"/>
              <w:kern w:val="2"/>
              <w14:ligatures w14:val="standardContextual"/>
            </w:rPr>
          </w:pPr>
          <w:hyperlink w:anchor="_Toc151900183" w:history="1">
            <w:r w:rsidR="00170486" w:rsidRPr="000A26D2">
              <w:rPr>
                <w:rStyle w:val="Hyperlink"/>
                <w:noProof/>
              </w:rPr>
              <w:t xml:space="preserve">Section 4: </w:t>
            </w:r>
            <w:r w:rsidR="00170486" w:rsidRPr="000A26D2">
              <w:rPr>
                <w:rStyle w:val="Hyperlink"/>
                <w:b/>
                <w:bCs/>
                <w:noProof/>
              </w:rPr>
              <w:t>Leadership</w:t>
            </w:r>
            <w:r w:rsidR="00170486">
              <w:rPr>
                <w:noProof/>
                <w:webHidden/>
              </w:rPr>
              <w:tab/>
            </w:r>
            <w:r w:rsidR="00170486">
              <w:rPr>
                <w:noProof/>
                <w:webHidden/>
              </w:rPr>
              <w:fldChar w:fldCharType="begin"/>
            </w:r>
            <w:r w:rsidR="00170486">
              <w:rPr>
                <w:noProof/>
                <w:webHidden/>
              </w:rPr>
              <w:instrText xml:space="preserve"> PAGEREF _Toc151900183 \h </w:instrText>
            </w:r>
            <w:r w:rsidR="00170486">
              <w:rPr>
                <w:noProof/>
                <w:webHidden/>
              </w:rPr>
            </w:r>
            <w:r w:rsidR="00170486">
              <w:rPr>
                <w:noProof/>
                <w:webHidden/>
              </w:rPr>
              <w:fldChar w:fldCharType="separate"/>
            </w:r>
            <w:r w:rsidR="00170486">
              <w:rPr>
                <w:noProof/>
                <w:webHidden/>
              </w:rPr>
              <w:t>44</w:t>
            </w:r>
            <w:r w:rsidR="00170486">
              <w:rPr>
                <w:noProof/>
                <w:webHidden/>
              </w:rPr>
              <w:fldChar w:fldCharType="end"/>
            </w:r>
          </w:hyperlink>
        </w:p>
        <w:p w14:paraId="184C49C2" w14:textId="7620CABA" w:rsidR="00170486" w:rsidRDefault="00000000">
          <w:pPr>
            <w:pStyle w:val="TOC3"/>
            <w:rPr>
              <w:rFonts w:asciiTheme="minorHAnsi" w:eastAsiaTheme="minorEastAsia" w:hAnsiTheme="minorHAnsi" w:cstheme="minorBidi"/>
              <w:noProof/>
              <w:kern w:val="2"/>
              <w14:ligatures w14:val="standardContextual"/>
            </w:rPr>
          </w:pPr>
          <w:hyperlink w:anchor="_Toc151900184" w:history="1">
            <w:r w:rsidR="00170486" w:rsidRPr="000A26D2">
              <w:rPr>
                <w:rStyle w:val="Hyperlink"/>
                <w:noProof/>
              </w:rPr>
              <w:t>Diversity in leadership</w:t>
            </w:r>
            <w:r w:rsidR="00170486">
              <w:rPr>
                <w:noProof/>
                <w:webHidden/>
              </w:rPr>
              <w:tab/>
            </w:r>
            <w:r w:rsidR="00170486">
              <w:rPr>
                <w:noProof/>
                <w:webHidden/>
              </w:rPr>
              <w:fldChar w:fldCharType="begin"/>
            </w:r>
            <w:r w:rsidR="00170486">
              <w:rPr>
                <w:noProof/>
                <w:webHidden/>
              </w:rPr>
              <w:instrText xml:space="preserve"> PAGEREF _Toc151900184 \h </w:instrText>
            </w:r>
            <w:r w:rsidR="00170486">
              <w:rPr>
                <w:noProof/>
                <w:webHidden/>
              </w:rPr>
            </w:r>
            <w:r w:rsidR="00170486">
              <w:rPr>
                <w:noProof/>
                <w:webHidden/>
              </w:rPr>
              <w:fldChar w:fldCharType="separate"/>
            </w:r>
            <w:r w:rsidR="00170486">
              <w:rPr>
                <w:noProof/>
                <w:webHidden/>
              </w:rPr>
              <w:t>44</w:t>
            </w:r>
            <w:r w:rsidR="00170486">
              <w:rPr>
                <w:noProof/>
                <w:webHidden/>
              </w:rPr>
              <w:fldChar w:fldCharType="end"/>
            </w:r>
          </w:hyperlink>
        </w:p>
        <w:p w14:paraId="41B64AA7" w14:textId="487C21AA" w:rsidR="00170486" w:rsidRDefault="00000000">
          <w:pPr>
            <w:pStyle w:val="TOC3"/>
            <w:rPr>
              <w:rFonts w:asciiTheme="minorHAnsi" w:eastAsiaTheme="minorEastAsia" w:hAnsiTheme="minorHAnsi" w:cstheme="minorBidi"/>
              <w:noProof/>
              <w:kern w:val="2"/>
              <w14:ligatures w14:val="standardContextual"/>
            </w:rPr>
          </w:pPr>
          <w:hyperlink w:anchor="_Toc151900185" w:history="1">
            <w:r w:rsidR="00170486" w:rsidRPr="000A26D2">
              <w:rPr>
                <w:rStyle w:val="Hyperlink"/>
                <w:noProof/>
              </w:rPr>
              <w:t>Public sector leadership</w:t>
            </w:r>
            <w:r w:rsidR="00170486">
              <w:rPr>
                <w:noProof/>
                <w:webHidden/>
              </w:rPr>
              <w:tab/>
            </w:r>
            <w:r w:rsidR="00170486">
              <w:rPr>
                <w:noProof/>
                <w:webHidden/>
              </w:rPr>
              <w:fldChar w:fldCharType="begin"/>
            </w:r>
            <w:r w:rsidR="00170486">
              <w:rPr>
                <w:noProof/>
                <w:webHidden/>
              </w:rPr>
              <w:instrText xml:space="preserve"> PAGEREF _Toc151900185 \h </w:instrText>
            </w:r>
            <w:r w:rsidR="00170486">
              <w:rPr>
                <w:noProof/>
                <w:webHidden/>
              </w:rPr>
            </w:r>
            <w:r w:rsidR="00170486">
              <w:rPr>
                <w:noProof/>
                <w:webHidden/>
              </w:rPr>
              <w:fldChar w:fldCharType="separate"/>
            </w:r>
            <w:r w:rsidR="00170486">
              <w:rPr>
                <w:noProof/>
                <w:webHidden/>
              </w:rPr>
              <w:t>45</w:t>
            </w:r>
            <w:r w:rsidR="00170486">
              <w:rPr>
                <w:noProof/>
                <w:webHidden/>
              </w:rPr>
              <w:fldChar w:fldCharType="end"/>
            </w:r>
          </w:hyperlink>
        </w:p>
        <w:p w14:paraId="095AC4D5" w14:textId="2B3D7897" w:rsidR="00170486" w:rsidRDefault="00000000">
          <w:pPr>
            <w:pStyle w:val="TOC3"/>
            <w:rPr>
              <w:rFonts w:asciiTheme="minorHAnsi" w:eastAsiaTheme="minorEastAsia" w:hAnsiTheme="minorHAnsi" w:cstheme="minorBidi"/>
              <w:noProof/>
              <w:kern w:val="2"/>
              <w14:ligatures w14:val="standardContextual"/>
            </w:rPr>
          </w:pPr>
          <w:hyperlink w:anchor="_Toc151900186" w:history="1">
            <w:r w:rsidR="00170486" w:rsidRPr="000A26D2">
              <w:rPr>
                <w:rStyle w:val="Hyperlink"/>
                <w:noProof/>
              </w:rPr>
              <w:t>Leadership development</w:t>
            </w:r>
            <w:r w:rsidR="00170486">
              <w:rPr>
                <w:noProof/>
                <w:webHidden/>
              </w:rPr>
              <w:tab/>
            </w:r>
            <w:r w:rsidR="00170486">
              <w:rPr>
                <w:noProof/>
                <w:webHidden/>
              </w:rPr>
              <w:fldChar w:fldCharType="begin"/>
            </w:r>
            <w:r w:rsidR="00170486">
              <w:rPr>
                <w:noProof/>
                <w:webHidden/>
              </w:rPr>
              <w:instrText xml:space="preserve"> PAGEREF _Toc151900186 \h </w:instrText>
            </w:r>
            <w:r w:rsidR="00170486">
              <w:rPr>
                <w:noProof/>
                <w:webHidden/>
              </w:rPr>
            </w:r>
            <w:r w:rsidR="00170486">
              <w:rPr>
                <w:noProof/>
                <w:webHidden/>
              </w:rPr>
              <w:fldChar w:fldCharType="separate"/>
            </w:r>
            <w:r w:rsidR="00170486">
              <w:rPr>
                <w:noProof/>
                <w:webHidden/>
              </w:rPr>
              <w:t>45</w:t>
            </w:r>
            <w:r w:rsidR="00170486">
              <w:rPr>
                <w:noProof/>
                <w:webHidden/>
              </w:rPr>
              <w:fldChar w:fldCharType="end"/>
            </w:r>
          </w:hyperlink>
        </w:p>
        <w:p w14:paraId="7A3DE2E3" w14:textId="504080A1" w:rsidR="00170486" w:rsidRDefault="00000000">
          <w:pPr>
            <w:pStyle w:val="TOC3"/>
            <w:rPr>
              <w:rFonts w:asciiTheme="minorHAnsi" w:eastAsiaTheme="minorEastAsia" w:hAnsiTheme="minorHAnsi" w:cstheme="minorBidi"/>
              <w:noProof/>
              <w:kern w:val="2"/>
              <w14:ligatures w14:val="standardContextual"/>
            </w:rPr>
          </w:pPr>
          <w:hyperlink w:anchor="_Toc151900187" w:history="1">
            <w:r w:rsidR="00170486" w:rsidRPr="000A26D2">
              <w:rPr>
                <w:rStyle w:val="Hyperlink"/>
                <w:noProof/>
              </w:rPr>
              <w:t>Leadership age profile</w:t>
            </w:r>
            <w:r w:rsidR="00170486">
              <w:rPr>
                <w:noProof/>
                <w:webHidden/>
              </w:rPr>
              <w:tab/>
            </w:r>
            <w:r w:rsidR="00170486">
              <w:rPr>
                <w:noProof/>
                <w:webHidden/>
              </w:rPr>
              <w:fldChar w:fldCharType="begin"/>
            </w:r>
            <w:r w:rsidR="00170486">
              <w:rPr>
                <w:noProof/>
                <w:webHidden/>
              </w:rPr>
              <w:instrText xml:space="preserve"> PAGEREF _Toc151900187 \h </w:instrText>
            </w:r>
            <w:r w:rsidR="00170486">
              <w:rPr>
                <w:noProof/>
                <w:webHidden/>
              </w:rPr>
            </w:r>
            <w:r w:rsidR="00170486">
              <w:rPr>
                <w:noProof/>
                <w:webHidden/>
              </w:rPr>
              <w:fldChar w:fldCharType="separate"/>
            </w:r>
            <w:r w:rsidR="00170486">
              <w:rPr>
                <w:noProof/>
                <w:webHidden/>
              </w:rPr>
              <w:t>49</w:t>
            </w:r>
            <w:r w:rsidR="00170486">
              <w:rPr>
                <w:noProof/>
                <w:webHidden/>
              </w:rPr>
              <w:fldChar w:fldCharType="end"/>
            </w:r>
          </w:hyperlink>
        </w:p>
        <w:p w14:paraId="3336118E" w14:textId="07AF4339" w:rsidR="00170486" w:rsidRDefault="00000000">
          <w:pPr>
            <w:pStyle w:val="TOC3"/>
            <w:rPr>
              <w:rFonts w:asciiTheme="minorHAnsi" w:eastAsiaTheme="minorEastAsia" w:hAnsiTheme="minorHAnsi" w:cstheme="minorBidi"/>
              <w:noProof/>
              <w:kern w:val="2"/>
              <w14:ligatures w14:val="standardContextual"/>
            </w:rPr>
          </w:pPr>
          <w:hyperlink w:anchor="_Toc151900188" w:history="1">
            <w:r w:rsidR="00170486" w:rsidRPr="000A26D2">
              <w:rPr>
                <w:rStyle w:val="Hyperlink"/>
                <w:b/>
                <w:bCs/>
                <w:noProof/>
              </w:rPr>
              <w:t>Commissioner’s</w:t>
            </w:r>
            <w:r w:rsidR="00170486" w:rsidRPr="000A26D2">
              <w:rPr>
                <w:rStyle w:val="Hyperlink"/>
                <w:noProof/>
              </w:rPr>
              <w:t xml:space="preserve"> observations</w:t>
            </w:r>
            <w:r w:rsidR="00170486">
              <w:rPr>
                <w:noProof/>
                <w:webHidden/>
              </w:rPr>
              <w:tab/>
            </w:r>
            <w:r w:rsidR="00170486">
              <w:rPr>
                <w:noProof/>
                <w:webHidden/>
              </w:rPr>
              <w:fldChar w:fldCharType="begin"/>
            </w:r>
            <w:r w:rsidR="00170486">
              <w:rPr>
                <w:noProof/>
                <w:webHidden/>
              </w:rPr>
              <w:instrText xml:space="preserve"> PAGEREF _Toc151900188 \h </w:instrText>
            </w:r>
            <w:r w:rsidR="00170486">
              <w:rPr>
                <w:noProof/>
                <w:webHidden/>
              </w:rPr>
            </w:r>
            <w:r w:rsidR="00170486">
              <w:rPr>
                <w:noProof/>
                <w:webHidden/>
              </w:rPr>
              <w:fldChar w:fldCharType="separate"/>
            </w:r>
            <w:r w:rsidR="00170486">
              <w:rPr>
                <w:noProof/>
                <w:webHidden/>
              </w:rPr>
              <w:t>50</w:t>
            </w:r>
            <w:r w:rsidR="00170486">
              <w:rPr>
                <w:noProof/>
                <w:webHidden/>
              </w:rPr>
              <w:fldChar w:fldCharType="end"/>
            </w:r>
          </w:hyperlink>
        </w:p>
        <w:p w14:paraId="3C4C4E6D" w14:textId="330084AF" w:rsidR="00170486" w:rsidRDefault="00000000">
          <w:pPr>
            <w:pStyle w:val="TOC2"/>
            <w:rPr>
              <w:rFonts w:asciiTheme="minorHAnsi" w:eastAsiaTheme="minorEastAsia" w:hAnsiTheme="minorHAnsi" w:cstheme="minorBidi"/>
              <w:noProof/>
              <w:color w:val="auto"/>
              <w:kern w:val="2"/>
              <w14:ligatures w14:val="standardContextual"/>
            </w:rPr>
          </w:pPr>
          <w:hyperlink w:anchor="_Toc151900189" w:history="1">
            <w:r w:rsidR="00170486" w:rsidRPr="000A26D2">
              <w:rPr>
                <w:rStyle w:val="Hyperlink"/>
                <w:noProof/>
              </w:rPr>
              <w:t xml:space="preserve">Section 5: </w:t>
            </w:r>
            <w:r w:rsidR="00170486" w:rsidRPr="000A26D2">
              <w:rPr>
                <w:rStyle w:val="Hyperlink"/>
                <w:b/>
                <w:bCs/>
                <w:noProof/>
              </w:rPr>
              <w:t>Conduct</w:t>
            </w:r>
            <w:r w:rsidR="00170486">
              <w:rPr>
                <w:noProof/>
                <w:webHidden/>
              </w:rPr>
              <w:tab/>
            </w:r>
            <w:r w:rsidR="00170486">
              <w:rPr>
                <w:noProof/>
                <w:webHidden/>
              </w:rPr>
              <w:fldChar w:fldCharType="begin"/>
            </w:r>
            <w:r w:rsidR="00170486">
              <w:rPr>
                <w:noProof/>
                <w:webHidden/>
              </w:rPr>
              <w:instrText xml:space="preserve"> PAGEREF _Toc151900189 \h </w:instrText>
            </w:r>
            <w:r w:rsidR="00170486">
              <w:rPr>
                <w:noProof/>
                <w:webHidden/>
              </w:rPr>
            </w:r>
            <w:r w:rsidR="00170486">
              <w:rPr>
                <w:noProof/>
                <w:webHidden/>
              </w:rPr>
              <w:fldChar w:fldCharType="separate"/>
            </w:r>
            <w:r w:rsidR="00170486">
              <w:rPr>
                <w:noProof/>
                <w:webHidden/>
              </w:rPr>
              <w:t>51</w:t>
            </w:r>
            <w:r w:rsidR="00170486">
              <w:rPr>
                <w:noProof/>
                <w:webHidden/>
              </w:rPr>
              <w:fldChar w:fldCharType="end"/>
            </w:r>
          </w:hyperlink>
        </w:p>
        <w:p w14:paraId="56697D45" w14:textId="09A1AAE2" w:rsidR="00170486" w:rsidRDefault="00000000">
          <w:pPr>
            <w:pStyle w:val="TOC3"/>
            <w:rPr>
              <w:rFonts w:asciiTheme="minorHAnsi" w:eastAsiaTheme="minorEastAsia" w:hAnsiTheme="minorHAnsi" w:cstheme="minorBidi"/>
              <w:noProof/>
              <w:kern w:val="2"/>
              <w14:ligatures w14:val="standardContextual"/>
            </w:rPr>
          </w:pPr>
          <w:hyperlink w:anchor="_Toc151900190" w:history="1">
            <w:r w:rsidR="00170486" w:rsidRPr="000A26D2">
              <w:rPr>
                <w:rStyle w:val="Hyperlink"/>
                <w:noProof/>
              </w:rPr>
              <w:t>Integrity strategy</w:t>
            </w:r>
            <w:r w:rsidR="00170486">
              <w:rPr>
                <w:noProof/>
                <w:webHidden/>
              </w:rPr>
              <w:tab/>
            </w:r>
            <w:r w:rsidR="00170486">
              <w:rPr>
                <w:noProof/>
                <w:webHidden/>
              </w:rPr>
              <w:fldChar w:fldCharType="begin"/>
            </w:r>
            <w:r w:rsidR="00170486">
              <w:rPr>
                <w:noProof/>
                <w:webHidden/>
              </w:rPr>
              <w:instrText xml:space="preserve"> PAGEREF _Toc151900190 \h </w:instrText>
            </w:r>
            <w:r w:rsidR="00170486">
              <w:rPr>
                <w:noProof/>
                <w:webHidden/>
              </w:rPr>
            </w:r>
            <w:r w:rsidR="00170486">
              <w:rPr>
                <w:noProof/>
                <w:webHidden/>
              </w:rPr>
              <w:fldChar w:fldCharType="separate"/>
            </w:r>
            <w:r w:rsidR="00170486">
              <w:rPr>
                <w:noProof/>
                <w:webHidden/>
              </w:rPr>
              <w:t>51</w:t>
            </w:r>
            <w:r w:rsidR="00170486">
              <w:rPr>
                <w:noProof/>
                <w:webHidden/>
              </w:rPr>
              <w:fldChar w:fldCharType="end"/>
            </w:r>
          </w:hyperlink>
        </w:p>
        <w:p w14:paraId="27F79975" w14:textId="0A147F3F" w:rsidR="00170486" w:rsidRDefault="00000000">
          <w:pPr>
            <w:pStyle w:val="TOC3"/>
            <w:rPr>
              <w:rFonts w:asciiTheme="minorHAnsi" w:eastAsiaTheme="minorEastAsia" w:hAnsiTheme="minorHAnsi" w:cstheme="minorBidi"/>
              <w:noProof/>
              <w:kern w:val="2"/>
              <w14:ligatures w14:val="standardContextual"/>
            </w:rPr>
          </w:pPr>
          <w:hyperlink w:anchor="_Toc151900191" w:history="1">
            <w:r w:rsidR="00170486" w:rsidRPr="000A26D2">
              <w:rPr>
                <w:rStyle w:val="Hyperlink"/>
                <w:noProof/>
              </w:rPr>
              <w:t>Codes of conduct and integrity training</w:t>
            </w:r>
            <w:r w:rsidR="00170486">
              <w:rPr>
                <w:noProof/>
                <w:webHidden/>
              </w:rPr>
              <w:tab/>
            </w:r>
            <w:r w:rsidR="00170486">
              <w:rPr>
                <w:noProof/>
                <w:webHidden/>
              </w:rPr>
              <w:fldChar w:fldCharType="begin"/>
            </w:r>
            <w:r w:rsidR="00170486">
              <w:rPr>
                <w:noProof/>
                <w:webHidden/>
              </w:rPr>
              <w:instrText xml:space="preserve"> PAGEREF _Toc151900191 \h </w:instrText>
            </w:r>
            <w:r w:rsidR="00170486">
              <w:rPr>
                <w:noProof/>
                <w:webHidden/>
              </w:rPr>
            </w:r>
            <w:r w:rsidR="00170486">
              <w:rPr>
                <w:noProof/>
                <w:webHidden/>
              </w:rPr>
              <w:fldChar w:fldCharType="separate"/>
            </w:r>
            <w:r w:rsidR="00170486">
              <w:rPr>
                <w:noProof/>
                <w:webHidden/>
              </w:rPr>
              <w:t>51</w:t>
            </w:r>
            <w:r w:rsidR="00170486">
              <w:rPr>
                <w:noProof/>
                <w:webHidden/>
              </w:rPr>
              <w:fldChar w:fldCharType="end"/>
            </w:r>
          </w:hyperlink>
        </w:p>
        <w:p w14:paraId="60C6EBBA" w14:textId="772BFCB5" w:rsidR="00170486" w:rsidRDefault="00000000">
          <w:pPr>
            <w:pStyle w:val="TOC3"/>
            <w:rPr>
              <w:rFonts w:asciiTheme="minorHAnsi" w:eastAsiaTheme="minorEastAsia" w:hAnsiTheme="minorHAnsi" w:cstheme="minorBidi"/>
              <w:noProof/>
              <w:kern w:val="2"/>
              <w14:ligatures w14:val="standardContextual"/>
            </w:rPr>
          </w:pPr>
          <w:hyperlink w:anchor="_Toc151900192" w:history="1">
            <w:r w:rsidR="00170486" w:rsidRPr="000A26D2">
              <w:rPr>
                <w:rStyle w:val="Hyperlink"/>
                <w:noProof/>
              </w:rPr>
              <w:t>Government boards and committees</w:t>
            </w:r>
            <w:r w:rsidR="00170486">
              <w:rPr>
                <w:noProof/>
                <w:webHidden/>
              </w:rPr>
              <w:tab/>
            </w:r>
            <w:r w:rsidR="00170486">
              <w:rPr>
                <w:noProof/>
                <w:webHidden/>
              </w:rPr>
              <w:fldChar w:fldCharType="begin"/>
            </w:r>
            <w:r w:rsidR="00170486">
              <w:rPr>
                <w:noProof/>
                <w:webHidden/>
              </w:rPr>
              <w:instrText xml:space="preserve"> PAGEREF _Toc151900192 \h </w:instrText>
            </w:r>
            <w:r w:rsidR="00170486">
              <w:rPr>
                <w:noProof/>
                <w:webHidden/>
              </w:rPr>
            </w:r>
            <w:r w:rsidR="00170486">
              <w:rPr>
                <w:noProof/>
                <w:webHidden/>
              </w:rPr>
              <w:fldChar w:fldCharType="separate"/>
            </w:r>
            <w:r w:rsidR="00170486">
              <w:rPr>
                <w:noProof/>
                <w:webHidden/>
              </w:rPr>
              <w:t>52</w:t>
            </w:r>
            <w:r w:rsidR="00170486">
              <w:rPr>
                <w:noProof/>
                <w:webHidden/>
              </w:rPr>
              <w:fldChar w:fldCharType="end"/>
            </w:r>
          </w:hyperlink>
        </w:p>
        <w:p w14:paraId="4A4E30B0" w14:textId="67844651" w:rsidR="00170486" w:rsidRDefault="00000000">
          <w:pPr>
            <w:pStyle w:val="TOC3"/>
            <w:rPr>
              <w:rFonts w:asciiTheme="minorHAnsi" w:eastAsiaTheme="minorEastAsia" w:hAnsiTheme="minorHAnsi" w:cstheme="minorBidi"/>
              <w:noProof/>
              <w:kern w:val="2"/>
              <w14:ligatures w14:val="standardContextual"/>
            </w:rPr>
          </w:pPr>
          <w:hyperlink w:anchor="_Toc151900193" w:history="1">
            <w:r w:rsidR="00170486" w:rsidRPr="000A26D2">
              <w:rPr>
                <w:rStyle w:val="Hyperlink"/>
                <w:noProof/>
              </w:rPr>
              <w:t>Discipline</w:t>
            </w:r>
            <w:r w:rsidR="00170486">
              <w:rPr>
                <w:noProof/>
                <w:webHidden/>
              </w:rPr>
              <w:tab/>
            </w:r>
            <w:r w:rsidR="00170486">
              <w:rPr>
                <w:noProof/>
                <w:webHidden/>
              </w:rPr>
              <w:fldChar w:fldCharType="begin"/>
            </w:r>
            <w:r w:rsidR="00170486">
              <w:rPr>
                <w:noProof/>
                <w:webHidden/>
              </w:rPr>
              <w:instrText xml:space="preserve"> PAGEREF _Toc151900193 \h </w:instrText>
            </w:r>
            <w:r w:rsidR="00170486">
              <w:rPr>
                <w:noProof/>
                <w:webHidden/>
              </w:rPr>
            </w:r>
            <w:r w:rsidR="00170486">
              <w:rPr>
                <w:noProof/>
                <w:webHidden/>
              </w:rPr>
              <w:fldChar w:fldCharType="separate"/>
            </w:r>
            <w:r w:rsidR="00170486">
              <w:rPr>
                <w:noProof/>
                <w:webHidden/>
              </w:rPr>
              <w:t>52</w:t>
            </w:r>
            <w:r w:rsidR="00170486">
              <w:rPr>
                <w:noProof/>
                <w:webHidden/>
              </w:rPr>
              <w:fldChar w:fldCharType="end"/>
            </w:r>
          </w:hyperlink>
        </w:p>
        <w:p w14:paraId="34AE9BEA" w14:textId="49733F06" w:rsidR="00170486" w:rsidRDefault="00000000">
          <w:pPr>
            <w:pStyle w:val="TOC3"/>
            <w:rPr>
              <w:rFonts w:asciiTheme="minorHAnsi" w:eastAsiaTheme="minorEastAsia" w:hAnsiTheme="minorHAnsi" w:cstheme="minorBidi"/>
              <w:noProof/>
              <w:kern w:val="2"/>
              <w14:ligatures w14:val="standardContextual"/>
            </w:rPr>
          </w:pPr>
          <w:hyperlink w:anchor="_Toc151900194" w:history="1">
            <w:r w:rsidR="00170486" w:rsidRPr="000A26D2">
              <w:rPr>
                <w:rStyle w:val="Hyperlink"/>
                <w:noProof/>
              </w:rPr>
              <w:t>Mandatory vaccination outcomes</w:t>
            </w:r>
            <w:r w:rsidR="00170486">
              <w:rPr>
                <w:noProof/>
                <w:webHidden/>
              </w:rPr>
              <w:tab/>
            </w:r>
            <w:r w:rsidR="00170486">
              <w:rPr>
                <w:noProof/>
                <w:webHidden/>
              </w:rPr>
              <w:fldChar w:fldCharType="begin"/>
            </w:r>
            <w:r w:rsidR="00170486">
              <w:rPr>
                <w:noProof/>
                <w:webHidden/>
              </w:rPr>
              <w:instrText xml:space="preserve"> PAGEREF _Toc151900194 \h </w:instrText>
            </w:r>
            <w:r w:rsidR="00170486">
              <w:rPr>
                <w:noProof/>
                <w:webHidden/>
              </w:rPr>
            </w:r>
            <w:r w:rsidR="00170486">
              <w:rPr>
                <w:noProof/>
                <w:webHidden/>
              </w:rPr>
              <w:fldChar w:fldCharType="separate"/>
            </w:r>
            <w:r w:rsidR="00170486">
              <w:rPr>
                <w:noProof/>
                <w:webHidden/>
              </w:rPr>
              <w:t>56</w:t>
            </w:r>
            <w:r w:rsidR="00170486">
              <w:rPr>
                <w:noProof/>
                <w:webHidden/>
              </w:rPr>
              <w:fldChar w:fldCharType="end"/>
            </w:r>
          </w:hyperlink>
        </w:p>
        <w:p w14:paraId="29A040E4" w14:textId="085DEC82" w:rsidR="00170486" w:rsidRDefault="00000000">
          <w:pPr>
            <w:pStyle w:val="TOC3"/>
            <w:rPr>
              <w:rFonts w:asciiTheme="minorHAnsi" w:eastAsiaTheme="minorEastAsia" w:hAnsiTheme="minorHAnsi" w:cstheme="minorBidi"/>
              <w:noProof/>
              <w:kern w:val="2"/>
              <w14:ligatures w14:val="standardContextual"/>
            </w:rPr>
          </w:pPr>
          <w:hyperlink w:anchor="_Toc151900195" w:history="1">
            <w:r w:rsidR="00170486" w:rsidRPr="000A26D2">
              <w:rPr>
                <w:rStyle w:val="Hyperlink"/>
                <w:noProof/>
              </w:rPr>
              <w:t>Misconduct reporting</w:t>
            </w:r>
            <w:r w:rsidR="00170486">
              <w:rPr>
                <w:noProof/>
                <w:webHidden/>
              </w:rPr>
              <w:tab/>
            </w:r>
            <w:r w:rsidR="00170486">
              <w:rPr>
                <w:noProof/>
                <w:webHidden/>
              </w:rPr>
              <w:fldChar w:fldCharType="begin"/>
            </w:r>
            <w:r w:rsidR="00170486">
              <w:rPr>
                <w:noProof/>
                <w:webHidden/>
              </w:rPr>
              <w:instrText xml:space="preserve"> PAGEREF _Toc151900195 \h </w:instrText>
            </w:r>
            <w:r w:rsidR="00170486">
              <w:rPr>
                <w:noProof/>
                <w:webHidden/>
              </w:rPr>
            </w:r>
            <w:r w:rsidR="00170486">
              <w:rPr>
                <w:noProof/>
                <w:webHidden/>
              </w:rPr>
              <w:fldChar w:fldCharType="separate"/>
            </w:r>
            <w:r w:rsidR="00170486">
              <w:rPr>
                <w:noProof/>
                <w:webHidden/>
              </w:rPr>
              <w:t>56</w:t>
            </w:r>
            <w:r w:rsidR="00170486">
              <w:rPr>
                <w:noProof/>
                <w:webHidden/>
              </w:rPr>
              <w:fldChar w:fldCharType="end"/>
            </w:r>
          </w:hyperlink>
        </w:p>
        <w:p w14:paraId="03E63F5A" w14:textId="455509AB" w:rsidR="00170486" w:rsidRDefault="00000000">
          <w:pPr>
            <w:pStyle w:val="TOC3"/>
            <w:rPr>
              <w:rFonts w:asciiTheme="minorHAnsi" w:eastAsiaTheme="minorEastAsia" w:hAnsiTheme="minorHAnsi" w:cstheme="minorBidi"/>
              <w:noProof/>
              <w:kern w:val="2"/>
              <w14:ligatures w14:val="standardContextual"/>
            </w:rPr>
          </w:pPr>
          <w:hyperlink w:anchor="_Toc151900196" w:history="1">
            <w:r w:rsidR="00170486" w:rsidRPr="000A26D2">
              <w:rPr>
                <w:rStyle w:val="Hyperlink"/>
                <w:noProof/>
              </w:rPr>
              <w:t>Public interest disclosures</w:t>
            </w:r>
            <w:r w:rsidR="00170486">
              <w:rPr>
                <w:noProof/>
                <w:webHidden/>
              </w:rPr>
              <w:tab/>
            </w:r>
            <w:r w:rsidR="00170486">
              <w:rPr>
                <w:noProof/>
                <w:webHidden/>
              </w:rPr>
              <w:fldChar w:fldCharType="begin"/>
            </w:r>
            <w:r w:rsidR="00170486">
              <w:rPr>
                <w:noProof/>
                <w:webHidden/>
              </w:rPr>
              <w:instrText xml:space="preserve"> PAGEREF _Toc151900196 \h </w:instrText>
            </w:r>
            <w:r w:rsidR="00170486">
              <w:rPr>
                <w:noProof/>
                <w:webHidden/>
              </w:rPr>
            </w:r>
            <w:r w:rsidR="00170486">
              <w:rPr>
                <w:noProof/>
                <w:webHidden/>
              </w:rPr>
              <w:fldChar w:fldCharType="separate"/>
            </w:r>
            <w:r w:rsidR="00170486">
              <w:rPr>
                <w:noProof/>
                <w:webHidden/>
              </w:rPr>
              <w:t>61</w:t>
            </w:r>
            <w:r w:rsidR="00170486">
              <w:rPr>
                <w:noProof/>
                <w:webHidden/>
              </w:rPr>
              <w:fldChar w:fldCharType="end"/>
            </w:r>
          </w:hyperlink>
        </w:p>
        <w:p w14:paraId="33190EFA" w14:textId="27BE5C53" w:rsidR="00170486" w:rsidRDefault="00000000">
          <w:pPr>
            <w:pStyle w:val="TOC3"/>
            <w:rPr>
              <w:rFonts w:asciiTheme="minorHAnsi" w:eastAsiaTheme="minorEastAsia" w:hAnsiTheme="minorHAnsi" w:cstheme="minorBidi"/>
              <w:noProof/>
              <w:kern w:val="2"/>
              <w14:ligatures w14:val="standardContextual"/>
            </w:rPr>
          </w:pPr>
          <w:hyperlink w:anchor="_Toc151900197" w:history="1">
            <w:r w:rsidR="00170486" w:rsidRPr="000A26D2">
              <w:rPr>
                <w:rStyle w:val="Hyperlink"/>
                <w:noProof/>
              </w:rPr>
              <w:t>Breaches of public sector standards</w:t>
            </w:r>
            <w:r w:rsidR="00170486">
              <w:rPr>
                <w:noProof/>
                <w:webHidden/>
              </w:rPr>
              <w:tab/>
            </w:r>
            <w:r w:rsidR="00170486">
              <w:rPr>
                <w:noProof/>
                <w:webHidden/>
              </w:rPr>
              <w:fldChar w:fldCharType="begin"/>
            </w:r>
            <w:r w:rsidR="00170486">
              <w:rPr>
                <w:noProof/>
                <w:webHidden/>
              </w:rPr>
              <w:instrText xml:space="preserve"> PAGEREF _Toc151900197 \h </w:instrText>
            </w:r>
            <w:r w:rsidR="00170486">
              <w:rPr>
                <w:noProof/>
                <w:webHidden/>
              </w:rPr>
            </w:r>
            <w:r w:rsidR="00170486">
              <w:rPr>
                <w:noProof/>
                <w:webHidden/>
              </w:rPr>
              <w:fldChar w:fldCharType="separate"/>
            </w:r>
            <w:r w:rsidR="00170486">
              <w:rPr>
                <w:noProof/>
                <w:webHidden/>
              </w:rPr>
              <w:t>62</w:t>
            </w:r>
            <w:r w:rsidR="00170486">
              <w:rPr>
                <w:noProof/>
                <w:webHidden/>
              </w:rPr>
              <w:fldChar w:fldCharType="end"/>
            </w:r>
          </w:hyperlink>
        </w:p>
        <w:p w14:paraId="636057E6" w14:textId="691B5DBC" w:rsidR="00170486" w:rsidRDefault="00000000">
          <w:pPr>
            <w:pStyle w:val="TOC3"/>
            <w:rPr>
              <w:rFonts w:asciiTheme="minorHAnsi" w:eastAsiaTheme="minorEastAsia" w:hAnsiTheme="minorHAnsi" w:cstheme="minorBidi"/>
              <w:noProof/>
              <w:kern w:val="2"/>
              <w14:ligatures w14:val="standardContextual"/>
            </w:rPr>
          </w:pPr>
          <w:hyperlink w:anchor="_Toc151900198" w:history="1">
            <w:r w:rsidR="00170486" w:rsidRPr="000A26D2">
              <w:rPr>
                <w:rStyle w:val="Hyperlink"/>
                <w:noProof/>
              </w:rPr>
              <w:t>Grievances</w:t>
            </w:r>
            <w:r w:rsidR="00170486">
              <w:rPr>
                <w:noProof/>
                <w:webHidden/>
              </w:rPr>
              <w:tab/>
            </w:r>
            <w:r w:rsidR="00170486">
              <w:rPr>
                <w:noProof/>
                <w:webHidden/>
              </w:rPr>
              <w:fldChar w:fldCharType="begin"/>
            </w:r>
            <w:r w:rsidR="00170486">
              <w:rPr>
                <w:noProof/>
                <w:webHidden/>
              </w:rPr>
              <w:instrText xml:space="preserve"> PAGEREF _Toc151900198 \h </w:instrText>
            </w:r>
            <w:r w:rsidR="00170486">
              <w:rPr>
                <w:noProof/>
                <w:webHidden/>
              </w:rPr>
            </w:r>
            <w:r w:rsidR="00170486">
              <w:rPr>
                <w:noProof/>
                <w:webHidden/>
              </w:rPr>
              <w:fldChar w:fldCharType="separate"/>
            </w:r>
            <w:r w:rsidR="00170486">
              <w:rPr>
                <w:noProof/>
                <w:webHidden/>
              </w:rPr>
              <w:t>62</w:t>
            </w:r>
            <w:r w:rsidR="00170486">
              <w:rPr>
                <w:noProof/>
                <w:webHidden/>
              </w:rPr>
              <w:fldChar w:fldCharType="end"/>
            </w:r>
          </w:hyperlink>
        </w:p>
        <w:p w14:paraId="0218EC8C" w14:textId="525C7981" w:rsidR="00170486" w:rsidRDefault="00000000">
          <w:pPr>
            <w:pStyle w:val="TOC3"/>
            <w:rPr>
              <w:rFonts w:asciiTheme="minorHAnsi" w:eastAsiaTheme="minorEastAsia" w:hAnsiTheme="minorHAnsi" w:cstheme="minorBidi"/>
              <w:noProof/>
              <w:kern w:val="2"/>
              <w14:ligatures w14:val="standardContextual"/>
            </w:rPr>
          </w:pPr>
          <w:hyperlink w:anchor="_Toc151900199" w:history="1">
            <w:r w:rsidR="00170486" w:rsidRPr="000A26D2">
              <w:rPr>
                <w:rStyle w:val="Hyperlink"/>
                <w:b/>
                <w:bCs/>
                <w:noProof/>
              </w:rPr>
              <w:t>Commissioner’s</w:t>
            </w:r>
            <w:r w:rsidR="00170486" w:rsidRPr="000A26D2">
              <w:rPr>
                <w:rStyle w:val="Hyperlink"/>
                <w:noProof/>
              </w:rPr>
              <w:t xml:space="preserve"> observations</w:t>
            </w:r>
            <w:r w:rsidR="00170486">
              <w:rPr>
                <w:noProof/>
                <w:webHidden/>
              </w:rPr>
              <w:tab/>
            </w:r>
            <w:r w:rsidR="00170486">
              <w:rPr>
                <w:noProof/>
                <w:webHidden/>
              </w:rPr>
              <w:fldChar w:fldCharType="begin"/>
            </w:r>
            <w:r w:rsidR="00170486">
              <w:rPr>
                <w:noProof/>
                <w:webHidden/>
              </w:rPr>
              <w:instrText xml:space="preserve"> PAGEREF _Toc151900199 \h </w:instrText>
            </w:r>
            <w:r w:rsidR="00170486">
              <w:rPr>
                <w:noProof/>
                <w:webHidden/>
              </w:rPr>
            </w:r>
            <w:r w:rsidR="00170486">
              <w:rPr>
                <w:noProof/>
                <w:webHidden/>
              </w:rPr>
              <w:fldChar w:fldCharType="separate"/>
            </w:r>
            <w:r w:rsidR="00170486">
              <w:rPr>
                <w:noProof/>
                <w:webHidden/>
              </w:rPr>
              <w:t>63</w:t>
            </w:r>
            <w:r w:rsidR="00170486">
              <w:rPr>
                <w:noProof/>
                <w:webHidden/>
              </w:rPr>
              <w:fldChar w:fldCharType="end"/>
            </w:r>
          </w:hyperlink>
        </w:p>
        <w:p w14:paraId="1137701C" w14:textId="1D5B0BDB" w:rsidR="00170486" w:rsidRDefault="00000000">
          <w:pPr>
            <w:pStyle w:val="TOC2"/>
            <w:rPr>
              <w:rFonts w:asciiTheme="minorHAnsi" w:eastAsiaTheme="minorEastAsia" w:hAnsiTheme="minorHAnsi" w:cstheme="minorBidi"/>
              <w:noProof/>
              <w:color w:val="auto"/>
              <w:kern w:val="2"/>
              <w14:ligatures w14:val="standardContextual"/>
            </w:rPr>
          </w:pPr>
          <w:hyperlink w:anchor="_Toc151900200" w:history="1">
            <w:r w:rsidR="00170486" w:rsidRPr="000A26D2">
              <w:rPr>
                <w:rStyle w:val="Hyperlink"/>
                <w:noProof/>
              </w:rPr>
              <w:t xml:space="preserve">Appendix 1: </w:t>
            </w:r>
            <w:r w:rsidR="00170486" w:rsidRPr="000A26D2">
              <w:rPr>
                <w:rStyle w:val="Hyperlink"/>
                <w:b/>
                <w:bCs/>
                <w:noProof/>
              </w:rPr>
              <w:t>Public Sector Commission data quality statement</w:t>
            </w:r>
            <w:r w:rsidR="00170486">
              <w:rPr>
                <w:noProof/>
                <w:webHidden/>
              </w:rPr>
              <w:tab/>
            </w:r>
            <w:r w:rsidR="00170486">
              <w:rPr>
                <w:noProof/>
                <w:webHidden/>
              </w:rPr>
              <w:fldChar w:fldCharType="begin"/>
            </w:r>
            <w:r w:rsidR="00170486">
              <w:rPr>
                <w:noProof/>
                <w:webHidden/>
              </w:rPr>
              <w:instrText xml:space="preserve"> PAGEREF _Toc151900200 \h </w:instrText>
            </w:r>
            <w:r w:rsidR="00170486">
              <w:rPr>
                <w:noProof/>
                <w:webHidden/>
              </w:rPr>
            </w:r>
            <w:r w:rsidR="00170486">
              <w:rPr>
                <w:noProof/>
                <w:webHidden/>
              </w:rPr>
              <w:fldChar w:fldCharType="separate"/>
            </w:r>
            <w:r w:rsidR="00170486">
              <w:rPr>
                <w:noProof/>
                <w:webHidden/>
              </w:rPr>
              <w:t>64</w:t>
            </w:r>
            <w:r w:rsidR="00170486">
              <w:rPr>
                <w:noProof/>
                <w:webHidden/>
              </w:rPr>
              <w:fldChar w:fldCharType="end"/>
            </w:r>
          </w:hyperlink>
        </w:p>
        <w:p w14:paraId="16D48CF6" w14:textId="21E29713" w:rsidR="00170486" w:rsidRDefault="00000000">
          <w:pPr>
            <w:pStyle w:val="TOC3"/>
            <w:rPr>
              <w:rFonts w:asciiTheme="minorHAnsi" w:eastAsiaTheme="minorEastAsia" w:hAnsiTheme="minorHAnsi" w:cstheme="minorBidi"/>
              <w:noProof/>
              <w:kern w:val="2"/>
              <w14:ligatures w14:val="standardContextual"/>
            </w:rPr>
          </w:pPr>
          <w:hyperlink w:anchor="_Toc151900201" w:history="1">
            <w:r w:rsidR="00170486" w:rsidRPr="000A26D2">
              <w:rPr>
                <w:rStyle w:val="Hyperlink"/>
                <w:noProof/>
              </w:rPr>
              <w:t>Human Resource Minimum Obligatory Information Requirements</w:t>
            </w:r>
            <w:r w:rsidR="00170486">
              <w:rPr>
                <w:noProof/>
                <w:webHidden/>
              </w:rPr>
              <w:tab/>
            </w:r>
            <w:r w:rsidR="00170486">
              <w:rPr>
                <w:noProof/>
                <w:webHidden/>
              </w:rPr>
              <w:fldChar w:fldCharType="begin"/>
            </w:r>
            <w:r w:rsidR="00170486">
              <w:rPr>
                <w:noProof/>
                <w:webHidden/>
              </w:rPr>
              <w:instrText xml:space="preserve"> PAGEREF _Toc151900201 \h </w:instrText>
            </w:r>
            <w:r w:rsidR="00170486">
              <w:rPr>
                <w:noProof/>
                <w:webHidden/>
              </w:rPr>
            </w:r>
            <w:r w:rsidR="00170486">
              <w:rPr>
                <w:noProof/>
                <w:webHidden/>
              </w:rPr>
              <w:fldChar w:fldCharType="separate"/>
            </w:r>
            <w:r w:rsidR="00170486">
              <w:rPr>
                <w:noProof/>
                <w:webHidden/>
              </w:rPr>
              <w:t>64</w:t>
            </w:r>
            <w:r w:rsidR="00170486">
              <w:rPr>
                <w:noProof/>
                <w:webHidden/>
              </w:rPr>
              <w:fldChar w:fldCharType="end"/>
            </w:r>
          </w:hyperlink>
        </w:p>
        <w:p w14:paraId="733078FA" w14:textId="470912A0" w:rsidR="00170486" w:rsidRDefault="00000000">
          <w:pPr>
            <w:pStyle w:val="TOC3"/>
            <w:rPr>
              <w:rFonts w:asciiTheme="minorHAnsi" w:eastAsiaTheme="minorEastAsia" w:hAnsiTheme="minorHAnsi" w:cstheme="minorBidi"/>
              <w:noProof/>
              <w:kern w:val="2"/>
              <w14:ligatures w14:val="standardContextual"/>
            </w:rPr>
          </w:pPr>
          <w:hyperlink w:anchor="_Toc151900202" w:history="1">
            <w:r w:rsidR="00170486" w:rsidRPr="000A26D2">
              <w:rPr>
                <w:rStyle w:val="Hyperlink"/>
                <w:noProof/>
              </w:rPr>
              <w:t>Annual collections</w:t>
            </w:r>
            <w:r w:rsidR="00170486">
              <w:rPr>
                <w:noProof/>
                <w:webHidden/>
              </w:rPr>
              <w:tab/>
            </w:r>
            <w:r w:rsidR="00170486">
              <w:rPr>
                <w:noProof/>
                <w:webHidden/>
              </w:rPr>
              <w:fldChar w:fldCharType="begin"/>
            </w:r>
            <w:r w:rsidR="00170486">
              <w:rPr>
                <w:noProof/>
                <w:webHidden/>
              </w:rPr>
              <w:instrText xml:space="preserve"> PAGEREF _Toc151900202 \h </w:instrText>
            </w:r>
            <w:r w:rsidR="00170486">
              <w:rPr>
                <w:noProof/>
                <w:webHidden/>
              </w:rPr>
            </w:r>
            <w:r w:rsidR="00170486">
              <w:rPr>
                <w:noProof/>
                <w:webHidden/>
              </w:rPr>
              <w:fldChar w:fldCharType="separate"/>
            </w:r>
            <w:r w:rsidR="00170486">
              <w:rPr>
                <w:noProof/>
                <w:webHidden/>
              </w:rPr>
              <w:t>65</w:t>
            </w:r>
            <w:r w:rsidR="00170486">
              <w:rPr>
                <w:noProof/>
                <w:webHidden/>
              </w:rPr>
              <w:fldChar w:fldCharType="end"/>
            </w:r>
          </w:hyperlink>
        </w:p>
        <w:p w14:paraId="259E1731" w14:textId="6A9BEDA6" w:rsidR="00170486" w:rsidRDefault="00000000">
          <w:pPr>
            <w:pStyle w:val="TOC3"/>
            <w:rPr>
              <w:rFonts w:asciiTheme="minorHAnsi" w:eastAsiaTheme="minorEastAsia" w:hAnsiTheme="minorHAnsi" w:cstheme="minorBidi"/>
              <w:noProof/>
              <w:kern w:val="2"/>
              <w14:ligatures w14:val="standardContextual"/>
            </w:rPr>
          </w:pPr>
          <w:hyperlink w:anchor="_Toc151900203" w:history="1">
            <w:r w:rsidR="00170486" w:rsidRPr="000A26D2">
              <w:rPr>
                <w:rStyle w:val="Hyperlink"/>
                <w:noProof/>
              </w:rPr>
              <w:t>Additional data sources</w:t>
            </w:r>
            <w:r w:rsidR="00170486">
              <w:rPr>
                <w:noProof/>
                <w:webHidden/>
              </w:rPr>
              <w:tab/>
            </w:r>
            <w:r w:rsidR="00170486">
              <w:rPr>
                <w:noProof/>
                <w:webHidden/>
              </w:rPr>
              <w:fldChar w:fldCharType="begin"/>
            </w:r>
            <w:r w:rsidR="00170486">
              <w:rPr>
                <w:noProof/>
                <w:webHidden/>
              </w:rPr>
              <w:instrText xml:space="preserve"> PAGEREF _Toc151900203 \h </w:instrText>
            </w:r>
            <w:r w:rsidR="00170486">
              <w:rPr>
                <w:noProof/>
                <w:webHidden/>
              </w:rPr>
            </w:r>
            <w:r w:rsidR="00170486">
              <w:rPr>
                <w:noProof/>
                <w:webHidden/>
              </w:rPr>
              <w:fldChar w:fldCharType="separate"/>
            </w:r>
            <w:r w:rsidR="00170486">
              <w:rPr>
                <w:noProof/>
                <w:webHidden/>
              </w:rPr>
              <w:t>66</w:t>
            </w:r>
            <w:r w:rsidR="00170486">
              <w:rPr>
                <w:noProof/>
                <w:webHidden/>
              </w:rPr>
              <w:fldChar w:fldCharType="end"/>
            </w:r>
          </w:hyperlink>
        </w:p>
        <w:p w14:paraId="3CEC7CC1" w14:textId="211F8B2F" w:rsidR="00170486" w:rsidRDefault="00000000">
          <w:pPr>
            <w:pStyle w:val="TOC3"/>
            <w:rPr>
              <w:rFonts w:asciiTheme="minorHAnsi" w:eastAsiaTheme="minorEastAsia" w:hAnsiTheme="minorHAnsi" w:cstheme="minorBidi"/>
              <w:noProof/>
              <w:kern w:val="2"/>
              <w14:ligatures w14:val="standardContextual"/>
            </w:rPr>
          </w:pPr>
          <w:hyperlink w:anchor="_Toc151900204" w:history="1">
            <w:r w:rsidR="00170486" w:rsidRPr="000A26D2">
              <w:rPr>
                <w:rStyle w:val="Hyperlink"/>
                <w:noProof/>
              </w:rPr>
              <w:t>Other relevant definitions and notes</w:t>
            </w:r>
            <w:r w:rsidR="00170486">
              <w:rPr>
                <w:noProof/>
                <w:webHidden/>
              </w:rPr>
              <w:tab/>
            </w:r>
            <w:r w:rsidR="00170486">
              <w:rPr>
                <w:noProof/>
                <w:webHidden/>
              </w:rPr>
              <w:fldChar w:fldCharType="begin"/>
            </w:r>
            <w:r w:rsidR="00170486">
              <w:rPr>
                <w:noProof/>
                <w:webHidden/>
              </w:rPr>
              <w:instrText xml:space="preserve"> PAGEREF _Toc151900204 \h </w:instrText>
            </w:r>
            <w:r w:rsidR="00170486">
              <w:rPr>
                <w:noProof/>
                <w:webHidden/>
              </w:rPr>
            </w:r>
            <w:r w:rsidR="00170486">
              <w:rPr>
                <w:noProof/>
                <w:webHidden/>
              </w:rPr>
              <w:fldChar w:fldCharType="separate"/>
            </w:r>
            <w:r w:rsidR="00170486">
              <w:rPr>
                <w:noProof/>
                <w:webHidden/>
              </w:rPr>
              <w:t>67</w:t>
            </w:r>
            <w:r w:rsidR="00170486">
              <w:rPr>
                <w:noProof/>
                <w:webHidden/>
              </w:rPr>
              <w:fldChar w:fldCharType="end"/>
            </w:r>
          </w:hyperlink>
        </w:p>
        <w:p w14:paraId="577ADCAA" w14:textId="0EE63E3A" w:rsidR="00170486" w:rsidRDefault="00000000">
          <w:pPr>
            <w:pStyle w:val="TOC2"/>
            <w:rPr>
              <w:rFonts w:asciiTheme="minorHAnsi" w:eastAsiaTheme="minorEastAsia" w:hAnsiTheme="minorHAnsi" w:cstheme="minorBidi"/>
              <w:noProof/>
              <w:color w:val="auto"/>
              <w:kern w:val="2"/>
              <w14:ligatures w14:val="standardContextual"/>
            </w:rPr>
          </w:pPr>
          <w:hyperlink w:anchor="_Toc151900205" w:history="1">
            <w:r w:rsidR="00170486" w:rsidRPr="000A26D2">
              <w:rPr>
                <w:rStyle w:val="Hyperlink"/>
                <w:noProof/>
              </w:rPr>
              <w:t xml:space="preserve">Appendix 2: </w:t>
            </w:r>
            <w:r w:rsidR="00170486" w:rsidRPr="000A26D2">
              <w:rPr>
                <w:rStyle w:val="Hyperlink"/>
                <w:b/>
                <w:bCs/>
                <w:noProof/>
              </w:rPr>
              <w:t>Compliance statements</w:t>
            </w:r>
            <w:r w:rsidR="00170486">
              <w:rPr>
                <w:noProof/>
                <w:webHidden/>
              </w:rPr>
              <w:tab/>
            </w:r>
            <w:r w:rsidR="00170486">
              <w:rPr>
                <w:noProof/>
                <w:webHidden/>
              </w:rPr>
              <w:fldChar w:fldCharType="begin"/>
            </w:r>
            <w:r w:rsidR="00170486">
              <w:rPr>
                <w:noProof/>
                <w:webHidden/>
              </w:rPr>
              <w:instrText xml:space="preserve"> PAGEREF _Toc151900205 \h </w:instrText>
            </w:r>
            <w:r w:rsidR="00170486">
              <w:rPr>
                <w:noProof/>
                <w:webHidden/>
              </w:rPr>
            </w:r>
            <w:r w:rsidR="00170486">
              <w:rPr>
                <w:noProof/>
                <w:webHidden/>
              </w:rPr>
              <w:fldChar w:fldCharType="separate"/>
            </w:r>
            <w:r w:rsidR="00170486">
              <w:rPr>
                <w:noProof/>
                <w:webHidden/>
              </w:rPr>
              <w:t>68</w:t>
            </w:r>
            <w:r w:rsidR="00170486">
              <w:rPr>
                <w:noProof/>
                <w:webHidden/>
              </w:rPr>
              <w:fldChar w:fldCharType="end"/>
            </w:r>
          </w:hyperlink>
        </w:p>
        <w:p w14:paraId="21A6A38F" w14:textId="1F705CD2" w:rsidR="00674F72" w:rsidRDefault="00674F72">
          <w:r>
            <w:rPr>
              <w:noProof/>
              <w:color w:val="2E74B5" w:themeColor="accent1" w:themeShade="BF"/>
            </w:rPr>
            <w:fldChar w:fldCharType="end"/>
          </w:r>
        </w:p>
      </w:sdtContent>
    </w:sdt>
    <w:p w14:paraId="0A9CB8BF" w14:textId="77777777" w:rsidR="00C47AD0" w:rsidRDefault="00C47AD0">
      <w:pPr>
        <w:spacing w:after="160"/>
        <w:rPr>
          <w:rFonts w:eastAsiaTheme="majorEastAsia"/>
          <w:b/>
          <w:color w:val="2E74B5" w:themeColor="accent1" w:themeShade="BF"/>
          <w:sz w:val="26"/>
          <w:szCs w:val="26"/>
        </w:rPr>
      </w:pPr>
      <w:r>
        <w:br w:type="page"/>
      </w:r>
    </w:p>
    <w:p w14:paraId="39682A1D" w14:textId="637C114F" w:rsidR="005D51AC" w:rsidRPr="00B45E10" w:rsidRDefault="005D51AC" w:rsidP="00E73C75">
      <w:pPr>
        <w:pStyle w:val="Heading2"/>
        <w:rPr>
          <w:b/>
        </w:rPr>
      </w:pPr>
      <w:bookmarkStart w:id="1" w:name="_Toc114521972"/>
      <w:bookmarkStart w:id="2" w:name="_Toc151900160"/>
      <w:r w:rsidRPr="00B45E10">
        <w:lastRenderedPageBreak/>
        <w:t xml:space="preserve">From the </w:t>
      </w:r>
      <w:r w:rsidRPr="00B45E10">
        <w:rPr>
          <w:b/>
          <w:bCs/>
        </w:rPr>
        <w:t>Commissioner</w:t>
      </w:r>
      <w:bookmarkEnd w:id="1"/>
      <w:bookmarkEnd w:id="2"/>
    </w:p>
    <w:p w14:paraId="10D2F06F" w14:textId="620D4809" w:rsidR="00890CA7" w:rsidRPr="005B51D6" w:rsidRDefault="1E8EBCC4" w:rsidP="5D754B50">
      <w:pPr>
        <w:spacing w:line="240" w:lineRule="auto"/>
        <w:rPr>
          <w:rFonts w:ascii="Century Gothic" w:hAnsi="Century Gothic"/>
          <w:b/>
          <w:bCs/>
          <w:color w:val="2E74B5" w:themeColor="accent1" w:themeShade="BF"/>
          <w:sz w:val="24"/>
          <w:szCs w:val="24"/>
        </w:rPr>
      </w:pPr>
      <w:r w:rsidRPr="005B51D6">
        <w:rPr>
          <w:rFonts w:ascii="Century Gothic" w:hAnsi="Century Gothic"/>
          <w:b/>
          <w:bCs/>
          <w:color w:val="2E74B5" w:themeColor="accent1" w:themeShade="BF"/>
          <w:sz w:val="24"/>
          <w:szCs w:val="24"/>
        </w:rPr>
        <w:t xml:space="preserve">I am pleased to present the State of the Western Australian Government Sector Workforce </w:t>
      </w:r>
      <w:r w:rsidR="23005759" w:rsidRPr="005B51D6">
        <w:rPr>
          <w:rFonts w:ascii="Century Gothic" w:hAnsi="Century Gothic"/>
          <w:b/>
          <w:bCs/>
          <w:color w:val="2E74B5" w:themeColor="accent1" w:themeShade="BF"/>
          <w:sz w:val="24"/>
          <w:szCs w:val="24"/>
        </w:rPr>
        <w:t>202</w:t>
      </w:r>
      <w:r w:rsidR="000F4723" w:rsidRPr="005B51D6">
        <w:rPr>
          <w:rFonts w:ascii="Century Gothic" w:hAnsi="Century Gothic"/>
          <w:b/>
          <w:bCs/>
          <w:color w:val="2E74B5" w:themeColor="accent1" w:themeShade="BF"/>
          <w:sz w:val="24"/>
          <w:szCs w:val="24"/>
        </w:rPr>
        <w:t>2</w:t>
      </w:r>
      <w:r w:rsidR="23005759" w:rsidRPr="005B51D6">
        <w:rPr>
          <w:rFonts w:ascii="Century Gothic" w:hAnsi="Century Gothic"/>
          <w:b/>
          <w:bCs/>
          <w:color w:val="2E74B5" w:themeColor="accent1" w:themeShade="BF"/>
          <w:sz w:val="24"/>
          <w:szCs w:val="24"/>
        </w:rPr>
        <w:t>-2</w:t>
      </w:r>
      <w:r w:rsidR="000F4723" w:rsidRPr="005B51D6">
        <w:rPr>
          <w:rFonts w:ascii="Century Gothic" w:hAnsi="Century Gothic"/>
          <w:b/>
          <w:bCs/>
          <w:color w:val="2E74B5" w:themeColor="accent1" w:themeShade="BF"/>
          <w:sz w:val="24"/>
          <w:szCs w:val="24"/>
        </w:rPr>
        <w:t>3</w:t>
      </w:r>
      <w:r w:rsidR="23005759" w:rsidRPr="005B51D6">
        <w:rPr>
          <w:rFonts w:ascii="Century Gothic" w:hAnsi="Century Gothic"/>
          <w:b/>
          <w:bCs/>
          <w:color w:val="2E74B5" w:themeColor="accent1" w:themeShade="BF"/>
          <w:sz w:val="24"/>
          <w:szCs w:val="24"/>
        </w:rPr>
        <w:t>.</w:t>
      </w:r>
    </w:p>
    <w:p w14:paraId="0A40ED1A" w14:textId="77777777" w:rsidR="005D778B" w:rsidRPr="008758A5" w:rsidRDefault="005D778B" w:rsidP="005D778B">
      <w:pPr>
        <w:pStyle w:val="Caption"/>
        <w:rPr>
          <w:rFonts w:ascii="Century Gothic" w:hAnsi="Century Gothic"/>
          <w:color w:val="auto"/>
          <w:sz w:val="22"/>
          <w:szCs w:val="22"/>
        </w:rPr>
      </w:pPr>
      <w:r w:rsidRPr="008758A5">
        <w:rPr>
          <w:rFonts w:ascii="Century Gothic" w:hAnsi="Century Gothic"/>
          <w:color w:val="auto"/>
          <w:sz w:val="22"/>
          <w:szCs w:val="22"/>
        </w:rPr>
        <w:t xml:space="preserve">The government sector workforce is a key asset for the government </w:t>
      </w:r>
      <w:proofErr w:type="gramStart"/>
      <w:r w:rsidRPr="008758A5">
        <w:rPr>
          <w:rFonts w:ascii="Century Gothic" w:hAnsi="Century Gothic"/>
          <w:color w:val="auto"/>
          <w:sz w:val="22"/>
          <w:szCs w:val="22"/>
        </w:rPr>
        <w:t>and also</w:t>
      </w:r>
      <w:proofErr w:type="gramEnd"/>
      <w:r w:rsidRPr="008758A5">
        <w:rPr>
          <w:rFonts w:ascii="Century Gothic" w:hAnsi="Century Gothic"/>
          <w:color w:val="auto"/>
          <w:sz w:val="22"/>
          <w:szCs w:val="22"/>
        </w:rPr>
        <w:t xml:space="preserve"> represents a big investment by the government. It is important to understand its shape and size, its diversity and leadership, and its conduct as the people who make up the workforce design and deliver vital services to individuals, families, </w:t>
      </w:r>
      <w:proofErr w:type="gramStart"/>
      <w:r w:rsidRPr="008758A5">
        <w:rPr>
          <w:rFonts w:ascii="Century Gothic" w:hAnsi="Century Gothic"/>
          <w:color w:val="auto"/>
          <w:sz w:val="22"/>
          <w:szCs w:val="22"/>
        </w:rPr>
        <w:t>businesses</w:t>
      </w:r>
      <w:proofErr w:type="gramEnd"/>
      <w:r w:rsidRPr="008758A5">
        <w:rPr>
          <w:rFonts w:ascii="Century Gothic" w:hAnsi="Century Gothic"/>
          <w:color w:val="auto"/>
          <w:sz w:val="22"/>
          <w:szCs w:val="22"/>
        </w:rPr>
        <w:t xml:space="preserve"> and industries across this vast state and beyond.</w:t>
      </w:r>
    </w:p>
    <w:p w14:paraId="77D4C613" w14:textId="77777777" w:rsidR="005D778B" w:rsidRPr="008758A5" w:rsidRDefault="005D778B" w:rsidP="005D778B">
      <w:pPr>
        <w:spacing w:line="240" w:lineRule="auto"/>
        <w:rPr>
          <w:rFonts w:ascii="Century Gothic" w:hAnsi="Century Gothic"/>
        </w:rPr>
      </w:pPr>
      <w:r w:rsidRPr="008758A5">
        <w:rPr>
          <w:rFonts w:ascii="Century Gothic" w:hAnsi="Century Gothic"/>
        </w:rPr>
        <w:t xml:space="preserve">This report includes my observations of the state of this workforce as told through the lens of data and information collected by the Public Sector Commission. My observations are included at the end of each section and look to areas where I see improvement has been made over the last 12 months and areas where I believe more focus or change is needed or where there are </w:t>
      </w:r>
      <w:proofErr w:type="gramStart"/>
      <w:r w:rsidRPr="008758A5">
        <w:rPr>
          <w:rFonts w:ascii="Century Gothic" w:hAnsi="Century Gothic"/>
        </w:rPr>
        <w:t>particular challenges</w:t>
      </w:r>
      <w:proofErr w:type="gramEnd"/>
      <w:r w:rsidRPr="008758A5">
        <w:rPr>
          <w:rFonts w:ascii="Century Gothic" w:hAnsi="Century Gothic"/>
        </w:rPr>
        <w:t>.</w:t>
      </w:r>
    </w:p>
    <w:p w14:paraId="38BFB99E" w14:textId="77777777" w:rsidR="005D778B" w:rsidRPr="008758A5" w:rsidRDefault="005D778B" w:rsidP="005D778B">
      <w:pPr>
        <w:spacing w:line="240" w:lineRule="auto"/>
        <w:rPr>
          <w:rFonts w:ascii="Century Gothic" w:hAnsi="Century Gothic"/>
        </w:rPr>
      </w:pPr>
      <w:proofErr w:type="gramStart"/>
      <w:r w:rsidRPr="008758A5">
        <w:rPr>
          <w:rFonts w:ascii="Century Gothic" w:hAnsi="Century Gothic"/>
        </w:rPr>
        <w:t>Overall</w:t>
      </w:r>
      <w:proofErr w:type="gramEnd"/>
      <w:r w:rsidRPr="008758A5">
        <w:rPr>
          <w:rFonts w:ascii="Century Gothic" w:hAnsi="Century Gothic"/>
        </w:rPr>
        <w:t xml:space="preserve"> the data shows that some of the disruptions of the pandemic years are easing and workforce trends are beginning to get back to a more stable pattern. That said there are significant challenges in the labour market that are impacting the sector and critical changes have been made to some policy parameters and more will be required.</w:t>
      </w:r>
    </w:p>
    <w:p w14:paraId="2E40BFD6" w14:textId="7B1894FF" w:rsidR="005D778B" w:rsidRPr="008758A5" w:rsidRDefault="005D778B" w:rsidP="005D778B">
      <w:pPr>
        <w:spacing w:line="240" w:lineRule="auto"/>
        <w:rPr>
          <w:rFonts w:ascii="Century Gothic" w:hAnsi="Century Gothic"/>
        </w:rPr>
      </w:pPr>
      <w:r w:rsidRPr="008758A5">
        <w:rPr>
          <w:rFonts w:ascii="Century Gothic" w:hAnsi="Century Gothic"/>
        </w:rPr>
        <w:t xml:space="preserve">A very important new piece of work that complements the data collected </w:t>
      </w:r>
      <w:r w:rsidR="002E5532" w:rsidRPr="008758A5">
        <w:rPr>
          <w:rFonts w:ascii="Century Gothic" w:hAnsi="Century Gothic"/>
        </w:rPr>
        <w:t xml:space="preserve">from agencies </w:t>
      </w:r>
      <w:r w:rsidRPr="008758A5">
        <w:rPr>
          <w:rFonts w:ascii="Century Gothic" w:hAnsi="Century Gothic"/>
        </w:rPr>
        <w:t xml:space="preserve">was conducted during the year. The 2023 WA Public Sector Census directly collected information from employees to understand their behaviours and experiences in the workplace. In total 47,115 employees (28.5% of the public sector workforce) responded which is higher than other states achieved in their first census efforts. </w:t>
      </w:r>
    </w:p>
    <w:p w14:paraId="59634A2F" w14:textId="77777777" w:rsidR="00157617" w:rsidRPr="008758A5" w:rsidRDefault="005D778B" w:rsidP="005D778B">
      <w:pPr>
        <w:spacing w:line="240" w:lineRule="auto"/>
        <w:rPr>
          <w:rFonts w:ascii="Century Gothic" w:hAnsi="Century Gothic"/>
        </w:rPr>
      </w:pPr>
      <w:r w:rsidRPr="008758A5">
        <w:rPr>
          <w:rFonts w:ascii="Century Gothic" w:hAnsi="Century Gothic"/>
        </w:rPr>
        <w:t xml:space="preserve">Responses provide a new and valuable source of information on which to make workforce decisions. Importantly, the census provides both agencies and the sector with information to shift from a backwards looking approach to a future focused approach as it includes information on employees’ future intentions as well as past experiences. </w:t>
      </w:r>
    </w:p>
    <w:p w14:paraId="050C3BA1" w14:textId="658C7B4E" w:rsidR="005D778B" w:rsidRPr="008758A5" w:rsidRDefault="005D778B" w:rsidP="005D778B">
      <w:pPr>
        <w:spacing w:line="240" w:lineRule="auto"/>
        <w:rPr>
          <w:rFonts w:ascii="Century Gothic" w:hAnsi="Century Gothic"/>
        </w:rPr>
      </w:pPr>
      <w:r w:rsidRPr="008758A5">
        <w:rPr>
          <w:rFonts w:ascii="Century Gothic" w:hAnsi="Century Gothic"/>
        </w:rPr>
        <w:t>I expect each agency to use their census results and other sources of information they have at agency level to make changes where needed as part of their ongoing improvement agenda.</w:t>
      </w:r>
    </w:p>
    <w:p w14:paraId="41583C85" w14:textId="436229C8" w:rsidR="005D778B" w:rsidRPr="008758A5" w:rsidRDefault="005D778B" w:rsidP="005D778B">
      <w:pPr>
        <w:spacing w:line="240" w:lineRule="auto"/>
        <w:rPr>
          <w:rFonts w:ascii="Century Gothic" w:hAnsi="Century Gothic"/>
        </w:rPr>
      </w:pPr>
      <w:r w:rsidRPr="008758A5">
        <w:rPr>
          <w:rFonts w:ascii="Century Gothic" w:hAnsi="Century Gothic"/>
        </w:rPr>
        <w:t xml:space="preserve">As the census is currently a </w:t>
      </w:r>
      <w:proofErr w:type="gramStart"/>
      <w:r w:rsidRPr="008758A5">
        <w:rPr>
          <w:rFonts w:ascii="Century Gothic" w:hAnsi="Century Gothic"/>
        </w:rPr>
        <w:t>full scale</w:t>
      </w:r>
      <w:proofErr w:type="gramEnd"/>
      <w:r w:rsidRPr="008758A5">
        <w:rPr>
          <w:rFonts w:ascii="Century Gothic" w:hAnsi="Century Gothic"/>
        </w:rPr>
        <w:t xml:space="preserve"> trial, insights are in a separate publication – </w:t>
      </w:r>
      <w:hyperlink r:id="rId15" w:history="1">
        <w:r w:rsidRPr="008758A5">
          <w:rPr>
            <w:rStyle w:val="Hyperlink"/>
            <w:rFonts w:ascii="Century Gothic" w:hAnsi="Century Gothic"/>
            <w:color w:val="auto"/>
          </w:rPr>
          <w:t>2023 WA Public Sector Census Sector Insights</w:t>
        </w:r>
      </w:hyperlink>
      <w:r w:rsidRPr="008758A5">
        <w:rPr>
          <w:rFonts w:ascii="Century Gothic" w:hAnsi="Century Gothic"/>
        </w:rPr>
        <w:t xml:space="preserve"> – that was released in October 2023.</w:t>
      </w:r>
    </w:p>
    <w:p w14:paraId="71169A86" w14:textId="77777777" w:rsidR="005D778B" w:rsidRPr="008758A5" w:rsidRDefault="005D778B" w:rsidP="005D778B">
      <w:pPr>
        <w:pStyle w:val="Caption"/>
        <w:spacing w:after="240"/>
        <w:rPr>
          <w:rFonts w:ascii="Century Gothic" w:hAnsi="Century Gothic"/>
          <w:color w:val="auto"/>
          <w:sz w:val="22"/>
          <w:szCs w:val="22"/>
        </w:rPr>
      </w:pPr>
      <w:r w:rsidRPr="008758A5">
        <w:rPr>
          <w:rFonts w:ascii="Century Gothic" w:hAnsi="Century Gothic"/>
          <w:color w:val="auto"/>
          <w:sz w:val="22"/>
          <w:szCs w:val="22"/>
        </w:rPr>
        <w:t xml:space="preserve"> I trust this report provides an insight into the workforce that plays such an important role in our community in so many ways.</w:t>
      </w:r>
    </w:p>
    <w:p w14:paraId="063F911F" w14:textId="486DB492" w:rsidR="008937AB" w:rsidRDefault="003111D8" w:rsidP="00EF7AAE">
      <w:pPr>
        <w:spacing w:line="240" w:lineRule="auto"/>
        <w:rPr>
          <w:rFonts w:ascii="Century Gothic" w:hAnsi="Century Gothic"/>
          <w:color w:val="2E74B5" w:themeColor="accent1" w:themeShade="BF"/>
        </w:rPr>
      </w:pPr>
      <w:r>
        <w:rPr>
          <w:noProof/>
        </w:rPr>
        <w:drawing>
          <wp:inline distT="0" distB="0" distL="0" distR="0" wp14:anchorId="777B15B9" wp14:editId="1584523F">
            <wp:extent cx="1266825" cy="535305"/>
            <wp:effectExtent l="0" t="0" r="9525" b="0"/>
            <wp:docPr id="486923796" name="Picture 486923796" descr="Image of Sharyn O'Nei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23796" name="Picture 486923796" descr="Image of Sharyn O'Neill signa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825" cy="535305"/>
                    </a:xfrm>
                    <a:prstGeom prst="rect">
                      <a:avLst/>
                    </a:prstGeom>
                  </pic:spPr>
                </pic:pic>
              </a:graphicData>
            </a:graphic>
          </wp:inline>
        </w:drawing>
      </w:r>
    </w:p>
    <w:p w14:paraId="7CD6CCE2" w14:textId="77777777" w:rsidR="00107626" w:rsidRDefault="00107626" w:rsidP="008108C9">
      <w:pPr>
        <w:spacing w:after="0" w:line="240" w:lineRule="auto"/>
        <w:rPr>
          <w:rFonts w:ascii="Century Gothic" w:hAnsi="Century Gothic"/>
          <w:b/>
          <w:bCs/>
          <w:color w:val="2E74B5" w:themeColor="accent1" w:themeShade="BF"/>
        </w:rPr>
      </w:pPr>
    </w:p>
    <w:p w14:paraId="408B62EB" w14:textId="5890931C" w:rsidR="00890CA7" w:rsidRPr="00B45E10" w:rsidRDefault="008108C9" w:rsidP="008108C9">
      <w:pPr>
        <w:spacing w:after="0" w:line="240" w:lineRule="auto"/>
        <w:rPr>
          <w:rFonts w:ascii="Century Gothic" w:hAnsi="Century Gothic"/>
          <w:b/>
          <w:bCs/>
          <w:color w:val="2E74B5" w:themeColor="accent1" w:themeShade="BF"/>
        </w:rPr>
      </w:pPr>
      <w:r w:rsidRPr="00B45E10">
        <w:rPr>
          <w:rFonts w:ascii="Century Gothic" w:hAnsi="Century Gothic"/>
          <w:b/>
          <w:bCs/>
          <w:color w:val="2E74B5" w:themeColor="accent1" w:themeShade="BF"/>
        </w:rPr>
        <w:t>SHARYN O’NEILL</w:t>
      </w:r>
      <w:r w:rsidR="00E73C75">
        <w:rPr>
          <w:rFonts w:ascii="Century Gothic" w:hAnsi="Century Gothic"/>
          <w:b/>
          <w:bCs/>
          <w:color w:val="2E74B5" w:themeColor="accent1" w:themeShade="BF"/>
        </w:rPr>
        <w:t xml:space="preserve"> PSM</w:t>
      </w:r>
    </w:p>
    <w:p w14:paraId="3E5E9C4D" w14:textId="17FA84F0" w:rsidR="00890CA7" w:rsidRPr="00B45E10" w:rsidRDefault="008108C9" w:rsidP="00890CA7">
      <w:pPr>
        <w:spacing w:line="240" w:lineRule="auto"/>
        <w:rPr>
          <w:rFonts w:ascii="Century Gothic" w:hAnsi="Century Gothic"/>
          <w:b/>
          <w:bCs/>
          <w:color w:val="2E74B5" w:themeColor="accent1" w:themeShade="BF"/>
        </w:rPr>
      </w:pPr>
      <w:r w:rsidRPr="00B45E10">
        <w:rPr>
          <w:rFonts w:ascii="Century Gothic" w:hAnsi="Century Gothic"/>
          <w:b/>
          <w:bCs/>
          <w:color w:val="2E74B5" w:themeColor="accent1" w:themeShade="BF"/>
        </w:rPr>
        <w:t>PUBLIC SECTOR COMMISSIONER</w:t>
      </w:r>
    </w:p>
    <w:p w14:paraId="4E9F0206" w14:textId="6C8208C9" w:rsidR="00890CA7" w:rsidRPr="00B45E10" w:rsidRDefault="000658EA" w:rsidP="14D8E870">
      <w:pPr>
        <w:spacing w:line="240" w:lineRule="auto"/>
        <w:rPr>
          <w:rFonts w:ascii="Century Gothic" w:hAnsi="Century Gothic"/>
          <w:color w:val="2E74B5" w:themeColor="accent1" w:themeShade="BF"/>
        </w:rPr>
      </w:pPr>
      <w:r>
        <w:rPr>
          <w:rFonts w:ascii="Century Gothic" w:hAnsi="Century Gothic"/>
          <w:color w:val="2E74B5" w:themeColor="accent1" w:themeShade="BF"/>
        </w:rPr>
        <w:t>27</w:t>
      </w:r>
      <w:r w:rsidR="00006830">
        <w:rPr>
          <w:rFonts w:ascii="Century Gothic" w:hAnsi="Century Gothic"/>
          <w:color w:val="2E74B5" w:themeColor="accent1" w:themeShade="BF"/>
        </w:rPr>
        <w:t xml:space="preserve"> November 2023</w:t>
      </w:r>
    </w:p>
    <w:p w14:paraId="62EC0C64" w14:textId="0EC72E8A" w:rsidR="005D51AC" w:rsidRPr="00EF4DBB" w:rsidRDefault="00EC3FFB" w:rsidP="00E73C75">
      <w:pPr>
        <w:pStyle w:val="Heading2"/>
      </w:pPr>
      <w:bookmarkStart w:id="3" w:name="_Toc151900161"/>
      <w:r w:rsidRPr="00EF4DBB">
        <w:lastRenderedPageBreak/>
        <w:t>About</w:t>
      </w:r>
      <w:r w:rsidR="005D51AC" w:rsidRPr="00EF4DBB">
        <w:t xml:space="preserve"> </w:t>
      </w:r>
      <w:r w:rsidR="00EE17B4" w:rsidRPr="00EF4DBB">
        <w:t xml:space="preserve">this </w:t>
      </w:r>
      <w:r w:rsidR="00EE17B4" w:rsidRPr="006F5F16">
        <w:rPr>
          <w:b/>
          <w:bCs/>
        </w:rPr>
        <w:t>report</w:t>
      </w:r>
      <w:bookmarkEnd w:id="3"/>
    </w:p>
    <w:p w14:paraId="14A45024" w14:textId="6B0DF0C9" w:rsidR="005D51AC" w:rsidRPr="00A5015A" w:rsidRDefault="005D51AC" w:rsidP="00EC3FFB">
      <w:pPr>
        <w:rPr>
          <w:rFonts w:ascii="Century Gothic" w:hAnsi="Century Gothic"/>
          <w:b/>
          <w:bCs/>
          <w:color w:val="2E74B5" w:themeColor="accent1" w:themeShade="BF"/>
          <w:sz w:val="24"/>
          <w:szCs w:val="24"/>
        </w:rPr>
      </w:pPr>
      <w:bookmarkStart w:id="4" w:name="_Hlk148083045"/>
      <w:r w:rsidRPr="00A5015A">
        <w:rPr>
          <w:rFonts w:ascii="Century Gothic" w:hAnsi="Century Gothic"/>
          <w:b/>
          <w:bCs/>
          <w:color w:val="2E74B5" w:themeColor="accent1" w:themeShade="BF"/>
          <w:sz w:val="24"/>
          <w:szCs w:val="24"/>
        </w:rPr>
        <w:t>Th</w:t>
      </w:r>
      <w:r w:rsidR="00911542" w:rsidRPr="00A5015A">
        <w:rPr>
          <w:rFonts w:ascii="Century Gothic" w:hAnsi="Century Gothic"/>
          <w:b/>
          <w:bCs/>
          <w:color w:val="2E74B5" w:themeColor="accent1" w:themeShade="BF"/>
          <w:sz w:val="24"/>
          <w:szCs w:val="24"/>
        </w:rPr>
        <w:t xml:space="preserve">is </w:t>
      </w:r>
      <w:bookmarkStart w:id="5" w:name="_Hlk148082978"/>
      <w:r w:rsidR="00EE17B4" w:rsidRPr="00A5015A">
        <w:rPr>
          <w:rFonts w:ascii="Century Gothic" w:hAnsi="Century Gothic"/>
          <w:b/>
          <w:bCs/>
          <w:color w:val="2E74B5" w:themeColor="accent1" w:themeShade="BF"/>
          <w:sz w:val="24"/>
          <w:szCs w:val="24"/>
        </w:rPr>
        <w:t xml:space="preserve">report </w:t>
      </w:r>
      <w:bookmarkEnd w:id="5"/>
      <w:r w:rsidR="00EE17B4" w:rsidRPr="00A5015A">
        <w:rPr>
          <w:rFonts w:ascii="Century Gothic" w:hAnsi="Century Gothic"/>
          <w:b/>
          <w:bCs/>
          <w:color w:val="2E74B5" w:themeColor="accent1" w:themeShade="BF"/>
          <w:sz w:val="24"/>
          <w:szCs w:val="24"/>
        </w:rPr>
        <w:t xml:space="preserve">is the </w:t>
      </w:r>
      <w:r w:rsidRPr="00A5015A">
        <w:rPr>
          <w:rFonts w:ascii="Century Gothic" w:hAnsi="Century Gothic"/>
          <w:b/>
          <w:bCs/>
          <w:color w:val="2E74B5" w:themeColor="accent1" w:themeShade="BF"/>
          <w:sz w:val="24"/>
          <w:szCs w:val="24"/>
        </w:rPr>
        <w:t xml:space="preserve">Public Sector Commissioner’s independent assessment of the performance, notable achievements, </w:t>
      </w:r>
      <w:proofErr w:type="gramStart"/>
      <w:r w:rsidRPr="00A5015A">
        <w:rPr>
          <w:rFonts w:ascii="Century Gothic" w:hAnsi="Century Gothic"/>
          <w:b/>
          <w:bCs/>
          <w:color w:val="2E74B5" w:themeColor="accent1" w:themeShade="BF"/>
          <w:sz w:val="24"/>
          <w:szCs w:val="24"/>
        </w:rPr>
        <w:t>challenges</w:t>
      </w:r>
      <w:proofErr w:type="gramEnd"/>
      <w:r w:rsidRPr="00A5015A">
        <w:rPr>
          <w:rFonts w:ascii="Century Gothic" w:hAnsi="Century Gothic"/>
          <w:b/>
          <w:bCs/>
          <w:color w:val="2E74B5" w:themeColor="accent1" w:themeShade="BF"/>
          <w:sz w:val="24"/>
          <w:szCs w:val="24"/>
        </w:rPr>
        <w:t xml:space="preserve"> and priorities of the WA government sector workforce. </w:t>
      </w:r>
    </w:p>
    <w:bookmarkEnd w:id="4"/>
    <w:p w14:paraId="5CD86DD1" w14:textId="0F8233B1" w:rsidR="00DD02F1" w:rsidRPr="00240621" w:rsidRDefault="00DD02F1" w:rsidP="009D7055">
      <w:pPr>
        <w:rPr>
          <w:rFonts w:eastAsiaTheme="minorHAnsi"/>
        </w:rPr>
      </w:pPr>
      <w:r w:rsidRPr="00240621">
        <w:rPr>
          <w:rFonts w:eastAsiaTheme="minorHAnsi"/>
        </w:rPr>
        <w:t xml:space="preserve">The Commission’s </w:t>
      </w:r>
      <w:hyperlink r:id="rId16" w:history="1">
        <w:r w:rsidRPr="00240621">
          <w:rPr>
            <w:rFonts w:eastAsiaTheme="minorHAnsi"/>
            <w:color w:val="0563C1" w:themeColor="hyperlink"/>
            <w:u w:val="single"/>
          </w:rPr>
          <w:t>remit and responsibilities</w:t>
        </w:r>
      </w:hyperlink>
      <w:r w:rsidRPr="00240621">
        <w:rPr>
          <w:rFonts w:eastAsiaTheme="minorHAnsi"/>
        </w:rPr>
        <w:t xml:space="preserve"> differ across the government sector. For the public sector, the information in this report extends across the </w:t>
      </w:r>
      <w:r w:rsidRPr="00240621">
        <w:rPr>
          <w:rFonts w:eastAsiaTheme="minorHAnsi"/>
          <w:i/>
        </w:rPr>
        <w:t xml:space="preserve">Public Sector Management Act 1994 </w:t>
      </w:r>
      <w:r w:rsidRPr="00240621">
        <w:rPr>
          <w:rFonts w:eastAsiaTheme="minorHAnsi"/>
        </w:rPr>
        <w:t>(PSM Act)</w:t>
      </w:r>
      <w:r w:rsidR="000822A1" w:rsidRPr="00240621">
        <w:rPr>
          <w:rFonts w:eastAsiaTheme="minorHAnsi"/>
        </w:rPr>
        <w:t>;</w:t>
      </w:r>
      <w:r w:rsidRPr="00240621">
        <w:rPr>
          <w:rFonts w:eastAsiaTheme="minorHAnsi"/>
        </w:rPr>
        <w:t xml:space="preserve"> </w:t>
      </w:r>
      <w:r w:rsidRPr="00240621">
        <w:rPr>
          <w:rFonts w:eastAsiaTheme="minorHAnsi"/>
          <w:i/>
        </w:rPr>
        <w:t>Equal Opportunity Act 1984</w:t>
      </w:r>
      <w:r w:rsidRPr="00240621">
        <w:rPr>
          <w:rFonts w:eastAsiaTheme="minorHAnsi"/>
        </w:rPr>
        <w:t xml:space="preserve"> (EO Act)</w:t>
      </w:r>
      <w:r w:rsidR="000822A1" w:rsidRPr="00240621">
        <w:rPr>
          <w:rFonts w:eastAsiaTheme="minorHAnsi"/>
        </w:rPr>
        <w:t>;</w:t>
      </w:r>
      <w:r w:rsidRPr="00240621">
        <w:rPr>
          <w:rFonts w:eastAsiaTheme="minorHAnsi"/>
        </w:rPr>
        <w:t xml:space="preserve"> </w:t>
      </w:r>
      <w:r w:rsidRPr="00240621">
        <w:rPr>
          <w:rFonts w:eastAsiaTheme="minorHAnsi"/>
          <w:i/>
        </w:rPr>
        <w:t>Corruption, Crime and Misconduct Act 2003</w:t>
      </w:r>
      <w:r w:rsidRPr="00240621">
        <w:rPr>
          <w:rFonts w:eastAsiaTheme="minorHAnsi"/>
        </w:rPr>
        <w:t xml:space="preserve"> (CCM Act)</w:t>
      </w:r>
      <w:r w:rsidR="000822A1" w:rsidRPr="00240621">
        <w:rPr>
          <w:rFonts w:eastAsiaTheme="minorHAnsi"/>
        </w:rPr>
        <w:t>;</w:t>
      </w:r>
      <w:r w:rsidRPr="00240621">
        <w:rPr>
          <w:rFonts w:eastAsiaTheme="minorHAnsi"/>
        </w:rPr>
        <w:t xml:space="preserve"> and </w:t>
      </w:r>
      <w:r w:rsidRPr="00240621">
        <w:rPr>
          <w:rFonts w:eastAsiaTheme="minorHAnsi"/>
          <w:i/>
        </w:rPr>
        <w:t>Public Interest Disclosure Act 2003</w:t>
      </w:r>
      <w:r w:rsidRPr="00240621">
        <w:rPr>
          <w:rFonts w:eastAsiaTheme="minorHAnsi"/>
        </w:rPr>
        <w:t xml:space="preserve"> (PID Act). For other government entities, the information only relates to the EO Act, CCM Act and PID Act. </w:t>
      </w:r>
    </w:p>
    <w:p w14:paraId="75F9E2F5" w14:textId="42DE5042" w:rsidR="00DD02F1" w:rsidRPr="00240621" w:rsidRDefault="00DD02F1" w:rsidP="009D7055">
      <w:r w:rsidRPr="00240621">
        <w:rPr>
          <w:rFonts w:eastAsiaTheme="minorHAnsi"/>
        </w:rPr>
        <w:t xml:space="preserve">The workforce information in this report (Sections </w:t>
      </w:r>
      <w:r w:rsidR="007E686B" w:rsidRPr="00240621">
        <w:rPr>
          <w:rFonts w:eastAsiaTheme="minorHAnsi"/>
        </w:rPr>
        <w:t>1 to 4</w:t>
      </w:r>
      <w:r w:rsidRPr="00240621">
        <w:rPr>
          <w:rFonts w:eastAsiaTheme="minorHAnsi"/>
        </w:rPr>
        <w:t xml:space="preserve">) is based on data about public sector agencies and other government entities excluding government boards and committees. Integrity information in this report (Section </w:t>
      </w:r>
      <w:r w:rsidR="007E686B" w:rsidRPr="00240621">
        <w:rPr>
          <w:rFonts w:eastAsiaTheme="minorHAnsi"/>
        </w:rPr>
        <w:t>5</w:t>
      </w:r>
      <w:r w:rsidRPr="00240621">
        <w:rPr>
          <w:rFonts w:eastAsiaTheme="minorHAnsi"/>
        </w:rPr>
        <w:t>) refers to ‘</w:t>
      </w:r>
      <w:r w:rsidR="008C2D01">
        <w:rPr>
          <w:rFonts w:eastAsiaTheme="minorHAnsi"/>
        </w:rPr>
        <w:t>public authorities</w:t>
      </w:r>
      <w:r w:rsidRPr="00240621">
        <w:rPr>
          <w:rFonts w:eastAsiaTheme="minorHAnsi"/>
        </w:rPr>
        <w:t>’ (public sector agencies and other government entities including some government boards and committees).</w:t>
      </w:r>
    </w:p>
    <w:p w14:paraId="10DB48EE" w14:textId="47EAF037" w:rsidR="00DD02F1" w:rsidRPr="00240621" w:rsidRDefault="00DD02F1" w:rsidP="009D7055">
      <w:r w:rsidRPr="00240621">
        <w:t xml:space="preserve">Workforce data presented throughout the report is based on annual average figures unless </w:t>
      </w:r>
      <w:r w:rsidR="00AB174D">
        <w:t xml:space="preserve">otherwise </w:t>
      </w:r>
      <w:r w:rsidRPr="00240621">
        <w:t xml:space="preserve">indicated as a point in time reference. </w:t>
      </w:r>
      <w:r w:rsidR="005D778B">
        <w:t>The report</w:t>
      </w:r>
      <w:r w:rsidR="005D778B" w:rsidRPr="00240621">
        <w:t xml:space="preserve"> </w:t>
      </w:r>
      <w:r w:rsidRPr="00240621">
        <w:t xml:space="preserve">draws on data from a range of sources. Information on the data collected by the Public Sector Commission </w:t>
      </w:r>
      <w:r w:rsidR="000822A1" w:rsidRPr="00240621">
        <w:t xml:space="preserve">is </w:t>
      </w:r>
      <w:r w:rsidRPr="00240621">
        <w:t xml:space="preserve">in the </w:t>
      </w:r>
      <w:r w:rsidR="00E56434" w:rsidRPr="00E56434">
        <w:t>data quality statement</w:t>
      </w:r>
      <w:r w:rsidR="00E56434">
        <w:t xml:space="preserve"> (more information on page </w:t>
      </w:r>
      <w:r w:rsidR="00E56434" w:rsidRPr="00170486">
        <w:t>64</w:t>
      </w:r>
      <w:r w:rsidR="00E56434">
        <w:t>)</w:t>
      </w:r>
      <w:r w:rsidRPr="00240621">
        <w:t>.</w:t>
      </w:r>
    </w:p>
    <w:p w14:paraId="046AC165" w14:textId="77777777" w:rsidR="009D7055" w:rsidRDefault="009D7055">
      <w:pPr>
        <w:spacing w:after="160"/>
        <w:rPr>
          <w:rFonts w:ascii="Century Gothic" w:eastAsiaTheme="majorEastAsia" w:hAnsi="Century Gothic"/>
          <w:color w:val="2E74B5" w:themeColor="accent1" w:themeShade="BF"/>
          <w:sz w:val="44"/>
          <w:szCs w:val="44"/>
        </w:rPr>
      </w:pPr>
      <w:r>
        <w:br w:type="page"/>
      </w:r>
    </w:p>
    <w:p w14:paraId="7EA3398F" w14:textId="06483DDD" w:rsidR="005D51AC" w:rsidRPr="00EF4DBB" w:rsidRDefault="009D7055" w:rsidP="00E73C75">
      <w:pPr>
        <w:pStyle w:val="Heading2"/>
      </w:pPr>
      <w:bookmarkStart w:id="6" w:name="_Toc151900162"/>
      <w:r>
        <w:lastRenderedPageBreak/>
        <w:t xml:space="preserve">Section 1: </w:t>
      </w:r>
      <w:r w:rsidR="005D51AC" w:rsidRPr="00942C00">
        <w:rPr>
          <w:b/>
          <w:bCs/>
        </w:rPr>
        <w:t>Structure</w:t>
      </w:r>
      <w:bookmarkEnd w:id="6"/>
    </w:p>
    <w:p w14:paraId="56E423E6" w14:textId="079A1B56" w:rsidR="000932BF" w:rsidRPr="00BE27DE" w:rsidRDefault="00BE27DE" w:rsidP="005C0F54">
      <w:pPr>
        <w:rPr>
          <w:rFonts w:ascii="Century Gothic" w:eastAsiaTheme="minorHAnsi" w:hAnsi="Century Gothic"/>
          <w:b/>
          <w:bCs/>
          <w:color w:val="2E74B5" w:themeColor="accent1" w:themeShade="BF"/>
          <w:sz w:val="24"/>
          <w:szCs w:val="24"/>
        </w:rPr>
      </w:pPr>
      <w:r w:rsidRPr="00BE27DE">
        <w:rPr>
          <w:rFonts w:ascii="Century Gothic" w:eastAsiaTheme="minorHAnsi" w:hAnsi="Century Gothic"/>
          <w:b/>
          <w:bCs/>
          <w:color w:val="2E74B5" w:themeColor="accent1" w:themeShade="BF"/>
          <w:sz w:val="24"/>
          <w:szCs w:val="24"/>
        </w:rPr>
        <w:t>This section</w:t>
      </w:r>
      <w:r w:rsidR="00070606">
        <w:rPr>
          <w:rFonts w:ascii="Century Gothic" w:eastAsiaTheme="minorHAnsi" w:hAnsi="Century Gothic"/>
          <w:b/>
          <w:bCs/>
          <w:color w:val="2E74B5" w:themeColor="accent1" w:themeShade="BF"/>
          <w:sz w:val="24"/>
          <w:szCs w:val="24"/>
        </w:rPr>
        <w:t xml:space="preserve"> of the report</w:t>
      </w:r>
      <w:r w:rsidRPr="00BE27DE">
        <w:rPr>
          <w:rFonts w:ascii="Century Gothic" w:eastAsiaTheme="minorHAnsi" w:hAnsi="Century Gothic"/>
          <w:b/>
          <w:bCs/>
          <w:color w:val="2E74B5" w:themeColor="accent1" w:themeShade="BF"/>
          <w:sz w:val="24"/>
          <w:szCs w:val="24"/>
        </w:rPr>
        <w:t xml:space="preserve"> focuses on the composition of the </w:t>
      </w:r>
      <w:r w:rsidR="009D7055" w:rsidRPr="00BE27DE">
        <w:rPr>
          <w:rFonts w:ascii="Century Gothic" w:eastAsiaTheme="minorHAnsi" w:hAnsi="Century Gothic"/>
          <w:b/>
          <w:bCs/>
          <w:color w:val="2E74B5" w:themeColor="accent1" w:themeShade="BF"/>
          <w:sz w:val="24"/>
          <w:szCs w:val="24"/>
        </w:rPr>
        <w:t>WA</w:t>
      </w:r>
      <w:r w:rsidR="00B436D6" w:rsidRPr="00BE27DE">
        <w:rPr>
          <w:rFonts w:ascii="Century Gothic" w:eastAsiaTheme="minorHAnsi" w:hAnsi="Century Gothic"/>
          <w:b/>
          <w:bCs/>
          <w:color w:val="2E74B5" w:themeColor="accent1" w:themeShade="BF"/>
          <w:sz w:val="24"/>
          <w:szCs w:val="24"/>
        </w:rPr>
        <w:t xml:space="preserve"> government sector </w:t>
      </w:r>
      <w:r w:rsidRPr="00BE27DE">
        <w:rPr>
          <w:rFonts w:ascii="Century Gothic" w:eastAsiaTheme="minorHAnsi" w:hAnsi="Century Gothic"/>
          <w:b/>
          <w:bCs/>
          <w:color w:val="2E74B5" w:themeColor="accent1" w:themeShade="BF"/>
          <w:sz w:val="24"/>
          <w:szCs w:val="24"/>
        </w:rPr>
        <w:t xml:space="preserve">that </w:t>
      </w:r>
      <w:r w:rsidR="000932BF" w:rsidRPr="00BE27DE">
        <w:rPr>
          <w:rFonts w:ascii="Century Gothic" w:eastAsiaTheme="minorHAnsi" w:hAnsi="Century Gothic"/>
          <w:b/>
          <w:bCs/>
          <w:color w:val="2E74B5" w:themeColor="accent1" w:themeShade="BF"/>
          <w:sz w:val="24"/>
          <w:szCs w:val="24"/>
        </w:rPr>
        <w:t xml:space="preserve">comprises a range of </w:t>
      </w:r>
      <w:r w:rsidR="00E42E12" w:rsidRPr="00BE27DE">
        <w:rPr>
          <w:rFonts w:ascii="Century Gothic" w:eastAsiaTheme="minorHAnsi" w:hAnsi="Century Gothic"/>
          <w:b/>
          <w:bCs/>
          <w:color w:val="2E74B5" w:themeColor="accent1" w:themeShade="BF"/>
          <w:sz w:val="24"/>
          <w:szCs w:val="24"/>
        </w:rPr>
        <w:t xml:space="preserve">departments, organisations, </w:t>
      </w:r>
      <w:proofErr w:type="gramStart"/>
      <w:r w:rsidR="00E42E12" w:rsidRPr="00BE27DE">
        <w:rPr>
          <w:rFonts w:ascii="Century Gothic" w:eastAsiaTheme="minorHAnsi" w:hAnsi="Century Gothic"/>
          <w:b/>
          <w:bCs/>
          <w:color w:val="2E74B5" w:themeColor="accent1" w:themeShade="BF"/>
          <w:sz w:val="24"/>
          <w:szCs w:val="24"/>
        </w:rPr>
        <w:t>offices</w:t>
      </w:r>
      <w:proofErr w:type="gramEnd"/>
      <w:r w:rsidR="00E73C75" w:rsidRPr="00BE27DE">
        <w:rPr>
          <w:rFonts w:ascii="Century Gothic" w:eastAsiaTheme="minorHAnsi" w:hAnsi="Century Gothic"/>
          <w:b/>
          <w:bCs/>
          <w:color w:val="2E74B5" w:themeColor="accent1" w:themeShade="BF"/>
          <w:sz w:val="24"/>
          <w:szCs w:val="24"/>
        </w:rPr>
        <w:t xml:space="preserve"> </w:t>
      </w:r>
      <w:r w:rsidR="00E42E12" w:rsidRPr="00BE27DE">
        <w:rPr>
          <w:rFonts w:ascii="Century Gothic" w:eastAsiaTheme="minorHAnsi" w:hAnsi="Century Gothic"/>
          <w:b/>
          <w:bCs/>
          <w:color w:val="2E74B5" w:themeColor="accent1" w:themeShade="BF"/>
          <w:sz w:val="24"/>
          <w:szCs w:val="24"/>
        </w:rPr>
        <w:t>and entities</w:t>
      </w:r>
      <w:r w:rsidR="00EB42E7" w:rsidRPr="00BE27DE">
        <w:rPr>
          <w:rFonts w:ascii="Century Gothic" w:eastAsiaTheme="minorHAnsi" w:hAnsi="Century Gothic"/>
          <w:b/>
          <w:bCs/>
          <w:color w:val="2E74B5" w:themeColor="accent1" w:themeShade="BF"/>
          <w:sz w:val="24"/>
          <w:szCs w:val="24"/>
        </w:rPr>
        <w:t>.</w:t>
      </w:r>
    </w:p>
    <w:p w14:paraId="48C3F446" w14:textId="79675DA9" w:rsidR="00060E16" w:rsidRPr="00240621" w:rsidRDefault="00060E16" w:rsidP="005E0AE5">
      <w:pPr>
        <w:pStyle w:val="Caption"/>
        <w:rPr>
          <w:rFonts w:eastAsiaTheme="minorHAnsi"/>
          <w:b/>
          <w:bCs/>
        </w:rPr>
      </w:pPr>
      <w:bookmarkStart w:id="7" w:name="_Ref84252808"/>
      <w:r w:rsidRPr="00240621">
        <w:rPr>
          <w:b/>
          <w:bCs/>
        </w:rPr>
        <w:t xml:space="preserve">Figure </w:t>
      </w:r>
      <w:r w:rsidR="001E468C">
        <w:rPr>
          <w:b/>
          <w:bCs/>
        </w:rPr>
        <w:fldChar w:fldCharType="begin"/>
      </w:r>
      <w:r w:rsidR="001E468C">
        <w:rPr>
          <w:b/>
          <w:bCs/>
        </w:rPr>
        <w:instrText xml:space="preserve"> SEQ Figure \* ARABIC </w:instrText>
      </w:r>
      <w:r w:rsidR="001E468C">
        <w:rPr>
          <w:b/>
          <w:bCs/>
        </w:rPr>
        <w:fldChar w:fldCharType="separate"/>
      </w:r>
      <w:r w:rsidR="0048418F">
        <w:rPr>
          <w:b/>
          <w:bCs/>
          <w:noProof/>
        </w:rPr>
        <w:t>1</w:t>
      </w:r>
      <w:r w:rsidR="001E468C">
        <w:rPr>
          <w:b/>
          <w:bCs/>
        </w:rPr>
        <w:fldChar w:fldCharType="end"/>
      </w:r>
      <w:bookmarkEnd w:id="7"/>
      <w:r w:rsidRPr="00240621">
        <w:rPr>
          <w:b/>
          <w:bCs/>
        </w:rPr>
        <w:t xml:space="preserve">: WA government sector </w:t>
      </w:r>
      <w:r w:rsidR="001D12C7" w:rsidRPr="00240621">
        <w:rPr>
          <w:b/>
          <w:bCs/>
        </w:rPr>
        <w:t>202</w:t>
      </w:r>
      <w:r w:rsidR="005B0250">
        <w:rPr>
          <w:b/>
          <w:bCs/>
        </w:rPr>
        <w:t>2</w:t>
      </w:r>
      <w:r w:rsidR="00240621" w:rsidRPr="00240621">
        <w:rPr>
          <w:b/>
          <w:bCs/>
        </w:rPr>
        <w:t>-2</w:t>
      </w:r>
      <w:r w:rsidR="005B0250">
        <w:rPr>
          <w:b/>
          <w:bCs/>
        </w:rPr>
        <w:t>3</w:t>
      </w:r>
      <w:r w:rsidR="00BE27DE">
        <w:rPr>
          <w:b/>
          <w:bCs/>
        </w:rPr>
        <w:t xml:space="preserve"> visual representation from Public Sector Commission perspective</w:t>
      </w:r>
    </w:p>
    <w:p w14:paraId="207EEF48" w14:textId="77777777" w:rsidR="00262703" w:rsidRDefault="00114445" w:rsidP="005E0AE5">
      <w:pPr>
        <w:pStyle w:val="Caption"/>
      </w:pPr>
      <w:r>
        <w:rPr>
          <w:noProof/>
        </w:rPr>
        <w:drawing>
          <wp:inline distT="0" distB="0" distL="0" distR="0" wp14:anchorId="1195761F" wp14:editId="7B75DBFA">
            <wp:extent cx="5591175" cy="3123126"/>
            <wp:effectExtent l="0" t="0" r="0" b="1270"/>
            <wp:docPr id="10" name="Picture 10" descr="A visual representation of the WA government sector showing the separation between the public sector and other government entities as described in the follow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sual representation of the WA government sector showing the separation between the public sector and other government entities as described in the following text."/>
                    <pic:cNvPicPr/>
                  </pic:nvPicPr>
                  <pic:blipFill rotWithShape="1">
                    <a:blip r:embed="rId17"/>
                    <a:srcRect l="1208" r="2279"/>
                    <a:stretch/>
                  </pic:blipFill>
                  <pic:spPr bwMode="auto">
                    <a:xfrm>
                      <a:off x="0" y="0"/>
                      <a:ext cx="5662172" cy="3162783"/>
                    </a:xfrm>
                    <a:prstGeom prst="rect">
                      <a:avLst/>
                    </a:prstGeom>
                    <a:ln>
                      <a:noFill/>
                    </a:ln>
                    <a:extLst>
                      <a:ext uri="{53640926-AAD7-44D8-BBD7-CCE9431645EC}">
                        <a14:shadowObscured xmlns:a14="http://schemas.microsoft.com/office/drawing/2010/main"/>
                      </a:ext>
                    </a:extLst>
                  </pic:spPr>
                </pic:pic>
              </a:graphicData>
            </a:graphic>
          </wp:inline>
        </w:drawing>
      </w:r>
    </w:p>
    <w:p w14:paraId="4FAF47D3" w14:textId="2C3195FC" w:rsidR="00DD02F1" w:rsidRPr="00DD02F1" w:rsidRDefault="00DD02F1" w:rsidP="00DD02F1">
      <w:pPr>
        <w:rPr>
          <w:rFonts w:eastAsiaTheme="minorHAnsi"/>
        </w:rPr>
      </w:pPr>
      <w:r w:rsidRPr="00DD02F1">
        <w:rPr>
          <w:rFonts w:eastAsiaTheme="minorHAnsi"/>
        </w:rPr>
        <w:t xml:space="preserve">The </w:t>
      </w:r>
      <w:r w:rsidRPr="00DD02F1">
        <w:rPr>
          <w:rFonts w:eastAsiaTheme="minorHAnsi"/>
          <w:b/>
        </w:rPr>
        <w:t>public sector</w:t>
      </w:r>
      <w:r w:rsidRPr="00DD02F1">
        <w:rPr>
          <w:rFonts w:eastAsiaTheme="minorHAnsi"/>
        </w:rPr>
        <w:t>, which includes the public service and non-public service, is governed</w:t>
      </w:r>
      <w:r w:rsidR="00E73C75">
        <w:rPr>
          <w:rFonts w:eastAsiaTheme="minorHAnsi"/>
        </w:rPr>
        <w:t xml:space="preserve"> </w:t>
      </w:r>
      <w:r w:rsidRPr="00DD02F1">
        <w:rPr>
          <w:rFonts w:eastAsiaTheme="minorHAnsi"/>
        </w:rPr>
        <w:t>by the PSM Act and has a high level of interaction with, and direction from, the government</w:t>
      </w:r>
      <w:r w:rsidR="00E73C75">
        <w:rPr>
          <w:rFonts w:eastAsiaTheme="minorHAnsi"/>
        </w:rPr>
        <w:t xml:space="preserve"> </w:t>
      </w:r>
      <w:r w:rsidRPr="00DD02F1">
        <w:rPr>
          <w:rFonts w:eastAsiaTheme="minorHAnsi"/>
        </w:rPr>
        <w:t xml:space="preserve">of the day. </w:t>
      </w:r>
    </w:p>
    <w:p w14:paraId="12633F60" w14:textId="77777777" w:rsidR="00DD02F1" w:rsidRPr="00DD02F1" w:rsidRDefault="00DD02F1" w:rsidP="000C16A4">
      <w:pPr>
        <w:rPr>
          <w:rFonts w:eastAsiaTheme="minorHAnsi"/>
        </w:rPr>
      </w:pPr>
      <w:r w:rsidRPr="00DD02F1">
        <w:rPr>
          <w:rFonts w:eastAsiaTheme="minorHAnsi"/>
        </w:rPr>
        <w:t>The public sector includes:</w:t>
      </w:r>
    </w:p>
    <w:p w14:paraId="0482F190" w14:textId="77777777" w:rsidR="00DD02F1" w:rsidRPr="00DD02F1" w:rsidRDefault="00DD02F1">
      <w:pPr>
        <w:numPr>
          <w:ilvl w:val="0"/>
          <w:numId w:val="4"/>
        </w:numPr>
        <w:spacing w:after="0"/>
        <w:ind w:left="426" w:hanging="426"/>
        <w:contextualSpacing/>
        <w:rPr>
          <w:rFonts w:eastAsiaTheme="minorHAnsi"/>
        </w:rPr>
      </w:pPr>
      <w:r w:rsidRPr="00DD02F1">
        <w:rPr>
          <w:rFonts w:eastAsiaTheme="minorHAnsi"/>
        </w:rPr>
        <w:t xml:space="preserve">departments (such as Department of Education and Department of Transport) </w:t>
      </w:r>
    </w:p>
    <w:p w14:paraId="2E79D0D2" w14:textId="77777777" w:rsidR="00DD02F1" w:rsidRPr="00DD02F1" w:rsidRDefault="00DD02F1">
      <w:pPr>
        <w:numPr>
          <w:ilvl w:val="0"/>
          <w:numId w:val="4"/>
        </w:numPr>
        <w:spacing w:after="0"/>
        <w:ind w:left="426" w:hanging="426"/>
        <w:contextualSpacing/>
        <w:rPr>
          <w:rFonts w:eastAsiaTheme="minorHAnsi"/>
        </w:rPr>
      </w:pPr>
      <w:r w:rsidRPr="00DD02F1">
        <w:rPr>
          <w:rFonts w:eastAsiaTheme="minorHAnsi"/>
        </w:rPr>
        <w:t xml:space="preserve">Senior Executive Service (SES) organisations (such as </w:t>
      </w:r>
      <w:proofErr w:type="spellStart"/>
      <w:r w:rsidRPr="00DD02F1">
        <w:rPr>
          <w:rFonts w:eastAsiaTheme="minorHAnsi"/>
        </w:rPr>
        <w:t>Lotterywest</w:t>
      </w:r>
      <w:proofErr w:type="spellEnd"/>
      <w:r w:rsidRPr="00DD02F1">
        <w:rPr>
          <w:rFonts w:eastAsiaTheme="minorHAnsi"/>
        </w:rPr>
        <w:t>)</w:t>
      </w:r>
    </w:p>
    <w:p w14:paraId="124CC1E9" w14:textId="60F83CA7" w:rsidR="00DD02F1" w:rsidRPr="00DD02F1" w:rsidRDefault="00DD02F1">
      <w:pPr>
        <w:numPr>
          <w:ilvl w:val="0"/>
          <w:numId w:val="4"/>
        </w:numPr>
        <w:spacing w:after="0"/>
        <w:ind w:left="426" w:hanging="426"/>
        <w:contextualSpacing/>
        <w:rPr>
          <w:rFonts w:eastAsiaTheme="minorHAnsi"/>
        </w:rPr>
      </w:pPr>
      <w:r w:rsidRPr="00DD02F1">
        <w:rPr>
          <w:rFonts w:eastAsiaTheme="minorHAnsi"/>
        </w:rPr>
        <w:t>non-Senior Executive Service (non-SES) organisations (such as health service providers</w:t>
      </w:r>
      <w:r w:rsidR="00DD6217">
        <w:rPr>
          <w:rFonts w:eastAsiaTheme="minorHAnsi"/>
        </w:rPr>
        <w:t>,</w:t>
      </w:r>
      <w:r w:rsidRPr="00DD02F1">
        <w:rPr>
          <w:rFonts w:eastAsiaTheme="minorHAnsi"/>
        </w:rPr>
        <w:t xml:space="preserve"> Office of the Information Commissioner</w:t>
      </w:r>
      <w:r w:rsidR="00DD6217">
        <w:rPr>
          <w:rFonts w:eastAsiaTheme="minorHAnsi"/>
        </w:rPr>
        <w:t xml:space="preserve"> and government boards and committees</w:t>
      </w:r>
      <w:r w:rsidR="006E679A">
        <w:rPr>
          <w:rFonts w:eastAsiaTheme="minorHAnsi"/>
        </w:rPr>
        <w:t xml:space="preserve"> established under legislation</w:t>
      </w:r>
      <w:r w:rsidRPr="00DD02F1">
        <w:rPr>
          <w:rFonts w:eastAsiaTheme="minorHAnsi"/>
        </w:rPr>
        <w:t>)</w:t>
      </w:r>
    </w:p>
    <w:p w14:paraId="7A977811" w14:textId="77777777" w:rsidR="00BD343E" w:rsidRDefault="00DD02F1">
      <w:pPr>
        <w:numPr>
          <w:ilvl w:val="0"/>
          <w:numId w:val="4"/>
        </w:numPr>
        <w:ind w:left="425" w:hanging="425"/>
        <w:rPr>
          <w:rFonts w:eastAsiaTheme="minorHAnsi"/>
        </w:rPr>
      </w:pPr>
      <w:r w:rsidRPr="00DD02F1">
        <w:rPr>
          <w:rFonts w:eastAsiaTheme="minorHAnsi"/>
        </w:rPr>
        <w:t xml:space="preserve">ministerial offices. </w:t>
      </w:r>
    </w:p>
    <w:p w14:paraId="4985EAA8" w14:textId="496BC01E" w:rsidR="005818F4" w:rsidRPr="00F05C9D" w:rsidRDefault="00DD02F1" w:rsidP="00F05C9D">
      <w:pPr>
        <w:rPr>
          <w:rFonts w:eastAsiaTheme="minorHAnsi"/>
        </w:rPr>
      </w:pPr>
      <w:r w:rsidRPr="00BD343E">
        <w:rPr>
          <w:rFonts w:eastAsiaTheme="minorHAnsi"/>
        </w:rPr>
        <w:t>These are referred to in this report as ‘public sector agencies’</w:t>
      </w:r>
      <w:r w:rsidRPr="00DD02F1">
        <w:rPr>
          <w:lang w:eastAsia="en-US"/>
        </w:rPr>
        <w:t>.</w:t>
      </w:r>
    </w:p>
    <w:p w14:paraId="035B4C32" w14:textId="77777777" w:rsidR="00FA1DC5" w:rsidRDefault="00FA1DC5">
      <w:pPr>
        <w:rPr>
          <w:lang w:eastAsia="en-US"/>
        </w:rPr>
      </w:pPr>
      <w:r>
        <w:rPr>
          <w:lang w:eastAsia="en-US"/>
        </w:rPr>
        <w:br w:type="page"/>
      </w:r>
    </w:p>
    <w:p w14:paraId="1CB7004B" w14:textId="6EB07A93" w:rsidR="00CD7FC4" w:rsidRDefault="00DD02F1">
      <w:pPr>
        <w:rPr>
          <w:lang w:eastAsia="en-US"/>
        </w:rPr>
      </w:pPr>
      <w:r w:rsidRPr="00DD02F1">
        <w:rPr>
          <w:lang w:eastAsia="en-US"/>
        </w:rPr>
        <w:lastRenderedPageBreak/>
        <w:t xml:space="preserve">Outside the public sector are </w:t>
      </w:r>
      <w:r w:rsidRPr="00DD02F1">
        <w:rPr>
          <w:b/>
          <w:lang w:eastAsia="en-US"/>
        </w:rPr>
        <w:t>other government entities</w:t>
      </w:r>
      <w:r w:rsidRPr="00DD02F1">
        <w:rPr>
          <w:lang w:eastAsia="en-US"/>
        </w:rPr>
        <w:t xml:space="preserve"> which operate with a large degree of independence from the government of the day. They are part of the government sector but are not governed by the PSM Act. They are bound by some of the same rules as the public sector including equal employment, misconduct and dealing with </w:t>
      </w:r>
      <w:r w:rsidR="001F03A5">
        <w:rPr>
          <w:lang w:eastAsia="en-US"/>
        </w:rPr>
        <w:t xml:space="preserve">public interest </w:t>
      </w:r>
      <w:r w:rsidRPr="00DD02F1">
        <w:rPr>
          <w:lang w:eastAsia="en-US"/>
        </w:rPr>
        <w:t>disclosures.</w:t>
      </w:r>
    </w:p>
    <w:p w14:paraId="5932742D" w14:textId="3BAAA635" w:rsidR="00DD02F1" w:rsidRPr="00DD02F1" w:rsidRDefault="00DD02F1" w:rsidP="00BD343E">
      <w:pPr>
        <w:rPr>
          <w:lang w:eastAsia="en-US"/>
        </w:rPr>
      </w:pPr>
      <w:r w:rsidRPr="00DD02F1">
        <w:rPr>
          <w:lang w:eastAsia="en-US"/>
        </w:rPr>
        <w:t>Other government entities include:</w:t>
      </w:r>
    </w:p>
    <w:p w14:paraId="7F9FD642" w14:textId="77777777" w:rsidR="00DD02F1" w:rsidRPr="00DD02F1" w:rsidRDefault="00DD02F1">
      <w:pPr>
        <w:numPr>
          <w:ilvl w:val="0"/>
          <w:numId w:val="5"/>
        </w:numPr>
        <w:spacing w:after="0"/>
        <w:ind w:left="426" w:hanging="426"/>
        <w:contextualSpacing/>
        <w:rPr>
          <w:lang w:eastAsia="en-US"/>
        </w:rPr>
      </w:pPr>
      <w:r w:rsidRPr="00DD02F1">
        <w:rPr>
          <w:lang w:eastAsia="en-US"/>
        </w:rPr>
        <w:t>local governments (including regional councils)</w:t>
      </w:r>
    </w:p>
    <w:p w14:paraId="31EBA21B" w14:textId="77777777" w:rsidR="00DD02F1" w:rsidRPr="00DD02F1" w:rsidRDefault="00DD02F1">
      <w:pPr>
        <w:numPr>
          <w:ilvl w:val="0"/>
          <w:numId w:val="5"/>
        </w:numPr>
        <w:ind w:left="426" w:hanging="426"/>
        <w:contextualSpacing/>
        <w:rPr>
          <w:lang w:eastAsia="en-US"/>
        </w:rPr>
      </w:pPr>
      <w:r w:rsidRPr="00DD02F1">
        <w:rPr>
          <w:lang w:eastAsia="en-US"/>
        </w:rPr>
        <w:t>public universities</w:t>
      </w:r>
    </w:p>
    <w:p w14:paraId="37B6B0AA" w14:textId="77777777" w:rsidR="00DD02F1" w:rsidRPr="00DD02F1" w:rsidRDefault="00DD02F1">
      <w:pPr>
        <w:numPr>
          <w:ilvl w:val="0"/>
          <w:numId w:val="5"/>
        </w:numPr>
        <w:ind w:left="426" w:hanging="426"/>
        <w:contextualSpacing/>
        <w:rPr>
          <w:lang w:eastAsia="en-US"/>
        </w:rPr>
      </w:pPr>
      <w:r w:rsidRPr="00DD02F1">
        <w:rPr>
          <w:lang w:eastAsia="en-US"/>
        </w:rPr>
        <w:t>government trading enterprises</w:t>
      </w:r>
    </w:p>
    <w:p w14:paraId="76A42ED7" w14:textId="77777777" w:rsidR="00DD02F1" w:rsidRPr="00DD02F1" w:rsidRDefault="00DD02F1">
      <w:pPr>
        <w:numPr>
          <w:ilvl w:val="0"/>
          <w:numId w:val="5"/>
        </w:numPr>
        <w:ind w:left="426" w:hanging="426"/>
        <w:contextualSpacing/>
        <w:rPr>
          <w:lang w:eastAsia="en-US"/>
        </w:rPr>
      </w:pPr>
      <w:r w:rsidRPr="00DD02F1">
        <w:rPr>
          <w:lang w:eastAsia="en-US"/>
        </w:rPr>
        <w:t xml:space="preserve">other entities that are listed in Schedule 1 of the </w:t>
      </w:r>
      <w:r w:rsidRPr="00DD02F1">
        <w:rPr>
          <w:rFonts w:eastAsiaTheme="minorHAnsi"/>
        </w:rPr>
        <w:t>PSM Act</w:t>
      </w:r>
    </w:p>
    <w:p w14:paraId="2C165D35" w14:textId="43BB8877" w:rsidR="007B1816" w:rsidRPr="00CD7FC4" w:rsidRDefault="004E2F5B">
      <w:pPr>
        <w:numPr>
          <w:ilvl w:val="0"/>
          <w:numId w:val="5"/>
        </w:numPr>
        <w:ind w:left="425" w:hanging="425"/>
        <w:rPr>
          <w:b/>
          <w:lang w:eastAsia="en-US"/>
        </w:rPr>
      </w:pPr>
      <w:r>
        <w:rPr>
          <w:lang w:eastAsia="en-US"/>
        </w:rPr>
        <w:t xml:space="preserve">some </w:t>
      </w:r>
      <w:r w:rsidR="00DD02F1" w:rsidRPr="00DD02F1">
        <w:rPr>
          <w:lang w:eastAsia="en-US"/>
        </w:rPr>
        <w:t>government boards and committees.</w:t>
      </w:r>
    </w:p>
    <w:p w14:paraId="359BD99F" w14:textId="4F844867" w:rsidR="00190909" w:rsidRDefault="00E56434" w:rsidP="00BE27DE">
      <w:pPr>
        <w:rPr>
          <w:rFonts w:eastAsiaTheme="minorHAnsi"/>
        </w:rPr>
      </w:pPr>
      <w:r>
        <w:rPr>
          <w:rFonts w:eastAsiaTheme="minorHAnsi"/>
        </w:rPr>
        <w:t>Visit our website for</w:t>
      </w:r>
      <w:r w:rsidR="00BE27DE">
        <w:rPr>
          <w:rFonts w:eastAsiaTheme="minorHAnsi"/>
        </w:rPr>
        <w:t xml:space="preserve"> more </w:t>
      </w:r>
      <w:r w:rsidR="00DD02F1" w:rsidRPr="00DD02F1">
        <w:rPr>
          <w:rFonts w:eastAsiaTheme="minorHAnsi"/>
        </w:rPr>
        <w:t xml:space="preserve">information about the </w:t>
      </w:r>
      <w:hyperlink r:id="rId18" w:history="1">
        <w:r w:rsidR="00DD02F1" w:rsidRPr="00BE27DE">
          <w:rPr>
            <w:rStyle w:val="Hyperlink"/>
            <w:rFonts w:eastAsiaTheme="minorHAnsi"/>
          </w:rPr>
          <w:t>structure of the</w:t>
        </w:r>
        <w:r w:rsidR="00BE27DE" w:rsidRPr="00BE27DE">
          <w:rPr>
            <w:rStyle w:val="Hyperlink"/>
            <w:rFonts w:eastAsiaTheme="minorHAnsi"/>
          </w:rPr>
          <w:t xml:space="preserve"> </w:t>
        </w:r>
        <w:r w:rsidR="00BE27DE">
          <w:rPr>
            <w:rStyle w:val="Hyperlink"/>
            <w:rFonts w:eastAsiaTheme="minorHAnsi"/>
          </w:rPr>
          <w:t xml:space="preserve">WA </w:t>
        </w:r>
        <w:r w:rsidR="00BE27DE" w:rsidRPr="00BE27DE">
          <w:rPr>
            <w:rStyle w:val="Hyperlink"/>
            <w:rFonts w:eastAsiaTheme="minorHAnsi"/>
          </w:rPr>
          <w:t>government sector</w:t>
        </w:r>
      </w:hyperlink>
      <w:r w:rsidR="00BE27DE">
        <w:rPr>
          <w:rFonts w:eastAsiaTheme="minorHAnsi"/>
        </w:rPr>
        <w:t>.</w:t>
      </w:r>
    </w:p>
    <w:p w14:paraId="7E82988A" w14:textId="25E7B867" w:rsidR="005D51AC" w:rsidRPr="00624E29" w:rsidRDefault="1446E114" w:rsidP="000C16A4">
      <w:pPr>
        <w:spacing w:line="240" w:lineRule="auto"/>
      </w:pPr>
      <w:r w:rsidRPr="00521230">
        <w:t>A</w:t>
      </w:r>
      <w:r w:rsidR="1B1FAFE1" w:rsidRPr="00521230">
        <w:t xml:space="preserve">t </w:t>
      </w:r>
      <w:r w:rsidR="1B1FAFE1" w:rsidRPr="00624E29">
        <w:t xml:space="preserve">June </w:t>
      </w:r>
      <w:r w:rsidR="3EB5E05F" w:rsidRPr="00624E29">
        <w:t>202</w:t>
      </w:r>
      <w:r w:rsidR="00621F74">
        <w:t>3</w:t>
      </w:r>
      <w:r w:rsidRPr="00624E29">
        <w:t xml:space="preserve">, the </w:t>
      </w:r>
      <w:r w:rsidR="087EADD8" w:rsidRPr="00624E29">
        <w:t>WA</w:t>
      </w:r>
      <w:r w:rsidRPr="00624E29">
        <w:t xml:space="preserve"> government sector comprised:</w:t>
      </w:r>
    </w:p>
    <w:p w14:paraId="7322EB81" w14:textId="20DA6DD0" w:rsidR="00EC3FFB" w:rsidRPr="00624E29" w:rsidRDefault="00E56434">
      <w:pPr>
        <w:pStyle w:val="ListParagraph"/>
        <w:numPr>
          <w:ilvl w:val="0"/>
          <w:numId w:val="3"/>
        </w:numPr>
        <w:ind w:left="426" w:hanging="426"/>
      </w:pPr>
      <w:r>
        <w:t>p</w:t>
      </w:r>
      <w:r w:rsidR="6817C479" w:rsidRPr="00624E29">
        <w:t>ublic sector:</w:t>
      </w:r>
    </w:p>
    <w:p w14:paraId="1DB199FE" w14:textId="77777777" w:rsidR="0080181B" w:rsidRPr="00624E29" w:rsidRDefault="7D1C6D71">
      <w:pPr>
        <w:pStyle w:val="ListParagraph"/>
        <w:numPr>
          <w:ilvl w:val="1"/>
          <w:numId w:val="3"/>
        </w:numPr>
        <w:ind w:left="851" w:hanging="425"/>
      </w:pPr>
      <w:r w:rsidRPr="00624E29">
        <w:t xml:space="preserve">25 </w:t>
      </w:r>
      <w:r w:rsidR="6974E655" w:rsidRPr="00624E29">
        <w:t>departments</w:t>
      </w:r>
    </w:p>
    <w:p w14:paraId="416D6EEE" w14:textId="5761D55A" w:rsidR="0080181B" w:rsidRPr="00624E29" w:rsidRDefault="7575E11B">
      <w:pPr>
        <w:pStyle w:val="ListParagraph"/>
        <w:numPr>
          <w:ilvl w:val="1"/>
          <w:numId w:val="3"/>
        </w:numPr>
        <w:ind w:left="851" w:hanging="425"/>
      </w:pPr>
      <w:r w:rsidRPr="00624E29">
        <w:t>4</w:t>
      </w:r>
      <w:r w:rsidR="00553BE8" w:rsidRPr="00624E29">
        <w:t>3</w:t>
      </w:r>
      <w:r w:rsidRPr="00624E29">
        <w:t xml:space="preserve"> SES organisations</w:t>
      </w:r>
    </w:p>
    <w:p w14:paraId="1E456925" w14:textId="02D9EAAB" w:rsidR="0080181B" w:rsidRPr="00624E29" w:rsidRDefault="2921EBBB">
      <w:pPr>
        <w:pStyle w:val="ListParagraph"/>
        <w:numPr>
          <w:ilvl w:val="1"/>
          <w:numId w:val="3"/>
        </w:numPr>
        <w:ind w:left="851" w:hanging="425"/>
      </w:pPr>
      <w:r w:rsidRPr="00624E29">
        <w:t>5</w:t>
      </w:r>
      <w:r w:rsidR="007C4F4B">
        <w:t>0</w:t>
      </w:r>
      <w:r w:rsidRPr="00624E29">
        <w:t xml:space="preserve"> non-SES organisations</w:t>
      </w:r>
    </w:p>
    <w:p w14:paraId="67DF6B42" w14:textId="3E2D0914" w:rsidR="001F2B03" w:rsidRPr="00624E29" w:rsidRDefault="6869670C">
      <w:pPr>
        <w:pStyle w:val="ListParagraph"/>
        <w:numPr>
          <w:ilvl w:val="1"/>
          <w:numId w:val="3"/>
        </w:numPr>
        <w:ind w:left="851" w:hanging="425"/>
      </w:pPr>
      <w:r w:rsidRPr="00624E29">
        <w:t>17 ministerial offices</w:t>
      </w:r>
    </w:p>
    <w:p w14:paraId="0122B360" w14:textId="1F734E17" w:rsidR="00EC3FFB" w:rsidRPr="00624E29" w:rsidRDefault="00E73C75">
      <w:pPr>
        <w:pStyle w:val="ListParagraph"/>
        <w:numPr>
          <w:ilvl w:val="0"/>
          <w:numId w:val="3"/>
        </w:numPr>
        <w:ind w:left="426" w:hanging="426"/>
      </w:pPr>
      <w:r w:rsidRPr="00D74BAD">
        <w:t>o</w:t>
      </w:r>
      <w:r w:rsidR="6817C479" w:rsidRPr="00624E29">
        <w:t>ther government entities</w:t>
      </w:r>
      <w:r w:rsidR="0A3FE583" w:rsidRPr="00624E29">
        <w:t>:</w:t>
      </w:r>
    </w:p>
    <w:p w14:paraId="2B4808AC" w14:textId="4DA5A7D0" w:rsidR="001F2B03" w:rsidRPr="00624E29" w:rsidRDefault="6869670C">
      <w:pPr>
        <w:pStyle w:val="ListParagraph"/>
        <w:numPr>
          <w:ilvl w:val="1"/>
          <w:numId w:val="3"/>
        </w:numPr>
        <w:ind w:left="851" w:hanging="425"/>
      </w:pPr>
      <w:r w:rsidRPr="00624E29">
        <w:t>145 local governments (includ</w:t>
      </w:r>
      <w:r w:rsidR="2BC4B7BB" w:rsidRPr="00624E29">
        <w:t>ing</w:t>
      </w:r>
      <w:r w:rsidRPr="00624E29">
        <w:t xml:space="preserve"> 8 </w:t>
      </w:r>
      <w:r w:rsidR="2BC4B7BB" w:rsidRPr="00624E29">
        <w:t xml:space="preserve">regional local governments </w:t>
      </w:r>
      <w:r w:rsidR="673B6F7D" w:rsidRPr="00624E29">
        <w:t>and</w:t>
      </w:r>
      <w:r w:rsidR="2BC4B7BB" w:rsidRPr="00624E29">
        <w:t xml:space="preserve"> </w:t>
      </w:r>
      <w:r w:rsidRPr="00624E29">
        <w:t>regional councils)</w:t>
      </w:r>
    </w:p>
    <w:p w14:paraId="05817B11" w14:textId="77777777" w:rsidR="001F2B03" w:rsidRPr="00624E29" w:rsidRDefault="6869670C">
      <w:pPr>
        <w:pStyle w:val="ListParagraph"/>
        <w:numPr>
          <w:ilvl w:val="1"/>
          <w:numId w:val="3"/>
        </w:numPr>
        <w:ind w:left="851" w:hanging="425"/>
      </w:pPr>
      <w:r w:rsidRPr="00624E29">
        <w:t>4 public universities</w:t>
      </w:r>
    </w:p>
    <w:p w14:paraId="535AEC37" w14:textId="608C2CB9" w:rsidR="001F2B03" w:rsidRPr="00624E29" w:rsidRDefault="7732E61E">
      <w:pPr>
        <w:pStyle w:val="ListParagraph"/>
        <w:numPr>
          <w:ilvl w:val="1"/>
          <w:numId w:val="3"/>
        </w:numPr>
        <w:ind w:left="851" w:hanging="425"/>
      </w:pPr>
      <w:r w:rsidRPr="00624E29">
        <w:t xml:space="preserve">19 other </w:t>
      </w:r>
      <w:r w:rsidR="005A2FDC">
        <w:t>authorities</w:t>
      </w:r>
      <w:r w:rsidR="005A2FDC" w:rsidRPr="00624E29">
        <w:t xml:space="preserve"> </w:t>
      </w:r>
      <w:r w:rsidRPr="00624E29">
        <w:t>(including government trading enterprises, parliamentary electorate offices and sworn officers of the WA Police Force)</w:t>
      </w:r>
    </w:p>
    <w:p w14:paraId="387CD78C" w14:textId="50C5BC5E" w:rsidR="0010528E" w:rsidRDefault="6EB537B1">
      <w:pPr>
        <w:pStyle w:val="ListParagraph"/>
        <w:numPr>
          <w:ilvl w:val="1"/>
          <w:numId w:val="3"/>
        </w:numPr>
        <w:ind w:left="851" w:hanging="425"/>
      </w:pPr>
      <w:r w:rsidRPr="00624E29">
        <w:t>25</w:t>
      </w:r>
      <w:r w:rsidR="002B0353">
        <w:t>5</w:t>
      </w:r>
      <w:r w:rsidR="4C19F966" w:rsidRPr="00624E29">
        <w:t xml:space="preserve"> </w:t>
      </w:r>
      <w:r w:rsidR="5080BC75" w:rsidRPr="00624E29">
        <w:t>boards and committe</w:t>
      </w:r>
      <w:r w:rsidR="701C92E2" w:rsidRPr="00624E29">
        <w:t>es</w:t>
      </w:r>
      <w:r w:rsidR="3A2596B4" w:rsidRPr="00624E29">
        <w:t>.</w:t>
      </w:r>
    </w:p>
    <w:p w14:paraId="19B5B84F" w14:textId="6D405DB4" w:rsidR="000D42F1" w:rsidRDefault="000D42F1">
      <w:r>
        <w:br w:type="page"/>
      </w:r>
    </w:p>
    <w:p w14:paraId="55B23ACB" w14:textId="77777777" w:rsidR="000D42F1" w:rsidRPr="00937C05" w:rsidRDefault="000D42F1" w:rsidP="000D42F1">
      <w:pPr>
        <w:pStyle w:val="Heading2"/>
        <w:spacing w:line="240" w:lineRule="auto"/>
        <w:rPr>
          <w:b/>
        </w:rPr>
      </w:pPr>
      <w:bookmarkStart w:id="8" w:name="_Toc151900163"/>
      <w:r>
        <w:lastRenderedPageBreak/>
        <w:t>Section 2</w:t>
      </w:r>
      <w:r w:rsidRPr="00937C05">
        <w:t xml:space="preserve">: </w:t>
      </w:r>
      <w:r w:rsidRPr="00942C00">
        <w:rPr>
          <w:b/>
          <w:bCs/>
        </w:rPr>
        <w:t>Workforce profile</w:t>
      </w:r>
      <w:bookmarkEnd w:id="8"/>
    </w:p>
    <w:p w14:paraId="3186673F" w14:textId="5860ED4F" w:rsidR="000D42F1" w:rsidRPr="00A5015A" w:rsidRDefault="000D42F1" w:rsidP="000D42F1">
      <w:pPr>
        <w:spacing w:after="240"/>
        <w:rPr>
          <w:rFonts w:ascii="Century Gothic" w:hAnsi="Century Gothic"/>
          <w:b/>
          <w:bCs/>
          <w:color w:val="2E74B5" w:themeColor="accent1" w:themeShade="BF"/>
          <w:sz w:val="24"/>
          <w:szCs w:val="24"/>
        </w:rPr>
      </w:pPr>
      <w:r w:rsidRPr="00A5015A">
        <w:rPr>
          <w:rFonts w:ascii="Century Gothic" w:hAnsi="Century Gothic"/>
          <w:b/>
          <w:bCs/>
          <w:color w:val="2E74B5" w:themeColor="accent1" w:themeShade="BF"/>
          <w:sz w:val="24"/>
          <w:szCs w:val="24"/>
        </w:rPr>
        <w:t xml:space="preserve">This </w:t>
      </w:r>
      <w:r>
        <w:rPr>
          <w:rFonts w:ascii="Century Gothic" w:hAnsi="Century Gothic"/>
          <w:b/>
          <w:bCs/>
          <w:color w:val="2E74B5" w:themeColor="accent1" w:themeShade="BF"/>
          <w:sz w:val="24"/>
          <w:szCs w:val="24"/>
        </w:rPr>
        <w:t>section of the report focuses on the broad range of factors that show</w:t>
      </w:r>
      <w:r w:rsidR="00157617">
        <w:rPr>
          <w:rFonts w:ascii="Century Gothic" w:hAnsi="Century Gothic"/>
          <w:b/>
          <w:bCs/>
          <w:color w:val="2E74B5" w:themeColor="accent1" w:themeShade="BF"/>
          <w:sz w:val="24"/>
          <w:szCs w:val="24"/>
        </w:rPr>
        <w:t>s</w:t>
      </w:r>
      <w:r>
        <w:rPr>
          <w:rFonts w:ascii="Century Gothic" w:hAnsi="Century Gothic"/>
          <w:b/>
          <w:bCs/>
          <w:color w:val="2E74B5" w:themeColor="accent1" w:themeShade="BF"/>
          <w:sz w:val="24"/>
          <w:szCs w:val="24"/>
        </w:rPr>
        <w:t xml:space="preserve"> the size and shape of the government sector workforce including occupations, genders and ages.</w:t>
      </w:r>
      <w:r w:rsidRPr="00A5015A">
        <w:rPr>
          <w:rFonts w:ascii="Century Gothic" w:hAnsi="Century Gothic"/>
          <w:b/>
          <w:bCs/>
          <w:color w:val="2E74B5" w:themeColor="accent1" w:themeShade="BF"/>
          <w:sz w:val="24"/>
          <w:szCs w:val="24"/>
        </w:rPr>
        <w:t xml:space="preserve"> </w:t>
      </w:r>
    </w:p>
    <w:p w14:paraId="0C33AC23" w14:textId="77777777" w:rsidR="000D42F1" w:rsidRDefault="000D42F1" w:rsidP="000D42F1">
      <w:pPr>
        <w:pStyle w:val="Heading3"/>
        <w:spacing w:before="0" w:line="240" w:lineRule="auto"/>
      </w:pPr>
      <w:bookmarkStart w:id="9" w:name="_Toc151900164"/>
      <w:r>
        <w:t>Workforce size</w:t>
      </w:r>
      <w:bookmarkEnd w:id="9"/>
    </w:p>
    <w:p w14:paraId="355F82CC" w14:textId="77777777" w:rsidR="000D42F1" w:rsidRPr="00937C05" w:rsidRDefault="000D42F1" w:rsidP="008937AB">
      <w:pPr>
        <w:spacing w:line="240" w:lineRule="auto"/>
      </w:pPr>
      <w:r w:rsidRPr="0255B8E1">
        <w:t>In</w:t>
      </w:r>
      <w:r>
        <w:t xml:space="preserve"> </w:t>
      </w:r>
      <w:r w:rsidRPr="0255B8E1">
        <w:t>202</w:t>
      </w:r>
      <w:r>
        <w:t>2</w:t>
      </w:r>
      <w:r w:rsidRPr="0255B8E1">
        <w:t>-2</w:t>
      </w:r>
      <w:r>
        <w:t>3</w:t>
      </w:r>
      <w:r w:rsidRPr="0255B8E1">
        <w:t xml:space="preserve">, the government sector employed </w:t>
      </w:r>
      <w:r>
        <w:t xml:space="preserve">229,931 </w:t>
      </w:r>
      <w:r w:rsidRPr="0255B8E1">
        <w:t>people.</w:t>
      </w:r>
    </w:p>
    <w:p w14:paraId="2C299BE9" w14:textId="77777777" w:rsidR="000D42F1" w:rsidRDefault="000D42F1" w:rsidP="008937AB">
      <w:pPr>
        <w:spacing w:line="240" w:lineRule="auto"/>
      </w:pPr>
      <w:r>
        <w:t>The public sector employed</w:t>
      </w:r>
      <w:r w:rsidRPr="00813E91">
        <w:t xml:space="preserve"> </w:t>
      </w:r>
      <w:r>
        <w:t>162,813</w:t>
      </w:r>
      <w:r w:rsidRPr="00813E91">
        <w:t xml:space="preserve"> </w:t>
      </w:r>
      <w:r>
        <w:t xml:space="preserve">employees in </w:t>
      </w:r>
      <w:r w:rsidRPr="00813E91">
        <w:t>202</w:t>
      </w:r>
      <w:r>
        <w:t>2</w:t>
      </w:r>
      <w:r w:rsidRPr="00813E91">
        <w:t>-2</w:t>
      </w:r>
      <w:r>
        <w:t xml:space="preserve">3 which is </w:t>
      </w:r>
      <w:r w:rsidRPr="00813E91">
        <w:t xml:space="preserve">an increase of </w:t>
      </w:r>
      <w:r>
        <w:t xml:space="preserve">4,809 </w:t>
      </w:r>
      <w:r w:rsidRPr="00813E91">
        <w:t>(+</w:t>
      </w:r>
      <w:r>
        <w:t>3</w:t>
      </w:r>
      <w:r w:rsidRPr="00813E91">
        <w:t>.</w:t>
      </w:r>
      <w:r>
        <w:t>0</w:t>
      </w:r>
      <w:r w:rsidRPr="00813E91">
        <w:t>%) from 202</w:t>
      </w:r>
      <w:r>
        <w:t>1</w:t>
      </w:r>
      <w:r w:rsidRPr="00813E91">
        <w:t>-2</w:t>
      </w:r>
      <w:r>
        <w:t>2</w:t>
      </w:r>
      <w:r w:rsidRPr="00813E91">
        <w:t xml:space="preserve"> to 202</w:t>
      </w:r>
      <w:r>
        <w:t>2</w:t>
      </w:r>
      <w:r w:rsidRPr="00813E91">
        <w:t>-2</w:t>
      </w:r>
      <w:r>
        <w:t>3</w:t>
      </w:r>
      <w:r w:rsidRPr="00813E91">
        <w:t xml:space="preserve"> and an increase of </w:t>
      </w:r>
      <w:r>
        <w:t>21,454</w:t>
      </w:r>
      <w:r w:rsidRPr="00813E91">
        <w:t xml:space="preserve"> (+1</w:t>
      </w:r>
      <w:r>
        <w:t>5</w:t>
      </w:r>
      <w:r w:rsidRPr="00813E91">
        <w:t>.</w:t>
      </w:r>
      <w:r>
        <w:t>2</w:t>
      </w:r>
      <w:r w:rsidRPr="00813E91">
        <w:t>%) from 201</w:t>
      </w:r>
      <w:r>
        <w:t>8</w:t>
      </w:r>
      <w:r w:rsidRPr="00813E91">
        <w:t>-</w:t>
      </w:r>
      <w:r>
        <w:t>19</w:t>
      </w:r>
      <w:r w:rsidRPr="00813E91">
        <w:t xml:space="preserve">. </w:t>
      </w:r>
    </w:p>
    <w:p w14:paraId="534EFE47" w14:textId="7BD40917" w:rsidR="000D42F1" w:rsidRDefault="000D42F1" w:rsidP="008937AB">
      <w:pPr>
        <w:pStyle w:val="paragraph"/>
        <w:spacing w:before="0" w:beforeAutospacing="0" w:after="120" w:afterAutospacing="0"/>
        <w:textAlignment w:val="baseline"/>
        <w:rPr>
          <w:rStyle w:val="normaltextrun"/>
          <w:rFonts w:ascii="Arial" w:hAnsi="Arial" w:cs="Arial"/>
          <w:sz w:val="22"/>
          <w:szCs w:val="22"/>
        </w:rPr>
      </w:pPr>
      <w:r w:rsidRPr="001D5848">
        <w:rPr>
          <w:rStyle w:val="normaltextrun"/>
          <w:rFonts w:ascii="Arial" w:hAnsi="Arial" w:cs="Arial"/>
          <w:sz w:val="22"/>
          <w:szCs w:val="22"/>
        </w:rPr>
        <w:t>The public sector generally follows</w:t>
      </w:r>
      <w:r>
        <w:rPr>
          <w:rStyle w:val="normaltextrun"/>
          <w:rFonts w:ascii="Arial" w:hAnsi="Arial" w:cs="Arial"/>
          <w:sz w:val="22"/>
          <w:szCs w:val="22"/>
        </w:rPr>
        <w:t xml:space="preserve"> workforce</w:t>
      </w:r>
      <w:r w:rsidRPr="001D5848">
        <w:rPr>
          <w:rStyle w:val="normaltextrun"/>
          <w:rFonts w:ascii="Arial" w:hAnsi="Arial" w:cs="Arial"/>
          <w:sz w:val="22"/>
          <w:szCs w:val="22"/>
        </w:rPr>
        <w:t xml:space="preserve"> trend</w:t>
      </w:r>
      <w:r w:rsidR="00C5460F">
        <w:rPr>
          <w:rStyle w:val="normaltextrun"/>
          <w:rFonts w:ascii="Arial" w:hAnsi="Arial" w:cs="Arial"/>
          <w:sz w:val="22"/>
          <w:szCs w:val="22"/>
        </w:rPr>
        <w:t>s</w:t>
      </w:r>
      <w:r w:rsidRPr="001D5848">
        <w:rPr>
          <w:rStyle w:val="normaltextrun"/>
          <w:rFonts w:ascii="Arial" w:hAnsi="Arial" w:cs="Arial"/>
          <w:sz w:val="22"/>
          <w:szCs w:val="22"/>
        </w:rPr>
        <w:t xml:space="preserve"> in employment in WA. </w:t>
      </w:r>
      <w:r>
        <w:rPr>
          <w:rStyle w:val="normaltextrun"/>
          <w:rFonts w:ascii="Arial" w:hAnsi="Arial" w:cs="Arial"/>
          <w:sz w:val="22"/>
          <w:szCs w:val="22"/>
        </w:rPr>
        <w:t>For example w</w:t>
      </w:r>
      <w:r w:rsidRPr="001D5848">
        <w:rPr>
          <w:rStyle w:val="normaltextrun"/>
          <w:rFonts w:ascii="Arial" w:hAnsi="Arial" w:cs="Arial"/>
          <w:sz w:val="22"/>
          <w:szCs w:val="22"/>
        </w:rPr>
        <w:t>hen there are more people employed in the state, there are more people employed in the public sector.</w:t>
      </w:r>
      <w:r>
        <w:rPr>
          <w:rStyle w:val="normaltextrun"/>
          <w:rFonts w:ascii="Arial" w:hAnsi="Arial" w:cs="Arial"/>
          <w:sz w:val="22"/>
          <w:szCs w:val="22"/>
        </w:rPr>
        <w:t xml:space="preserve"> An exception to this was during the</w:t>
      </w:r>
      <w:r w:rsidRPr="001D5848">
        <w:rPr>
          <w:rStyle w:val="normaltextrun"/>
          <w:rFonts w:ascii="Arial" w:hAnsi="Arial" w:cs="Arial"/>
          <w:sz w:val="22"/>
          <w:szCs w:val="22"/>
        </w:rPr>
        <w:t xml:space="preserve"> COVID-19 pandemic </w:t>
      </w:r>
      <w:r>
        <w:rPr>
          <w:rStyle w:val="normaltextrun"/>
          <w:rFonts w:ascii="Arial" w:hAnsi="Arial" w:cs="Arial"/>
          <w:sz w:val="22"/>
          <w:szCs w:val="22"/>
        </w:rPr>
        <w:t xml:space="preserve">when the WA workforce decreased from March to September 2020, while employment in the </w:t>
      </w:r>
      <w:r w:rsidRPr="001D5848">
        <w:rPr>
          <w:rStyle w:val="normaltextrun"/>
          <w:rFonts w:ascii="Arial" w:hAnsi="Arial" w:cs="Arial"/>
          <w:sz w:val="22"/>
          <w:szCs w:val="22"/>
        </w:rPr>
        <w:t>public sector</w:t>
      </w:r>
      <w:r>
        <w:rPr>
          <w:rStyle w:val="normaltextrun"/>
          <w:rFonts w:ascii="Arial" w:hAnsi="Arial" w:cs="Arial"/>
          <w:sz w:val="22"/>
          <w:szCs w:val="22"/>
        </w:rPr>
        <w:t xml:space="preserve"> increased slightly reflecting its</w:t>
      </w:r>
      <w:r w:rsidRPr="001D5848">
        <w:rPr>
          <w:rStyle w:val="normaltextrun"/>
          <w:rFonts w:ascii="Arial" w:hAnsi="Arial" w:cs="Arial"/>
          <w:sz w:val="22"/>
          <w:szCs w:val="22"/>
        </w:rPr>
        <w:t xml:space="preserve"> role in continuing to provide services to the community</w:t>
      </w:r>
      <w:r>
        <w:rPr>
          <w:rStyle w:val="normaltextrun"/>
          <w:rFonts w:ascii="Arial" w:hAnsi="Arial" w:cs="Arial"/>
          <w:sz w:val="22"/>
          <w:szCs w:val="22"/>
        </w:rPr>
        <w:t xml:space="preserve"> and increased service requirements</w:t>
      </w:r>
      <w:r w:rsidRPr="001D5848">
        <w:rPr>
          <w:rStyle w:val="normaltextrun"/>
          <w:rFonts w:ascii="Arial" w:hAnsi="Arial" w:cs="Arial"/>
          <w:sz w:val="22"/>
          <w:szCs w:val="22"/>
        </w:rPr>
        <w:t>.</w:t>
      </w:r>
    </w:p>
    <w:p w14:paraId="187DD252" w14:textId="503A269C" w:rsidR="000D42F1" w:rsidRPr="00CF2391" w:rsidRDefault="000D42F1" w:rsidP="008937AB">
      <w:pPr>
        <w:pStyle w:val="paragraph"/>
        <w:spacing w:before="0" w:beforeAutospacing="0" w:after="120" w:afterAutospacing="0"/>
        <w:textAlignment w:val="baseline"/>
        <w:rPr>
          <w:rFonts w:ascii="Arial" w:hAnsi="Arial" w:cs="Arial"/>
          <w:sz w:val="22"/>
          <w:szCs w:val="22"/>
        </w:rPr>
      </w:pPr>
      <w:r>
        <w:rPr>
          <w:rStyle w:val="normaltextrun"/>
          <w:rFonts w:ascii="Arial" w:hAnsi="Arial" w:cs="Arial"/>
          <w:sz w:val="22"/>
          <w:szCs w:val="22"/>
        </w:rPr>
        <w:t xml:space="preserve">Over the </w:t>
      </w:r>
      <w:r w:rsidR="00C5460F">
        <w:rPr>
          <w:rStyle w:val="normaltextrun"/>
          <w:rFonts w:ascii="Arial" w:hAnsi="Arial" w:cs="Arial"/>
          <w:sz w:val="22"/>
          <w:szCs w:val="22"/>
        </w:rPr>
        <w:t xml:space="preserve">last </w:t>
      </w:r>
      <w:r>
        <w:rPr>
          <w:rStyle w:val="normaltextrun"/>
          <w:rFonts w:ascii="Arial" w:hAnsi="Arial" w:cs="Arial"/>
          <w:sz w:val="22"/>
          <w:szCs w:val="22"/>
        </w:rPr>
        <w:t>5 year</w:t>
      </w:r>
      <w:r w:rsidR="00C5460F">
        <w:rPr>
          <w:rStyle w:val="normaltextrun"/>
          <w:rFonts w:ascii="Arial" w:hAnsi="Arial" w:cs="Arial"/>
          <w:sz w:val="22"/>
          <w:szCs w:val="22"/>
        </w:rPr>
        <w:t>s</w:t>
      </w:r>
      <w:r>
        <w:rPr>
          <w:rStyle w:val="normaltextrun"/>
          <w:rFonts w:ascii="Arial" w:hAnsi="Arial" w:cs="Arial"/>
          <w:sz w:val="22"/>
          <w:szCs w:val="22"/>
        </w:rPr>
        <w:t xml:space="preserve"> the government has also set a series of insourcing policies to return jobs to the public sector, which adds to the size of the sector. </w:t>
      </w:r>
      <w:r w:rsidRPr="00CF2391">
        <w:rPr>
          <w:rStyle w:val="normaltextrun"/>
          <w:rFonts w:ascii="Arial" w:hAnsi="Arial" w:cs="Arial"/>
          <w:sz w:val="22"/>
          <w:szCs w:val="22"/>
        </w:rPr>
        <w:t xml:space="preserve">Over </w:t>
      </w:r>
      <w:r w:rsidR="00C5460F">
        <w:rPr>
          <w:rStyle w:val="normaltextrun"/>
          <w:rFonts w:ascii="Arial" w:hAnsi="Arial" w:cs="Arial"/>
          <w:sz w:val="22"/>
          <w:szCs w:val="22"/>
        </w:rPr>
        <w:t>the same period</w:t>
      </w:r>
      <w:r>
        <w:rPr>
          <w:rStyle w:val="normaltextrun"/>
          <w:rFonts w:ascii="Arial" w:hAnsi="Arial" w:cs="Arial"/>
          <w:sz w:val="22"/>
          <w:szCs w:val="22"/>
        </w:rPr>
        <w:t xml:space="preserve"> the</w:t>
      </w:r>
      <w:r w:rsidRPr="00190E87">
        <w:rPr>
          <w:rStyle w:val="normaltextrun"/>
          <w:rFonts w:ascii="Arial" w:hAnsi="Arial" w:cs="Arial"/>
          <w:sz w:val="22"/>
          <w:szCs w:val="22"/>
        </w:rPr>
        <w:t xml:space="preserve"> workforce looks generally quite stable</w:t>
      </w:r>
      <w:r>
        <w:rPr>
          <w:rStyle w:val="normaltextrun"/>
          <w:rFonts w:ascii="Arial" w:hAnsi="Arial" w:cs="Arial"/>
          <w:sz w:val="22"/>
          <w:szCs w:val="22"/>
        </w:rPr>
        <w:t xml:space="preserve"> compared to the WA workforce.</w:t>
      </w:r>
      <w:r w:rsidRPr="00190E87">
        <w:rPr>
          <w:rStyle w:val="normaltextrun"/>
          <w:rFonts w:ascii="Arial" w:hAnsi="Arial" w:cs="Arial"/>
          <w:sz w:val="22"/>
          <w:szCs w:val="22"/>
        </w:rPr>
        <w:t xml:space="preserve"> </w:t>
      </w:r>
      <w:r w:rsidRPr="00190E87">
        <w:rPr>
          <w:rStyle w:val="normaltextrun"/>
          <w:rFonts w:ascii="Arial" w:hAnsi="Arial" w:cs="Arial"/>
          <w:color w:val="000000"/>
          <w:sz w:val="22"/>
          <w:szCs w:val="22"/>
        </w:rPr>
        <w:t xml:space="preserve">At June 2023 the public sector </w:t>
      </w:r>
      <w:r>
        <w:rPr>
          <w:rStyle w:val="normaltextrun"/>
          <w:rFonts w:ascii="Arial" w:hAnsi="Arial" w:cs="Arial"/>
          <w:color w:val="000000"/>
          <w:sz w:val="22"/>
          <w:szCs w:val="22"/>
        </w:rPr>
        <w:t>employed</w:t>
      </w:r>
      <w:r w:rsidRPr="00190E87">
        <w:rPr>
          <w:rStyle w:val="normaltextrun"/>
          <w:rFonts w:ascii="Arial" w:hAnsi="Arial" w:cs="Arial"/>
          <w:color w:val="000000"/>
          <w:sz w:val="22"/>
          <w:szCs w:val="22"/>
        </w:rPr>
        <w:t xml:space="preserve"> 10.6%</w:t>
      </w:r>
      <w:r w:rsidRPr="00CF2391">
        <w:rPr>
          <w:rStyle w:val="normaltextrun"/>
          <w:rFonts w:ascii="Arial" w:hAnsi="Arial" w:cs="Arial"/>
          <w:color w:val="000000"/>
          <w:sz w:val="22"/>
          <w:szCs w:val="22"/>
        </w:rPr>
        <w:t xml:space="preserve"> of the Western Australian workforce, remaining within the usual range </w:t>
      </w:r>
      <w:r>
        <w:rPr>
          <w:rStyle w:val="normaltextrun"/>
          <w:rFonts w:ascii="Arial" w:hAnsi="Arial" w:cs="Arial"/>
          <w:color w:val="000000"/>
          <w:sz w:val="22"/>
          <w:szCs w:val="22"/>
        </w:rPr>
        <w:t>of</w:t>
      </w:r>
      <w:r w:rsidRPr="00CF2391">
        <w:rPr>
          <w:rStyle w:val="normaltextrun"/>
          <w:rFonts w:ascii="Arial" w:hAnsi="Arial" w:cs="Arial"/>
          <w:color w:val="000000"/>
          <w:sz w:val="22"/>
          <w:szCs w:val="22"/>
        </w:rPr>
        <w:t xml:space="preserve"> 10.2% to 11.</w:t>
      </w:r>
      <w:r>
        <w:rPr>
          <w:rStyle w:val="normaltextrun"/>
          <w:rFonts w:ascii="Arial" w:hAnsi="Arial" w:cs="Arial"/>
          <w:color w:val="000000"/>
          <w:sz w:val="22"/>
          <w:szCs w:val="22"/>
        </w:rPr>
        <w:t>0</w:t>
      </w:r>
      <w:r w:rsidRPr="00CF2391">
        <w:rPr>
          <w:rStyle w:val="normaltextrun"/>
          <w:rFonts w:ascii="Arial" w:hAnsi="Arial" w:cs="Arial"/>
          <w:color w:val="000000"/>
          <w:sz w:val="22"/>
          <w:szCs w:val="22"/>
        </w:rPr>
        <w:t>%</w:t>
      </w:r>
      <w:r w:rsidR="005D778B">
        <w:rPr>
          <w:rStyle w:val="normaltextrun"/>
          <w:rFonts w:ascii="Arial" w:hAnsi="Arial" w:cs="Arial"/>
          <w:color w:val="000000"/>
          <w:sz w:val="22"/>
          <w:szCs w:val="22"/>
        </w:rPr>
        <w:t xml:space="preserve"> since 2015</w:t>
      </w:r>
      <w:r w:rsidRPr="00CF2391">
        <w:rPr>
          <w:rStyle w:val="normaltextrun"/>
          <w:rFonts w:ascii="Arial" w:hAnsi="Arial" w:cs="Arial"/>
          <w:color w:val="000000"/>
          <w:sz w:val="22"/>
          <w:szCs w:val="22"/>
        </w:rPr>
        <w:t>.</w:t>
      </w:r>
    </w:p>
    <w:p w14:paraId="2DFA562D" w14:textId="40DBDCBC" w:rsidR="000D42F1" w:rsidRPr="00785D75" w:rsidRDefault="000D42F1" w:rsidP="008937AB">
      <w:pPr>
        <w:pStyle w:val="paragraph"/>
        <w:spacing w:before="0" w:beforeAutospacing="0" w:after="120" w:afterAutospacing="0"/>
        <w:textAlignment w:val="baseline"/>
        <w:rPr>
          <w:rFonts w:ascii="Arial" w:hAnsi="Arial" w:cs="Arial"/>
          <w:sz w:val="22"/>
          <w:szCs w:val="22"/>
        </w:rPr>
      </w:pPr>
      <w:r w:rsidRPr="009A6B04">
        <w:rPr>
          <w:rFonts w:ascii="Arial" w:hAnsi="Arial" w:cs="Arial"/>
          <w:sz w:val="22"/>
          <w:szCs w:val="22"/>
        </w:rPr>
        <w:t xml:space="preserve">Other government entities employed 67,118 people </w:t>
      </w:r>
      <w:r>
        <w:rPr>
          <w:rFonts w:ascii="Arial" w:hAnsi="Arial" w:cs="Arial"/>
          <w:sz w:val="22"/>
          <w:szCs w:val="22"/>
        </w:rPr>
        <w:t>which is</w:t>
      </w:r>
      <w:r w:rsidRPr="009A6B04">
        <w:rPr>
          <w:rFonts w:ascii="Arial" w:hAnsi="Arial" w:cs="Arial"/>
          <w:sz w:val="22"/>
          <w:szCs w:val="22"/>
        </w:rPr>
        <w:t xml:space="preserve"> an increase of 2,630 (+4.1%) from 202</w:t>
      </w:r>
      <w:r w:rsidR="000C16A4">
        <w:rPr>
          <w:rFonts w:ascii="Arial" w:hAnsi="Arial" w:cs="Arial"/>
          <w:sz w:val="22"/>
          <w:szCs w:val="22"/>
        </w:rPr>
        <w:t>1</w:t>
      </w:r>
      <w:r w:rsidRPr="009A6B04">
        <w:rPr>
          <w:rFonts w:ascii="Arial" w:hAnsi="Arial" w:cs="Arial"/>
          <w:sz w:val="22"/>
          <w:szCs w:val="22"/>
        </w:rPr>
        <w:noBreakHyphen/>
        <w:t>2</w:t>
      </w:r>
      <w:r w:rsidR="000C16A4">
        <w:rPr>
          <w:rFonts w:ascii="Arial" w:hAnsi="Arial" w:cs="Arial"/>
          <w:sz w:val="22"/>
          <w:szCs w:val="22"/>
        </w:rPr>
        <w:t>2</w:t>
      </w:r>
      <w:r w:rsidRPr="009A6B04">
        <w:rPr>
          <w:rFonts w:ascii="Arial" w:hAnsi="Arial" w:cs="Arial"/>
          <w:sz w:val="22"/>
          <w:szCs w:val="22"/>
        </w:rPr>
        <w:t xml:space="preserve"> and 5,294 (+8.6%) from 2018-19 </w:t>
      </w:r>
      <w:r w:rsidRPr="00F15160">
        <w:rPr>
          <w:rFonts w:ascii="Arial" w:hAnsi="Arial" w:cs="Arial"/>
          <w:sz w:val="22"/>
          <w:szCs w:val="22"/>
        </w:rPr>
        <w:t>(</w:t>
      </w:r>
      <w:r>
        <w:rPr>
          <w:rFonts w:ascii="Arial" w:hAnsi="Arial" w:cs="Arial"/>
          <w:sz w:val="22"/>
          <w:szCs w:val="22"/>
        </w:rPr>
        <w:fldChar w:fldCharType="begin"/>
      </w:r>
      <w:r>
        <w:rPr>
          <w:rFonts w:ascii="Arial" w:hAnsi="Arial" w:cs="Arial"/>
          <w:sz w:val="22"/>
          <w:szCs w:val="22"/>
        </w:rPr>
        <w:instrText xml:space="preserve"> REF _Ref148709518 \h  \* MERGEFORMAT </w:instrText>
      </w:r>
      <w:r>
        <w:rPr>
          <w:rFonts w:ascii="Arial" w:hAnsi="Arial" w:cs="Arial"/>
          <w:sz w:val="22"/>
          <w:szCs w:val="22"/>
        </w:rPr>
      </w:r>
      <w:r>
        <w:rPr>
          <w:rFonts w:ascii="Arial" w:hAnsi="Arial" w:cs="Arial"/>
          <w:sz w:val="22"/>
          <w:szCs w:val="22"/>
        </w:rPr>
        <w:fldChar w:fldCharType="separate"/>
      </w:r>
      <w:r w:rsidR="0048418F" w:rsidRPr="0048418F">
        <w:rPr>
          <w:rFonts w:ascii="Arial" w:hAnsi="Arial" w:cs="Arial"/>
          <w:sz w:val="22"/>
          <w:szCs w:val="22"/>
        </w:rPr>
        <w:t>Figure 2</w:t>
      </w:r>
      <w:r>
        <w:rPr>
          <w:rFonts w:ascii="Arial" w:hAnsi="Arial" w:cs="Arial"/>
          <w:sz w:val="22"/>
          <w:szCs w:val="22"/>
        </w:rPr>
        <w:fldChar w:fldCharType="end"/>
      </w:r>
      <w:r w:rsidRPr="007541E1">
        <w:rPr>
          <w:rFonts w:ascii="Arial" w:hAnsi="Arial" w:cs="Arial"/>
          <w:sz w:val="22"/>
          <w:szCs w:val="22"/>
        </w:rPr>
        <w:t xml:space="preserve"> and </w:t>
      </w:r>
      <w:r w:rsidR="00785D75">
        <w:rPr>
          <w:rFonts w:ascii="Arial" w:hAnsi="Arial" w:cs="Arial"/>
          <w:sz w:val="22"/>
          <w:szCs w:val="22"/>
        </w:rPr>
        <w:fldChar w:fldCharType="begin"/>
      </w:r>
      <w:r w:rsidR="00785D75">
        <w:rPr>
          <w:rFonts w:ascii="Arial" w:hAnsi="Arial" w:cs="Arial"/>
          <w:sz w:val="22"/>
          <w:szCs w:val="22"/>
        </w:rPr>
        <w:instrText xml:space="preserve"> REF _Ref148970132 \h  \* MERGEFORMAT </w:instrText>
      </w:r>
      <w:r w:rsidR="00785D75">
        <w:rPr>
          <w:rFonts w:ascii="Arial" w:hAnsi="Arial" w:cs="Arial"/>
          <w:sz w:val="22"/>
          <w:szCs w:val="22"/>
        </w:rPr>
      </w:r>
      <w:r w:rsidR="00785D75">
        <w:rPr>
          <w:rFonts w:ascii="Arial" w:hAnsi="Arial" w:cs="Arial"/>
          <w:sz w:val="22"/>
          <w:szCs w:val="22"/>
        </w:rPr>
        <w:fldChar w:fldCharType="separate"/>
      </w:r>
      <w:r w:rsidR="0048418F" w:rsidRPr="0048418F">
        <w:rPr>
          <w:rFonts w:ascii="Arial" w:hAnsi="Arial" w:cs="Arial"/>
          <w:sz w:val="22"/>
          <w:szCs w:val="22"/>
        </w:rPr>
        <w:t>Table 1</w:t>
      </w:r>
      <w:r w:rsidR="00785D75">
        <w:rPr>
          <w:rFonts w:ascii="Arial" w:hAnsi="Arial" w:cs="Arial"/>
          <w:sz w:val="22"/>
          <w:szCs w:val="22"/>
        </w:rPr>
        <w:fldChar w:fldCharType="end"/>
      </w:r>
      <w:r w:rsidRPr="009A6B04">
        <w:rPr>
          <w:rFonts w:ascii="Arial" w:hAnsi="Arial" w:cs="Arial"/>
          <w:sz w:val="22"/>
          <w:szCs w:val="22"/>
        </w:rPr>
        <w:t>).</w:t>
      </w:r>
    </w:p>
    <w:p w14:paraId="6E6C0581" w14:textId="16CDB696" w:rsidR="000D42F1" w:rsidRPr="00240621" w:rsidRDefault="000D42F1" w:rsidP="000D42F1">
      <w:pPr>
        <w:pStyle w:val="Caption"/>
        <w:rPr>
          <w:noProof/>
          <w:bdr w:val="single" w:sz="8" w:space="0" w:color="2E74B5" w:themeColor="accent1" w:themeShade="BF"/>
        </w:rPr>
      </w:pPr>
      <w:bookmarkStart w:id="10" w:name="_Ref148709518"/>
      <w:bookmarkStart w:id="11" w:name="_Ref84252823"/>
      <w:r w:rsidRPr="007F2168">
        <w:rPr>
          <w:b/>
          <w:bCs/>
        </w:rPr>
        <w:t xml:space="preserve">Figure </w:t>
      </w:r>
      <w:r w:rsidRPr="007F2168">
        <w:rPr>
          <w:b/>
          <w:bCs/>
        </w:rPr>
        <w:fldChar w:fldCharType="begin"/>
      </w:r>
      <w:r w:rsidRPr="007F2168">
        <w:rPr>
          <w:b/>
          <w:bCs/>
        </w:rPr>
        <w:instrText xml:space="preserve"> SEQ Figure \* ARABIC </w:instrText>
      </w:r>
      <w:r w:rsidRPr="007F2168">
        <w:rPr>
          <w:b/>
          <w:bCs/>
        </w:rPr>
        <w:fldChar w:fldCharType="separate"/>
      </w:r>
      <w:r w:rsidR="0048418F">
        <w:rPr>
          <w:b/>
          <w:bCs/>
          <w:noProof/>
        </w:rPr>
        <w:t>2</w:t>
      </w:r>
      <w:r w:rsidRPr="007F2168">
        <w:rPr>
          <w:b/>
          <w:bCs/>
        </w:rPr>
        <w:fldChar w:fldCharType="end"/>
      </w:r>
      <w:bookmarkEnd w:id="10"/>
      <w:bookmarkEnd w:id="11"/>
      <w:r w:rsidRPr="00240621">
        <w:rPr>
          <w:b/>
          <w:bCs/>
        </w:rPr>
        <w:t xml:space="preserve">: WA </w:t>
      </w:r>
      <w:r w:rsidR="008937AB">
        <w:rPr>
          <w:b/>
          <w:bCs/>
        </w:rPr>
        <w:t>government</w:t>
      </w:r>
      <w:r w:rsidRPr="00240621">
        <w:rPr>
          <w:b/>
          <w:bCs/>
        </w:rPr>
        <w:t xml:space="preserve"> sector workforce (headcount) 20</w:t>
      </w:r>
      <w:r>
        <w:rPr>
          <w:b/>
          <w:bCs/>
        </w:rPr>
        <w:t>18</w:t>
      </w:r>
      <w:r w:rsidRPr="00240621">
        <w:rPr>
          <w:b/>
          <w:bCs/>
        </w:rPr>
        <w:t>-1</w:t>
      </w:r>
      <w:r>
        <w:rPr>
          <w:b/>
          <w:bCs/>
        </w:rPr>
        <w:t>9</w:t>
      </w:r>
      <w:r w:rsidRPr="00240621">
        <w:rPr>
          <w:b/>
          <w:bCs/>
        </w:rPr>
        <w:t xml:space="preserve"> to 202</w:t>
      </w:r>
      <w:r>
        <w:rPr>
          <w:b/>
          <w:bCs/>
        </w:rPr>
        <w:t>2</w:t>
      </w:r>
      <w:r w:rsidRPr="00240621">
        <w:rPr>
          <w:b/>
          <w:bCs/>
        </w:rPr>
        <w:t>-2</w:t>
      </w:r>
      <w:r>
        <w:rPr>
          <w:b/>
          <w:bCs/>
        </w:rPr>
        <w:t>3</w:t>
      </w:r>
    </w:p>
    <w:p w14:paraId="411C1847" w14:textId="28D9BCCA" w:rsidR="000D42F1" w:rsidRDefault="008937AB" w:rsidP="000D42F1">
      <w:pPr>
        <w:keepNext/>
        <w:spacing w:line="240" w:lineRule="auto"/>
      </w:pPr>
      <w:r>
        <w:rPr>
          <w:noProof/>
        </w:rPr>
        <w:drawing>
          <wp:inline distT="0" distB="0" distL="0" distR="0" wp14:anchorId="70AEF6E2" wp14:editId="2B7BC386">
            <wp:extent cx="5836920" cy="3801745"/>
            <wp:effectExtent l="0" t="0" r="11430" b="8255"/>
            <wp:docPr id="1466215355" name="Chart 1" descr="A line graph showing the WA government sector workforce (in headcount) between 2018-19 and 2022-23. The public sector and other government entities both show an increase in the headcount of employees each year as described in the preceding text.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DC43B7" w14:textId="77777777" w:rsidR="000D42F1" w:rsidRDefault="000D42F1" w:rsidP="000D42F1">
      <w:pPr>
        <w:spacing w:before="240" w:line="240" w:lineRule="auto"/>
        <w:rPr>
          <w:b/>
          <w:bCs/>
          <w:iCs/>
          <w:color w:val="2E74B5" w:themeColor="accent1" w:themeShade="BF"/>
          <w:sz w:val="20"/>
          <w:szCs w:val="20"/>
        </w:rPr>
      </w:pPr>
      <w:bookmarkStart w:id="12" w:name="_Ref148709528"/>
    </w:p>
    <w:p w14:paraId="361EC136" w14:textId="5B60639B" w:rsidR="000D42F1" w:rsidRPr="00240621" w:rsidRDefault="000D42F1" w:rsidP="000D42F1">
      <w:pPr>
        <w:spacing w:before="240" w:line="240" w:lineRule="auto"/>
        <w:rPr>
          <w:b/>
          <w:bCs/>
          <w:color w:val="2E74B5" w:themeColor="accent1" w:themeShade="BF"/>
          <w:sz w:val="20"/>
          <w:szCs w:val="20"/>
        </w:rPr>
      </w:pPr>
      <w:bookmarkStart w:id="13" w:name="_Ref148970132"/>
      <w:r w:rsidRPr="007541E1">
        <w:rPr>
          <w:b/>
          <w:bCs/>
          <w:iCs/>
          <w:color w:val="2E74B5" w:themeColor="accent1" w:themeShade="BF"/>
          <w:sz w:val="20"/>
          <w:szCs w:val="20"/>
        </w:rPr>
        <w:lastRenderedPageBreak/>
        <w:t xml:space="preserve">Table </w:t>
      </w:r>
      <w:r w:rsidRPr="007541E1">
        <w:rPr>
          <w:b/>
          <w:bCs/>
          <w:iCs/>
          <w:color w:val="2E74B5" w:themeColor="accent1" w:themeShade="BF"/>
          <w:sz w:val="20"/>
          <w:szCs w:val="20"/>
        </w:rPr>
        <w:fldChar w:fldCharType="begin"/>
      </w:r>
      <w:r w:rsidRPr="007541E1">
        <w:rPr>
          <w:b/>
          <w:bCs/>
          <w:iCs/>
          <w:color w:val="2E74B5" w:themeColor="accent1" w:themeShade="BF"/>
          <w:sz w:val="20"/>
          <w:szCs w:val="20"/>
        </w:rPr>
        <w:instrText xml:space="preserve"> SEQ Table \* ARABIC </w:instrText>
      </w:r>
      <w:r w:rsidRPr="007541E1">
        <w:rPr>
          <w:b/>
          <w:bCs/>
          <w:iCs/>
          <w:color w:val="2E74B5" w:themeColor="accent1" w:themeShade="BF"/>
          <w:sz w:val="20"/>
          <w:szCs w:val="20"/>
        </w:rPr>
        <w:fldChar w:fldCharType="separate"/>
      </w:r>
      <w:r w:rsidR="0048418F">
        <w:rPr>
          <w:b/>
          <w:bCs/>
          <w:iCs/>
          <w:noProof/>
          <w:color w:val="2E74B5" w:themeColor="accent1" w:themeShade="BF"/>
          <w:sz w:val="20"/>
          <w:szCs w:val="20"/>
        </w:rPr>
        <w:t>1</w:t>
      </w:r>
      <w:r w:rsidRPr="007541E1">
        <w:rPr>
          <w:b/>
          <w:bCs/>
          <w:iCs/>
          <w:color w:val="2E74B5" w:themeColor="accent1" w:themeShade="BF"/>
          <w:sz w:val="20"/>
          <w:szCs w:val="20"/>
        </w:rPr>
        <w:fldChar w:fldCharType="end"/>
      </w:r>
      <w:bookmarkEnd w:id="12"/>
      <w:bookmarkEnd w:id="13"/>
      <w:r w:rsidRPr="00240621">
        <w:rPr>
          <w:b/>
          <w:bCs/>
          <w:color w:val="2E74B5" w:themeColor="accent1" w:themeShade="BF"/>
          <w:sz w:val="20"/>
          <w:szCs w:val="20"/>
        </w:rPr>
        <w:t>: WA government sector workforce (headcount and annual change) 201</w:t>
      </w:r>
      <w:r>
        <w:rPr>
          <w:b/>
          <w:bCs/>
          <w:color w:val="2E74B5" w:themeColor="accent1" w:themeShade="BF"/>
          <w:sz w:val="20"/>
          <w:szCs w:val="20"/>
        </w:rPr>
        <w:t>8</w:t>
      </w:r>
      <w:r w:rsidRPr="00240621">
        <w:rPr>
          <w:b/>
          <w:bCs/>
          <w:color w:val="2E74B5" w:themeColor="accent1" w:themeShade="BF"/>
          <w:sz w:val="20"/>
          <w:szCs w:val="20"/>
        </w:rPr>
        <w:t>-1</w:t>
      </w:r>
      <w:r>
        <w:rPr>
          <w:b/>
          <w:bCs/>
          <w:color w:val="2E74B5" w:themeColor="accent1" w:themeShade="BF"/>
          <w:sz w:val="20"/>
          <w:szCs w:val="20"/>
        </w:rPr>
        <w:t>9</w:t>
      </w:r>
      <w:r w:rsidRPr="00240621">
        <w:rPr>
          <w:b/>
          <w:bCs/>
          <w:color w:val="2E74B5" w:themeColor="accent1" w:themeShade="BF"/>
          <w:sz w:val="20"/>
          <w:szCs w:val="20"/>
        </w:rPr>
        <w:t xml:space="preserve"> to 202</w:t>
      </w:r>
      <w:r>
        <w:rPr>
          <w:b/>
          <w:bCs/>
          <w:color w:val="2E74B5" w:themeColor="accent1" w:themeShade="BF"/>
          <w:sz w:val="20"/>
          <w:szCs w:val="20"/>
        </w:rPr>
        <w:t>2</w:t>
      </w:r>
      <w:r w:rsidRPr="00240621">
        <w:rPr>
          <w:b/>
          <w:bCs/>
          <w:color w:val="2E74B5" w:themeColor="accent1" w:themeShade="BF"/>
          <w:sz w:val="20"/>
          <w:szCs w:val="20"/>
        </w:rPr>
        <w:t>-2</w:t>
      </w:r>
      <w:r>
        <w:rPr>
          <w:b/>
          <w:bCs/>
          <w:color w:val="2E74B5" w:themeColor="accent1" w:themeShade="BF"/>
          <w:sz w:val="20"/>
          <w:szCs w:val="20"/>
        </w:rPr>
        <w:t>3</w:t>
      </w:r>
    </w:p>
    <w:tbl>
      <w:tblPr>
        <w:tblW w:w="9204"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Caption w:val="Table 1: WA government sector workforce (headcount and annual change) 2018-19 to 2022-23"/>
      </w:tblPr>
      <w:tblGrid>
        <w:gridCol w:w="4243"/>
        <w:gridCol w:w="992"/>
        <w:gridCol w:w="992"/>
        <w:gridCol w:w="993"/>
        <w:gridCol w:w="992"/>
        <w:gridCol w:w="992"/>
      </w:tblGrid>
      <w:tr w:rsidR="000D42F1" w:rsidRPr="00813E91" w14:paraId="707D719B" w14:textId="77777777">
        <w:trPr>
          <w:trHeight w:val="330"/>
        </w:trPr>
        <w:tc>
          <w:tcPr>
            <w:tcW w:w="4243" w:type="dxa"/>
            <w:tcBorders>
              <w:top w:val="nil"/>
              <w:left w:val="nil"/>
            </w:tcBorders>
            <w:shd w:val="clear" w:color="auto" w:fill="auto"/>
            <w:noWrap/>
          </w:tcPr>
          <w:p w14:paraId="54E706AA" w14:textId="77777777" w:rsidR="000D42F1" w:rsidRPr="00813E91" w:rsidRDefault="000D42F1">
            <w:pPr>
              <w:spacing w:after="0" w:line="240" w:lineRule="auto"/>
              <w:rPr>
                <w:rFonts w:ascii="Calibri" w:hAnsi="Calibri" w:cs="Calibri"/>
                <w:color w:val="000000"/>
              </w:rPr>
            </w:pPr>
          </w:p>
        </w:tc>
        <w:tc>
          <w:tcPr>
            <w:tcW w:w="992" w:type="dxa"/>
            <w:shd w:val="clear" w:color="auto" w:fill="auto"/>
            <w:vAlign w:val="center"/>
          </w:tcPr>
          <w:p w14:paraId="3DF77DA0" w14:textId="77777777" w:rsidR="000D42F1" w:rsidRPr="00813E91" w:rsidRDefault="000D42F1">
            <w:pPr>
              <w:spacing w:after="0" w:line="240" w:lineRule="auto"/>
              <w:jc w:val="right"/>
              <w:rPr>
                <w:b/>
                <w:bCs/>
                <w:color w:val="2E74B5"/>
                <w:sz w:val="20"/>
                <w:szCs w:val="20"/>
              </w:rPr>
            </w:pPr>
            <w:r>
              <w:rPr>
                <w:b/>
                <w:bCs/>
                <w:color w:val="2E74B5"/>
                <w:sz w:val="20"/>
                <w:szCs w:val="20"/>
              </w:rPr>
              <w:t>2018-19</w:t>
            </w:r>
          </w:p>
        </w:tc>
        <w:tc>
          <w:tcPr>
            <w:tcW w:w="992" w:type="dxa"/>
            <w:shd w:val="clear" w:color="auto" w:fill="auto"/>
            <w:vAlign w:val="center"/>
          </w:tcPr>
          <w:p w14:paraId="5A9B431B" w14:textId="77777777" w:rsidR="000D42F1" w:rsidRPr="00813E91" w:rsidRDefault="000D42F1">
            <w:pPr>
              <w:spacing w:after="0" w:line="240" w:lineRule="auto"/>
              <w:jc w:val="right"/>
              <w:rPr>
                <w:b/>
                <w:bCs/>
                <w:color w:val="2E74B5"/>
                <w:sz w:val="20"/>
                <w:szCs w:val="20"/>
              </w:rPr>
            </w:pPr>
            <w:r>
              <w:rPr>
                <w:b/>
                <w:bCs/>
                <w:color w:val="2E74B5"/>
                <w:sz w:val="20"/>
                <w:szCs w:val="20"/>
              </w:rPr>
              <w:t>2019-20</w:t>
            </w:r>
          </w:p>
        </w:tc>
        <w:tc>
          <w:tcPr>
            <w:tcW w:w="993" w:type="dxa"/>
            <w:shd w:val="clear" w:color="auto" w:fill="auto"/>
            <w:vAlign w:val="center"/>
          </w:tcPr>
          <w:p w14:paraId="116A56CD" w14:textId="77777777" w:rsidR="000D42F1" w:rsidRPr="00813E91" w:rsidRDefault="000D42F1">
            <w:pPr>
              <w:spacing w:after="0" w:line="240" w:lineRule="auto"/>
              <w:jc w:val="right"/>
              <w:rPr>
                <w:b/>
                <w:bCs/>
                <w:color w:val="2E74B5"/>
                <w:sz w:val="20"/>
                <w:szCs w:val="20"/>
              </w:rPr>
            </w:pPr>
            <w:r>
              <w:rPr>
                <w:b/>
                <w:bCs/>
                <w:color w:val="2E74B5"/>
                <w:sz w:val="20"/>
                <w:szCs w:val="20"/>
              </w:rPr>
              <w:t>2020-21</w:t>
            </w:r>
          </w:p>
        </w:tc>
        <w:tc>
          <w:tcPr>
            <w:tcW w:w="992" w:type="dxa"/>
            <w:shd w:val="clear" w:color="auto" w:fill="auto"/>
            <w:vAlign w:val="center"/>
          </w:tcPr>
          <w:p w14:paraId="3790B0D8" w14:textId="77777777" w:rsidR="000D42F1" w:rsidRPr="00813E91" w:rsidRDefault="000D42F1">
            <w:pPr>
              <w:spacing w:after="0" w:line="240" w:lineRule="auto"/>
              <w:jc w:val="right"/>
              <w:rPr>
                <w:b/>
                <w:bCs/>
                <w:color w:val="2E74B5"/>
                <w:sz w:val="20"/>
                <w:szCs w:val="20"/>
              </w:rPr>
            </w:pPr>
            <w:r>
              <w:rPr>
                <w:b/>
                <w:bCs/>
                <w:color w:val="2E74B5"/>
                <w:sz w:val="20"/>
                <w:szCs w:val="20"/>
              </w:rPr>
              <w:t>2021-22</w:t>
            </w:r>
          </w:p>
        </w:tc>
        <w:tc>
          <w:tcPr>
            <w:tcW w:w="992" w:type="dxa"/>
            <w:shd w:val="clear" w:color="auto" w:fill="auto"/>
            <w:noWrap/>
            <w:vAlign w:val="center"/>
          </w:tcPr>
          <w:p w14:paraId="44DD150D" w14:textId="77777777" w:rsidR="000D42F1" w:rsidRPr="00813E91" w:rsidRDefault="000D42F1">
            <w:pPr>
              <w:spacing w:after="0" w:line="240" w:lineRule="auto"/>
              <w:jc w:val="right"/>
              <w:rPr>
                <w:b/>
                <w:bCs/>
                <w:color w:val="2E74B5"/>
                <w:sz w:val="20"/>
                <w:szCs w:val="20"/>
              </w:rPr>
            </w:pPr>
            <w:r>
              <w:rPr>
                <w:b/>
                <w:bCs/>
                <w:color w:val="2E74B5"/>
                <w:sz w:val="20"/>
                <w:szCs w:val="20"/>
              </w:rPr>
              <w:t>2022-23</w:t>
            </w:r>
          </w:p>
        </w:tc>
      </w:tr>
      <w:tr w:rsidR="000D42F1" w:rsidRPr="00813E91" w14:paraId="76581423" w14:textId="77777777">
        <w:trPr>
          <w:trHeight w:val="283"/>
        </w:trPr>
        <w:tc>
          <w:tcPr>
            <w:tcW w:w="4243" w:type="dxa"/>
            <w:shd w:val="clear" w:color="auto" w:fill="auto"/>
            <w:vAlign w:val="center"/>
          </w:tcPr>
          <w:p w14:paraId="177C3801" w14:textId="77777777" w:rsidR="000D42F1" w:rsidRPr="00813E91" w:rsidRDefault="000D42F1">
            <w:pPr>
              <w:spacing w:after="0" w:line="240" w:lineRule="auto"/>
              <w:rPr>
                <w:color w:val="000000"/>
                <w:sz w:val="20"/>
                <w:szCs w:val="20"/>
              </w:rPr>
            </w:pPr>
            <w:r>
              <w:rPr>
                <w:color w:val="000000"/>
                <w:sz w:val="20"/>
                <w:szCs w:val="20"/>
              </w:rPr>
              <w:t>Public sector headcount, annual average</w:t>
            </w:r>
          </w:p>
        </w:tc>
        <w:tc>
          <w:tcPr>
            <w:tcW w:w="992" w:type="dxa"/>
            <w:shd w:val="clear" w:color="auto" w:fill="auto"/>
            <w:vAlign w:val="center"/>
          </w:tcPr>
          <w:p w14:paraId="137D3909" w14:textId="77777777" w:rsidR="000D42F1" w:rsidRPr="00813E91" w:rsidRDefault="000D42F1">
            <w:pPr>
              <w:spacing w:after="0" w:line="240" w:lineRule="auto"/>
              <w:jc w:val="right"/>
              <w:rPr>
                <w:sz w:val="20"/>
                <w:szCs w:val="20"/>
              </w:rPr>
            </w:pPr>
            <w:r>
              <w:rPr>
                <w:color w:val="000000"/>
                <w:sz w:val="20"/>
                <w:szCs w:val="20"/>
              </w:rPr>
              <w:t>141,359</w:t>
            </w:r>
          </w:p>
        </w:tc>
        <w:tc>
          <w:tcPr>
            <w:tcW w:w="992" w:type="dxa"/>
            <w:shd w:val="clear" w:color="auto" w:fill="auto"/>
            <w:vAlign w:val="center"/>
          </w:tcPr>
          <w:p w14:paraId="4601CA5D" w14:textId="77777777" w:rsidR="000D42F1" w:rsidRPr="00813E91" w:rsidRDefault="000D42F1">
            <w:pPr>
              <w:spacing w:after="0" w:line="240" w:lineRule="auto"/>
              <w:jc w:val="right"/>
              <w:rPr>
                <w:sz w:val="20"/>
                <w:szCs w:val="20"/>
              </w:rPr>
            </w:pPr>
            <w:r>
              <w:rPr>
                <w:color w:val="000000"/>
                <w:sz w:val="20"/>
                <w:szCs w:val="20"/>
              </w:rPr>
              <w:t>145,067</w:t>
            </w:r>
          </w:p>
        </w:tc>
        <w:tc>
          <w:tcPr>
            <w:tcW w:w="993" w:type="dxa"/>
            <w:shd w:val="clear" w:color="auto" w:fill="auto"/>
            <w:vAlign w:val="center"/>
          </w:tcPr>
          <w:p w14:paraId="4DBD1F30" w14:textId="77777777" w:rsidR="000D42F1" w:rsidRPr="00813E91" w:rsidRDefault="000D42F1">
            <w:pPr>
              <w:spacing w:after="0" w:line="240" w:lineRule="auto"/>
              <w:jc w:val="right"/>
              <w:rPr>
                <w:sz w:val="20"/>
                <w:szCs w:val="20"/>
              </w:rPr>
            </w:pPr>
            <w:r>
              <w:rPr>
                <w:color w:val="000000"/>
                <w:sz w:val="20"/>
                <w:szCs w:val="20"/>
              </w:rPr>
              <w:t>150,522</w:t>
            </w:r>
          </w:p>
        </w:tc>
        <w:tc>
          <w:tcPr>
            <w:tcW w:w="992" w:type="dxa"/>
            <w:shd w:val="clear" w:color="auto" w:fill="auto"/>
            <w:vAlign w:val="center"/>
          </w:tcPr>
          <w:p w14:paraId="6B624043" w14:textId="77777777" w:rsidR="000D42F1" w:rsidRPr="00813E91" w:rsidRDefault="000D42F1">
            <w:pPr>
              <w:spacing w:after="0" w:line="240" w:lineRule="auto"/>
              <w:jc w:val="right"/>
              <w:rPr>
                <w:sz w:val="20"/>
                <w:szCs w:val="20"/>
              </w:rPr>
            </w:pPr>
            <w:r>
              <w:rPr>
                <w:color w:val="000000"/>
                <w:sz w:val="20"/>
                <w:szCs w:val="20"/>
              </w:rPr>
              <w:t>158,004</w:t>
            </w:r>
          </w:p>
        </w:tc>
        <w:tc>
          <w:tcPr>
            <w:tcW w:w="992" w:type="dxa"/>
            <w:shd w:val="clear" w:color="auto" w:fill="auto"/>
            <w:vAlign w:val="center"/>
          </w:tcPr>
          <w:p w14:paraId="334843A6" w14:textId="77777777" w:rsidR="000D42F1" w:rsidRPr="00813E91" w:rsidRDefault="000D42F1">
            <w:pPr>
              <w:spacing w:after="0" w:line="240" w:lineRule="auto"/>
              <w:jc w:val="right"/>
              <w:rPr>
                <w:sz w:val="20"/>
                <w:szCs w:val="20"/>
              </w:rPr>
            </w:pPr>
            <w:r>
              <w:rPr>
                <w:color w:val="000000"/>
                <w:sz w:val="20"/>
                <w:szCs w:val="20"/>
              </w:rPr>
              <w:t>162,813</w:t>
            </w:r>
          </w:p>
        </w:tc>
      </w:tr>
      <w:tr w:rsidR="000D42F1" w:rsidRPr="00813E91" w14:paraId="07338B42" w14:textId="77777777">
        <w:trPr>
          <w:trHeight w:val="283"/>
        </w:trPr>
        <w:tc>
          <w:tcPr>
            <w:tcW w:w="4243" w:type="dxa"/>
            <w:shd w:val="clear" w:color="auto" w:fill="auto"/>
            <w:vAlign w:val="center"/>
          </w:tcPr>
          <w:p w14:paraId="2C0984F1" w14:textId="77777777" w:rsidR="000D42F1" w:rsidRPr="00B23608" w:rsidRDefault="000D42F1" w:rsidP="00DF75BE">
            <w:pPr>
              <w:pStyle w:val="ListParagraph"/>
              <w:spacing w:after="0" w:line="240" w:lineRule="auto"/>
              <w:ind w:left="462"/>
              <w:rPr>
                <w:color w:val="000000"/>
                <w:sz w:val="20"/>
                <w:szCs w:val="20"/>
              </w:rPr>
            </w:pPr>
            <w:r w:rsidRPr="00B23608">
              <w:rPr>
                <w:color w:val="000000"/>
                <w:sz w:val="20"/>
                <w:szCs w:val="20"/>
              </w:rPr>
              <w:t>Annual change</w:t>
            </w:r>
          </w:p>
        </w:tc>
        <w:tc>
          <w:tcPr>
            <w:tcW w:w="992" w:type="dxa"/>
            <w:shd w:val="clear" w:color="auto" w:fill="auto"/>
            <w:vAlign w:val="center"/>
          </w:tcPr>
          <w:p w14:paraId="043DDFB4" w14:textId="77777777" w:rsidR="000D42F1" w:rsidRPr="00813E91" w:rsidRDefault="000D42F1">
            <w:pPr>
              <w:spacing w:after="0" w:line="240" w:lineRule="auto"/>
              <w:jc w:val="right"/>
              <w:rPr>
                <w:color w:val="000000"/>
                <w:sz w:val="20"/>
                <w:szCs w:val="20"/>
              </w:rPr>
            </w:pPr>
            <w:r>
              <w:rPr>
                <w:color w:val="000000"/>
                <w:sz w:val="20"/>
                <w:szCs w:val="20"/>
              </w:rPr>
              <w:t>+1,334</w:t>
            </w:r>
          </w:p>
        </w:tc>
        <w:tc>
          <w:tcPr>
            <w:tcW w:w="992" w:type="dxa"/>
            <w:shd w:val="clear" w:color="auto" w:fill="auto"/>
            <w:vAlign w:val="center"/>
          </w:tcPr>
          <w:p w14:paraId="54BBC12D" w14:textId="77777777" w:rsidR="000D42F1" w:rsidRPr="00813E91" w:rsidRDefault="000D42F1">
            <w:pPr>
              <w:spacing w:after="0" w:line="240" w:lineRule="auto"/>
              <w:jc w:val="right"/>
              <w:rPr>
                <w:color w:val="000000"/>
                <w:sz w:val="20"/>
                <w:szCs w:val="20"/>
              </w:rPr>
            </w:pPr>
            <w:r>
              <w:rPr>
                <w:color w:val="000000"/>
                <w:sz w:val="20"/>
                <w:szCs w:val="20"/>
              </w:rPr>
              <w:t>+3,708</w:t>
            </w:r>
          </w:p>
        </w:tc>
        <w:tc>
          <w:tcPr>
            <w:tcW w:w="993" w:type="dxa"/>
            <w:shd w:val="clear" w:color="auto" w:fill="auto"/>
            <w:vAlign w:val="center"/>
          </w:tcPr>
          <w:p w14:paraId="41EEAB72" w14:textId="77777777" w:rsidR="000D42F1" w:rsidRPr="00813E91" w:rsidRDefault="000D42F1">
            <w:pPr>
              <w:spacing w:after="0" w:line="240" w:lineRule="auto"/>
              <w:jc w:val="right"/>
              <w:rPr>
                <w:color w:val="000000"/>
                <w:sz w:val="20"/>
                <w:szCs w:val="20"/>
              </w:rPr>
            </w:pPr>
            <w:r>
              <w:rPr>
                <w:color w:val="000000"/>
                <w:sz w:val="20"/>
                <w:szCs w:val="20"/>
              </w:rPr>
              <w:t>+5,456</w:t>
            </w:r>
          </w:p>
        </w:tc>
        <w:tc>
          <w:tcPr>
            <w:tcW w:w="992" w:type="dxa"/>
            <w:shd w:val="clear" w:color="auto" w:fill="auto"/>
            <w:vAlign w:val="center"/>
          </w:tcPr>
          <w:p w14:paraId="7C3414EB" w14:textId="77777777" w:rsidR="000D42F1" w:rsidRPr="00813E91" w:rsidRDefault="000D42F1">
            <w:pPr>
              <w:spacing w:after="0" w:line="240" w:lineRule="auto"/>
              <w:jc w:val="right"/>
              <w:rPr>
                <w:color w:val="000000"/>
                <w:sz w:val="20"/>
                <w:szCs w:val="20"/>
              </w:rPr>
            </w:pPr>
            <w:r>
              <w:rPr>
                <w:color w:val="000000"/>
                <w:sz w:val="20"/>
                <w:szCs w:val="20"/>
              </w:rPr>
              <w:t>+7,482</w:t>
            </w:r>
          </w:p>
        </w:tc>
        <w:tc>
          <w:tcPr>
            <w:tcW w:w="992" w:type="dxa"/>
            <w:shd w:val="clear" w:color="auto" w:fill="auto"/>
            <w:vAlign w:val="center"/>
          </w:tcPr>
          <w:p w14:paraId="751379C6" w14:textId="77777777" w:rsidR="000D42F1" w:rsidRPr="00813E91" w:rsidRDefault="000D42F1">
            <w:pPr>
              <w:spacing w:after="0" w:line="240" w:lineRule="auto"/>
              <w:jc w:val="right"/>
              <w:rPr>
                <w:color w:val="000000"/>
                <w:sz w:val="20"/>
                <w:szCs w:val="20"/>
              </w:rPr>
            </w:pPr>
            <w:r>
              <w:rPr>
                <w:color w:val="000000"/>
                <w:sz w:val="20"/>
                <w:szCs w:val="20"/>
              </w:rPr>
              <w:t>+4,809</w:t>
            </w:r>
          </w:p>
        </w:tc>
      </w:tr>
      <w:tr w:rsidR="000D42F1" w:rsidRPr="00813E91" w14:paraId="401965CE" w14:textId="77777777">
        <w:trPr>
          <w:trHeight w:val="283"/>
        </w:trPr>
        <w:tc>
          <w:tcPr>
            <w:tcW w:w="4243" w:type="dxa"/>
            <w:shd w:val="clear" w:color="auto" w:fill="auto"/>
            <w:vAlign w:val="center"/>
          </w:tcPr>
          <w:p w14:paraId="5F720CDC" w14:textId="77777777" w:rsidR="000D42F1" w:rsidRPr="00B23608" w:rsidRDefault="000D42F1" w:rsidP="00DF75BE">
            <w:pPr>
              <w:pStyle w:val="ListParagraph"/>
              <w:spacing w:after="0" w:line="240" w:lineRule="auto"/>
              <w:ind w:left="462"/>
              <w:rPr>
                <w:color w:val="000000"/>
                <w:sz w:val="20"/>
                <w:szCs w:val="20"/>
              </w:rPr>
            </w:pPr>
            <w:r w:rsidRPr="00B23608">
              <w:rPr>
                <w:color w:val="000000"/>
                <w:sz w:val="20"/>
                <w:szCs w:val="20"/>
              </w:rPr>
              <w:t>Annual percent change</w:t>
            </w:r>
          </w:p>
        </w:tc>
        <w:tc>
          <w:tcPr>
            <w:tcW w:w="992" w:type="dxa"/>
            <w:shd w:val="clear" w:color="auto" w:fill="auto"/>
            <w:vAlign w:val="center"/>
          </w:tcPr>
          <w:p w14:paraId="3564425E" w14:textId="77777777" w:rsidR="000D42F1" w:rsidRPr="00813E91" w:rsidRDefault="000D42F1">
            <w:pPr>
              <w:spacing w:after="0" w:line="240" w:lineRule="auto"/>
              <w:jc w:val="right"/>
              <w:rPr>
                <w:color w:val="000000"/>
                <w:sz w:val="20"/>
                <w:szCs w:val="20"/>
              </w:rPr>
            </w:pPr>
            <w:r>
              <w:rPr>
                <w:color w:val="000000"/>
                <w:sz w:val="20"/>
                <w:szCs w:val="20"/>
              </w:rPr>
              <w:t xml:space="preserve">+1.0% </w:t>
            </w:r>
          </w:p>
        </w:tc>
        <w:tc>
          <w:tcPr>
            <w:tcW w:w="992" w:type="dxa"/>
            <w:shd w:val="clear" w:color="auto" w:fill="auto"/>
            <w:vAlign w:val="center"/>
          </w:tcPr>
          <w:p w14:paraId="6252DFF2" w14:textId="77777777" w:rsidR="000D42F1" w:rsidRPr="00813E91" w:rsidRDefault="000D42F1">
            <w:pPr>
              <w:spacing w:after="0" w:line="240" w:lineRule="auto"/>
              <w:jc w:val="right"/>
              <w:rPr>
                <w:color w:val="000000"/>
                <w:sz w:val="20"/>
                <w:szCs w:val="20"/>
              </w:rPr>
            </w:pPr>
            <w:r>
              <w:rPr>
                <w:color w:val="000000"/>
                <w:sz w:val="20"/>
                <w:szCs w:val="20"/>
              </w:rPr>
              <w:t xml:space="preserve">+2.6% </w:t>
            </w:r>
          </w:p>
        </w:tc>
        <w:tc>
          <w:tcPr>
            <w:tcW w:w="993" w:type="dxa"/>
            <w:shd w:val="clear" w:color="auto" w:fill="auto"/>
            <w:vAlign w:val="center"/>
          </w:tcPr>
          <w:p w14:paraId="206631EA" w14:textId="77777777" w:rsidR="000D42F1" w:rsidRPr="00813E91" w:rsidRDefault="000D42F1">
            <w:pPr>
              <w:spacing w:after="0" w:line="240" w:lineRule="auto"/>
              <w:jc w:val="right"/>
              <w:rPr>
                <w:color w:val="000000"/>
                <w:sz w:val="20"/>
                <w:szCs w:val="20"/>
              </w:rPr>
            </w:pPr>
            <w:r>
              <w:rPr>
                <w:color w:val="000000"/>
                <w:sz w:val="20"/>
                <w:szCs w:val="20"/>
              </w:rPr>
              <w:t xml:space="preserve">+3.8% </w:t>
            </w:r>
          </w:p>
        </w:tc>
        <w:tc>
          <w:tcPr>
            <w:tcW w:w="992" w:type="dxa"/>
            <w:shd w:val="clear" w:color="auto" w:fill="auto"/>
            <w:vAlign w:val="center"/>
          </w:tcPr>
          <w:p w14:paraId="0B95A02C" w14:textId="77777777" w:rsidR="000D42F1" w:rsidRPr="00813E91" w:rsidRDefault="000D42F1">
            <w:pPr>
              <w:spacing w:after="0" w:line="240" w:lineRule="auto"/>
              <w:jc w:val="right"/>
              <w:rPr>
                <w:color w:val="000000"/>
                <w:sz w:val="20"/>
                <w:szCs w:val="20"/>
              </w:rPr>
            </w:pPr>
            <w:r>
              <w:rPr>
                <w:color w:val="000000"/>
                <w:sz w:val="20"/>
                <w:szCs w:val="20"/>
              </w:rPr>
              <w:t xml:space="preserve">+5.0% </w:t>
            </w:r>
          </w:p>
        </w:tc>
        <w:tc>
          <w:tcPr>
            <w:tcW w:w="992" w:type="dxa"/>
            <w:shd w:val="clear" w:color="auto" w:fill="auto"/>
            <w:vAlign w:val="center"/>
          </w:tcPr>
          <w:p w14:paraId="062E7A60" w14:textId="77777777" w:rsidR="000D42F1" w:rsidRPr="00813E91" w:rsidRDefault="000D42F1">
            <w:pPr>
              <w:spacing w:after="0" w:line="240" w:lineRule="auto"/>
              <w:jc w:val="right"/>
              <w:rPr>
                <w:color w:val="000000"/>
                <w:sz w:val="20"/>
                <w:szCs w:val="20"/>
              </w:rPr>
            </w:pPr>
            <w:r>
              <w:rPr>
                <w:color w:val="000000"/>
                <w:sz w:val="20"/>
                <w:szCs w:val="20"/>
              </w:rPr>
              <w:t xml:space="preserve">+3.0% </w:t>
            </w:r>
          </w:p>
        </w:tc>
      </w:tr>
      <w:tr w:rsidR="000D42F1" w:rsidRPr="00813E91" w14:paraId="12248B68" w14:textId="77777777">
        <w:trPr>
          <w:trHeight w:val="283"/>
        </w:trPr>
        <w:tc>
          <w:tcPr>
            <w:tcW w:w="4243" w:type="dxa"/>
            <w:shd w:val="clear" w:color="auto" w:fill="auto"/>
            <w:vAlign w:val="center"/>
          </w:tcPr>
          <w:p w14:paraId="29635AC4" w14:textId="77777777" w:rsidR="000D42F1" w:rsidRPr="00813E91" w:rsidRDefault="000D42F1">
            <w:pPr>
              <w:spacing w:after="0" w:line="240" w:lineRule="auto"/>
              <w:rPr>
                <w:color w:val="000000"/>
                <w:sz w:val="20"/>
                <w:szCs w:val="20"/>
              </w:rPr>
            </w:pPr>
            <w:r>
              <w:rPr>
                <w:color w:val="000000"/>
                <w:sz w:val="20"/>
                <w:szCs w:val="20"/>
              </w:rPr>
              <w:t>Other government entities headcount, March</w:t>
            </w:r>
          </w:p>
        </w:tc>
        <w:tc>
          <w:tcPr>
            <w:tcW w:w="992" w:type="dxa"/>
            <w:shd w:val="clear" w:color="auto" w:fill="auto"/>
            <w:vAlign w:val="center"/>
          </w:tcPr>
          <w:p w14:paraId="639DDD41" w14:textId="77777777" w:rsidR="000D42F1" w:rsidRPr="00813E91" w:rsidRDefault="000D42F1">
            <w:pPr>
              <w:spacing w:after="0" w:line="240" w:lineRule="auto"/>
              <w:jc w:val="right"/>
              <w:rPr>
                <w:color w:val="000000"/>
                <w:sz w:val="20"/>
                <w:szCs w:val="20"/>
              </w:rPr>
            </w:pPr>
            <w:r>
              <w:rPr>
                <w:color w:val="000000"/>
                <w:sz w:val="20"/>
                <w:szCs w:val="20"/>
              </w:rPr>
              <w:t>61,824</w:t>
            </w:r>
          </w:p>
        </w:tc>
        <w:tc>
          <w:tcPr>
            <w:tcW w:w="992" w:type="dxa"/>
            <w:shd w:val="clear" w:color="auto" w:fill="auto"/>
            <w:vAlign w:val="center"/>
          </w:tcPr>
          <w:p w14:paraId="3A3DEE77" w14:textId="77777777" w:rsidR="000D42F1" w:rsidRPr="00813E91" w:rsidRDefault="000D42F1">
            <w:pPr>
              <w:spacing w:after="0" w:line="240" w:lineRule="auto"/>
              <w:jc w:val="right"/>
              <w:rPr>
                <w:color w:val="000000"/>
                <w:sz w:val="20"/>
                <w:szCs w:val="20"/>
              </w:rPr>
            </w:pPr>
            <w:r>
              <w:rPr>
                <w:color w:val="000000"/>
                <w:sz w:val="20"/>
                <w:szCs w:val="20"/>
              </w:rPr>
              <w:t>62,510</w:t>
            </w:r>
          </w:p>
        </w:tc>
        <w:tc>
          <w:tcPr>
            <w:tcW w:w="993" w:type="dxa"/>
            <w:shd w:val="clear" w:color="auto" w:fill="auto"/>
            <w:vAlign w:val="center"/>
          </w:tcPr>
          <w:p w14:paraId="74F21BA0" w14:textId="77777777" w:rsidR="000D42F1" w:rsidRPr="00813E91" w:rsidRDefault="000D42F1">
            <w:pPr>
              <w:spacing w:after="0" w:line="240" w:lineRule="auto"/>
              <w:jc w:val="right"/>
              <w:rPr>
                <w:color w:val="000000"/>
                <w:sz w:val="20"/>
                <w:szCs w:val="20"/>
              </w:rPr>
            </w:pPr>
            <w:r>
              <w:rPr>
                <w:color w:val="000000"/>
                <w:sz w:val="20"/>
                <w:szCs w:val="20"/>
              </w:rPr>
              <w:t>63,546</w:t>
            </w:r>
          </w:p>
        </w:tc>
        <w:tc>
          <w:tcPr>
            <w:tcW w:w="992" w:type="dxa"/>
            <w:shd w:val="clear" w:color="auto" w:fill="auto"/>
            <w:vAlign w:val="center"/>
          </w:tcPr>
          <w:p w14:paraId="071AC582" w14:textId="77777777" w:rsidR="000D42F1" w:rsidRPr="00813E91" w:rsidRDefault="000D42F1">
            <w:pPr>
              <w:spacing w:after="0" w:line="240" w:lineRule="auto"/>
              <w:jc w:val="right"/>
              <w:rPr>
                <w:color w:val="000000"/>
                <w:sz w:val="20"/>
                <w:szCs w:val="20"/>
              </w:rPr>
            </w:pPr>
            <w:r>
              <w:rPr>
                <w:color w:val="000000"/>
                <w:sz w:val="20"/>
                <w:szCs w:val="20"/>
              </w:rPr>
              <w:t>64,488</w:t>
            </w:r>
          </w:p>
        </w:tc>
        <w:tc>
          <w:tcPr>
            <w:tcW w:w="992" w:type="dxa"/>
            <w:shd w:val="clear" w:color="auto" w:fill="auto"/>
            <w:vAlign w:val="center"/>
          </w:tcPr>
          <w:p w14:paraId="2917D3C9" w14:textId="77777777" w:rsidR="000D42F1" w:rsidRPr="00813E91" w:rsidRDefault="000D42F1">
            <w:pPr>
              <w:spacing w:after="0" w:line="240" w:lineRule="auto"/>
              <w:jc w:val="right"/>
              <w:rPr>
                <w:color w:val="000000"/>
                <w:sz w:val="20"/>
                <w:szCs w:val="20"/>
              </w:rPr>
            </w:pPr>
            <w:r>
              <w:rPr>
                <w:color w:val="000000"/>
                <w:sz w:val="20"/>
                <w:szCs w:val="20"/>
              </w:rPr>
              <w:t>67,118</w:t>
            </w:r>
          </w:p>
        </w:tc>
      </w:tr>
      <w:tr w:rsidR="000D42F1" w:rsidRPr="00813E91" w14:paraId="428EC672" w14:textId="77777777" w:rsidTr="00FA1DC5">
        <w:trPr>
          <w:trHeight w:val="283"/>
        </w:trPr>
        <w:tc>
          <w:tcPr>
            <w:tcW w:w="4243" w:type="dxa"/>
            <w:tcBorders>
              <w:bottom w:val="single" w:sz="12" w:space="0" w:color="2E74B5" w:themeColor="accent1" w:themeShade="BF"/>
            </w:tcBorders>
            <w:shd w:val="clear" w:color="auto" w:fill="auto"/>
            <w:vAlign w:val="center"/>
          </w:tcPr>
          <w:p w14:paraId="1F04CFE7" w14:textId="77777777" w:rsidR="000D42F1" w:rsidRPr="00B23608" w:rsidRDefault="000D42F1" w:rsidP="00DF75BE">
            <w:pPr>
              <w:pStyle w:val="ListParagraph"/>
              <w:spacing w:after="0" w:line="240" w:lineRule="auto"/>
              <w:ind w:left="462"/>
              <w:rPr>
                <w:color w:val="000000"/>
                <w:sz w:val="20"/>
                <w:szCs w:val="20"/>
              </w:rPr>
            </w:pPr>
            <w:r w:rsidRPr="00B23608">
              <w:rPr>
                <w:color w:val="000000"/>
                <w:sz w:val="20"/>
                <w:szCs w:val="20"/>
              </w:rPr>
              <w:t>Annual change</w:t>
            </w:r>
          </w:p>
        </w:tc>
        <w:tc>
          <w:tcPr>
            <w:tcW w:w="992" w:type="dxa"/>
            <w:tcBorders>
              <w:bottom w:val="single" w:sz="12" w:space="0" w:color="2E74B5" w:themeColor="accent1" w:themeShade="BF"/>
            </w:tcBorders>
            <w:shd w:val="clear" w:color="auto" w:fill="auto"/>
            <w:vAlign w:val="center"/>
          </w:tcPr>
          <w:p w14:paraId="16A89076" w14:textId="77777777" w:rsidR="000D42F1" w:rsidRPr="00813E91" w:rsidRDefault="000D42F1">
            <w:pPr>
              <w:spacing w:after="0" w:line="240" w:lineRule="auto"/>
              <w:jc w:val="right"/>
              <w:rPr>
                <w:color w:val="000000"/>
                <w:sz w:val="20"/>
                <w:szCs w:val="20"/>
              </w:rPr>
            </w:pPr>
            <w:r>
              <w:rPr>
                <w:color w:val="000000"/>
                <w:sz w:val="20"/>
                <w:szCs w:val="20"/>
              </w:rPr>
              <w:t xml:space="preserve">-736 </w:t>
            </w:r>
          </w:p>
        </w:tc>
        <w:tc>
          <w:tcPr>
            <w:tcW w:w="992" w:type="dxa"/>
            <w:tcBorders>
              <w:bottom w:val="single" w:sz="12" w:space="0" w:color="2E74B5" w:themeColor="accent1" w:themeShade="BF"/>
            </w:tcBorders>
            <w:shd w:val="clear" w:color="auto" w:fill="auto"/>
            <w:vAlign w:val="center"/>
          </w:tcPr>
          <w:p w14:paraId="5BBAB38A" w14:textId="77777777" w:rsidR="000D42F1" w:rsidRPr="00813E91" w:rsidRDefault="000D42F1">
            <w:pPr>
              <w:spacing w:after="0" w:line="240" w:lineRule="auto"/>
              <w:jc w:val="right"/>
              <w:rPr>
                <w:color w:val="000000"/>
                <w:sz w:val="20"/>
                <w:szCs w:val="20"/>
              </w:rPr>
            </w:pPr>
            <w:r>
              <w:rPr>
                <w:color w:val="000000"/>
                <w:sz w:val="20"/>
                <w:szCs w:val="20"/>
              </w:rPr>
              <w:t xml:space="preserve">+686 </w:t>
            </w:r>
          </w:p>
        </w:tc>
        <w:tc>
          <w:tcPr>
            <w:tcW w:w="993" w:type="dxa"/>
            <w:tcBorders>
              <w:bottom w:val="single" w:sz="12" w:space="0" w:color="2E74B5" w:themeColor="accent1" w:themeShade="BF"/>
            </w:tcBorders>
            <w:shd w:val="clear" w:color="auto" w:fill="auto"/>
            <w:vAlign w:val="center"/>
          </w:tcPr>
          <w:p w14:paraId="2486A993" w14:textId="77777777" w:rsidR="000D42F1" w:rsidRPr="00813E91" w:rsidRDefault="000D42F1">
            <w:pPr>
              <w:spacing w:after="0" w:line="240" w:lineRule="auto"/>
              <w:jc w:val="right"/>
              <w:rPr>
                <w:color w:val="000000"/>
                <w:sz w:val="20"/>
                <w:szCs w:val="20"/>
              </w:rPr>
            </w:pPr>
            <w:r>
              <w:rPr>
                <w:color w:val="000000"/>
                <w:sz w:val="20"/>
                <w:szCs w:val="20"/>
              </w:rPr>
              <w:t xml:space="preserve">+1,036 </w:t>
            </w:r>
          </w:p>
        </w:tc>
        <w:tc>
          <w:tcPr>
            <w:tcW w:w="992" w:type="dxa"/>
            <w:tcBorders>
              <w:bottom w:val="single" w:sz="12" w:space="0" w:color="2E74B5" w:themeColor="accent1" w:themeShade="BF"/>
            </w:tcBorders>
            <w:shd w:val="clear" w:color="auto" w:fill="auto"/>
            <w:vAlign w:val="center"/>
          </w:tcPr>
          <w:p w14:paraId="5D242A37" w14:textId="77777777" w:rsidR="000D42F1" w:rsidRPr="00813E91" w:rsidRDefault="000D42F1">
            <w:pPr>
              <w:spacing w:after="0" w:line="240" w:lineRule="auto"/>
              <w:jc w:val="right"/>
              <w:rPr>
                <w:color w:val="000000"/>
                <w:sz w:val="20"/>
                <w:szCs w:val="20"/>
              </w:rPr>
            </w:pPr>
            <w:r>
              <w:rPr>
                <w:color w:val="000000"/>
                <w:sz w:val="20"/>
                <w:szCs w:val="20"/>
              </w:rPr>
              <w:t xml:space="preserve">+942 </w:t>
            </w:r>
          </w:p>
        </w:tc>
        <w:tc>
          <w:tcPr>
            <w:tcW w:w="992" w:type="dxa"/>
            <w:tcBorders>
              <w:bottom w:val="single" w:sz="12" w:space="0" w:color="2E74B5" w:themeColor="accent1" w:themeShade="BF"/>
            </w:tcBorders>
            <w:shd w:val="clear" w:color="auto" w:fill="auto"/>
            <w:vAlign w:val="center"/>
          </w:tcPr>
          <w:p w14:paraId="4F747A90" w14:textId="77777777" w:rsidR="000D42F1" w:rsidRPr="00813E91" w:rsidRDefault="000D42F1">
            <w:pPr>
              <w:spacing w:after="0" w:line="240" w:lineRule="auto"/>
              <w:jc w:val="right"/>
              <w:rPr>
                <w:color w:val="000000"/>
                <w:sz w:val="20"/>
                <w:szCs w:val="20"/>
              </w:rPr>
            </w:pPr>
            <w:r>
              <w:rPr>
                <w:color w:val="000000"/>
                <w:sz w:val="20"/>
                <w:szCs w:val="20"/>
              </w:rPr>
              <w:t xml:space="preserve">+2,630 </w:t>
            </w:r>
          </w:p>
        </w:tc>
      </w:tr>
      <w:tr w:rsidR="000D42F1" w:rsidRPr="00813E91" w14:paraId="57378E84" w14:textId="77777777" w:rsidTr="00FA1DC5">
        <w:trPr>
          <w:trHeight w:val="283"/>
        </w:trPr>
        <w:tc>
          <w:tcPr>
            <w:tcW w:w="4243" w:type="dxa"/>
            <w:tcBorders>
              <w:bottom w:val="single" w:sz="12" w:space="0" w:color="2E74B5" w:themeColor="accent1" w:themeShade="BF"/>
            </w:tcBorders>
            <w:shd w:val="clear" w:color="auto" w:fill="auto"/>
            <w:vAlign w:val="center"/>
          </w:tcPr>
          <w:p w14:paraId="7A5FDEF9" w14:textId="77777777" w:rsidR="000D42F1" w:rsidRPr="00B23608" w:rsidRDefault="000D42F1" w:rsidP="00DF75BE">
            <w:pPr>
              <w:pStyle w:val="ListParagraph"/>
              <w:spacing w:after="0" w:line="240" w:lineRule="auto"/>
              <w:ind w:left="462"/>
              <w:rPr>
                <w:color w:val="000000"/>
                <w:sz w:val="20"/>
                <w:szCs w:val="20"/>
              </w:rPr>
            </w:pPr>
            <w:r w:rsidRPr="00B23608">
              <w:rPr>
                <w:color w:val="000000"/>
                <w:sz w:val="20"/>
                <w:szCs w:val="20"/>
              </w:rPr>
              <w:t>Annual percent change</w:t>
            </w:r>
          </w:p>
        </w:tc>
        <w:tc>
          <w:tcPr>
            <w:tcW w:w="992" w:type="dxa"/>
            <w:tcBorders>
              <w:bottom w:val="single" w:sz="12" w:space="0" w:color="2E74B5" w:themeColor="accent1" w:themeShade="BF"/>
            </w:tcBorders>
            <w:shd w:val="clear" w:color="auto" w:fill="auto"/>
            <w:vAlign w:val="center"/>
          </w:tcPr>
          <w:p w14:paraId="4AF9F54F" w14:textId="77777777" w:rsidR="000D42F1" w:rsidRPr="00813E91" w:rsidRDefault="000D42F1">
            <w:pPr>
              <w:spacing w:after="0" w:line="240" w:lineRule="auto"/>
              <w:jc w:val="right"/>
              <w:rPr>
                <w:color w:val="000000"/>
                <w:sz w:val="20"/>
                <w:szCs w:val="20"/>
              </w:rPr>
            </w:pPr>
            <w:r>
              <w:rPr>
                <w:color w:val="000000"/>
                <w:sz w:val="20"/>
                <w:szCs w:val="20"/>
              </w:rPr>
              <w:t xml:space="preserve">-1.2% </w:t>
            </w:r>
          </w:p>
        </w:tc>
        <w:tc>
          <w:tcPr>
            <w:tcW w:w="992" w:type="dxa"/>
            <w:tcBorders>
              <w:bottom w:val="single" w:sz="12" w:space="0" w:color="2E74B5" w:themeColor="accent1" w:themeShade="BF"/>
            </w:tcBorders>
            <w:shd w:val="clear" w:color="auto" w:fill="auto"/>
            <w:vAlign w:val="center"/>
          </w:tcPr>
          <w:p w14:paraId="7244C577" w14:textId="77777777" w:rsidR="000D42F1" w:rsidRPr="00813E91" w:rsidRDefault="000D42F1">
            <w:pPr>
              <w:spacing w:after="0" w:line="240" w:lineRule="auto"/>
              <w:jc w:val="right"/>
              <w:rPr>
                <w:color w:val="000000"/>
                <w:sz w:val="20"/>
                <w:szCs w:val="20"/>
              </w:rPr>
            </w:pPr>
            <w:r>
              <w:rPr>
                <w:color w:val="000000"/>
                <w:sz w:val="20"/>
                <w:szCs w:val="20"/>
              </w:rPr>
              <w:t xml:space="preserve">+1.1% </w:t>
            </w:r>
          </w:p>
        </w:tc>
        <w:tc>
          <w:tcPr>
            <w:tcW w:w="993" w:type="dxa"/>
            <w:tcBorders>
              <w:bottom w:val="single" w:sz="12" w:space="0" w:color="2E74B5" w:themeColor="accent1" w:themeShade="BF"/>
            </w:tcBorders>
            <w:shd w:val="clear" w:color="auto" w:fill="auto"/>
            <w:vAlign w:val="center"/>
          </w:tcPr>
          <w:p w14:paraId="53586A67" w14:textId="77777777" w:rsidR="000D42F1" w:rsidRPr="00813E91" w:rsidRDefault="000D42F1">
            <w:pPr>
              <w:spacing w:after="0" w:line="240" w:lineRule="auto"/>
              <w:jc w:val="right"/>
              <w:rPr>
                <w:color w:val="000000"/>
                <w:sz w:val="20"/>
                <w:szCs w:val="20"/>
              </w:rPr>
            </w:pPr>
            <w:r>
              <w:rPr>
                <w:color w:val="000000"/>
                <w:sz w:val="20"/>
                <w:szCs w:val="20"/>
              </w:rPr>
              <w:t xml:space="preserve">+1.7% </w:t>
            </w:r>
          </w:p>
        </w:tc>
        <w:tc>
          <w:tcPr>
            <w:tcW w:w="992" w:type="dxa"/>
            <w:tcBorders>
              <w:bottom w:val="single" w:sz="12" w:space="0" w:color="2E74B5" w:themeColor="accent1" w:themeShade="BF"/>
            </w:tcBorders>
            <w:shd w:val="clear" w:color="auto" w:fill="auto"/>
            <w:vAlign w:val="center"/>
          </w:tcPr>
          <w:p w14:paraId="01F6DB25" w14:textId="77777777" w:rsidR="000D42F1" w:rsidRPr="00813E91" w:rsidRDefault="000D42F1">
            <w:pPr>
              <w:spacing w:after="0" w:line="240" w:lineRule="auto"/>
              <w:jc w:val="right"/>
              <w:rPr>
                <w:color w:val="000000"/>
                <w:sz w:val="20"/>
                <w:szCs w:val="20"/>
              </w:rPr>
            </w:pPr>
            <w:r>
              <w:rPr>
                <w:color w:val="000000"/>
                <w:sz w:val="20"/>
                <w:szCs w:val="20"/>
              </w:rPr>
              <w:t xml:space="preserve">+1.5% </w:t>
            </w:r>
          </w:p>
        </w:tc>
        <w:tc>
          <w:tcPr>
            <w:tcW w:w="992" w:type="dxa"/>
            <w:tcBorders>
              <w:bottom w:val="single" w:sz="12" w:space="0" w:color="2E74B5" w:themeColor="accent1" w:themeShade="BF"/>
            </w:tcBorders>
            <w:shd w:val="clear" w:color="auto" w:fill="auto"/>
            <w:vAlign w:val="center"/>
          </w:tcPr>
          <w:p w14:paraId="7641D93A" w14:textId="77777777" w:rsidR="000D42F1" w:rsidRPr="00813E91" w:rsidRDefault="000D42F1">
            <w:pPr>
              <w:spacing w:after="0" w:line="240" w:lineRule="auto"/>
              <w:jc w:val="right"/>
              <w:rPr>
                <w:color w:val="000000"/>
                <w:sz w:val="20"/>
                <w:szCs w:val="20"/>
              </w:rPr>
            </w:pPr>
            <w:r>
              <w:rPr>
                <w:color w:val="000000"/>
                <w:sz w:val="20"/>
                <w:szCs w:val="20"/>
              </w:rPr>
              <w:t xml:space="preserve">+4.1% </w:t>
            </w:r>
          </w:p>
        </w:tc>
      </w:tr>
    </w:tbl>
    <w:p w14:paraId="096345E2" w14:textId="77777777" w:rsidR="000D42F1" w:rsidRPr="00777C60" w:rsidRDefault="000D42F1" w:rsidP="000D42F1">
      <w:pPr>
        <w:pStyle w:val="Tables"/>
        <w:spacing w:before="120" w:after="120"/>
        <w:jc w:val="left"/>
        <w:rPr>
          <w:sz w:val="18"/>
          <w:szCs w:val="18"/>
        </w:rPr>
      </w:pPr>
      <w:r w:rsidRPr="00813E91">
        <w:rPr>
          <w:sz w:val="18"/>
          <w:szCs w:val="18"/>
        </w:rPr>
        <w:t>Note: Some items may not add up to totals provided due to rounding.</w:t>
      </w:r>
    </w:p>
    <w:p w14:paraId="2FF6689D" w14:textId="77777777" w:rsidR="006F48FD" w:rsidRDefault="000D42F1" w:rsidP="000D42F1">
      <w:pPr>
        <w:spacing w:line="240" w:lineRule="auto"/>
      </w:pPr>
      <w:r w:rsidRPr="00813E91">
        <w:t>Individual</w:t>
      </w:r>
      <w:r>
        <w:t xml:space="preserve">s </w:t>
      </w:r>
      <w:r w:rsidRPr="00813E91">
        <w:t>may be employed on a full</w:t>
      </w:r>
      <w:r>
        <w:t xml:space="preserve"> </w:t>
      </w:r>
      <w:r w:rsidRPr="00813E91">
        <w:t>time, part</w:t>
      </w:r>
      <w:r>
        <w:t xml:space="preserve"> </w:t>
      </w:r>
      <w:r w:rsidRPr="00813E91">
        <w:t>time, casual, sessional or other basis.</w:t>
      </w:r>
      <w:r>
        <w:t xml:space="preserve"> </w:t>
      </w:r>
    </w:p>
    <w:p w14:paraId="407CA01B" w14:textId="5D30B0AB" w:rsidR="000D42F1" w:rsidRPr="00813E91" w:rsidRDefault="000D42F1" w:rsidP="000D42F1">
      <w:pPr>
        <w:spacing w:line="240" w:lineRule="auto"/>
      </w:pPr>
      <w:r>
        <w:t xml:space="preserve">In </w:t>
      </w:r>
      <w:r w:rsidRPr="00813E91">
        <w:t>202</w:t>
      </w:r>
      <w:r>
        <w:t>2</w:t>
      </w:r>
      <w:r w:rsidRPr="00813E91">
        <w:t>-2</w:t>
      </w:r>
      <w:r>
        <w:t>3 the public sector comprised 162,813</w:t>
      </w:r>
      <w:r w:rsidRPr="00813E91">
        <w:t xml:space="preserve"> </w:t>
      </w:r>
      <w:r>
        <w:t>employees</w:t>
      </w:r>
      <w:r w:rsidRPr="00813E91">
        <w:t xml:space="preserve"> </w:t>
      </w:r>
      <w:r>
        <w:t>equating to</w:t>
      </w:r>
      <w:r w:rsidRPr="00813E91">
        <w:t xml:space="preserve"> </w:t>
      </w:r>
      <w:r>
        <w:t>127,521</w:t>
      </w:r>
      <w:r w:rsidRPr="00813E91">
        <w:t xml:space="preserve"> full</w:t>
      </w:r>
      <w:r>
        <w:t xml:space="preserve"> </w:t>
      </w:r>
      <w:r w:rsidRPr="00813E91">
        <w:t>time</w:t>
      </w:r>
      <w:r w:rsidRPr="00F4205D">
        <w:t xml:space="preserve"> </w:t>
      </w:r>
      <w:r w:rsidRPr="00813E91">
        <w:t>equivalent (FTE)</w:t>
      </w:r>
      <w:r>
        <w:t xml:space="preserve"> employees</w:t>
      </w:r>
      <w:r w:rsidRPr="00813E91">
        <w:t xml:space="preserve"> (</w:t>
      </w:r>
      <w:r>
        <w:fldChar w:fldCharType="begin"/>
      </w:r>
      <w:r>
        <w:instrText xml:space="preserve"> REF _Ref148710983 \h </w:instrText>
      </w:r>
      <w:r w:rsidR="00B94A95">
        <w:instrText xml:space="preserve"> \* MERGEFORMAT </w:instrText>
      </w:r>
      <w:r>
        <w:fldChar w:fldCharType="separate"/>
      </w:r>
      <w:r w:rsidR="0048418F" w:rsidRPr="0048418F">
        <w:t>Figure 3</w:t>
      </w:r>
      <w:r>
        <w:fldChar w:fldCharType="end"/>
      </w:r>
      <w:r w:rsidRPr="00813E91">
        <w:t xml:space="preserve">). The </w:t>
      </w:r>
      <w:r>
        <w:t>67,118</w:t>
      </w:r>
      <w:r w:rsidRPr="00813E91">
        <w:t xml:space="preserve"> </w:t>
      </w:r>
      <w:r>
        <w:t xml:space="preserve">employees in </w:t>
      </w:r>
      <w:r w:rsidRPr="00813E91">
        <w:t>other government entities</w:t>
      </w:r>
      <w:r w:rsidRPr="00813E91" w:rsidDel="00767B50">
        <w:t xml:space="preserve"> </w:t>
      </w:r>
      <w:r>
        <w:t>equated to</w:t>
      </w:r>
      <w:r w:rsidRPr="00813E91">
        <w:t xml:space="preserve"> </w:t>
      </w:r>
      <w:r>
        <w:t>47,939</w:t>
      </w:r>
      <w:r w:rsidRPr="00813E91">
        <w:t xml:space="preserve"> FTE</w:t>
      </w:r>
      <w:r>
        <w:rPr>
          <w:rStyle w:val="FootnoteReference"/>
        </w:rPr>
        <w:footnoteReference w:id="2"/>
      </w:r>
      <w:r>
        <w:t>.</w:t>
      </w:r>
    </w:p>
    <w:p w14:paraId="0816FDB5" w14:textId="140651FC" w:rsidR="000D42F1" w:rsidRDefault="000D42F1" w:rsidP="000D42F1">
      <w:pPr>
        <w:spacing w:line="240" w:lineRule="auto"/>
      </w:pPr>
      <w:r w:rsidRPr="00813E91">
        <w:t>In line with th</w:t>
      </w:r>
      <w:r>
        <w:t>is</w:t>
      </w:r>
      <w:r w:rsidRPr="00813E91">
        <w:t xml:space="preserve"> increase, public sector FTE increased by 1</w:t>
      </w:r>
      <w:r>
        <w:t>6</w:t>
      </w:r>
      <w:r w:rsidRPr="00813E91">
        <w:t>,</w:t>
      </w:r>
      <w:r>
        <w:t>549</w:t>
      </w:r>
      <w:r w:rsidRPr="00813E91">
        <w:t> (+</w:t>
      </w:r>
      <w:r>
        <w:t>14</w:t>
      </w:r>
      <w:r w:rsidRPr="00813E91">
        <w:t>.</w:t>
      </w:r>
      <w:r>
        <w:t>9</w:t>
      </w:r>
      <w:r w:rsidRPr="00813E91">
        <w:t>%) between 201</w:t>
      </w:r>
      <w:r>
        <w:t>8</w:t>
      </w:r>
      <w:r w:rsidRPr="00813E91">
        <w:t>-1</w:t>
      </w:r>
      <w:r>
        <w:t>9</w:t>
      </w:r>
      <w:r w:rsidRPr="00813E91">
        <w:t xml:space="preserve"> and 202</w:t>
      </w:r>
      <w:r>
        <w:t>2</w:t>
      </w:r>
      <w:r w:rsidRPr="00813E91">
        <w:t>-2</w:t>
      </w:r>
      <w:r>
        <w:t>3</w:t>
      </w:r>
      <w:r w:rsidRPr="00813E91">
        <w:t xml:space="preserve"> while FTE of other government entities increased by </w:t>
      </w:r>
      <w:r>
        <w:t>4,919</w:t>
      </w:r>
      <w:r w:rsidRPr="00813E91">
        <w:t xml:space="preserve"> (+</w:t>
      </w:r>
      <w:r>
        <w:t>11</w:t>
      </w:r>
      <w:r w:rsidRPr="00813E91">
        <w:t>.</w:t>
      </w:r>
      <w:r>
        <w:t>4</w:t>
      </w:r>
      <w:r w:rsidRPr="00813E91">
        <w:t>%) between March 201</w:t>
      </w:r>
      <w:r>
        <w:t>9</w:t>
      </w:r>
      <w:r w:rsidRPr="00813E91">
        <w:t xml:space="preserve"> and March 202</w:t>
      </w:r>
      <w:r>
        <w:t>3</w:t>
      </w:r>
      <w:r w:rsidRPr="00813E91">
        <w:t xml:space="preserve"> (</w:t>
      </w:r>
      <w:r w:rsidR="007F2168">
        <w:fldChar w:fldCharType="begin"/>
      </w:r>
      <w:r w:rsidR="007F2168">
        <w:instrText xml:space="preserve"> REF _Ref148971988 \h  \* MERGEFORMAT </w:instrText>
      </w:r>
      <w:r w:rsidR="007F2168">
        <w:fldChar w:fldCharType="separate"/>
      </w:r>
      <w:r w:rsidR="0048418F" w:rsidRPr="0048418F">
        <w:t>Table 2</w:t>
      </w:r>
      <w:r w:rsidR="007F2168">
        <w:fldChar w:fldCharType="end"/>
      </w:r>
      <w:r w:rsidRPr="00813E91">
        <w:t>).</w:t>
      </w:r>
      <w:bookmarkStart w:id="14" w:name="_Hlk150260228"/>
    </w:p>
    <w:p w14:paraId="750FD0AF" w14:textId="744030BB" w:rsidR="000D42F1" w:rsidRDefault="000D42F1" w:rsidP="000D42F1">
      <w:pPr>
        <w:pStyle w:val="Caption"/>
      </w:pPr>
      <w:bookmarkStart w:id="15" w:name="_Ref148710983"/>
      <w:bookmarkStart w:id="16" w:name="_Ref84252873"/>
      <w:r w:rsidRPr="00B94A95">
        <w:rPr>
          <w:b/>
          <w:bCs/>
        </w:rPr>
        <w:t xml:space="preserve">Figure </w:t>
      </w:r>
      <w:r w:rsidRPr="00B94A95">
        <w:rPr>
          <w:b/>
          <w:bCs/>
        </w:rPr>
        <w:fldChar w:fldCharType="begin"/>
      </w:r>
      <w:r w:rsidRPr="00B94A95">
        <w:rPr>
          <w:b/>
          <w:bCs/>
        </w:rPr>
        <w:instrText xml:space="preserve"> SEQ Figure \* ARABIC </w:instrText>
      </w:r>
      <w:r w:rsidRPr="00B94A95">
        <w:rPr>
          <w:b/>
          <w:bCs/>
        </w:rPr>
        <w:fldChar w:fldCharType="separate"/>
      </w:r>
      <w:r w:rsidR="0048418F">
        <w:rPr>
          <w:b/>
          <w:bCs/>
          <w:noProof/>
        </w:rPr>
        <w:t>3</w:t>
      </w:r>
      <w:r w:rsidRPr="00B94A95">
        <w:rPr>
          <w:b/>
          <w:bCs/>
        </w:rPr>
        <w:fldChar w:fldCharType="end"/>
      </w:r>
      <w:bookmarkEnd w:id="15"/>
      <w:bookmarkEnd w:id="16"/>
      <w:r w:rsidRPr="00B94A95">
        <w:rPr>
          <w:b/>
          <w:bCs/>
        </w:rPr>
        <w:t>:</w:t>
      </w:r>
      <w:r w:rsidRPr="00240621">
        <w:rPr>
          <w:b/>
          <w:bCs/>
        </w:rPr>
        <w:t xml:space="preserve"> WA government sector workforce (FTE) 201</w:t>
      </w:r>
      <w:r>
        <w:rPr>
          <w:b/>
          <w:bCs/>
        </w:rPr>
        <w:t>8</w:t>
      </w:r>
      <w:r w:rsidRPr="00240621">
        <w:rPr>
          <w:b/>
          <w:bCs/>
        </w:rPr>
        <w:t>-1</w:t>
      </w:r>
      <w:r>
        <w:rPr>
          <w:b/>
          <w:bCs/>
        </w:rPr>
        <w:t>9</w:t>
      </w:r>
      <w:r w:rsidRPr="00240621">
        <w:rPr>
          <w:b/>
          <w:bCs/>
        </w:rPr>
        <w:t xml:space="preserve"> to 202</w:t>
      </w:r>
      <w:r>
        <w:rPr>
          <w:b/>
          <w:bCs/>
        </w:rPr>
        <w:t>2</w:t>
      </w:r>
      <w:r w:rsidRPr="00240621">
        <w:rPr>
          <w:b/>
          <w:bCs/>
        </w:rPr>
        <w:t>-2</w:t>
      </w:r>
      <w:r>
        <w:rPr>
          <w:b/>
          <w:bCs/>
        </w:rPr>
        <w:t>3</w:t>
      </w:r>
      <w:r>
        <w:rPr>
          <w:noProof/>
        </w:rPr>
        <w:drawing>
          <wp:inline distT="0" distB="0" distL="0" distR="0" wp14:anchorId="1CF8DFC2" wp14:editId="72A97E6E">
            <wp:extent cx="5836920" cy="3801745"/>
            <wp:effectExtent l="0" t="0" r="0" b="0"/>
            <wp:docPr id="6" name="Chart 6" descr="A line graph showing WA government sector workforce (in full time equivalent or FTE) 2018-19 and 2022-23. In the public sector and other government entities both show an increase in the headcount of employees each year as described in the preceding text.">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C5B1CC" w14:textId="77777777" w:rsidR="000D42F1" w:rsidRDefault="000D42F1" w:rsidP="000D42F1">
      <w:pPr>
        <w:spacing w:line="240" w:lineRule="auto"/>
        <w:rPr>
          <w:b/>
          <w:bCs/>
          <w:color w:val="2E74B5" w:themeColor="accent1" w:themeShade="BF"/>
          <w:sz w:val="20"/>
          <w:szCs w:val="20"/>
        </w:rPr>
      </w:pPr>
      <w:bookmarkStart w:id="17" w:name="_Ref84252900"/>
    </w:p>
    <w:p w14:paraId="16116C25" w14:textId="77777777" w:rsidR="000C16A4" w:rsidRDefault="000C16A4" w:rsidP="000D42F1">
      <w:pPr>
        <w:spacing w:line="240" w:lineRule="auto"/>
        <w:rPr>
          <w:b/>
          <w:bCs/>
          <w:color w:val="2E74B5" w:themeColor="accent1" w:themeShade="BF"/>
          <w:sz w:val="20"/>
          <w:szCs w:val="20"/>
        </w:rPr>
      </w:pPr>
    </w:p>
    <w:p w14:paraId="69C4C2AC" w14:textId="77777777" w:rsidR="000C16A4" w:rsidRDefault="000C16A4" w:rsidP="000D42F1">
      <w:pPr>
        <w:spacing w:line="240" w:lineRule="auto"/>
        <w:rPr>
          <w:b/>
          <w:bCs/>
          <w:color w:val="2E74B5" w:themeColor="accent1" w:themeShade="BF"/>
          <w:sz w:val="20"/>
          <w:szCs w:val="20"/>
        </w:rPr>
      </w:pPr>
    </w:p>
    <w:p w14:paraId="7E10E914" w14:textId="77777777" w:rsidR="000C16A4" w:rsidRDefault="000C16A4" w:rsidP="000D42F1">
      <w:pPr>
        <w:spacing w:line="240" w:lineRule="auto"/>
        <w:rPr>
          <w:b/>
          <w:bCs/>
          <w:color w:val="2E74B5" w:themeColor="accent1" w:themeShade="BF"/>
          <w:sz w:val="20"/>
          <w:szCs w:val="20"/>
        </w:rPr>
      </w:pPr>
    </w:p>
    <w:p w14:paraId="42499527" w14:textId="77777777" w:rsidR="000C16A4" w:rsidRDefault="000C16A4" w:rsidP="000D42F1">
      <w:pPr>
        <w:spacing w:line="240" w:lineRule="auto"/>
        <w:rPr>
          <w:b/>
          <w:bCs/>
          <w:color w:val="2E74B5" w:themeColor="accent1" w:themeShade="BF"/>
          <w:sz w:val="20"/>
          <w:szCs w:val="20"/>
        </w:rPr>
      </w:pPr>
    </w:p>
    <w:p w14:paraId="0D42D26D" w14:textId="6EFB18E1" w:rsidR="000D42F1" w:rsidRPr="00240621" w:rsidRDefault="000D42F1" w:rsidP="000D42F1">
      <w:pPr>
        <w:spacing w:line="240" w:lineRule="auto"/>
        <w:rPr>
          <w:b/>
          <w:bCs/>
          <w:color w:val="2E74B5" w:themeColor="accent1" w:themeShade="BF"/>
          <w:sz w:val="20"/>
          <w:szCs w:val="20"/>
        </w:rPr>
      </w:pPr>
      <w:bookmarkStart w:id="18" w:name="_Ref148971988"/>
      <w:r w:rsidRPr="007541E1">
        <w:rPr>
          <w:b/>
          <w:bCs/>
          <w:iCs/>
          <w:color w:val="2E74B5" w:themeColor="accent1" w:themeShade="BF"/>
          <w:sz w:val="20"/>
          <w:szCs w:val="20"/>
        </w:rPr>
        <w:t xml:space="preserve">Table </w:t>
      </w:r>
      <w:r w:rsidRPr="007541E1">
        <w:rPr>
          <w:b/>
          <w:bCs/>
          <w:color w:val="2E74B5" w:themeColor="accent1" w:themeShade="BF"/>
          <w:sz w:val="20"/>
          <w:szCs w:val="20"/>
        </w:rPr>
        <w:fldChar w:fldCharType="begin"/>
      </w:r>
      <w:r w:rsidRPr="007541E1">
        <w:rPr>
          <w:b/>
          <w:bCs/>
          <w:iCs/>
          <w:color w:val="2E74B5" w:themeColor="accent1" w:themeShade="BF"/>
          <w:sz w:val="20"/>
          <w:szCs w:val="20"/>
        </w:rPr>
        <w:instrText xml:space="preserve"> SEQ Table \* ARABIC </w:instrText>
      </w:r>
      <w:r w:rsidRPr="007541E1">
        <w:rPr>
          <w:b/>
          <w:bCs/>
          <w:color w:val="2E74B5" w:themeColor="accent1" w:themeShade="BF"/>
          <w:sz w:val="20"/>
          <w:szCs w:val="20"/>
        </w:rPr>
        <w:fldChar w:fldCharType="separate"/>
      </w:r>
      <w:r w:rsidR="0048418F">
        <w:rPr>
          <w:b/>
          <w:bCs/>
          <w:iCs/>
          <w:noProof/>
          <w:color w:val="2E74B5" w:themeColor="accent1" w:themeShade="BF"/>
          <w:sz w:val="20"/>
          <w:szCs w:val="20"/>
        </w:rPr>
        <w:t>2</w:t>
      </w:r>
      <w:r w:rsidRPr="007541E1">
        <w:rPr>
          <w:b/>
          <w:bCs/>
          <w:color w:val="2E74B5" w:themeColor="accent1" w:themeShade="BF"/>
          <w:sz w:val="20"/>
          <w:szCs w:val="20"/>
        </w:rPr>
        <w:fldChar w:fldCharType="end"/>
      </w:r>
      <w:bookmarkEnd w:id="18"/>
      <w:r w:rsidRPr="007541E1">
        <w:rPr>
          <w:b/>
          <w:bCs/>
          <w:iCs/>
          <w:color w:val="2E74B5" w:themeColor="accent1" w:themeShade="BF"/>
          <w:sz w:val="20"/>
          <w:szCs w:val="20"/>
        </w:rPr>
        <w:t xml:space="preserve"> </w:t>
      </w:r>
      <w:r w:rsidRPr="00240621">
        <w:rPr>
          <w:b/>
          <w:bCs/>
          <w:color w:val="2E74B5" w:themeColor="accent1" w:themeShade="BF"/>
          <w:sz w:val="20"/>
          <w:szCs w:val="20"/>
        </w:rPr>
        <w:t>: WA government sector workforce (FTE and annual change) 20</w:t>
      </w:r>
      <w:r>
        <w:rPr>
          <w:b/>
          <w:bCs/>
          <w:color w:val="2E74B5" w:themeColor="accent1" w:themeShade="BF"/>
          <w:sz w:val="20"/>
          <w:szCs w:val="20"/>
        </w:rPr>
        <w:t>18</w:t>
      </w:r>
      <w:r w:rsidRPr="00240621">
        <w:rPr>
          <w:b/>
          <w:bCs/>
          <w:color w:val="2E74B5" w:themeColor="accent1" w:themeShade="BF"/>
          <w:sz w:val="20"/>
          <w:szCs w:val="20"/>
        </w:rPr>
        <w:t>-</w:t>
      </w:r>
      <w:r>
        <w:rPr>
          <w:b/>
          <w:bCs/>
          <w:color w:val="2E74B5" w:themeColor="accent1" w:themeShade="BF"/>
          <w:sz w:val="20"/>
          <w:szCs w:val="20"/>
        </w:rPr>
        <w:t>19</w:t>
      </w:r>
      <w:r w:rsidRPr="00240621">
        <w:rPr>
          <w:b/>
          <w:bCs/>
          <w:color w:val="2E74B5" w:themeColor="accent1" w:themeShade="BF"/>
          <w:sz w:val="20"/>
          <w:szCs w:val="20"/>
        </w:rPr>
        <w:t xml:space="preserve"> to 202</w:t>
      </w:r>
      <w:r>
        <w:rPr>
          <w:b/>
          <w:bCs/>
          <w:color w:val="2E74B5" w:themeColor="accent1" w:themeShade="BF"/>
          <w:sz w:val="20"/>
          <w:szCs w:val="20"/>
        </w:rPr>
        <w:t>2</w:t>
      </w:r>
      <w:r w:rsidRPr="00240621">
        <w:rPr>
          <w:b/>
          <w:bCs/>
          <w:color w:val="2E74B5" w:themeColor="accent1" w:themeShade="BF"/>
          <w:sz w:val="20"/>
          <w:szCs w:val="20"/>
        </w:rPr>
        <w:t>-2</w:t>
      </w:r>
      <w:r>
        <w:rPr>
          <w:b/>
          <w:bCs/>
          <w:color w:val="2E74B5" w:themeColor="accent1" w:themeShade="BF"/>
          <w:sz w:val="20"/>
          <w:szCs w:val="20"/>
        </w:rPr>
        <w:t>3</w:t>
      </w:r>
      <w:bookmarkEnd w:id="17"/>
    </w:p>
    <w:tbl>
      <w:tblPr>
        <w:tblW w:w="9071"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Caption w:val="Table 2 : WA government sector workforce (FTE and annual change) 2018-19 to 2022-23"/>
      </w:tblPr>
      <w:tblGrid>
        <w:gridCol w:w="3686"/>
        <w:gridCol w:w="1077"/>
        <w:gridCol w:w="1077"/>
        <w:gridCol w:w="1077"/>
        <w:gridCol w:w="1077"/>
        <w:gridCol w:w="1077"/>
      </w:tblGrid>
      <w:tr w:rsidR="000D42F1" w:rsidRPr="00813E91" w14:paraId="17E5A039" w14:textId="77777777" w:rsidTr="00FA1DC5">
        <w:trPr>
          <w:trHeight w:val="327"/>
        </w:trPr>
        <w:tc>
          <w:tcPr>
            <w:tcW w:w="3686" w:type="dxa"/>
            <w:tcBorders>
              <w:top w:val="nil"/>
              <w:left w:val="nil"/>
            </w:tcBorders>
            <w:shd w:val="clear" w:color="auto" w:fill="auto"/>
            <w:noWrap/>
            <w:hideMark/>
          </w:tcPr>
          <w:p w14:paraId="578F680D" w14:textId="77777777" w:rsidR="000D42F1" w:rsidRPr="00BD1818" w:rsidRDefault="000D42F1">
            <w:pPr>
              <w:pStyle w:val="Tables"/>
              <w:jc w:val="left"/>
              <w:rPr>
                <w:b/>
                <w:color w:val="2E74B5" w:themeColor="accent1" w:themeShade="BF"/>
              </w:rPr>
            </w:pPr>
          </w:p>
        </w:tc>
        <w:tc>
          <w:tcPr>
            <w:tcW w:w="1077" w:type="dxa"/>
            <w:shd w:val="clear" w:color="auto" w:fill="auto"/>
            <w:vAlign w:val="center"/>
          </w:tcPr>
          <w:p w14:paraId="3397AD5D" w14:textId="77777777" w:rsidR="000D42F1" w:rsidRPr="00813E91" w:rsidRDefault="000D42F1">
            <w:pPr>
              <w:pStyle w:val="Tables"/>
              <w:rPr>
                <w:b/>
                <w:bCs/>
                <w:color w:val="2E74B5" w:themeColor="accent1" w:themeShade="BF"/>
              </w:rPr>
            </w:pPr>
            <w:r>
              <w:rPr>
                <w:b/>
                <w:bCs/>
                <w:color w:val="2E74B5"/>
              </w:rPr>
              <w:t>2018-19</w:t>
            </w:r>
          </w:p>
        </w:tc>
        <w:tc>
          <w:tcPr>
            <w:tcW w:w="1077" w:type="dxa"/>
            <w:shd w:val="clear" w:color="auto" w:fill="auto"/>
            <w:vAlign w:val="center"/>
          </w:tcPr>
          <w:p w14:paraId="5CE29F2D" w14:textId="77777777" w:rsidR="000D42F1" w:rsidRPr="00813E91" w:rsidRDefault="000D42F1">
            <w:pPr>
              <w:pStyle w:val="Tables"/>
              <w:rPr>
                <w:b/>
                <w:bCs/>
                <w:color w:val="2E74B5" w:themeColor="accent1" w:themeShade="BF"/>
              </w:rPr>
            </w:pPr>
            <w:r>
              <w:rPr>
                <w:b/>
                <w:bCs/>
                <w:color w:val="2E74B5"/>
              </w:rPr>
              <w:t>2019-20</w:t>
            </w:r>
          </w:p>
        </w:tc>
        <w:tc>
          <w:tcPr>
            <w:tcW w:w="1077" w:type="dxa"/>
            <w:shd w:val="clear" w:color="auto" w:fill="auto"/>
            <w:vAlign w:val="center"/>
          </w:tcPr>
          <w:p w14:paraId="7D016BBE" w14:textId="77777777" w:rsidR="000D42F1" w:rsidRPr="00813E91" w:rsidRDefault="000D42F1">
            <w:pPr>
              <w:pStyle w:val="Tables"/>
              <w:rPr>
                <w:b/>
                <w:bCs/>
                <w:color w:val="2E74B5" w:themeColor="accent1" w:themeShade="BF"/>
              </w:rPr>
            </w:pPr>
            <w:r>
              <w:rPr>
                <w:b/>
                <w:bCs/>
                <w:color w:val="2E74B5"/>
              </w:rPr>
              <w:t>2020-21</w:t>
            </w:r>
          </w:p>
        </w:tc>
        <w:tc>
          <w:tcPr>
            <w:tcW w:w="1077" w:type="dxa"/>
            <w:shd w:val="clear" w:color="auto" w:fill="auto"/>
            <w:vAlign w:val="center"/>
          </w:tcPr>
          <w:p w14:paraId="3A8F5587" w14:textId="77777777" w:rsidR="000D42F1" w:rsidRPr="00813E91" w:rsidRDefault="000D42F1">
            <w:pPr>
              <w:pStyle w:val="Tables"/>
              <w:rPr>
                <w:b/>
                <w:bCs/>
                <w:color w:val="2E74B5" w:themeColor="accent1" w:themeShade="BF"/>
              </w:rPr>
            </w:pPr>
            <w:r>
              <w:rPr>
                <w:b/>
                <w:bCs/>
                <w:color w:val="2E74B5"/>
              </w:rPr>
              <w:t>2021-22</w:t>
            </w:r>
          </w:p>
        </w:tc>
        <w:tc>
          <w:tcPr>
            <w:tcW w:w="1077" w:type="dxa"/>
            <w:shd w:val="clear" w:color="auto" w:fill="auto"/>
            <w:noWrap/>
            <w:vAlign w:val="center"/>
          </w:tcPr>
          <w:p w14:paraId="27D0FF7A" w14:textId="77777777" w:rsidR="000D42F1" w:rsidRPr="00813E91" w:rsidRDefault="000D42F1">
            <w:pPr>
              <w:pStyle w:val="Tables"/>
              <w:rPr>
                <w:b/>
                <w:bCs/>
                <w:color w:val="2E74B5" w:themeColor="accent1" w:themeShade="BF"/>
              </w:rPr>
            </w:pPr>
            <w:r>
              <w:rPr>
                <w:b/>
                <w:bCs/>
                <w:color w:val="2E74B5"/>
              </w:rPr>
              <w:t>2022-23</w:t>
            </w:r>
          </w:p>
        </w:tc>
      </w:tr>
      <w:tr w:rsidR="000D42F1" w:rsidRPr="00813E91" w14:paraId="4FF0FDAE" w14:textId="77777777" w:rsidTr="00FA1DC5">
        <w:trPr>
          <w:trHeight w:val="271"/>
        </w:trPr>
        <w:tc>
          <w:tcPr>
            <w:tcW w:w="3686" w:type="dxa"/>
            <w:shd w:val="clear" w:color="auto" w:fill="auto"/>
            <w:hideMark/>
          </w:tcPr>
          <w:p w14:paraId="5F406753" w14:textId="77777777" w:rsidR="000D42F1" w:rsidRPr="00813E91" w:rsidRDefault="000D42F1">
            <w:pPr>
              <w:pStyle w:val="Tables"/>
              <w:spacing w:before="0"/>
              <w:jc w:val="left"/>
            </w:pPr>
            <w:r w:rsidRPr="00813E91">
              <w:t>Public sector FTE, annual average</w:t>
            </w:r>
          </w:p>
        </w:tc>
        <w:tc>
          <w:tcPr>
            <w:tcW w:w="1077" w:type="dxa"/>
            <w:shd w:val="clear" w:color="auto" w:fill="auto"/>
            <w:vAlign w:val="center"/>
          </w:tcPr>
          <w:p w14:paraId="44C8B2F8" w14:textId="77777777" w:rsidR="000D42F1" w:rsidRPr="00813E91" w:rsidRDefault="000D42F1">
            <w:pPr>
              <w:pStyle w:val="Tables"/>
              <w:spacing w:before="0"/>
            </w:pPr>
            <w:r>
              <w:t>110,972</w:t>
            </w:r>
          </w:p>
        </w:tc>
        <w:tc>
          <w:tcPr>
            <w:tcW w:w="1077" w:type="dxa"/>
            <w:shd w:val="clear" w:color="auto" w:fill="auto"/>
            <w:vAlign w:val="center"/>
          </w:tcPr>
          <w:p w14:paraId="6286A96F" w14:textId="77777777" w:rsidR="000D42F1" w:rsidRPr="00813E91" w:rsidRDefault="000D42F1">
            <w:pPr>
              <w:pStyle w:val="Tables"/>
              <w:spacing w:before="0"/>
            </w:pPr>
            <w:r>
              <w:t>114,734</w:t>
            </w:r>
          </w:p>
        </w:tc>
        <w:tc>
          <w:tcPr>
            <w:tcW w:w="1077" w:type="dxa"/>
            <w:shd w:val="clear" w:color="auto" w:fill="auto"/>
            <w:vAlign w:val="center"/>
          </w:tcPr>
          <w:p w14:paraId="631F0341" w14:textId="77777777" w:rsidR="000D42F1" w:rsidRPr="00813E91" w:rsidRDefault="000D42F1">
            <w:pPr>
              <w:pStyle w:val="Tables"/>
              <w:spacing w:before="0"/>
            </w:pPr>
            <w:r>
              <w:t>119,273</w:t>
            </w:r>
          </w:p>
        </w:tc>
        <w:tc>
          <w:tcPr>
            <w:tcW w:w="1077" w:type="dxa"/>
            <w:shd w:val="clear" w:color="auto" w:fill="auto"/>
            <w:vAlign w:val="center"/>
          </w:tcPr>
          <w:p w14:paraId="37CCBF16" w14:textId="77777777" w:rsidR="000D42F1" w:rsidRPr="00813E91" w:rsidRDefault="000D42F1">
            <w:pPr>
              <w:pStyle w:val="Tables"/>
              <w:spacing w:before="0"/>
            </w:pPr>
            <w:r>
              <w:t>124,160</w:t>
            </w:r>
          </w:p>
        </w:tc>
        <w:tc>
          <w:tcPr>
            <w:tcW w:w="1077" w:type="dxa"/>
            <w:shd w:val="clear" w:color="auto" w:fill="auto"/>
            <w:noWrap/>
            <w:vAlign w:val="center"/>
          </w:tcPr>
          <w:p w14:paraId="44CB8D1A" w14:textId="77777777" w:rsidR="000D42F1" w:rsidRPr="00813E91" w:rsidRDefault="000D42F1">
            <w:pPr>
              <w:pStyle w:val="Tables"/>
              <w:spacing w:before="0"/>
            </w:pPr>
            <w:r>
              <w:t>127,521</w:t>
            </w:r>
          </w:p>
        </w:tc>
      </w:tr>
      <w:tr w:rsidR="000D42F1" w:rsidRPr="00813E91" w14:paraId="3DDC8C60" w14:textId="77777777" w:rsidTr="00FA1DC5">
        <w:trPr>
          <w:trHeight w:val="311"/>
        </w:trPr>
        <w:tc>
          <w:tcPr>
            <w:tcW w:w="3686" w:type="dxa"/>
            <w:shd w:val="clear" w:color="auto" w:fill="auto"/>
            <w:hideMark/>
          </w:tcPr>
          <w:p w14:paraId="6B40D0E1" w14:textId="77777777" w:rsidR="000D42F1" w:rsidRPr="00813E91" w:rsidRDefault="000D42F1" w:rsidP="00EA0815">
            <w:pPr>
              <w:pStyle w:val="Tables"/>
              <w:spacing w:before="0"/>
              <w:ind w:left="462"/>
              <w:jc w:val="left"/>
            </w:pPr>
            <w:r w:rsidRPr="00813E91">
              <w:t>Annual change</w:t>
            </w:r>
          </w:p>
        </w:tc>
        <w:tc>
          <w:tcPr>
            <w:tcW w:w="1077" w:type="dxa"/>
            <w:shd w:val="clear" w:color="auto" w:fill="auto"/>
            <w:vAlign w:val="center"/>
          </w:tcPr>
          <w:p w14:paraId="309A2B52" w14:textId="3DC5D97D" w:rsidR="000D42F1" w:rsidRPr="00813E91" w:rsidRDefault="000D42F1">
            <w:pPr>
              <w:pStyle w:val="Tables"/>
              <w:spacing w:before="0"/>
            </w:pPr>
            <w:r>
              <w:t>+817</w:t>
            </w:r>
          </w:p>
        </w:tc>
        <w:tc>
          <w:tcPr>
            <w:tcW w:w="1077" w:type="dxa"/>
            <w:shd w:val="clear" w:color="auto" w:fill="auto"/>
            <w:vAlign w:val="center"/>
          </w:tcPr>
          <w:p w14:paraId="257CABB4" w14:textId="64B049DB" w:rsidR="000D42F1" w:rsidRPr="00813E91" w:rsidRDefault="000D42F1">
            <w:pPr>
              <w:pStyle w:val="Tables"/>
              <w:spacing w:before="0"/>
            </w:pPr>
            <w:r>
              <w:t>+3,762</w:t>
            </w:r>
          </w:p>
        </w:tc>
        <w:tc>
          <w:tcPr>
            <w:tcW w:w="1077" w:type="dxa"/>
            <w:shd w:val="clear" w:color="auto" w:fill="auto"/>
            <w:vAlign w:val="center"/>
          </w:tcPr>
          <w:p w14:paraId="3AD3D3BC" w14:textId="40CDD575" w:rsidR="000D42F1" w:rsidRPr="00813E91" w:rsidRDefault="000D42F1">
            <w:pPr>
              <w:pStyle w:val="Tables"/>
              <w:spacing w:before="0"/>
            </w:pPr>
            <w:r>
              <w:t>+4,539</w:t>
            </w:r>
          </w:p>
        </w:tc>
        <w:tc>
          <w:tcPr>
            <w:tcW w:w="1077" w:type="dxa"/>
            <w:shd w:val="clear" w:color="auto" w:fill="auto"/>
            <w:vAlign w:val="center"/>
          </w:tcPr>
          <w:p w14:paraId="6B6EA7BD" w14:textId="4D63DA89" w:rsidR="000D42F1" w:rsidRPr="00813E91" w:rsidRDefault="000D42F1">
            <w:pPr>
              <w:pStyle w:val="Tables"/>
              <w:spacing w:before="0"/>
            </w:pPr>
            <w:r>
              <w:t>+ 4,887</w:t>
            </w:r>
          </w:p>
        </w:tc>
        <w:tc>
          <w:tcPr>
            <w:tcW w:w="1077" w:type="dxa"/>
            <w:shd w:val="clear" w:color="auto" w:fill="auto"/>
            <w:noWrap/>
            <w:vAlign w:val="center"/>
          </w:tcPr>
          <w:p w14:paraId="0F25F2B4" w14:textId="4F253C5F" w:rsidR="000D42F1" w:rsidRPr="00813E91" w:rsidRDefault="000D42F1">
            <w:pPr>
              <w:pStyle w:val="Tables"/>
              <w:spacing w:before="0"/>
            </w:pPr>
            <w:r>
              <w:t>+3,361</w:t>
            </w:r>
          </w:p>
        </w:tc>
      </w:tr>
      <w:tr w:rsidR="000D42F1" w:rsidRPr="00813E91" w14:paraId="70047E74" w14:textId="77777777" w:rsidTr="00FA1DC5">
        <w:trPr>
          <w:trHeight w:val="311"/>
        </w:trPr>
        <w:tc>
          <w:tcPr>
            <w:tcW w:w="3686" w:type="dxa"/>
            <w:shd w:val="clear" w:color="auto" w:fill="auto"/>
            <w:hideMark/>
          </w:tcPr>
          <w:p w14:paraId="5102266D" w14:textId="162DC96D" w:rsidR="000D42F1" w:rsidRPr="00813E91" w:rsidRDefault="009E4978" w:rsidP="00EA0815">
            <w:pPr>
              <w:pStyle w:val="Tables"/>
              <w:spacing w:before="0"/>
              <w:ind w:left="462"/>
              <w:jc w:val="left"/>
            </w:pPr>
            <w:r>
              <w:t>Annual p</w:t>
            </w:r>
            <w:r w:rsidR="000D42F1" w:rsidRPr="00813E91">
              <w:t>ercent change</w:t>
            </w:r>
          </w:p>
        </w:tc>
        <w:tc>
          <w:tcPr>
            <w:tcW w:w="1077" w:type="dxa"/>
            <w:shd w:val="clear" w:color="auto" w:fill="auto"/>
            <w:vAlign w:val="center"/>
          </w:tcPr>
          <w:p w14:paraId="5A88FE7C" w14:textId="7448EA6E" w:rsidR="000D42F1" w:rsidRPr="00813E91" w:rsidRDefault="000D42F1">
            <w:pPr>
              <w:pStyle w:val="Tables"/>
              <w:spacing w:before="0"/>
            </w:pPr>
            <w:r>
              <w:t>+0.7%</w:t>
            </w:r>
          </w:p>
        </w:tc>
        <w:tc>
          <w:tcPr>
            <w:tcW w:w="1077" w:type="dxa"/>
            <w:shd w:val="clear" w:color="auto" w:fill="auto"/>
            <w:vAlign w:val="center"/>
          </w:tcPr>
          <w:p w14:paraId="5497C18C" w14:textId="3AC125B1" w:rsidR="000D42F1" w:rsidRPr="00813E91" w:rsidRDefault="000D42F1">
            <w:pPr>
              <w:pStyle w:val="Tables"/>
              <w:spacing w:before="0"/>
            </w:pPr>
            <w:r>
              <w:t>+3.4%</w:t>
            </w:r>
          </w:p>
        </w:tc>
        <w:tc>
          <w:tcPr>
            <w:tcW w:w="1077" w:type="dxa"/>
            <w:shd w:val="clear" w:color="auto" w:fill="auto"/>
            <w:vAlign w:val="center"/>
          </w:tcPr>
          <w:p w14:paraId="5CE90447" w14:textId="29325500" w:rsidR="000D42F1" w:rsidRPr="00813E91" w:rsidRDefault="000D42F1">
            <w:pPr>
              <w:pStyle w:val="Tables"/>
              <w:spacing w:before="0"/>
            </w:pPr>
            <w:r>
              <w:t>+4.0%</w:t>
            </w:r>
          </w:p>
        </w:tc>
        <w:tc>
          <w:tcPr>
            <w:tcW w:w="1077" w:type="dxa"/>
            <w:shd w:val="clear" w:color="auto" w:fill="auto"/>
            <w:vAlign w:val="center"/>
          </w:tcPr>
          <w:p w14:paraId="725611A0" w14:textId="20CA57E8" w:rsidR="000D42F1" w:rsidRPr="00813E91" w:rsidRDefault="000D42F1">
            <w:pPr>
              <w:pStyle w:val="Tables"/>
              <w:spacing w:before="0"/>
            </w:pPr>
            <w:r>
              <w:t>+4.1%</w:t>
            </w:r>
          </w:p>
        </w:tc>
        <w:tc>
          <w:tcPr>
            <w:tcW w:w="1077" w:type="dxa"/>
            <w:shd w:val="clear" w:color="auto" w:fill="auto"/>
            <w:noWrap/>
            <w:vAlign w:val="center"/>
          </w:tcPr>
          <w:p w14:paraId="6AEF0E4D" w14:textId="0ADB48DA" w:rsidR="000D42F1" w:rsidRPr="00813E91" w:rsidRDefault="000D42F1">
            <w:pPr>
              <w:pStyle w:val="Tables"/>
              <w:spacing w:before="0"/>
            </w:pPr>
            <w:r>
              <w:t>+2.7%</w:t>
            </w:r>
          </w:p>
        </w:tc>
      </w:tr>
      <w:tr w:rsidR="000D42F1" w:rsidRPr="00813E91" w14:paraId="1BCD1748" w14:textId="77777777" w:rsidTr="00FA1DC5">
        <w:trPr>
          <w:trHeight w:val="344"/>
        </w:trPr>
        <w:tc>
          <w:tcPr>
            <w:tcW w:w="3686" w:type="dxa"/>
            <w:shd w:val="clear" w:color="auto" w:fill="auto"/>
            <w:hideMark/>
          </w:tcPr>
          <w:p w14:paraId="77742A4A" w14:textId="77777777" w:rsidR="000D42F1" w:rsidRPr="00813E91" w:rsidRDefault="000D42F1">
            <w:pPr>
              <w:pStyle w:val="Tables"/>
              <w:spacing w:before="0"/>
              <w:jc w:val="left"/>
            </w:pPr>
            <w:r w:rsidRPr="00813E91">
              <w:t>Other government entities</w:t>
            </w:r>
            <w:r w:rsidRPr="00813E91" w:rsidDel="00767B50">
              <w:t xml:space="preserve"> </w:t>
            </w:r>
            <w:r w:rsidRPr="00813E91">
              <w:t>FTE, March</w:t>
            </w:r>
          </w:p>
        </w:tc>
        <w:tc>
          <w:tcPr>
            <w:tcW w:w="1077" w:type="dxa"/>
            <w:shd w:val="clear" w:color="auto" w:fill="auto"/>
            <w:vAlign w:val="center"/>
          </w:tcPr>
          <w:p w14:paraId="3E87465A" w14:textId="77777777" w:rsidR="000D42F1" w:rsidRPr="00813E91" w:rsidRDefault="000D42F1">
            <w:pPr>
              <w:pStyle w:val="Tables"/>
              <w:spacing w:before="0"/>
            </w:pPr>
            <w:r>
              <w:t>43,020</w:t>
            </w:r>
          </w:p>
        </w:tc>
        <w:tc>
          <w:tcPr>
            <w:tcW w:w="1077" w:type="dxa"/>
            <w:shd w:val="clear" w:color="auto" w:fill="auto"/>
            <w:vAlign w:val="center"/>
          </w:tcPr>
          <w:p w14:paraId="66A2D312" w14:textId="77777777" w:rsidR="000D42F1" w:rsidRPr="00813E91" w:rsidRDefault="000D42F1">
            <w:pPr>
              <w:pStyle w:val="Tables"/>
              <w:spacing w:before="0"/>
            </w:pPr>
            <w:r>
              <w:t>44,102</w:t>
            </w:r>
          </w:p>
        </w:tc>
        <w:tc>
          <w:tcPr>
            <w:tcW w:w="1077" w:type="dxa"/>
            <w:shd w:val="clear" w:color="auto" w:fill="auto"/>
            <w:vAlign w:val="center"/>
          </w:tcPr>
          <w:p w14:paraId="0F88345B" w14:textId="77777777" w:rsidR="000D42F1" w:rsidRPr="00813E91" w:rsidRDefault="000D42F1">
            <w:pPr>
              <w:pStyle w:val="Tables"/>
              <w:spacing w:before="0"/>
            </w:pPr>
            <w:r>
              <w:t>45,506</w:t>
            </w:r>
          </w:p>
        </w:tc>
        <w:tc>
          <w:tcPr>
            <w:tcW w:w="1077" w:type="dxa"/>
            <w:shd w:val="clear" w:color="auto" w:fill="auto"/>
            <w:vAlign w:val="center"/>
          </w:tcPr>
          <w:p w14:paraId="774D403A" w14:textId="77777777" w:rsidR="000D42F1" w:rsidRPr="00813E91" w:rsidRDefault="000D42F1">
            <w:pPr>
              <w:pStyle w:val="Tables"/>
              <w:spacing w:before="0"/>
            </w:pPr>
            <w:r>
              <w:t>46,308</w:t>
            </w:r>
          </w:p>
        </w:tc>
        <w:tc>
          <w:tcPr>
            <w:tcW w:w="1077" w:type="dxa"/>
            <w:shd w:val="clear" w:color="auto" w:fill="auto"/>
            <w:noWrap/>
            <w:vAlign w:val="center"/>
          </w:tcPr>
          <w:p w14:paraId="69A5E19C" w14:textId="77777777" w:rsidR="000D42F1" w:rsidRPr="00813E91" w:rsidRDefault="000D42F1">
            <w:pPr>
              <w:pStyle w:val="Tables"/>
              <w:spacing w:before="0"/>
            </w:pPr>
            <w:r>
              <w:t>47,939</w:t>
            </w:r>
          </w:p>
        </w:tc>
      </w:tr>
      <w:tr w:rsidR="000D42F1" w:rsidRPr="00813E91" w14:paraId="70984F8C" w14:textId="77777777" w:rsidTr="00FA1DC5">
        <w:trPr>
          <w:trHeight w:val="311"/>
        </w:trPr>
        <w:tc>
          <w:tcPr>
            <w:tcW w:w="3686" w:type="dxa"/>
            <w:shd w:val="clear" w:color="auto" w:fill="auto"/>
            <w:hideMark/>
          </w:tcPr>
          <w:p w14:paraId="2602F76E" w14:textId="77777777" w:rsidR="000D42F1" w:rsidRPr="00813E91" w:rsidRDefault="000D42F1" w:rsidP="00EA0815">
            <w:pPr>
              <w:pStyle w:val="Tables"/>
              <w:spacing w:before="0"/>
              <w:ind w:left="462"/>
              <w:jc w:val="left"/>
            </w:pPr>
            <w:r w:rsidRPr="00813E91">
              <w:t>Annual change</w:t>
            </w:r>
          </w:p>
        </w:tc>
        <w:tc>
          <w:tcPr>
            <w:tcW w:w="1077" w:type="dxa"/>
            <w:shd w:val="clear" w:color="auto" w:fill="auto"/>
            <w:vAlign w:val="center"/>
          </w:tcPr>
          <w:p w14:paraId="5ADAFB5F" w14:textId="094145EF" w:rsidR="000D42F1" w:rsidRPr="00813E91" w:rsidRDefault="000D42F1">
            <w:pPr>
              <w:pStyle w:val="Tables"/>
              <w:spacing w:before="0"/>
            </w:pPr>
            <w:r>
              <w:t>+177</w:t>
            </w:r>
          </w:p>
        </w:tc>
        <w:tc>
          <w:tcPr>
            <w:tcW w:w="1077" w:type="dxa"/>
            <w:shd w:val="clear" w:color="auto" w:fill="auto"/>
            <w:vAlign w:val="center"/>
          </w:tcPr>
          <w:p w14:paraId="1DEA3F22" w14:textId="241DA7BD" w:rsidR="000D42F1" w:rsidRPr="00813E91" w:rsidRDefault="000D42F1">
            <w:pPr>
              <w:pStyle w:val="Tables"/>
              <w:spacing w:before="0"/>
            </w:pPr>
            <w:r>
              <w:t>+1,082</w:t>
            </w:r>
          </w:p>
        </w:tc>
        <w:tc>
          <w:tcPr>
            <w:tcW w:w="1077" w:type="dxa"/>
            <w:shd w:val="clear" w:color="auto" w:fill="auto"/>
            <w:vAlign w:val="center"/>
          </w:tcPr>
          <w:p w14:paraId="3E84CA1A" w14:textId="4E5C7618" w:rsidR="000D42F1" w:rsidRPr="00813E91" w:rsidRDefault="000D42F1">
            <w:pPr>
              <w:pStyle w:val="Tables"/>
              <w:spacing w:before="0"/>
            </w:pPr>
            <w:r>
              <w:t>+1,404</w:t>
            </w:r>
          </w:p>
        </w:tc>
        <w:tc>
          <w:tcPr>
            <w:tcW w:w="1077" w:type="dxa"/>
            <w:shd w:val="clear" w:color="auto" w:fill="auto"/>
            <w:vAlign w:val="center"/>
          </w:tcPr>
          <w:p w14:paraId="074A1D9E" w14:textId="11A02F3F" w:rsidR="000D42F1" w:rsidRPr="00813E91" w:rsidRDefault="000D42F1">
            <w:pPr>
              <w:pStyle w:val="Tables"/>
              <w:spacing w:before="0"/>
            </w:pPr>
            <w:r>
              <w:t>+802</w:t>
            </w:r>
          </w:p>
        </w:tc>
        <w:tc>
          <w:tcPr>
            <w:tcW w:w="1077" w:type="dxa"/>
            <w:shd w:val="clear" w:color="auto" w:fill="auto"/>
            <w:noWrap/>
            <w:vAlign w:val="center"/>
          </w:tcPr>
          <w:p w14:paraId="415EE587" w14:textId="691BB28D" w:rsidR="000D42F1" w:rsidRPr="00813E91" w:rsidRDefault="000D42F1">
            <w:pPr>
              <w:pStyle w:val="Tables"/>
              <w:spacing w:before="0"/>
            </w:pPr>
            <w:r>
              <w:t>+1,631</w:t>
            </w:r>
          </w:p>
        </w:tc>
      </w:tr>
      <w:tr w:rsidR="000D42F1" w:rsidRPr="00813E91" w14:paraId="524B0CEE" w14:textId="77777777" w:rsidTr="00FA1DC5">
        <w:trPr>
          <w:trHeight w:val="327"/>
        </w:trPr>
        <w:tc>
          <w:tcPr>
            <w:tcW w:w="3686" w:type="dxa"/>
            <w:shd w:val="clear" w:color="auto" w:fill="auto"/>
            <w:hideMark/>
          </w:tcPr>
          <w:p w14:paraId="1E309018" w14:textId="0D3CC827" w:rsidR="000D42F1" w:rsidRPr="00813E91" w:rsidRDefault="009E4978" w:rsidP="00EA0815">
            <w:pPr>
              <w:pStyle w:val="Tables"/>
              <w:spacing w:before="0" w:after="0"/>
              <w:ind w:left="462"/>
              <w:jc w:val="left"/>
            </w:pPr>
            <w:r>
              <w:t>Annual p</w:t>
            </w:r>
            <w:r w:rsidR="000D42F1" w:rsidRPr="00813E91">
              <w:t>ercent change</w:t>
            </w:r>
          </w:p>
        </w:tc>
        <w:tc>
          <w:tcPr>
            <w:tcW w:w="1077" w:type="dxa"/>
            <w:shd w:val="clear" w:color="auto" w:fill="auto"/>
            <w:vAlign w:val="center"/>
          </w:tcPr>
          <w:p w14:paraId="4814A14A" w14:textId="7DE9B50D" w:rsidR="000D42F1" w:rsidRPr="00813E91" w:rsidRDefault="000D42F1">
            <w:pPr>
              <w:pStyle w:val="Tables"/>
              <w:spacing w:before="0"/>
            </w:pPr>
            <w:r>
              <w:t>+0.4%</w:t>
            </w:r>
          </w:p>
        </w:tc>
        <w:tc>
          <w:tcPr>
            <w:tcW w:w="1077" w:type="dxa"/>
            <w:shd w:val="clear" w:color="auto" w:fill="auto"/>
            <w:vAlign w:val="center"/>
          </w:tcPr>
          <w:p w14:paraId="5A7C730A" w14:textId="1E0CBB8D" w:rsidR="000D42F1" w:rsidRPr="00813E91" w:rsidRDefault="000D42F1">
            <w:pPr>
              <w:pStyle w:val="Tables"/>
              <w:spacing w:before="0"/>
            </w:pPr>
            <w:r>
              <w:t>+2.5%</w:t>
            </w:r>
          </w:p>
        </w:tc>
        <w:tc>
          <w:tcPr>
            <w:tcW w:w="1077" w:type="dxa"/>
            <w:shd w:val="clear" w:color="auto" w:fill="auto"/>
            <w:vAlign w:val="center"/>
          </w:tcPr>
          <w:p w14:paraId="73563AB2" w14:textId="1CBF555D" w:rsidR="000D42F1" w:rsidRPr="00813E91" w:rsidRDefault="000D42F1">
            <w:pPr>
              <w:pStyle w:val="Tables"/>
              <w:spacing w:before="0"/>
            </w:pPr>
            <w:r>
              <w:t>+3.2%</w:t>
            </w:r>
          </w:p>
        </w:tc>
        <w:tc>
          <w:tcPr>
            <w:tcW w:w="1077" w:type="dxa"/>
            <w:shd w:val="clear" w:color="auto" w:fill="auto"/>
            <w:vAlign w:val="center"/>
          </w:tcPr>
          <w:p w14:paraId="4E16A65D" w14:textId="6690A2FB" w:rsidR="000D42F1" w:rsidRPr="00813E91" w:rsidRDefault="000D42F1">
            <w:pPr>
              <w:pStyle w:val="Tables"/>
              <w:spacing w:before="0"/>
            </w:pPr>
            <w:r>
              <w:t>+1.8%</w:t>
            </w:r>
          </w:p>
        </w:tc>
        <w:tc>
          <w:tcPr>
            <w:tcW w:w="1077" w:type="dxa"/>
            <w:shd w:val="clear" w:color="auto" w:fill="auto"/>
            <w:noWrap/>
            <w:vAlign w:val="center"/>
          </w:tcPr>
          <w:p w14:paraId="55F9269C" w14:textId="73E3ADA8" w:rsidR="000D42F1" w:rsidRPr="00813E91" w:rsidRDefault="000D42F1">
            <w:pPr>
              <w:pStyle w:val="Tables"/>
              <w:spacing w:before="0"/>
            </w:pPr>
            <w:r>
              <w:t>+3.5%</w:t>
            </w:r>
          </w:p>
        </w:tc>
      </w:tr>
    </w:tbl>
    <w:bookmarkEnd w:id="14"/>
    <w:p w14:paraId="243BF3A2" w14:textId="310CCE46" w:rsidR="000D42F1" w:rsidRPr="006A4A16" w:rsidRDefault="000D42F1" w:rsidP="000C16A4">
      <w:pPr>
        <w:spacing w:before="240" w:line="240" w:lineRule="auto"/>
        <w:rPr>
          <w:rFonts w:eastAsiaTheme="minorEastAsia"/>
        </w:rPr>
      </w:pPr>
      <w:r>
        <w:rPr>
          <w:rFonts w:eastAsiaTheme="minorEastAsia"/>
        </w:rPr>
        <w:t xml:space="preserve">The increase in </w:t>
      </w:r>
      <w:r w:rsidR="006F48FD">
        <w:rPr>
          <w:rFonts w:eastAsiaTheme="minorEastAsia"/>
        </w:rPr>
        <w:t xml:space="preserve">headcount </w:t>
      </w:r>
      <w:r>
        <w:rPr>
          <w:rFonts w:eastAsiaTheme="minorEastAsia"/>
        </w:rPr>
        <w:t>in the last year in the public sector has primarily been in the large service delivery portfolios</w:t>
      </w:r>
      <w:r w:rsidRPr="006A4A16">
        <w:rPr>
          <w:rFonts w:eastAsiaTheme="minorEastAsia"/>
        </w:rPr>
        <w:t xml:space="preserve"> of WA Health</w:t>
      </w:r>
      <w:r w:rsidR="00BC7D87">
        <w:rPr>
          <w:rStyle w:val="FootnoteReference"/>
          <w:rFonts w:eastAsiaTheme="minorEastAsia"/>
        </w:rPr>
        <w:footnoteReference w:id="3"/>
      </w:r>
      <w:r w:rsidRPr="006A4A16">
        <w:rPr>
          <w:rFonts w:eastAsiaTheme="minorEastAsia"/>
        </w:rPr>
        <w:t xml:space="preserve"> and Department of Education:</w:t>
      </w:r>
    </w:p>
    <w:p w14:paraId="2AFE5A48" w14:textId="1A12273C" w:rsidR="000D42F1" w:rsidRPr="006A4A16" w:rsidRDefault="000D42F1">
      <w:pPr>
        <w:pStyle w:val="ListParagraph"/>
        <w:numPr>
          <w:ilvl w:val="0"/>
          <w:numId w:val="20"/>
        </w:numPr>
        <w:spacing w:line="240" w:lineRule="auto"/>
        <w:ind w:left="425" w:hanging="425"/>
        <w:rPr>
          <w:rFonts w:eastAsiaTheme="minorEastAsia"/>
        </w:rPr>
      </w:pPr>
      <w:r w:rsidRPr="006A4A16">
        <w:rPr>
          <w:rFonts w:eastAsiaTheme="minorEastAsia"/>
        </w:rPr>
        <w:t xml:space="preserve">WA Health increased by 2,030 employees (representing 42.2% of the annual increase in headcount) between 2021-22 and 2022-23. </w:t>
      </w:r>
      <w:r>
        <w:rPr>
          <w:rFonts w:eastAsiaTheme="minorEastAsia"/>
        </w:rPr>
        <w:t xml:space="preserve">It </w:t>
      </w:r>
      <w:r w:rsidRPr="006A4A16">
        <w:rPr>
          <w:rFonts w:eastAsiaTheme="minorEastAsia"/>
        </w:rPr>
        <w:t>reported this growth was attributable to increased service demands across the health sector, flow on effects due to allocation of bed capacity in various hospitals and departments, opening of new wards, and implementation of existing and new government initiatives.</w:t>
      </w:r>
    </w:p>
    <w:p w14:paraId="7ADA3A1E" w14:textId="77777777" w:rsidR="000D42F1" w:rsidRPr="006A4A16" w:rsidRDefault="000D42F1">
      <w:pPr>
        <w:pStyle w:val="ListParagraph"/>
        <w:numPr>
          <w:ilvl w:val="0"/>
          <w:numId w:val="20"/>
        </w:numPr>
        <w:spacing w:before="240" w:line="240" w:lineRule="auto"/>
        <w:ind w:left="425" w:hanging="425"/>
        <w:rPr>
          <w:rFonts w:eastAsiaTheme="minorEastAsia"/>
        </w:rPr>
      </w:pPr>
      <w:r w:rsidRPr="006A4A16">
        <w:rPr>
          <w:rFonts w:eastAsiaTheme="minorEastAsia"/>
        </w:rPr>
        <w:t>The Department of Education increased by 1,396 employees (representing 29.0% of the annual increase in headcount) between 2021-22 and 2022-23.</w:t>
      </w:r>
      <w:r w:rsidRPr="006A4A16">
        <w:t xml:space="preserve"> </w:t>
      </w:r>
      <w:r>
        <w:t xml:space="preserve">It </w:t>
      </w:r>
      <w:r w:rsidRPr="006A4A16">
        <w:rPr>
          <w:rFonts w:eastAsiaTheme="minorEastAsia"/>
        </w:rPr>
        <w:t>reported this increase related to growth in student enrolments and the opening of new schools</w:t>
      </w:r>
      <w:r>
        <w:rPr>
          <w:rFonts w:eastAsiaTheme="minorEastAsia"/>
        </w:rPr>
        <w:t>;</w:t>
      </w:r>
      <w:r w:rsidRPr="006A4A16">
        <w:rPr>
          <w:rFonts w:eastAsiaTheme="minorEastAsia"/>
        </w:rPr>
        <w:t xml:space="preserve"> delivery of election commitments in relation to school psychologists, specialised career practitioners and the expansion of the </w:t>
      </w:r>
      <w:r>
        <w:rPr>
          <w:rFonts w:eastAsiaTheme="minorEastAsia"/>
        </w:rPr>
        <w:t>a</w:t>
      </w:r>
      <w:r w:rsidRPr="006A4A16">
        <w:rPr>
          <w:rFonts w:eastAsiaTheme="minorEastAsia"/>
        </w:rPr>
        <w:t xml:space="preserve">lternative </w:t>
      </w:r>
      <w:r>
        <w:rPr>
          <w:rFonts w:eastAsiaTheme="minorEastAsia"/>
        </w:rPr>
        <w:t>l</w:t>
      </w:r>
      <w:r w:rsidRPr="006A4A16">
        <w:rPr>
          <w:rFonts w:eastAsiaTheme="minorEastAsia"/>
        </w:rPr>
        <w:t xml:space="preserve">earning </w:t>
      </w:r>
      <w:r>
        <w:rPr>
          <w:rFonts w:eastAsiaTheme="minorEastAsia"/>
        </w:rPr>
        <w:t>s</w:t>
      </w:r>
      <w:r w:rsidRPr="006A4A16">
        <w:rPr>
          <w:rFonts w:eastAsiaTheme="minorEastAsia"/>
        </w:rPr>
        <w:t>ettings</w:t>
      </w:r>
      <w:r>
        <w:rPr>
          <w:rFonts w:eastAsiaTheme="minorEastAsia"/>
        </w:rPr>
        <w:t>;</w:t>
      </w:r>
      <w:r w:rsidRPr="006A4A16">
        <w:rPr>
          <w:rFonts w:eastAsiaTheme="minorEastAsia"/>
        </w:rPr>
        <w:t xml:space="preserve"> higher number of special needs education assistants in mainstream schools</w:t>
      </w:r>
      <w:r>
        <w:rPr>
          <w:rFonts w:eastAsiaTheme="minorEastAsia"/>
        </w:rPr>
        <w:t>;</w:t>
      </w:r>
      <w:r w:rsidRPr="006A4A16">
        <w:rPr>
          <w:rFonts w:eastAsiaTheme="minorEastAsia"/>
        </w:rPr>
        <w:t xml:space="preserve"> and additional relief employees to manage the impact of COVID</w:t>
      </w:r>
      <w:r w:rsidRPr="006A4A16">
        <w:rPr>
          <w:rFonts w:ascii="Cambria Math" w:eastAsiaTheme="minorEastAsia" w:hAnsi="Cambria Math" w:cs="Cambria Math"/>
        </w:rPr>
        <w:t>‑</w:t>
      </w:r>
      <w:r w:rsidRPr="006A4A16">
        <w:rPr>
          <w:rFonts w:eastAsiaTheme="minorEastAsia"/>
        </w:rPr>
        <w:t>19 leave in schools.</w:t>
      </w:r>
    </w:p>
    <w:p w14:paraId="20F4996C" w14:textId="1078C5EF" w:rsidR="000D42F1" w:rsidRPr="006425DF" w:rsidRDefault="000D42F1" w:rsidP="000C16A4">
      <w:pPr>
        <w:spacing w:line="240" w:lineRule="auto"/>
        <w:contextualSpacing/>
        <w:rPr>
          <w:rFonts w:eastAsiaTheme="minorEastAsia"/>
        </w:rPr>
      </w:pPr>
      <w:r>
        <w:rPr>
          <w:rFonts w:eastAsiaTheme="minorEastAsia"/>
        </w:rPr>
        <w:t>This is similar to the</w:t>
      </w:r>
      <w:r w:rsidRPr="006425DF">
        <w:rPr>
          <w:rFonts w:eastAsiaTheme="minorEastAsia"/>
        </w:rPr>
        <w:t xml:space="preserve"> increase over the last 5 years </w:t>
      </w:r>
      <w:r>
        <w:rPr>
          <w:rFonts w:eastAsiaTheme="minorEastAsia"/>
        </w:rPr>
        <w:t xml:space="preserve">with </w:t>
      </w:r>
      <w:r w:rsidRPr="006425DF">
        <w:rPr>
          <w:rFonts w:eastAsiaTheme="minorEastAsia"/>
        </w:rPr>
        <w:t>WA Health</w:t>
      </w:r>
      <w:r w:rsidRPr="00301F11">
        <w:rPr>
          <w:rFonts w:eastAsiaTheme="minorEastAsia"/>
        </w:rPr>
        <w:t>, Department of Education and Department of Justice</w:t>
      </w:r>
      <w:r>
        <w:rPr>
          <w:rFonts w:eastAsiaTheme="minorEastAsia"/>
        </w:rPr>
        <w:t xml:space="preserve"> making up</w:t>
      </w:r>
      <w:r w:rsidRPr="006425DF">
        <w:rPr>
          <w:rFonts w:eastAsiaTheme="minorEastAsia"/>
        </w:rPr>
        <w:t xml:space="preserve"> 82.3% of the increase in public sector headcount between 2018-19 and 2022-23:</w:t>
      </w:r>
    </w:p>
    <w:p w14:paraId="62AE75E9" w14:textId="23F326E9" w:rsidR="000D42F1" w:rsidRPr="004646B8" w:rsidRDefault="000D42F1">
      <w:pPr>
        <w:pStyle w:val="ListParagraph"/>
        <w:numPr>
          <w:ilvl w:val="0"/>
          <w:numId w:val="12"/>
        </w:numPr>
        <w:spacing w:line="240" w:lineRule="auto"/>
        <w:ind w:left="425" w:hanging="425"/>
        <w:rPr>
          <w:rFonts w:eastAsiaTheme="minorEastAsia"/>
        </w:rPr>
      </w:pPr>
      <w:r w:rsidRPr="006425DF">
        <w:rPr>
          <w:rFonts w:eastAsiaTheme="minorEastAsia"/>
        </w:rPr>
        <w:t>WA Health increased by 10,700 headcount between 2018-19 and 2022-23, comprising 49.9% of the total increase in the sector</w:t>
      </w:r>
      <w:r>
        <w:rPr>
          <w:rFonts w:eastAsiaTheme="minorEastAsia"/>
        </w:rPr>
        <w:t>. WA Health now accounts for</w:t>
      </w:r>
      <w:r w:rsidRPr="006425DF">
        <w:rPr>
          <w:rFonts w:eastAsiaTheme="minorEastAsia"/>
        </w:rPr>
        <w:t xml:space="preserve"> 35.8% of the public sector</w:t>
      </w:r>
      <w:r>
        <w:rPr>
          <w:rFonts w:eastAsiaTheme="minorEastAsia"/>
        </w:rPr>
        <w:t xml:space="preserve"> </w:t>
      </w:r>
      <w:r w:rsidR="00647D30">
        <w:rPr>
          <w:rFonts w:eastAsiaTheme="minorEastAsia"/>
        </w:rPr>
        <w:t>headcount</w:t>
      </w:r>
      <w:r>
        <w:rPr>
          <w:rFonts w:eastAsiaTheme="minorEastAsia"/>
        </w:rPr>
        <w:t xml:space="preserve"> (up from 33.7% in 2018-19).</w:t>
      </w:r>
    </w:p>
    <w:p w14:paraId="59EE55E4" w14:textId="0062546A" w:rsidR="000D42F1" w:rsidRPr="006425DF" w:rsidRDefault="000D42F1">
      <w:pPr>
        <w:pStyle w:val="ListParagraph"/>
        <w:numPr>
          <w:ilvl w:val="0"/>
          <w:numId w:val="12"/>
        </w:numPr>
        <w:spacing w:line="240" w:lineRule="auto"/>
        <w:ind w:left="425" w:hanging="425"/>
        <w:rPr>
          <w:rFonts w:eastAsiaTheme="minorEastAsia"/>
        </w:rPr>
      </w:pPr>
      <w:r w:rsidRPr="006425DF">
        <w:rPr>
          <w:rFonts w:eastAsiaTheme="minorEastAsia"/>
        </w:rPr>
        <w:t xml:space="preserve">Department of Education increased by 6,060 headcount between 2018-19 and 2022-23, comprising 28.2% of the total sector </w:t>
      </w:r>
      <w:r w:rsidRPr="00B20D3E">
        <w:rPr>
          <w:rFonts w:eastAsiaTheme="minorEastAsia"/>
        </w:rPr>
        <w:t>increase.</w:t>
      </w:r>
    </w:p>
    <w:p w14:paraId="2761FB66" w14:textId="77777777" w:rsidR="000D42F1" w:rsidRPr="00F5638C" w:rsidRDefault="000D42F1">
      <w:pPr>
        <w:pStyle w:val="ListParagraph"/>
        <w:numPr>
          <w:ilvl w:val="0"/>
          <w:numId w:val="12"/>
        </w:numPr>
        <w:spacing w:line="240" w:lineRule="auto"/>
        <w:ind w:left="425" w:hanging="425"/>
        <w:rPr>
          <w:rFonts w:eastAsiaTheme="minorEastAsia"/>
        </w:rPr>
      </w:pPr>
      <w:r w:rsidRPr="006425DF">
        <w:rPr>
          <w:rFonts w:eastAsiaTheme="minorEastAsia"/>
        </w:rPr>
        <w:t>Department of Justice increased by 906 headcount, comprising 4.2% of the total increase in the sector.</w:t>
      </w:r>
    </w:p>
    <w:p w14:paraId="32237785" w14:textId="77777777" w:rsidR="00FA1DC5" w:rsidRDefault="00FA1DC5" w:rsidP="000C16A4">
      <w:pPr>
        <w:spacing w:line="240" w:lineRule="auto"/>
        <w:contextualSpacing/>
      </w:pPr>
      <w:r>
        <w:br w:type="page"/>
      </w:r>
    </w:p>
    <w:p w14:paraId="74F63D49" w14:textId="464A797C" w:rsidR="000D42F1" w:rsidRDefault="000D42F1" w:rsidP="000C16A4">
      <w:pPr>
        <w:spacing w:line="240" w:lineRule="auto"/>
        <w:contextualSpacing/>
      </w:pPr>
      <w:r>
        <w:lastRenderedPageBreak/>
        <w:t>Existing government commitments to additional police officers, new schools, increased health facilities and insourcing</w:t>
      </w:r>
      <w:r w:rsidRPr="503CBF29">
        <w:t xml:space="preserve"> </w:t>
      </w:r>
      <w:r>
        <w:t>are likely to</w:t>
      </w:r>
      <w:r w:rsidRPr="503CBF29">
        <w:t xml:space="preserve"> increase the public sector headcount and FTE in future years.</w:t>
      </w:r>
      <w:r>
        <w:t xml:space="preserve"> In particular:</w:t>
      </w:r>
    </w:p>
    <w:p w14:paraId="4B1AA89B" w14:textId="00281B04" w:rsidR="00157617" w:rsidRDefault="00000000" w:rsidP="00157617">
      <w:pPr>
        <w:pStyle w:val="ListParagraph"/>
        <w:numPr>
          <w:ilvl w:val="0"/>
          <w:numId w:val="18"/>
        </w:numPr>
        <w:spacing w:line="240" w:lineRule="auto"/>
        <w:ind w:left="425" w:hanging="425"/>
      </w:pPr>
      <w:hyperlink r:id="rId21" w:history="1">
        <w:r w:rsidR="00157617" w:rsidRPr="0078254D">
          <w:rPr>
            <w:rStyle w:val="Hyperlink"/>
          </w:rPr>
          <w:t>Commissioner’s Instruction 36: Interim Arrangements to Fill Vacancies at Main Roads Western Australia</w:t>
        </w:r>
      </w:hyperlink>
      <w:r w:rsidR="00157617">
        <w:t xml:space="preserve"> came into effect on 1 April 2022 allowing Main Roads Western Australia to make employment offers to external contractors currently engaged by it; it ceases on 1 April 2026</w:t>
      </w:r>
    </w:p>
    <w:p w14:paraId="259A136E" w14:textId="37A24C73" w:rsidR="000D42F1" w:rsidRDefault="00000000">
      <w:pPr>
        <w:pStyle w:val="ListParagraph"/>
        <w:numPr>
          <w:ilvl w:val="0"/>
          <w:numId w:val="18"/>
        </w:numPr>
        <w:spacing w:line="240" w:lineRule="auto"/>
        <w:ind w:left="425" w:hanging="425"/>
      </w:pPr>
      <w:hyperlink r:id="rId22" w:history="1">
        <w:r w:rsidR="000D42F1" w:rsidRPr="00170CB2">
          <w:rPr>
            <w:rStyle w:val="Hyperlink"/>
          </w:rPr>
          <w:t>Commissioner’s Instruction 37: Interim Arrangements to Fill Vacancies at South Metropolitan Health Service</w:t>
        </w:r>
      </w:hyperlink>
      <w:r w:rsidR="000D42F1">
        <w:t xml:space="preserve"> came into effect on 27 June 2022 to make employment offers to employees currently engaged by Ramsay Health Care; it ceases on 13 August 2024</w:t>
      </w:r>
      <w:r w:rsidR="009E4978">
        <w:t>.</w:t>
      </w:r>
    </w:p>
    <w:p w14:paraId="3FBF752F" w14:textId="77777777" w:rsidR="000D42F1" w:rsidRDefault="000D42F1" w:rsidP="000D42F1">
      <w:r>
        <w:br w:type="page"/>
      </w:r>
    </w:p>
    <w:p w14:paraId="15A262F1" w14:textId="77777777" w:rsidR="000D42F1" w:rsidRPr="00052E10" w:rsidRDefault="000D42F1" w:rsidP="000D42F1">
      <w:pPr>
        <w:pStyle w:val="Heading3"/>
        <w:spacing w:line="240" w:lineRule="auto"/>
      </w:pPr>
      <w:bookmarkStart w:id="19" w:name="_Toc151900165"/>
      <w:r w:rsidRPr="00052E10">
        <w:lastRenderedPageBreak/>
        <w:t>State finances</w:t>
      </w:r>
      <w:bookmarkEnd w:id="19"/>
    </w:p>
    <w:p w14:paraId="11BA8481" w14:textId="77777777" w:rsidR="000D42F1" w:rsidRDefault="000D42F1" w:rsidP="000D42F1">
      <w:pPr>
        <w:spacing w:line="240" w:lineRule="auto"/>
      </w:pPr>
      <w:r w:rsidRPr="00CA6360">
        <w:t xml:space="preserve">The </w:t>
      </w:r>
      <w:hyperlink r:id="rId23" w:history="1">
        <w:r w:rsidRPr="00AC05F9">
          <w:rPr>
            <w:rStyle w:val="Hyperlink"/>
          </w:rPr>
          <w:t>2022-23 Annual Report on State Finances</w:t>
        </w:r>
      </w:hyperlink>
      <w:r w:rsidRPr="00CA6360">
        <w:t xml:space="preserve"> details government financial results. In 20</w:t>
      </w:r>
      <w:r>
        <w:t>22</w:t>
      </w:r>
      <w:r>
        <w:noBreakHyphen/>
        <w:t>23</w:t>
      </w:r>
      <w:r w:rsidRPr="00CA6360">
        <w:t xml:space="preserve"> general government salaries expenditure was $</w:t>
      </w:r>
      <w:r>
        <w:t>15.7</w:t>
      </w:r>
      <w:r w:rsidRPr="00CA6360">
        <w:t xml:space="preserve"> billion and annual growth was </w:t>
      </w:r>
      <w:r>
        <w:t>10.1</w:t>
      </w:r>
      <w:r w:rsidRPr="00CA6360">
        <w:t xml:space="preserve">%. </w:t>
      </w:r>
    </w:p>
    <w:p w14:paraId="3B7A113F" w14:textId="77777777" w:rsidR="000D42F1" w:rsidRDefault="000D42F1" w:rsidP="000D42F1">
      <w:pPr>
        <w:spacing w:line="240" w:lineRule="auto"/>
      </w:pPr>
      <w:r>
        <w:t>This increase was primarily due to higher staff numbers in health and education agencies, and wage increases related to the settlement of industrial agreements during 2022-23 (which included a $3,000 cost of living payment for each employee in a settled agreement).</w:t>
      </w:r>
    </w:p>
    <w:p w14:paraId="54F46332" w14:textId="6DD82B80" w:rsidR="000D42F1" w:rsidRDefault="000D42F1" w:rsidP="000D42F1">
      <w:pPr>
        <w:spacing w:after="240" w:line="240" w:lineRule="auto"/>
      </w:pPr>
      <w:r w:rsidRPr="00CA6360">
        <w:t xml:space="preserve">Salaries remained the largest component of general government sector expenses comprising </w:t>
      </w:r>
      <w:r>
        <w:t>40.9</w:t>
      </w:r>
      <w:r w:rsidRPr="00CA6360">
        <w:t>% of total operating expenses in 20</w:t>
      </w:r>
      <w:r>
        <w:t>22-23</w:t>
      </w:r>
      <w:r w:rsidRPr="00CA6360">
        <w:t xml:space="preserve"> or </w:t>
      </w:r>
      <w:r>
        <w:t>45.4</w:t>
      </w:r>
      <w:r w:rsidRPr="00CA6360">
        <w:t xml:space="preserve">% if concurrent superannuation costs are included. The </w:t>
      </w:r>
      <w:r>
        <w:t>10.1</w:t>
      </w:r>
      <w:r w:rsidRPr="00CA6360">
        <w:t>% increase in salaries expenditure was an increase on last year’s rate of growth and above the average growth of 4.</w:t>
      </w:r>
      <w:r>
        <w:t>5</w:t>
      </w:r>
      <w:r w:rsidRPr="00CA6360">
        <w:t xml:space="preserve">% </w:t>
      </w:r>
      <w:r>
        <w:t>a</w:t>
      </w:r>
      <w:r w:rsidRPr="00CA6360">
        <w:t xml:space="preserve"> year over the preceding decade (</w:t>
      </w:r>
      <w:r>
        <w:fldChar w:fldCharType="begin"/>
      </w:r>
      <w:r>
        <w:instrText xml:space="preserve"> REF _Ref148707856 \h </w:instrText>
      </w:r>
      <w:r w:rsidR="00830398">
        <w:instrText xml:space="preserve"> \* MERGEFORMAT </w:instrText>
      </w:r>
      <w:r>
        <w:fldChar w:fldCharType="separate"/>
      </w:r>
      <w:r w:rsidR="0048418F" w:rsidRPr="0048418F">
        <w:t>Figure 4</w:t>
      </w:r>
      <w:r>
        <w:fldChar w:fldCharType="end"/>
      </w:r>
      <w:r>
        <w:t xml:space="preserve">). </w:t>
      </w:r>
    </w:p>
    <w:p w14:paraId="3E8E4FAE" w14:textId="6E80FCCE" w:rsidR="000D42F1" w:rsidRDefault="000D42F1" w:rsidP="000D42F1">
      <w:pPr>
        <w:pStyle w:val="Caption"/>
        <w:rPr>
          <w:noProof/>
        </w:rPr>
      </w:pPr>
      <w:bookmarkStart w:id="20" w:name="_Ref148707856"/>
      <w:bookmarkStart w:id="21" w:name="_Ref84252933"/>
      <w:r w:rsidRPr="007541E1">
        <w:rPr>
          <w:b/>
          <w:bCs/>
        </w:rPr>
        <w:t xml:space="preserve">Figure </w:t>
      </w:r>
      <w:r w:rsidRPr="007541E1">
        <w:rPr>
          <w:b/>
          <w:bCs/>
        </w:rPr>
        <w:fldChar w:fldCharType="begin"/>
      </w:r>
      <w:r w:rsidRPr="007541E1">
        <w:rPr>
          <w:b/>
          <w:bCs/>
        </w:rPr>
        <w:instrText xml:space="preserve"> SEQ Figure \* ARABIC </w:instrText>
      </w:r>
      <w:r w:rsidRPr="007541E1">
        <w:rPr>
          <w:b/>
          <w:bCs/>
        </w:rPr>
        <w:fldChar w:fldCharType="separate"/>
      </w:r>
      <w:r w:rsidR="0048418F">
        <w:rPr>
          <w:b/>
          <w:bCs/>
          <w:noProof/>
        </w:rPr>
        <w:t>4</w:t>
      </w:r>
      <w:r w:rsidRPr="007541E1">
        <w:rPr>
          <w:b/>
          <w:bCs/>
        </w:rPr>
        <w:fldChar w:fldCharType="end"/>
      </w:r>
      <w:bookmarkEnd w:id="20"/>
      <w:bookmarkEnd w:id="21"/>
      <w:r w:rsidRPr="00240621">
        <w:rPr>
          <w:b/>
          <w:bCs/>
        </w:rPr>
        <w:t>: General government salaries growth 20</w:t>
      </w:r>
      <w:r>
        <w:rPr>
          <w:b/>
          <w:bCs/>
        </w:rPr>
        <w:t>12-13</w:t>
      </w:r>
      <w:r w:rsidRPr="00240621">
        <w:rPr>
          <w:b/>
          <w:bCs/>
        </w:rPr>
        <w:t xml:space="preserve"> to 202</w:t>
      </w:r>
      <w:r>
        <w:rPr>
          <w:b/>
          <w:bCs/>
        </w:rPr>
        <w:t>2-23</w:t>
      </w:r>
      <w:r w:rsidRPr="00A745AA">
        <w:rPr>
          <w:noProof/>
        </w:rPr>
        <w:t xml:space="preserve"> </w:t>
      </w:r>
    </w:p>
    <w:p w14:paraId="749389DE" w14:textId="343DF440" w:rsidR="00135287" w:rsidRDefault="00135287" w:rsidP="00135287">
      <w:r>
        <w:rPr>
          <w:noProof/>
        </w:rPr>
        <w:drawing>
          <wp:inline distT="0" distB="0" distL="0" distR="0" wp14:anchorId="04CFC283" wp14:editId="57BA3206">
            <wp:extent cx="6052222" cy="3485171"/>
            <wp:effectExtent l="0" t="0" r="5715" b="1270"/>
            <wp:docPr id="954689688" name="Picture 4" descr="A bar graph showing WA general government sector salaries growth from 2012-13 to 2022-23. The percent annual growth decreased from 2012-13 to 2016-17, was between 4.5 and 6% from 2017-18 and 2021-22 (with the exception of 2018-19 where it was 0.6%), and was 10.1%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89688" name="Picture 4" descr="A bar graph showing WA general government sector salaries growth from 2012-13 to 2022-23. The percent annual growth decreased from 2012-13 to 2016-17, was between 4.5 and 6% from 2017-18 and 2021-22 (with the exception of 2018-19 where it was 0.6%), and was 10.1% in 2022-23. "/>
                    <pic:cNvPicPr>
                      <a:picLocks noChangeAspect="1" noChangeArrowheads="1"/>
                    </pic:cNvPicPr>
                  </pic:nvPicPr>
                  <pic:blipFill rotWithShape="1">
                    <a:blip r:embed="rId24">
                      <a:extLst>
                        <a:ext uri="{28A0092B-C50C-407E-A947-70E740481C1C}">
                          <a14:useLocalDpi xmlns:a14="http://schemas.microsoft.com/office/drawing/2010/main" val="0"/>
                        </a:ext>
                      </a:extLst>
                    </a:blip>
                    <a:srcRect l="5314" t="16202"/>
                    <a:stretch/>
                  </pic:blipFill>
                  <pic:spPr bwMode="auto">
                    <a:xfrm>
                      <a:off x="0" y="0"/>
                      <a:ext cx="6092745" cy="3508506"/>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5B1D0AAC" w14:textId="77777777" w:rsidR="000D42F1" w:rsidRPr="00AE0C77" w:rsidRDefault="000D42F1" w:rsidP="000D42F1">
      <w:pPr>
        <w:pStyle w:val="Heading3"/>
        <w:spacing w:line="240" w:lineRule="auto"/>
      </w:pPr>
      <w:bookmarkStart w:id="22" w:name="_Toc151900166"/>
      <w:r w:rsidRPr="00AE0C77">
        <w:lastRenderedPageBreak/>
        <w:t>Recruitment</w:t>
      </w:r>
      <w:r>
        <w:t xml:space="preserve"> activities</w:t>
      </w:r>
      <w:bookmarkEnd w:id="22"/>
    </w:p>
    <w:p w14:paraId="042F6099" w14:textId="77777777" w:rsidR="000D42F1" w:rsidRDefault="000D42F1" w:rsidP="000C16A4">
      <w:pPr>
        <w:spacing w:line="240" w:lineRule="auto"/>
        <w:contextualSpacing/>
      </w:pPr>
      <w:r w:rsidRPr="00711B3E">
        <w:t xml:space="preserve">The WA </w:t>
      </w:r>
      <w:r>
        <w:t>g</w:t>
      </w:r>
      <w:r w:rsidRPr="00711B3E">
        <w:t xml:space="preserve">overnment sector </w:t>
      </w:r>
      <w:r>
        <w:t>continued to experience</w:t>
      </w:r>
      <w:r w:rsidRPr="00711B3E">
        <w:t xml:space="preserve"> </w:t>
      </w:r>
      <w:r>
        <w:t>c</w:t>
      </w:r>
      <w:r w:rsidRPr="00812C72">
        <w:t>hallenges with the employment market</w:t>
      </w:r>
      <w:r>
        <w:t xml:space="preserve"> similar to that experienced across</w:t>
      </w:r>
      <w:r w:rsidRPr="00711B3E">
        <w:t xml:space="preserve"> Australia</w:t>
      </w:r>
      <w:r>
        <w:t xml:space="preserve"> in being able to fill positions</w:t>
      </w:r>
      <w:r w:rsidRPr="00711B3E">
        <w:t xml:space="preserve">. </w:t>
      </w:r>
      <w:r>
        <w:t>The Public Sector Commissioner responded by issuing 2 Commissioner’s Instructions in September 2022:</w:t>
      </w:r>
    </w:p>
    <w:p w14:paraId="28998794" w14:textId="77777777" w:rsidR="000D42F1" w:rsidRPr="006C3C8F" w:rsidRDefault="00000000">
      <w:pPr>
        <w:pStyle w:val="ListParagraph"/>
        <w:numPr>
          <w:ilvl w:val="0"/>
          <w:numId w:val="19"/>
        </w:numPr>
        <w:spacing w:line="240" w:lineRule="auto"/>
        <w:ind w:left="357" w:hanging="357"/>
        <w:rPr>
          <w:rFonts w:eastAsia="Arial"/>
        </w:rPr>
      </w:pPr>
      <w:hyperlink r:id="rId25" w:history="1">
        <w:r w:rsidR="000D42F1" w:rsidRPr="005857CF">
          <w:rPr>
            <w:rStyle w:val="Hyperlink"/>
          </w:rPr>
          <w:t>Commissioner’s Instruction 38: Temporary Regional Attraction and Retention Incentives</w:t>
        </w:r>
      </w:hyperlink>
      <w:r w:rsidR="000D42F1" w:rsidRPr="006C3C8F">
        <w:rPr>
          <w:rFonts w:eastAsia="Arial"/>
        </w:rPr>
        <w:t xml:space="preserve"> </w:t>
      </w:r>
      <w:r w:rsidR="000D42F1">
        <w:rPr>
          <w:rFonts w:eastAsia="Arial"/>
        </w:rPr>
        <w:t>provides</w:t>
      </w:r>
      <w:r w:rsidR="000D42F1" w:rsidRPr="006C3C8F">
        <w:rPr>
          <w:rFonts w:eastAsia="Arial"/>
        </w:rPr>
        <w:t xml:space="preserve"> for agencies with critical service needs in regional locations to offer temporary incentives to attract and retain primarily frontline staff. Public sector employers seeking to offer regional incentives ha</w:t>
      </w:r>
      <w:r w:rsidR="000D42F1">
        <w:rPr>
          <w:rFonts w:eastAsia="Arial"/>
        </w:rPr>
        <w:t>ve</w:t>
      </w:r>
      <w:r w:rsidR="000D42F1" w:rsidRPr="006C3C8F">
        <w:rPr>
          <w:rFonts w:eastAsia="Arial"/>
        </w:rPr>
        <w:t xml:space="preserve"> to make submissions to the Expenditure Review Committee</w:t>
      </w:r>
      <w:r w:rsidR="000D42F1">
        <w:rPr>
          <w:rFonts w:eastAsia="Arial"/>
        </w:rPr>
        <w:t xml:space="preserve">. During the year </w:t>
      </w:r>
      <w:r w:rsidR="000D42F1" w:rsidRPr="006C3C8F">
        <w:rPr>
          <w:rFonts w:eastAsia="Arial"/>
        </w:rPr>
        <w:t>the Expenditure Review Committee</w:t>
      </w:r>
      <w:r w:rsidR="000D42F1">
        <w:rPr>
          <w:rFonts w:eastAsia="Arial"/>
        </w:rPr>
        <w:t xml:space="preserve"> </w:t>
      </w:r>
      <w:r w:rsidR="000D42F1" w:rsidRPr="006C3C8F">
        <w:rPr>
          <w:rFonts w:eastAsia="Arial"/>
        </w:rPr>
        <w:t>approved incentives for 3 agencies. As regional workforce pressures continued, in June</w:t>
      </w:r>
      <w:r w:rsidR="000D42F1">
        <w:rPr>
          <w:rFonts w:eastAsia="Arial"/>
        </w:rPr>
        <w:t xml:space="preserve"> 2023</w:t>
      </w:r>
      <w:r w:rsidR="000D42F1" w:rsidRPr="006C3C8F">
        <w:rPr>
          <w:rFonts w:eastAsia="Arial"/>
        </w:rPr>
        <w:t xml:space="preserve"> the Commissioner extended this instruction to the end of 2023.</w:t>
      </w:r>
    </w:p>
    <w:p w14:paraId="24F302DF" w14:textId="01A2E8D9" w:rsidR="000D42F1" w:rsidRDefault="00000000">
      <w:pPr>
        <w:pStyle w:val="ListParagraph"/>
        <w:numPr>
          <w:ilvl w:val="0"/>
          <w:numId w:val="19"/>
        </w:numPr>
        <w:spacing w:line="240" w:lineRule="auto"/>
        <w:ind w:left="357" w:hanging="357"/>
        <w:rPr>
          <w:rFonts w:eastAsia="Arial"/>
        </w:rPr>
      </w:pPr>
      <w:hyperlink r:id="rId26" w:history="1">
        <w:r w:rsidR="000D42F1" w:rsidRPr="00044CCB">
          <w:rPr>
            <w:rStyle w:val="Hyperlink"/>
            <w:rFonts w:eastAsia="Arial"/>
          </w:rPr>
          <w:t>Commissioner’s Instruction 39: Interim Arrangements to Fill Public Sector Vacancies</w:t>
        </w:r>
      </w:hyperlink>
      <w:r w:rsidR="000D42F1">
        <w:rPr>
          <w:rFonts w:eastAsia="Arial"/>
        </w:rPr>
        <w:t xml:space="preserve"> </w:t>
      </w:r>
      <w:r w:rsidR="000D42F1" w:rsidRPr="002064CD">
        <w:rPr>
          <w:rFonts w:eastAsia="Arial"/>
        </w:rPr>
        <w:t>was issued to help overcome challenges in attracting and retaining staff, particularly in regional areas as well as to increase diversity representation across the sector. The instruction streamline</w:t>
      </w:r>
      <w:r w:rsidR="000D42F1">
        <w:rPr>
          <w:rFonts w:eastAsia="Arial"/>
        </w:rPr>
        <w:t>s</w:t>
      </w:r>
      <w:r w:rsidR="000D42F1" w:rsidRPr="002064CD">
        <w:rPr>
          <w:rFonts w:eastAsia="Arial"/>
        </w:rPr>
        <w:t xml:space="preserve"> public sector recruitment processes by allowing direct appointments in a range of situations and extending the time period for appointments from previous recruitment processes. </w:t>
      </w:r>
      <w:r w:rsidR="000D42F1">
        <w:rPr>
          <w:rFonts w:eastAsia="Arial"/>
        </w:rPr>
        <w:t>I</w:t>
      </w:r>
      <w:r w:rsidR="000D42F1" w:rsidRPr="002064CD">
        <w:rPr>
          <w:rFonts w:eastAsia="Arial"/>
        </w:rPr>
        <w:t xml:space="preserve">t overrides some rules in </w:t>
      </w:r>
      <w:hyperlink r:id="rId27" w:history="1">
        <w:r w:rsidR="000D42F1" w:rsidRPr="000C3D1B">
          <w:rPr>
            <w:rStyle w:val="Hyperlink"/>
            <w:rFonts w:eastAsia="Arial"/>
          </w:rPr>
          <w:t>Commissioner’s Instruction 2</w:t>
        </w:r>
        <w:r w:rsidR="000658EA">
          <w:rPr>
            <w:rStyle w:val="Hyperlink"/>
            <w:rFonts w:eastAsia="Arial"/>
          </w:rPr>
          <w:t>:</w:t>
        </w:r>
        <w:r w:rsidR="000D42F1" w:rsidRPr="000C3D1B">
          <w:rPr>
            <w:rStyle w:val="Hyperlink"/>
            <w:rFonts w:eastAsia="Arial"/>
          </w:rPr>
          <w:t xml:space="preserve"> Filling a Public Sector Vacancy</w:t>
        </w:r>
      </w:hyperlink>
      <w:r w:rsidR="000D42F1" w:rsidRPr="002064CD">
        <w:rPr>
          <w:rFonts w:eastAsia="Arial"/>
        </w:rPr>
        <w:t>.</w:t>
      </w:r>
    </w:p>
    <w:p w14:paraId="19C1F124" w14:textId="77C891A6" w:rsidR="000D42F1" w:rsidRPr="00711B3E" w:rsidRDefault="000D42F1" w:rsidP="000D42F1">
      <w:pPr>
        <w:spacing w:line="240" w:lineRule="auto"/>
      </w:pPr>
      <w:r w:rsidRPr="00711B3E">
        <w:t>In 202</w:t>
      </w:r>
      <w:r>
        <w:t>2</w:t>
      </w:r>
      <w:r w:rsidRPr="00711B3E">
        <w:t>-2</w:t>
      </w:r>
      <w:r>
        <w:t xml:space="preserve">3, </w:t>
      </w:r>
      <w:r w:rsidRPr="00711B3E">
        <w:t>24,</w:t>
      </w:r>
      <w:r>
        <w:t>647</w:t>
      </w:r>
      <w:r w:rsidRPr="00711B3E">
        <w:t xml:space="preserve"> advertisements</w:t>
      </w:r>
      <w:r>
        <w:t xml:space="preserve"> were</w:t>
      </w:r>
      <w:r w:rsidRPr="00711B3E">
        <w:t xml:space="preserve"> </w:t>
      </w:r>
      <w:r>
        <w:t>posted on the</w:t>
      </w:r>
      <w:r w:rsidRPr="00711B3E">
        <w:t xml:space="preserve"> </w:t>
      </w:r>
      <w:r w:rsidR="00B43576">
        <w:t>R</w:t>
      </w:r>
      <w:r w:rsidRPr="00711B3E">
        <w:t xml:space="preserve">ecruitment </w:t>
      </w:r>
      <w:r w:rsidR="00B43576">
        <w:t>A</w:t>
      </w:r>
      <w:r w:rsidRPr="00711B3E">
        <w:t xml:space="preserve">dvertising </w:t>
      </w:r>
      <w:r w:rsidR="00B43576">
        <w:t>M</w:t>
      </w:r>
      <w:r w:rsidRPr="00711B3E">
        <w:t xml:space="preserve">anagement </w:t>
      </w:r>
      <w:r w:rsidR="00B43576">
        <w:t>S</w:t>
      </w:r>
      <w:r w:rsidRPr="00711B3E">
        <w:t>ystem (RAMS)</w:t>
      </w:r>
      <w:r w:rsidRPr="00711B3E">
        <w:rPr>
          <w:vertAlign w:val="superscript"/>
        </w:rPr>
        <w:footnoteReference w:id="4"/>
      </w:r>
      <w:r w:rsidRPr="00711B3E">
        <w:t xml:space="preserve"> which supports the </w:t>
      </w:r>
      <w:hyperlink r:id="rId28" w:history="1">
        <w:r w:rsidRPr="00EA0815">
          <w:rPr>
            <w:rStyle w:val="Hyperlink"/>
          </w:rPr>
          <w:t>WA Government Jobs Board</w:t>
        </w:r>
      </w:hyperlink>
      <w:r w:rsidRPr="00EA0815">
        <w:t>.</w:t>
      </w:r>
      <w:r w:rsidRPr="00711B3E">
        <w:t xml:space="preserve"> This represented a </w:t>
      </w:r>
      <w:r>
        <w:t>1</w:t>
      </w:r>
      <w:r w:rsidRPr="00711B3E">
        <w:t>.</w:t>
      </w:r>
      <w:r>
        <w:t>9</w:t>
      </w:r>
      <w:r w:rsidRPr="003428B3">
        <w:t>%</w:t>
      </w:r>
      <w:r w:rsidRPr="00711B3E">
        <w:t xml:space="preserve"> increase </w:t>
      </w:r>
      <w:r>
        <w:t>from 24,185</w:t>
      </w:r>
      <w:r w:rsidRPr="00711B3E">
        <w:t xml:space="preserve"> in 202</w:t>
      </w:r>
      <w:r>
        <w:t>1</w:t>
      </w:r>
      <w:r w:rsidRPr="00711B3E">
        <w:t>-2</w:t>
      </w:r>
      <w:r>
        <w:t>2</w:t>
      </w:r>
      <w:r w:rsidRPr="00711B3E">
        <w:rPr>
          <w:rStyle w:val="FootnoteReference"/>
        </w:rPr>
        <w:footnoteReference w:id="5"/>
      </w:r>
      <w:r>
        <w:t xml:space="preserve">, </w:t>
      </w:r>
      <w:r w:rsidRPr="00711B3E">
        <w:t xml:space="preserve">while the </w:t>
      </w:r>
      <w:r w:rsidRPr="006D32BC">
        <w:t xml:space="preserve">number of applications received </w:t>
      </w:r>
      <w:r>
        <w:t>rose</w:t>
      </w:r>
      <w:r w:rsidRPr="006D32BC">
        <w:t xml:space="preserve"> by 7.4% from 261,502 to </w:t>
      </w:r>
      <w:r>
        <w:t>280,779</w:t>
      </w:r>
      <w:r w:rsidRPr="00711B3E">
        <w:t xml:space="preserve">. </w:t>
      </w:r>
    </w:p>
    <w:p w14:paraId="404CBA89" w14:textId="77777777" w:rsidR="000D42F1" w:rsidRPr="00711B3E" w:rsidRDefault="000D42F1" w:rsidP="000D42F1">
      <w:pPr>
        <w:spacing w:line="240" w:lineRule="auto"/>
      </w:pPr>
      <w:r w:rsidRPr="00711B3E">
        <w:t xml:space="preserve">These </w:t>
      </w:r>
      <w:r>
        <w:t>figures</w:t>
      </w:r>
      <w:r w:rsidRPr="00711B3E">
        <w:t xml:space="preserve"> do not reflect the total number of vacancies or total number of </w:t>
      </w:r>
      <w:r>
        <w:t>employees</w:t>
      </w:r>
      <w:r w:rsidRPr="00711B3E">
        <w:t xml:space="preserve"> engaged. A single advertisement may be used to fill more than one position</w:t>
      </w:r>
      <w:r>
        <w:t xml:space="preserve"> (</w:t>
      </w:r>
      <w:r w:rsidRPr="00711B3E">
        <w:t>for example,</w:t>
      </w:r>
      <w:r>
        <w:t xml:space="preserve"> </w:t>
      </w:r>
      <w:r w:rsidRPr="00711B3E">
        <w:t>pool recruitments</w:t>
      </w:r>
      <w:r>
        <w:t>)</w:t>
      </w:r>
      <w:r w:rsidRPr="00711B3E">
        <w:t xml:space="preserve"> and other positions may be filled before</w:t>
      </w:r>
      <w:r>
        <w:t xml:space="preserve"> being</w:t>
      </w:r>
      <w:r w:rsidRPr="00711B3E">
        <w:t xml:space="preserve"> public</w:t>
      </w:r>
      <w:r>
        <w:t>ly</w:t>
      </w:r>
      <w:r w:rsidRPr="00711B3E">
        <w:t xml:space="preserve"> </w:t>
      </w:r>
      <w:r>
        <w:t>advertised. Therefore, these figures should only be used as</w:t>
      </w:r>
      <w:r w:rsidRPr="00711B3E">
        <w:t xml:space="preserve"> a general indicator of recruitment activity.</w:t>
      </w:r>
    </w:p>
    <w:p w14:paraId="5A9CE60C" w14:textId="2411D440" w:rsidR="000D42F1" w:rsidRPr="00711B3E" w:rsidRDefault="000D42F1" w:rsidP="000D42F1">
      <w:pPr>
        <w:spacing w:line="240" w:lineRule="auto"/>
      </w:pPr>
      <w:r w:rsidRPr="00711B3E">
        <w:t>In 202</w:t>
      </w:r>
      <w:r>
        <w:t>2</w:t>
      </w:r>
      <w:r w:rsidRPr="00711B3E">
        <w:t>-2</w:t>
      </w:r>
      <w:r>
        <w:t>3</w:t>
      </w:r>
      <w:r w:rsidRPr="00711B3E">
        <w:t xml:space="preserve"> the number of advertisements for permanent roles increased to </w:t>
      </w:r>
      <w:r>
        <w:t>10,078</w:t>
      </w:r>
      <w:r w:rsidRPr="00711B3E">
        <w:t xml:space="preserve">, up </w:t>
      </w:r>
      <w:r>
        <w:t xml:space="preserve">by </w:t>
      </w:r>
      <w:r w:rsidRPr="00711B3E">
        <w:t>1</w:t>
      </w:r>
      <w:r>
        <w:t>,130 from 2021-22</w:t>
      </w:r>
      <w:r w:rsidRPr="00711B3E">
        <w:t xml:space="preserve">. The </w:t>
      </w:r>
      <w:r>
        <w:t>percentage</w:t>
      </w:r>
      <w:r w:rsidRPr="00711B3E">
        <w:t xml:space="preserve"> of all advertisements for permanent roles increased from </w:t>
      </w:r>
      <w:r>
        <w:t>37.0</w:t>
      </w:r>
      <w:r w:rsidRPr="00711B3E">
        <w:t>% in 202</w:t>
      </w:r>
      <w:r>
        <w:t>1</w:t>
      </w:r>
      <w:r w:rsidRPr="00711B3E">
        <w:t>-2</w:t>
      </w:r>
      <w:r>
        <w:t>2</w:t>
      </w:r>
      <w:r w:rsidRPr="00711B3E">
        <w:t xml:space="preserve"> to </w:t>
      </w:r>
      <w:r>
        <w:t>40.9</w:t>
      </w:r>
      <w:r w:rsidRPr="003428B3">
        <w:t>%</w:t>
      </w:r>
      <w:r w:rsidRPr="00711B3E">
        <w:t xml:space="preserve"> in 202</w:t>
      </w:r>
      <w:r>
        <w:t>2</w:t>
      </w:r>
      <w:r w:rsidRPr="00711B3E">
        <w:t>-2</w:t>
      </w:r>
      <w:r>
        <w:t>3</w:t>
      </w:r>
      <w:r w:rsidRPr="00711B3E">
        <w:t xml:space="preserve"> (</w:t>
      </w:r>
      <w:r>
        <w:fldChar w:fldCharType="begin"/>
      </w:r>
      <w:r>
        <w:instrText xml:space="preserve"> REF _Ref148711102 \h  \* MERGEFORMAT </w:instrText>
      </w:r>
      <w:r>
        <w:fldChar w:fldCharType="separate"/>
      </w:r>
      <w:r w:rsidR="0048418F" w:rsidRPr="0048418F">
        <w:t>Table 3</w:t>
      </w:r>
      <w:r>
        <w:fldChar w:fldCharType="end"/>
      </w:r>
      <w:r w:rsidRPr="00711B3E">
        <w:t xml:space="preserve">). </w:t>
      </w:r>
    </w:p>
    <w:p w14:paraId="503230C0" w14:textId="77777777" w:rsidR="000D42F1" w:rsidRPr="001C34F4" w:rsidRDefault="000D42F1" w:rsidP="000D42F1">
      <w:pPr>
        <w:spacing w:after="240" w:line="240" w:lineRule="auto"/>
      </w:pPr>
      <w:r w:rsidRPr="00711B3E">
        <w:t xml:space="preserve">Of all advertisements, </w:t>
      </w:r>
      <w:r w:rsidRPr="003428B3">
        <w:t>2</w:t>
      </w:r>
      <w:r>
        <w:t>7</w:t>
      </w:r>
      <w:r w:rsidRPr="003428B3">
        <w:t>.</w:t>
      </w:r>
      <w:r>
        <w:t>0</w:t>
      </w:r>
      <w:r w:rsidRPr="00711B3E">
        <w:t xml:space="preserve">% were pool recruitments indicating that more than one role may have been filled from a single advertisement. This </w:t>
      </w:r>
      <w:r>
        <w:t>was</w:t>
      </w:r>
      <w:r w:rsidRPr="00711B3E">
        <w:t xml:space="preserve"> a </w:t>
      </w:r>
      <w:r>
        <w:t>decrease</w:t>
      </w:r>
      <w:r w:rsidRPr="00711B3E">
        <w:t xml:space="preserve"> from 2</w:t>
      </w:r>
      <w:r>
        <w:t>7</w:t>
      </w:r>
      <w:r w:rsidRPr="00711B3E">
        <w:t>.</w:t>
      </w:r>
      <w:r>
        <w:t>4</w:t>
      </w:r>
      <w:r w:rsidRPr="00711B3E">
        <w:t>% last year.</w:t>
      </w:r>
      <w:r w:rsidRPr="001C34F4">
        <w:t xml:space="preserve"> </w:t>
      </w:r>
    </w:p>
    <w:p w14:paraId="30852026" w14:textId="77777777" w:rsidR="000D42F1" w:rsidRDefault="000D42F1" w:rsidP="000D42F1">
      <w:pPr>
        <w:spacing w:before="120" w:line="240" w:lineRule="auto"/>
        <w:rPr>
          <w:b/>
          <w:bCs/>
          <w:color w:val="2E74B5" w:themeColor="accent1" w:themeShade="BF"/>
          <w:sz w:val="20"/>
          <w:szCs w:val="20"/>
        </w:rPr>
      </w:pPr>
      <w:bookmarkStart w:id="23" w:name="_Ref84251056"/>
    </w:p>
    <w:p w14:paraId="7E2F28F1" w14:textId="77777777" w:rsidR="000D42F1" w:rsidRDefault="000D42F1" w:rsidP="000D42F1">
      <w:pPr>
        <w:spacing w:before="120" w:line="240" w:lineRule="auto"/>
        <w:rPr>
          <w:b/>
          <w:bCs/>
          <w:color w:val="2E74B5" w:themeColor="accent1" w:themeShade="BF"/>
          <w:sz w:val="20"/>
          <w:szCs w:val="20"/>
        </w:rPr>
      </w:pPr>
    </w:p>
    <w:p w14:paraId="7242AF44" w14:textId="77777777" w:rsidR="000D42F1" w:rsidRDefault="000D42F1" w:rsidP="000D42F1">
      <w:pPr>
        <w:spacing w:before="120" w:line="240" w:lineRule="auto"/>
        <w:rPr>
          <w:b/>
          <w:bCs/>
          <w:color w:val="2E74B5" w:themeColor="accent1" w:themeShade="BF"/>
          <w:sz w:val="20"/>
          <w:szCs w:val="20"/>
        </w:rPr>
      </w:pPr>
    </w:p>
    <w:p w14:paraId="034ABE84" w14:textId="77777777" w:rsidR="000D42F1" w:rsidRDefault="000D42F1" w:rsidP="000D42F1">
      <w:pPr>
        <w:spacing w:before="120" w:line="240" w:lineRule="auto"/>
        <w:rPr>
          <w:b/>
          <w:bCs/>
          <w:color w:val="2E74B5" w:themeColor="accent1" w:themeShade="BF"/>
          <w:sz w:val="20"/>
          <w:szCs w:val="20"/>
        </w:rPr>
      </w:pPr>
    </w:p>
    <w:p w14:paraId="657B7656" w14:textId="77777777" w:rsidR="000D42F1" w:rsidRDefault="000D42F1" w:rsidP="000D42F1">
      <w:pPr>
        <w:spacing w:before="120" w:line="240" w:lineRule="auto"/>
        <w:rPr>
          <w:b/>
          <w:bCs/>
          <w:color w:val="2E74B5" w:themeColor="accent1" w:themeShade="BF"/>
          <w:sz w:val="20"/>
          <w:szCs w:val="20"/>
        </w:rPr>
      </w:pPr>
    </w:p>
    <w:p w14:paraId="4C77BDC6" w14:textId="77777777" w:rsidR="000D42F1" w:rsidRDefault="000D42F1" w:rsidP="000D42F1">
      <w:pPr>
        <w:spacing w:before="120" w:line="240" w:lineRule="auto"/>
        <w:rPr>
          <w:b/>
          <w:bCs/>
          <w:color w:val="2E74B5" w:themeColor="accent1" w:themeShade="BF"/>
          <w:sz w:val="20"/>
          <w:szCs w:val="20"/>
        </w:rPr>
      </w:pPr>
    </w:p>
    <w:p w14:paraId="28B8416D" w14:textId="77777777" w:rsidR="000D42F1" w:rsidRDefault="000D42F1" w:rsidP="000D42F1">
      <w:pPr>
        <w:spacing w:before="120" w:line="240" w:lineRule="auto"/>
        <w:rPr>
          <w:b/>
          <w:bCs/>
          <w:color w:val="2E74B5" w:themeColor="accent1" w:themeShade="BF"/>
          <w:sz w:val="20"/>
          <w:szCs w:val="20"/>
        </w:rPr>
      </w:pPr>
    </w:p>
    <w:p w14:paraId="3FB2CD09" w14:textId="77777777" w:rsidR="000D42F1" w:rsidRDefault="000D42F1" w:rsidP="000D42F1">
      <w:pPr>
        <w:spacing w:before="120" w:line="240" w:lineRule="auto"/>
        <w:rPr>
          <w:b/>
          <w:bCs/>
          <w:color w:val="2E74B5" w:themeColor="accent1" w:themeShade="BF"/>
          <w:sz w:val="20"/>
          <w:szCs w:val="20"/>
        </w:rPr>
      </w:pPr>
    </w:p>
    <w:p w14:paraId="4970B553" w14:textId="77777777" w:rsidR="000D42F1" w:rsidRDefault="000D42F1" w:rsidP="000D42F1">
      <w:pPr>
        <w:spacing w:before="120" w:line="240" w:lineRule="auto"/>
        <w:rPr>
          <w:b/>
          <w:bCs/>
          <w:color w:val="2E74B5" w:themeColor="accent1" w:themeShade="BF"/>
          <w:sz w:val="20"/>
          <w:szCs w:val="20"/>
        </w:rPr>
      </w:pPr>
    </w:p>
    <w:p w14:paraId="03E90FF1" w14:textId="77777777" w:rsidR="000D42F1" w:rsidRDefault="000D42F1" w:rsidP="000D42F1">
      <w:pPr>
        <w:spacing w:before="120" w:line="240" w:lineRule="auto"/>
        <w:rPr>
          <w:b/>
          <w:bCs/>
          <w:color w:val="2E74B5" w:themeColor="accent1" w:themeShade="BF"/>
          <w:sz w:val="20"/>
          <w:szCs w:val="20"/>
        </w:rPr>
      </w:pPr>
    </w:p>
    <w:p w14:paraId="1F153B69" w14:textId="671B6A8D" w:rsidR="000D42F1" w:rsidRPr="006C65C9" w:rsidRDefault="000D42F1" w:rsidP="000D42F1">
      <w:pPr>
        <w:pStyle w:val="Caption"/>
        <w:rPr>
          <w:b/>
          <w:bCs/>
        </w:rPr>
      </w:pPr>
      <w:bookmarkStart w:id="24" w:name="_Ref148711102"/>
      <w:r w:rsidRPr="007541E1">
        <w:rPr>
          <w:b/>
          <w:bCs/>
        </w:rPr>
        <w:lastRenderedPageBreak/>
        <w:t xml:space="preserve">Table </w:t>
      </w:r>
      <w:r w:rsidRPr="006C65C9" w:rsidDel="00244101">
        <w:rPr>
          <w:b/>
          <w:bCs/>
        </w:rPr>
        <w:fldChar w:fldCharType="begin"/>
      </w:r>
      <w:r w:rsidRPr="006C65C9" w:rsidDel="00244101">
        <w:rPr>
          <w:b/>
          <w:bCs/>
        </w:rPr>
        <w:instrText xml:space="preserve"> SEQ Table \* ARABIC </w:instrText>
      </w:r>
      <w:r w:rsidRPr="006C65C9" w:rsidDel="00244101">
        <w:rPr>
          <w:b/>
          <w:bCs/>
        </w:rPr>
        <w:fldChar w:fldCharType="separate"/>
      </w:r>
      <w:r w:rsidR="0048418F">
        <w:rPr>
          <w:b/>
          <w:bCs/>
          <w:noProof/>
        </w:rPr>
        <w:t>3</w:t>
      </w:r>
      <w:r w:rsidRPr="006C65C9" w:rsidDel="00244101">
        <w:rPr>
          <w:b/>
          <w:bCs/>
        </w:rPr>
        <w:fldChar w:fldCharType="end"/>
      </w:r>
      <w:bookmarkEnd w:id="24"/>
      <w:r w:rsidRPr="006C65C9">
        <w:rPr>
          <w:b/>
          <w:bCs/>
        </w:rPr>
        <w:t>:</w:t>
      </w:r>
      <w:bookmarkEnd w:id="23"/>
      <w:r w:rsidRPr="006C65C9">
        <w:rPr>
          <w:b/>
          <w:bCs/>
        </w:rPr>
        <w:t xml:space="preserve"> WA government sector job advertisements created by financial year and employment type (number of advertisements and percent of total)</w:t>
      </w:r>
      <w:r w:rsidR="00157617">
        <w:rPr>
          <w:b/>
          <w:bCs/>
        </w:rPr>
        <w:t xml:space="preserve"> 2018-19 to 2022-23</w:t>
      </w:r>
    </w:p>
    <w:tbl>
      <w:tblPr>
        <w:tblW w:w="9062"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Caption w:val="Table 3: WA government sector job advertisements created by financial year and employment type (number of advertisements and percent of total) 2018-19 to 2022-23"/>
      </w:tblPr>
      <w:tblGrid>
        <w:gridCol w:w="2258"/>
        <w:gridCol w:w="1417"/>
        <w:gridCol w:w="1418"/>
        <w:gridCol w:w="1417"/>
        <w:gridCol w:w="1276"/>
        <w:gridCol w:w="1276"/>
      </w:tblGrid>
      <w:tr w:rsidR="000D42F1" w:rsidRPr="00711B3E" w14:paraId="61223CD2" w14:textId="77777777">
        <w:trPr>
          <w:trHeight w:val="270"/>
        </w:trPr>
        <w:tc>
          <w:tcPr>
            <w:tcW w:w="225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0C950117" w14:textId="77777777" w:rsidR="000D42F1" w:rsidRPr="00711B3E" w:rsidRDefault="000D42F1">
            <w:pPr>
              <w:spacing w:after="0" w:line="240" w:lineRule="auto"/>
              <w:rPr>
                <w:b/>
                <w:bCs/>
                <w:color w:val="2E74B5"/>
                <w:sz w:val="20"/>
                <w:szCs w:val="20"/>
              </w:rPr>
            </w:pPr>
            <w:r w:rsidRPr="00711B3E">
              <w:rPr>
                <w:b/>
                <w:bCs/>
                <w:color w:val="2E74B5"/>
                <w:sz w:val="20"/>
                <w:szCs w:val="20"/>
              </w:rPr>
              <w:t>Employment type</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4B578FF1" w14:textId="77777777" w:rsidR="000D42F1" w:rsidRPr="00711B3E" w:rsidRDefault="000D42F1">
            <w:pPr>
              <w:spacing w:after="0" w:line="240" w:lineRule="auto"/>
              <w:jc w:val="right"/>
              <w:rPr>
                <w:b/>
                <w:bCs/>
                <w:color w:val="2E74B5"/>
                <w:sz w:val="20"/>
                <w:szCs w:val="20"/>
              </w:rPr>
            </w:pPr>
            <w:r w:rsidRPr="00711B3E">
              <w:rPr>
                <w:b/>
                <w:bCs/>
                <w:color w:val="2E74B5"/>
                <w:sz w:val="20"/>
                <w:szCs w:val="20"/>
              </w:rPr>
              <w:t>2018-19</w:t>
            </w:r>
          </w:p>
        </w:tc>
        <w:tc>
          <w:tcPr>
            <w:tcW w:w="141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793A006A" w14:textId="77777777" w:rsidR="000D42F1" w:rsidRPr="00711B3E" w:rsidRDefault="000D42F1">
            <w:pPr>
              <w:spacing w:after="0" w:line="240" w:lineRule="auto"/>
              <w:jc w:val="right"/>
              <w:rPr>
                <w:b/>
                <w:bCs/>
                <w:color w:val="2E74B5"/>
                <w:sz w:val="20"/>
                <w:szCs w:val="20"/>
              </w:rPr>
            </w:pPr>
            <w:r w:rsidRPr="00711B3E">
              <w:rPr>
                <w:b/>
                <w:bCs/>
                <w:color w:val="2E74B5"/>
                <w:sz w:val="20"/>
                <w:szCs w:val="20"/>
              </w:rPr>
              <w:t>2019-20</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412EE9FA" w14:textId="77777777" w:rsidR="000D42F1" w:rsidRPr="00711B3E" w:rsidRDefault="000D42F1">
            <w:pPr>
              <w:spacing w:after="0" w:line="240" w:lineRule="auto"/>
              <w:jc w:val="right"/>
              <w:rPr>
                <w:b/>
                <w:bCs/>
                <w:color w:val="2E74B5"/>
                <w:sz w:val="20"/>
                <w:szCs w:val="20"/>
              </w:rPr>
            </w:pPr>
            <w:r w:rsidRPr="00711B3E">
              <w:rPr>
                <w:b/>
                <w:bCs/>
                <w:color w:val="2E74B5"/>
                <w:sz w:val="20"/>
                <w:szCs w:val="20"/>
              </w:rPr>
              <w:t>2020-21</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vAlign w:val="center"/>
          </w:tcPr>
          <w:p w14:paraId="3FD3053F" w14:textId="77777777" w:rsidR="000D42F1" w:rsidRPr="00711B3E" w:rsidRDefault="000D42F1">
            <w:pPr>
              <w:spacing w:after="0" w:line="240" w:lineRule="auto"/>
              <w:jc w:val="right"/>
              <w:rPr>
                <w:b/>
                <w:bCs/>
                <w:color w:val="2E74B5" w:themeColor="accent1" w:themeShade="BF"/>
                <w:sz w:val="20"/>
                <w:szCs w:val="20"/>
              </w:rPr>
            </w:pPr>
            <w:r w:rsidRPr="00711B3E">
              <w:rPr>
                <w:b/>
                <w:bCs/>
                <w:color w:val="2E74B5" w:themeColor="accent1" w:themeShade="BF"/>
                <w:sz w:val="20"/>
                <w:szCs w:val="20"/>
              </w:rPr>
              <w:t>2021-22</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14:paraId="1D7D0B2B" w14:textId="77777777" w:rsidR="000D42F1" w:rsidRPr="00711B3E" w:rsidRDefault="000D42F1">
            <w:pPr>
              <w:spacing w:after="0" w:line="240" w:lineRule="auto"/>
              <w:jc w:val="right"/>
              <w:rPr>
                <w:b/>
                <w:bCs/>
                <w:color w:val="2E74B5" w:themeColor="accent1" w:themeShade="BF"/>
                <w:sz w:val="20"/>
                <w:szCs w:val="20"/>
              </w:rPr>
            </w:pPr>
            <w:r>
              <w:rPr>
                <w:b/>
                <w:bCs/>
                <w:color w:val="2E74B5" w:themeColor="accent1" w:themeShade="BF"/>
                <w:sz w:val="20"/>
                <w:szCs w:val="20"/>
              </w:rPr>
              <w:t>2022-23</w:t>
            </w:r>
          </w:p>
        </w:tc>
      </w:tr>
      <w:tr w:rsidR="000D42F1" w:rsidRPr="00711B3E" w14:paraId="25158650" w14:textId="77777777" w:rsidTr="001B6ECB">
        <w:trPr>
          <w:trHeight w:val="510"/>
        </w:trPr>
        <w:tc>
          <w:tcPr>
            <w:tcW w:w="225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79843A13" w14:textId="77777777" w:rsidR="000D42F1" w:rsidRPr="004836DA" w:rsidRDefault="000D42F1" w:rsidP="001B6ECB">
            <w:pPr>
              <w:spacing w:after="0" w:line="240" w:lineRule="auto"/>
              <w:rPr>
                <w:color w:val="000000"/>
                <w:sz w:val="20"/>
                <w:szCs w:val="20"/>
              </w:rPr>
            </w:pPr>
            <w:r w:rsidRPr="004836DA">
              <w:rPr>
                <w:color w:val="000000"/>
                <w:sz w:val="20"/>
                <w:szCs w:val="20"/>
              </w:rPr>
              <w:t>Permanent full time</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60B4D96B"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4,815 </w:t>
            </w:r>
          </w:p>
          <w:p w14:paraId="1505DB1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(30.3%)</w:t>
            </w:r>
          </w:p>
        </w:tc>
        <w:tc>
          <w:tcPr>
            <w:tcW w:w="141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1CB255C0"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5,258 </w:t>
            </w:r>
          </w:p>
          <w:p w14:paraId="0090652B"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(32.5%)</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3E85E1DC"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5,374 </w:t>
            </w:r>
          </w:p>
          <w:p w14:paraId="31369A7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(28.3%)</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tcPr>
          <w:p w14:paraId="16D017CE"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7,164 (29.6%)</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14:paraId="482DEE23"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8,296 (33.7%)</w:t>
            </w:r>
          </w:p>
        </w:tc>
      </w:tr>
      <w:tr w:rsidR="000D42F1" w:rsidRPr="00711B3E" w14:paraId="0AD18B55" w14:textId="77777777" w:rsidTr="001B6ECB">
        <w:trPr>
          <w:trHeight w:val="510"/>
        </w:trPr>
        <w:tc>
          <w:tcPr>
            <w:tcW w:w="225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45CE7D7C" w14:textId="77777777" w:rsidR="000D42F1" w:rsidRPr="004836DA" w:rsidRDefault="000D42F1" w:rsidP="001B6ECB">
            <w:pPr>
              <w:spacing w:after="0" w:line="240" w:lineRule="auto"/>
              <w:rPr>
                <w:color w:val="000000"/>
                <w:sz w:val="20"/>
                <w:szCs w:val="20"/>
              </w:rPr>
            </w:pPr>
            <w:r w:rsidRPr="004836DA">
              <w:rPr>
                <w:color w:val="000000"/>
                <w:sz w:val="20"/>
                <w:szCs w:val="20"/>
              </w:rPr>
              <w:t>Permanent part time</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1DB0D065"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1,557 </w:t>
            </w:r>
          </w:p>
          <w:p w14:paraId="23377E12"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(9.8%)</w:t>
            </w:r>
          </w:p>
        </w:tc>
        <w:tc>
          <w:tcPr>
            <w:tcW w:w="141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22EC480A"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1,420 </w:t>
            </w:r>
          </w:p>
          <w:p w14:paraId="5D9476C1"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(8.8%)</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239CC320"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1,650 </w:t>
            </w:r>
          </w:p>
          <w:p w14:paraId="4FF66383"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(8.7%)</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tcPr>
          <w:p w14:paraId="3A547DF8"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1,784</w:t>
            </w:r>
          </w:p>
          <w:p w14:paraId="567163B7"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(7.4%)</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14:paraId="570B4E67"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1,782</w:t>
            </w:r>
          </w:p>
          <w:p w14:paraId="67CBA6F9"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(7.2%)</w:t>
            </w:r>
          </w:p>
        </w:tc>
      </w:tr>
      <w:tr w:rsidR="000D42F1" w:rsidRPr="00711B3E" w14:paraId="47D01591" w14:textId="77777777" w:rsidTr="001B6ECB">
        <w:trPr>
          <w:trHeight w:val="510"/>
        </w:trPr>
        <w:tc>
          <w:tcPr>
            <w:tcW w:w="225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23DAEC6F" w14:textId="77777777" w:rsidR="000D42F1" w:rsidRPr="004836DA" w:rsidRDefault="000D42F1" w:rsidP="001B6ECB">
            <w:pPr>
              <w:spacing w:after="0" w:line="240" w:lineRule="auto"/>
              <w:rPr>
                <w:b/>
                <w:bCs/>
                <w:iCs/>
                <w:color w:val="000000"/>
                <w:sz w:val="20"/>
                <w:szCs w:val="20"/>
              </w:rPr>
            </w:pPr>
            <w:r w:rsidRPr="004836DA">
              <w:rPr>
                <w:b/>
                <w:bCs/>
                <w:iCs/>
                <w:color w:val="000000"/>
                <w:sz w:val="20"/>
                <w:szCs w:val="20"/>
              </w:rPr>
              <w:t>Permanent total</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20AD2CC7"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6,372 </w:t>
            </w:r>
          </w:p>
          <w:p w14:paraId="2E9B8897"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(40.1%)</w:t>
            </w:r>
          </w:p>
        </w:tc>
        <w:tc>
          <w:tcPr>
            <w:tcW w:w="141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1FD3C879"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6,678 </w:t>
            </w:r>
          </w:p>
          <w:p w14:paraId="1ABE859A"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(41.3%)</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1A182EE7"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7,024 </w:t>
            </w:r>
          </w:p>
          <w:p w14:paraId="2CCC121C"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(36.9%)</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tcPr>
          <w:p w14:paraId="2BDF8CDF" w14:textId="77777777" w:rsidR="000D42F1" w:rsidRPr="004836DA" w:rsidRDefault="000D42F1">
            <w:pPr>
              <w:spacing w:after="0" w:line="240" w:lineRule="auto"/>
              <w:jc w:val="right"/>
              <w:rPr>
                <w:b/>
                <w:bCs/>
                <w:color w:val="000000" w:themeColor="text1"/>
                <w:sz w:val="20"/>
                <w:szCs w:val="20"/>
              </w:rPr>
            </w:pPr>
            <w:r w:rsidRPr="004836DA">
              <w:rPr>
                <w:b/>
                <w:bCs/>
                <w:color w:val="000000" w:themeColor="text1"/>
                <w:sz w:val="20"/>
                <w:szCs w:val="20"/>
              </w:rPr>
              <w:t>8,948 (37.0%)</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14:paraId="3A2C128A" w14:textId="77777777" w:rsidR="000D42F1" w:rsidRPr="004836DA" w:rsidRDefault="000D42F1">
            <w:pPr>
              <w:spacing w:after="0" w:line="240" w:lineRule="auto"/>
              <w:jc w:val="right"/>
              <w:rPr>
                <w:b/>
                <w:bCs/>
                <w:color w:val="000000" w:themeColor="text1"/>
                <w:sz w:val="20"/>
                <w:szCs w:val="20"/>
              </w:rPr>
            </w:pPr>
            <w:r w:rsidRPr="004836DA">
              <w:rPr>
                <w:b/>
                <w:bCs/>
                <w:color w:val="000000" w:themeColor="text1"/>
                <w:sz w:val="20"/>
                <w:szCs w:val="20"/>
              </w:rPr>
              <w:t>10,078 (40.9%)</w:t>
            </w:r>
          </w:p>
        </w:tc>
      </w:tr>
      <w:tr w:rsidR="000D42F1" w:rsidRPr="00711B3E" w14:paraId="5682B542" w14:textId="77777777" w:rsidTr="001B6ECB">
        <w:trPr>
          <w:trHeight w:val="510"/>
        </w:trPr>
        <w:tc>
          <w:tcPr>
            <w:tcW w:w="225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14D848ED" w14:textId="77777777" w:rsidR="000D42F1" w:rsidRPr="004836DA" w:rsidRDefault="000D42F1" w:rsidP="001B6ECB">
            <w:pPr>
              <w:spacing w:after="0" w:line="240" w:lineRule="auto"/>
              <w:rPr>
                <w:color w:val="000000"/>
                <w:sz w:val="20"/>
                <w:szCs w:val="20"/>
              </w:rPr>
            </w:pPr>
            <w:r w:rsidRPr="004836DA">
              <w:rPr>
                <w:color w:val="000000"/>
                <w:sz w:val="20"/>
                <w:szCs w:val="20"/>
              </w:rPr>
              <w:t>Fixed term full time</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48725921"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4,843 </w:t>
            </w:r>
          </w:p>
          <w:p w14:paraId="65D22732"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(30.5%)</w:t>
            </w:r>
          </w:p>
        </w:tc>
        <w:tc>
          <w:tcPr>
            <w:tcW w:w="141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4A368BB2"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4,470 </w:t>
            </w:r>
          </w:p>
          <w:p w14:paraId="299A0009"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(27.7%)</w:t>
            </w:r>
          </w:p>
        </w:tc>
        <w:tc>
          <w:tcPr>
            <w:tcW w:w="1417"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hideMark/>
          </w:tcPr>
          <w:p w14:paraId="140020FB"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5,392 </w:t>
            </w:r>
          </w:p>
          <w:p w14:paraId="63FDEA2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(28.4%)</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tcPr>
          <w:p w14:paraId="1F0C4052"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6,296 (26.0%)</w:t>
            </w:r>
          </w:p>
        </w:tc>
        <w:tc>
          <w:tcPr>
            <w:tcW w:w="1276"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14:paraId="340C4A14"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5,489 (22.3%)</w:t>
            </w:r>
          </w:p>
        </w:tc>
      </w:tr>
      <w:tr w:rsidR="000D42F1" w:rsidRPr="00711B3E" w14:paraId="01C4589C" w14:textId="77777777" w:rsidTr="001B6ECB">
        <w:trPr>
          <w:trHeight w:val="510"/>
        </w:trPr>
        <w:tc>
          <w:tcPr>
            <w:tcW w:w="2258" w:type="dxa"/>
            <w:tcBorders>
              <w:top w:val="single" w:sz="12" w:space="0" w:color="2E74B5" w:themeColor="accent1" w:themeShade="BF"/>
              <w:left w:val="single" w:sz="12" w:space="0" w:color="2E74B5" w:themeColor="accent1" w:themeShade="BF"/>
              <w:bottom w:val="single" w:sz="12" w:space="0" w:color="4472C4" w:themeColor="accent5"/>
              <w:right w:val="single" w:sz="12" w:space="0" w:color="2E74B5" w:themeColor="accent1" w:themeShade="BF"/>
            </w:tcBorders>
            <w:shd w:val="clear" w:color="auto" w:fill="auto"/>
            <w:noWrap/>
            <w:vAlign w:val="center"/>
            <w:hideMark/>
          </w:tcPr>
          <w:p w14:paraId="6F709691" w14:textId="77777777" w:rsidR="000D42F1" w:rsidRPr="004836DA" w:rsidRDefault="000D42F1" w:rsidP="001B6ECB">
            <w:pPr>
              <w:spacing w:after="0" w:line="240" w:lineRule="auto"/>
              <w:rPr>
                <w:color w:val="000000"/>
                <w:sz w:val="20"/>
                <w:szCs w:val="20"/>
              </w:rPr>
            </w:pPr>
            <w:r w:rsidRPr="004836DA">
              <w:rPr>
                <w:color w:val="000000"/>
                <w:sz w:val="20"/>
                <w:szCs w:val="20"/>
              </w:rPr>
              <w:t>Fixed term part time</w:t>
            </w:r>
          </w:p>
        </w:tc>
        <w:tc>
          <w:tcPr>
            <w:tcW w:w="1417" w:type="dxa"/>
            <w:tcBorders>
              <w:top w:val="single" w:sz="12" w:space="0" w:color="2E74B5" w:themeColor="accent1" w:themeShade="BF"/>
              <w:left w:val="single" w:sz="12" w:space="0" w:color="2E74B5" w:themeColor="accent1" w:themeShade="BF"/>
              <w:bottom w:val="single" w:sz="12" w:space="0" w:color="4472C4" w:themeColor="accent5"/>
              <w:right w:val="single" w:sz="12" w:space="0" w:color="2E74B5" w:themeColor="accent1" w:themeShade="BF"/>
            </w:tcBorders>
            <w:shd w:val="clear" w:color="auto" w:fill="auto"/>
            <w:hideMark/>
          </w:tcPr>
          <w:p w14:paraId="4D4D209A"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913 </w:t>
            </w:r>
          </w:p>
          <w:p w14:paraId="22E88B6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(5.7%)</w:t>
            </w:r>
          </w:p>
        </w:tc>
        <w:tc>
          <w:tcPr>
            <w:tcW w:w="1418" w:type="dxa"/>
            <w:tcBorders>
              <w:top w:val="single" w:sz="12" w:space="0" w:color="2E74B5" w:themeColor="accent1" w:themeShade="BF"/>
              <w:left w:val="single" w:sz="12" w:space="0" w:color="2E74B5" w:themeColor="accent1" w:themeShade="BF"/>
              <w:bottom w:val="single" w:sz="12" w:space="0" w:color="4472C4" w:themeColor="accent5"/>
              <w:right w:val="single" w:sz="12" w:space="0" w:color="2E74B5" w:themeColor="accent1" w:themeShade="BF"/>
            </w:tcBorders>
            <w:shd w:val="clear" w:color="auto" w:fill="auto"/>
            <w:hideMark/>
          </w:tcPr>
          <w:p w14:paraId="4E382DD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887 </w:t>
            </w:r>
          </w:p>
          <w:p w14:paraId="5C430830"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(5.5%)</w:t>
            </w:r>
          </w:p>
        </w:tc>
        <w:tc>
          <w:tcPr>
            <w:tcW w:w="1417" w:type="dxa"/>
            <w:tcBorders>
              <w:top w:val="single" w:sz="12" w:space="0" w:color="2E74B5" w:themeColor="accent1" w:themeShade="BF"/>
              <w:left w:val="single" w:sz="12" w:space="0" w:color="2E74B5" w:themeColor="accent1" w:themeShade="BF"/>
              <w:bottom w:val="single" w:sz="12" w:space="0" w:color="4472C4" w:themeColor="accent5"/>
              <w:right w:val="single" w:sz="12" w:space="0" w:color="2E74B5" w:themeColor="accent1" w:themeShade="BF"/>
            </w:tcBorders>
            <w:shd w:val="clear" w:color="auto" w:fill="auto"/>
            <w:hideMark/>
          </w:tcPr>
          <w:p w14:paraId="129E020A"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1,143 </w:t>
            </w:r>
          </w:p>
          <w:p w14:paraId="52C102FD"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(6.0%)</w:t>
            </w:r>
          </w:p>
        </w:tc>
        <w:tc>
          <w:tcPr>
            <w:tcW w:w="1276" w:type="dxa"/>
            <w:tcBorders>
              <w:top w:val="single" w:sz="12" w:space="0" w:color="2E74B5" w:themeColor="accent1" w:themeShade="BF"/>
              <w:left w:val="single" w:sz="12" w:space="0" w:color="2E74B5" w:themeColor="accent1" w:themeShade="BF"/>
              <w:bottom w:val="single" w:sz="12" w:space="0" w:color="4472C4" w:themeColor="accent5"/>
              <w:right w:val="single" w:sz="12" w:space="0" w:color="2E74B5" w:themeColor="accent1" w:themeShade="BF"/>
            </w:tcBorders>
            <w:shd w:val="clear" w:color="auto" w:fill="auto"/>
          </w:tcPr>
          <w:p w14:paraId="519C7714"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1,044</w:t>
            </w:r>
          </w:p>
          <w:p w14:paraId="7A912BEE"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(4.3%)</w:t>
            </w:r>
          </w:p>
        </w:tc>
        <w:tc>
          <w:tcPr>
            <w:tcW w:w="1276" w:type="dxa"/>
            <w:tcBorders>
              <w:top w:val="single" w:sz="12" w:space="0" w:color="2E74B5" w:themeColor="accent1" w:themeShade="BF"/>
              <w:left w:val="single" w:sz="12" w:space="0" w:color="2E74B5" w:themeColor="accent1" w:themeShade="BF"/>
              <w:bottom w:val="single" w:sz="12" w:space="0" w:color="4472C4" w:themeColor="accent5"/>
              <w:right w:val="single" w:sz="12" w:space="0" w:color="2E74B5" w:themeColor="accent1" w:themeShade="BF"/>
            </w:tcBorders>
          </w:tcPr>
          <w:p w14:paraId="2E4F385B"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870</w:t>
            </w:r>
          </w:p>
          <w:p w14:paraId="3031CE4E"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(3.5%)</w:t>
            </w:r>
          </w:p>
        </w:tc>
      </w:tr>
      <w:tr w:rsidR="000D42F1" w:rsidRPr="00711B3E" w14:paraId="4FBBB611" w14:textId="77777777" w:rsidTr="001B6ECB">
        <w:trPr>
          <w:trHeight w:val="510"/>
        </w:trPr>
        <w:tc>
          <w:tcPr>
            <w:tcW w:w="225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noWrap/>
            <w:vAlign w:val="center"/>
            <w:hideMark/>
          </w:tcPr>
          <w:p w14:paraId="64881D14" w14:textId="77777777" w:rsidR="000D42F1" w:rsidRPr="004836DA" w:rsidRDefault="000D42F1" w:rsidP="001B6ECB">
            <w:pPr>
              <w:spacing w:after="0" w:line="240" w:lineRule="auto"/>
              <w:rPr>
                <w:b/>
                <w:bCs/>
                <w:iCs/>
                <w:color w:val="000000"/>
                <w:sz w:val="20"/>
                <w:szCs w:val="20"/>
              </w:rPr>
            </w:pPr>
            <w:r w:rsidRPr="004836DA">
              <w:rPr>
                <w:b/>
                <w:bCs/>
                <w:iCs/>
                <w:color w:val="000000"/>
                <w:sz w:val="20"/>
                <w:szCs w:val="20"/>
              </w:rPr>
              <w:t>Fixed term total</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54D08240"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5,756 </w:t>
            </w:r>
          </w:p>
          <w:p w14:paraId="5E21B700"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(36.2%)</w:t>
            </w:r>
          </w:p>
        </w:tc>
        <w:tc>
          <w:tcPr>
            <w:tcW w:w="141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4E766E77"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5,357 </w:t>
            </w:r>
          </w:p>
          <w:p w14:paraId="3078A18D"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(33.2%)</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1EDA5B4B"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6,535 </w:t>
            </w:r>
          </w:p>
          <w:p w14:paraId="39ED0125"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(34.4%)</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451CB6C" w14:textId="77777777" w:rsidR="000D42F1" w:rsidRPr="004836DA" w:rsidRDefault="000D42F1">
            <w:pPr>
              <w:spacing w:after="0" w:line="240" w:lineRule="auto"/>
              <w:jc w:val="right"/>
              <w:rPr>
                <w:b/>
                <w:bCs/>
                <w:color w:val="000000" w:themeColor="text1"/>
                <w:sz w:val="20"/>
                <w:szCs w:val="20"/>
              </w:rPr>
            </w:pPr>
            <w:r w:rsidRPr="004836DA">
              <w:rPr>
                <w:b/>
                <w:bCs/>
                <w:color w:val="000000" w:themeColor="text1"/>
                <w:sz w:val="20"/>
                <w:szCs w:val="20"/>
              </w:rPr>
              <w:t>7,340 (30.3%)</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0F5C60C" w14:textId="77777777" w:rsidR="000D42F1" w:rsidRPr="004836DA" w:rsidRDefault="000D42F1">
            <w:pPr>
              <w:spacing w:after="0" w:line="240" w:lineRule="auto"/>
              <w:jc w:val="right"/>
              <w:rPr>
                <w:b/>
                <w:bCs/>
                <w:color w:val="000000" w:themeColor="text1"/>
                <w:sz w:val="20"/>
                <w:szCs w:val="20"/>
              </w:rPr>
            </w:pPr>
            <w:r w:rsidRPr="004836DA">
              <w:rPr>
                <w:b/>
                <w:bCs/>
                <w:color w:val="000000" w:themeColor="text1"/>
                <w:sz w:val="20"/>
                <w:szCs w:val="20"/>
              </w:rPr>
              <w:t>6,359 (25.8%)</w:t>
            </w:r>
          </w:p>
        </w:tc>
      </w:tr>
      <w:tr w:rsidR="000D42F1" w:rsidRPr="00711B3E" w14:paraId="3B3C6552" w14:textId="77777777" w:rsidTr="001B6ECB">
        <w:trPr>
          <w:trHeight w:val="510"/>
        </w:trPr>
        <w:tc>
          <w:tcPr>
            <w:tcW w:w="225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noWrap/>
            <w:vAlign w:val="center"/>
            <w:hideMark/>
          </w:tcPr>
          <w:p w14:paraId="6F447FBE" w14:textId="77777777" w:rsidR="000D42F1" w:rsidRPr="004836DA" w:rsidRDefault="000D42F1" w:rsidP="001B6ECB">
            <w:pPr>
              <w:spacing w:after="0" w:line="240" w:lineRule="auto"/>
              <w:rPr>
                <w:color w:val="000000"/>
                <w:sz w:val="20"/>
                <w:szCs w:val="20"/>
              </w:rPr>
            </w:pPr>
            <w:r w:rsidRPr="004836DA">
              <w:rPr>
                <w:color w:val="000000"/>
                <w:sz w:val="20"/>
                <w:szCs w:val="20"/>
              </w:rPr>
              <w:t>Casual</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31E5867F"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419 </w:t>
            </w:r>
          </w:p>
          <w:p w14:paraId="4D659452"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(2.6%)</w:t>
            </w:r>
          </w:p>
        </w:tc>
        <w:tc>
          <w:tcPr>
            <w:tcW w:w="141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4CF7F3FE"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351 </w:t>
            </w:r>
          </w:p>
          <w:p w14:paraId="5F5827D2"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(2.2%)</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53FC873E"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359 </w:t>
            </w:r>
          </w:p>
          <w:p w14:paraId="19DD3B3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(1.9%)</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7350006"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333</w:t>
            </w:r>
          </w:p>
          <w:p w14:paraId="274EC09F"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(1.4%)</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3405075"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303</w:t>
            </w:r>
          </w:p>
          <w:p w14:paraId="255B50ED"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(1.2%)</w:t>
            </w:r>
          </w:p>
        </w:tc>
      </w:tr>
      <w:tr w:rsidR="000D42F1" w:rsidRPr="00711B3E" w14:paraId="0F80454B" w14:textId="77777777" w:rsidTr="001B6ECB">
        <w:trPr>
          <w:trHeight w:val="510"/>
        </w:trPr>
        <w:tc>
          <w:tcPr>
            <w:tcW w:w="225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noWrap/>
            <w:vAlign w:val="center"/>
            <w:hideMark/>
          </w:tcPr>
          <w:p w14:paraId="1707D0BC" w14:textId="77777777" w:rsidR="000D42F1" w:rsidRPr="004836DA" w:rsidRDefault="000D42F1" w:rsidP="001B6ECB">
            <w:pPr>
              <w:spacing w:after="0" w:line="240" w:lineRule="auto"/>
              <w:rPr>
                <w:color w:val="000000"/>
                <w:sz w:val="20"/>
                <w:szCs w:val="20"/>
              </w:rPr>
            </w:pPr>
            <w:r w:rsidRPr="004836DA">
              <w:rPr>
                <w:color w:val="000000"/>
                <w:sz w:val="20"/>
                <w:szCs w:val="20"/>
              </w:rPr>
              <w:t>Sessional</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21DF7CE3"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79 </w:t>
            </w:r>
          </w:p>
          <w:p w14:paraId="15C6D9F9"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(0.5%)</w:t>
            </w:r>
          </w:p>
        </w:tc>
        <w:tc>
          <w:tcPr>
            <w:tcW w:w="141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08A4E03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65 </w:t>
            </w:r>
          </w:p>
          <w:p w14:paraId="3839EDF4"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(0.4%)</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216A72EC"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156 </w:t>
            </w:r>
          </w:p>
          <w:p w14:paraId="0BC793F1"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(0.8%)</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2832D9E"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97</w:t>
            </w:r>
          </w:p>
          <w:p w14:paraId="7D79A830"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(0.4%)</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F363692"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50</w:t>
            </w:r>
          </w:p>
          <w:p w14:paraId="1DD856A2"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(0.2%)</w:t>
            </w:r>
          </w:p>
        </w:tc>
      </w:tr>
      <w:tr w:rsidR="000D42F1" w:rsidRPr="00711B3E" w14:paraId="6FE61EB8" w14:textId="77777777" w:rsidTr="001B6ECB">
        <w:trPr>
          <w:trHeight w:val="510"/>
        </w:trPr>
        <w:tc>
          <w:tcPr>
            <w:tcW w:w="225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noWrap/>
            <w:vAlign w:val="center"/>
            <w:hideMark/>
          </w:tcPr>
          <w:p w14:paraId="46EF09D0" w14:textId="77777777" w:rsidR="000D42F1" w:rsidRPr="004836DA" w:rsidRDefault="000D42F1" w:rsidP="001B6ECB">
            <w:pPr>
              <w:spacing w:after="0" w:line="240" w:lineRule="auto"/>
              <w:rPr>
                <w:color w:val="000000"/>
                <w:sz w:val="20"/>
                <w:szCs w:val="20"/>
              </w:rPr>
            </w:pPr>
            <w:r w:rsidRPr="004836DA">
              <w:rPr>
                <w:color w:val="000000"/>
                <w:sz w:val="20"/>
                <w:szCs w:val="20"/>
              </w:rPr>
              <w:t>Multiple work types</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5B5859E9"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3,145 </w:t>
            </w:r>
          </w:p>
          <w:p w14:paraId="677E2851"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(19.8%)</w:t>
            </w:r>
          </w:p>
        </w:tc>
        <w:tc>
          <w:tcPr>
            <w:tcW w:w="141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6DDDA21C"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3,596 </w:t>
            </w:r>
          </w:p>
          <w:p w14:paraId="6AA10195"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(22.3%)</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3DC6A33F"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4,824 </w:t>
            </w:r>
          </w:p>
          <w:p w14:paraId="087173DE"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(25.4%)</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376C62C"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7,373 (30.5%)</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E9D3423"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7,739 (31.4%)</w:t>
            </w:r>
          </w:p>
        </w:tc>
      </w:tr>
      <w:tr w:rsidR="000D42F1" w:rsidRPr="00711B3E" w14:paraId="7CD4DD1B" w14:textId="77777777" w:rsidTr="001B6ECB">
        <w:trPr>
          <w:trHeight w:val="510"/>
        </w:trPr>
        <w:tc>
          <w:tcPr>
            <w:tcW w:w="225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noWrap/>
            <w:vAlign w:val="center"/>
            <w:hideMark/>
          </w:tcPr>
          <w:p w14:paraId="6A356A5C" w14:textId="77777777" w:rsidR="000D42F1" w:rsidRPr="004836DA" w:rsidRDefault="000D42F1" w:rsidP="001B6ECB">
            <w:pPr>
              <w:spacing w:after="0" w:line="240" w:lineRule="auto"/>
              <w:rPr>
                <w:color w:val="000000"/>
                <w:sz w:val="20"/>
                <w:szCs w:val="20"/>
              </w:rPr>
            </w:pPr>
            <w:r w:rsidRPr="004836DA">
              <w:rPr>
                <w:color w:val="000000"/>
                <w:sz w:val="20"/>
                <w:szCs w:val="20"/>
              </w:rPr>
              <w:t>Other</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1E3E2C75"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118 </w:t>
            </w:r>
          </w:p>
          <w:p w14:paraId="523C4098"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(0.7%)</w:t>
            </w:r>
          </w:p>
        </w:tc>
        <w:tc>
          <w:tcPr>
            <w:tcW w:w="141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6C86FAFB"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107 </w:t>
            </w:r>
          </w:p>
          <w:p w14:paraId="11576161"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(0.7%)</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603F72D2"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 xml:space="preserve">112 </w:t>
            </w:r>
          </w:p>
          <w:p w14:paraId="7D24BF0C" w14:textId="77777777" w:rsidR="000D42F1" w:rsidRPr="004836DA" w:rsidRDefault="000D42F1">
            <w:pPr>
              <w:spacing w:after="0" w:line="240" w:lineRule="auto"/>
              <w:jc w:val="right"/>
              <w:rPr>
                <w:color w:val="000000"/>
                <w:sz w:val="20"/>
                <w:szCs w:val="20"/>
              </w:rPr>
            </w:pPr>
            <w:r w:rsidRPr="004836DA">
              <w:rPr>
                <w:color w:val="000000" w:themeColor="text1"/>
                <w:sz w:val="20"/>
                <w:szCs w:val="20"/>
              </w:rPr>
              <w:t>(0.6%)</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5C22A9F"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94</w:t>
            </w:r>
          </w:p>
          <w:p w14:paraId="04E9C199"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(0.4%)</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6B4C807"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118</w:t>
            </w:r>
          </w:p>
          <w:p w14:paraId="306A65EC" w14:textId="77777777" w:rsidR="000D42F1" w:rsidRPr="004836DA" w:rsidRDefault="000D42F1">
            <w:pPr>
              <w:spacing w:after="0" w:line="240" w:lineRule="auto"/>
              <w:jc w:val="right"/>
              <w:rPr>
                <w:color w:val="000000" w:themeColor="text1"/>
                <w:sz w:val="20"/>
                <w:szCs w:val="20"/>
              </w:rPr>
            </w:pPr>
            <w:r w:rsidRPr="004836DA">
              <w:rPr>
                <w:color w:val="000000" w:themeColor="text1"/>
                <w:sz w:val="20"/>
                <w:szCs w:val="20"/>
              </w:rPr>
              <w:t>(0.5%)</w:t>
            </w:r>
          </w:p>
        </w:tc>
      </w:tr>
      <w:tr w:rsidR="000D42F1" w:rsidRPr="00711B3E" w14:paraId="02FB3C32" w14:textId="77777777" w:rsidTr="001B6ECB">
        <w:trPr>
          <w:trHeight w:val="510"/>
        </w:trPr>
        <w:tc>
          <w:tcPr>
            <w:tcW w:w="225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noWrap/>
            <w:vAlign w:val="center"/>
            <w:hideMark/>
          </w:tcPr>
          <w:p w14:paraId="0D3354DD" w14:textId="77777777" w:rsidR="000D42F1" w:rsidRPr="004836DA" w:rsidRDefault="000D42F1" w:rsidP="001B6ECB">
            <w:pPr>
              <w:spacing w:after="0" w:line="240" w:lineRule="auto"/>
              <w:rPr>
                <w:b/>
                <w:bCs/>
                <w:color w:val="000000"/>
                <w:sz w:val="20"/>
                <w:szCs w:val="20"/>
              </w:rPr>
            </w:pPr>
            <w:r w:rsidRPr="004836DA">
              <w:rPr>
                <w:b/>
                <w:bCs/>
                <w:color w:val="000000"/>
                <w:sz w:val="20"/>
                <w:szCs w:val="20"/>
              </w:rPr>
              <w:t>Total</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054B6619"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15,889 </w:t>
            </w:r>
          </w:p>
          <w:p w14:paraId="38988F52"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(100%)</w:t>
            </w:r>
          </w:p>
        </w:tc>
        <w:tc>
          <w:tcPr>
            <w:tcW w:w="141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4FBF0625"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16,154 </w:t>
            </w:r>
          </w:p>
          <w:p w14:paraId="6E5B8C9C"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(100%)</w:t>
            </w:r>
          </w:p>
        </w:tc>
        <w:tc>
          <w:tcPr>
            <w:tcW w:w="14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hideMark/>
          </w:tcPr>
          <w:p w14:paraId="492E2E56"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 xml:space="preserve">19,010 </w:t>
            </w:r>
          </w:p>
          <w:p w14:paraId="0BB48837" w14:textId="77777777" w:rsidR="000D42F1" w:rsidRPr="004836DA" w:rsidRDefault="000D42F1">
            <w:pPr>
              <w:spacing w:after="0" w:line="240" w:lineRule="auto"/>
              <w:jc w:val="right"/>
              <w:rPr>
                <w:b/>
                <w:bCs/>
                <w:color w:val="000000"/>
                <w:sz w:val="20"/>
                <w:szCs w:val="20"/>
              </w:rPr>
            </w:pPr>
            <w:r w:rsidRPr="004836DA">
              <w:rPr>
                <w:b/>
                <w:bCs/>
                <w:color w:val="000000" w:themeColor="text1"/>
                <w:sz w:val="20"/>
                <w:szCs w:val="20"/>
              </w:rPr>
              <w:t>(100%)</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7DA59D5" w14:textId="77777777" w:rsidR="000D42F1" w:rsidRPr="004836DA" w:rsidRDefault="000D42F1">
            <w:pPr>
              <w:spacing w:after="0" w:line="240" w:lineRule="auto"/>
              <w:jc w:val="right"/>
              <w:rPr>
                <w:b/>
                <w:bCs/>
                <w:color w:val="000000" w:themeColor="text1"/>
                <w:sz w:val="20"/>
                <w:szCs w:val="20"/>
              </w:rPr>
            </w:pPr>
            <w:r w:rsidRPr="004836DA">
              <w:rPr>
                <w:b/>
                <w:bCs/>
                <w:color w:val="000000" w:themeColor="text1"/>
                <w:sz w:val="20"/>
                <w:szCs w:val="20"/>
              </w:rPr>
              <w:t>24,185 (100%)</w:t>
            </w:r>
          </w:p>
        </w:tc>
        <w:tc>
          <w:tcPr>
            <w:tcW w:w="127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EB50E87" w14:textId="77777777" w:rsidR="000D42F1" w:rsidRPr="004836DA" w:rsidRDefault="000D42F1">
            <w:pPr>
              <w:spacing w:after="0" w:line="240" w:lineRule="auto"/>
              <w:jc w:val="right"/>
              <w:rPr>
                <w:b/>
                <w:bCs/>
                <w:color w:val="000000" w:themeColor="text1"/>
                <w:sz w:val="20"/>
                <w:szCs w:val="20"/>
              </w:rPr>
            </w:pPr>
            <w:r w:rsidRPr="004836DA">
              <w:rPr>
                <w:b/>
                <w:bCs/>
                <w:color w:val="000000" w:themeColor="text1"/>
                <w:sz w:val="20"/>
                <w:szCs w:val="20"/>
              </w:rPr>
              <w:t>24,647 (100%)</w:t>
            </w:r>
          </w:p>
        </w:tc>
      </w:tr>
    </w:tbl>
    <w:p w14:paraId="02C03006" w14:textId="77777777" w:rsidR="000C16A4" w:rsidRDefault="000C16A4" w:rsidP="000D42F1">
      <w:pPr>
        <w:pStyle w:val="Tables"/>
        <w:spacing w:before="240" w:after="120"/>
        <w:jc w:val="left"/>
        <w:rPr>
          <w:sz w:val="22"/>
          <w:szCs w:val="22"/>
        </w:rPr>
      </w:pPr>
      <w:r>
        <w:rPr>
          <w:sz w:val="22"/>
          <w:szCs w:val="22"/>
        </w:rPr>
        <w:br w:type="page"/>
      </w:r>
    </w:p>
    <w:p w14:paraId="7B40F40C" w14:textId="6F8A79F3" w:rsidR="000D42F1" w:rsidRPr="007541E1" w:rsidRDefault="000D42F1" w:rsidP="000D42F1">
      <w:pPr>
        <w:pStyle w:val="Tables"/>
        <w:spacing w:before="240" w:after="120"/>
        <w:jc w:val="left"/>
        <w:rPr>
          <w:sz w:val="22"/>
          <w:szCs w:val="22"/>
        </w:rPr>
      </w:pPr>
      <w:r w:rsidRPr="17B67EEB">
        <w:rPr>
          <w:sz w:val="22"/>
          <w:szCs w:val="22"/>
        </w:rPr>
        <w:lastRenderedPageBreak/>
        <w:t xml:space="preserve">Recruitment </w:t>
      </w:r>
      <w:r>
        <w:rPr>
          <w:sz w:val="22"/>
          <w:szCs w:val="22"/>
        </w:rPr>
        <w:t>trends</w:t>
      </w:r>
      <w:r w:rsidRPr="17B67EEB">
        <w:rPr>
          <w:sz w:val="22"/>
          <w:szCs w:val="22"/>
        </w:rPr>
        <w:t xml:space="preserve"> in 20</w:t>
      </w:r>
      <w:r>
        <w:rPr>
          <w:sz w:val="22"/>
          <w:szCs w:val="22"/>
        </w:rPr>
        <w:t>22</w:t>
      </w:r>
      <w:r w:rsidRPr="17B67EEB">
        <w:rPr>
          <w:sz w:val="22"/>
          <w:szCs w:val="22"/>
        </w:rPr>
        <w:t>-</w:t>
      </w:r>
      <w:r>
        <w:rPr>
          <w:sz w:val="22"/>
          <w:szCs w:val="22"/>
        </w:rPr>
        <w:t>23</w:t>
      </w:r>
      <w:r w:rsidRPr="17B67EEB">
        <w:rPr>
          <w:sz w:val="22"/>
          <w:szCs w:val="22"/>
        </w:rPr>
        <w:t xml:space="preserve"> were </w:t>
      </w:r>
      <w:proofErr w:type="gramStart"/>
      <w:r w:rsidRPr="17B67EEB">
        <w:rPr>
          <w:sz w:val="22"/>
          <w:szCs w:val="22"/>
        </w:rPr>
        <w:t>similar to</w:t>
      </w:r>
      <w:proofErr w:type="gramEnd"/>
      <w:r w:rsidRPr="17B67EEB">
        <w:rPr>
          <w:sz w:val="22"/>
          <w:szCs w:val="22"/>
        </w:rPr>
        <w:t xml:space="preserve"> those in 20</w:t>
      </w:r>
      <w:r>
        <w:rPr>
          <w:sz w:val="22"/>
          <w:szCs w:val="22"/>
        </w:rPr>
        <w:t>21-22</w:t>
      </w:r>
      <w:r w:rsidRPr="17B67EEB">
        <w:rPr>
          <w:sz w:val="22"/>
          <w:szCs w:val="22"/>
        </w:rPr>
        <w:t xml:space="preserve">, however </w:t>
      </w:r>
      <w:r>
        <w:rPr>
          <w:sz w:val="22"/>
          <w:szCs w:val="22"/>
        </w:rPr>
        <w:t>a</w:t>
      </w:r>
      <w:r w:rsidRPr="17B67EEB">
        <w:rPr>
          <w:sz w:val="22"/>
          <w:szCs w:val="22"/>
        </w:rPr>
        <w:t xml:space="preserve"> greater number of advertisements </w:t>
      </w:r>
      <w:r>
        <w:rPr>
          <w:sz w:val="22"/>
          <w:szCs w:val="22"/>
        </w:rPr>
        <w:t xml:space="preserve">were </w:t>
      </w:r>
      <w:r w:rsidRPr="17B67EEB">
        <w:rPr>
          <w:sz w:val="22"/>
          <w:szCs w:val="22"/>
        </w:rPr>
        <w:t>posted</w:t>
      </w:r>
      <w:r>
        <w:rPr>
          <w:sz w:val="22"/>
          <w:szCs w:val="22"/>
        </w:rPr>
        <w:t xml:space="preserve"> (</w:t>
      </w:r>
      <w:r>
        <w:rPr>
          <w:sz w:val="22"/>
          <w:szCs w:val="22"/>
        </w:rPr>
        <w:fldChar w:fldCharType="begin"/>
      </w:r>
      <w:r>
        <w:rPr>
          <w:sz w:val="22"/>
          <w:szCs w:val="22"/>
        </w:rPr>
        <w:instrText xml:space="preserve"> REF _Ref148711161 \h  \* MERGEFORMAT </w:instrText>
      </w:r>
      <w:r>
        <w:rPr>
          <w:sz w:val="22"/>
          <w:szCs w:val="22"/>
        </w:rPr>
      </w:r>
      <w:r>
        <w:rPr>
          <w:sz w:val="22"/>
          <w:szCs w:val="22"/>
        </w:rPr>
        <w:fldChar w:fldCharType="separate"/>
      </w:r>
      <w:r w:rsidR="0048418F" w:rsidRPr="0048418F">
        <w:rPr>
          <w:sz w:val="22"/>
          <w:szCs w:val="22"/>
        </w:rPr>
        <w:t>Figure 5</w:t>
      </w:r>
      <w:r>
        <w:rPr>
          <w:sz w:val="22"/>
          <w:szCs w:val="22"/>
        </w:rPr>
        <w:fldChar w:fldCharType="end"/>
      </w:r>
      <w:r>
        <w:rPr>
          <w:sz w:val="22"/>
          <w:szCs w:val="22"/>
        </w:rPr>
        <w:t>)</w:t>
      </w:r>
      <w:r w:rsidRPr="17B67EEB">
        <w:rPr>
          <w:sz w:val="22"/>
          <w:szCs w:val="22"/>
        </w:rPr>
        <w:t xml:space="preserve">. </w:t>
      </w:r>
    </w:p>
    <w:p w14:paraId="05DF5ECF" w14:textId="2E02553C" w:rsidR="000D42F1" w:rsidRDefault="000D42F1" w:rsidP="000D42F1">
      <w:pPr>
        <w:pStyle w:val="Tables"/>
        <w:spacing w:before="120" w:after="120"/>
        <w:jc w:val="left"/>
      </w:pPr>
      <w:r w:rsidRPr="2EE9826F">
        <w:rPr>
          <w:sz w:val="22"/>
          <w:szCs w:val="22"/>
        </w:rPr>
        <w:t>Advertisements (</w:t>
      </w:r>
      <w:r>
        <w:fldChar w:fldCharType="begin"/>
      </w:r>
      <w:r>
        <w:rPr>
          <w:sz w:val="22"/>
          <w:szCs w:val="22"/>
        </w:rPr>
        <w:instrText xml:space="preserve"> REF _Ref148711198 \h  \* MERGEFORMAT </w:instrText>
      </w:r>
      <w:r>
        <w:fldChar w:fldCharType="separate"/>
      </w:r>
      <w:r w:rsidR="0048418F" w:rsidRPr="0048418F">
        <w:rPr>
          <w:sz w:val="22"/>
          <w:szCs w:val="22"/>
        </w:rPr>
        <w:t>Table 4</w:t>
      </w:r>
      <w:r>
        <w:fldChar w:fldCharType="end"/>
      </w:r>
      <w:r w:rsidRPr="2EE9826F">
        <w:rPr>
          <w:sz w:val="22"/>
          <w:szCs w:val="22"/>
        </w:rPr>
        <w:t>)</w:t>
      </w:r>
      <w:r>
        <w:rPr>
          <w:sz w:val="22"/>
          <w:szCs w:val="22"/>
        </w:rPr>
        <w:t xml:space="preserve"> increased in the m</w:t>
      </w:r>
      <w:r w:rsidRPr="2EE9826F">
        <w:rPr>
          <w:sz w:val="22"/>
          <w:szCs w:val="22"/>
        </w:rPr>
        <w:t xml:space="preserve">etropolitan area by </w:t>
      </w:r>
      <w:r>
        <w:rPr>
          <w:sz w:val="22"/>
          <w:szCs w:val="22"/>
        </w:rPr>
        <w:t>3</w:t>
      </w:r>
      <w:r w:rsidRPr="2EE9826F">
        <w:rPr>
          <w:sz w:val="22"/>
          <w:szCs w:val="22"/>
        </w:rPr>
        <w:t>.</w:t>
      </w:r>
      <w:r w:rsidRPr="40B57129">
        <w:rPr>
          <w:sz w:val="22"/>
          <w:szCs w:val="22"/>
        </w:rPr>
        <w:t>7</w:t>
      </w:r>
      <w:r w:rsidRPr="2EE9826F">
        <w:rPr>
          <w:sz w:val="22"/>
          <w:szCs w:val="22"/>
        </w:rPr>
        <w:t>% (up from</w:t>
      </w:r>
      <w:r>
        <w:rPr>
          <w:sz w:val="22"/>
          <w:szCs w:val="22"/>
        </w:rPr>
        <w:t xml:space="preserve"> </w:t>
      </w:r>
      <w:r w:rsidRPr="2EE9826F">
        <w:rPr>
          <w:sz w:val="22"/>
          <w:szCs w:val="22"/>
        </w:rPr>
        <w:t>16,211</w:t>
      </w:r>
      <w:r>
        <w:rPr>
          <w:sz w:val="22"/>
          <w:szCs w:val="22"/>
        </w:rPr>
        <w:t xml:space="preserve"> to </w:t>
      </w:r>
      <w:r w:rsidRPr="00772A98">
        <w:rPr>
          <w:sz w:val="22"/>
          <w:szCs w:val="22"/>
        </w:rPr>
        <w:t>16,803</w:t>
      </w:r>
      <w:r w:rsidRPr="2EE9826F">
        <w:rPr>
          <w:sz w:val="22"/>
          <w:szCs w:val="22"/>
        </w:rPr>
        <w:t xml:space="preserve">) and </w:t>
      </w:r>
      <w:r>
        <w:rPr>
          <w:sz w:val="22"/>
          <w:szCs w:val="22"/>
        </w:rPr>
        <w:t xml:space="preserve">decreased in </w:t>
      </w:r>
      <w:r w:rsidRPr="2EE9826F">
        <w:rPr>
          <w:sz w:val="22"/>
          <w:szCs w:val="22"/>
        </w:rPr>
        <w:t xml:space="preserve">regional areas by </w:t>
      </w:r>
      <w:r>
        <w:rPr>
          <w:sz w:val="22"/>
          <w:szCs w:val="22"/>
        </w:rPr>
        <w:t>1.4</w:t>
      </w:r>
      <w:r w:rsidRPr="2EE9826F">
        <w:rPr>
          <w:sz w:val="22"/>
          <w:szCs w:val="22"/>
        </w:rPr>
        <w:t>% (</w:t>
      </w:r>
      <w:r>
        <w:rPr>
          <w:sz w:val="22"/>
          <w:szCs w:val="22"/>
        </w:rPr>
        <w:t>down</w:t>
      </w:r>
      <w:r w:rsidRPr="2EE9826F">
        <w:rPr>
          <w:sz w:val="22"/>
          <w:szCs w:val="22"/>
        </w:rPr>
        <w:t xml:space="preserve"> from 6,546</w:t>
      </w:r>
      <w:r>
        <w:rPr>
          <w:sz w:val="22"/>
          <w:szCs w:val="22"/>
        </w:rPr>
        <w:t xml:space="preserve"> to 6,453</w:t>
      </w:r>
      <w:r w:rsidRPr="2EE9826F">
        <w:rPr>
          <w:sz w:val="22"/>
          <w:szCs w:val="22"/>
        </w:rPr>
        <w:t>).</w:t>
      </w:r>
      <w:bookmarkStart w:id="25" w:name="_Ref84252962"/>
    </w:p>
    <w:p w14:paraId="6544EBB6" w14:textId="76EE8197" w:rsidR="000D42F1" w:rsidRPr="00240621" w:rsidRDefault="000D42F1" w:rsidP="000D42F1">
      <w:pPr>
        <w:pStyle w:val="Caption"/>
        <w:rPr>
          <w:b/>
          <w:bCs/>
        </w:rPr>
      </w:pPr>
      <w:bookmarkStart w:id="26" w:name="_Ref148711161"/>
      <w:r w:rsidRPr="00E94AFC">
        <w:rPr>
          <w:b/>
          <w:bCs/>
        </w:rPr>
        <w:t xml:space="preserve">Figure </w:t>
      </w:r>
      <w:r w:rsidRPr="00E94AFC">
        <w:rPr>
          <w:b/>
          <w:bCs/>
        </w:rPr>
        <w:fldChar w:fldCharType="begin"/>
      </w:r>
      <w:r w:rsidRPr="00E94AFC">
        <w:rPr>
          <w:b/>
          <w:bCs/>
        </w:rPr>
        <w:instrText xml:space="preserve"> SEQ Figure \* ARABIC </w:instrText>
      </w:r>
      <w:r w:rsidRPr="00E94AFC">
        <w:rPr>
          <w:b/>
          <w:bCs/>
        </w:rPr>
        <w:fldChar w:fldCharType="separate"/>
      </w:r>
      <w:r w:rsidR="0048418F">
        <w:rPr>
          <w:b/>
          <w:bCs/>
          <w:noProof/>
        </w:rPr>
        <w:t>5</w:t>
      </w:r>
      <w:r w:rsidRPr="00E94AFC">
        <w:rPr>
          <w:b/>
          <w:bCs/>
        </w:rPr>
        <w:fldChar w:fldCharType="end"/>
      </w:r>
      <w:bookmarkEnd w:id="25"/>
      <w:bookmarkEnd w:id="26"/>
      <w:r w:rsidRPr="00240621">
        <w:rPr>
          <w:b/>
          <w:bCs/>
        </w:rPr>
        <w:t>: Recruitment advertisements by month 20</w:t>
      </w:r>
      <w:r>
        <w:rPr>
          <w:b/>
          <w:bCs/>
        </w:rPr>
        <w:t xml:space="preserve">20-21 to </w:t>
      </w:r>
      <w:r w:rsidRPr="00240621">
        <w:rPr>
          <w:b/>
          <w:bCs/>
        </w:rPr>
        <w:t>202</w:t>
      </w:r>
      <w:r>
        <w:rPr>
          <w:b/>
          <w:bCs/>
        </w:rPr>
        <w:t>2</w:t>
      </w:r>
      <w:r w:rsidRPr="00240621">
        <w:rPr>
          <w:b/>
          <w:bCs/>
        </w:rPr>
        <w:t>-2</w:t>
      </w:r>
      <w:r>
        <w:rPr>
          <w:b/>
          <w:bCs/>
        </w:rPr>
        <w:t>3</w:t>
      </w:r>
    </w:p>
    <w:p w14:paraId="20138E05" w14:textId="77777777" w:rsidR="000D42F1" w:rsidRPr="00240621" w:rsidRDefault="000D42F1" w:rsidP="000D42F1">
      <w:pPr>
        <w:pStyle w:val="Caption"/>
        <w:rPr>
          <w:b/>
          <w:bCs/>
          <w:sz w:val="6"/>
          <w:szCs w:val="6"/>
        </w:rPr>
      </w:pPr>
      <w:bookmarkStart w:id="27" w:name="_Ref84252993"/>
      <w:r w:rsidRPr="7F03531B">
        <w:rPr>
          <w:noProof/>
        </w:rPr>
        <w:t xml:space="preserve"> </w:t>
      </w:r>
      <w:r>
        <w:rPr>
          <w:noProof/>
        </w:rPr>
        <w:drawing>
          <wp:inline distT="0" distB="0" distL="0" distR="0" wp14:anchorId="5E5FF0F4" wp14:editId="413ED1AD">
            <wp:extent cx="5686425" cy="3781425"/>
            <wp:effectExtent l="0" t="0" r="0" b="0"/>
            <wp:docPr id="7" name="Chart 7" descr="A line graph showing the recruitment advertisements by month from 2020-21 to 2022-23. Monthly trends are similar across financial years with the exception of August 2022 where the number of advertisements peaked for 2022-23, whereas the peak was in November for 2020 and 2021.">
              <a:extLst xmlns:a="http://schemas.openxmlformats.org/drawingml/2006/main">
                <a:ext uri="{FF2B5EF4-FFF2-40B4-BE49-F238E27FC236}">
                  <a16:creationId xmlns:a16="http://schemas.microsoft.com/office/drawing/2014/main" id="{82CB3F53-0FE6-D73B-2062-8311A53E8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3C14AF" w14:textId="77777777" w:rsidR="000D42F1" w:rsidRDefault="000D42F1" w:rsidP="000D42F1">
      <w:pPr>
        <w:pStyle w:val="Caption"/>
        <w:rPr>
          <w:b/>
          <w:bCs/>
        </w:rPr>
      </w:pPr>
    </w:p>
    <w:p w14:paraId="00F24044" w14:textId="66311D05" w:rsidR="000D42F1" w:rsidRPr="00240621" w:rsidRDefault="000D42F1" w:rsidP="000D42F1">
      <w:pPr>
        <w:pStyle w:val="Caption"/>
        <w:rPr>
          <w:b/>
          <w:bCs/>
        </w:rPr>
      </w:pPr>
      <w:bookmarkStart w:id="28" w:name="_Ref148711198"/>
      <w:r w:rsidRPr="00240621">
        <w:rPr>
          <w:b/>
          <w:bCs/>
        </w:rPr>
        <w:t xml:space="preserve">Table </w:t>
      </w:r>
      <w:r>
        <w:rPr>
          <w:b/>
          <w:bCs/>
        </w:rPr>
        <w:fldChar w:fldCharType="begin"/>
      </w:r>
      <w:r>
        <w:rPr>
          <w:b/>
          <w:bCs/>
        </w:rPr>
        <w:instrText xml:space="preserve"> SEQ Table \* ARABIC </w:instrText>
      </w:r>
      <w:r>
        <w:rPr>
          <w:b/>
          <w:bCs/>
        </w:rPr>
        <w:fldChar w:fldCharType="separate"/>
      </w:r>
      <w:r w:rsidR="0048418F">
        <w:rPr>
          <w:b/>
          <w:bCs/>
          <w:noProof/>
        </w:rPr>
        <w:t>4</w:t>
      </w:r>
      <w:r>
        <w:rPr>
          <w:b/>
          <w:bCs/>
        </w:rPr>
        <w:fldChar w:fldCharType="end"/>
      </w:r>
      <w:bookmarkEnd w:id="27"/>
      <w:bookmarkEnd w:id="28"/>
      <w:r>
        <w:rPr>
          <w:b/>
          <w:bCs/>
        </w:rPr>
        <w:t>:</w:t>
      </w:r>
      <w:r w:rsidRPr="00240621">
        <w:rPr>
          <w:b/>
          <w:bCs/>
        </w:rPr>
        <w:t xml:space="preserve"> Advertisements for roles in WA regions (where region recorded) 202</w:t>
      </w:r>
      <w:r w:rsidR="00B241E5">
        <w:rPr>
          <w:b/>
          <w:bCs/>
        </w:rPr>
        <w:t>1</w:t>
      </w:r>
      <w:r w:rsidRPr="00240621">
        <w:rPr>
          <w:b/>
          <w:bCs/>
        </w:rPr>
        <w:t>-2</w:t>
      </w:r>
      <w:r w:rsidR="00B241E5">
        <w:rPr>
          <w:b/>
          <w:bCs/>
        </w:rPr>
        <w:t>2</w:t>
      </w:r>
      <w:r w:rsidRPr="00240621">
        <w:rPr>
          <w:b/>
          <w:bCs/>
        </w:rPr>
        <w:t xml:space="preserve"> and 202</w:t>
      </w:r>
      <w:r w:rsidR="00B241E5">
        <w:rPr>
          <w:b/>
          <w:bCs/>
        </w:rPr>
        <w:t>2</w:t>
      </w:r>
      <w:r w:rsidRPr="00240621">
        <w:rPr>
          <w:b/>
          <w:bCs/>
        </w:rPr>
        <w:t>-2</w:t>
      </w:r>
      <w:r w:rsidR="00B241E5">
        <w:rPr>
          <w:b/>
          <w:bCs/>
        </w:rPr>
        <w:t>3</w:t>
      </w:r>
    </w:p>
    <w:tbl>
      <w:tblPr>
        <w:tblW w:w="8931" w:type="dxa"/>
        <w:tblInd w:w="-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4: Advertisements for roles in WA regions (where region recorded) 2021-22 and 2022-23"/>
      </w:tblPr>
      <w:tblGrid>
        <w:gridCol w:w="2552"/>
        <w:gridCol w:w="1843"/>
        <w:gridCol w:w="2268"/>
        <w:gridCol w:w="2268"/>
      </w:tblGrid>
      <w:tr w:rsidR="000D42F1" w:rsidRPr="004836DA" w14:paraId="0E9B4152" w14:textId="77777777">
        <w:trPr>
          <w:trHeight w:val="340"/>
        </w:trPr>
        <w:tc>
          <w:tcPr>
            <w:tcW w:w="2552" w:type="dxa"/>
            <w:shd w:val="clear" w:color="auto" w:fill="auto"/>
            <w:noWrap/>
            <w:hideMark/>
          </w:tcPr>
          <w:p w14:paraId="68981724" w14:textId="77777777" w:rsidR="000D42F1" w:rsidRPr="004836DA" w:rsidRDefault="000D42F1">
            <w:pPr>
              <w:pStyle w:val="Tables"/>
              <w:spacing w:before="0" w:after="0"/>
              <w:jc w:val="left"/>
              <w:rPr>
                <w:b/>
                <w:color w:val="2E74B5" w:themeColor="accent1" w:themeShade="BF"/>
              </w:rPr>
            </w:pPr>
            <w:r w:rsidRPr="004836DA">
              <w:rPr>
                <w:b/>
                <w:color w:val="2E74B5" w:themeColor="accent1" w:themeShade="BF"/>
              </w:rPr>
              <w:t>Region</w:t>
            </w:r>
          </w:p>
        </w:tc>
        <w:tc>
          <w:tcPr>
            <w:tcW w:w="1843" w:type="dxa"/>
            <w:shd w:val="clear" w:color="auto" w:fill="auto"/>
            <w:vAlign w:val="center"/>
          </w:tcPr>
          <w:p w14:paraId="2DBCA0E3" w14:textId="77777777" w:rsidR="000D42F1" w:rsidRPr="004836DA" w:rsidRDefault="000D42F1">
            <w:pPr>
              <w:pStyle w:val="Tables"/>
              <w:spacing w:before="0" w:after="0"/>
              <w:rPr>
                <w:b/>
                <w:bCs/>
                <w:color w:val="2E74B5" w:themeColor="accent1" w:themeShade="BF"/>
              </w:rPr>
            </w:pPr>
            <w:r w:rsidRPr="004836DA">
              <w:rPr>
                <w:b/>
                <w:bCs/>
                <w:color w:val="2E74B5" w:themeColor="accent1" w:themeShade="BF"/>
              </w:rPr>
              <w:t>2021-22</w:t>
            </w:r>
          </w:p>
        </w:tc>
        <w:tc>
          <w:tcPr>
            <w:tcW w:w="2268" w:type="dxa"/>
            <w:vAlign w:val="center"/>
          </w:tcPr>
          <w:p w14:paraId="3874FD7B" w14:textId="77777777" w:rsidR="000D42F1" w:rsidRPr="004836DA" w:rsidRDefault="000D42F1">
            <w:pPr>
              <w:pStyle w:val="Tables"/>
              <w:spacing w:before="0" w:after="0"/>
              <w:rPr>
                <w:b/>
                <w:color w:val="2E74B5" w:themeColor="accent1" w:themeShade="BF"/>
              </w:rPr>
            </w:pPr>
            <w:r w:rsidRPr="004836DA">
              <w:rPr>
                <w:b/>
                <w:bCs/>
                <w:color w:val="2E74B5"/>
              </w:rPr>
              <w:t>2022-23</w:t>
            </w:r>
          </w:p>
        </w:tc>
        <w:tc>
          <w:tcPr>
            <w:tcW w:w="2268" w:type="dxa"/>
            <w:vAlign w:val="center"/>
          </w:tcPr>
          <w:p w14:paraId="7B2D296D" w14:textId="77777777" w:rsidR="000D42F1" w:rsidRPr="004836DA" w:rsidRDefault="000D42F1">
            <w:pPr>
              <w:pStyle w:val="Tables"/>
              <w:spacing w:before="0" w:after="0"/>
              <w:rPr>
                <w:b/>
                <w:color w:val="2E74B5" w:themeColor="accent1" w:themeShade="BF"/>
              </w:rPr>
            </w:pPr>
            <w:r w:rsidRPr="004836DA">
              <w:rPr>
                <w:b/>
                <w:color w:val="2E74B5" w:themeColor="accent1" w:themeShade="BF"/>
              </w:rPr>
              <w:t>Change</w:t>
            </w:r>
          </w:p>
        </w:tc>
      </w:tr>
      <w:tr w:rsidR="000D42F1" w:rsidRPr="004836DA" w14:paraId="6B253051" w14:textId="77777777" w:rsidTr="0027278D">
        <w:trPr>
          <w:trHeight w:val="340"/>
        </w:trPr>
        <w:tc>
          <w:tcPr>
            <w:tcW w:w="2552" w:type="dxa"/>
            <w:shd w:val="clear" w:color="auto" w:fill="auto"/>
            <w:noWrap/>
            <w:vAlign w:val="bottom"/>
            <w:hideMark/>
          </w:tcPr>
          <w:p w14:paraId="7525B10A"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Gascoyne </w:t>
            </w:r>
          </w:p>
        </w:tc>
        <w:tc>
          <w:tcPr>
            <w:tcW w:w="1843" w:type="dxa"/>
            <w:shd w:val="clear" w:color="auto" w:fill="auto"/>
            <w:vAlign w:val="bottom"/>
          </w:tcPr>
          <w:p w14:paraId="4205CD0F"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73</w:t>
            </w:r>
          </w:p>
        </w:tc>
        <w:tc>
          <w:tcPr>
            <w:tcW w:w="2268" w:type="dxa"/>
            <w:vAlign w:val="bottom"/>
          </w:tcPr>
          <w:p w14:paraId="73989F2C"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69</w:t>
            </w:r>
          </w:p>
        </w:tc>
        <w:tc>
          <w:tcPr>
            <w:tcW w:w="2268" w:type="dxa"/>
            <w:vAlign w:val="bottom"/>
          </w:tcPr>
          <w:p w14:paraId="411F5C50"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-4 (-5.5</w:t>
            </w:r>
            <w:r w:rsidRPr="004836DA">
              <w:rPr>
                <w:rFonts w:eastAsia="Arial"/>
                <w:sz w:val="20"/>
                <w:szCs w:val="20"/>
              </w:rPr>
              <w:t>%)</w:t>
            </w:r>
          </w:p>
        </w:tc>
      </w:tr>
      <w:tr w:rsidR="000D42F1" w:rsidRPr="004836DA" w14:paraId="6F865877" w14:textId="77777777" w:rsidTr="0027278D">
        <w:trPr>
          <w:trHeight w:val="340"/>
        </w:trPr>
        <w:tc>
          <w:tcPr>
            <w:tcW w:w="2552" w:type="dxa"/>
            <w:shd w:val="clear" w:color="auto" w:fill="auto"/>
            <w:noWrap/>
            <w:vAlign w:val="bottom"/>
            <w:hideMark/>
          </w:tcPr>
          <w:p w14:paraId="0CBB89AB"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Goldfields Esperance </w:t>
            </w:r>
          </w:p>
        </w:tc>
        <w:tc>
          <w:tcPr>
            <w:tcW w:w="1843" w:type="dxa"/>
            <w:shd w:val="clear" w:color="auto" w:fill="auto"/>
            <w:vAlign w:val="bottom"/>
          </w:tcPr>
          <w:p w14:paraId="119D0A83"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883</w:t>
            </w:r>
          </w:p>
        </w:tc>
        <w:tc>
          <w:tcPr>
            <w:tcW w:w="2268" w:type="dxa"/>
            <w:vAlign w:val="bottom"/>
          </w:tcPr>
          <w:p w14:paraId="50A90F91"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912</w:t>
            </w:r>
          </w:p>
        </w:tc>
        <w:tc>
          <w:tcPr>
            <w:tcW w:w="2268" w:type="dxa"/>
            <w:vAlign w:val="bottom"/>
          </w:tcPr>
          <w:p w14:paraId="00C70E90"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+29 (+3.3</w:t>
            </w:r>
            <w:r w:rsidRPr="004836DA">
              <w:rPr>
                <w:rFonts w:eastAsia="Arial"/>
                <w:sz w:val="20"/>
                <w:szCs w:val="20"/>
              </w:rPr>
              <w:t>%)</w:t>
            </w:r>
          </w:p>
        </w:tc>
      </w:tr>
      <w:tr w:rsidR="000D42F1" w:rsidRPr="004836DA" w14:paraId="3DC52216" w14:textId="77777777" w:rsidTr="0027278D">
        <w:trPr>
          <w:trHeight w:val="340"/>
        </w:trPr>
        <w:tc>
          <w:tcPr>
            <w:tcW w:w="2552" w:type="dxa"/>
            <w:shd w:val="clear" w:color="auto" w:fill="auto"/>
            <w:noWrap/>
            <w:vAlign w:val="bottom"/>
            <w:hideMark/>
          </w:tcPr>
          <w:p w14:paraId="0FFCC93E"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Great Southern </w:t>
            </w:r>
          </w:p>
        </w:tc>
        <w:tc>
          <w:tcPr>
            <w:tcW w:w="1843" w:type="dxa"/>
            <w:shd w:val="clear" w:color="auto" w:fill="auto"/>
            <w:vAlign w:val="bottom"/>
          </w:tcPr>
          <w:p w14:paraId="6FC0FFD9"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522</w:t>
            </w:r>
          </w:p>
        </w:tc>
        <w:tc>
          <w:tcPr>
            <w:tcW w:w="2268" w:type="dxa"/>
            <w:vAlign w:val="bottom"/>
          </w:tcPr>
          <w:p w14:paraId="5A242E1A"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522</w:t>
            </w:r>
          </w:p>
        </w:tc>
        <w:tc>
          <w:tcPr>
            <w:tcW w:w="2268" w:type="dxa"/>
            <w:vAlign w:val="bottom"/>
          </w:tcPr>
          <w:p w14:paraId="39098877"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0 (0.0</w:t>
            </w:r>
            <w:r w:rsidRPr="004836DA">
              <w:rPr>
                <w:rFonts w:eastAsia="Arial"/>
                <w:sz w:val="20"/>
                <w:szCs w:val="20"/>
              </w:rPr>
              <w:t>%)</w:t>
            </w:r>
          </w:p>
        </w:tc>
      </w:tr>
      <w:tr w:rsidR="000D42F1" w:rsidRPr="004836DA" w14:paraId="1CB7F3EB" w14:textId="77777777" w:rsidTr="0027278D">
        <w:trPr>
          <w:trHeight w:val="340"/>
        </w:trPr>
        <w:tc>
          <w:tcPr>
            <w:tcW w:w="2552" w:type="dxa"/>
            <w:shd w:val="clear" w:color="auto" w:fill="auto"/>
            <w:noWrap/>
            <w:vAlign w:val="bottom"/>
            <w:hideMark/>
          </w:tcPr>
          <w:p w14:paraId="4EB96C33"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Kimberley </w:t>
            </w:r>
          </w:p>
        </w:tc>
        <w:tc>
          <w:tcPr>
            <w:tcW w:w="1843" w:type="dxa"/>
            <w:shd w:val="clear" w:color="auto" w:fill="auto"/>
            <w:vAlign w:val="bottom"/>
          </w:tcPr>
          <w:p w14:paraId="3A78C1EF"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910</w:t>
            </w:r>
          </w:p>
        </w:tc>
        <w:tc>
          <w:tcPr>
            <w:tcW w:w="2268" w:type="dxa"/>
            <w:vAlign w:val="bottom"/>
          </w:tcPr>
          <w:p w14:paraId="45B4CCC2"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956</w:t>
            </w:r>
          </w:p>
        </w:tc>
        <w:tc>
          <w:tcPr>
            <w:tcW w:w="2268" w:type="dxa"/>
            <w:vAlign w:val="bottom"/>
          </w:tcPr>
          <w:p w14:paraId="44200DA3"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+46 (+5.1</w:t>
            </w:r>
            <w:r w:rsidRPr="004836DA">
              <w:rPr>
                <w:rFonts w:eastAsia="Arial"/>
                <w:sz w:val="20"/>
                <w:szCs w:val="20"/>
              </w:rPr>
              <w:t>%)</w:t>
            </w:r>
          </w:p>
        </w:tc>
      </w:tr>
      <w:tr w:rsidR="000D42F1" w:rsidRPr="004836DA" w14:paraId="5A8BF31F" w14:textId="77777777" w:rsidTr="0027278D">
        <w:trPr>
          <w:trHeight w:val="340"/>
        </w:trPr>
        <w:tc>
          <w:tcPr>
            <w:tcW w:w="2552" w:type="dxa"/>
            <w:shd w:val="clear" w:color="auto" w:fill="auto"/>
            <w:noWrap/>
            <w:vAlign w:val="bottom"/>
            <w:hideMark/>
          </w:tcPr>
          <w:p w14:paraId="58153FB5" w14:textId="77777777" w:rsidR="000D42F1" w:rsidRPr="004836DA" w:rsidRDefault="000D42F1" w:rsidP="0027278D">
            <w:pPr>
              <w:spacing w:after="0" w:line="240" w:lineRule="auto"/>
              <w:rPr>
                <w:color w:val="000000"/>
                <w:sz w:val="20"/>
                <w:szCs w:val="20"/>
              </w:rPr>
            </w:pPr>
            <w:proofErr w:type="spellStart"/>
            <w:r w:rsidRPr="004836DA">
              <w:rPr>
                <w:color w:val="000000" w:themeColor="text1"/>
                <w:sz w:val="20"/>
                <w:szCs w:val="20"/>
              </w:rPr>
              <w:t>Mid West</w:t>
            </w:r>
            <w:proofErr w:type="spellEnd"/>
          </w:p>
        </w:tc>
        <w:tc>
          <w:tcPr>
            <w:tcW w:w="1843" w:type="dxa"/>
            <w:shd w:val="clear" w:color="auto" w:fill="auto"/>
            <w:vAlign w:val="bottom"/>
          </w:tcPr>
          <w:p w14:paraId="4239EB94"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752</w:t>
            </w:r>
          </w:p>
        </w:tc>
        <w:tc>
          <w:tcPr>
            <w:tcW w:w="2268" w:type="dxa"/>
            <w:vAlign w:val="bottom"/>
          </w:tcPr>
          <w:p w14:paraId="430F6B07"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785</w:t>
            </w:r>
          </w:p>
        </w:tc>
        <w:tc>
          <w:tcPr>
            <w:tcW w:w="2268" w:type="dxa"/>
            <w:vAlign w:val="bottom"/>
          </w:tcPr>
          <w:p w14:paraId="4189B25A"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+33 (+4.4</w:t>
            </w:r>
            <w:r w:rsidRPr="004836DA">
              <w:rPr>
                <w:rFonts w:eastAsia="Arial"/>
                <w:sz w:val="20"/>
                <w:szCs w:val="20"/>
              </w:rPr>
              <w:t>%)</w:t>
            </w:r>
          </w:p>
        </w:tc>
      </w:tr>
      <w:tr w:rsidR="000D42F1" w:rsidRPr="004836DA" w14:paraId="07FA4796" w14:textId="77777777" w:rsidTr="0027278D">
        <w:trPr>
          <w:trHeight w:val="340"/>
        </w:trPr>
        <w:tc>
          <w:tcPr>
            <w:tcW w:w="2552" w:type="dxa"/>
            <w:shd w:val="clear" w:color="auto" w:fill="auto"/>
            <w:noWrap/>
            <w:vAlign w:val="bottom"/>
            <w:hideMark/>
          </w:tcPr>
          <w:p w14:paraId="45FAD097"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Peel </w:t>
            </w:r>
          </w:p>
        </w:tc>
        <w:tc>
          <w:tcPr>
            <w:tcW w:w="1843" w:type="dxa"/>
            <w:shd w:val="clear" w:color="auto" w:fill="auto"/>
            <w:vAlign w:val="bottom"/>
          </w:tcPr>
          <w:p w14:paraId="42211303"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46</w:t>
            </w:r>
          </w:p>
        </w:tc>
        <w:tc>
          <w:tcPr>
            <w:tcW w:w="2268" w:type="dxa"/>
            <w:vAlign w:val="bottom"/>
          </w:tcPr>
          <w:p w14:paraId="09E331FC"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47</w:t>
            </w:r>
          </w:p>
        </w:tc>
        <w:tc>
          <w:tcPr>
            <w:tcW w:w="2268" w:type="dxa"/>
            <w:vAlign w:val="bottom"/>
          </w:tcPr>
          <w:p w14:paraId="6C01467E"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+1 (+2.</w:t>
            </w:r>
            <w:r w:rsidRPr="004836DA">
              <w:rPr>
                <w:rFonts w:eastAsia="Arial"/>
                <w:sz w:val="20"/>
                <w:szCs w:val="20"/>
              </w:rPr>
              <w:t>2%)</w:t>
            </w:r>
          </w:p>
        </w:tc>
      </w:tr>
      <w:tr w:rsidR="000D42F1" w:rsidRPr="004836DA" w14:paraId="42A3294C" w14:textId="77777777" w:rsidTr="0027278D">
        <w:trPr>
          <w:trHeight w:val="340"/>
        </w:trPr>
        <w:tc>
          <w:tcPr>
            <w:tcW w:w="2552" w:type="dxa"/>
            <w:shd w:val="clear" w:color="auto" w:fill="auto"/>
            <w:noWrap/>
            <w:vAlign w:val="bottom"/>
            <w:hideMark/>
          </w:tcPr>
          <w:p w14:paraId="27990A0E"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Pilbara </w:t>
            </w:r>
          </w:p>
        </w:tc>
        <w:tc>
          <w:tcPr>
            <w:tcW w:w="1843" w:type="dxa"/>
            <w:shd w:val="clear" w:color="auto" w:fill="auto"/>
            <w:vAlign w:val="bottom"/>
          </w:tcPr>
          <w:p w14:paraId="35237648"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1,104</w:t>
            </w:r>
          </w:p>
        </w:tc>
        <w:tc>
          <w:tcPr>
            <w:tcW w:w="2268" w:type="dxa"/>
            <w:vAlign w:val="bottom"/>
          </w:tcPr>
          <w:p w14:paraId="2C7D6EAA"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1,160</w:t>
            </w:r>
          </w:p>
        </w:tc>
        <w:tc>
          <w:tcPr>
            <w:tcW w:w="2268" w:type="dxa"/>
            <w:vAlign w:val="bottom"/>
          </w:tcPr>
          <w:p w14:paraId="630B46AC"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+56 (+5.1</w:t>
            </w:r>
            <w:r w:rsidRPr="004836DA">
              <w:rPr>
                <w:rFonts w:eastAsia="Arial"/>
                <w:sz w:val="20"/>
                <w:szCs w:val="20"/>
              </w:rPr>
              <w:t>%)</w:t>
            </w:r>
          </w:p>
        </w:tc>
      </w:tr>
      <w:tr w:rsidR="000D42F1" w:rsidRPr="004836DA" w14:paraId="6C0D4229" w14:textId="77777777" w:rsidTr="0027278D">
        <w:trPr>
          <w:trHeight w:val="340"/>
        </w:trPr>
        <w:tc>
          <w:tcPr>
            <w:tcW w:w="2552" w:type="dxa"/>
            <w:shd w:val="clear" w:color="auto" w:fill="auto"/>
            <w:noWrap/>
            <w:vAlign w:val="bottom"/>
            <w:hideMark/>
          </w:tcPr>
          <w:p w14:paraId="08742945"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South West </w:t>
            </w:r>
          </w:p>
        </w:tc>
        <w:tc>
          <w:tcPr>
            <w:tcW w:w="1843" w:type="dxa"/>
            <w:shd w:val="clear" w:color="auto" w:fill="auto"/>
            <w:vAlign w:val="bottom"/>
          </w:tcPr>
          <w:p w14:paraId="6B5FFBAE"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1,290</w:t>
            </w:r>
          </w:p>
        </w:tc>
        <w:tc>
          <w:tcPr>
            <w:tcW w:w="2268" w:type="dxa"/>
            <w:vAlign w:val="bottom"/>
          </w:tcPr>
          <w:p w14:paraId="5C472437"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1,068</w:t>
            </w:r>
          </w:p>
        </w:tc>
        <w:tc>
          <w:tcPr>
            <w:tcW w:w="2268" w:type="dxa"/>
            <w:vAlign w:val="bottom"/>
          </w:tcPr>
          <w:p w14:paraId="3045424D"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-222 (-17.2</w:t>
            </w:r>
            <w:r w:rsidRPr="004836DA">
              <w:rPr>
                <w:rFonts w:eastAsia="Arial"/>
                <w:sz w:val="20"/>
                <w:szCs w:val="20"/>
              </w:rPr>
              <w:t>%)</w:t>
            </w:r>
          </w:p>
        </w:tc>
      </w:tr>
      <w:tr w:rsidR="000D42F1" w:rsidRPr="004836DA" w14:paraId="71E66E4A" w14:textId="77777777" w:rsidTr="0027278D">
        <w:trPr>
          <w:trHeight w:val="340"/>
        </w:trPr>
        <w:tc>
          <w:tcPr>
            <w:tcW w:w="2552" w:type="dxa"/>
            <w:shd w:val="clear" w:color="auto" w:fill="auto"/>
            <w:noWrap/>
            <w:vAlign w:val="bottom"/>
            <w:hideMark/>
          </w:tcPr>
          <w:p w14:paraId="53B015F4" w14:textId="77777777" w:rsidR="000D42F1" w:rsidRPr="004836DA" w:rsidRDefault="000D42F1" w:rsidP="0027278D">
            <w:pPr>
              <w:spacing w:after="0" w:line="240" w:lineRule="auto"/>
              <w:rPr>
                <w:color w:val="000000"/>
                <w:sz w:val="20"/>
                <w:szCs w:val="20"/>
              </w:rPr>
            </w:pPr>
            <w:r w:rsidRPr="004836DA">
              <w:rPr>
                <w:color w:val="000000" w:themeColor="text1"/>
                <w:sz w:val="20"/>
                <w:szCs w:val="20"/>
              </w:rPr>
              <w:t xml:space="preserve">Wheatbelt </w:t>
            </w:r>
          </w:p>
        </w:tc>
        <w:tc>
          <w:tcPr>
            <w:tcW w:w="1843" w:type="dxa"/>
            <w:shd w:val="clear" w:color="auto" w:fill="auto"/>
            <w:vAlign w:val="bottom"/>
          </w:tcPr>
          <w:p w14:paraId="2547239C" w14:textId="77777777" w:rsidR="000D42F1" w:rsidRPr="004836DA" w:rsidRDefault="000D42F1" w:rsidP="0027278D">
            <w:pPr>
              <w:spacing w:after="0" w:line="240" w:lineRule="auto"/>
              <w:jc w:val="right"/>
              <w:rPr>
                <w:rFonts w:eastAsia="Arial"/>
                <w:color w:val="000000" w:themeColor="text1"/>
                <w:sz w:val="20"/>
                <w:szCs w:val="20"/>
              </w:rPr>
            </w:pPr>
            <w:r w:rsidRPr="004836DA">
              <w:rPr>
                <w:rFonts w:eastAsia="Arial"/>
                <w:color w:val="000000" w:themeColor="text1"/>
                <w:sz w:val="20"/>
                <w:szCs w:val="20"/>
              </w:rPr>
              <w:t>966</w:t>
            </w:r>
          </w:p>
        </w:tc>
        <w:tc>
          <w:tcPr>
            <w:tcW w:w="2268" w:type="dxa"/>
            <w:vAlign w:val="bottom"/>
          </w:tcPr>
          <w:p w14:paraId="352DD5B7" w14:textId="77777777" w:rsidR="000D42F1" w:rsidRPr="004836DA" w:rsidRDefault="000D42F1" w:rsidP="0027278D">
            <w:pPr>
              <w:spacing w:after="0" w:line="240" w:lineRule="auto"/>
              <w:jc w:val="right"/>
              <w:rPr>
                <w:rFonts w:eastAsia="Arial"/>
                <w:color w:val="000000" w:themeColor="text1"/>
                <w:sz w:val="20"/>
                <w:szCs w:val="20"/>
              </w:rPr>
            </w:pPr>
            <w:r w:rsidRPr="004836DA">
              <w:rPr>
                <w:color w:val="000000"/>
                <w:sz w:val="20"/>
                <w:szCs w:val="20"/>
              </w:rPr>
              <w:t>934</w:t>
            </w:r>
          </w:p>
        </w:tc>
        <w:tc>
          <w:tcPr>
            <w:tcW w:w="2268" w:type="dxa"/>
            <w:vAlign w:val="bottom"/>
          </w:tcPr>
          <w:p w14:paraId="3A6C903E" w14:textId="77777777" w:rsidR="000D42F1" w:rsidRPr="004836DA" w:rsidRDefault="000D42F1" w:rsidP="0027278D">
            <w:pPr>
              <w:spacing w:after="0" w:line="240" w:lineRule="auto"/>
              <w:jc w:val="right"/>
              <w:rPr>
                <w:rFonts w:eastAsia="Arial"/>
                <w:color w:val="000000" w:themeColor="text1"/>
                <w:sz w:val="20"/>
                <w:szCs w:val="20"/>
              </w:rPr>
            </w:pPr>
            <w:r w:rsidRPr="004836DA">
              <w:rPr>
                <w:sz w:val="20"/>
                <w:szCs w:val="20"/>
              </w:rPr>
              <w:t>-32 (-3.3</w:t>
            </w:r>
            <w:r w:rsidRPr="004836DA">
              <w:rPr>
                <w:rFonts w:eastAsia="Arial"/>
                <w:sz w:val="20"/>
                <w:szCs w:val="20"/>
              </w:rPr>
              <w:t>%)</w:t>
            </w:r>
          </w:p>
        </w:tc>
      </w:tr>
      <w:tr w:rsidR="0027278D" w:rsidRPr="004836DA" w14:paraId="5210A33A" w14:textId="77777777" w:rsidTr="006E6933">
        <w:trPr>
          <w:trHeight w:val="20"/>
        </w:trPr>
        <w:tc>
          <w:tcPr>
            <w:tcW w:w="2552" w:type="dxa"/>
            <w:tcBorders>
              <w:left w:val="single" w:sz="4" w:space="0" w:color="FFFFFF" w:themeColor="background1"/>
              <w:right w:val="single" w:sz="4" w:space="0" w:color="FFFFFF" w:themeColor="background1"/>
            </w:tcBorders>
            <w:shd w:val="clear" w:color="auto" w:fill="auto"/>
            <w:noWrap/>
            <w:vAlign w:val="bottom"/>
          </w:tcPr>
          <w:p w14:paraId="7C4D4032" w14:textId="77777777" w:rsidR="0027278D" w:rsidRPr="001B6ECB" w:rsidRDefault="0027278D" w:rsidP="0027278D">
            <w:pPr>
              <w:spacing w:after="0" w:line="240" w:lineRule="auto"/>
              <w:rPr>
                <w:color w:val="000000" w:themeColor="text1"/>
                <w:sz w:val="10"/>
                <w:szCs w:val="10"/>
              </w:rPr>
            </w:pPr>
          </w:p>
        </w:tc>
        <w:tc>
          <w:tcPr>
            <w:tcW w:w="1843" w:type="dxa"/>
            <w:tcBorders>
              <w:left w:val="single" w:sz="4" w:space="0" w:color="FFFFFF" w:themeColor="background1"/>
              <w:right w:val="single" w:sz="4" w:space="0" w:color="FFFFFF" w:themeColor="background1"/>
            </w:tcBorders>
            <w:shd w:val="clear" w:color="auto" w:fill="auto"/>
            <w:vAlign w:val="bottom"/>
          </w:tcPr>
          <w:p w14:paraId="3AA4C676" w14:textId="77777777" w:rsidR="0027278D" w:rsidRPr="001B6ECB" w:rsidRDefault="0027278D" w:rsidP="0027278D">
            <w:pPr>
              <w:spacing w:after="0" w:line="240" w:lineRule="auto"/>
              <w:jc w:val="right"/>
              <w:rPr>
                <w:rFonts w:eastAsia="Arial"/>
                <w:color w:val="000000" w:themeColor="text1"/>
                <w:sz w:val="10"/>
                <w:szCs w:val="10"/>
              </w:rPr>
            </w:pPr>
          </w:p>
        </w:tc>
        <w:tc>
          <w:tcPr>
            <w:tcW w:w="2268" w:type="dxa"/>
            <w:tcBorders>
              <w:left w:val="single" w:sz="4" w:space="0" w:color="FFFFFF" w:themeColor="background1"/>
              <w:right w:val="single" w:sz="4" w:space="0" w:color="FFFFFF" w:themeColor="background1"/>
            </w:tcBorders>
            <w:vAlign w:val="bottom"/>
          </w:tcPr>
          <w:p w14:paraId="5E5E5FED" w14:textId="77777777" w:rsidR="0027278D" w:rsidRPr="001B6ECB" w:rsidRDefault="0027278D" w:rsidP="0027278D">
            <w:pPr>
              <w:spacing w:after="0" w:line="240" w:lineRule="auto"/>
              <w:jc w:val="right"/>
              <w:rPr>
                <w:color w:val="000000"/>
                <w:sz w:val="10"/>
                <w:szCs w:val="10"/>
              </w:rPr>
            </w:pPr>
          </w:p>
        </w:tc>
        <w:tc>
          <w:tcPr>
            <w:tcW w:w="2268" w:type="dxa"/>
            <w:tcBorders>
              <w:left w:val="single" w:sz="4" w:space="0" w:color="FFFFFF" w:themeColor="background1"/>
              <w:right w:val="single" w:sz="4" w:space="0" w:color="FFFFFF" w:themeColor="background1"/>
            </w:tcBorders>
            <w:vAlign w:val="bottom"/>
          </w:tcPr>
          <w:p w14:paraId="6592F6BD" w14:textId="77777777" w:rsidR="0027278D" w:rsidRPr="001B6ECB" w:rsidRDefault="0027278D" w:rsidP="0027278D">
            <w:pPr>
              <w:spacing w:after="0" w:line="240" w:lineRule="auto"/>
              <w:jc w:val="right"/>
              <w:rPr>
                <w:sz w:val="10"/>
                <w:szCs w:val="10"/>
              </w:rPr>
            </w:pPr>
          </w:p>
        </w:tc>
      </w:tr>
      <w:tr w:rsidR="000D42F1" w:rsidRPr="004836DA" w14:paraId="5C511FE2" w14:textId="77777777" w:rsidTr="006E6933">
        <w:trPr>
          <w:trHeight w:val="20"/>
        </w:trPr>
        <w:tc>
          <w:tcPr>
            <w:tcW w:w="2552" w:type="dxa"/>
            <w:shd w:val="clear" w:color="auto" w:fill="auto"/>
            <w:noWrap/>
            <w:vAlign w:val="bottom"/>
          </w:tcPr>
          <w:p w14:paraId="30220FEF" w14:textId="77777777" w:rsidR="000D42F1" w:rsidRPr="004836DA" w:rsidRDefault="000D42F1" w:rsidP="0027278D">
            <w:pPr>
              <w:spacing w:after="0" w:line="240" w:lineRule="auto"/>
              <w:rPr>
                <w:b/>
                <w:bCs/>
                <w:color w:val="000000"/>
                <w:sz w:val="20"/>
                <w:szCs w:val="20"/>
              </w:rPr>
            </w:pPr>
            <w:r w:rsidRPr="004836DA">
              <w:rPr>
                <w:b/>
                <w:bCs/>
                <w:color w:val="000000" w:themeColor="text1"/>
                <w:sz w:val="20"/>
                <w:szCs w:val="20"/>
              </w:rPr>
              <w:t>Regional WA total</w:t>
            </w:r>
          </w:p>
        </w:tc>
        <w:tc>
          <w:tcPr>
            <w:tcW w:w="1843" w:type="dxa"/>
            <w:shd w:val="clear" w:color="auto" w:fill="auto"/>
            <w:vAlign w:val="bottom"/>
          </w:tcPr>
          <w:p w14:paraId="25CA11D4" w14:textId="77777777" w:rsidR="000D42F1" w:rsidRPr="004836DA" w:rsidRDefault="000D42F1" w:rsidP="0027278D">
            <w:pPr>
              <w:spacing w:after="0" w:line="240" w:lineRule="auto"/>
              <w:jc w:val="right"/>
              <w:rPr>
                <w:rFonts w:eastAsia="Arial"/>
                <w:b/>
                <w:bCs/>
                <w:color w:val="000000" w:themeColor="text1"/>
                <w:sz w:val="20"/>
                <w:szCs w:val="20"/>
              </w:rPr>
            </w:pPr>
            <w:r w:rsidRPr="004836DA">
              <w:rPr>
                <w:rFonts w:eastAsia="Arial"/>
                <w:b/>
                <w:bCs/>
                <w:color w:val="000000" w:themeColor="text1"/>
                <w:sz w:val="20"/>
                <w:szCs w:val="20"/>
              </w:rPr>
              <w:t>6,546</w:t>
            </w:r>
          </w:p>
        </w:tc>
        <w:tc>
          <w:tcPr>
            <w:tcW w:w="2268" w:type="dxa"/>
            <w:vAlign w:val="bottom"/>
          </w:tcPr>
          <w:p w14:paraId="541AA8DD" w14:textId="77777777" w:rsidR="000D42F1" w:rsidRPr="004836DA" w:rsidRDefault="000D42F1" w:rsidP="0027278D">
            <w:pPr>
              <w:spacing w:after="0" w:line="240" w:lineRule="auto"/>
              <w:jc w:val="right"/>
              <w:rPr>
                <w:rFonts w:eastAsia="Arial"/>
                <w:b/>
                <w:bCs/>
                <w:color w:val="000000" w:themeColor="text1"/>
                <w:sz w:val="20"/>
                <w:szCs w:val="20"/>
              </w:rPr>
            </w:pPr>
            <w:r w:rsidRPr="004836DA">
              <w:rPr>
                <w:b/>
                <w:bCs/>
                <w:color w:val="000000"/>
                <w:sz w:val="20"/>
                <w:szCs w:val="20"/>
              </w:rPr>
              <w:t>6,453</w:t>
            </w:r>
          </w:p>
        </w:tc>
        <w:tc>
          <w:tcPr>
            <w:tcW w:w="2268" w:type="dxa"/>
            <w:vAlign w:val="bottom"/>
          </w:tcPr>
          <w:p w14:paraId="1DCCFEA1" w14:textId="78230EBB" w:rsidR="000D42F1" w:rsidRPr="004836DA" w:rsidRDefault="000D42F1" w:rsidP="0027278D">
            <w:pPr>
              <w:spacing w:after="0" w:line="240" w:lineRule="auto"/>
              <w:jc w:val="right"/>
              <w:rPr>
                <w:rFonts w:eastAsia="Arial"/>
                <w:b/>
                <w:bCs/>
                <w:color w:val="000000" w:themeColor="text1"/>
                <w:sz w:val="20"/>
                <w:szCs w:val="20"/>
              </w:rPr>
            </w:pPr>
            <w:r w:rsidRPr="004836DA">
              <w:rPr>
                <w:b/>
                <w:bCs/>
                <w:sz w:val="20"/>
                <w:szCs w:val="20"/>
              </w:rPr>
              <w:t>-93 (-1.4</w:t>
            </w:r>
            <w:r w:rsidRPr="004836DA">
              <w:rPr>
                <w:rFonts w:eastAsia="Arial"/>
                <w:b/>
                <w:sz w:val="20"/>
                <w:szCs w:val="20"/>
              </w:rPr>
              <w:t>%)</w:t>
            </w:r>
          </w:p>
        </w:tc>
      </w:tr>
      <w:tr w:rsidR="000D42F1" w:rsidRPr="004836DA" w14:paraId="17F5E83B" w14:textId="77777777" w:rsidTr="0027278D">
        <w:trPr>
          <w:trHeight w:val="340"/>
        </w:trPr>
        <w:tc>
          <w:tcPr>
            <w:tcW w:w="2552" w:type="dxa"/>
            <w:shd w:val="clear" w:color="auto" w:fill="auto"/>
            <w:noWrap/>
            <w:vAlign w:val="bottom"/>
            <w:hideMark/>
          </w:tcPr>
          <w:p w14:paraId="2F410030" w14:textId="77777777" w:rsidR="000D42F1" w:rsidRPr="0027278D" w:rsidRDefault="000D42F1" w:rsidP="0027278D">
            <w:pPr>
              <w:spacing w:after="0" w:line="240" w:lineRule="auto"/>
              <w:rPr>
                <w:b/>
                <w:color w:val="000000"/>
                <w:sz w:val="20"/>
                <w:szCs w:val="20"/>
              </w:rPr>
            </w:pPr>
            <w:r w:rsidRPr="0027278D">
              <w:rPr>
                <w:b/>
                <w:color w:val="000000" w:themeColor="text1"/>
                <w:sz w:val="20"/>
                <w:szCs w:val="20"/>
              </w:rPr>
              <w:t>Metropolitan</w:t>
            </w:r>
          </w:p>
        </w:tc>
        <w:tc>
          <w:tcPr>
            <w:tcW w:w="1843" w:type="dxa"/>
            <w:shd w:val="clear" w:color="auto" w:fill="auto"/>
            <w:vAlign w:val="bottom"/>
          </w:tcPr>
          <w:p w14:paraId="6BB0F82B" w14:textId="77777777" w:rsidR="000D42F1" w:rsidRPr="0027278D" w:rsidRDefault="000D42F1" w:rsidP="0027278D">
            <w:pPr>
              <w:spacing w:after="0" w:line="240" w:lineRule="auto"/>
              <w:jc w:val="right"/>
              <w:rPr>
                <w:rFonts w:eastAsia="Arial"/>
                <w:b/>
                <w:color w:val="000000" w:themeColor="text1"/>
                <w:sz w:val="20"/>
                <w:szCs w:val="20"/>
              </w:rPr>
            </w:pPr>
            <w:r w:rsidRPr="0027278D">
              <w:rPr>
                <w:rFonts w:eastAsia="Arial"/>
                <w:b/>
                <w:color w:val="000000" w:themeColor="text1"/>
                <w:sz w:val="20"/>
                <w:szCs w:val="20"/>
              </w:rPr>
              <w:t>16,211</w:t>
            </w:r>
          </w:p>
        </w:tc>
        <w:tc>
          <w:tcPr>
            <w:tcW w:w="2268" w:type="dxa"/>
            <w:vAlign w:val="bottom"/>
          </w:tcPr>
          <w:p w14:paraId="7F2D7570" w14:textId="77777777" w:rsidR="000D42F1" w:rsidRPr="0027278D" w:rsidRDefault="000D42F1" w:rsidP="0027278D">
            <w:pPr>
              <w:spacing w:after="0" w:line="240" w:lineRule="auto"/>
              <w:jc w:val="right"/>
              <w:rPr>
                <w:rFonts w:eastAsia="Arial"/>
                <w:b/>
                <w:color w:val="000000" w:themeColor="text1"/>
                <w:sz w:val="20"/>
                <w:szCs w:val="20"/>
              </w:rPr>
            </w:pPr>
            <w:r w:rsidRPr="0027278D">
              <w:rPr>
                <w:b/>
                <w:color w:val="000000"/>
                <w:sz w:val="20"/>
                <w:szCs w:val="20"/>
              </w:rPr>
              <w:t>16,803</w:t>
            </w:r>
          </w:p>
        </w:tc>
        <w:tc>
          <w:tcPr>
            <w:tcW w:w="2268" w:type="dxa"/>
            <w:vAlign w:val="bottom"/>
          </w:tcPr>
          <w:p w14:paraId="0DFF5894" w14:textId="77777777" w:rsidR="000D42F1" w:rsidRPr="0027278D" w:rsidRDefault="000D42F1" w:rsidP="0027278D">
            <w:pPr>
              <w:spacing w:after="0" w:line="240" w:lineRule="auto"/>
              <w:jc w:val="right"/>
              <w:rPr>
                <w:rFonts w:eastAsia="Arial"/>
                <w:b/>
                <w:color w:val="000000" w:themeColor="text1"/>
                <w:sz w:val="20"/>
                <w:szCs w:val="20"/>
              </w:rPr>
            </w:pPr>
            <w:r w:rsidRPr="0027278D">
              <w:rPr>
                <w:b/>
                <w:sz w:val="20"/>
                <w:szCs w:val="20"/>
              </w:rPr>
              <w:t>+592 (+3.</w:t>
            </w:r>
            <w:r w:rsidRPr="0027278D">
              <w:rPr>
                <w:rFonts w:eastAsia="Arial"/>
                <w:b/>
                <w:sz w:val="20"/>
                <w:szCs w:val="20"/>
              </w:rPr>
              <w:t>7%)</w:t>
            </w:r>
          </w:p>
        </w:tc>
      </w:tr>
      <w:tr w:rsidR="000D42F1" w:rsidRPr="004836DA" w14:paraId="0D87E0B2" w14:textId="77777777" w:rsidTr="0027278D">
        <w:trPr>
          <w:trHeight w:val="340"/>
        </w:trPr>
        <w:tc>
          <w:tcPr>
            <w:tcW w:w="2552" w:type="dxa"/>
            <w:shd w:val="clear" w:color="auto" w:fill="auto"/>
            <w:noWrap/>
            <w:vAlign w:val="bottom"/>
            <w:hideMark/>
          </w:tcPr>
          <w:p w14:paraId="4FDAD754" w14:textId="77777777" w:rsidR="000D42F1" w:rsidRPr="0027278D" w:rsidRDefault="000D42F1" w:rsidP="0027278D">
            <w:pPr>
              <w:spacing w:after="0" w:line="240" w:lineRule="auto"/>
              <w:rPr>
                <w:b/>
                <w:color w:val="000000"/>
                <w:sz w:val="20"/>
                <w:szCs w:val="20"/>
              </w:rPr>
            </w:pPr>
            <w:r w:rsidRPr="0027278D">
              <w:rPr>
                <w:b/>
                <w:color w:val="000000" w:themeColor="text1"/>
                <w:sz w:val="20"/>
                <w:szCs w:val="20"/>
              </w:rPr>
              <w:t>Multiple regions</w:t>
            </w:r>
          </w:p>
        </w:tc>
        <w:tc>
          <w:tcPr>
            <w:tcW w:w="1843" w:type="dxa"/>
            <w:shd w:val="clear" w:color="auto" w:fill="auto"/>
            <w:vAlign w:val="bottom"/>
          </w:tcPr>
          <w:p w14:paraId="19839EB0" w14:textId="77777777" w:rsidR="000D42F1" w:rsidRPr="0027278D" w:rsidRDefault="000D42F1" w:rsidP="0027278D">
            <w:pPr>
              <w:spacing w:after="0" w:line="240" w:lineRule="auto"/>
              <w:jc w:val="right"/>
              <w:rPr>
                <w:rFonts w:eastAsia="Arial"/>
                <w:b/>
                <w:color w:val="000000" w:themeColor="text1"/>
                <w:sz w:val="20"/>
                <w:szCs w:val="20"/>
              </w:rPr>
            </w:pPr>
            <w:r w:rsidRPr="0027278D">
              <w:rPr>
                <w:rFonts w:eastAsia="Arial"/>
                <w:b/>
                <w:color w:val="000000" w:themeColor="text1"/>
                <w:sz w:val="20"/>
                <w:szCs w:val="20"/>
              </w:rPr>
              <w:t>1,359</w:t>
            </w:r>
          </w:p>
        </w:tc>
        <w:tc>
          <w:tcPr>
            <w:tcW w:w="2268" w:type="dxa"/>
            <w:vAlign w:val="bottom"/>
          </w:tcPr>
          <w:p w14:paraId="696B925D" w14:textId="77777777" w:rsidR="000D42F1" w:rsidRPr="0027278D" w:rsidRDefault="000D42F1" w:rsidP="0027278D">
            <w:pPr>
              <w:spacing w:after="0" w:line="240" w:lineRule="auto"/>
              <w:jc w:val="right"/>
              <w:rPr>
                <w:rFonts w:eastAsia="Arial"/>
                <w:b/>
                <w:color w:val="000000" w:themeColor="text1"/>
                <w:sz w:val="20"/>
                <w:szCs w:val="20"/>
              </w:rPr>
            </w:pPr>
            <w:r w:rsidRPr="0027278D">
              <w:rPr>
                <w:b/>
                <w:color w:val="000000" w:themeColor="text1"/>
                <w:sz w:val="20"/>
                <w:szCs w:val="20"/>
              </w:rPr>
              <w:t>1,302</w:t>
            </w:r>
          </w:p>
        </w:tc>
        <w:tc>
          <w:tcPr>
            <w:tcW w:w="2268" w:type="dxa"/>
            <w:vAlign w:val="bottom"/>
          </w:tcPr>
          <w:p w14:paraId="5EDADE1D" w14:textId="77777777" w:rsidR="000D42F1" w:rsidRPr="0027278D" w:rsidRDefault="000D42F1" w:rsidP="0027278D">
            <w:pPr>
              <w:spacing w:after="0" w:line="240" w:lineRule="auto"/>
              <w:jc w:val="right"/>
              <w:rPr>
                <w:rFonts w:eastAsia="Arial"/>
                <w:b/>
                <w:color w:val="000000" w:themeColor="text1"/>
                <w:sz w:val="20"/>
                <w:szCs w:val="20"/>
              </w:rPr>
            </w:pPr>
            <w:r w:rsidRPr="0027278D">
              <w:rPr>
                <w:b/>
                <w:sz w:val="20"/>
                <w:szCs w:val="20"/>
              </w:rPr>
              <w:t>-57 (-4.2%)</w:t>
            </w:r>
          </w:p>
        </w:tc>
      </w:tr>
      <w:tr w:rsidR="000D42F1" w:rsidRPr="004836DA" w14:paraId="7C9CC87E" w14:textId="77777777" w:rsidTr="0027278D">
        <w:trPr>
          <w:trHeight w:val="340"/>
        </w:trPr>
        <w:tc>
          <w:tcPr>
            <w:tcW w:w="2552" w:type="dxa"/>
            <w:shd w:val="clear" w:color="auto" w:fill="auto"/>
            <w:noWrap/>
            <w:vAlign w:val="bottom"/>
            <w:hideMark/>
          </w:tcPr>
          <w:p w14:paraId="30C3BE31" w14:textId="77777777" w:rsidR="000D42F1" w:rsidRPr="0027278D" w:rsidRDefault="000D42F1" w:rsidP="0027278D">
            <w:pPr>
              <w:spacing w:after="0" w:line="240" w:lineRule="auto"/>
              <w:rPr>
                <w:b/>
                <w:color w:val="000000"/>
                <w:sz w:val="20"/>
                <w:szCs w:val="20"/>
              </w:rPr>
            </w:pPr>
            <w:r w:rsidRPr="0027278D">
              <w:rPr>
                <w:b/>
                <w:color w:val="000000" w:themeColor="text1"/>
                <w:sz w:val="20"/>
                <w:szCs w:val="20"/>
              </w:rPr>
              <w:t>Outside WA</w:t>
            </w:r>
          </w:p>
        </w:tc>
        <w:tc>
          <w:tcPr>
            <w:tcW w:w="1843" w:type="dxa"/>
            <w:shd w:val="clear" w:color="auto" w:fill="auto"/>
            <w:vAlign w:val="bottom"/>
          </w:tcPr>
          <w:p w14:paraId="60643A1C" w14:textId="77777777" w:rsidR="000D42F1" w:rsidRPr="0027278D" w:rsidRDefault="000D42F1" w:rsidP="0027278D">
            <w:pPr>
              <w:spacing w:after="0" w:line="240" w:lineRule="auto"/>
              <w:jc w:val="right"/>
              <w:rPr>
                <w:rFonts w:eastAsia="Arial"/>
                <w:b/>
                <w:color w:val="000000" w:themeColor="text1"/>
                <w:sz w:val="20"/>
                <w:szCs w:val="20"/>
              </w:rPr>
            </w:pPr>
            <w:r w:rsidRPr="0027278D">
              <w:rPr>
                <w:rFonts w:eastAsia="Arial"/>
                <w:b/>
                <w:color w:val="000000" w:themeColor="text1"/>
                <w:sz w:val="20"/>
                <w:szCs w:val="20"/>
              </w:rPr>
              <w:t>8</w:t>
            </w:r>
          </w:p>
        </w:tc>
        <w:tc>
          <w:tcPr>
            <w:tcW w:w="2268" w:type="dxa"/>
            <w:vAlign w:val="bottom"/>
          </w:tcPr>
          <w:p w14:paraId="00163BFD" w14:textId="77777777" w:rsidR="000D42F1" w:rsidRPr="0027278D" w:rsidRDefault="000D42F1" w:rsidP="0027278D">
            <w:pPr>
              <w:spacing w:after="0" w:line="240" w:lineRule="auto"/>
              <w:jc w:val="right"/>
              <w:rPr>
                <w:rFonts w:eastAsia="Arial"/>
                <w:b/>
                <w:color w:val="000000" w:themeColor="text1"/>
                <w:sz w:val="20"/>
                <w:szCs w:val="20"/>
              </w:rPr>
            </w:pPr>
            <w:r w:rsidRPr="0027278D">
              <w:rPr>
                <w:b/>
                <w:color w:val="000000"/>
                <w:sz w:val="20"/>
                <w:szCs w:val="20"/>
              </w:rPr>
              <w:t>11</w:t>
            </w:r>
          </w:p>
        </w:tc>
        <w:tc>
          <w:tcPr>
            <w:tcW w:w="2268" w:type="dxa"/>
            <w:vAlign w:val="bottom"/>
          </w:tcPr>
          <w:p w14:paraId="7007F707" w14:textId="77777777" w:rsidR="000D42F1" w:rsidRPr="0027278D" w:rsidRDefault="000D42F1" w:rsidP="0027278D">
            <w:pPr>
              <w:spacing w:after="0" w:line="240" w:lineRule="auto"/>
              <w:jc w:val="right"/>
              <w:rPr>
                <w:rFonts w:eastAsia="Arial"/>
                <w:b/>
                <w:color w:val="000000" w:themeColor="text1"/>
                <w:sz w:val="20"/>
                <w:szCs w:val="20"/>
              </w:rPr>
            </w:pPr>
            <w:r w:rsidRPr="0027278D">
              <w:rPr>
                <w:b/>
                <w:sz w:val="20"/>
                <w:szCs w:val="20"/>
              </w:rPr>
              <w:t>+3 (+37.</w:t>
            </w:r>
            <w:r w:rsidRPr="0027278D">
              <w:rPr>
                <w:rFonts w:eastAsia="Arial"/>
                <w:b/>
                <w:sz w:val="20"/>
                <w:szCs w:val="20"/>
              </w:rPr>
              <w:t>5%)</w:t>
            </w:r>
          </w:p>
        </w:tc>
      </w:tr>
    </w:tbl>
    <w:p w14:paraId="25C4887B" w14:textId="77777777" w:rsidR="000D42F1" w:rsidRDefault="000D42F1" w:rsidP="000D42F1">
      <w:pPr>
        <w:pStyle w:val="Tables"/>
        <w:spacing w:before="0" w:after="120"/>
        <w:jc w:val="left"/>
        <w:rPr>
          <w:color w:val="000000" w:themeColor="text1"/>
          <w:sz w:val="22"/>
          <w:szCs w:val="22"/>
        </w:rPr>
      </w:pPr>
    </w:p>
    <w:p w14:paraId="4D0B0E38" w14:textId="69050F5C" w:rsidR="000D42F1" w:rsidRDefault="000D42F1" w:rsidP="000D42F1">
      <w:pPr>
        <w:pStyle w:val="Tables"/>
        <w:spacing w:before="0" w:after="120"/>
        <w:jc w:val="left"/>
        <w:rPr>
          <w:color w:val="000000" w:themeColor="text1"/>
          <w:sz w:val="22"/>
          <w:szCs w:val="22"/>
        </w:rPr>
      </w:pPr>
      <w:r w:rsidRPr="000730F7">
        <w:rPr>
          <w:color w:val="000000" w:themeColor="text1"/>
          <w:sz w:val="22"/>
          <w:szCs w:val="22"/>
        </w:rPr>
        <w:lastRenderedPageBreak/>
        <w:t xml:space="preserve">In 2022-23, the Commission continued implementing initiatives to support entry to public sector jobs. </w:t>
      </w:r>
      <w:r w:rsidR="00BC19BC">
        <w:rPr>
          <w:color w:val="000000" w:themeColor="text1"/>
          <w:sz w:val="22"/>
          <w:szCs w:val="22"/>
        </w:rPr>
        <w:t>‘</w:t>
      </w:r>
      <w:hyperlink r:id="rId30">
        <w:r w:rsidRPr="002D08DD">
          <w:rPr>
            <w:rStyle w:val="Hyperlink"/>
            <w:sz w:val="22"/>
            <w:szCs w:val="22"/>
          </w:rPr>
          <w:t>A place of opportunity</w:t>
        </w:r>
      </w:hyperlink>
      <w:r w:rsidR="00BC19BC">
        <w:rPr>
          <w:rStyle w:val="Hyperlink"/>
          <w:sz w:val="22"/>
          <w:szCs w:val="22"/>
        </w:rPr>
        <w:t>’</w:t>
      </w:r>
      <w:r w:rsidRPr="002D08DD">
        <w:rPr>
          <w:color w:val="000000" w:themeColor="text1"/>
          <w:sz w:val="22"/>
          <w:szCs w:val="22"/>
        </w:rPr>
        <w:t xml:space="preserve"> continued to position the public sector as a career destination of choice for the state’s best and brightest university graduates, and brought together the marketing and listing of university graduate and cadetship programs across the sector. In 2023, it featured at 11 career events reaching to more than 12,000 students. </w:t>
      </w:r>
    </w:p>
    <w:p w14:paraId="3C2D6378" w14:textId="5826103A" w:rsidR="000D42F1" w:rsidRPr="000730F7" w:rsidRDefault="000D42F1" w:rsidP="000D42F1">
      <w:pPr>
        <w:pStyle w:val="Tables"/>
        <w:spacing w:before="0" w:after="120"/>
        <w:jc w:val="left"/>
        <w:rPr>
          <w:color w:val="000000" w:themeColor="text1"/>
        </w:rPr>
      </w:pPr>
      <w:r w:rsidRPr="000730F7">
        <w:rPr>
          <w:color w:val="000000" w:themeColor="text1"/>
          <w:sz w:val="22"/>
          <w:szCs w:val="22"/>
        </w:rPr>
        <w:t xml:space="preserve">The </w:t>
      </w:r>
      <w:proofErr w:type="spellStart"/>
      <w:r w:rsidRPr="000730F7">
        <w:rPr>
          <w:color w:val="000000" w:themeColor="text1"/>
          <w:sz w:val="22"/>
          <w:szCs w:val="22"/>
        </w:rPr>
        <w:t>sectorwide</w:t>
      </w:r>
      <w:proofErr w:type="spellEnd"/>
      <w:r w:rsidRPr="000730F7">
        <w:rPr>
          <w:color w:val="000000" w:themeColor="text1"/>
          <w:sz w:val="22"/>
          <w:szCs w:val="22"/>
        </w:rPr>
        <w:t xml:space="preserve"> </w:t>
      </w:r>
      <w:hyperlink r:id="rId31" w:history="1">
        <w:r w:rsidRPr="000E3B34">
          <w:rPr>
            <w:rStyle w:val="Hyperlink"/>
            <w:sz w:val="22"/>
            <w:szCs w:val="22"/>
          </w:rPr>
          <w:t>Launch</w:t>
        </w:r>
      </w:hyperlink>
      <w:r w:rsidRPr="000730F7">
        <w:rPr>
          <w:color w:val="000000" w:themeColor="text1"/>
          <w:sz w:val="22"/>
          <w:szCs w:val="22"/>
        </w:rPr>
        <w:t xml:space="preserve"> program for new graduates joining the sector grew to 103 participants from 18 agencies, up from 82 participants </w:t>
      </w:r>
      <w:r w:rsidR="00BC19BC">
        <w:rPr>
          <w:color w:val="000000" w:themeColor="text1"/>
          <w:sz w:val="22"/>
          <w:szCs w:val="22"/>
        </w:rPr>
        <w:t>from</w:t>
      </w:r>
      <w:r w:rsidR="00BC19BC" w:rsidRPr="000730F7">
        <w:rPr>
          <w:color w:val="000000" w:themeColor="text1"/>
          <w:sz w:val="22"/>
          <w:szCs w:val="22"/>
        </w:rPr>
        <w:t xml:space="preserve"> </w:t>
      </w:r>
      <w:r w:rsidRPr="000730F7">
        <w:rPr>
          <w:color w:val="000000" w:themeColor="text1"/>
          <w:sz w:val="22"/>
          <w:szCs w:val="22"/>
        </w:rPr>
        <w:t>17 agencies last year.</w:t>
      </w:r>
    </w:p>
    <w:p w14:paraId="344DC65D" w14:textId="7A705AE8" w:rsidR="000D42F1" w:rsidRPr="000730F7" w:rsidRDefault="000D42F1" w:rsidP="000D42F1">
      <w:pPr>
        <w:spacing w:line="240" w:lineRule="auto"/>
      </w:pPr>
      <w:r w:rsidRPr="000730F7">
        <w:t xml:space="preserve">The sectorwide </w:t>
      </w:r>
      <w:hyperlink r:id="rId32" w:history="1">
        <w:r w:rsidR="004473F0">
          <w:rPr>
            <w:rStyle w:val="Hyperlink"/>
          </w:rPr>
          <w:t>Solid Futures Aboriginal traineeship program</w:t>
        </w:r>
      </w:hyperlink>
      <w:r w:rsidRPr="000730F7">
        <w:t xml:space="preserve"> for Aboriginal and Torres Str</w:t>
      </w:r>
      <w:r w:rsidR="00A30144">
        <w:t>ait</w:t>
      </w:r>
      <w:r w:rsidRPr="000730F7">
        <w:t xml:space="preserve"> Islander people is in its 11th year of operation in 2023. The challenging employment market saw fewer trainees in the program, down from 47 in 2021-22 to 35 this year. Six trainees were from regional areas compared to 16 last year. Twenty trainees completed the program with 80% securing public sector employment. </w:t>
      </w:r>
    </w:p>
    <w:p w14:paraId="26BFBA79" w14:textId="77777777" w:rsidR="000D42F1" w:rsidRPr="00AE0C77" w:rsidRDefault="000D42F1" w:rsidP="000D42F1">
      <w:pPr>
        <w:pStyle w:val="Heading3"/>
        <w:spacing w:before="0" w:line="240" w:lineRule="auto"/>
      </w:pPr>
      <w:bookmarkStart w:id="29" w:name="_Toc151900167"/>
      <w:r w:rsidRPr="00AE0C77">
        <w:t>Appointment types</w:t>
      </w:r>
      <w:bookmarkEnd w:id="29"/>
    </w:p>
    <w:p w14:paraId="246181E2" w14:textId="53FAAF2A" w:rsidR="000D42F1" w:rsidRPr="00F210D9" w:rsidRDefault="000D42F1" w:rsidP="000D42F1">
      <w:r>
        <w:t>In responding to the</w:t>
      </w:r>
      <w:r w:rsidRPr="00F210D9">
        <w:t xml:space="preserve"> pandemic, there </w:t>
      </w:r>
      <w:r>
        <w:t>was</w:t>
      </w:r>
      <w:r w:rsidRPr="00F210D9">
        <w:t xml:space="preserve"> a noticeable increase in fixed term and casual employees</w:t>
      </w:r>
      <w:r>
        <w:t xml:space="preserve"> </w:t>
      </w:r>
      <w:r w:rsidRPr="00F210D9">
        <w:t>to support pandemic</w:t>
      </w:r>
      <w:r>
        <w:t xml:space="preserve"> </w:t>
      </w:r>
      <w:r w:rsidRPr="00F210D9">
        <w:t>related initiatives such as staffing vaccination centres</w:t>
      </w:r>
      <w:r>
        <w:t xml:space="preserve"> and</w:t>
      </w:r>
      <w:r w:rsidRPr="00F210D9">
        <w:t xml:space="preserve"> testing clinics and ensuring the safety of government workplaces. </w:t>
      </w:r>
      <w:r>
        <w:t xml:space="preserve">This has affected the </w:t>
      </w:r>
      <w:r w:rsidR="001B6ECB">
        <w:t>percentage</w:t>
      </w:r>
      <w:r>
        <w:t xml:space="preserve"> of permanency in the public sector over the last few years.</w:t>
      </w:r>
    </w:p>
    <w:p w14:paraId="4BC09158" w14:textId="321EE2C2" w:rsidR="000D42F1" w:rsidRPr="007541E1" w:rsidRDefault="000D42F1" w:rsidP="000D42F1">
      <w:pPr>
        <w:spacing w:line="240" w:lineRule="auto"/>
      </w:pPr>
      <w:r w:rsidRPr="00F210D9">
        <w:t>As COVID-19 restrictions gradually eased and infection rates decreased, the demand for casual and fixed</w:t>
      </w:r>
      <w:r>
        <w:t xml:space="preserve"> </w:t>
      </w:r>
      <w:r w:rsidRPr="00F210D9">
        <w:t xml:space="preserve">term staff also decreased. </w:t>
      </w:r>
      <w:r>
        <w:t xml:space="preserve">This year </w:t>
      </w:r>
      <w:r w:rsidRPr="00F210D9">
        <w:t>the percentage of permanency</w:t>
      </w:r>
      <w:r>
        <w:t xml:space="preserve"> rose </w:t>
      </w:r>
      <w:r w:rsidRPr="00F210D9">
        <w:t>to 75.5%</w:t>
      </w:r>
      <w:r>
        <w:t xml:space="preserve"> from 74.7% in 2021-22</w:t>
      </w:r>
      <w:r w:rsidRPr="00F210D9">
        <w:t xml:space="preserve"> </w:t>
      </w:r>
      <w:r>
        <w:t>(</w:t>
      </w:r>
      <w:r>
        <w:fldChar w:fldCharType="begin"/>
      </w:r>
      <w:r>
        <w:instrText xml:space="preserve"> REF _Ref148711479 \h  \* MERGEFORMAT </w:instrText>
      </w:r>
      <w:r>
        <w:fldChar w:fldCharType="separate"/>
      </w:r>
      <w:r w:rsidR="0048418F" w:rsidRPr="0048418F">
        <w:t>Table 5</w:t>
      </w:r>
      <w:r>
        <w:fldChar w:fldCharType="end"/>
      </w:r>
      <w:r>
        <w:t>).</w:t>
      </w:r>
      <w:bookmarkStart w:id="30" w:name="_Ref84253034"/>
    </w:p>
    <w:p w14:paraId="3594B96E" w14:textId="02B2500E" w:rsidR="000D42F1" w:rsidRPr="00727374" w:rsidRDefault="000D42F1" w:rsidP="000D42F1">
      <w:pPr>
        <w:spacing w:line="240" w:lineRule="auto"/>
        <w:rPr>
          <w:b/>
          <w:bCs/>
          <w:color w:val="2E74B5" w:themeColor="accent1" w:themeShade="BF"/>
          <w:sz w:val="20"/>
          <w:szCs w:val="20"/>
        </w:rPr>
      </w:pPr>
      <w:bookmarkStart w:id="31" w:name="_Ref148711479"/>
      <w:r w:rsidRPr="00727374">
        <w:rPr>
          <w:b/>
          <w:bCs/>
          <w:color w:val="2E74B5" w:themeColor="accent1" w:themeShade="BF"/>
          <w:sz w:val="20"/>
          <w:szCs w:val="20"/>
        </w:rPr>
        <w:t xml:space="preserve">Table </w:t>
      </w:r>
      <w:r>
        <w:rPr>
          <w:b/>
          <w:bCs/>
          <w:color w:val="2E74B5" w:themeColor="accent1" w:themeShade="BF"/>
          <w:sz w:val="20"/>
          <w:szCs w:val="20"/>
        </w:rPr>
        <w:fldChar w:fldCharType="begin"/>
      </w:r>
      <w:r>
        <w:rPr>
          <w:b/>
          <w:bCs/>
          <w:color w:val="2E74B5" w:themeColor="accent1" w:themeShade="BF"/>
          <w:sz w:val="20"/>
          <w:szCs w:val="20"/>
        </w:rPr>
        <w:instrText xml:space="preserve"> SEQ Table \* ARABIC </w:instrText>
      </w:r>
      <w:r>
        <w:rPr>
          <w:b/>
          <w:bCs/>
          <w:color w:val="2E74B5" w:themeColor="accent1" w:themeShade="BF"/>
          <w:sz w:val="20"/>
          <w:szCs w:val="20"/>
        </w:rPr>
        <w:fldChar w:fldCharType="separate"/>
      </w:r>
      <w:r w:rsidR="0048418F">
        <w:rPr>
          <w:b/>
          <w:bCs/>
          <w:noProof/>
          <w:color w:val="2E74B5" w:themeColor="accent1" w:themeShade="BF"/>
          <w:sz w:val="20"/>
          <w:szCs w:val="20"/>
        </w:rPr>
        <w:t>5</w:t>
      </w:r>
      <w:r>
        <w:rPr>
          <w:b/>
          <w:bCs/>
          <w:color w:val="2E74B5" w:themeColor="accent1" w:themeShade="BF"/>
          <w:sz w:val="20"/>
          <w:szCs w:val="20"/>
        </w:rPr>
        <w:fldChar w:fldCharType="end"/>
      </w:r>
      <w:bookmarkEnd w:id="30"/>
      <w:bookmarkEnd w:id="31"/>
      <w:r w:rsidRPr="00727374">
        <w:rPr>
          <w:b/>
          <w:bCs/>
          <w:color w:val="2E74B5" w:themeColor="accent1" w:themeShade="BF"/>
          <w:sz w:val="20"/>
          <w:szCs w:val="20"/>
        </w:rPr>
        <w:t>: WA public sector FTE by appointment type (%), annual average 20</w:t>
      </w:r>
      <w:r>
        <w:rPr>
          <w:b/>
          <w:bCs/>
          <w:color w:val="2E74B5" w:themeColor="accent1" w:themeShade="BF"/>
          <w:sz w:val="20"/>
          <w:szCs w:val="20"/>
        </w:rPr>
        <w:t>18-19</w:t>
      </w:r>
      <w:r w:rsidRPr="00727374">
        <w:rPr>
          <w:b/>
          <w:bCs/>
          <w:color w:val="2E74B5" w:themeColor="accent1" w:themeShade="BF"/>
          <w:sz w:val="20"/>
          <w:szCs w:val="20"/>
        </w:rPr>
        <w:t xml:space="preserve"> to 20</w:t>
      </w:r>
      <w:r>
        <w:rPr>
          <w:b/>
          <w:bCs/>
          <w:color w:val="2E74B5" w:themeColor="accent1" w:themeShade="BF"/>
          <w:sz w:val="20"/>
          <w:szCs w:val="20"/>
        </w:rPr>
        <w:t>22-23</w:t>
      </w:r>
    </w:p>
    <w:tbl>
      <w:tblPr>
        <w:tblW w:w="9353"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5: WA public sector FTE by appointment type (%), annual average 2018-19 to 2022-23"/>
      </w:tblPr>
      <w:tblGrid>
        <w:gridCol w:w="2967"/>
        <w:gridCol w:w="1276"/>
        <w:gridCol w:w="1276"/>
        <w:gridCol w:w="1275"/>
        <w:gridCol w:w="1276"/>
        <w:gridCol w:w="1283"/>
      </w:tblGrid>
      <w:tr w:rsidR="000D42F1" w:rsidRPr="004836DA" w14:paraId="7531B1B1" w14:textId="77777777">
        <w:trPr>
          <w:trHeight w:val="300"/>
        </w:trPr>
        <w:tc>
          <w:tcPr>
            <w:tcW w:w="2967" w:type="dxa"/>
            <w:shd w:val="clear" w:color="auto" w:fill="auto"/>
            <w:noWrap/>
            <w:hideMark/>
          </w:tcPr>
          <w:p w14:paraId="259A9059" w14:textId="77777777" w:rsidR="000D42F1" w:rsidRPr="004836DA" w:rsidRDefault="000D42F1">
            <w:pPr>
              <w:pStyle w:val="Tables"/>
              <w:jc w:val="left"/>
              <w:rPr>
                <w:b/>
                <w:color w:val="2E74B5" w:themeColor="accent1" w:themeShade="BF"/>
              </w:rPr>
            </w:pPr>
            <w:r w:rsidRPr="004836DA">
              <w:rPr>
                <w:b/>
                <w:bCs/>
                <w:color w:val="2E74B5" w:themeColor="accent1" w:themeShade="BF"/>
              </w:rPr>
              <w:t>Appointment type</w:t>
            </w:r>
          </w:p>
        </w:tc>
        <w:tc>
          <w:tcPr>
            <w:tcW w:w="1276" w:type="dxa"/>
            <w:shd w:val="clear" w:color="auto" w:fill="auto"/>
          </w:tcPr>
          <w:p w14:paraId="35A06293" w14:textId="77777777" w:rsidR="000D42F1" w:rsidRPr="004836DA" w:rsidRDefault="000D42F1">
            <w:pPr>
              <w:pStyle w:val="Tables"/>
              <w:rPr>
                <w:b/>
                <w:bCs/>
                <w:color w:val="2E74B5" w:themeColor="accent1" w:themeShade="BF"/>
              </w:rPr>
            </w:pPr>
            <w:r w:rsidRPr="004836DA">
              <w:rPr>
                <w:b/>
                <w:bCs/>
                <w:color w:val="2E74B5" w:themeColor="accent1" w:themeShade="BF"/>
              </w:rPr>
              <w:t>2018-19</w:t>
            </w:r>
          </w:p>
        </w:tc>
        <w:tc>
          <w:tcPr>
            <w:tcW w:w="1276" w:type="dxa"/>
            <w:shd w:val="clear" w:color="auto" w:fill="auto"/>
          </w:tcPr>
          <w:p w14:paraId="64F27CBD" w14:textId="77777777" w:rsidR="000D42F1" w:rsidRPr="004836DA" w:rsidRDefault="000D42F1">
            <w:pPr>
              <w:pStyle w:val="Tables"/>
              <w:rPr>
                <w:b/>
                <w:bCs/>
                <w:color w:val="2E74B5" w:themeColor="accent1" w:themeShade="BF"/>
              </w:rPr>
            </w:pPr>
            <w:r w:rsidRPr="004836DA">
              <w:rPr>
                <w:b/>
                <w:bCs/>
                <w:color w:val="2E74B5" w:themeColor="accent1" w:themeShade="BF"/>
              </w:rPr>
              <w:t>2019-20</w:t>
            </w:r>
          </w:p>
        </w:tc>
        <w:tc>
          <w:tcPr>
            <w:tcW w:w="1275" w:type="dxa"/>
            <w:shd w:val="clear" w:color="auto" w:fill="auto"/>
          </w:tcPr>
          <w:p w14:paraId="45A8489C" w14:textId="77777777" w:rsidR="000D42F1" w:rsidRPr="004836DA" w:rsidRDefault="000D42F1">
            <w:pPr>
              <w:pStyle w:val="Tables"/>
              <w:rPr>
                <w:b/>
                <w:bCs/>
                <w:color w:val="2E74B5" w:themeColor="accent1" w:themeShade="BF"/>
              </w:rPr>
            </w:pPr>
            <w:r w:rsidRPr="004836DA">
              <w:rPr>
                <w:b/>
                <w:bCs/>
                <w:color w:val="2E74B5" w:themeColor="accent1" w:themeShade="BF"/>
              </w:rPr>
              <w:t>2020-21</w:t>
            </w:r>
          </w:p>
        </w:tc>
        <w:tc>
          <w:tcPr>
            <w:tcW w:w="1276" w:type="dxa"/>
            <w:shd w:val="clear" w:color="auto" w:fill="auto"/>
          </w:tcPr>
          <w:p w14:paraId="63F65C5D" w14:textId="77777777" w:rsidR="000D42F1" w:rsidRPr="004836DA" w:rsidRDefault="000D42F1">
            <w:pPr>
              <w:pStyle w:val="Tables"/>
              <w:rPr>
                <w:b/>
                <w:bCs/>
                <w:color w:val="2E74B5" w:themeColor="accent1" w:themeShade="BF"/>
              </w:rPr>
            </w:pPr>
            <w:r w:rsidRPr="004836DA">
              <w:rPr>
                <w:b/>
                <w:bCs/>
                <w:color w:val="2E74B5" w:themeColor="accent1" w:themeShade="BF"/>
              </w:rPr>
              <w:t>2021-22</w:t>
            </w:r>
          </w:p>
        </w:tc>
        <w:tc>
          <w:tcPr>
            <w:tcW w:w="1283" w:type="dxa"/>
            <w:shd w:val="clear" w:color="auto" w:fill="auto"/>
            <w:noWrap/>
          </w:tcPr>
          <w:p w14:paraId="7D4257DD" w14:textId="77777777" w:rsidR="000D42F1" w:rsidRPr="004836DA" w:rsidRDefault="000D42F1">
            <w:pPr>
              <w:pStyle w:val="Tables"/>
              <w:rPr>
                <w:b/>
                <w:bCs/>
                <w:color w:val="2E74B5" w:themeColor="accent1" w:themeShade="BF"/>
              </w:rPr>
            </w:pPr>
            <w:r w:rsidRPr="004836DA">
              <w:rPr>
                <w:b/>
                <w:bCs/>
                <w:color w:val="2E74B5" w:themeColor="accent1" w:themeShade="BF"/>
              </w:rPr>
              <w:t>2022-23</w:t>
            </w:r>
          </w:p>
        </w:tc>
      </w:tr>
      <w:tr w:rsidR="000D42F1" w:rsidRPr="004836DA" w14:paraId="57DEBAB7" w14:textId="77777777" w:rsidTr="001B6ECB">
        <w:trPr>
          <w:trHeight w:val="397"/>
        </w:trPr>
        <w:tc>
          <w:tcPr>
            <w:tcW w:w="2967" w:type="dxa"/>
            <w:shd w:val="clear" w:color="auto" w:fill="auto"/>
            <w:noWrap/>
            <w:hideMark/>
          </w:tcPr>
          <w:p w14:paraId="0E7ACF9C" w14:textId="77777777" w:rsidR="000D42F1" w:rsidRPr="004836DA" w:rsidRDefault="000D42F1">
            <w:pPr>
              <w:pStyle w:val="Tables"/>
              <w:jc w:val="left"/>
            </w:pPr>
            <w:r w:rsidRPr="004836DA">
              <w:t>Permanent full time</w:t>
            </w:r>
          </w:p>
        </w:tc>
        <w:tc>
          <w:tcPr>
            <w:tcW w:w="1276" w:type="dxa"/>
            <w:shd w:val="clear" w:color="auto" w:fill="auto"/>
          </w:tcPr>
          <w:p w14:paraId="187B5456" w14:textId="77777777" w:rsidR="000D42F1" w:rsidRPr="004836DA" w:rsidRDefault="000D42F1">
            <w:pPr>
              <w:pStyle w:val="Tables"/>
            </w:pPr>
            <w:r w:rsidRPr="004836DA">
              <w:t>54.6%</w:t>
            </w:r>
          </w:p>
        </w:tc>
        <w:tc>
          <w:tcPr>
            <w:tcW w:w="1276" w:type="dxa"/>
            <w:shd w:val="clear" w:color="auto" w:fill="auto"/>
          </w:tcPr>
          <w:p w14:paraId="4E5F37B7" w14:textId="77777777" w:rsidR="000D42F1" w:rsidRPr="004836DA" w:rsidRDefault="000D42F1">
            <w:pPr>
              <w:pStyle w:val="Tables"/>
            </w:pPr>
            <w:r w:rsidRPr="004836DA">
              <w:t>54.9%</w:t>
            </w:r>
          </w:p>
        </w:tc>
        <w:tc>
          <w:tcPr>
            <w:tcW w:w="1275" w:type="dxa"/>
            <w:shd w:val="clear" w:color="auto" w:fill="auto"/>
          </w:tcPr>
          <w:p w14:paraId="35E94478" w14:textId="77777777" w:rsidR="000D42F1" w:rsidRPr="004836DA" w:rsidRDefault="000D42F1">
            <w:pPr>
              <w:pStyle w:val="Tables"/>
            </w:pPr>
            <w:r w:rsidRPr="004836DA">
              <w:t>54.0%</w:t>
            </w:r>
          </w:p>
        </w:tc>
        <w:tc>
          <w:tcPr>
            <w:tcW w:w="1276" w:type="dxa"/>
            <w:shd w:val="clear" w:color="auto" w:fill="auto"/>
          </w:tcPr>
          <w:p w14:paraId="50F47307" w14:textId="77777777" w:rsidR="000D42F1" w:rsidRPr="004836DA" w:rsidRDefault="000D42F1">
            <w:pPr>
              <w:pStyle w:val="Tables"/>
            </w:pPr>
            <w:r w:rsidRPr="004836DA">
              <w:t>52.3%</w:t>
            </w:r>
          </w:p>
        </w:tc>
        <w:tc>
          <w:tcPr>
            <w:tcW w:w="1283" w:type="dxa"/>
            <w:shd w:val="clear" w:color="auto" w:fill="auto"/>
            <w:noWrap/>
          </w:tcPr>
          <w:p w14:paraId="4CEDBFAA" w14:textId="77777777" w:rsidR="000D42F1" w:rsidRPr="004836DA" w:rsidRDefault="000D42F1">
            <w:pPr>
              <w:pStyle w:val="Tables"/>
            </w:pPr>
            <w:r w:rsidRPr="004836DA">
              <w:t>52.0%</w:t>
            </w:r>
          </w:p>
        </w:tc>
      </w:tr>
      <w:tr w:rsidR="000D42F1" w:rsidRPr="004836DA" w14:paraId="13F95983" w14:textId="77777777" w:rsidTr="001B6ECB">
        <w:trPr>
          <w:trHeight w:val="397"/>
        </w:trPr>
        <w:tc>
          <w:tcPr>
            <w:tcW w:w="2967" w:type="dxa"/>
            <w:shd w:val="clear" w:color="auto" w:fill="auto"/>
            <w:noWrap/>
            <w:hideMark/>
          </w:tcPr>
          <w:p w14:paraId="16ADF625" w14:textId="77777777" w:rsidR="000D42F1" w:rsidRPr="004836DA" w:rsidRDefault="000D42F1">
            <w:pPr>
              <w:pStyle w:val="Tables"/>
              <w:jc w:val="left"/>
            </w:pPr>
            <w:r w:rsidRPr="004836DA">
              <w:t>Permanent part time</w:t>
            </w:r>
          </w:p>
        </w:tc>
        <w:tc>
          <w:tcPr>
            <w:tcW w:w="1276" w:type="dxa"/>
            <w:shd w:val="clear" w:color="auto" w:fill="auto"/>
          </w:tcPr>
          <w:p w14:paraId="2AC89FFE" w14:textId="77777777" w:rsidR="000D42F1" w:rsidRPr="004836DA" w:rsidRDefault="000D42F1">
            <w:pPr>
              <w:pStyle w:val="Tables"/>
            </w:pPr>
            <w:r w:rsidRPr="004836DA">
              <w:t>22.8%</w:t>
            </w:r>
          </w:p>
        </w:tc>
        <w:tc>
          <w:tcPr>
            <w:tcW w:w="1276" w:type="dxa"/>
            <w:shd w:val="clear" w:color="auto" w:fill="auto"/>
          </w:tcPr>
          <w:p w14:paraId="6DAE8FBD" w14:textId="77777777" w:rsidR="000D42F1" w:rsidRPr="004836DA" w:rsidRDefault="000D42F1">
            <w:pPr>
              <w:pStyle w:val="Tables"/>
            </w:pPr>
            <w:r w:rsidRPr="004836DA">
              <w:t>22.9%</w:t>
            </w:r>
          </w:p>
        </w:tc>
        <w:tc>
          <w:tcPr>
            <w:tcW w:w="1275" w:type="dxa"/>
            <w:shd w:val="clear" w:color="auto" w:fill="auto"/>
          </w:tcPr>
          <w:p w14:paraId="5CCD35E7" w14:textId="77777777" w:rsidR="000D42F1" w:rsidRPr="004836DA" w:rsidRDefault="000D42F1">
            <w:pPr>
              <w:pStyle w:val="Tables"/>
            </w:pPr>
            <w:r w:rsidRPr="004836DA">
              <w:t>22.9%</w:t>
            </w:r>
          </w:p>
        </w:tc>
        <w:tc>
          <w:tcPr>
            <w:tcW w:w="1276" w:type="dxa"/>
            <w:shd w:val="clear" w:color="auto" w:fill="auto"/>
          </w:tcPr>
          <w:p w14:paraId="4799BCA7" w14:textId="77777777" w:rsidR="000D42F1" w:rsidRPr="004836DA" w:rsidRDefault="000D42F1">
            <w:pPr>
              <w:pStyle w:val="Tables"/>
            </w:pPr>
            <w:r w:rsidRPr="004836DA">
              <w:t>22.4%</w:t>
            </w:r>
          </w:p>
        </w:tc>
        <w:tc>
          <w:tcPr>
            <w:tcW w:w="1283" w:type="dxa"/>
            <w:shd w:val="clear" w:color="auto" w:fill="auto"/>
            <w:noWrap/>
          </w:tcPr>
          <w:p w14:paraId="6FE7356C" w14:textId="77777777" w:rsidR="000D42F1" w:rsidRPr="004836DA" w:rsidRDefault="000D42F1">
            <w:pPr>
              <w:pStyle w:val="Tables"/>
            </w:pPr>
            <w:r w:rsidRPr="004836DA">
              <w:t>23.5%</w:t>
            </w:r>
          </w:p>
        </w:tc>
      </w:tr>
      <w:tr w:rsidR="000D42F1" w:rsidRPr="004836DA" w14:paraId="682FCCC7" w14:textId="77777777" w:rsidTr="001B6ECB">
        <w:trPr>
          <w:trHeight w:val="397"/>
        </w:trPr>
        <w:tc>
          <w:tcPr>
            <w:tcW w:w="2967" w:type="dxa"/>
            <w:shd w:val="clear" w:color="auto" w:fill="auto"/>
            <w:noWrap/>
          </w:tcPr>
          <w:p w14:paraId="5FEBB202" w14:textId="77777777" w:rsidR="000D42F1" w:rsidRPr="004836DA" w:rsidRDefault="000D42F1">
            <w:pPr>
              <w:pStyle w:val="Tables"/>
              <w:jc w:val="left"/>
              <w:rPr>
                <w:b/>
              </w:rPr>
            </w:pPr>
            <w:r w:rsidRPr="004836DA">
              <w:rPr>
                <w:b/>
                <w:bCs/>
              </w:rPr>
              <w:t>Permanent total</w:t>
            </w:r>
          </w:p>
        </w:tc>
        <w:tc>
          <w:tcPr>
            <w:tcW w:w="1276" w:type="dxa"/>
            <w:shd w:val="clear" w:color="auto" w:fill="auto"/>
          </w:tcPr>
          <w:p w14:paraId="7018D223" w14:textId="77777777" w:rsidR="000D42F1" w:rsidRPr="004836DA" w:rsidRDefault="000D42F1">
            <w:pPr>
              <w:pStyle w:val="Tables"/>
              <w:rPr>
                <w:b/>
                <w:bCs/>
              </w:rPr>
            </w:pPr>
            <w:r w:rsidRPr="004836DA">
              <w:rPr>
                <w:b/>
                <w:bCs/>
              </w:rPr>
              <w:t>77.4%</w:t>
            </w:r>
          </w:p>
        </w:tc>
        <w:tc>
          <w:tcPr>
            <w:tcW w:w="1276" w:type="dxa"/>
            <w:shd w:val="clear" w:color="auto" w:fill="auto"/>
          </w:tcPr>
          <w:p w14:paraId="034279A3" w14:textId="77777777" w:rsidR="000D42F1" w:rsidRPr="004836DA" w:rsidRDefault="000D42F1">
            <w:pPr>
              <w:pStyle w:val="Tables"/>
              <w:rPr>
                <w:b/>
                <w:bCs/>
              </w:rPr>
            </w:pPr>
            <w:r w:rsidRPr="004836DA">
              <w:rPr>
                <w:b/>
                <w:bCs/>
              </w:rPr>
              <w:t>77.8%</w:t>
            </w:r>
          </w:p>
        </w:tc>
        <w:tc>
          <w:tcPr>
            <w:tcW w:w="1275" w:type="dxa"/>
            <w:shd w:val="clear" w:color="auto" w:fill="auto"/>
          </w:tcPr>
          <w:p w14:paraId="28410B81" w14:textId="77777777" w:rsidR="000D42F1" w:rsidRPr="004836DA" w:rsidRDefault="000D42F1">
            <w:pPr>
              <w:pStyle w:val="Tables"/>
              <w:rPr>
                <w:b/>
                <w:bCs/>
              </w:rPr>
            </w:pPr>
            <w:r w:rsidRPr="004836DA">
              <w:rPr>
                <w:b/>
                <w:bCs/>
              </w:rPr>
              <w:t>76.9%</w:t>
            </w:r>
          </w:p>
        </w:tc>
        <w:tc>
          <w:tcPr>
            <w:tcW w:w="1276" w:type="dxa"/>
            <w:shd w:val="clear" w:color="auto" w:fill="auto"/>
          </w:tcPr>
          <w:p w14:paraId="62630A90" w14:textId="77777777" w:rsidR="000D42F1" w:rsidRPr="004836DA" w:rsidRDefault="000D42F1">
            <w:pPr>
              <w:pStyle w:val="Tables"/>
              <w:rPr>
                <w:b/>
                <w:bCs/>
              </w:rPr>
            </w:pPr>
            <w:r w:rsidRPr="004836DA">
              <w:rPr>
                <w:b/>
                <w:bCs/>
              </w:rPr>
              <w:t>74.7%</w:t>
            </w:r>
          </w:p>
        </w:tc>
        <w:tc>
          <w:tcPr>
            <w:tcW w:w="1283" w:type="dxa"/>
            <w:shd w:val="clear" w:color="auto" w:fill="auto"/>
            <w:noWrap/>
          </w:tcPr>
          <w:p w14:paraId="0C9917B9" w14:textId="77777777" w:rsidR="000D42F1" w:rsidRPr="004836DA" w:rsidRDefault="000D42F1">
            <w:pPr>
              <w:pStyle w:val="Tables"/>
              <w:rPr>
                <w:b/>
                <w:bCs/>
              </w:rPr>
            </w:pPr>
            <w:r w:rsidRPr="004836DA">
              <w:rPr>
                <w:b/>
                <w:bCs/>
              </w:rPr>
              <w:t>75.5%</w:t>
            </w:r>
          </w:p>
        </w:tc>
      </w:tr>
      <w:tr w:rsidR="000D42F1" w:rsidRPr="004836DA" w14:paraId="73247E88" w14:textId="77777777" w:rsidTr="001B6ECB">
        <w:trPr>
          <w:trHeight w:val="397"/>
        </w:trPr>
        <w:tc>
          <w:tcPr>
            <w:tcW w:w="2967" w:type="dxa"/>
            <w:shd w:val="clear" w:color="auto" w:fill="auto"/>
            <w:noWrap/>
            <w:hideMark/>
          </w:tcPr>
          <w:p w14:paraId="0CCFCD75" w14:textId="77777777" w:rsidR="000D42F1" w:rsidRPr="004836DA" w:rsidRDefault="000D42F1">
            <w:pPr>
              <w:pStyle w:val="Tables"/>
              <w:jc w:val="left"/>
            </w:pPr>
            <w:r w:rsidRPr="004836DA">
              <w:t>Fixed term full time</w:t>
            </w:r>
          </w:p>
        </w:tc>
        <w:tc>
          <w:tcPr>
            <w:tcW w:w="1276" w:type="dxa"/>
            <w:shd w:val="clear" w:color="auto" w:fill="auto"/>
          </w:tcPr>
          <w:p w14:paraId="1B09A8D8" w14:textId="77777777" w:rsidR="000D42F1" w:rsidRPr="004836DA" w:rsidRDefault="000D42F1">
            <w:pPr>
              <w:pStyle w:val="Tables"/>
            </w:pPr>
            <w:r w:rsidRPr="004836DA">
              <w:t>11.9%</w:t>
            </w:r>
          </w:p>
        </w:tc>
        <w:tc>
          <w:tcPr>
            <w:tcW w:w="1276" w:type="dxa"/>
            <w:shd w:val="clear" w:color="auto" w:fill="auto"/>
          </w:tcPr>
          <w:p w14:paraId="5C9F27CE" w14:textId="77777777" w:rsidR="000D42F1" w:rsidRPr="004836DA" w:rsidRDefault="000D42F1">
            <w:pPr>
              <w:pStyle w:val="Tables"/>
            </w:pPr>
            <w:r w:rsidRPr="004836DA">
              <w:t>11.4%</w:t>
            </w:r>
          </w:p>
        </w:tc>
        <w:tc>
          <w:tcPr>
            <w:tcW w:w="1275" w:type="dxa"/>
            <w:shd w:val="clear" w:color="auto" w:fill="auto"/>
          </w:tcPr>
          <w:p w14:paraId="60C6F2A9" w14:textId="77777777" w:rsidR="000D42F1" w:rsidRPr="004836DA" w:rsidRDefault="000D42F1">
            <w:pPr>
              <w:pStyle w:val="Tables"/>
            </w:pPr>
            <w:r w:rsidRPr="004836DA">
              <w:t>11.6%</w:t>
            </w:r>
          </w:p>
        </w:tc>
        <w:tc>
          <w:tcPr>
            <w:tcW w:w="1276" w:type="dxa"/>
            <w:shd w:val="clear" w:color="auto" w:fill="auto"/>
          </w:tcPr>
          <w:p w14:paraId="4B581BA7" w14:textId="77777777" w:rsidR="000D42F1" w:rsidRPr="004836DA" w:rsidRDefault="000D42F1">
            <w:pPr>
              <w:pStyle w:val="Tables"/>
            </w:pPr>
            <w:r w:rsidRPr="004836DA">
              <w:t>12.8%</w:t>
            </w:r>
          </w:p>
        </w:tc>
        <w:tc>
          <w:tcPr>
            <w:tcW w:w="1283" w:type="dxa"/>
            <w:shd w:val="clear" w:color="auto" w:fill="auto"/>
            <w:noWrap/>
          </w:tcPr>
          <w:p w14:paraId="0E29C2D8" w14:textId="77777777" w:rsidR="000D42F1" w:rsidRPr="004836DA" w:rsidRDefault="000D42F1">
            <w:pPr>
              <w:pStyle w:val="Tables"/>
            </w:pPr>
            <w:r w:rsidRPr="004836DA">
              <w:t>12.5%</w:t>
            </w:r>
          </w:p>
        </w:tc>
      </w:tr>
      <w:tr w:rsidR="000D42F1" w:rsidRPr="004836DA" w14:paraId="1A8FAFEE" w14:textId="77777777" w:rsidTr="001B6ECB">
        <w:trPr>
          <w:trHeight w:val="397"/>
        </w:trPr>
        <w:tc>
          <w:tcPr>
            <w:tcW w:w="2967" w:type="dxa"/>
            <w:shd w:val="clear" w:color="auto" w:fill="auto"/>
            <w:noWrap/>
            <w:hideMark/>
          </w:tcPr>
          <w:p w14:paraId="5A170BBC" w14:textId="77777777" w:rsidR="000D42F1" w:rsidRPr="004836DA" w:rsidRDefault="000D42F1">
            <w:pPr>
              <w:pStyle w:val="Tables"/>
              <w:jc w:val="left"/>
            </w:pPr>
            <w:r w:rsidRPr="004836DA">
              <w:t>Fixed term part time</w:t>
            </w:r>
          </w:p>
        </w:tc>
        <w:tc>
          <w:tcPr>
            <w:tcW w:w="1276" w:type="dxa"/>
            <w:shd w:val="clear" w:color="auto" w:fill="auto"/>
          </w:tcPr>
          <w:p w14:paraId="412A0D87" w14:textId="77777777" w:rsidR="000D42F1" w:rsidRPr="004836DA" w:rsidRDefault="000D42F1">
            <w:pPr>
              <w:pStyle w:val="Tables"/>
            </w:pPr>
            <w:r w:rsidRPr="004836DA">
              <w:t>5.0%</w:t>
            </w:r>
          </w:p>
        </w:tc>
        <w:tc>
          <w:tcPr>
            <w:tcW w:w="1276" w:type="dxa"/>
            <w:shd w:val="clear" w:color="auto" w:fill="auto"/>
          </w:tcPr>
          <w:p w14:paraId="0555D2E8" w14:textId="77777777" w:rsidR="000D42F1" w:rsidRPr="004836DA" w:rsidRDefault="000D42F1">
            <w:pPr>
              <w:pStyle w:val="Tables"/>
            </w:pPr>
            <w:r w:rsidRPr="004836DA">
              <w:t>5.1%</w:t>
            </w:r>
          </w:p>
        </w:tc>
        <w:tc>
          <w:tcPr>
            <w:tcW w:w="1275" w:type="dxa"/>
            <w:shd w:val="clear" w:color="auto" w:fill="auto"/>
          </w:tcPr>
          <w:p w14:paraId="4888C01C" w14:textId="77777777" w:rsidR="000D42F1" w:rsidRPr="004836DA" w:rsidRDefault="000D42F1">
            <w:pPr>
              <w:pStyle w:val="Tables"/>
            </w:pPr>
            <w:r w:rsidRPr="004836DA">
              <w:t>5.7%</w:t>
            </w:r>
          </w:p>
        </w:tc>
        <w:tc>
          <w:tcPr>
            <w:tcW w:w="1276" w:type="dxa"/>
            <w:shd w:val="clear" w:color="auto" w:fill="auto"/>
          </w:tcPr>
          <w:p w14:paraId="413EC3FE" w14:textId="77777777" w:rsidR="000D42F1" w:rsidRPr="004836DA" w:rsidRDefault="000D42F1">
            <w:pPr>
              <w:pStyle w:val="Tables"/>
            </w:pPr>
            <w:r w:rsidRPr="004836DA">
              <w:t>6.3%</w:t>
            </w:r>
          </w:p>
        </w:tc>
        <w:tc>
          <w:tcPr>
            <w:tcW w:w="1283" w:type="dxa"/>
            <w:shd w:val="clear" w:color="auto" w:fill="auto"/>
            <w:noWrap/>
          </w:tcPr>
          <w:p w14:paraId="1FF1CE9A" w14:textId="77777777" w:rsidR="000D42F1" w:rsidRPr="004836DA" w:rsidRDefault="000D42F1">
            <w:pPr>
              <w:pStyle w:val="Tables"/>
            </w:pPr>
            <w:r w:rsidRPr="004836DA">
              <w:t>6.1%</w:t>
            </w:r>
          </w:p>
        </w:tc>
      </w:tr>
      <w:tr w:rsidR="000D42F1" w:rsidRPr="004836DA" w14:paraId="476C4EC6" w14:textId="77777777" w:rsidTr="001B6ECB">
        <w:trPr>
          <w:trHeight w:val="397"/>
        </w:trPr>
        <w:tc>
          <w:tcPr>
            <w:tcW w:w="2967" w:type="dxa"/>
            <w:shd w:val="clear" w:color="auto" w:fill="auto"/>
            <w:noWrap/>
          </w:tcPr>
          <w:p w14:paraId="155D09F7" w14:textId="77777777" w:rsidR="000D42F1" w:rsidRPr="004836DA" w:rsidRDefault="000D42F1">
            <w:pPr>
              <w:pStyle w:val="Tables"/>
              <w:jc w:val="left"/>
              <w:rPr>
                <w:b/>
              </w:rPr>
            </w:pPr>
            <w:r w:rsidRPr="004836DA">
              <w:rPr>
                <w:b/>
                <w:bCs/>
              </w:rPr>
              <w:t>Fixed term total</w:t>
            </w:r>
          </w:p>
        </w:tc>
        <w:tc>
          <w:tcPr>
            <w:tcW w:w="1276" w:type="dxa"/>
            <w:shd w:val="clear" w:color="auto" w:fill="auto"/>
          </w:tcPr>
          <w:p w14:paraId="2D540DAA" w14:textId="77777777" w:rsidR="000D42F1" w:rsidRPr="004836DA" w:rsidRDefault="000D42F1">
            <w:pPr>
              <w:pStyle w:val="Tables"/>
              <w:rPr>
                <w:b/>
                <w:bCs/>
              </w:rPr>
            </w:pPr>
            <w:r w:rsidRPr="004836DA">
              <w:rPr>
                <w:b/>
                <w:bCs/>
              </w:rPr>
              <w:t>16.9%</w:t>
            </w:r>
          </w:p>
        </w:tc>
        <w:tc>
          <w:tcPr>
            <w:tcW w:w="1276" w:type="dxa"/>
            <w:shd w:val="clear" w:color="auto" w:fill="auto"/>
          </w:tcPr>
          <w:p w14:paraId="0C9D10CC" w14:textId="77777777" w:rsidR="000D42F1" w:rsidRPr="004836DA" w:rsidRDefault="000D42F1">
            <w:pPr>
              <w:pStyle w:val="Tables"/>
              <w:rPr>
                <w:b/>
                <w:bCs/>
              </w:rPr>
            </w:pPr>
            <w:r w:rsidRPr="004836DA">
              <w:rPr>
                <w:b/>
                <w:bCs/>
              </w:rPr>
              <w:t>16.4%</w:t>
            </w:r>
          </w:p>
        </w:tc>
        <w:tc>
          <w:tcPr>
            <w:tcW w:w="1275" w:type="dxa"/>
            <w:shd w:val="clear" w:color="auto" w:fill="auto"/>
          </w:tcPr>
          <w:p w14:paraId="009A1404" w14:textId="77777777" w:rsidR="000D42F1" w:rsidRPr="004836DA" w:rsidRDefault="000D42F1">
            <w:pPr>
              <w:pStyle w:val="Tables"/>
              <w:rPr>
                <w:b/>
                <w:bCs/>
              </w:rPr>
            </w:pPr>
            <w:r w:rsidRPr="004836DA">
              <w:rPr>
                <w:b/>
                <w:bCs/>
              </w:rPr>
              <w:t>17.3%</w:t>
            </w:r>
          </w:p>
        </w:tc>
        <w:tc>
          <w:tcPr>
            <w:tcW w:w="1276" w:type="dxa"/>
            <w:shd w:val="clear" w:color="auto" w:fill="auto"/>
          </w:tcPr>
          <w:p w14:paraId="31FE8FE2" w14:textId="77777777" w:rsidR="000D42F1" w:rsidRPr="004836DA" w:rsidRDefault="000D42F1">
            <w:pPr>
              <w:pStyle w:val="Tables"/>
              <w:rPr>
                <w:b/>
                <w:bCs/>
              </w:rPr>
            </w:pPr>
            <w:r w:rsidRPr="004836DA">
              <w:rPr>
                <w:b/>
                <w:bCs/>
              </w:rPr>
              <w:t>19.1%</w:t>
            </w:r>
          </w:p>
        </w:tc>
        <w:tc>
          <w:tcPr>
            <w:tcW w:w="1283" w:type="dxa"/>
            <w:shd w:val="clear" w:color="auto" w:fill="auto"/>
            <w:noWrap/>
          </w:tcPr>
          <w:p w14:paraId="0DE28DF3" w14:textId="77777777" w:rsidR="000D42F1" w:rsidRPr="004836DA" w:rsidRDefault="000D42F1">
            <w:pPr>
              <w:pStyle w:val="Tables"/>
              <w:rPr>
                <w:b/>
                <w:bCs/>
              </w:rPr>
            </w:pPr>
            <w:r w:rsidRPr="004836DA">
              <w:rPr>
                <w:b/>
                <w:bCs/>
              </w:rPr>
              <w:t>18.6%</w:t>
            </w:r>
          </w:p>
        </w:tc>
      </w:tr>
      <w:tr w:rsidR="000D42F1" w:rsidRPr="004836DA" w14:paraId="4FE04879" w14:textId="77777777" w:rsidTr="001B6ECB">
        <w:trPr>
          <w:trHeight w:val="397"/>
        </w:trPr>
        <w:tc>
          <w:tcPr>
            <w:tcW w:w="2967" w:type="dxa"/>
            <w:shd w:val="clear" w:color="auto" w:fill="auto"/>
            <w:noWrap/>
            <w:hideMark/>
          </w:tcPr>
          <w:p w14:paraId="2116D98F" w14:textId="77777777" w:rsidR="000D42F1" w:rsidRPr="004836DA" w:rsidRDefault="000D42F1">
            <w:pPr>
              <w:pStyle w:val="Tables"/>
              <w:jc w:val="left"/>
            </w:pPr>
            <w:r w:rsidRPr="004836DA">
              <w:t>Casual</w:t>
            </w:r>
          </w:p>
        </w:tc>
        <w:tc>
          <w:tcPr>
            <w:tcW w:w="1276" w:type="dxa"/>
            <w:shd w:val="clear" w:color="auto" w:fill="auto"/>
          </w:tcPr>
          <w:p w14:paraId="04A51A05" w14:textId="77777777" w:rsidR="000D42F1" w:rsidRPr="004836DA" w:rsidRDefault="000D42F1">
            <w:pPr>
              <w:pStyle w:val="Tables"/>
            </w:pPr>
            <w:r w:rsidRPr="004836DA">
              <w:t>5.2%</w:t>
            </w:r>
          </w:p>
        </w:tc>
        <w:tc>
          <w:tcPr>
            <w:tcW w:w="1276" w:type="dxa"/>
            <w:shd w:val="clear" w:color="auto" w:fill="auto"/>
          </w:tcPr>
          <w:p w14:paraId="4CE3E7D7" w14:textId="77777777" w:rsidR="000D42F1" w:rsidRPr="004836DA" w:rsidRDefault="000D42F1">
            <w:pPr>
              <w:pStyle w:val="Tables"/>
            </w:pPr>
            <w:r w:rsidRPr="004836DA">
              <w:t>5.2%</w:t>
            </w:r>
          </w:p>
        </w:tc>
        <w:tc>
          <w:tcPr>
            <w:tcW w:w="1275" w:type="dxa"/>
            <w:shd w:val="clear" w:color="auto" w:fill="auto"/>
          </w:tcPr>
          <w:p w14:paraId="5E41FB85" w14:textId="77777777" w:rsidR="000D42F1" w:rsidRPr="004836DA" w:rsidRDefault="000D42F1">
            <w:pPr>
              <w:pStyle w:val="Tables"/>
            </w:pPr>
            <w:r w:rsidRPr="004836DA">
              <w:t>5.2%</w:t>
            </w:r>
          </w:p>
        </w:tc>
        <w:tc>
          <w:tcPr>
            <w:tcW w:w="1276" w:type="dxa"/>
            <w:shd w:val="clear" w:color="auto" w:fill="auto"/>
          </w:tcPr>
          <w:p w14:paraId="245B040C" w14:textId="77777777" w:rsidR="000D42F1" w:rsidRPr="004836DA" w:rsidRDefault="000D42F1">
            <w:pPr>
              <w:pStyle w:val="Tables"/>
            </w:pPr>
            <w:r w:rsidRPr="004836DA">
              <w:t>5.5%</w:t>
            </w:r>
          </w:p>
        </w:tc>
        <w:tc>
          <w:tcPr>
            <w:tcW w:w="1283" w:type="dxa"/>
            <w:shd w:val="clear" w:color="auto" w:fill="auto"/>
            <w:noWrap/>
          </w:tcPr>
          <w:p w14:paraId="52B6F4F5" w14:textId="77777777" w:rsidR="000D42F1" w:rsidRPr="004836DA" w:rsidRDefault="000D42F1">
            <w:pPr>
              <w:pStyle w:val="Tables"/>
            </w:pPr>
            <w:r w:rsidRPr="004836DA">
              <w:t>5.3%</w:t>
            </w:r>
          </w:p>
        </w:tc>
      </w:tr>
      <w:tr w:rsidR="000D42F1" w:rsidRPr="004836DA" w14:paraId="6DAE24FA" w14:textId="77777777" w:rsidTr="001B6ECB">
        <w:trPr>
          <w:trHeight w:val="397"/>
        </w:trPr>
        <w:tc>
          <w:tcPr>
            <w:tcW w:w="2967" w:type="dxa"/>
            <w:shd w:val="clear" w:color="auto" w:fill="auto"/>
            <w:noWrap/>
            <w:hideMark/>
          </w:tcPr>
          <w:p w14:paraId="6A493241" w14:textId="77777777" w:rsidR="000D42F1" w:rsidRPr="004836DA" w:rsidRDefault="000D42F1">
            <w:pPr>
              <w:pStyle w:val="Tables"/>
              <w:jc w:val="left"/>
            </w:pPr>
            <w:r w:rsidRPr="004836DA">
              <w:t>Other</w:t>
            </w:r>
          </w:p>
        </w:tc>
        <w:tc>
          <w:tcPr>
            <w:tcW w:w="1276" w:type="dxa"/>
            <w:shd w:val="clear" w:color="auto" w:fill="auto"/>
          </w:tcPr>
          <w:p w14:paraId="1519E1D3" w14:textId="77777777" w:rsidR="000D42F1" w:rsidRPr="004836DA" w:rsidRDefault="000D42F1">
            <w:pPr>
              <w:pStyle w:val="Tables"/>
            </w:pPr>
            <w:r w:rsidRPr="004836DA">
              <w:t>0.5%</w:t>
            </w:r>
          </w:p>
        </w:tc>
        <w:tc>
          <w:tcPr>
            <w:tcW w:w="1276" w:type="dxa"/>
            <w:shd w:val="clear" w:color="auto" w:fill="auto"/>
          </w:tcPr>
          <w:p w14:paraId="1CF918F2" w14:textId="77777777" w:rsidR="000D42F1" w:rsidRPr="004836DA" w:rsidRDefault="000D42F1">
            <w:pPr>
              <w:pStyle w:val="Tables"/>
            </w:pPr>
            <w:r w:rsidRPr="004836DA">
              <w:t>0.6%</w:t>
            </w:r>
          </w:p>
        </w:tc>
        <w:tc>
          <w:tcPr>
            <w:tcW w:w="1275" w:type="dxa"/>
            <w:shd w:val="clear" w:color="auto" w:fill="auto"/>
          </w:tcPr>
          <w:p w14:paraId="1B3EC5B9" w14:textId="77777777" w:rsidR="000D42F1" w:rsidRPr="004836DA" w:rsidRDefault="000D42F1">
            <w:pPr>
              <w:pStyle w:val="Tables"/>
            </w:pPr>
            <w:r w:rsidRPr="004836DA">
              <w:t>0.6%</w:t>
            </w:r>
          </w:p>
        </w:tc>
        <w:tc>
          <w:tcPr>
            <w:tcW w:w="1276" w:type="dxa"/>
            <w:shd w:val="clear" w:color="auto" w:fill="auto"/>
          </w:tcPr>
          <w:p w14:paraId="5233FA76" w14:textId="77777777" w:rsidR="000D42F1" w:rsidRPr="004836DA" w:rsidRDefault="000D42F1">
            <w:pPr>
              <w:pStyle w:val="Tables"/>
            </w:pPr>
            <w:r w:rsidRPr="004836DA">
              <w:t>0.6%</w:t>
            </w:r>
          </w:p>
        </w:tc>
        <w:tc>
          <w:tcPr>
            <w:tcW w:w="1283" w:type="dxa"/>
            <w:shd w:val="clear" w:color="auto" w:fill="auto"/>
            <w:noWrap/>
          </w:tcPr>
          <w:p w14:paraId="2F1C59CF" w14:textId="77777777" w:rsidR="000D42F1" w:rsidRPr="004836DA" w:rsidRDefault="000D42F1">
            <w:pPr>
              <w:pStyle w:val="Tables"/>
            </w:pPr>
            <w:r w:rsidRPr="004836DA">
              <w:t>0.7%</w:t>
            </w:r>
          </w:p>
        </w:tc>
      </w:tr>
    </w:tbl>
    <w:p w14:paraId="48363056" w14:textId="400C9F7A" w:rsidR="000D42F1" w:rsidRDefault="00F7245B" w:rsidP="001B6ECB">
      <w:pPr>
        <w:spacing w:before="240" w:line="240" w:lineRule="auto"/>
      </w:pPr>
      <w:r>
        <w:br w:type="page"/>
      </w:r>
      <w:proofErr w:type="gramStart"/>
      <w:r w:rsidR="000D42F1" w:rsidRPr="17B67EEB">
        <w:lastRenderedPageBreak/>
        <w:t>Similar to</w:t>
      </w:r>
      <w:proofErr w:type="gramEnd"/>
      <w:r w:rsidR="000D42F1" w:rsidRPr="17B67EEB">
        <w:t xml:space="preserve"> the public sector, the majority of FTE in other government entities </w:t>
      </w:r>
      <w:r w:rsidR="000D42F1">
        <w:t>was</w:t>
      </w:r>
      <w:r w:rsidR="000D42F1" w:rsidRPr="17B67EEB">
        <w:t xml:space="preserve"> employed on a permanent basis </w:t>
      </w:r>
      <w:r w:rsidR="000D42F1" w:rsidRPr="00B21B25">
        <w:t>(</w:t>
      </w:r>
      <w:r w:rsidR="000D42F1">
        <w:fldChar w:fldCharType="begin"/>
      </w:r>
      <w:r w:rsidR="000D42F1">
        <w:instrText xml:space="preserve"> REF _Ref148711503 \h  \* MERGEFORMAT </w:instrText>
      </w:r>
      <w:r w:rsidR="000D42F1">
        <w:fldChar w:fldCharType="separate"/>
      </w:r>
      <w:r w:rsidR="0048418F" w:rsidRPr="0048418F">
        <w:t>Table 6</w:t>
      </w:r>
      <w:r w:rsidR="000D42F1">
        <w:fldChar w:fldCharType="end"/>
      </w:r>
      <w:r w:rsidR="000D42F1" w:rsidRPr="00B21B25">
        <w:t>)</w:t>
      </w:r>
      <w:r w:rsidR="000D42F1">
        <w:t>, however permanency decreased from 77.0% in March 2022</w:t>
      </w:r>
      <w:r w:rsidR="000D42F1">
        <w:rPr>
          <w:rStyle w:val="FootnoteReference"/>
        </w:rPr>
        <w:footnoteReference w:id="6"/>
      </w:r>
      <w:r w:rsidR="000D42F1">
        <w:t xml:space="preserve"> to 74.4%</w:t>
      </w:r>
      <w:r w:rsidR="000D42F1" w:rsidRPr="00B21B25">
        <w:t>.</w:t>
      </w:r>
      <w:r w:rsidR="000D42F1">
        <w:t xml:space="preserve"> </w:t>
      </w:r>
    </w:p>
    <w:p w14:paraId="61E93C37" w14:textId="4F139F07" w:rsidR="000D42F1" w:rsidRPr="00727374" w:rsidRDefault="000D42F1" w:rsidP="000D42F1">
      <w:pPr>
        <w:pStyle w:val="Caption"/>
        <w:rPr>
          <w:b/>
          <w:bCs/>
          <w:i/>
        </w:rPr>
      </w:pPr>
      <w:bookmarkStart w:id="32" w:name="_Ref148711503"/>
      <w:bookmarkStart w:id="33" w:name="_Ref84253098"/>
      <w:r w:rsidRPr="00727374">
        <w:rPr>
          <w:b/>
          <w:bCs/>
        </w:rPr>
        <w:t xml:space="preserve">Table </w:t>
      </w:r>
      <w:r>
        <w:rPr>
          <w:b/>
          <w:bCs/>
        </w:rPr>
        <w:fldChar w:fldCharType="begin"/>
      </w:r>
      <w:r>
        <w:rPr>
          <w:b/>
          <w:bCs/>
        </w:rPr>
        <w:instrText xml:space="preserve"> SEQ Table \* ARABIC </w:instrText>
      </w:r>
      <w:r>
        <w:rPr>
          <w:b/>
          <w:bCs/>
        </w:rPr>
        <w:fldChar w:fldCharType="separate"/>
      </w:r>
      <w:r w:rsidR="0048418F">
        <w:rPr>
          <w:b/>
          <w:bCs/>
          <w:noProof/>
        </w:rPr>
        <w:t>6</w:t>
      </w:r>
      <w:r>
        <w:rPr>
          <w:b/>
          <w:bCs/>
        </w:rPr>
        <w:fldChar w:fldCharType="end"/>
      </w:r>
      <w:bookmarkEnd w:id="32"/>
      <w:bookmarkEnd w:id="33"/>
      <w:r w:rsidRPr="00727374">
        <w:rPr>
          <w:b/>
          <w:bCs/>
          <w:noProof/>
        </w:rPr>
        <w:t>:</w:t>
      </w:r>
      <w:r w:rsidRPr="00727374">
        <w:rPr>
          <w:b/>
          <w:bCs/>
        </w:rPr>
        <w:t xml:space="preserve"> WA other government entities FTE by appointment type (%), March 202</w:t>
      </w:r>
      <w:r>
        <w:rPr>
          <w:b/>
          <w:bCs/>
        </w:rPr>
        <w:t>3</w:t>
      </w:r>
    </w:p>
    <w:tbl>
      <w:tblPr>
        <w:tblW w:w="9346"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Caption w:val="Table 6: WA other government entities FTE by appointment type (%), March 2023"/>
      </w:tblPr>
      <w:tblGrid>
        <w:gridCol w:w="2400"/>
        <w:gridCol w:w="2268"/>
        <w:gridCol w:w="1559"/>
        <w:gridCol w:w="1560"/>
        <w:gridCol w:w="1559"/>
      </w:tblGrid>
      <w:tr w:rsidR="000D42F1" w:rsidRPr="004836DA" w14:paraId="530EF247" w14:textId="77777777">
        <w:trPr>
          <w:trHeight w:val="300"/>
        </w:trPr>
        <w:tc>
          <w:tcPr>
            <w:tcW w:w="2400" w:type="dxa"/>
            <w:shd w:val="clear" w:color="auto" w:fill="auto"/>
            <w:noWrap/>
            <w:hideMark/>
          </w:tcPr>
          <w:p w14:paraId="4BB7F62D" w14:textId="77777777" w:rsidR="000D42F1" w:rsidRPr="004836DA" w:rsidRDefault="000D42F1">
            <w:pPr>
              <w:pStyle w:val="Tables"/>
              <w:jc w:val="left"/>
              <w:rPr>
                <w:b/>
                <w:color w:val="2E74B5" w:themeColor="accent1" w:themeShade="BF"/>
              </w:rPr>
            </w:pPr>
            <w:r w:rsidRPr="004836DA">
              <w:rPr>
                <w:b/>
                <w:bCs/>
                <w:color w:val="2E74B5" w:themeColor="accent1" w:themeShade="BF"/>
              </w:rPr>
              <w:t> Appointment type</w:t>
            </w:r>
          </w:p>
        </w:tc>
        <w:tc>
          <w:tcPr>
            <w:tcW w:w="2268" w:type="dxa"/>
            <w:shd w:val="clear" w:color="auto" w:fill="auto"/>
            <w:noWrap/>
            <w:hideMark/>
          </w:tcPr>
          <w:p w14:paraId="6B6C0146" w14:textId="77777777" w:rsidR="000D42F1" w:rsidRPr="004836DA" w:rsidRDefault="000D42F1">
            <w:pPr>
              <w:pStyle w:val="Tables"/>
              <w:rPr>
                <w:b/>
                <w:color w:val="2E74B5" w:themeColor="accent1" w:themeShade="BF"/>
              </w:rPr>
            </w:pPr>
            <w:r w:rsidRPr="004836DA">
              <w:rPr>
                <w:b/>
                <w:bCs/>
                <w:color w:val="2E74B5" w:themeColor="accent1" w:themeShade="BF"/>
              </w:rPr>
              <w:t>Government trading enterprises and other authorities</w:t>
            </w:r>
          </w:p>
        </w:tc>
        <w:tc>
          <w:tcPr>
            <w:tcW w:w="1559" w:type="dxa"/>
            <w:shd w:val="clear" w:color="auto" w:fill="auto"/>
            <w:noWrap/>
            <w:hideMark/>
          </w:tcPr>
          <w:p w14:paraId="2979CDF9" w14:textId="77777777" w:rsidR="000D42F1" w:rsidRPr="004836DA" w:rsidRDefault="000D42F1">
            <w:pPr>
              <w:pStyle w:val="Tables"/>
              <w:rPr>
                <w:b/>
                <w:color w:val="2E74B5" w:themeColor="accent1" w:themeShade="BF"/>
              </w:rPr>
            </w:pPr>
            <w:r w:rsidRPr="004836DA">
              <w:rPr>
                <w:b/>
                <w:bCs/>
                <w:color w:val="2E74B5" w:themeColor="accent1" w:themeShade="BF"/>
              </w:rPr>
              <w:t>Local governments</w:t>
            </w:r>
          </w:p>
        </w:tc>
        <w:tc>
          <w:tcPr>
            <w:tcW w:w="1560" w:type="dxa"/>
            <w:shd w:val="clear" w:color="auto" w:fill="auto"/>
            <w:noWrap/>
            <w:hideMark/>
          </w:tcPr>
          <w:p w14:paraId="40DF8088" w14:textId="77777777" w:rsidR="000D42F1" w:rsidRPr="004836DA" w:rsidRDefault="000D42F1">
            <w:pPr>
              <w:pStyle w:val="Tables"/>
              <w:rPr>
                <w:b/>
                <w:color w:val="2E74B5" w:themeColor="accent1" w:themeShade="BF"/>
              </w:rPr>
            </w:pPr>
            <w:r w:rsidRPr="004836DA">
              <w:rPr>
                <w:b/>
                <w:bCs/>
                <w:color w:val="2E74B5" w:themeColor="accent1" w:themeShade="BF"/>
              </w:rPr>
              <w:t>Public universities</w:t>
            </w:r>
          </w:p>
        </w:tc>
        <w:tc>
          <w:tcPr>
            <w:tcW w:w="1559" w:type="dxa"/>
            <w:shd w:val="clear" w:color="auto" w:fill="auto"/>
            <w:noWrap/>
            <w:hideMark/>
          </w:tcPr>
          <w:p w14:paraId="5952A84A" w14:textId="77777777" w:rsidR="000D42F1" w:rsidRPr="004836DA" w:rsidRDefault="000D42F1">
            <w:pPr>
              <w:pStyle w:val="Tables"/>
              <w:rPr>
                <w:b/>
                <w:color w:val="2E74B5" w:themeColor="accent1" w:themeShade="BF"/>
              </w:rPr>
            </w:pPr>
            <w:r w:rsidRPr="004836DA">
              <w:rPr>
                <w:b/>
                <w:bCs/>
                <w:color w:val="2E74B5" w:themeColor="accent1" w:themeShade="BF"/>
              </w:rPr>
              <w:t>Other government entities total</w:t>
            </w:r>
          </w:p>
        </w:tc>
      </w:tr>
      <w:tr w:rsidR="000D42F1" w:rsidRPr="004836DA" w14:paraId="40D0653B" w14:textId="77777777" w:rsidTr="001B6ECB">
        <w:trPr>
          <w:trHeight w:val="340"/>
        </w:trPr>
        <w:tc>
          <w:tcPr>
            <w:tcW w:w="2400" w:type="dxa"/>
            <w:shd w:val="clear" w:color="auto" w:fill="auto"/>
            <w:noWrap/>
            <w:hideMark/>
          </w:tcPr>
          <w:p w14:paraId="7F716DFF" w14:textId="77777777" w:rsidR="000D42F1" w:rsidRPr="004836DA" w:rsidRDefault="000D42F1">
            <w:pPr>
              <w:pStyle w:val="Tables"/>
              <w:jc w:val="left"/>
            </w:pPr>
            <w:r w:rsidRPr="004836DA">
              <w:t>Permanent full time</w:t>
            </w:r>
          </w:p>
        </w:tc>
        <w:tc>
          <w:tcPr>
            <w:tcW w:w="2268" w:type="dxa"/>
            <w:shd w:val="clear" w:color="auto" w:fill="auto"/>
            <w:noWrap/>
            <w:hideMark/>
          </w:tcPr>
          <w:p w14:paraId="3D95D888" w14:textId="77777777" w:rsidR="000D42F1" w:rsidRPr="004836DA" w:rsidRDefault="000D42F1">
            <w:pPr>
              <w:pStyle w:val="Tables"/>
            </w:pPr>
            <w:r w:rsidRPr="004836DA">
              <w:t>83.2%</w:t>
            </w:r>
          </w:p>
        </w:tc>
        <w:tc>
          <w:tcPr>
            <w:tcW w:w="1559" w:type="dxa"/>
            <w:shd w:val="clear" w:color="auto" w:fill="auto"/>
            <w:noWrap/>
            <w:hideMark/>
          </w:tcPr>
          <w:p w14:paraId="38A0ADDA" w14:textId="77777777" w:rsidR="000D42F1" w:rsidRPr="004836DA" w:rsidRDefault="000D42F1">
            <w:pPr>
              <w:pStyle w:val="Tables"/>
            </w:pPr>
            <w:r w:rsidRPr="004836DA">
              <w:t>61.4%</w:t>
            </w:r>
          </w:p>
        </w:tc>
        <w:tc>
          <w:tcPr>
            <w:tcW w:w="1560" w:type="dxa"/>
            <w:shd w:val="clear" w:color="auto" w:fill="auto"/>
            <w:noWrap/>
            <w:hideMark/>
          </w:tcPr>
          <w:p w14:paraId="073A52E0" w14:textId="77777777" w:rsidR="000D42F1" w:rsidRPr="004836DA" w:rsidRDefault="000D42F1">
            <w:pPr>
              <w:pStyle w:val="Tables"/>
            </w:pPr>
            <w:r w:rsidRPr="004836DA">
              <w:t>47.1%</w:t>
            </w:r>
          </w:p>
        </w:tc>
        <w:tc>
          <w:tcPr>
            <w:tcW w:w="1559" w:type="dxa"/>
            <w:shd w:val="clear" w:color="auto" w:fill="auto"/>
            <w:noWrap/>
            <w:hideMark/>
          </w:tcPr>
          <w:p w14:paraId="638A0436" w14:textId="77777777" w:rsidR="000D42F1" w:rsidRPr="004836DA" w:rsidRDefault="000D42F1">
            <w:pPr>
              <w:pStyle w:val="Tables"/>
            </w:pPr>
            <w:r w:rsidRPr="004836DA">
              <w:t>66.6%</w:t>
            </w:r>
          </w:p>
        </w:tc>
      </w:tr>
      <w:tr w:rsidR="000D42F1" w:rsidRPr="004836DA" w14:paraId="5326C035" w14:textId="77777777" w:rsidTr="001B6ECB">
        <w:trPr>
          <w:trHeight w:val="340"/>
        </w:trPr>
        <w:tc>
          <w:tcPr>
            <w:tcW w:w="2400" w:type="dxa"/>
            <w:shd w:val="clear" w:color="auto" w:fill="auto"/>
            <w:noWrap/>
            <w:hideMark/>
          </w:tcPr>
          <w:p w14:paraId="15C86B91" w14:textId="77777777" w:rsidR="000D42F1" w:rsidRPr="004836DA" w:rsidRDefault="000D42F1">
            <w:pPr>
              <w:pStyle w:val="Tables"/>
              <w:jc w:val="left"/>
            </w:pPr>
            <w:r w:rsidRPr="004836DA">
              <w:t>Permanent part time</w:t>
            </w:r>
          </w:p>
        </w:tc>
        <w:tc>
          <w:tcPr>
            <w:tcW w:w="2268" w:type="dxa"/>
            <w:shd w:val="clear" w:color="auto" w:fill="auto"/>
            <w:noWrap/>
            <w:hideMark/>
          </w:tcPr>
          <w:p w14:paraId="44D35911" w14:textId="77777777" w:rsidR="000D42F1" w:rsidRPr="004836DA" w:rsidRDefault="000D42F1">
            <w:pPr>
              <w:pStyle w:val="Tables"/>
            </w:pPr>
            <w:r w:rsidRPr="004836DA">
              <w:t>4.2%</w:t>
            </w:r>
          </w:p>
        </w:tc>
        <w:tc>
          <w:tcPr>
            <w:tcW w:w="1559" w:type="dxa"/>
            <w:shd w:val="clear" w:color="auto" w:fill="auto"/>
            <w:noWrap/>
            <w:hideMark/>
          </w:tcPr>
          <w:p w14:paraId="7B0CAE46" w14:textId="77777777" w:rsidR="000D42F1" w:rsidRPr="004836DA" w:rsidRDefault="000D42F1">
            <w:pPr>
              <w:pStyle w:val="Tables"/>
            </w:pPr>
            <w:r w:rsidRPr="004836DA">
              <w:t>11.3%</w:t>
            </w:r>
          </w:p>
        </w:tc>
        <w:tc>
          <w:tcPr>
            <w:tcW w:w="1560" w:type="dxa"/>
            <w:shd w:val="clear" w:color="auto" w:fill="auto"/>
            <w:noWrap/>
            <w:hideMark/>
          </w:tcPr>
          <w:p w14:paraId="3086B01D" w14:textId="77777777" w:rsidR="000D42F1" w:rsidRPr="004836DA" w:rsidRDefault="000D42F1">
            <w:pPr>
              <w:pStyle w:val="Tables"/>
            </w:pPr>
            <w:r w:rsidRPr="004836DA">
              <w:t>8.1%</w:t>
            </w:r>
          </w:p>
        </w:tc>
        <w:tc>
          <w:tcPr>
            <w:tcW w:w="1559" w:type="dxa"/>
            <w:shd w:val="clear" w:color="auto" w:fill="auto"/>
            <w:noWrap/>
            <w:hideMark/>
          </w:tcPr>
          <w:p w14:paraId="3A1F059A" w14:textId="77777777" w:rsidR="000D42F1" w:rsidRPr="004836DA" w:rsidRDefault="000D42F1">
            <w:pPr>
              <w:pStyle w:val="Tables"/>
            </w:pPr>
            <w:r w:rsidRPr="004836DA">
              <w:t>7.8%</w:t>
            </w:r>
          </w:p>
        </w:tc>
      </w:tr>
      <w:tr w:rsidR="000D42F1" w:rsidRPr="004836DA" w14:paraId="32963CCF" w14:textId="77777777" w:rsidTr="001B6ECB">
        <w:trPr>
          <w:trHeight w:val="340"/>
        </w:trPr>
        <w:tc>
          <w:tcPr>
            <w:tcW w:w="2400" w:type="dxa"/>
            <w:shd w:val="clear" w:color="auto" w:fill="auto"/>
            <w:noWrap/>
          </w:tcPr>
          <w:p w14:paraId="10A8943D" w14:textId="77777777" w:rsidR="000D42F1" w:rsidRPr="004836DA" w:rsidRDefault="000D42F1">
            <w:pPr>
              <w:spacing w:before="40" w:after="40" w:line="240" w:lineRule="auto"/>
              <w:rPr>
                <w:b/>
                <w:color w:val="000000"/>
                <w:sz w:val="20"/>
                <w:szCs w:val="20"/>
              </w:rPr>
            </w:pPr>
            <w:r w:rsidRPr="004836DA">
              <w:rPr>
                <w:b/>
                <w:bCs/>
                <w:color w:val="000000"/>
                <w:sz w:val="20"/>
                <w:szCs w:val="20"/>
              </w:rPr>
              <w:t>Permanent total</w:t>
            </w:r>
          </w:p>
        </w:tc>
        <w:tc>
          <w:tcPr>
            <w:tcW w:w="2268" w:type="dxa"/>
            <w:shd w:val="clear" w:color="auto" w:fill="auto"/>
            <w:noWrap/>
          </w:tcPr>
          <w:p w14:paraId="2E4B999D"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87.4%</w:t>
            </w:r>
          </w:p>
        </w:tc>
        <w:tc>
          <w:tcPr>
            <w:tcW w:w="1559" w:type="dxa"/>
            <w:shd w:val="clear" w:color="auto" w:fill="auto"/>
            <w:noWrap/>
          </w:tcPr>
          <w:p w14:paraId="2550F161"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72.7%</w:t>
            </w:r>
          </w:p>
        </w:tc>
        <w:tc>
          <w:tcPr>
            <w:tcW w:w="1560" w:type="dxa"/>
            <w:shd w:val="clear" w:color="auto" w:fill="auto"/>
            <w:noWrap/>
          </w:tcPr>
          <w:p w14:paraId="2D48EBCF"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55.2%</w:t>
            </w:r>
          </w:p>
        </w:tc>
        <w:tc>
          <w:tcPr>
            <w:tcW w:w="1559" w:type="dxa"/>
            <w:shd w:val="clear" w:color="auto" w:fill="auto"/>
            <w:noWrap/>
          </w:tcPr>
          <w:p w14:paraId="618B284F"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74.4%</w:t>
            </w:r>
          </w:p>
        </w:tc>
      </w:tr>
      <w:tr w:rsidR="000D42F1" w:rsidRPr="004836DA" w14:paraId="69BF7686" w14:textId="77777777" w:rsidTr="001B6ECB">
        <w:trPr>
          <w:trHeight w:val="340"/>
        </w:trPr>
        <w:tc>
          <w:tcPr>
            <w:tcW w:w="2400" w:type="dxa"/>
            <w:shd w:val="clear" w:color="auto" w:fill="auto"/>
            <w:noWrap/>
            <w:hideMark/>
          </w:tcPr>
          <w:p w14:paraId="48A7B06F" w14:textId="77777777" w:rsidR="000D42F1" w:rsidRPr="004836DA" w:rsidRDefault="000D42F1">
            <w:pPr>
              <w:pStyle w:val="Tables"/>
              <w:jc w:val="left"/>
            </w:pPr>
            <w:r w:rsidRPr="004836DA">
              <w:t>Fixed term full time</w:t>
            </w:r>
          </w:p>
        </w:tc>
        <w:tc>
          <w:tcPr>
            <w:tcW w:w="2268" w:type="dxa"/>
            <w:shd w:val="clear" w:color="auto" w:fill="auto"/>
            <w:noWrap/>
            <w:hideMark/>
          </w:tcPr>
          <w:p w14:paraId="642866FE" w14:textId="77777777" w:rsidR="000D42F1" w:rsidRPr="004836DA" w:rsidRDefault="000D42F1">
            <w:pPr>
              <w:pStyle w:val="Tables"/>
            </w:pPr>
            <w:r w:rsidRPr="004836DA">
              <w:t>9.9%</w:t>
            </w:r>
          </w:p>
        </w:tc>
        <w:tc>
          <w:tcPr>
            <w:tcW w:w="1559" w:type="dxa"/>
            <w:shd w:val="clear" w:color="auto" w:fill="auto"/>
            <w:noWrap/>
            <w:hideMark/>
          </w:tcPr>
          <w:p w14:paraId="7D0401DA" w14:textId="77777777" w:rsidR="000D42F1" w:rsidRPr="004836DA" w:rsidRDefault="000D42F1">
            <w:pPr>
              <w:pStyle w:val="Tables"/>
            </w:pPr>
            <w:r w:rsidRPr="004836DA">
              <w:t>14.7%</w:t>
            </w:r>
          </w:p>
        </w:tc>
        <w:tc>
          <w:tcPr>
            <w:tcW w:w="1560" w:type="dxa"/>
            <w:shd w:val="clear" w:color="auto" w:fill="auto"/>
            <w:noWrap/>
            <w:hideMark/>
          </w:tcPr>
          <w:p w14:paraId="1DC7F166" w14:textId="77777777" w:rsidR="000D42F1" w:rsidRPr="004836DA" w:rsidRDefault="000D42F1">
            <w:pPr>
              <w:pStyle w:val="Tables"/>
            </w:pPr>
            <w:r w:rsidRPr="004836DA">
              <w:t>25.4%</w:t>
            </w:r>
          </w:p>
        </w:tc>
        <w:tc>
          <w:tcPr>
            <w:tcW w:w="1559" w:type="dxa"/>
            <w:shd w:val="clear" w:color="auto" w:fill="auto"/>
            <w:noWrap/>
            <w:hideMark/>
          </w:tcPr>
          <w:p w14:paraId="1A848A6F" w14:textId="77777777" w:rsidR="000D42F1" w:rsidRPr="004836DA" w:rsidRDefault="000D42F1">
            <w:pPr>
              <w:pStyle w:val="Tables"/>
            </w:pPr>
            <w:r w:rsidRPr="004836DA">
              <w:t>15.2%</w:t>
            </w:r>
          </w:p>
        </w:tc>
      </w:tr>
      <w:tr w:rsidR="000D42F1" w:rsidRPr="004836DA" w14:paraId="7DFC88A3" w14:textId="77777777" w:rsidTr="001B6ECB">
        <w:trPr>
          <w:trHeight w:val="340"/>
        </w:trPr>
        <w:tc>
          <w:tcPr>
            <w:tcW w:w="2400" w:type="dxa"/>
            <w:shd w:val="clear" w:color="auto" w:fill="auto"/>
            <w:noWrap/>
            <w:hideMark/>
          </w:tcPr>
          <w:p w14:paraId="7132E757" w14:textId="77777777" w:rsidR="000D42F1" w:rsidRPr="004836DA" w:rsidRDefault="000D42F1">
            <w:pPr>
              <w:pStyle w:val="Tables"/>
              <w:jc w:val="left"/>
            </w:pPr>
            <w:r w:rsidRPr="004836DA">
              <w:t>Fixed term part time</w:t>
            </w:r>
          </w:p>
        </w:tc>
        <w:tc>
          <w:tcPr>
            <w:tcW w:w="2268" w:type="dxa"/>
            <w:shd w:val="clear" w:color="auto" w:fill="auto"/>
            <w:noWrap/>
            <w:hideMark/>
          </w:tcPr>
          <w:p w14:paraId="48E1EDB0" w14:textId="77777777" w:rsidR="000D42F1" w:rsidRPr="004836DA" w:rsidRDefault="000D42F1">
            <w:pPr>
              <w:pStyle w:val="Tables"/>
            </w:pPr>
            <w:r w:rsidRPr="004836DA">
              <w:t>0.8%</w:t>
            </w:r>
          </w:p>
        </w:tc>
        <w:tc>
          <w:tcPr>
            <w:tcW w:w="1559" w:type="dxa"/>
            <w:shd w:val="clear" w:color="auto" w:fill="auto"/>
            <w:noWrap/>
            <w:hideMark/>
          </w:tcPr>
          <w:p w14:paraId="1E686729" w14:textId="77777777" w:rsidR="000D42F1" w:rsidRPr="004836DA" w:rsidRDefault="000D42F1">
            <w:pPr>
              <w:pStyle w:val="Tables"/>
            </w:pPr>
            <w:r w:rsidRPr="004836DA">
              <w:t>1.9%</w:t>
            </w:r>
          </w:p>
        </w:tc>
        <w:tc>
          <w:tcPr>
            <w:tcW w:w="1560" w:type="dxa"/>
            <w:shd w:val="clear" w:color="auto" w:fill="auto"/>
            <w:noWrap/>
            <w:hideMark/>
          </w:tcPr>
          <w:p w14:paraId="264A4ACA" w14:textId="77777777" w:rsidR="000D42F1" w:rsidRPr="004836DA" w:rsidRDefault="000D42F1">
            <w:pPr>
              <w:pStyle w:val="Tables"/>
            </w:pPr>
            <w:r w:rsidRPr="004836DA">
              <w:t>8.8%</w:t>
            </w:r>
          </w:p>
        </w:tc>
        <w:tc>
          <w:tcPr>
            <w:tcW w:w="1559" w:type="dxa"/>
            <w:shd w:val="clear" w:color="auto" w:fill="auto"/>
            <w:noWrap/>
            <w:hideMark/>
          </w:tcPr>
          <w:p w14:paraId="0B23F862" w14:textId="77777777" w:rsidR="000D42F1" w:rsidRPr="004836DA" w:rsidRDefault="000D42F1">
            <w:pPr>
              <w:pStyle w:val="Tables"/>
            </w:pPr>
            <w:r w:rsidRPr="004836DA">
              <w:t>3.0%</w:t>
            </w:r>
          </w:p>
        </w:tc>
      </w:tr>
      <w:tr w:rsidR="000D42F1" w:rsidRPr="004836DA" w14:paraId="0B2C0087" w14:textId="77777777" w:rsidTr="001B6ECB">
        <w:trPr>
          <w:trHeight w:val="340"/>
        </w:trPr>
        <w:tc>
          <w:tcPr>
            <w:tcW w:w="2400" w:type="dxa"/>
            <w:shd w:val="clear" w:color="auto" w:fill="auto"/>
            <w:noWrap/>
          </w:tcPr>
          <w:p w14:paraId="5C12C887" w14:textId="77777777" w:rsidR="000D42F1" w:rsidRPr="004836DA" w:rsidRDefault="000D42F1">
            <w:pPr>
              <w:spacing w:before="40" w:after="40" w:line="240" w:lineRule="auto"/>
              <w:rPr>
                <w:b/>
                <w:color w:val="000000"/>
                <w:sz w:val="20"/>
                <w:szCs w:val="20"/>
              </w:rPr>
            </w:pPr>
            <w:r w:rsidRPr="004836DA">
              <w:rPr>
                <w:b/>
                <w:bCs/>
                <w:color w:val="000000"/>
                <w:sz w:val="20"/>
                <w:szCs w:val="20"/>
              </w:rPr>
              <w:t>Fixed term total</w:t>
            </w:r>
          </w:p>
        </w:tc>
        <w:tc>
          <w:tcPr>
            <w:tcW w:w="2268" w:type="dxa"/>
            <w:shd w:val="clear" w:color="auto" w:fill="auto"/>
            <w:noWrap/>
          </w:tcPr>
          <w:p w14:paraId="57A3D1DC"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10.6%</w:t>
            </w:r>
          </w:p>
        </w:tc>
        <w:tc>
          <w:tcPr>
            <w:tcW w:w="1559" w:type="dxa"/>
            <w:shd w:val="clear" w:color="auto" w:fill="auto"/>
            <w:noWrap/>
          </w:tcPr>
          <w:p w14:paraId="42B6D790"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16.7%</w:t>
            </w:r>
          </w:p>
        </w:tc>
        <w:tc>
          <w:tcPr>
            <w:tcW w:w="1560" w:type="dxa"/>
            <w:shd w:val="clear" w:color="auto" w:fill="auto"/>
            <w:noWrap/>
          </w:tcPr>
          <w:p w14:paraId="7B7885B4"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34.2%</w:t>
            </w:r>
          </w:p>
        </w:tc>
        <w:tc>
          <w:tcPr>
            <w:tcW w:w="1559" w:type="dxa"/>
            <w:shd w:val="clear" w:color="auto" w:fill="auto"/>
            <w:noWrap/>
          </w:tcPr>
          <w:p w14:paraId="59AE34CA" w14:textId="77777777" w:rsidR="000D42F1" w:rsidRPr="004836DA" w:rsidRDefault="000D42F1">
            <w:pPr>
              <w:spacing w:before="40" w:after="40" w:line="240" w:lineRule="auto"/>
              <w:jc w:val="right"/>
              <w:rPr>
                <w:b/>
                <w:bCs/>
                <w:color w:val="000000"/>
                <w:sz w:val="20"/>
                <w:szCs w:val="20"/>
              </w:rPr>
            </w:pPr>
            <w:r w:rsidRPr="004836DA">
              <w:rPr>
                <w:b/>
                <w:bCs/>
                <w:color w:val="000000"/>
                <w:sz w:val="20"/>
                <w:szCs w:val="20"/>
              </w:rPr>
              <w:t>18.3%</w:t>
            </w:r>
          </w:p>
        </w:tc>
      </w:tr>
      <w:tr w:rsidR="000D42F1" w:rsidRPr="004836DA" w14:paraId="4F6FA340" w14:textId="77777777" w:rsidTr="001B6ECB">
        <w:trPr>
          <w:trHeight w:val="340"/>
        </w:trPr>
        <w:tc>
          <w:tcPr>
            <w:tcW w:w="2400" w:type="dxa"/>
            <w:shd w:val="clear" w:color="auto" w:fill="auto"/>
            <w:noWrap/>
            <w:hideMark/>
          </w:tcPr>
          <w:p w14:paraId="321CF809" w14:textId="77777777" w:rsidR="000D42F1" w:rsidRPr="004836DA" w:rsidRDefault="000D42F1">
            <w:pPr>
              <w:pStyle w:val="Tables"/>
              <w:jc w:val="left"/>
            </w:pPr>
            <w:r w:rsidRPr="004836DA">
              <w:t>Casual</w:t>
            </w:r>
          </w:p>
        </w:tc>
        <w:tc>
          <w:tcPr>
            <w:tcW w:w="2268" w:type="dxa"/>
            <w:shd w:val="clear" w:color="auto" w:fill="auto"/>
            <w:noWrap/>
            <w:hideMark/>
          </w:tcPr>
          <w:p w14:paraId="1C644591" w14:textId="77777777" w:rsidR="000D42F1" w:rsidRPr="004836DA" w:rsidRDefault="000D42F1">
            <w:pPr>
              <w:pStyle w:val="Tables"/>
            </w:pPr>
            <w:r w:rsidRPr="004836DA">
              <w:t>1.9%</w:t>
            </w:r>
          </w:p>
        </w:tc>
        <w:tc>
          <w:tcPr>
            <w:tcW w:w="1559" w:type="dxa"/>
            <w:shd w:val="clear" w:color="auto" w:fill="auto"/>
            <w:noWrap/>
            <w:hideMark/>
          </w:tcPr>
          <w:p w14:paraId="4DCD8C6A" w14:textId="77777777" w:rsidR="000D42F1" w:rsidRPr="004836DA" w:rsidRDefault="000D42F1">
            <w:pPr>
              <w:pStyle w:val="Tables"/>
            </w:pPr>
            <w:r w:rsidRPr="004836DA">
              <w:t>10.6%</w:t>
            </w:r>
          </w:p>
        </w:tc>
        <w:tc>
          <w:tcPr>
            <w:tcW w:w="1560" w:type="dxa"/>
            <w:shd w:val="clear" w:color="auto" w:fill="auto"/>
            <w:noWrap/>
            <w:hideMark/>
          </w:tcPr>
          <w:p w14:paraId="619095F3" w14:textId="77777777" w:rsidR="000D42F1" w:rsidRPr="004836DA" w:rsidRDefault="000D42F1">
            <w:pPr>
              <w:pStyle w:val="Tables"/>
            </w:pPr>
            <w:r w:rsidRPr="004836DA">
              <w:t>6.9%</w:t>
            </w:r>
          </w:p>
        </w:tc>
        <w:tc>
          <w:tcPr>
            <w:tcW w:w="1559" w:type="dxa"/>
            <w:shd w:val="clear" w:color="auto" w:fill="auto"/>
            <w:noWrap/>
            <w:hideMark/>
          </w:tcPr>
          <w:p w14:paraId="02D56425" w14:textId="77777777" w:rsidR="000D42F1" w:rsidRPr="004836DA" w:rsidRDefault="000D42F1">
            <w:pPr>
              <w:pStyle w:val="Tables"/>
            </w:pPr>
            <w:r w:rsidRPr="004836DA">
              <w:t>6.4%</w:t>
            </w:r>
          </w:p>
        </w:tc>
      </w:tr>
      <w:tr w:rsidR="000D42F1" w:rsidRPr="004836DA" w14:paraId="6FBC3925" w14:textId="77777777" w:rsidTr="001B6ECB">
        <w:trPr>
          <w:trHeight w:val="340"/>
        </w:trPr>
        <w:tc>
          <w:tcPr>
            <w:tcW w:w="2400" w:type="dxa"/>
            <w:shd w:val="clear" w:color="auto" w:fill="auto"/>
            <w:noWrap/>
            <w:hideMark/>
          </w:tcPr>
          <w:p w14:paraId="08D6B6DB" w14:textId="77777777" w:rsidR="000D42F1" w:rsidRPr="004836DA" w:rsidRDefault="000D42F1">
            <w:pPr>
              <w:pStyle w:val="Tables"/>
              <w:jc w:val="left"/>
            </w:pPr>
            <w:r w:rsidRPr="004836DA">
              <w:t>Other</w:t>
            </w:r>
          </w:p>
        </w:tc>
        <w:tc>
          <w:tcPr>
            <w:tcW w:w="2268" w:type="dxa"/>
            <w:shd w:val="clear" w:color="auto" w:fill="auto"/>
            <w:noWrap/>
            <w:hideMark/>
          </w:tcPr>
          <w:p w14:paraId="3031A98E" w14:textId="77777777" w:rsidR="000D42F1" w:rsidRPr="004836DA" w:rsidRDefault="000D42F1">
            <w:pPr>
              <w:pStyle w:val="Tables"/>
            </w:pPr>
            <w:r w:rsidRPr="004836DA">
              <w:t>0.1%</w:t>
            </w:r>
          </w:p>
        </w:tc>
        <w:tc>
          <w:tcPr>
            <w:tcW w:w="1559" w:type="dxa"/>
            <w:shd w:val="clear" w:color="auto" w:fill="auto"/>
            <w:noWrap/>
            <w:hideMark/>
          </w:tcPr>
          <w:p w14:paraId="7C4276B0" w14:textId="77777777" w:rsidR="000D42F1" w:rsidRPr="004836DA" w:rsidRDefault="000D42F1">
            <w:pPr>
              <w:pStyle w:val="Tables"/>
            </w:pPr>
            <w:r w:rsidRPr="004836DA">
              <w:t>0.1%</w:t>
            </w:r>
          </w:p>
        </w:tc>
        <w:tc>
          <w:tcPr>
            <w:tcW w:w="1560" w:type="dxa"/>
            <w:shd w:val="clear" w:color="auto" w:fill="auto"/>
            <w:noWrap/>
            <w:hideMark/>
          </w:tcPr>
          <w:p w14:paraId="1CD0306E" w14:textId="77777777" w:rsidR="000D42F1" w:rsidRPr="004836DA" w:rsidRDefault="000D42F1">
            <w:pPr>
              <w:pStyle w:val="Tables"/>
            </w:pPr>
            <w:r w:rsidRPr="004836DA">
              <w:t>3.7%</w:t>
            </w:r>
          </w:p>
        </w:tc>
        <w:tc>
          <w:tcPr>
            <w:tcW w:w="1559" w:type="dxa"/>
            <w:shd w:val="clear" w:color="auto" w:fill="auto"/>
            <w:noWrap/>
            <w:hideMark/>
          </w:tcPr>
          <w:p w14:paraId="79DEB46A" w14:textId="77777777" w:rsidR="000D42F1" w:rsidRPr="004836DA" w:rsidRDefault="000D42F1">
            <w:pPr>
              <w:pStyle w:val="Tables"/>
            </w:pPr>
            <w:r w:rsidRPr="004836DA">
              <w:t>0.9%</w:t>
            </w:r>
          </w:p>
        </w:tc>
      </w:tr>
    </w:tbl>
    <w:p w14:paraId="73D4A841" w14:textId="77777777" w:rsidR="000C16A4" w:rsidRPr="001B6ECB" w:rsidRDefault="000C16A4" w:rsidP="000C16A4">
      <w:pPr>
        <w:spacing w:before="240" w:line="240" w:lineRule="auto"/>
        <w:contextualSpacing/>
        <w:rPr>
          <w:sz w:val="16"/>
          <w:szCs w:val="16"/>
        </w:rPr>
      </w:pPr>
    </w:p>
    <w:p w14:paraId="22E93D59" w14:textId="7164979F" w:rsidR="000D42F1" w:rsidRPr="00E129EE" w:rsidRDefault="000D42F1" w:rsidP="000C16A4">
      <w:pPr>
        <w:spacing w:before="240" w:line="240" w:lineRule="auto"/>
        <w:contextualSpacing/>
      </w:pPr>
      <w:r>
        <w:t>Commissioner’s Instruction 23</w:t>
      </w:r>
      <w:r w:rsidR="00BC19BC">
        <w:t>:</w:t>
      </w:r>
      <w:r w:rsidR="00BC19BC" w:rsidRPr="00BC19BC">
        <w:t xml:space="preserve"> </w:t>
      </w:r>
      <w:r w:rsidR="00BC19BC" w:rsidRPr="00D81D7C">
        <w:t>Conversion and Appointment of Fixed Term Contract and Casual Employees to Permanency</w:t>
      </w:r>
      <w:r>
        <w:t xml:space="preserve"> was rescinded on 20 June 2023. From when it came into effect in 2018 to rescindment,</w:t>
      </w:r>
      <w:r w:rsidR="007C610F">
        <w:t xml:space="preserve"> agencies reported</w:t>
      </w:r>
      <w:r>
        <w:t xml:space="preserve"> 15,</w:t>
      </w:r>
      <w:r w:rsidR="007C610F">
        <w:t xml:space="preserve">541 </w:t>
      </w:r>
      <w:r>
        <w:t>employees were converted to permanent employment</w:t>
      </w:r>
      <w:r w:rsidRPr="009E4978">
        <w:t>:</w:t>
      </w:r>
    </w:p>
    <w:p w14:paraId="68E35160" w14:textId="77777777" w:rsidR="000D42F1" w:rsidRPr="00E129EE" w:rsidRDefault="000D42F1">
      <w:pPr>
        <w:pStyle w:val="ListParagraph"/>
        <w:numPr>
          <w:ilvl w:val="0"/>
          <w:numId w:val="13"/>
        </w:numPr>
        <w:spacing w:line="240" w:lineRule="auto"/>
        <w:ind w:left="425" w:hanging="425"/>
      </w:pPr>
      <w:r w:rsidRPr="00E129EE">
        <w:t xml:space="preserve">9,858 under </w:t>
      </w:r>
      <w:hyperlink r:id="rId33" w:history="1">
        <w:r w:rsidRPr="00161899">
          <w:rPr>
            <w:rStyle w:val="Hyperlink"/>
          </w:rPr>
          <w:t>Commissioner’s Instruction 2: Filling a Public Sector Vacancy</w:t>
        </w:r>
      </w:hyperlink>
    </w:p>
    <w:p w14:paraId="73B5CC1A" w14:textId="77777777" w:rsidR="000D42F1" w:rsidRPr="00E129EE" w:rsidRDefault="000D42F1">
      <w:pPr>
        <w:pStyle w:val="ListParagraph"/>
        <w:numPr>
          <w:ilvl w:val="0"/>
          <w:numId w:val="13"/>
        </w:numPr>
        <w:spacing w:line="240" w:lineRule="auto"/>
        <w:ind w:left="425" w:hanging="425"/>
      </w:pPr>
      <w:r w:rsidRPr="00E129EE">
        <w:t xml:space="preserve">274 under Commissioner’s Instruction 22: Interim Arrangements for Colleges Constituted under the </w:t>
      </w:r>
      <w:r w:rsidRPr="007A4B3B">
        <w:rPr>
          <w:i/>
          <w:iCs/>
        </w:rPr>
        <w:t>Vocational Education and Training Act 1996</w:t>
      </w:r>
      <w:r w:rsidRPr="00E129EE">
        <w:t xml:space="preserve"> to Appoint Certain Fixed Term Contract Lecturers to Permanent Positions</w:t>
      </w:r>
    </w:p>
    <w:p w14:paraId="206407CB" w14:textId="77897D2A" w:rsidR="000D42F1" w:rsidRDefault="000D42F1">
      <w:pPr>
        <w:pStyle w:val="ListParagraph"/>
        <w:numPr>
          <w:ilvl w:val="0"/>
          <w:numId w:val="13"/>
        </w:numPr>
        <w:spacing w:line="240" w:lineRule="auto"/>
        <w:ind w:left="425" w:hanging="425"/>
      </w:pPr>
      <w:r w:rsidRPr="00E129EE">
        <w:t>5,</w:t>
      </w:r>
      <w:r w:rsidR="007C610F">
        <w:t>409</w:t>
      </w:r>
      <w:r w:rsidR="007C610F" w:rsidRPr="00E129EE">
        <w:t xml:space="preserve"> </w:t>
      </w:r>
      <w:r w:rsidRPr="00E129EE">
        <w:t xml:space="preserve">under </w:t>
      </w:r>
      <w:r w:rsidR="00D81D7C" w:rsidRPr="00D81D7C">
        <w:t>Commissioner’s Instruction 23</w:t>
      </w:r>
      <w:r w:rsidR="00FF7464">
        <w:t xml:space="preserve"> </w:t>
      </w:r>
      <w:r w:rsidR="009E4978" w:rsidRPr="00FF7464">
        <w:t>(</w:t>
      </w:r>
      <w:r w:rsidR="009E4978" w:rsidRPr="00FF7464">
        <w:fldChar w:fldCharType="begin"/>
      </w:r>
      <w:r w:rsidR="009E4978" w:rsidRPr="00FF7464">
        <w:instrText xml:space="preserve"> REF _Ref148702972 \h  \* MERGEFORMAT </w:instrText>
      </w:r>
      <w:r w:rsidR="009E4978" w:rsidRPr="00FF7464">
        <w:fldChar w:fldCharType="separate"/>
      </w:r>
      <w:r w:rsidR="009E4978" w:rsidRPr="00FF7464">
        <w:t>Table 7</w:t>
      </w:r>
      <w:r w:rsidR="009E4978" w:rsidRPr="00FF7464">
        <w:fldChar w:fldCharType="end"/>
      </w:r>
      <w:r w:rsidR="009E4978" w:rsidRPr="00FF7464">
        <w:t>)</w:t>
      </w:r>
      <w:r w:rsidRPr="00FF7464">
        <w:t>.</w:t>
      </w:r>
    </w:p>
    <w:p w14:paraId="388BC473" w14:textId="264B6EC4" w:rsidR="000D42F1" w:rsidRPr="007541E1" w:rsidRDefault="000D42F1" w:rsidP="000D42F1">
      <w:pPr>
        <w:spacing w:line="240" w:lineRule="auto"/>
        <w:rPr>
          <w:b/>
          <w:bCs/>
          <w:color w:val="2E74B5" w:themeColor="accent1" w:themeShade="BF"/>
          <w:sz w:val="20"/>
          <w:szCs w:val="20"/>
        </w:rPr>
      </w:pPr>
      <w:bookmarkStart w:id="34" w:name="_Ref148702972"/>
      <w:r w:rsidRPr="007541E1">
        <w:rPr>
          <w:b/>
          <w:bCs/>
          <w:color w:val="2E74B5" w:themeColor="accent1" w:themeShade="BF"/>
          <w:sz w:val="20"/>
          <w:szCs w:val="20"/>
        </w:rPr>
        <w:t xml:space="preserve">Table </w:t>
      </w:r>
      <w:r>
        <w:rPr>
          <w:b/>
          <w:bCs/>
          <w:color w:val="2E74B5" w:themeColor="accent1" w:themeShade="BF"/>
          <w:sz w:val="20"/>
          <w:szCs w:val="20"/>
        </w:rPr>
        <w:fldChar w:fldCharType="begin"/>
      </w:r>
      <w:r>
        <w:rPr>
          <w:b/>
          <w:bCs/>
          <w:color w:val="2E74B5" w:themeColor="accent1" w:themeShade="BF"/>
          <w:sz w:val="20"/>
          <w:szCs w:val="20"/>
        </w:rPr>
        <w:instrText xml:space="preserve"> SEQ Table \* ARABIC </w:instrText>
      </w:r>
      <w:r>
        <w:rPr>
          <w:b/>
          <w:bCs/>
          <w:color w:val="2E74B5" w:themeColor="accent1" w:themeShade="BF"/>
          <w:sz w:val="20"/>
          <w:szCs w:val="20"/>
        </w:rPr>
        <w:fldChar w:fldCharType="separate"/>
      </w:r>
      <w:r w:rsidR="0048418F">
        <w:rPr>
          <w:b/>
          <w:bCs/>
          <w:noProof/>
          <w:color w:val="2E74B5" w:themeColor="accent1" w:themeShade="BF"/>
          <w:sz w:val="20"/>
          <w:szCs w:val="20"/>
        </w:rPr>
        <w:t>7</w:t>
      </w:r>
      <w:r>
        <w:rPr>
          <w:b/>
          <w:bCs/>
          <w:color w:val="2E74B5" w:themeColor="accent1" w:themeShade="BF"/>
          <w:sz w:val="20"/>
          <w:szCs w:val="20"/>
        </w:rPr>
        <w:fldChar w:fldCharType="end"/>
      </w:r>
      <w:bookmarkEnd w:id="34"/>
      <w:r w:rsidRPr="007541E1">
        <w:rPr>
          <w:b/>
          <w:bCs/>
          <w:color w:val="2E74B5" w:themeColor="accent1" w:themeShade="BF"/>
          <w:sz w:val="20"/>
          <w:szCs w:val="20"/>
        </w:rPr>
        <w:t>: Number of public sector employees with contracts reviewed and converted</w:t>
      </w:r>
      <w:r w:rsidR="00160EF3">
        <w:rPr>
          <w:b/>
          <w:bCs/>
          <w:color w:val="2E74B5" w:themeColor="accent1" w:themeShade="BF"/>
          <w:sz w:val="20"/>
          <w:szCs w:val="20"/>
        </w:rPr>
        <w:t xml:space="preserve"> under Commissioner’s Instruction 23</w:t>
      </w:r>
      <w:r w:rsidR="007C610F">
        <w:rPr>
          <w:b/>
          <w:bCs/>
          <w:color w:val="2E74B5" w:themeColor="accent1" w:themeShade="BF"/>
          <w:sz w:val="20"/>
          <w:szCs w:val="20"/>
        </w:rPr>
        <w:t>*</w:t>
      </w:r>
    </w:p>
    <w:tbl>
      <w:tblPr>
        <w:tblStyle w:val="TableGrid"/>
        <w:tblW w:w="0" w:type="auto"/>
        <w:tblInd w:w="0"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7: Number of public sector employees with contracts reviewed and converted under Commissioner’s Instruction 23*"/>
      </w:tblPr>
      <w:tblGrid>
        <w:gridCol w:w="2615"/>
        <w:gridCol w:w="2228"/>
        <w:gridCol w:w="2228"/>
        <w:gridCol w:w="2091"/>
      </w:tblGrid>
      <w:tr w:rsidR="000D42F1" w14:paraId="6F37E107" w14:textId="77777777" w:rsidTr="007C610F">
        <w:trPr>
          <w:trHeight w:val="252"/>
        </w:trPr>
        <w:tc>
          <w:tcPr>
            <w:tcW w:w="2615" w:type="dxa"/>
            <w:shd w:val="clear" w:color="auto" w:fill="auto"/>
          </w:tcPr>
          <w:p w14:paraId="64FC311D" w14:textId="77777777" w:rsidR="000D42F1" w:rsidRPr="002C1014" w:rsidRDefault="000D42F1">
            <w:pPr>
              <w:pStyle w:val="Tables"/>
              <w:jc w:val="left"/>
              <w:rPr>
                <w:b/>
                <w:bCs/>
                <w:color w:val="2E74B5" w:themeColor="accent1" w:themeShade="BF"/>
              </w:rPr>
            </w:pPr>
            <w:r w:rsidRPr="002C1014">
              <w:rPr>
                <w:b/>
                <w:bCs/>
                <w:color w:val="2E74B5" w:themeColor="accent1" w:themeShade="BF"/>
              </w:rPr>
              <w:t>Conversions</w:t>
            </w:r>
          </w:p>
        </w:tc>
        <w:tc>
          <w:tcPr>
            <w:tcW w:w="2228" w:type="dxa"/>
            <w:shd w:val="clear" w:color="auto" w:fill="auto"/>
          </w:tcPr>
          <w:p w14:paraId="39F50E5C" w14:textId="77777777" w:rsidR="000D42F1" w:rsidRPr="002C1014" w:rsidRDefault="000D42F1">
            <w:pPr>
              <w:pStyle w:val="Tables"/>
              <w:rPr>
                <w:b/>
                <w:bCs/>
                <w:color w:val="2E74B5" w:themeColor="accent1" w:themeShade="BF"/>
              </w:rPr>
            </w:pPr>
            <w:r>
              <w:rPr>
                <w:b/>
                <w:bCs/>
                <w:color w:val="2E74B5" w:themeColor="accent1" w:themeShade="BF"/>
              </w:rPr>
              <w:t>Number of contracts r</w:t>
            </w:r>
            <w:r w:rsidRPr="002C1014">
              <w:rPr>
                <w:b/>
                <w:bCs/>
                <w:color w:val="2E74B5" w:themeColor="accent1" w:themeShade="BF"/>
              </w:rPr>
              <w:t>eviewed</w:t>
            </w:r>
          </w:p>
        </w:tc>
        <w:tc>
          <w:tcPr>
            <w:tcW w:w="2228" w:type="dxa"/>
            <w:shd w:val="clear" w:color="auto" w:fill="auto"/>
          </w:tcPr>
          <w:p w14:paraId="0934BDAF" w14:textId="77777777" w:rsidR="000D42F1" w:rsidRPr="002C1014" w:rsidRDefault="000D42F1">
            <w:pPr>
              <w:pStyle w:val="Tables"/>
              <w:rPr>
                <w:b/>
                <w:bCs/>
                <w:color w:val="2E74B5" w:themeColor="accent1" w:themeShade="BF"/>
              </w:rPr>
            </w:pPr>
            <w:r>
              <w:rPr>
                <w:b/>
                <w:bCs/>
                <w:color w:val="2E74B5" w:themeColor="accent1" w:themeShade="BF"/>
              </w:rPr>
              <w:t>Number of contracts c</w:t>
            </w:r>
            <w:r w:rsidRPr="002C1014">
              <w:rPr>
                <w:b/>
                <w:bCs/>
                <w:color w:val="2E74B5" w:themeColor="accent1" w:themeShade="BF"/>
              </w:rPr>
              <w:t>onverted</w:t>
            </w:r>
          </w:p>
        </w:tc>
        <w:tc>
          <w:tcPr>
            <w:tcW w:w="2091" w:type="dxa"/>
            <w:shd w:val="clear" w:color="auto" w:fill="auto"/>
          </w:tcPr>
          <w:p w14:paraId="475DA962" w14:textId="77777777" w:rsidR="000D42F1" w:rsidRPr="002C1014" w:rsidRDefault="000D42F1">
            <w:pPr>
              <w:pStyle w:val="Tables"/>
              <w:rPr>
                <w:b/>
                <w:bCs/>
                <w:color w:val="2E74B5" w:themeColor="accent1" w:themeShade="BF"/>
              </w:rPr>
            </w:pPr>
            <w:r w:rsidRPr="002C1014">
              <w:rPr>
                <w:b/>
                <w:bCs/>
                <w:color w:val="2E74B5" w:themeColor="accent1" w:themeShade="BF"/>
              </w:rPr>
              <w:t>%</w:t>
            </w:r>
            <w:r>
              <w:rPr>
                <w:b/>
                <w:bCs/>
                <w:color w:val="2E74B5" w:themeColor="accent1" w:themeShade="BF"/>
              </w:rPr>
              <w:t xml:space="preserve"> of contracts c</w:t>
            </w:r>
            <w:r w:rsidRPr="002C1014">
              <w:rPr>
                <w:b/>
                <w:bCs/>
                <w:color w:val="2E74B5" w:themeColor="accent1" w:themeShade="BF"/>
              </w:rPr>
              <w:t>onverted</w:t>
            </w:r>
          </w:p>
        </w:tc>
      </w:tr>
      <w:tr w:rsidR="000D42F1" w14:paraId="0CDDF750" w14:textId="77777777" w:rsidTr="001B6ECB">
        <w:trPr>
          <w:trHeight w:val="340"/>
        </w:trPr>
        <w:tc>
          <w:tcPr>
            <w:tcW w:w="2615" w:type="dxa"/>
          </w:tcPr>
          <w:p w14:paraId="4DC0ADDF" w14:textId="77777777" w:rsidR="000D42F1" w:rsidRPr="009869A3" w:rsidRDefault="000D42F1">
            <w:r w:rsidRPr="009869A3">
              <w:t xml:space="preserve">Fixed </w:t>
            </w:r>
            <w:r>
              <w:t>t</w:t>
            </w:r>
            <w:r w:rsidRPr="009869A3">
              <w:t xml:space="preserve">erm </w:t>
            </w:r>
          </w:p>
        </w:tc>
        <w:tc>
          <w:tcPr>
            <w:tcW w:w="2228" w:type="dxa"/>
          </w:tcPr>
          <w:p w14:paraId="73DB263D" w14:textId="36E525AD" w:rsidR="000D42F1" w:rsidRPr="009869A3" w:rsidRDefault="000D42F1">
            <w:pPr>
              <w:jc w:val="right"/>
            </w:pPr>
            <w:r w:rsidRPr="009869A3">
              <w:t>21,6</w:t>
            </w:r>
            <w:r w:rsidR="007C610F">
              <w:t>74</w:t>
            </w:r>
          </w:p>
        </w:tc>
        <w:tc>
          <w:tcPr>
            <w:tcW w:w="2228" w:type="dxa"/>
          </w:tcPr>
          <w:p w14:paraId="3956F762" w14:textId="0FE33AD6" w:rsidR="000D42F1" w:rsidRPr="009869A3" w:rsidRDefault="000D42F1">
            <w:pPr>
              <w:jc w:val="right"/>
            </w:pPr>
            <w:r w:rsidRPr="009869A3">
              <w:t>3,2</w:t>
            </w:r>
            <w:r w:rsidR="007C610F">
              <w:t>69</w:t>
            </w:r>
          </w:p>
        </w:tc>
        <w:tc>
          <w:tcPr>
            <w:tcW w:w="2091" w:type="dxa"/>
          </w:tcPr>
          <w:p w14:paraId="585D42F1" w14:textId="1B54E72E" w:rsidR="000D42F1" w:rsidRPr="009869A3" w:rsidRDefault="000D42F1">
            <w:pPr>
              <w:jc w:val="right"/>
            </w:pPr>
            <w:r w:rsidRPr="009869A3">
              <w:t>1</w:t>
            </w:r>
            <w:r w:rsidR="007C610F">
              <w:t>5.1</w:t>
            </w:r>
            <w:r w:rsidRPr="009869A3">
              <w:t>%</w:t>
            </w:r>
          </w:p>
        </w:tc>
      </w:tr>
      <w:tr w:rsidR="000D42F1" w14:paraId="11A08432" w14:textId="77777777" w:rsidTr="001B6ECB">
        <w:trPr>
          <w:trHeight w:val="340"/>
        </w:trPr>
        <w:tc>
          <w:tcPr>
            <w:tcW w:w="2615" w:type="dxa"/>
          </w:tcPr>
          <w:p w14:paraId="3A6570C9" w14:textId="77777777" w:rsidR="000D42F1" w:rsidRPr="009869A3" w:rsidRDefault="000D42F1">
            <w:r w:rsidRPr="009869A3">
              <w:t xml:space="preserve">Casual </w:t>
            </w:r>
          </w:p>
        </w:tc>
        <w:tc>
          <w:tcPr>
            <w:tcW w:w="2228" w:type="dxa"/>
          </w:tcPr>
          <w:p w14:paraId="60A495C0" w14:textId="23359579" w:rsidR="000D42F1" w:rsidRPr="009869A3" w:rsidRDefault="000D42F1">
            <w:pPr>
              <w:jc w:val="right"/>
            </w:pPr>
            <w:r w:rsidRPr="009869A3">
              <w:t>25,</w:t>
            </w:r>
            <w:r w:rsidR="007C610F">
              <w:t>966</w:t>
            </w:r>
          </w:p>
        </w:tc>
        <w:tc>
          <w:tcPr>
            <w:tcW w:w="2228" w:type="dxa"/>
          </w:tcPr>
          <w:p w14:paraId="2511D293" w14:textId="59B3FA8D" w:rsidR="000D42F1" w:rsidRPr="009869A3" w:rsidRDefault="000D42F1">
            <w:pPr>
              <w:jc w:val="right"/>
            </w:pPr>
            <w:r w:rsidRPr="009869A3">
              <w:t>2,1</w:t>
            </w:r>
            <w:r w:rsidR="007C610F">
              <w:t>40</w:t>
            </w:r>
          </w:p>
        </w:tc>
        <w:tc>
          <w:tcPr>
            <w:tcW w:w="2091" w:type="dxa"/>
          </w:tcPr>
          <w:p w14:paraId="37C8137D" w14:textId="77777777" w:rsidR="000D42F1" w:rsidRPr="009869A3" w:rsidRDefault="000D42F1">
            <w:pPr>
              <w:jc w:val="right"/>
            </w:pPr>
            <w:r w:rsidRPr="009869A3">
              <w:t>8.2%</w:t>
            </w:r>
          </w:p>
        </w:tc>
      </w:tr>
      <w:tr w:rsidR="000D42F1" w14:paraId="3805B057" w14:textId="77777777" w:rsidTr="001B6ECB">
        <w:trPr>
          <w:trHeight w:val="340"/>
        </w:trPr>
        <w:tc>
          <w:tcPr>
            <w:tcW w:w="2615" w:type="dxa"/>
          </w:tcPr>
          <w:p w14:paraId="55FC2736" w14:textId="77777777" w:rsidR="000D42F1" w:rsidRPr="009869A3" w:rsidRDefault="000D42F1">
            <w:pPr>
              <w:rPr>
                <w:b/>
                <w:bCs/>
              </w:rPr>
            </w:pPr>
            <w:r w:rsidRPr="009869A3">
              <w:rPr>
                <w:b/>
                <w:bCs/>
              </w:rPr>
              <w:t>Total</w:t>
            </w:r>
          </w:p>
        </w:tc>
        <w:tc>
          <w:tcPr>
            <w:tcW w:w="2228" w:type="dxa"/>
          </w:tcPr>
          <w:p w14:paraId="45793389" w14:textId="689FEAE2" w:rsidR="000D42F1" w:rsidRPr="009869A3" w:rsidRDefault="000D42F1">
            <w:pPr>
              <w:jc w:val="right"/>
              <w:rPr>
                <w:b/>
                <w:bCs/>
              </w:rPr>
            </w:pPr>
            <w:r w:rsidRPr="009869A3">
              <w:rPr>
                <w:b/>
                <w:bCs/>
              </w:rPr>
              <w:t>47,</w:t>
            </w:r>
            <w:r w:rsidR="007C610F">
              <w:rPr>
                <w:b/>
                <w:bCs/>
              </w:rPr>
              <w:t>640</w:t>
            </w:r>
          </w:p>
        </w:tc>
        <w:tc>
          <w:tcPr>
            <w:tcW w:w="2228" w:type="dxa"/>
          </w:tcPr>
          <w:p w14:paraId="55BADE58" w14:textId="5A02BD03" w:rsidR="000D42F1" w:rsidRPr="009869A3" w:rsidRDefault="000D42F1">
            <w:pPr>
              <w:jc w:val="right"/>
              <w:rPr>
                <w:b/>
                <w:bCs/>
              </w:rPr>
            </w:pPr>
            <w:r w:rsidRPr="009869A3">
              <w:rPr>
                <w:b/>
                <w:bCs/>
              </w:rPr>
              <w:t>5,</w:t>
            </w:r>
            <w:r w:rsidR="007C610F">
              <w:rPr>
                <w:b/>
                <w:bCs/>
              </w:rPr>
              <w:t>409</w:t>
            </w:r>
          </w:p>
        </w:tc>
        <w:tc>
          <w:tcPr>
            <w:tcW w:w="2091" w:type="dxa"/>
          </w:tcPr>
          <w:p w14:paraId="7CF0AC0F" w14:textId="3619FEEC" w:rsidR="000D42F1" w:rsidRPr="009869A3" w:rsidRDefault="000D42F1">
            <w:pPr>
              <w:jc w:val="right"/>
              <w:rPr>
                <w:b/>
                <w:bCs/>
              </w:rPr>
            </w:pPr>
            <w:r w:rsidRPr="009869A3">
              <w:rPr>
                <w:b/>
                <w:bCs/>
              </w:rPr>
              <w:t>11.</w:t>
            </w:r>
            <w:r w:rsidR="007C610F">
              <w:rPr>
                <w:b/>
                <w:bCs/>
              </w:rPr>
              <w:t>4</w:t>
            </w:r>
            <w:r w:rsidRPr="009869A3">
              <w:rPr>
                <w:b/>
                <w:bCs/>
              </w:rPr>
              <w:t>%</w:t>
            </w:r>
          </w:p>
        </w:tc>
      </w:tr>
    </w:tbl>
    <w:p w14:paraId="0937A013" w14:textId="77777777" w:rsidR="001B6ECB" w:rsidRPr="001B6ECB" w:rsidRDefault="001B6ECB" w:rsidP="007C610F">
      <w:pPr>
        <w:rPr>
          <w:sz w:val="2"/>
          <w:szCs w:val="2"/>
        </w:rPr>
      </w:pPr>
    </w:p>
    <w:p w14:paraId="709ED258" w14:textId="261B87DB" w:rsidR="007C610F" w:rsidRPr="007C610F" w:rsidRDefault="007C610F" w:rsidP="007C610F">
      <w:pPr>
        <w:rPr>
          <w:rFonts w:ascii="Calibri" w:hAnsi="Calibri" w:cs="Calibri"/>
          <w:sz w:val="20"/>
          <w:szCs w:val="20"/>
        </w:rPr>
      </w:pPr>
      <w:r w:rsidRPr="007C610F">
        <w:rPr>
          <w:sz w:val="20"/>
          <w:szCs w:val="20"/>
        </w:rPr>
        <w:t>*</w:t>
      </w:r>
      <w:r>
        <w:rPr>
          <w:sz w:val="20"/>
          <w:szCs w:val="20"/>
        </w:rPr>
        <w:t xml:space="preserve"> </w:t>
      </w:r>
      <w:r w:rsidRPr="007C610F">
        <w:rPr>
          <w:sz w:val="20"/>
          <w:szCs w:val="20"/>
        </w:rPr>
        <w:t xml:space="preserve">In December 2022 the Arts and Culture Trust advised it had reviewed 117 </w:t>
      </w:r>
      <w:r>
        <w:rPr>
          <w:sz w:val="20"/>
          <w:szCs w:val="20"/>
        </w:rPr>
        <w:t>employees</w:t>
      </w:r>
      <w:r w:rsidRPr="007C610F">
        <w:rPr>
          <w:sz w:val="20"/>
          <w:szCs w:val="20"/>
        </w:rPr>
        <w:t>, and in June 2023 reported 45 employees have been converted to permanency. All other agencies were required to report completed reviews and conversions to the Commission up until June 2021. Some employees may have been converted after this date and this information is held within agency data, and is not included in Table 7.</w:t>
      </w:r>
    </w:p>
    <w:p w14:paraId="4D2D1194" w14:textId="55E5FBED" w:rsidR="000C16A4" w:rsidRDefault="000C16A4" w:rsidP="000C16A4">
      <w:r>
        <w:br w:type="page"/>
      </w:r>
    </w:p>
    <w:p w14:paraId="4D4ABADE" w14:textId="52096323" w:rsidR="000D42F1" w:rsidRPr="00BD64AC" w:rsidRDefault="000D42F1" w:rsidP="000D42F1">
      <w:pPr>
        <w:pStyle w:val="Heading3"/>
        <w:spacing w:line="240" w:lineRule="auto"/>
      </w:pPr>
      <w:bookmarkStart w:id="35" w:name="_Toc151900168"/>
      <w:r w:rsidRPr="00BD64AC">
        <w:lastRenderedPageBreak/>
        <w:t>Age and gender</w:t>
      </w:r>
      <w:bookmarkEnd w:id="35"/>
    </w:p>
    <w:p w14:paraId="46EFB881" w14:textId="08262E9C" w:rsidR="000D42F1" w:rsidRDefault="000D42F1" w:rsidP="000D42F1">
      <w:pPr>
        <w:spacing w:line="240" w:lineRule="auto"/>
      </w:pPr>
      <w:r>
        <w:t>The median age of public sector employees was 44.5 years in 2022-23, with male employees slightly older overall than female employees (</w:t>
      </w:r>
      <w:r>
        <w:fldChar w:fldCharType="begin"/>
      </w:r>
      <w:r>
        <w:instrText xml:space="preserve"> REF _Ref148711577 \h  \* MERGEFORMAT </w:instrText>
      </w:r>
      <w:r>
        <w:fldChar w:fldCharType="separate"/>
      </w:r>
      <w:r w:rsidR="0048418F" w:rsidRPr="0048418F">
        <w:t>Table 8</w:t>
      </w:r>
      <w:r>
        <w:fldChar w:fldCharType="end"/>
      </w:r>
      <w:r>
        <w:t>,</w:t>
      </w:r>
      <w:r w:rsidR="000C16A4">
        <w:t xml:space="preserve"> </w:t>
      </w:r>
      <w:r>
        <w:fldChar w:fldCharType="begin"/>
      </w:r>
      <w:r>
        <w:instrText xml:space="preserve"> REF _Ref148711603 \h  \* MERGEFORMAT </w:instrText>
      </w:r>
      <w:r>
        <w:fldChar w:fldCharType="separate"/>
      </w:r>
      <w:r w:rsidR="0048418F" w:rsidRPr="0048418F">
        <w:t>Table 9</w:t>
      </w:r>
      <w:r>
        <w:fldChar w:fldCharType="end"/>
      </w:r>
      <w:r>
        <w:t xml:space="preserve"> </w:t>
      </w:r>
      <w:r w:rsidR="001058C1">
        <w:t>and</w:t>
      </w:r>
      <w:r>
        <w:t xml:space="preserve"> </w:t>
      </w:r>
      <w:r>
        <w:fldChar w:fldCharType="begin"/>
      </w:r>
      <w:r>
        <w:instrText xml:space="preserve"> REF _Ref119325534 \h  \* MERGEFORMAT </w:instrText>
      </w:r>
      <w:r>
        <w:fldChar w:fldCharType="separate"/>
      </w:r>
      <w:r w:rsidR="0048418F" w:rsidRPr="0048418F">
        <w:t>Figure 6</w:t>
      </w:r>
      <w:r>
        <w:fldChar w:fldCharType="end"/>
      </w:r>
      <w:r>
        <w:t xml:space="preserve">). The annual average median age of the public sector was </w:t>
      </w:r>
      <w:r w:rsidR="001D5AF0">
        <w:t>45.8</w:t>
      </w:r>
      <w:r>
        <w:t xml:space="preserve"> years in 2018-19. </w:t>
      </w:r>
    </w:p>
    <w:p w14:paraId="75860F3E" w14:textId="4DD7387B" w:rsidR="000D42F1" w:rsidRPr="00487E19" w:rsidRDefault="000D42F1" w:rsidP="000D42F1">
      <w:pPr>
        <w:spacing w:line="240" w:lineRule="auto"/>
      </w:pPr>
      <w:r w:rsidRPr="00771707">
        <w:t xml:space="preserve">The median age of employees in other government entities was </w:t>
      </w:r>
      <w:r>
        <w:t>42.0</w:t>
      </w:r>
      <w:r w:rsidRPr="00771707">
        <w:t xml:space="preserve"> years in March 202</w:t>
      </w:r>
      <w:r>
        <w:t>3</w:t>
      </w:r>
      <w:r w:rsidRPr="00771707">
        <w:t>, consistent with last year. Male employees were once again slightly older than female employees (</w:t>
      </w:r>
      <w:r>
        <w:fldChar w:fldCharType="begin"/>
      </w:r>
      <w:r>
        <w:instrText xml:space="preserve"> REF _Ref148711577 \h  \* MERGEFORMAT </w:instrText>
      </w:r>
      <w:r>
        <w:fldChar w:fldCharType="separate"/>
      </w:r>
      <w:r w:rsidR="0048418F" w:rsidRPr="0048418F">
        <w:t>Table 8</w:t>
      </w:r>
      <w:r>
        <w:fldChar w:fldCharType="end"/>
      </w:r>
      <w:r>
        <w:t xml:space="preserve">, </w:t>
      </w:r>
      <w:r>
        <w:fldChar w:fldCharType="begin"/>
      </w:r>
      <w:r>
        <w:instrText xml:space="preserve"> REF _Ref148711886 \h  \* MERGEFORMAT </w:instrText>
      </w:r>
      <w:r>
        <w:fldChar w:fldCharType="separate"/>
      </w:r>
      <w:r w:rsidR="0048418F" w:rsidRPr="0048418F">
        <w:t>Table 10</w:t>
      </w:r>
      <w:r>
        <w:fldChar w:fldCharType="end"/>
      </w:r>
      <w:r w:rsidR="001058C1">
        <w:t xml:space="preserve"> and</w:t>
      </w:r>
      <w:r>
        <w:t xml:space="preserve"> </w:t>
      </w:r>
      <w:r>
        <w:fldChar w:fldCharType="begin"/>
      </w:r>
      <w:r>
        <w:instrText xml:space="preserve"> REF _Ref148711666 \h  \* MERGEFORMAT </w:instrText>
      </w:r>
      <w:r>
        <w:fldChar w:fldCharType="separate"/>
      </w:r>
      <w:r w:rsidR="0048418F" w:rsidRPr="0048418F">
        <w:t>Figure 7</w:t>
      </w:r>
      <w:r>
        <w:fldChar w:fldCharType="end"/>
      </w:r>
      <w:r w:rsidRPr="00771707">
        <w:t>).</w:t>
      </w:r>
    </w:p>
    <w:p w14:paraId="3303AA52" w14:textId="71BB68E4" w:rsidR="000D42F1" w:rsidRPr="00487E19" w:rsidRDefault="000D42F1" w:rsidP="000D42F1">
      <w:pPr>
        <w:spacing w:after="240" w:line="240" w:lineRule="auto"/>
      </w:pPr>
      <w:r w:rsidRPr="00487E19">
        <w:t xml:space="preserve">Women made up </w:t>
      </w:r>
      <w:r>
        <w:t>73.2</w:t>
      </w:r>
      <w:r w:rsidRPr="00487E19">
        <w:t>% of the public sector workforce</w:t>
      </w:r>
      <w:r>
        <w:t xml:space="preserve"> </w:t>
      </w:r>
      <w:r w:rsidRPr="00487E19">
        <w:t>in 202</w:t>
      </w:r>
      <w:r>
        <w:t>2</w:t>
      </w:r>
      <w:r w:rsidRPr="00487E19">
        <w:t>-2</w:t>
      </w:r>
      <w:r>
        <w:t>3</w:t>
      </w:r>
      <w:r w:rsidRPr="00487E19">
        <w:t xml:space="preserve"> </w:t>
      </w:r>
      <w:r>
        <w:t>(</w:t>
      </w:r>
      <w:r w:rsidRPr="00487E19">
        <w:t xml:space="preserve">an increase from </w:t>
      </w:r>
      <w:r>
        <w:t>73</w:t>
      </w:r>
      <w:r w:rsidRPr="00487E19">
        <w:t>.</w:t>
      </w:r>
      <w:r>
        <w:t>1</w:t>
      </w:r>
      <w:r w:rsidRPr="00487E19">
        <w:t>% in 202</w:t>
      </w:r>
      <w:r>
        <w:t>1</w:t>
      </w:r>
      <w:r w:rsidRPr="00487E19">
        <w:t>-2</w:t>
      </w:r>
      <w:r>
        <w:t>2</w:t>
      </w:r>
      <w:r w:rsidRPr="00487E19">
        <w:t xml:space="preserve">) and </w:t>
      </w:r>
      <w:r>
        <w:t>50</w:t>
      </w:r>
      <w:r w:rsidRPr="00487E19">
        <w:t>.</w:t>
      </w:r>
      <w:r>
        <w:t>5</w:t>
      </w:r>
      <w:r w:rsidRPr="00487E19">
        <w:t>% of other government entities</w:t>
      </w:r>
      <w:r>
        <w:t xml:space="preserve"> </w:t>
      </w:r>
      <w:r w:rsidRPr="00487E19">
        <w:t xml:space="preserve">(an increase from </w:t>
      </w:r>
      <w:r>
        <w:t>50.0</w:t>
      </w:r>
      <w:r w:rsidRPr="00487E19">
        <w:t>% in 20</w:t>
      </w:r>
      <w:r>
        <w:t>21-22</w:t>
      </w:r>
      <w:r w:rsidRPr="00487E19">
        <w:t xml:space="preserve">). </w:t>
      </w:r>
      <w:r>
        <w:t xml:space="preserve">Employees of other government entities reported </w:t>
      </w:r>
      <w:r w:rsidRPr="00487E19">
        <w:t>0.</w:t>
      </w:r>
      <w:r>
        <w:t>2</w:t>
      </w:r>
      <w:r w:rsidRPr="00487E19">
        <w:t>%</w:t>
      </w:r>
      <w:r>
        <w:t xml:space="preserve"> as neither male nor female, </w:t>
      </w:r>
      <w:r w:rsidR="00CB5D8D">
        <w:t>and</w:t>
      </w:r>
      <w:r w:rsidR="00357C2F">
        <w:t xml:space="preserve"> </w:t>
      </w:r>
      <w:r w:rsidR="00CB5D8D" w:rsidRPr="00487E19">
        <w:t>in the public sector</w:t>
      </w:r>
      <w:r w:rsidR="00CB5D8D">
        <w:t xml:space="preserve"> </w:t>
      </w:r>
      <w:r w:rsidR="007D2E07">
        <w:t>this figure was</w:t>
      </w:r>
      <w:r w:rsidR="00CB5D8D">
        <w:t xml:space="preserve"> </w:t>
      </w:r>
      <w:r>
        <w:t xml:space="preserve">less than </w:t>
      </w:r>
      <w:r w:rsidRPr="00487E19">
        <w:t>0.1%</w:t>
      </w:r>
      <w:r>
        <w:t>.</w:t>
      </w:r>
    </w:p>
    <w:p w14:paraId="2EA9DBBD" w14:textId="3DB3F295" w:rsidR="000D42F1" w:rsidRPr="00727374" w:rsidRDefault="000D42F1" w:rsidP="000D42F1">
      <w:pPr>
        <w:spacing w:line="240" w:lineRule="auto"/>
        <w:rPr>
          <w:b/>
          <w:bCs/>
          <w:color w:val="2E74B5" w:themeColor="accent1" w:themeShade="BF"/>
          <w:sz w:val="20"/>
          <w:szCs w:val="20"/>
        </w:rPr>
      </w:pPr>
      <w:bookmarkStart w:id="36" w:name="_Ref148711577"/>
      <w:bookmarkStart w:id="37" w:name="_Ref84253174"/>
      <w:r w:rsidRPr="00727374">
        <w:rPr>
          <w:b/>
          <w:bCs/>
          <w:color w:val="2E74B5" w:themeColor="accent1" w:themeShade="BF"/>
          <w:sz w:val="20"/>
          <w:szCs w:val="20"/>
        </w:rPr>
        <w:t xml:space="preserve">Table </w:t>
      </w:r>
      <w:r>
        <w:rPr>
          <w:b/>
          <w:bCs/>
          <w:color w:val="2E74B5" w:themeColor="accent1" w:themeShade="BF"/>
          <w:sz w:val="20"/>
          <w:szCs w:val="20"/>
        </w:rPr>
        <w:fldChar w:fldCharType="begin"/>
      </w:r>
      <w:r>
        <w:rPr>
          <w:b/>
          <w:bCs/>
          <w:color w:val="2E74B5" w:themeColor="accent1" w:themeShade="BF"/>
          <w:sz w:val="20"/>
          <w:szCs w:val="20"/>
        </w:rPr>
        <w:instrText xml:space="preserve"> SEQ Table \* ARABIC </w:instrText>
      </w:r>
      <w:r>
        <w:rPr>
          <w:b/>
          <w:bCs/>
          <w:color w:val="2E74B5" w:themeColor="accent1" w:themeShade="BF"/>
          <w:sz w:val="20"/>
          <w:szCs w:val="20"/>
        </w:rPr>
        <w:fldChar w:fldCharType="separate"/>
      </w:r>
      <w:r w:rsidR="0048418F">
        <w:rPr>
          <w:b/>
          <w:bCs/>
          <w:noProof/>
          <w:color w:val="2E74B5" w:themeColor="accent1" w:themeShade="BF"/>
          <w:sz w:val="20"/>
          <w:szCs w:val="20"/>
        </w:rPr>
        <w:t>8</w:t>
      </w:r>
      <w:r>
        <w:rPr>
          <w:b/>
          <w:bCs/>
          <w:color w:val="2E74B5" w:themeColor="accent1" w:themeShade="BF"/>
          <w:sz w:val="20"/>
          <w:szCs w:val="20"/>
        </w:rPr>
        <w:fldChar w:fldCharType="end"/>
      </w:r>
      <w:bookmarkEnd w:id="36"/>
      <w:bookmarkEnd w:id="37"/>
      <w:r w:rsidRPr="00727374">
        <w:rPr>
          <w:b/>
          <w:bCs/>
          <w:color w:val="2E74B5" w:themeColor="accent1" w:themeShade="BF"/>
          <w:sz w:val="20"/>
          <w:szCs w:val="20"/>
        </w:rPr>
        <w:t xml:space="preserve">: Median age of </w:t>
      </w:r>
      <w:r w:rsidR="00FF7464" w:rsidRPr="00727374">
        <w:rPr>
          <w:b/>
          <w:bCs/>
          <w:color w:val="2E74B5" w:themeColor="accent1" w:themeShade="BF"/>
          <w:sz w:val="20"/>
          <w:szCs w:val="20"/>
        </w:rPr>
        <w:t>female</w:t>
      </w:r>
      <w:r w:rsidR="00FF7464">
        <w:rPr>
          <w:b/>
          <w:bCs/>
          <w:color w:val="2E74B5" w:themeColor="accent1" w:themeShade="BF"/>
          <w:sz w:val="20"/>
          <w:szCs w:val="20"/>
        </w:rPr>
        <w:t xml:space="preserve"> and</w:t>
      </w:r>
      <w:r w:rsidR="00FF7464" w:rsidRPr="00727374">
        <w:rPr>
          <w:b/>
          <w:bCs/>
          <w:color w:val="2E74B5" w:themeColor="accent1" w:themeShade="BF"/>
          <w:sz w:val="20"/>
          <w:szCs w:val="20"/>
        </w:rPr>
        <w:t xml:space="preserve"> </w:t>
      </w:r>
      <w:r w:rsidRPr="00727374">
        <w:rPr>
          <w:b/>
          <w:bCs/>
          <w:color w:val="2E74B5" w:themeColor="accent1" w:themeShade="BF"/>
          <w:sz w:val="20"/>
          <w:szCs w:val="20"/>
        </w:rPr>
        <w:t>male employees; WA public sector annual average median 202</w:t>
      </w:r>
      <w:r>
        <w:rPr>
          <w:b/>
          <w:bCs/>
          <w:color w:val="2E74B5" w:themeColor="accent1" w:themeShade="BF"/>
          <w:sz w:val="20"/>
          <w:szCs w:val="20"/>
        </w:rPr>
        <w:t>2</w:t>
      </w:r>
      <w:r w:rsidRPr="00727374">
        <w:rPr>
          <w:b/>
          <w:bCs/>
          <w:color w:val="2E74B5" w:themeColor="accent1" w:themeShade="BF"/>
          <w:sz w:val="20"/>
          <w:szCs w:val="20"/>
        </w:rPr>
        <w:t>-2</w:t>
      </w:r>
      <w:r>
        <w:rPr>
          <w:b/>
          <w:bCs/>
          <w:color w:val="2E74B5" w:themeColor="accent1" w:themeShade="BF"/>
          <w:sz w:val="20"/>
          <w:szCs w:val="20"/>
        </w:rPr>
        <w:t>3</w:t>
      </w:r>
      <w:r w:rsidRPr="00727374">
        <w:rPr>
          <w:b/>
          <w:bCs/>
          <w:color w:val="2E74B5" w:themeColor="accent1" w:themeShade="BF"/>
          <w:sz w:val="20"/>
          <w:szCs w:val="20"/>
        </w:rPr>
        <w:t>, other government entities March 202</w:t>
      </w:r>
      <w:r>
        <w:rPr>
          <w:b/>
          <w:bCs/>
          <w:color w:val="2E74B5" w:themeColor="accent1" w:themeShade="BF"/>
          <w:sz w:val="20"/>
          <w:szCs w:val="20"/>
        </w:rPr>
        <w:t>3</w:t>
      </w:r>
    </w:p>
    <w:tbl>
      <w:tblPr>
        <w:tblW w:w="9214" w:type="dxa"/>
        <w:tblInd w:w="-10"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8: Median age of female and male employees; WA public sector annual average median 2022-23, other government entities March 2023"/>
      </w:tblPr>
      <w:tblGrid>
        <w:gridCol w:w="4405"/>
        <w:gridCol w:w="1667"/>
        <w:gridCol w:w="1417"/>
        <w:gridCol w:w="1725"/>
      </w:tblGrid>
      <w:tr w:rsidR="003A5529" w:rsidRPr="005D2DF1" w14:paraId="173E24FB" w14:textId="77777777">
        <w:trPr>
          <w:trHeight w:val="315"/>
        </w:trPr>
        <w:tc>
          <w:tcPr>
            <w:tcW w:w="4405" w:type="dxa"/>
            <w:vMerge w:val="restart"/>
            <w:tcBorders>
              <w:top w:val="nil"/>
              <w:left w:val="nil"/>
            </w:tcBorders>
            <w:noWrap/>
            <w:vAlign w:val="center"/>
          </w:tcPr>
          <w:p w14:paraId="455FB43B" w14:textId="77777777" w:rsidR="000D42F1" w:rsidRPr="005D2DF1" w:rsidRDefault="000D42F1">
            <w:pPr>
              <w:pStyle w:val="Tables"/>
              <w:jc w:val="left"/>
              <w:rPr>
                <w:b/>
                <w:color w:val="2E74B5" w:themeColor="accent1" w:themeShade="BF"/>
              </w:rPr>
            </w:pPr>
          </w:p>
        </w:tc>
        <w:tc>
          <w:tcPr>
            <w:tcW w:w="4809" w:type="dxa"/>
            <w:gridSpan w:val="3"/>
            <w:shd w:val="clear" w:color="auto" w:fill="auto"/>
            <w:noWrap/>
            <w:vAlign w:val="center"/>
          </w:tcPr>
          <w:p w14:paraId="03921BB8" w14:textId="77777777" w:rsidR="000D42F1" w:rsidRPr="005D2DF1" w:rsidRDefault="000D42F1">
            <w:pPr>
              <w:pStyle w:val="Tables"/>
              <w:jc w:val="center"/>
              <w:rPr>
                <w:b/>
                <w:color w:val="2E74B5" w:themeColor="accent1" w:themeShade="BF"/>
              </w:rPr>
            </w:pPr>
            <w:r w:rsidRPr="005D2DF1">
              <w:rPr>
                <w:b/>
                <w:color w:val="2E74B5" w:themeColor="accent1" w:themeShade="BF"/>
              </w:rPr>
              <w:t>Median age (years)</w:t>
            </w:r>
          </w:p>
        </w:tc>
      </w:tr>
      <w:tr w:rsidR="00212523" w:rsidRPr="005D2DF1" w14:paraId="64B9693C" w14:textId="77777777" w:rsidTr="007A4B3B">
        <w:trPr>
          <w:trHeight w:val="315"/>
        </w:trPr>
        <w:tc>
          <w:tcPr>
            <w:tcW w:w="4405" w:type="dxa"/>
            <w:vMerge/>
            <w:tcBorders>
              <w:left w:val="nil"/>
            </w:tcBorders>
            <w:noWrap/>
            <w:vAlign w:val="center"/>
            <w:hideMark/>
          </w:tcPr>
          <w:p w14:paraId="461D816F" w14:textId="77777777" w:rsidR="000D42F1" w:rsidRPr="005D2DF1" w:rsidRDefault="000D42F1">
            <w:pPr>
              <w:pStyle w:val="Tables"/>
              <w:jc w:val="left"/>
              <w:rPr>
                <w:b/>
                <w:color w:val="2E74B5" w:themeColor="accent1" w:themeShade="BF"/>
              </w:rPr>
            </w:pPr>
          </w:p>
        </w:tc>
        <w:tc>
          <w:tcPr>
            <w:tcW w:w="1667" w:type="dxa"/>
            <w:shd w:val="clear" w:color="auto" w:fill="auto"/>
            <w:noWrap/>
            <w:hideMark/>
          </w:tcPr>
          <w:p w14:paraId="74FB4767" w14:textId="77777777" w:rsidR="000D42F1" w:rsidRPr="005D2DF1" w:rsidRDefault="000D42F1" w:rsidP="007A4B3B">
            <w:pPr>
              <w:pStyle w:val="Tables"/>
              <w:rPr>
                <w:b/>
                <w:color w:val="2E74B5" w:themeColor="accent1" w:themeShade="BF"/>
              </w:rPr>
            </w:pPr>
            <w:r>
              <w:rPr>
                <w:b/>
                <w:bCs/>
                <w:color w:val="2E74B5"/>
              </w:rPr>
              <w:t>Female</w:t>
            </w:r>
          </w:p>
        </w:tc>
        <w:tc>
          <w:tcPr>
            <w:tcW w:w="1417" w:type="dxa"/>
            <w:shd w:val="clear" w:color="auto" w:fill="auto"/>
            <w:noWrap/>
            <w:hideMark/>
          </w:tcPr>
          <w:p w14:paraId="66EF3094" w14:textId="77777777" w:rsidR="000D42F1" w:rsidRPr="005D2DF1" w:rsidRDefault="000D42F1" w:rsidP="007A4B3B">
            <w:pPr>
              <w:pStyle w:val="Tables"/>
              <w:rPr>
                <w:b/>
                <w:color w:val="2E74B5" w:themeColor="accent1" w:themeShade="BF"/>
              </w:rPr>
            </w:pPr>
            <w:r>
              <w:rPr>
                <w:b/>
                <w:bCs/>
                <w:color w:val="2E74B5"/>
              </w:rPr>
              <w:t>Male</w:t>
            </w:r>
          </w:p>
        </w:tc>
        <w:tc>
          <w:tcPr>
            <w:tcW w:w="1725" w:type="dxa"/>
            <w:shd w:val="clear" w:color="auto" w:fill="auto"/>
            <w:noWrap/>
            <w:hideMark/>
          </w:tcPr>
          <w:p w14:paraId="012788D8" w14:textId="77777777" w:rsidR="000D42F1" w:rsidRPr="005D2DF1" w:rsidRDefault="000D42F1" w:rsidP="007A4B3B">
            <w:pPr>
              <w:pStyle w:val="Tables"/>
              <w:rPr>
                <w:b/>
                <w:color w:val="2E74B5" w:themeColor="accent1" w:themeShade="BF"/>
              </w:rPr>
            </w:pPr>
            <w:r>
              <w:rPr>
                <w:b/>
                <w:bCs/>
                <w:color w:val="2E74B5"/>
              </w:rPr>
              <w:t>All employees</w:t>
            </w:r>
          </w:p>
        </w:tc>
      </w:tr>
      <w:tr w:rsidR="003A5529" w:rsidRPr="005D2DF1" w14:paraId="0EA3446F" w14:textId="77777777" w:rsidTr="001B6ECB">
        <w:trPr>
          <w:trHeight w:val="340"/>
        </w:trPr>
        <w:tc>
          <w:tcPr>
            <w:tcW w:w="4405" w:type="dxa"/>
            <w:shd w:val="clear" w:color="auto" w:fill="auto"/>
            <w:noWrap/>
            <w:vAlign w:val="center"/>
            <w:hideMark/>
          </w:tcPr>
          <w:p w14:paraId="3807076D" w14:textId="40402592" w:rsidR="000D42F1" w:rsidRPr="005D2DF1" w:rsidRDefault="000D42F1">
            <w:pPr>
              <w:pStyle w:val="Tables"/>
              <w:jc w:val="left"/>
            </w:pPr>
            <w:r w:rsidRPr="005D2DF1">
              <w:t>Public sector 202</w:t>
            </w:r>
            <w:r>
              <w:t>2</w:t>
            </w:r>
            <w:r w:rsidRPr="005D2DF1">
              <w:t>-</w:t>
            </w:r>
            <w:r>
              <w:t>23</w:t>
            </w:r>
            <w:r w:rsidRPr="005D2DF1">
              <w:t xml:space="preserve"> annual average</w:t>
            </w:r>
          </w:p>
        </w:tc>
        <w:tc>
          <w:tcPr>
            <w:tcW w:w="1667" w:type="dxa"/>
            <w:shd w:val="clear" w:color="auto" w:fill="auto"/>
            <w:noWrap/>
            <w:vAlign w:val="bottom"/>
            <w:hideMark/>
          </w:tcPr>
          <w:p w14:paraId="00B4C3BB" w14:textId="77777777" w:rsidR="000D42F1" w:rsidRPr="005D2DF1" w:rsidRDefault="000D42F1">
            <w:pPr>
              <w:pStyle w:val="Tables"/>
            </w:pPr>
            <w:r>
              <w:t>44.0</w:t>
            </w:r>
          </w:p>
        </w:tc>
        <w:tc>
          <w:tcPr>
            <w:tcW w:w="1417" w:type="dxa"/>
            <w:shd w:val="clear" w:color="auto" w:fill="auto"/>
            <w:noWrap/>
            <w:vAlign w:val="bottom"/>
            <w:hideMark/>
          </w:tcPr>
          <w:p w14:paraId="31C59C53" w14:textId="77777777" w:rsidR="000D42F1" w:rsidRPr="005D2DF1" w:rsidRDefault="000D42F1">
            <w:pPr>
              <w:pStyle w:val="Tables"/>
            </w:pPr>
            <w:r>
              <w:t>46.0</w:t>
            </w:r>
          </w:p>
        </w:tc>
        <w:tc>
          <w:tcPr>
            <w:tcW w:w="1725" w:type="dxa"/>
            <w:shd w:val="clear" w:color="auto" w:fill="auto"/>
            <w:noWrap/>
            <w:vAlign w:val="bottom"/>
            <w:hideMark/>
          </w:tcPr>
          <w:p w14:paraId="050AE942" w14:textId="77777777" w:rsidR="000D42F1" w:rsidRPr="005D2DF1" w:rsidRDefault="000D42F1">
            <w:pPr>
              <w:pStyle w:val="Tables"/>
            </w:pPr>
            <w:r>
              <w:t>44.5</w:t>
            </w:r>
          </w:p>
        </w:tc>
      </w:tr>
      <w:tr w:rsidR="003A5529" w:rsidRPr="005D2DF1" w14:paraId="7442F1EE" w14:textId="77777777" w:rsidTr="001B6ECB">
        <w:trPr>
          <w:trHeight w:val="340"/>
        </w:trPr>
        <w:tc>
          <w:tcPr>
            <w:tcW w:w="4405" w:type="dxa"/>
            <w:shd w:val="clear" w:color="auto" w:fill="auto"/>
            <w:noWrap/>
            <w:vAlign w:val="center"/>
            <w:hideMark/>
          </w:tcPr>
          <w:p w14:paraId="2885220B" w14:textId="77EE2D00" w:rsidR="000D42F1" w:rsidRPr="005D2DF1" w:rsidRDefault="000D42F1">
            <w:pPr>
              <w:pStyle w:val="Tables"/>
              <w:jc w:val="left"/>
            </w:pPr>
            <w:r w:rsidRPr="005D2DF1">
              <w:t>Other government entities March 202</w:t>
            </w:r>
            <w:r>
              <w:t xml:space="preserve">3 </w:t>
            </w:r>
          </w:p>
        </w:tc>
        <w:tc>
          <w:tcPr>
            <w:tcW w:w="1667" w:type="dxa"/>
            <w:shd w:val="clear" w:color="auto" w:fill="auto"/>
            <w:noWrap/>
            <w:vAlign w:val="bottom"/>
            <w:hideMark/>
          </w:tcPr>
          <w:p w14:paraId="1677B54F" w14:textId="77777777" w:rsidR="000D42F1" w:rsidRPr="005D2DF1" w:rsidRDefault="000D42F1">
            <w:pPr>
              <w:pStyle w:val="Tables"/>
            </w:pPr>
            <w:r>
              <w:t>41.0</w:t>
            </w:r>
          </w:p>
        </w:tc>
        <w:tc>
          <w:tcPr>
            <w:tcW w:w="1417" w:type="dxa"/>
            <w:shd w:val="clear" w:color="auto" w:fill="auto"/>
            <w:noWrap/>
            <w:vAlign w:val="bottom"/>
            <w:hideMark/>
          </w:tcPr>
          <w:p w14:paraId="09736777" w14:textId="77777777" w:rsidR="000D42F1" w:rsidRPr="005D2DF1" w:rsidRDefault="000D42F1">
            <w:pPr>
              <w:pStyle w:val="Tables"/>
            </w:pPr>
            <w:r>
              <w:t>43.0</w:t>
            </w:r>
          </w:p>
        </w:tc>
        <w:tc>
          <w:tcPr>
            <w:tcW w:w="1725" w:type="dxa"/>
            <w:shd w:val="clear" w:color="auto" w:fill="auto"/>
            <w:noWrap/>
            <w:vAlign w:val="bottom"/>
            <w:hideMark/>
          </w:tcPr>
          <w:p w14:paraId="2B54EE33" w14:textId="77777777" w:rsidR="000D42F1" w:rsidRPr="005D2DF1" w:rsidRDefault="000D42F1">
            <w:pPr>
              <w:pStyle w:val="Tables"/>
            </w:pPr>
            <w:r>
              <w:t>42.0</w:t>
            </w:r>
          </w:p>
        </w:tc>
      </w:tr>
    </w:tbl>
    <w:p w14:paraId="47482006" w14:textId="77777777" w:rsidR="000D42F1" w:rsidRDefault="000D42F1" w:rsidP="000D42F1">
      <w:pPr>
        <w:spacing w:line="240" w:lineRule="auto"/>
      </w:pPr>
    </w:p>
    <w:p w14:paraId="35015F45" w14:textId="59A392BF" w:rsidR="000D42F1" w:rsidRPr="00727374" w:rsidRDefault="000D42F1" w:rsidP="000D42F1">
      <w:pPr>
        <w:pStyle w:val="Caption"/>
        <w:rPr>
          <w:b/>
          <w:bCs/>
        </w:rPr>
      </w:pPr>
      <w:bookmarkStart w:id="38" w:name="_Ref119325534"/>
      <w:r w:rsidRPr="00727374">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6</w:t>
      </w:r>
      <w:r>
        <w:rPr>
          <w:b/>
          <w:bCs/>
        </w:rPr>
        <w:fldChar w:fldCharType="end"/>
      </w:r>
      <w:bookmarkEnd w:id="38"/>
      <w:r w:rsidRPr="00727374">
        <w:rPr>
          <w:b/>
          <w:bCs/>
          <w:noProof/>
        </w:rPr>
        <w:t>:</w:t>
      </w:r>
      <w:r w:rsidRPr="00727374">
        <w:rPr>
          <w:b/>
          <w:bCs/>
        </w:rPr>
        <w:t xml:space="preserve"> Distribution of </w:t>
      </w:r>
      <w:r w:rsidR="00FF7464" w:rsidRPr="00727374">
        <w:rPr>
          <w:b/>
          <w:bCs/>
        </w:rPr>
        <w:t>female</w:t>
      </w:r>
      <w:r w:rsidR="00FF7464">
        <w:rPr>
          <w:b/>
          <w:bCs/>
        </w:rPr>
        <w:t xml:space="preserve"> and</w:t>
      </w:r>
      <w:r w:rsidR="00FF7464" w:rsidRPr="00727374">
        <w:rPr>
          <w:b/>
          <w:bCs/>
        </w:rPr>
        <w:t xml:space="preserve"> </w:t>
      </w:r>
      <w:r w:rsidRPr="00727374">
        <w:rPr>
          <w:b/>
          <w:bCs/>
        </w:rPr>
        <w:t>male employees by age group, WA public sector</w:t>
      </w:r>
      <w:r>
        <w:rPr>
          <w:b/>
          <w:bCs/>
        </w:rPr>
        <w:br/>
      </w:r>
      <w:r w:rsidRPr="00727374">
        <w:rPr>
          <w:b/>
          <w:bCs/>
        </w:rPr>
        <w:t>(annual average) 202</w:t>
      </w:r>
      <w:r>
        <w:rPr>
          <w:b/>
          <w:bCs/>
        </w:rPr>
        <w:t>2</w:t>
      </w:r>
      <w:r w:rsidRPr="00727374">
        <w:rPr>
          <w:b/>
          <w:bCs/>
        </w:rPr>
        <w:t>-2</w:t>
      </w:r>
      <w:r>
        <w:rPr>
          <w:b/>
          <w:bCs/>
        </w:rPr>
        <w:t>3</w:t>
      </w:r>
    </w:p>
    <w:p w14:paraId="10B0B2C9" w14:textId="77777777" w:rsidR="000D42F1" w:rsidRPr="00DD49BE" w:rsidRDefault="000D42F1" w:rsidP="000D42F1">
      <w:pPr>
        <w:spacing w:line="240" w:lineRule="auto"/>
      </w:pPr>
      <w:r>
        <w:rPr>
          <w:iCs/>
          <w:noProof/>
          <w:color w:val="2E74B5" w:themeColor="accent1" w:themeShade="BF"/>
          <w:sz w:val="20"/>
          <w:szCs w:val="20"/>
        </w:rPr>
        <w:drawing>
          <wp:inline distT="0" distB="0" distL="0" distR="0" wp14:anchorId="53C47F24" wp14:editId="359F42BA">
            <wp:extent cx="5836920" cy="3801745"/>
            <wp:effectExtent l="0" t="0" r="0" b="0"/>
            <wp:docPr id="5" name="Chart 5" descr="A bar graph showing the distribution of male and female employees by age group in the WA public sector in 2022-23. This shows a higher percentage of male employees in older age groups compared to female employees, and a higher percentage of female employees in younger age groups compared to male employees.">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C77EE4" w14:textId="77777777" w:rsidR="000D42F1" w:rsidRDefault="000D42F1" w:rsidP="000D42F1">
      <w:pPr>
        <w:spacing w:line="240" w:lineRule="auto"/>
      </w:pPr>
    </w:p>
    <w:p w14:paraId="315BE1AC" w14:textId="77777777" w:rsidR="000D42F1" w:rsidRDefault="000D42F1" w:rsidP="000D42F1">
      <w:pPr>
        <w:spacing w:line="240" w:lineRule="auto"/>
      </w:pPr>
    </w:p>
    <w:p w14:paraId="2CED4C17" w14:textId="77777777" w:rsidR="000D42F1" w:rsidRDefault="000D42F1" w:rsidP="000D42F1">
      <w:pPr>
        <w:spacing w:line="240" w:lineRule="auto"/>
      </w:pPr>
    </w:p>
    <w:p w14:paraId="1C7BF24B" w14:textId="28894844" w:rsidR="000D42F1" w:rsidRPr="00727374" w:rsidRDefault="000D42F1" w:rsidP="000D42F1">
      <w:pPr>
        <w:keepNext/>
        <w:spacing w:line="240" w:lineRule="auto"/>
        <w:rPr>
          <w:b/>
          <w:bCs/>
          <w:color w:val="2E74B5" w:themeColor="accent1" w:themeShade="BF"/>
          <w:sz w:val="20"/>
          <w:szCs w:val="20"/>
        </w:rPr>
      </w:pPr>
      <w:bookmarkStart w:id="39" w:name="_Ref148711603"/>
      <w:bookmarkStart w:id="40" w:name="_Ref84253272"/>
      <w:bookmarkStart w:id="41" w:name="_Ref148711595"/>
      <w:r w:rsidRPr="00727374">
        <w:rPr>
          <w:b/>
          <w:bCs/>
          <w:color w:val="2E74B5" w:themeColor="accent1" w:themeShade="BF"/>
          <w:sz w:val="20"/>
          <w:szCs w:val="20"/>
        </w:rPr>
        <w:lastRenderedPageBreak/>
        <w:t xml:space="preserve">Table </w:t>
      </w:r>
      <w:r>
        <w:rPr>
          <w:b/>
          <w:bCs/>
          <w:color w:val="2E74B5" w:themeColor="accent1" w:themeShade="BF"/>
          <w:sz w:val="20"/>
          <w:szCs w:val="20"/>
        </w:rPr>
        <w:fldChar w:fldCharType="begin"/>
      </w:r>
      <w:r>
        <w:rPr>
          <w:b/>
          <w:bCs/>
          <w:color w:val="2E74B5" w:themeColor="accent1" w:themeShade="BF"/>
          <w:sz w:val="20"/>
          <w:szCs w:val="20"/>
        </w:rPr>
        <w:instrText xml:space="preserve"> SEQ Table \* ARABIC </w:instrText>
      </w:r>
      <w:r>
        <w:rPr>
          <w:b/>
          <w:bCs/>
          <w:color w:val="2E74B5" w:themeColor="accent1" w:themeShade="BF"/>
          <w:sz w:val="20"/>
          <w:szCs w:val="20"/>
        </w:rPr>
        <w:fldChar w:fldCharType="separate"/>
      </w:r>
      <w:r w:rsidR="0048418F">
        <w:rPr>
          <w:b/>
          <w:bCs/>
          <w:noProof/>
          <w:color w:val="2E74B5" w:themeColor="accent1" w:themeShade="BF"/>
          <w:sz w:val="20"/>
          <w:szCs w:val="20"/>
        </w:rPr>
        <w:t>9</w:t>
      </w:r>
      <w:r>
        <w:rPr>
          <w:b/>
          <w:bCs/>
          <w:color w:val="2E74B5" w:themeColor="accent1" w:themeShade="BF"/>
          <w:sz w:val="20"/>
          <w:szCs w:val="20"/>
        </w:rPr>
        <w:fldChar w:fldCharType="end"/>
      </w:r>
      <w:bookmarkEnd w:id="39"/>
      <w:bookmarkEnd w:id="40"/>
      <w:r w:rsidRPr="00727374">
        <w:rPr>
          <w:b/>
          <w:bCs/>
          <w:noProof/>
          <w:color w:val="2E74B5" w:themeColor="accent1" w:themeShade="BF"/>
          <w:sz w:val="20"/>
          <w:szCs w:val="20"/>
        </w:rPr>
        <w:t>:</w:t>
      </w:r>
      <w:r w:rsidRPr="00727374">
        <w:rPr>
          <w:b/>
          <w:bCs/>
          <w:color w:val="2E74B5" w:themeColor="accent1" w:themeShade="BF"/>
          <w:sz w:val="20"/>
          <w:szCs w:val="20"/>
        </w:rPr>
        <w:t xml:space="preserve"> Headcount by age group</w:t>
      </w:r>
      <w:r>
        <w:rPr>
          <w:b/>
          <w:bCs/>
          <w:color w:val="2E74B5" w:themeColor="accent1" w:themeShade="BF"/>
          <w:sz w:val="20"/>
          <w:szCs w:val="20"/>
        </w:rPr>
        <w:t xml:space="preserve"> of</w:t>
      </w:r>
      <w:r w:rsidRPr="00727374">
        <w:rPr>
          <w:b/>
          <w:bCs/>
          <w:color w:val="2E74B5" w:themeColor="accent1" w:themeShade="BF"/>
          <w:sz w:val="20"/>
          <w:szCs w:val="20"/>
        </w:rPr>
        <w:t xml:space="preserve"> WA public sector </w:t>
      </w:r>
      <w:r w:rsidR="004A1307">
        <w:rPr>
          <w:b/>
          <w:bCs/>
          <w:color w:val="2E74B5" w:themeColor="accent1" w:themeShade="BF"/>
          <w:sz w:val="20"/>
          <w:szCs w:val="20"/>
        </w:rPr>
        <w:t xml:space="preserve">(annual average) </w:t>
      </w:r>
      <w:r w:rsidRPr="00727374">
        <w:rPr>
          <w:b/>
          <w:bCs/>
          <w:color w:val="2E74B5" w:themeColor="accent1" w:themeShade="BF"/>
          <w:sz w:val="20"/>
          <w:szCs w:val="20"/>
        </w:rPr>
        <w:t>20</w:t>
      </w:r>
      <w:r>
        <w:rPr>
          <w:b/>
          <w:bCs/>
          <w:color w:val="2E74B5" w:themeColor="accent1" w:themeShade="BF"/>
          <w:sz w:val="20"/>
          <w:szCs w:val="20"/>
        </w:rPr>
        <w:t>22</w:t>
      </w:r>
      <w:r w:rsidRPr="00727374">
        <w:rPr>
          <w:b/>
          <w:bCs/>
          <w:color w:val="2E74B5" w:themeColor="accent1" w:themeShade="BF"/>
          <w:sz w:val="20"/>
          <w:szCs w:val="20"/>
        </w:rPr>
        <w:t>-</w:t>
      </w:r>
      <w:r>
        <w:rPr>
          <w:b/>
          <w:bCs/>
          <w:color w:val="2E74B5" w:themeColor="accent1" w:themeShade="BF"/>
          <w:sz w:val="20"/>
          <w:szCs w:val="20"/>
        </w:rPr>
        <w:t>23</w:t>
      </w:r>
      <w:bookmarkEnd w:id="41"/>
    </w:p>
    <w:tbl>
      <w:tblPr>
        <w:tblW w:w="9207"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9: Headcount by age group of WA public sector (annual average) 2022-23"/>
      </w:tblPr>
      <w:tblGrid>
        <w:gridCol w:w="2887"/>
        <w:gridCol w:w="2094"/>
        <w:gridCol w:w="2235"/>
        <w:gridCol w:w="1991"/>
      </w:tblGrid>
      <w:tr w:rsidR="000D42F1" w:rsidRPr="004836DA" w14:paraId="58D5DF6B" w14:textId="77777777" w:rsidTr="007A4B3B">
        <w:trPr>
          <w:trHeight w:val="20"/>
        </w:trPr>
        <w:tc>
          <w:tcPr>
            <w:tcW w:w="2887" w:type="dxa"/>
            <w:noWrap/>
            <w:vAlign w:val="center"/>
            <w:hideMark/>
          </w:tcPr>
          <w:p w14:paraId="5A0AF9F7" w14:textId="284B11B9" w:rsidR="000D42F1" w:rsidRPr="004836DA" w:rsidRDefault="000D42F1">
            <w:pPr>
              <w:pStyle w:val="Tables"/>
              <w:jc w:val="left"/>
              <w:rPr>
                <w:b/>
                <w:color w:val="2E74B5" w:themeColor="accent1" w:themeShade="BF"/>
              </w:rPr>
            </w:pPr>
            <w:r w:rsidRPr="004836DA">
              <w:rPr>
                <w:b/>
                <w:color w:val="2E74B5" w:themeColor="accent1" w:themeShade="BF"/>
              </w:rPr>
              <w:t>Age in years</w:t>
            </w:r>
            <w:r w:rsidR="00945A37">
              <w:rPr>
                <w:b/>
                <w:color w:val="2E74B5" w:themeColor="accent1" w:themeShade="BF"/>
              </w:rPr>
              <w:t>*</w:t>
            </w:r>
            <w:r w:rsidRPr="004836DA">
              <w:rPr>
                <w:b/>
                <w:color w:val="2E74B5" w:themeColor="accent1" w:themeShade="BF"/>
              </w:rPr>
              <w:t> </w:t>
            </w:r>
          </w:p>
        </w:tc>
        <w:tc>
          <w:tcPr>
            <w:tcW w:w="2094" w:type="dxa"/>
            <w:shd w:val="clear" w:color="auto" w:fill="auto"/>
            <w:noWrap/>
            <w:hideMark/>
          </w:tcPr>
          <w:p w14:paraId="722466F2" w14:textId="77777777" w:rsidR="000D42F1" w:rsidRPr="004836DA" w:rsidRDefault="000D42F1" w:rsidP="007A4B3B">
            <w:pPr>
              <w:pStyle w:val="Tables"/>
              <w:rPr>
                <w:b/>
                <w:color w:val="2E74B5" w:themeColor="accent1" w:themeShade="BF"/>
              </w:rPr>
            </w:pPr>
            <w:r w:rsidRPr="004836DA">
              <w:rPr>
                <w:b/>
                <w:color w:val="2E74B5" w:themeColor="accent1" w:themeShade="BF"/>
              </w:rPr>
              <w:t>Female</w:t>
            </w:r>
          </w:p>
        </w:tc>
        <w:tc>
          <w:tcPr>
            <w:tcW w:w="2235" w:type="dxa"/>
            <w:shd w:val="clear" w:color="auto" w:fill="auto"/>
            <w:noWrap/>
            <w:hideMark/>
          </w:tcPr>
          <w:p w14:paraId="798E5988" w14:textId="77777777" w:rsidR="000D42F1" w:rsidRPr="004836DA" w:rsidRDefault="000D42F1" w:rsidP="007A4B3B">
            <w:pPr>
              <w:pStyle w:val="Tables"/>
              <w:rPr>
                <w:b/>
                <w:color w:val="2E74B5" w:themeColor="accent1" w:themeShade="BF"/>
              </w:rPr>
            </w:pPr>
            <w:r w:rsidRPr="004836DA">
              <w:rPr>
                <w:b/>
                <w:color w:val="2E74B5" w:themeColor="accent1" w:themeShade="BF"/>
              </w:rPr>
              <w:t>Male</w:t>
            </w:r>
          </w:p>
        </w:tc>
        <w:tc>
          <w:tcPr>
            <w:tcW w:w="1991" w:type="dxa"/>
            <w:shd w:val="clear" w:color="auto" w:fill="auto"/>
            <w:noWrap/>
            <w:hideMark/>
          </w:tcPr>
          <w:p w14:paraId="650DADEA" w14:textId="77777777" w:rsidR="000D42F1" w:rsidRPr="004836DA" w:rsidRDefault="000D42F1" w:rsidP="007A4B3B">
            <w:pPr>
              <w:pStyle w:val="Tables"/>
              <w:ind w:right="48"/>
              <w:rPr>
                <w:b/>
                <w:color w:val="2E74B5" w:themeColor="accent1" w:themeShade="BF"/>
              </w:rPr>
            </w:pPr>
            <w:r w:rsidRPr="004836DA">
              <w:rPr>
                <w:b/>
                <w:color w:val="2E74B5" w:themeColor="accent1" w:themeShade="BF"/>
              </w:rPr>
              <w:t>Neither male nor female</w:t>
            </w:r>
          </w:p>
        </w:tc>
      </w:tr>
      <w:tr w:rsidR="000D42F1" w:rsidRPr="004836DA" w14:paraId="6093CE78" w14:textId="77777777" w:rsidTr="001B6ECB">
        <w:trPr>
          <w:trHeight w:val="340"/>
        </w:trPr>
        <w:tc>
          <w:tcPr>
            <w:tcW w:w="2887" w:type="dxa"/>
            <w:shd w:val="clear" w:color="auto" w:fill="auto"/>
            <w:noWrap/>
            <w:vAlign w:val="center"/>
            <w:hideMark/>
          </w:tcPr>
          <w:p w14:paraId="1FE8FDEA" w14:textId="77777777" w:rsidR="000D42F1" w:rsidRPr="004836DA" w:rsidRDefault="000D42F1">
            <w:pPr>
              <w:pStyle w:val="Tables"/>
              <w:jc w:val="left"/>
            </w:pPr>
            <w:r w:rsidRPr="004836DA">
              <w:t>19 and under</w:t>
            </w:r>
          </w:p>
        </w:tc>
        <w:tc>
          <w:tcPr>
            <w:tcW w:w="2094" w:type="dxa"/>
            <w:shd w:val="clear" w:color="auto" w:fill="auto"/>
            <w:noWrap/>
            <w:vAlign w:val="bottom"/>
            <w:hideMark/>
          </w:tcPr>
          <w:p w14:paraId="4861BF04" w14:textId="77777777" w:rsidR="000D42F1" w:rsidRPr="004836DA" w:rsidRDefault="000D42F1">
            <w:pPr>
              <w:pStyle w:val="Tables"/>
            </w:pPr>
            <w:r w:rsidRPr="004836DA">
              <w:t>756</w:t>
            </w:r>
          </w:p>
        </w:tc>
        <w:tc>
          <w:tcPr>
            <w:tcW w:w="2235" w:type="dxa"/>
            <w:shd w:val="clear" w:color="auto" w:fill="auto"/>
            <w:noWrap/>
            <w:vAlign w:val="bottom"/>
            <w:hideMark/>
          </w:tcPr>
          <w:p w14:paraId="68E9E174" w14:textId="77777777" w:rsidR="000D42F1" w:rsidRPr="004836DA" w:rsidRDefault="000D42F1">
            <w:pPr>
              <w:pStyle w:val="Tables"/>
            </w:pPr>
            <w:r w:rsidRPr="004836DA">
              <w:t>278</w:t>
            </w:r>
          </w:p>
        </w:tc>
        <w:tc>
          <w:tcPr>
            <w:tcW w:w="1991" w:type="dxa"/>
            <w:shd w:val="clear" w:color="auto" w:fill="auto"/>
            <w:noWrap/>
            <w:vAlign w:val="bottom"/>
          </w:tcPr>
          <w:p w14:paraId="6F7B19A5" w14:textId="77777777" w:rsidR="000D42F1" w:rsidRPr="004836DA" w:rsidRDefault="000D42F1">
            <w:pPr>
              <w:pStyle w:val="Tables"/>
              <w:ind w:right="48"/>
            </w:pPr>
            <w:r w:rsidRPr="004836DA">
              <w:t>1</w:t>
            </w:r>
          </w:p>
        </w:tc>
      </w:tr>
      <w:tr w:rsidR="000D42F1" w:rsidRPr="004836DA" w14:paraId="04213AD8" w14:textId="77777777" w:rsidTr="001B6ECB">
        <w:trPr>
          <w:trHeight w:val="340"/>
        </w:trPr>
        <w:tc>
          <w:tcPr>
            <w:tcW w:w="2887" w:type="dxa"/>
            <w:shd w:val="clear" w:color="auto" w:fill="auto"/>
            <w:noWrap/>
            <w:vAlign w:val="center"/>
            <w:hideMark/>
          </w:tcPr>
          <w:p w14:paraId="2164B16E" w14:textId="77777777" w:rsidR="000D42F1" w:rsidRPr="004836DA" w:rsidRDefault="000D42F1">
            <w:pPr>
              <w:pStyle w:val="Tables"/>
              <w:jc w:val="left"/>
            </w:pPr>
            <w:r w:rsidRPr="004836DA">
              <w:t>20 to 24</w:t>
            </w:r>
          </w:p>
        </w:tc>
        <w:tc>
          <w:tcPr>
            <w:tcW w:w="2094" w:type="dxa"/>
            <w:shd w:val="clear" w:color="auto" w:fill="auto"/>
            <w:noWrap/>
            <w:vAlign w:val="bottom"/>
            <w:hideMark/>
          </w:tcPr>
          <w:p w14:paraId="2EF788A7" w14:textId="77777777" w:rsidR="000D42F1" w:rsidRPr="004836DA" w:rsidRDefault="000D42F1">
            <w:pPr>
              <w:pStyle w:val="Tables"/>
            </w:pPr>
            <w:r w:rsidRPr="004836DA">
              <w:t>5,829</w:t>
            </w:r>
          </w:p>
        </w:tc>
        <w:tc>
          <w:tcPr>
            <w:tcW w:w="2235" w:type="dxa"/>
            <w:shd w:val="clear" w:color="auto" w:fill="auto"/>
            <w:noWrap/>
            <w:vAlign w:val="bottom"/>
            <w:hideMark/>
          </w:tcPr>
          <w:p w14:paraId="69423147" w14:textId="77777777" w:rsidR="000D42F1" w:rsidRPr="004836DA" w:rsidRDefault="000D42F1">
            <w:pPr>
              <w:pStyle w:val="Tables"/>
            </w:pPr>
            <w:r w:rsidRPr="004836DA">
              <w:t>1,716</w:t>
            </w:r>
          </w:p>
        </w:tc>
        <w:tc>
          <w:tcPr>
            <w:tcW w:w="1991" w:type="dxa"/>
            <w:shd w:val="clear" w:color="auto" w:fill="auto"/>
            <w:noWrap/>
            <w:vAlign w:val="bottom"/>
          </w:tcPr>
          <w:p w14:paraId="2B695CFE" w14:textId="77777777" w:rsidR="000D42F1" w:rsidRPr="004836DA" w:rsidRDefault="000D42F1">
            <w:pPr>
              <w:pStyle w:val="Tables"/>
              <w:ind w:right="48"/>
            </w:pPr>
            <w:r w:rsidRPr="004836DA">
              <w:t>4</w:t>
            </w:r>
          </w:p>
        </w:tc>
      </w:tr>
      <w:tr w:rsidR="000D42F1" w:rsidRPr="004836DA" w14:paraId="1EC4D7E9" w14:textId="77777777" w:rsidTr="001B6ECB">
        <w:trPr>
          <w:trHeight w:val="340"/>
        </w:trPr>
        <w:tc>
          <w:tcPr>
            <w:tcW w:w="2887" w:type="dxa"/>
            <w:shd w:val="clear" w:color="auto" w:fill="auto"/>
            <w:noWrap/>
            <w:vAlign w:val="center"/>
            <w:hideMark/>
          </w:tcPr>
          <w:p w14:paraId="09DB1749" w14:textId="77777777" w:rsidR="000D42F1" w:rsidRPr="004836DA" w:rsidRDefault="000D42F1">
            <w:pPr>
              <w:pStyle w:val="Tables"/>
              <w:jc w:val="left"/>
            </w:pPr>
            <w:r w:rsidRPr="004836DA">
              <w:t>25 to 29</w:t>
            </w:r>
          </w:p>
        </w:tc>
        <w:tc>
          <w:tcPr>
            <w:tcW w:w="2094" w:type="dxa"/>
            <w:shd w:val="clear" w:color="auto" w:fill="auto"/>
            <w:noWrap/>
            <w:vAlign w:val="bottom"/>
            <w:hideMark/>
          </w:tcPr>
          <w:p w14:paraId="35190271" w14:textId="77777777" w:rsidR="000D42F1" w:rsidRPr="004836DA" w:rsidRDefault="000D42F1">
            <w:pPr>
              <w:pStyle w:val="Tables"/>
            </w:pPr>
            <w:r w:rsidRPr="004836DA">
              <w:t>11,051</w:t>
            </w:r>
          </w:p>
        </w:tc>
        <w:tc>
          <w:tcPr>
            <w:tcW w:w="2235" w:type="dxa"/>
            <w:shd w:val="clear" w:color="auto" w:fill="auto"/>
            <w:noWrap/>
            <w:vAlign w:val="bottom"/>
            <w:hideMark/>
          </w:tcPr>
          <w:p w14:paraId="1B7F885D" w14:textId="77777777" w:rsidR="000D42F1" w:rsidRPr="004836DA" w:rsidRDefault="000D42F1">
            <w:pPr>
              <w:pStyle w:val="Tables"/>
            </w:pPr>
            <w:r w:rsidRPr="004836DA">
              <w:t>3,764</w:t>
            </w:r>
          </w:p>
        </w:tc>
        <w:tc>
          <w:tcPr>
            <w:tcW w:w="1991" w:type="dxa"/>
            <w:shd w:val="clear" w:color="auto" w:fill="auto"/>
            <w:noWrap/>
            <w:vAlign w:val="bottom"/>
          </w:tcPr>
          <w:p w14:paraId="069F0D10" w14:textId="77777777" w:rsidR="000D42F1" w:rsidRPr="004836DA" w:rsidRDefault="000D42F1">
            <w:pPr>
              <w:pStyle w:val="Tables"/>
              <w:ind w:right="48"/>
            </w:pPr>
            <w:r w:rsidRPr="004836DA">
              <w:t>4</w:t>
            </w:r>
          </w:p>
        </w:tc>
      </w:tr>
      <w:tr w:rsidR="000D42F1" w:rsidRPr="004836DA" w14:paraId="54002186" w14:textId="77777777" w:rsidTr="001B6ECB">
        <w:trPr>
          <w:trHeight w:val="340"/>
        </w:trPr>
        <w:tc>
          <w:tcPr>
            <w:tcW w:w="2887" w:type="dxa"/>
            <w:shd w:val="clear" w:color="auto" w:fill="auto"/>
            <w:noWrap/>
            <w:vAlign w:val="center"/>
            <w:hideMark/>
          </w:tcPr>
          <w:p w14:paraId="009BC8DC" w14:textId="77777777" w:rsidR="000D42F1" w:rsidRPr="004836DA" w:rsidRDefault="000D42F1">
            <w:pPr>
              <w:pStyle w:val="Tables"/>
              <w:jc w:val="left"/>
            </w:pPr>
            <w:r w:rsidRPr="004836DA">
              <w:t>30 to 34</w:t>
            </w:r>
          </w:p>
        </w:tc>
        <w:tc>
          <w:tcPr>
            <w:tcW w:w="2094" w:type="dxa"/>
            <w:shd w:val="clear" w:color="auto" w:fill="auto"/>
            <w:noWrap/>
            <w:vAlign w:val="bottom"/>
            <w:hideMark/>
          </w:tcPr>
          <w:p w14:paraId="737550C6" w14:textId="77777777" w:rsidR="000D42F1" w:rsidRPr="004836DA" w:rsidRDefault="000D42F1">
            <w:pPr>
              <w:pStyle w:val="Tables"/>
            </w:pPr>
            <w:r w:rsidRPr="004836DA">
              <w:t>13,284</w:t>
            </w:r>
          </w:p>
        </w:tc>
        <w:tc>
          <w:tcPr>
            <w:tcW w:w="2235" w:type="dxa"/>
            <w:shd w:val="clear" w:color="auto" w:fill="auto"/>
            <w:noWrap/>
            <w:vAlign w:val="bottom"/>
            <w:hideMark/>
          </w:tcPr>
          <w:p w14:paraId="76A8A640" w14:textId="77777777" w:rsidR="000D42F1" w:rsidRPr="004836DA" w:rsidRDefault="000D42F1">
            <w:pPr>
              <w:pStyle w:val="Tables"/>
            </w:pPr>
            <w:r w:rsidRPr="004836DA">
              <w:t>4,536</w:t>
            </w:r>
          </w:p>
        </w:tc>
        <w:tc>
          <w:tcPr>
            <w:tcW w:w="1991" w:type="dxa"/>
            <w:shd w:val="clear" w:color="auto" w:fill="auto"/>
            <w:noWrap/>
            <w:vAlign w:val="bottom"/>
          </w:tcPr>
          <w:p w14:paraId="3EFEE767" w14:textId="77777777" w:rsidR="000D42F1" w:rsidRPr="004836DA" w:rsidRDefault="000D42F1">
            <w:pPr>
              <w:pStyle w:val="Tables"/>
              <w:ind w:right="48"/>
            </w:pPr>
            <w:r w:rsidRPr="004836DA">
              <w:t>3</w:t>
            </w:r>
          </w:p>
        </w:tc>
      </w:tr>
      <w:tr w:rsidR="000D42F1" w:rsidRPr="004836DA" w14:paraId="5AEB777F" w14:textId="77777777" w:rsidTr="001B6ECB">
        <w:trPr>
          <w:trHeight w:val="340"/>
        </w:trPr>
        <w:tc>
          <w:tcPr>
            <w:tcW w:w="2887" w:type="dxa"/>
            <w:shd w:val="clear" w:color="auto" w:fill="auto"/>
            <w:noWrap/>
            <w:vAlign w:val="center"/>
            <w:hideMark/>
          </w:tcPr>
          <w:p w14:paraId="2412F9FB" w14:textId="77777777" w:rsidR="000D42F1" w:rsidRPr="004836DA" w:rsidRDefault="000D42F1">
            <w:pPr>
              <w:pStyle w:val="Tables"/>
              <w:jc w:val="left"/>
            </w:pPr>
            <w:r w:rsidRPr="004836DA">
              <w:t>35 to 39</w:t>
            </w:r>
          </w:p>
        </w:tc>
        <w:tc>
          <w:tcPr>
            <w:tcW w:w="2094" w:type="dxa"/>
            <w:shd w:val="clear" w:color="auto" w:fill="auto"/>
            <w:noWrap/>
            <w:vAlign w:val="bottom"/>
            <w:hideMark/>
          </w:tcPr>
          <w:p w14:paraId="070CE608" w14:textId="77777777" w:rsidR="000D42F1" w:rsidRPr="004836DA" w:rsidRDefault="000D42F1">
            <w:pPr>
              <w:pStyle w:val="Tables"/>
            </w:pPr>
            <w:r w:rsidRPr="004836DA">
              <w:t>15,035</w:t>
            </w:r>
          </w:p>
        </w:tc>
        <w:tc>
          <w:tcPr>
            <w:tcW w:w="2235" w:type="dxa"/>
            <w:shd w:val="clear" w:color="auto" w:fill="auto"/>
            <w:noWrap/>
            <w:vAlign w:val="bottom"/>
            <w:hideMark/>
          </w:tcPr>
          <w:p w14:paraId="14E17E33" w14:textId="77777777" w:rsidR="000D42F1" w:rsidRPr="004836DA" w:rsidRDefault="000D42F1">
            <w:pPr>
              <w:pStyle w:val="Tables"/>
            </w:pPr>
            <w:r w:rsidRPr="004836DA">
              <w:t>5,278</w:t>
            </w:r>
          </w:p>
        </w:tc>
        <w:tc>
          <w:tcPr>
            <w:tcW w:w="1991" w:type="dxa"/>
            <w:shd w:val="clear" w:color="auto" w:fill="auto"/>
            <w:noWrap/>
            <w:vAlign w:val="bottom"/>
          </w:tcPr>
          <w:p w14:paraId="29B33455" w14:textId="77777777" w:rsidR="000D42F1" w:rsidRPr="004836DA" w:rsidRDefault="000D42F1">
            <w:pPr>
              <w:pStyle w:val="Tables"/>
              <w:ind w:right="48"/>
            </w:pPr>
            <w:r w:rsidRPr="004836DA">
              <w:t>3</w:t>
            </w:r>
          </w:p>
        </w:tc>
      </w:tr>
      <w:tr w:rsidR="000D42F1" w:rsidRPr="004836DA" w14:paraId="6F5E745E" w14:textId="77777777" w:rsidTr="001B6ECB">
        <w:trPr>
          <w:trHeight w:val="340"/>
        </w:trPr>
        <w:tc>
          <w:tcPr>
            <w:tcW w:w="2887" w:type="dxa"/>
            <w:shd w:val="clear" w:color="auto" w:fill="auto"/>
            <w:noWrap/>
            <w:vAlign w:val="center"/>
            <w:hideMark/>
          </w:tcPr>
          <w:p w14:paraId="16541C14" w14:textId="77777777" w:rsidR="000D42F1" w:rsidRPr="004836DA" w:rsidRDefault="000D42F1">
            <w:pPr>
              <w:pStyle w:val="Tables"/>
              <w:jc w:val="left"/>
            </w:pPr>
            <w:r w:rsidRPr="004836DA">
              <w:t>40 to 44</w:t>
            </w:r>
          </w:p>
        </w:tc>
        <w:tc>
          <w:tcPr>
            <w:tcW w:w="2094" w:type="dxa"/>
            <w:shd w:val="clear" w:color="auto" w:fill="auto"/>
            <w:noWrap/>
            <w:vAlign w:val="bottom"/>
            <w:hideMark/>
          </w:tcPr>
          <w:p w14:paraId="33C5F60C" w14:textId="77777777" w:rsidR="000D42F1" w:rsidRPr="004836DA" w:rsidRDefault="000D42F1">
            <w:pPr>
              <w:pStyle w:val="Tables"/>
            </w:pPr>
            <w:r w:rsidRPr="004836DA">
              <w:t>14,723</w:t>
            </w:r>
          </w:p>
        </w:tc>
        <w:tc>
          <w:tcPr>
            <w:tcW w:w="2235" w:type="dxa"/>
            <w:shd w:val="clear" w:color="auto" w:fill="auto"/>
            <w:noWrap/>
            <w:vAlign w:val="bottom"/>
            <w:hideMark/>
          </w:tcPr>
          <w:p w14:paraId="4C7CE879" w14:textId="77777777" w:rsidR="000D42F1" w:rsidRPr="004836DA" w:rsidRDefault="000D42F1">
            <w:pPr>
              <w:pStyle w:val="Tables"/>
            </w:pPr>
            <w:r w:rsidRPr="004836DA">
              <w:t>5,123</w:t>
            </w:r>
          </w:p>
        </w:tc>
        <w:tc>
          <w:tcPr>
            <w:tcW w:w="1991" w:type="dxa"/>
            <w:shd w:val="clear" w:color="auto" w:fill="auto"/>
            <w:noWrap/>
            <w:vAlign w:val="bottom"/>
          </w:tcPr>
          <w:p w14:paraId="6EEF5A0C" w14:textId="77777777" w:rsidR="000D42F1" w:rsidRPr="004836DA" w:rsidRDefault="000D42F1">
            <w:pPr>
              <w:pStyle w:val="Tables"/>
              <w:ind w:right="48"/>
            </w:pPr>
            <w:r w:rsidRPr="004836DA">
              <w:t>1</w:t>
            </w:r>
          </w:p>
        </w:tc>
      </w:tr>
      <w:tr w:rsidR="000D42F1" w:rsidRPr="004836DA" w14:paraId="06427C9E" w14:textId="77777777" w:rsidTr="001B6ECB">
        <w:trPr>
          <w:trHeight w:val="340"/>
        </w:trPr>
        <w:tc>
          <w:tcPr>
            <w:tcW w:w="2887" w:type="dxa"/>
            <w:shd w:val="clear" w:color="auto" w:fill="auto"/>
            <w:noWrap/>
            <w:vAlign w:val="center"/>
            <w:hideMark/>
          </w:tcPr>
          <w:p w14:paraId="15A33DA7" w14:textId="77777777" w:rsidR="000D42F1" w:rsidRPr="004836DA" w:rsidRDefault="000D42F1">
            <w:pPr>
              <w:pStyle w:val="Tables"/>
              <w:jc w:val="left"/>
            </w:pPr>
            <w:r w:rsidRPr="004836DA">
              <w:t>45 to 49</w:t>
            </w:r>
          </w:p>
        </w:tc>
        <w:tc>
          <w:tcPr>
            <w:tcW w:w="2094" w:type="dxa"/>
            <w:shd w:val="clear" w:color="auto" w:fill="auto"/>
            <w:noWrap/>
            <w:vAlign w:val="bottom"/>
            <w:hideMark/>
          </w:tcPr>
          <w:p w14:paraId="3280DAC1" w14:textId="77777777" w:rsidR="000D42F1" w:rsidRPr="004836DA" w:rsidRDefault="000D42F1">
            <w:pPr>
              <w:pStyle w:val="Tables"/>
            </w:pPr>
            <w:r w:rsidRPr="004836DA">
              <w:t>14,440</w:t>
            </w:r>
          </w:p>
        </w:tc>
        <w:tc>
          <w:tcPr>
            <w:tcW w:w="2235" w:type="dxa"/>
            <w:shd w:val="clear" w:color="auto" w:fill="auto"/>
            <w:noWrap/>
            <w:vAlign w:val="bottom"/>
            <w:hideMark/>
          </w:tcPr>
          <w:p w14:paraId="1454E29A" w14:textId="77777777" w:rsidR="000D42F1" w:rsidRPr="004836DA" w:rsidRDefault="000D42F1">
            <w:pPr>
              <w:pStyle w:val="Tables"/>
            </w:pPr>
            <w:r w:rsidRPr="004836DA">
              <w:t>4,896</w:t>
            </w:r>
          </w:p>
        </w:tc>
        <w:tc>
          <w:tcPr>
            <w:tcW w:w="1991" w:type="dxa"/>
            <w:shd w:val="clear" w:color="auto" w:fill="auto"/>
            <w:noWrap/>
            <w:vAlign w:val="bottom"/>
          </w:tcPr>
          <w:p w14:paraId="1785E22C" w14:textId="77777777" w:rsidR="000D42F1" w:rsidRPr="004836DA" w:rsidRDefault="000D42F1">
            <w:pPr>
              <w:pStyle w:val="Tables"/>
              <w:ind w:right="48"/>
            </w:pPr>
            <w:r w:rsidRPr="004836DA">
              <w:t>1</w:t>
            </w:r>
          </w:p>
        </w:tc>
      </w:tr>
      <w:tr w:rsidR="000D42F1" w:rsidRPr="004836DA" w14:paraId="3AF94D56" w14:textId="77777777" w:rsidTr="001B6ECB">
        <w:trPr>
          <w:trHeight w:val="340"/>
        </w:trPr>
        <w:tc>
          <w:tcPr>
            <w:tcW w:w="2887" w:type="dxa"/>
            <w:shd w:val="clear" w:color="auto" w:fill="auto"/>
            <w:noWrap/>
            <w:vAlign w:val="center"/>
            <w:hideMark/>
          </w:tcPr>
          <w:p w14:paraId="3FB36994" w14:textId="77777777" w:rsidR="000D42F1" w:rsidRPr="004836DA" w:rsidRDefault="000D42F1">
            <w:pPr>
              <w:pStyle w:val="Tables"/>
              <w:jc w:val="left"/>
            </w:pPr>
            <w:r w:rsidRPr="004836DA">
              <w:t>50 to 54</w:t>
            </w:r>
          </w:p>
        </w:tc>
        <w:tc>
          <w:tcPr>
            <w:tcW w:w="2094" w:type="dxa"/>
            <w:shd w:val="clear" w:color="auto" w:fill="auto"/>
            <w:noWrap/>
            <w:vAlign w:val="bottom"/>
            <w:hideMark/>
          </w:tcPr>
          <w:p w14:paraId="60E624BC" w14:textId="77777777" w:rsidR="000D42F1" w:rsidRPr="004836DA" w:rsidRDefault="000D42F1">
            <w:pPr>
              <w:pStyle w:val="Tables"/>
            </w:pPr>
            <w:r w:rsidRPr="004836DA">
              <w:t>15,075</w:t>
            </w:r>
          </w:p>
        </w:tc>
        <w:tc>
          <w:tcPr>
            <w:tcW w:w="2235" w:type="dxa"/>
            <w:shd w:val="clear" w:color="auto" w:fill="auto"/>
            <w:noWrap/>
            <w:vAlign w:val="bottom"/>
            <w:hideMark/>
          </w:tcPr>
          <w:p w14:paraId="781C358E" w14:textId="77777777" w:rsidR="000D42F1" w:rsidRPr="004836DA" w:rsidRDefault="000D42F1">
            <w:pPr>
              <w:pStyle w:val="Tables"/>
            </w:pPr>
            <w:r w:rsidRPr="004836DA">
              <w:t>5,239</w:t>
            </w:r>
          </w:p>
        </w:tc>
        <w:tc>
          <w:tcPr>
            <w:tcW w:w="1991" w:type="dxa"/>
            <w:shd w:val="clear" w:color="auto" w:fill="auto"/>
            <w:noWrap/>
            <w:vAlign w:val="bottom"/>
          </w:tcPr>
          <w:p w14:paraId="6D3F930D" w14:textId="77777777" w:rsidR="000D42F1" w:rsidRPr="004836DA" w:rsidRDefault="000D42F1">
            <w:pPr>
              <w:pStyle w:val="Tables"/>
              <w:ind w:right="48"/>
            </w:pPr>
            <w:r w:rsidRPr="004836DA">
              <w:t>0</w:t>
            </w:r>
          </w:p>
        </w:tc>
      </w:tr>
      <w:tr w:rsidR="000D42F1" w:rsidRPr="004836DA" w14:paraId="63D93080" w14:textId="77777777" w:rsidTr="001B6ECB">
        <w:trPr>
          <w:trHeight w:val="340"/>
        </w:trPr>
        <w:tc>
          <w:tcPr>
            <w:tcW w:w="2887" w:type="dxa"/>
            <w:shd w:val="clear" w:color="auto" w:fill="auto"/>
            <w:noWrap/>
            <w:vAlign w:val="center"/>
            <w:hideMark/>
          </w:tcPr>
          <w:p w14:paraId="0918C093" w14:textId="77777777" w:rsidR="000D42F1" w:rsidRPr="004836DA" w:rsidRDefault="000D42F1">
            <w:pPr>
              <w:pStyle w:val="Tables"/>
              <w:jc w:val="left"/>
            </w:pPr>
            <w:r w:rsidRPr="004836DA">
              <w:t>55 to 59</w:t>
            </w:r>
          </w:p>
        </w:tc>
        <w:tc>
          <w:tcPr>
            <w:tcW w:w="2094" w:type="dxa"/>
            <w:shd w:val="clear" w:color="auto" w:fill="auto"/>
            <w:noWrap/>
            <w:vAlign w:val="bottom"/>
            <w:hideMark/>
          </w:tcPr>
          <w:p w14:paraId="15A08333" w14:textId="77777777" w:rsidR="000D42F1" w:rsidRPr="004836DA" w:rsidRDefault="000D42F1">
            <w:pPr>
              <w:pStyle w:val="Tables"/>
            </w:pPr>
            <w:r w:rsidRPr="004836DA">
              <w:t>12,919</w:t>
            </w:r>
          </w:p>
        </w:tc>
        <w:tc>
          <w:tcPr>
            <w:tcW w:w="2235" w:type="dxa"/>
            <w:shd w:val="clear" w:color="auto" w:fill="auto"/>
            <w:noWrap/>
            <w:vAlign w:val="bottom"/>
            <w:hideMark/>
          </w:tcPr>
          <w:p w14:paraId="49D5ED0E" w14:textId="77777777" w:rsidR="000D42F1" w:rsidRPr="004836DA" w:rsidRDefault="000D42F1">
            <w:pPr>
              <w:pStyle w:val="Tables"/>
            </w:pPr>
            <w:r w:rsidRPr="004836DA">
              <w:t>4,864</w:t>
            </w:r>
          </w:p>
        </w:tc>
        <w:tc>
          <w:tcPr>
            <w:tcW w:w="1991" w:type="dxa"/>
            <w:shd w:val="clear" w:color="auto" w:fill="auto"/>
            <w:noWrap/>
            <w:vAlign w:val="bottom"/>
          </w:tcPr>
          <w:p w14:paraId="2EF40E66" w14:textId="77777777" w:rsidR="000D42F1" w:rsidRPr="004836DA" w:rsidRDefault="000D42F1">
            <w:pPr>
              <w:pStyle w:val="Tables"/>
              <w:ind w:right="48"/>
            </w:pPr>
            <w:r w:rsidRPr="004836DA">
              <w:t>1</w:t>
            </w:r>
          </w:p>
        </w:tc>
      </w:tr>
      <w:tr w:rsidR="000D42F1" w:rsidRPr="004836DA" w14:paraId="7726877C" w14:textId="77777777" w:rsidTr="001B6ECB">
        <w:trPr>
          <w:trHeight w:val="340"/>
        </w:trPr>
        <w:tc>
          <w:tcPr>
            <w:tcW w:w="2887" w:type="dxa"/>
            <w:shd w:val="clear" w:color="auto" w:fill="auto"/>
            <w:noWrap/>
            <w:vAlign w:val="center"/>
            <w:hideMark/>
          </w:tcPr>
          <w:p w14:paraId="1E26895A" w14:textId="77777777" w:rsidR="000D42F1" w:rsidRPr="004836DA" w:rsidRDefault="000D42F1">
            <w:pPr>
              <w:pStyle w:val="Tables"/>
              <w:jc w:val="left"/>
            </w:pPr>
            <w:r w:rsidRPr="004836DA">
              <w:t>60 to 64</w:t>
            </w:r>
          </w:p>
        </w:tc>
        <w:tc>
          <w:tcPr>
            <w:tcW w:w="2094" w:type="dxa"/>
            <w:shd w:val="clear" w:color="auto" w:fill="auto"/>
            <w:noWrap/>
            <w:vAlign w:val="bottom"/>
            <w:hideMark/>
          </w:tcPr>
          <w:p w14:paraId="476FF5EC" w14:textId="77777777" w:rsidR="000D42F1" w:rsidRPr="004836DA" w:rsidRDefault="000D42F1">
            <w:pPr>
              <w:pStyle w:val="Tables"/>
            </w:pPr>
            <w:r w:rsidRPr="004836DA">
              <w:t>10,118</w:t>
            </w:r>
          </w:p>
        </w:tc>
        <w:tc>
          <w:tcPr>
            <w:tcW w:w="2235" w:type="dxa"/>
            <w:shd w:val="clear" w:color="auto" w:fill="auto"/>
            <w:noWrap/>
            <w:vAlign w:val="bottom"/>
            <w:hideMark/>
          </w:tcPr>
          <w:p w14:paraId="2D3A295D" w14:textId="77777777" w:rsidR="000D42F1" w:rsidRPr="004836DA" w:rsidRDefault="000D42F1">
            <w:pPr>
              <w:pStyle w:val="Tables"/>
            </w:pPr>
            <w:r w:rsidRPr="004836DA">
              <w:t>4,419</w:t>
            </w:r>
          </w:p>
        </w:tc>
        <w:tc>
          <w:tcPr>
            <w:tcW w:w="1991" w:type="dxa"/>
            <w:shd w:val="clear" w:color="auto" w:fill="auto"/>
            <w:noWrap/>
            <w:vAlign w:val="bottom"/>
          </w:tcPr>
          <w:p w14:paraId="2B51AB54" w14:textId="77777777" w:rsidR="000D42F1" w:rsidRPr="004836DA" w:rsidRDefault="000D42F1">
            <w:pPr>
              <w:pStyle w:val="Tables"/>
              <w:ind w:right="48"/>
            </w:pPr>
            <w:r w:rsidRPr="004836DA">
              <w:t>1</w:t>
            </w:r>
          </w:p>
        </w:tc>
      </w:tr>
      <w:tr w:rsidR="000D42F1" w:rsidRPr="004836DA" w14:paraId="598A5F47" w14:textId="77777777" w:rsidTr="001B6ECB">
        <w:trPr>
          <w:trHeight w:val="340"/>
        </w:trPr>
        <w:tc>
          <w:tcPr>
            <w:tcW w:w="2887" w:type="dxa"/>
            <w:shd w:val="clear" w:color="auto" w:fill="auto"/>
            <w:noWrap/>
            <w:vAlign w:val="center"/>
            <w:hideMark/>
          </w:tcPr>
          <w:p w14:paraId="1C289550" w14:textId="77777777" w:rsidR="000D42F1" w:rsidRPr="004836DA" w:rsidRDefault="000D42F1">
            <w:pPr>
              <w:pStyle w:val="Tables"/>
              <w:jc w:val="left"/>
            </w:pPr>
            <w:r w:rsidRPr="004836DA">
              <w:t>65 to 69</w:t>
            </w:r>
          </w:p>
        </w:tc>
        <w:tc>
          <w:tcPr>
            <w:tcW w:w="2094" w:type="dxa"/>
            <w:shd w:val="clear" w:color="auto" w:fill="auto"/>
            <w:noWrap/>
            <w:vAlign w:val="bottom"/>
            <w:hideMark/>
          </w:tcPr>
          <w:p w14:paraId="5BF4DBE1" w14:textId="77777777" w:rsidR="000D42F1" w:rsidRPr="004836DA" w:rsidRDefault="000D42F1">
            <w:pPr>
              <w:pStyle w:val="Tables"/>
            </w:pPr>
            <w:r w:rsidRPr="004836DA">
              <w:t>4,524</w:t>
            </w:r>
          </w:p>
        </w:tc>
        <w:tc>
          <w:tcPr>
            <w:tcW w:w="2235" w:type="dxa"/>
            <w:shd w:val="clear" w:color="auto" w:fill="auto"/>
            <w:noWrap/>
            <w:vAlign w:val="bottom"/>
            <w:hideMark/>
          </w:tcPr>
          <w:p w14:paraId="5BA41AF5" w14:textId="77777777" w:rsidR="000D42F1" w:rsidRPr="004836DA" w:rsidRDefault="000D42F1">
            <w:pPr>
              <w:pStyle w:val="Tables"/>
            </w:pPr>
            <w:r w:rsidRPr="004836DA">
              <w:t>2,376</w:t>
            </w:r>
          </w:p>
        </w:tc>
        <w:tc>
          <w:tcPr>
            <w:tcW w:w="1991" w:type="dxa"/>
            <w:shd w:val="clear" w:color="auto" w:fill="auto"/>
            <w:noWrap/>
            <w:vAlign w:val="bottom"/>
          </w:tcPr>
          <w:p w14:paraId="41AB0923" w14:textId="77777777" w:rsidR="000D42F1" w:rsidRPr="004836DA" w:rsidRDefault="000D42F1">
            <w:pPr>
              <w:pStyle w:val="Tables"/>
              <w:ind w:right="48"/>
            </w:pPr>
            <w:r w:rsidRPr="004836DA">
              <w:t>1</w:t>
            </w:r>
          </w:p>
        </w:tc>
      </w:tr>
      <w:tr w:rsidR="000D42F1" w:rsidRPr="004836DA" w14:paraId="04DCDC51" w14:textId="77777777" w:rsidTr="001B6ECB">
        <w:trPr>
          <w:trHeight w:val="340"/>
        </w:trPr>
        <w:tc>
          <w:tcPr>
            <w:tcW w:w="2887" w:type="dxa"/>
            <w:shd w:val="clear" w:color="auto" w:fill="auto"/>
            <w:noWrap/>
            <w:vAlign w:val="center"/>
          </w:tcPr>
          <w:p w14:paraId="2C75FF49" w14:textId="77777777" w:rsidR="000D42F1" w:rsidRPr="004836DA" w:rsidRDefault="000D42F1">
            <w:pPr>
              <w:pStyle w:val="Tables"/>
              <w:jc w:val="left"/>
            </w:pPr>
            <w:r w:rsidRPr="004836DA">
              <w:t>70 and above</w:t>
            </w:r>
          </w:p>
        </w:tc>
        <w:tc>
          <w:tcPr>
            <w:tcW w:w="2094" w:type="dxa"/>
            <w:shd w:val="clear" w:color="auto" w:fill="auto"/>
            <w:noWrap/>
            <w:vAlign w:val="bottom"/>
          </w:tcPr>
          <w:p w14:paraId="45CF5ADA" w14:textId="77777777" w:rsidR="000D42F1" w:rsidRPr="004836DA" w:rsidRDefault="000D42F1">
            <w:pPr>
              <w:pStyle w:val="Tables"/>
            </w:pPr>
            <w:r w:rsidRPr="004836DA">
              <w:t>1,452</w:t>
            </w:r>
          </w:p>
        </w:tc>
        <w:tc>
          <w:tcPr>
            <w:tcW w:w="2235" w:type="dxa"/>
            <w:shd w:val="clear" w:color="auto" w:fill="auto"/>
            <w:noWrap/>
            <w:vAlign w:val="bottom"/>
          </w:tcPr>
          <w:p w14:paraId="3EDD340A" w14:textId="77777777" w:rsidR="000D42F1" w:rsidRPr="004836DA" w:rsidRDefault="000D42F1">
            <w:pPr>
              <w:pStyle w:val="Tables"/>
            </w:pPr>
            <w:r w:rsidRPr="004836DA">
              <w:t>1,103</w:t>
            </w:r>
          </w:p>
        </w:tc>
        <w:tc>
          <w:tcPr>
            <w:tcW w:w="1991" w:type="dxa"/>
            <w:shd w:val="clear" w:color="auto" w:fill="auto"/>
            <w:noWrap/>
            <w:vAlign w:val="bottom"/>
          </w:tcPr>
          <w:p w14:paraId="47222B1D" w14:textId="77777777" w:rsidR="000D42F1" w:rsidRPr="004836DA" w:rsidRDefault="000D42F1">
            <w:pPr>
              <w:pStyle w:val="Tables"/>
              <w:ind w:right="48"/>
            </w:pPr>
            <w:r w:rsidRPr="004836DA">
              <w:t>0</w:t>
            </w:r>
          </w:p>
        </w:tc>
      </w:tr>
      <w:tr w:rsidR="000D42F1" w:rsidRPr="004836DA" w14:paraId="011E7339" w14:textId="77777777" w:rsidTr="001B6ECB">
        <w:trPr>
          <w:trHeight w:val="340"/>
        </w:trPr>
        <w:tc>
          <w:tcPr>
            <w:tcW w:w="2887" w:type="dxa"/>
            <w:shd w:val="clear" w:color="auto" w:fill="auto"/>
            <w:noWrap/>
            <w:vAlign w:val="center"/>
          </w:tcPr>
          <w:p w14:paraId="27FCCEAB" w14:textId="77777777" w:rsidR="000D42F1" w:rsidRPr="004836DA" w:rsidRDefault="000D42F1">
            <w:pPr>
              <w:pStyle w:val="Tables"/>
              <w:jc w:val="left"/>
              <w:rPr>
                <w:b/>
              </w:rPr>
            </w:pPr>
            <w:r w:rsidRPr="004836DA">
              <w:rPr>
                <w:b/>
                <w:bCs/>
              </w:rPr>
              <w:t>Total</w:t>
            </w:r>
          </w:p>
        </w:tc>
        <w:tc>
          <w:tcPr>
            <w:tcW w:w="2094" w:type="dxa"/>
            <w:shd w:val="clear" w:color="auto" w:fill="auto"/>
            <w:noWrap/>
            <w:vAlign w:val="bottom"/>
          </w:tcPr>
          <w:p w14:paraId="2891354A" w14:textId="77777777" w:rsidR="000D42F1" w:rsidRPr="004836DA" w:rsidRDefault="000D42F1">
            <w:pPr>
              <w:pStyle w:val="Tables"/>
              <w:rPr>
                <w:b/>
                <w:bCs/>
                <w:highlight w:val="yellow"/>
              </w:rPr>
            </w:pPr>
            <w:r w:rsidRPr="004836DA">
              <w:rPr>
                <w:b/>
                <w:bCs/>
              </w:rPr>
              <w:t>119,206</w:t>
            </w:r>
          </w:p>
        </w:tc>
        <w:tc>
          <w:tcPr>
            <w:tcW w:w="2235" w:type="dxa"/>
            <w:shd w:val="clear" w:color="auto" w:fill="auto"/>
            <w:noWrap/>
            <w:vAlign w:val="bottom"/>
          </w:tcPr>
          <w:p w14:paraId="65B61014" w14:textId="77777777" w:rsidR="000D42F1" w:rsidRPr="004836DA" w:rsidRDefault="000D42F1">
            <w:pPr>
              <w:pStyle w:val="Tables"/>
              <w:rPr>
                <w:b/>
                <w:bCs/>
                <w:highlight w:val="yellow"/>
              </w:rPr>
            </w:pPr>
            <w:r w:rsidRPr="004836DA">
              <w:rPr>
                <w:b/>
                <w:bCs/>
              </w:rPr>
              <w:t>43,592</w:t>
            </w:r>
          </w:p>
        </w:tc>
        <w:tc>
          <w:tcPr>
            <w:tcW w:w="1991" w:type="dxa"/>
            <w:shd w:val="clear" w:color="auto" w:fill="auto"/>
            <w:noWrap/>
            <w:vAlign w:val="bottom"/>
          </w:tcPr>
          <w:p w14:paraId="1493B1F3" w14:textId="77777777" w:rsidR="000D42F1" w:rsidRPr="004836DA" w:rsidRDefault="000D42F1">
            <w:pPr>
              <w:pStyle w:val="Tables"/>
              <w:ind w:right="48"/>
              <w:rPr>
                <w:b/>
                <w:bCs/>
                <w:highlight w:val="yellow"/>
              </w:rPr>
            </w:pPr>
            <w:r w:rsidRPr="004836DA">
              <w:rPr>
                <w:b/>
                <w:bCs/>
              </w:rPr>
              <w:t>20</w:t>
            </w:r>
          </w:p>
        </w:tc>
      </w:tr>
    </w:tbl>
    <w:p w14:paraId="5DA9D0B9" w14:textId="77777777" w:rsidR="00357C2F" w:rsidRDefault="00357C2F" w:rsidP="00357C2F">
      <w:pPr>
        <w:pStyle w:val="Tables"/>
        <w:jc w:val="left"/>
        <w:rPr>
          <w:sz w:val="16"/>
        </w:rPr>
      </w:pPr>
      <w:r w:rsidRPr="00DA6E91">
        <w:rPr>
          <w:sz w:val="16"/>
        </w:rPr>
        <w:t xml:space="preserve">*Excludes some </w:t>
      </w:r>
      <w:r>
        <w:rPr>
          <w:sz w:val="16"/>
        </w:rPr>
        <w:t>employees</w:t>
      </w:r>
      <w:r w:rsidRPr="00DA6E91">
        <w:rPr>
          <w:sz w:val="16"/>
        </w:rPr>
        <w:t xml:space="preserve"> for whom no date of birth/age was provided</w:t>
      </w:r>
      <w:r>
        <w:rPr>
          <w:sz w:val="16"/>
        </w:rPr>
        <w:t>.</w:t>
      </w:r>
    </w:p>
    <w:p w14:paraId="0837112D" w14:textId="77777777" w:rsidR="000D42F1" w:rsidRDefault="000D42F1" w:rsidP="000D42F1">
      <w:pPr>
        <w:pStyle w:val="Tables"/>
        <w:jc w:val="left"/>
        <w:rPr>
          <w:sz w:val="16"/>
        </w:rPr>
      </w:pPr>
    </w:p>
    <w:p w14:paraId="439A990E" w14:textId="60802586" w:rsidR="000D42F1" w:rsidRPr="009532D5" w:rsidRDefault="000D42F1" w:rsidP="000D42F1">
      <w:pPr>
        <w:pStyle w:val="Caption"/>
        <w:rPr>
          <w:sz w:val="14"/>
          <w:szCs w:val="18"/>
        </w:rPr>
      </w:pPr>
      <w:bookmarkStart w:id="42" w:name="_Ref148711886"/>
      <w:r w:rsidRPr="007541E1">
        <w:rPr>
          <w:b/>
          <w:bCs/>
        </w:rPr>
        <w:t xml:space="preserve">Table </w:t>
      </w:r>
      <w:r w:rsidRPr="007541E1">
        <w:rPr>
          <w:b/>
          <w:bCs/>
        </w:rPr>
        <w:fldChar w:fldCharType="begin"/>
      </w:r>
      <w:r w:rsidRPr="007541E1">
        <w:rPr>
          <w:b/>
          <w:bCs/>
        </w:rPr>
        <w:instrText xml:space="preserve"> SEQ Table \* ARABIC </w:instrText>
      </w:r>
      <w:r w:rsidRPr="007541E1">
        <w:rPr>
          <w:b/>
          <w:bCs/>
        </w:rPr>
        <w:fldChar w:fldCharType="separate"/>
      </w:r>
      <w:r w:rsidR="0048418F">
        <w:rPr>
          <w:b/>
          <w:bCs/>
          <w:noProof/>
        </w:rPr>
        <w:t>10</w:t>
      </w:r>
      <w:r w:rsidRPr="007541E1">
        <w:rPr>
          <w:b/>
          <w:bCs/>
        </w:rPr>
        <w:fldChar w:fldCharType="end"/>
      </w:r>
      <w:bookmarkEnd w:id="42"/>
      <w:r w:rsidRPr="00727374">
        <w:rPr>
          <w:b/>
          <w:bCs/>
        </w:rPr>
        <w:t xml:space="preserve">: Headcount by age group </w:t>
      </w:r>
      <w:r>
        <w:rPr>
          <w:b/>
          <w:bCs/>
        </w:rPr>
        <w:t xml:space="preserve">of </w:t>
      </w:r>
      <w:r w:rsidR="00DA31EF">
        <w:rPr>
          <w:b/>
          <w:bCs/>
        </w:rPr>
        <w:t xml:space="preserve">WA </w:t>
      </w:r>
      <w:r w:rsidRPr="00727374">
        <w:rPr>
          <w:b/>
          <w:bCs/>
        </w:rPr>
        <w:t xml:space="preserve">other government entities </w:t>
      </w:r>
      <w:r w:rsidR="0076589C">
        <w:rPr>
          <w:b/>
          <w:bCs/>
        </w:rPr>
        <w:t xml:space="preserve">March </w:t>
      </w:r>
      <w:r w:rsidR="00C96C0D">
        <w:rPr>
          <w:b/>
          <w:bCs/>
        </w:rPr>
        <w:t>20</w:t>
      </w:r>
      <w:r>
        <w:rPr>
          <w:b/>
          <w:bCs/>
        </w:rPr>
        <w:t>23</w:t>
      </w:r>
    </w:p>
    <w:tbl>
      <w:tblPr>
        <w:tblW w:w="4905" w:type="pct"/>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10: Headcount by age group of WA other government entities March 2023"/>
      </w:tblPr>
      <w:tblGrid>
        <w:gridCol w:w="2606"/>
        <w:gridCol w:w="1883"/>
        <w:gridCol w:w="2015"/>
        <w:gridCol w:w="2484"/>
      </w:tblGrid>
      <w:tr w:rsidR="000D42F1" w:rsidRPr="004836DA" w14:paraId="7AE31DCA" w14:textId="77777777" w:rsidTr="007A4B3B">
        <w:trPr>
          <w:trHeight w:val="19"/>
        </w:trPr>
        <w:tc>
          <w:tcPr>
            <w:tcW w:w="1462" w:type="pct"/>
            <w:vAlign w:val="center"/>
          </w:tcPr>
          <w:p w14:paraId="1CEE8BC9" w14:textId="548DE85D" w:rsidR="000D42F1" w:rsidRPr="004836DA" w:rsidRDefault="000D42F1">
            <w:pPr>
              <w:pStyle w:val="Tables"/>
              <w:jc w:val="left"/>
              <w:rPr>
                <w:b/>
                <w:color w:val="2E74B5" w:themeColor="accent1" w:themeShade="BF"/>
              </w:rPr>
            </w:pPr>
            <w:bookmarkStart w:id="43" w:name="_Ref84253289"/>
            <w:r w:rsidRPr="004836DA">
              <w:rPr>
                <w:b/>
                <w:color w:val="2E74B5" w:themeColor="accent1" w:themeShade="BF"/>
              </w:rPr>
              <w:t>Age in years</w:t>
            </w:r>
            <w:r w:rsidR="00945A37">
              <w:rPr>
                <w:b/>
                <w:color w:val="2E74B5" w:themeColor="accent1" w:themeShade="BF"/>
              </w:rPr>
              <w:t>*</w:t>
            </w:r>
            <w:r w:rsidRPr="004836DA">
              <w:rPr>
                <w:b/>
                <w:color w:val="2E74B5" w:themeColor="accent1" w:themeShade="BF"/>
              </w:rPr>
              <w:t> </w:t>
            </w:r>
          </w:p>
        </w:tc>
        <w:tc>
          <w:tcPr>
            <w:tcW w:w="1060" w:type="pct"/>
            <w:shd w:val="clear" w:color="auto" w:fill="auto"/>
            <w:noWrap/>
            <w:hideMark/>
          </w:tcPr>
          <w:p w14:paraId="06756A27" w14:textId="77777777" w:rsidR="000D42F1" w:rsidRPr="004836DA" w:rsidRDefault="000D42F1" w:rsidP="007A4B3B">
            <w:pPr>
              <w:pStyle w:val="Tables"/>
              <w:rPr>
                <w:b/>
                <w:color w:val="2E74B5" w:themeColor="accent1" w:themeShade="BF"/>
              </w:rPr>
            </w:pPr>
            <w:r w:rsidRPr="004836DA">
              <w:rPr>
                <w:b/>
                <w:color w:val="2E74B5" w:themeColor="accent1" w:themeShade="BF"/>
              </w:rPr>
              <w:t>Female</w:t>
            </w:r>
          </w:p>
        </w:tc>
        <w:tc>
          <w:tcPr>
            <w:tcW w:w="1133" w:type="pct"/>
            <w:shd w:val="clear" w:color="auto" w:fill="auto"/>
            <w:noWrap/>
            <w:hideMark/>
          </w:tcPr>
          <w:p w14:paraId="6175FC42" w14:textId="77777777" w:rsidR="000D42F1" w:rsidRPr="004836DA" w:rsidRDefault="000D42F1" w:rsidP="007A4B3B">
            <w:pPr>
              <w:pStyle w:val="Tables"/>
              <w:rPr>
                <w:b/>
                <w:color w:val="2E74B5" w:themeColor="accent1" w:themeShade="BF"/>
              </w:rPr>
            </w:pPr>
            <w:r w:rsidRPr="004836DA">
              <w:rPr>
                <w:b/>
                <w:color w:val="2E74B5" w:themeColor="accent1" w:themeShade="BF"/>
              </w:rPr>
              <w:t>Male</w:t>
            </w:r>
          </w:p>
        </w:tc>
        <w:tc>
          <w:tcPr>
            <w:tcW w:w="1346" w:type="pct"/>
            <w:noWrap/>
            <w:hideMark/>
          </w:tcPr>
          <w:p w14:paraId="065B629F" w14:textId="77777777" w:rsidR="000D42F1" w:rsidRPr="004836DA" w:rsidRDefault="000D42F1" w:rsidP="007A4B3B">
            <w:pPr>
              <w:pStyle w:val="Tables"/>
              <w:rPr>
                <w:b/>
                <w:color w:val="2E74B5" w:themeColor="accent1" w:themeShade="BF"/>
              </w:rPr>
            </w:pPr>
            <w:r w:rsidRPr="004836DA">
              <w:rPr>
                <w:b/>
                <w:color w:val="2E74B5" w:themeColor="accent1" w:themeShade="BF"/>
              </w:rPr>
              <w:t>Neither male nor female</w:t>
            </w:r>
          </w:p>
        </w:tc>
      </w:tr>
      <w:tr w:rsidR="000D42F1" w:rsidRPr="004836DA" w14:paraId="6E66EAAB" w14:textId="77777777" w:rsidTr="001B6ECB">
        <w:trPr>
          <w:trHeight w:val="340"/>
        </w:trPr>
        <w:tc>
          <w:tcPr>
            <w:tcW w:w="1462" w:type="pct"/>
            <w:vAlign w:val="center"/>
          </w:tcPr>
          <w:p w14:paraId="75FAB8C7" w14:textId="77777777" w:rsidR="000D42F1" w:rsidRPr="004836DA" w:rsidRDefault="000D42F1">
            <w:pPr>
              <w:pStyle w:val="Tables"/>
              <w:jc w:val="left"/>
            </w:pPr>
            <w:r w:rsidRPr="004836DA">
              <w:t>19 and under</w:t>
            </w:r>
          </w:p>
        </w:tc>
        <w:tc>
          <w:tcPr>
            <w:tcW w:w="1060" w:type="pct"/>
            <w:shd w:val="clear" w:color="auto" w:fill="auto"/>
            <w:noWrap/>
            <w:vAlign w:val="bottom"/>
            <w:hideMark/>
          </w:tcPr>
          <w:p w14:paraId="2E8FA7CD" w14:textId="77777777" w:rsidR="000D42F1" w:rsidRPr="004836DA" w:rsidRDefault="000D42F1">
            <w:pPr>
              <w:pStyle w:val="Tables"/>
            </w:pPr>
            <w:r w:rsidRPr="004836DA">
              <w:t>1,125</w:t>
            </w:r>
          </w:p>
        </w:tc>
        <w:tc>
          <w:tcPr>
            <w:tcW w:w="1133" w:type="pct"/>
            <w:shd w:val="clear" w:color="auto" w:fill="auto"/>
            <w:noWrap/>
            <w:vAlign w:val="bottom"/>
            <w:hideMark/>
          </w:tcPr>
          <w:p w14:paraId="5825208A" w14:textId="77777777" w:rsidR="000D42F1" w:rsidRPr="004836DA" w:rsidRDefault="000D42F1">
            <w:pPr>
              <w:pStyle w:val="Tables"/>
            </w:pPr>
            <w:r w:rsidRPr="004836DA">
              <w:t>880</w:t>
            </w:r>
          </w:p>
        </w:tc>
        <w:tc>
          <w:tcPr>
            <w:tcW w:w="1346" w:type="pct"/>
            <w:noWrap/>
            <w:vAlign w:val="bottom"/>
            <w:hideMark/>
          </w:tcPr>
          <w:p w14:paraId="235E2966" w14:textId="77777777" w:rsidR="000D42F1" w:rsidRPr="004836DA" w:rsidRDefault="000D42F1">
            <w:pPr>
              <w:pStyle w:val="Tables"/>
            </w:pPr>
            <w:r w:rsidRPr="004836DA">
              <w:t>4</w:t>
            </w:r>
          </w:p>
        </w:tc>
      </w:tr>
      <w:tr w:rsidR="000D42F1" w:rsidRPr="004836DA" w14:paraId="61AFCC42" w14:textId="77777777" w:rsidTr="001B6ECB">
        <w:trPr>
          <w:trHeight w:val="340"/>
        </w:trPr>
        <w:tc>
          <w:tcPr>
            <w:tcW w:w="1462" w:type="pct"/>
            <w:vAlign w:val="center"/>
          </w:tcPr>
          <w:p w14:paraId="7D45A04C" w14:textId="77777777" w:rsidR="000D42F1" w:rsidRPr="004836DA" w:rsidRDefault="000D42F1">
            <w:pPr>
              <w:pStyle w:val="Tables"/>
              <w:jc w:val="left"/>
            </w:pPr>
            <w:r w:rsidRPr="004836DA">
              <w:t>20 to 24</w:t>
            </w:r>
          </w:p>
        </w:tc>
        <w:tc>
          <w:tcPr>
            <w:tcW w:w="1060" w:type="pct"/>
            <w:shd w:val="clear" w:color="auto" w:fill="auto"/>
            <w:noWrap/>
            <w:vAlign w:val="bottom"/>
            <w:hideMark/>
          </w:tcPr>
          <w:p w14:paraId="73237F50" w14:textId="77777777" w:rsidR="000D42F1" w:rsidRPr="004836DA" w:rsidRDefault="000D42F1">
            <w:pPr>
              <w:pStyle w:val="Tables"/>
            </w:pPr>
            <w:r w:rsidRPr="004836DA">
              <w:t>2,806</w:t>
            </w:r>
          </w:p>
        </w:tc>
        <w:tc>
          <w:tcPr>
            <w:tcW w:w="1133" w:type="pct"/>
            <w:shd w:val="clear" w:color="auto" w:fill="auto"/>
            <w:noWrap/>
            <w:vAlign w:val="bottom"/>
            <w:hideMark/>
          </w:tcPr>
          <w:p w14:paraId="33D81C12" w14:textId="77777777" w:rsidR="000D42F1" w:rsidRPr="004836DA" w:rsidRDefault="000D42F1">
            <w:pPr>
              <w:pStyle w:val="Tables"/>
            </w:pPr>
            <w:r w:rsidRPr="004836DA">
              <w:t>2,290</w:t>
            </w:r>
          </w:p>
        </w:tc>
        <w:tc>
          <w:tcPr>
            <w:tcW w:w="1346" w:type="pct"/>
            <w:noWrap/>
            <w:vAlign w:val="bottom"/>
            <w:hideMark/>
          </w:tcPr>
          <w:p w14:paraId="04B9A9B2" w14:textId="77777777" w:rsidR="000D42F1" w:rsidRPr="004836DA" w:rsidRDefault="000D42F1">
            <w:pPr>
              <w:pStyle w:val="Tables"/>
            </w:pPr>
            <w:r w:rsidRPr="004836DA">
              <w:t>23</w:t>
            </w:r>
          </w:p>
        </w:tc>
      </w:tr>
      <w:tr w:rsidR="000D42F1" w:rsidRPr="004836DA" w14:paraId="6246BB98" w14:textId="77777777" w:rsidTr="001B6ECB">
        <w:trPr>
          <w:trHeight w:val="340"/>
        </w:trPr>
        <w:tc>
          <w:tcPr>
            <w:tcW w:w="1462" w:type="pct"/>
            <w:vAlign w:val="center"/>
          </w:tcPr>
          <w:p w14:paraId="303BDB77" w14:textId="77777777" w:rsidR="000D42F1" w:rsidRPr="004836DA" w:rsidRDefault="000D42F1">
            <w:pPr>
              <w:pStyle w:val="Tables"/>
              <w:jc w:val="left"/>
            </w:pPr>
            <w:r w:rsidRPr="004836DA">
              <w:t>25 to 29</w:t>
            </w:r>
          </w:p>
        </w:tc>
        <w:tc>
          <w:tcPr>
            <w:tcW w:w="1060" w:type="pct"/>
            <w:shd w:val="clear" w:color="auto" w:fill="auto"/>
            <w:noWrap/>
            <w:vAlign w:val="bottom"/>
            <w:hideMark/>
          </w:tcPr>
          <w:p w14:paraId="035F35C2" w14:textId="77777777" w:rsidR="000D42F1" w:rsidRPr="004836DA" w:rsidRDefault="000D42F1">
            <w:pPr>
              <w:pStyle w:val="Tables"/>
            </w:pPr>
            <w:r w:rsidRPr="004836DA">
              <w:t>3,225</w:t>
            </w:r>
          </w:p>
        </w:tc>
        <w:tc>
          <w:tcPr>
            <w:tcW w:w="1133" w:type="pct"/>
            <w:shd w:val="clear" w:color="auto" w:fill="auto"/>
            <w:noWrap/>
            <w:vAlign w:val="bottom"/>
            <w:hideMark/>
          </w:tcPr>
          <w:p w14:paraId="769DF890" w14:textId="77777777" w:rsidR="000D42F1" w:rsidRPr="004836DA" w:rsidRDefault="000D42F1">
            <w:pPr>
              <w:pStyle w:val="Tables"/>
            </w:pPr>
            <w:r w:rsidRPr="004836DA">
              <w:t>2,936</w:t>
            </w:r>
          </w:p>
        </w:tc>
        <w:tc>
          <w:tcPr>
            <w:tcW w:w="1346" w:type="pct"/>
            <w:noWrap/>
            <w:vAlign w:val="bottom"/>
            <w:hideMark/>
          </w:tcPr>
          <w:p w14:paraId="2555A925" w14:textId="77777777" w:rsidR="000D42F1" w:rsidRPr="004836DA" w:rsidRDefault="000D42F1">
            <w:pPr>
              <w:pStyle w:val="Tables"/>
            </w:pPr>
            <w:r w:rsidRPr="004836DA">
              <w:t>17</w:t>
            </w:r>
          </w:p>
        </w:tc>
      </w:tr>
      <w:tr w:rsidR="000D42F1" w:rsidRPr="004836DA" w14:paraId="2C16E000" w14:textId="77777777" w:rsidTr="001B6ECB">
        <w:trPr>
          <w:trHeight w:val="340"/>
        </w:trPr>
        <w:tc>
          <w:tcPr>
            <w:tcW w:w="1462" w:type="pct"/>
            <w:vAlign w:val="center"/>
          </w:tcPr>
          <w:p w14:paraId="4E97972D" w14:textId="77777777" w:rsidR="000D42F1" w:rsidRPr="004836DA" w:rsidRDefault="000D42F1">
            <w:pPr>
              <w:pStyle w:val="Tables"/>
              <w:jc w:val="left"/>
            </w:pPr>
            <w:r w:rsidRPr="004836DA">
              <w:t>30 to 34</w:t>
            </w:r>
          </w:p>
        </w:tc>
        <w:tc>
          <w:tcPr>
            <w:tcW w:w="1060" w:type="pct"/>
            <w:shd w:val="clear" w:color="auto" w:fill="auto"/>
            <w:noWrap/>
            <w:vAlign w:val="bottom"/>
            <w:hideMark/>
          </w:tcPr>
          <w:p w14:paraId="288F74D6" w14:textId="77777777" w:rsidR="000D42F1" w:rsidRPr="004836DA" w:rsidRDefault="000D42F1">
            <w:pPr>
              <w:pStyle w:val="Tables"/>
            </w:pPr>
            <w:r w:rsidRPr="004836DA">
              <w:t>4,009</w:t>
            </w:r>
          </w:p>
        </w:tc>
        <w:tc>
          <w:tcPr>
            <w:tcW w:w="1133" w:type="pct"/>
            <w:shd w:val="clear" w:color="auto" w:fill="auto"/>
            <w:noWrap/>
            <w:vAlign w:val="bottom"/>
            <w:hideMark/>
          </w:tcPr>
          <w:p w14:paraId="22820744" w14:textId="77777777" w:rsidR="000D42F1" w:rsidRPr="004836DA" w:rsidRDefault="000D42F1">
            <w:pPr>
              <w:pStyle w:val="Tables"/>
            </w:pPr>
            <w:r w:rsidRPr="004836DA">
              <w:t>3,542</w:t>
            </w:r>
          </w:p>
        </w:tc>
        <w:tc>
          <w:tcPr>
            <w:tcW w:w="1346" w:type="pct"/>
            <w:noWrap/>
            <w:vAlign w:val="bottom"/>
            <w:hideMark/>
          </w:tcPr>
          <w:p w14:paraId="715D8727" w14:textId="77777777" w:rsidR="000D42F1" w:rsidRPr="004836DA" w:rsidRDefault="000D42F1">
            <w:pPr>
              <w:pStyle w:val="Tables"/>
            </w:pPr>
            <w:r w:rsidRPr="004836DA">
              <w:t>20</w:t>
            </w:r>
          </w:p>
        </w:tc>
      </w:tr>
      <w:tr w:rsidR="000D42F1" w:rsidRPr="004836DA" w14:paraId="7A6303C5" w14:textId="77777777" w:rsidTr="001B6ECB">
        <w:trPr>
          <w:trHeight w:val="340"/>
        </w:trPr>
        <w:tc>
          <w:tcPr>
            <w:tcW w:w="1462" w:type="pct"/>
            <w:vAlign w:val="center"/>
          </w:tcPr>
          <w:p w14:paraId="049C2B28" w14:textId="77777777" w:rsidR="000D42F1" w:rsidRPr="004836DA" w:rsidRDefault="000D42F1">
            <w:pPr>
              <w:pStyle w:val="Tables"/>
              <w:jc w:val="left"/>
            </w:pPr>
            <w:r w:rsidRPr="004836DA">
              <w:t>35 to 39</w:t>
            </w:r>
          </w:p>
        </w:tc>
        <w:tc>
          <w:tcPr>
            <w:tcW w:w="1060" w:type="pct"/>
            <w:shd w:val="clear" w:color="auto" w:fill="auto"/>
            <w:noWrap/>
            <w:vAlign w:val="bottom"/>
            <w:hideMark/>
          </w:tcPr>
          <w:p w14:paraId="7630581F" w14:textId="77777777" w:rsidR="000D42F1" w:rsidRPr="004836DA" w:rsidRDefault="000D42F1">
            <w:pPr>
              <w:pStyle w:val="Tables"/>
            </w:pPr>
            <w:r w:rsidRPr="004836DA">
              <w:t>4,513</w:t>
            </w:r>
          </w:p>
        </w:tc>
        <w:tc>
          <w:tcPr>
            <w:tcW w:w="1133" w:type="pct"/>
            <w:shd w:val="clear" w:color="auto" w:fill="auto"/>
            <w:noWrap/>
            <w:vAlign w:val="bottom"/>
            <w:hideMark/>
          </w:tcPr>
          <w:p w14:paraId="37B19F1D" w14:textId="77777777" w:rsidR="000D42F1" w:rsidRPr="004836DA" w:rsidRDefault="000D42F1">
            <w:pPr>
              <w:pStyle w:val="Tables"/>
            </w:pPr>
            <w:r w:rsidRPr="004836DA">
              <w:t>3,836</w:t>
            </w:r>
          </w:p>
        </w:tc>
        <w:tc>
          <w:tcPr>
            <w:tcW w:w="1346" w:type="pct"/>
            <w:noWrap/>
            <w:vAlign w:val="bottom"/>
            <w:hideMark/>
          </w:tcPr>
          <w:p w14:paraId="3431ED22" w14:textId="77777777" w:rsidR="000D42F1" w:rsidRPr="004836DA" w:rsidRDefault="000D42F1">
            <w:pPr>
              <w:pStyle w:val="Tables"/>
            </w:pPr>
            <w:r w:rsidRPr="004836DA">
              <w:t>17</w:t>
            </w:r>
          </w:p>
        </w:tc>
      </w:tr>
      <w:tr w:rsidR="000D42F1" w:rsidRPr="004836DA" w14:paraId="7753BDD4" w14:textId="77777777" w:rsidTr="001B6ECB">
        <w:trPr>
          <w:trHeight w:val="340"/>
        </w:trPr>
        <w:tc>
          <w:tcPr>
            <w:tcW w:w="1462" w:type="pct"/>
            <w:vAlign w:val="center"/>
          </w:tcPr>
          <w:p w14:paraId="43949547" w14:textId="77777777" w:rsidR="000D42F1" w:rsidRPr="004836DA" w:rsidRDefault="000D42F1">
            <w:pPr>
              <w:pStyle w:val="Tables"/>
              <w:jc w:val="left"/>
            </w:pPr>
            <w:r w:rsidRPr="004836DA">
              <w:t>40 to 44</w:t>
            </w:r>
          </w:p>
        </w:tc>
        <w:tc>
          <w:tcPr>
            <w:tcW w:w="1060" w:type="pct"/>
            <w:shd w:val="clear" w:color="auto" w:fill="auto"/>
            <w:noWrap/>
            <w:vAlign w:val="bottom"/>
            <w:hideMark/>
          </w:tcPr>
          <w:p w14:paraId="362F903F" w14:textId="77777777" w:rsidR="000D42F1" w:rsidRPr="004836DA" w:rsidRDefault="000D42F1">
            <w:pPr>
              <w:pStyle w:val="Tables"/>
            </w:pPr>
            <w:r w:rsidRPr="004836DA">
              <w:t>4,256</w:t>
            </w:r>
          </w:p>
        </w:tc>
        <w:tc>
          <w:tcPr>
            <w:tcW w:w="1133" w:type="pct"/>
            <w:shd w:val="clear" w:color="auto" w:fill="auto"/>
            <w:noWrap/>
            <w:vAlign w:val="bottom"/>
            <w:hideMark/>
          </w:tcPr>
          <w:p w14:paraId="59BD975A" w14:textId="77777777" w:rsidR="000D42F1" w:rsidRPr="004836DA" w:rsidRDefault="000D42F1">
            <w:pPr>
              <w:pStyle w:val="Tables"/>
            </w:pPr>
            <w:r w:rsidRPr="004836DA">
              <w:t>3,788</w:t>
            </w:r>
          </w:p>
        </w:tc>
        <w:tc>
          <w:tcPr>
            <w:tcW w:w="1346" w:type="pct"/>
            <w:noWrap/>
            <w:vAlign w:val="bottom"/>
            <w:hideMark/>
          </w:tcPr>
          <w:p w14:paraId="59644910" w14:textId="77777777" w:rsidR="000D42F1" w:rsidRPr="004836DA" w:rsidRDefault="000D42F1">
            <w:pPr>
              <w:pStyle w:val="Tables"/>
            </w:pPr>
            <w:r w:rsidRPr="004836DA">
              <w:t>7</w:t>
            </w:r>
          </w:p>
        </w:tc>
      </w:tr>
      <w:tr w:rsidR="000D42F1" w:rsidRPr="004836DA" w14:paraId="31C82F54" w14:textId="77777777" w:rsidTr="001B6ECB">
        <w:trPr>
          <w:trHeight w:val="340"/>
        </w:trPr>
        <w:tc>
          <w:tcPr>
            <w:tcW w:w="1462" w:type="pct"/>
            <w:vAlign w:val="center"/>
          </w:tcPr>
          <w:p w14:paraId="62A6781B" w14:textId="77777777" w:rsidR="000D42F1" w:rsidRPr="004836DA" w:rsidRDefault="000D42F1">
            <w:pPr>
              <w:pStyle w:val="Tables"/>
              <w:jc w:val="left"/>
            </w:pPr>
            <w:r w:rsidRPr="004836DA">
              <w:t>45 to 49</w:t>
            </w:r>
          </w:p>
        </w:tc>
        <w:tc>
          <w:tcPr>
            <w:tcW w:w="1060" w:type="pct"/>
            <w:shd w:val="clear" w:color="auto" w:fill="auto"/>
            <w:noWrap/>
            <w:vAlign w:val="bottom"/>
            <w:hideMark/>
          </w:tcPr>
          <w:p w14:paraId="275A9B05" w14:textId="77777777" w:rsidR="000D42F1" w:rsidRPr="004836DA" w:rsidRDefault="000D42F1">
            <w:pPr>
              <w:pStyle w:val="Tables"/>
            </w:pPr>
            <w:r w:rsidRPr="004836DA">
              <w:t>3,807</w:t>
            </w:r>
          </w:p>
        </w:tc>
        <w:tc>
          <w:tcPr>
            <w:tcW w:w="1133" w:type="pct"/>
            <w:shd w:val="clear" w:color="auto" w:fill="auto"/>
            <w:noWrap/>
            <w:vAlign w:val="bottom"/>
            <w:hideMark/>
          </w:tcPr>
          <w:p w14:paraId="59F9E848" w14:textId="77777777" w:rsidR="000D42F1" w:rsidRPr="004836DA" w:rsidRDefault="000D42F1">
            <w:pPr>
              <w:pStyle w:val="Tables"/>
            </w:pPr>
            <w:r w:rsidRPr="004836DA">
              <w:t>3,743</w:t>
            </w:r>
          </w:p>
        </w:tc>
        <w:tc>
          <w:tcPr>
            <w:tcW w:w="1346" w:type="pct"/>
            <w:noWrap/>
            <w:vAlign w:val="bottom"/>
            <w:hideMark/>
          </w:tcPr>
          <w:p w14:paraId="6350E759" w14:textId="77777777" w:rsidR="000D42F1" w:rsidRPr="004836DA" w:rsidRDefault="000D42F1">
            <w:pPr>
              <w:pStyle w:val="Tables"/>
            </w:pPr>
            <w:r w:rsidRPr="004836DA">
              <w:t>9</w:t>
            </w:r>
          </w:p>
        </w:tc>
      </w:tr>
      <w:tr w:rsidR="000D42F1" w:rsidRPr="004836DA" w14:paraId="1EEDBA93" w14:textId="77777777" w:rsidTr="001B6ECB">
        <w:trPr>
          <w:trHeight w:val="340"/>
        </w:trPr>
        <w:tc>
          <w:tcPr>
            <w:tcW w:w="1462" w:type="pct"/>
            <w:vAlign w:val="center"/>
          </w:tcPr>
          <w:p w14:paraId="67CC75DE" w14:textId="77777777" w:rsidR="000D42F1" w:rsidRPr="004836DA" w:rsidRDefault="000D42F1">
            <w:pPr>
              <w:pStyle w:val="Tables"/>
              <w:jc w:val="left"/>
            </w:pPr>
            <w:r w:rsidRPr="004836DA">
              <w:t>50 to 54</w:t>
            </w:r>
          </w:p>
        </w:tc>
        <w:tc>
          <w:tcPr>
            <w:tcW w:w="1060" w:type="pct"/>
            <w:shd w:val="clear" w:color="auto" w:fill="auto"/>
            <w:noWrap/>
            <w:vAlign w:val="bottom"/>
            <w:hideMark/>
          </w:tcPr>
          <w:p w14:paraId="29D2A303" w14:textId="77777777" w:rsidR="000D42F1" w:rsidRPr="004836DA" w:rsidRDefault="000D42F1">
            <w:pPr>
              <w:pStyle w:val="Tables"/>
            </w:pPr>
            <w:r w:rsidRPr="004836DA">
              <w:t>3,707</w:t>
            </w:r>
          </w:p>
        </w:tc>
        <w:tc>
          <w:tcPr>
            <w:tcW w:w="1133" w:type="pct"/>
            <w:shd w:val="clear" w:color="auto" w:fill="auto"/>
            <w:noWrap/>
            <w:vAlign w:val="bottom"/>
            <w:hideMark/>
          </w:tcPr>
          <w:p w14:paraId="10C46A02" w14:textId="77777777" w:rsidR="000D42F1" w:rsidRPr="004836DA" w:rsidRDefault="000D42F1">
            <w:pPr>
              <w:pStyle w:val="Tables"/>
            </w:pPr>
            <w:r w:rsidRPr="004836DA">
              <w:t>3,841</w:t>
            </w:r>
          </w:p>
        </w:tc>
        <w:tc>
          <w:tcPr>
            <w:tcW w:w="1346" w:type="pct"/>
            <w:noWrap/>
            <w:vAlign w:val="bottom"/>
            <w:hideMark/>
          </w:tcPr>
          <w:p w14:paraId="5A237FE1" w14:textId="77777777" w:rsidR="000D42F1" w:rsidRPr="004836DA" w:rsidRDefault="000D42F1">
            <w:pPr>
              <w:pStyle w:val="Tables"/>
            </w:pPr>
            <w:r w:rsidRPr="004836DA">
              <w:t>7</w:t>
            </w:r>
          </w:p>
        </w:tc>
      </w:tr>
      <w:tr w:rsidR="000D42F1" w:rsidRPr="004836DA" w14:paraId="0095BA9D" w14:textId="77777777" w:rsidTr="001B6ECB">
        <w:trPr>
          <w:trHeight w:val="340"/>
        </w:trPr>
        <w:tc>
          <w:tcPr>
            <w:tcW w:w="1462" w:type="pct"/>
            <w:vAlign w:val="center"/>
          </w:tcPr>
          <w:p w14:paraId="211B5918" w14:textId="77777777" w:rsidR="000D42F1" w:rsidRPr="004836DA" w:rsidRDefault="000D42F1">
            <w:pPr>
              <w:pStyle w:val="Tables"/>
              <w:jc w:val="left"/>
            </w:pPr>
            <w:r w:rsidRPr="004836DA">
              <w:t>55 to 59</w:t>
            </w:r>
          </w:p>
        </w:tc>
        <w:tc>
          <w:tcPr>
            <w:tcW w:w="1060" w:type="pct"/>
            <w:shd w:val="clear" w:color="auto" w:fill="auto"/>
            <w:noWrap/>
            <w:vAlign w:val="bottom"/>
            <w:hideMark/>
          </w:tcPr>
          <w:p w14:paraId="3135B055" w14:textId="77777777" w:rsidR="000D42F1" w:rsidRPr="004836DA" w:rsidRDefault="000D42F1">
            <w:pPr>
              <w:pStyle w:val="Tables"/>
            </w:pPr>
            <w:r w:rsidRPr="004836DA">
              <w:t>2,942</w:t>
            </w:r>
          </w:p>
        </w:tc>
        <w:tc>
          <w:tcPr>
            <w:tcW w:w="1133" w:type="pct"/>
            <w:shd w:val="clear" w:color="auto" w:fill="auto"/>
            <w:noWrap/>
            <w:vAlign w:val="bottom"/>
            <w:hideMark/>
          </w:tcPr>
          <w:p w14:paraId="73BA72B6" w14:textId="77777777" w:rsidR="000D42F1" w:rsidRPr="004836DA" w:rsidRDefault="000D42F1">
            <w:pPr>
              <w:pStyle w:val="Tables"/>
            </w:pPr>
            <w:r w:rsidRPr="004836DA">
              <w:t>3,518</w:t>
            </w:r>
          </w:p>
        </w:tc>
        <w:tc>
          <w:tcPr>
            <w:tcW w:w="1346" w:type="pct"/>
            <w:noWrap/>
            <w:vAlign w:val="bottom"/>
            <w:hideMark/>
          </w:tcPr>
          <w:p w14:paraId="52CF950B" w14:textId="77777777" w:rsidR="000D42F1" w:rsidRPr="004836DA" w:rsidRDefault="000D42F1">
            <w:pPr>
              <w:pStyle w:val="Tables"/>
            </w:pPr>
            <w:r w:rsidRPr="004836DA">
              <w:t>3</w:t>
            </w:r>
          </w:p>
        </w:tc>
      </w:tr>
      <w:tr w:rsidR="000D42F1" w:rsidRPr="004836DA" w14:paraId="5A156931" w14:textId="77777777" w:rsidTr="001B6ECB">
        <w:trPr>
          <w:trHeight w:val="340"/>
        </w:trPr>
        <w:tc>
          <w:tcPr>
            <w:tcW w:w="1462" w:type="pct"/>
            <w:vAlign w:val="center"/>
          </w:tcPr>
          <w:p w14:paraId="0B24D6EE" w14:textId="77777777" w:rsidR="000D42F1" w:rsidRPr="004836DA" w:rsidRDefault="000D42F1">
            <w:pPr>
              <w:pStyle w:val="Tables"/>
              <w:jc w:val="left"/>
            </w:pPr>
            <w:r w:rsidRPr="004836DA">
              <w:t>60 to 64</w:t>
            </w:r>
          </w:p>
        </w:tc>
        <w:tc>
          <w:tcPr>
            <w:tcW w:w="1060" w:type="pct"/>
            <w:shd w:val="clear" w:color="auto" w:fill="auto"/>
            <w:noWrap/>
            <w:vAlign w:val="bottom"/>
            <w:hideMark/>
          </w:tcPr>
          <w:p w14:paraId="1F561D4A" w14:textId="77777777" w:rsidR="000D42F1" w:rsidRPr="004836DA" w:rsidRDefault="000D42F1">
            <w:pPr>
              <w:pStyle w:val="Tables"/>
            </w:pPr>
            <w:r w:rsidRPr="004836DA">
              <w:t>2,108</w:t>
            </w:r>
          </w:p>
        </w:tc>
        <w:tc>
          <w:tcPr>
            <w:tcW w:w="1133" w:type="pct"/>
            <w:shd w:val="clear" w:color="auto" w:fill="auto"/>
            <w:noWrap/>
            <w:vAlign w:val="bottom"/>
            <w:hideMark/>
          </w:tcPr>
          <w:p w14:paraId="45AE6108" w14:textId="77777777" w:rsidR="000D42F1" w:rsidRPr="004836DA" w:rsidRDefault="000D42F1">
            <w:pPr>
              <w:pStyle w:val="Tables"/>
            </w:pPr>
            <w:r w:rsidRPr="004836DA">
              <w:t>2,820</w:t>
            </w:r>
          </w:p>
        </w:tc>
        <w:tc>
          <w:tcPr>
            <w:tcW w:w="1346" w:type="pct"/>
            <w:noWrap/>
            <w:vAlign w:val="bottom"/>
            <w:hideMark/>
          </w:tcPr>
          <w:p w14:paraId="4DCD5A7E" w14:textId="77777777" w:rsidR="000D42F1" w:rsidRPr="004836DA" w:rsidRDefault="000D42F1">
            <w:pPr>
              <w:pStyle w:val="Tables"/>
            </w:pPr>
            <w:r w:rsidRPr="004836DA">
              <w:t>2</w:t>
            </w:r>
          </w:p>
        </w:tc>
      </w:tr>
      <w:tr w:rsidR="000D42F1" w:rsidRPr="004836DA" w14:paraId="3148C82C" w14:textId="77777777" w:rsidTr="001B6ECB">
        <w:trPr>
          <w:trHeight w:val="340"/>
        </w:trPr>
        <w:tc>
          <w:tcPr>
            <w:tcW w:w="1462" w:type="pct"/>
            <w:vAlign w:val="center"/>
          </w:tcPr>
          <w:p w14:paraId="02715957" w14:textId="77777777" w:rsidR="000D42F1" w:rsidRPr="004836DA" w:rsidRDefault="000D42F1">
            <w:pPr>
              <w:pStyle w:val="Tables"/>
              <w:jc w:val="left"/>
            </w:pPr>
            <w:r w:rsidRPr="004836DA">
              <w:t>65 to 69</w:t>
            </w:r>
          </w:p>
        </w:tc>
        <w:tc>
          <w:tcPr>
            <w:tcW w:w="1060" w:type="pct"/>
            <w:shd w:val="clear" w:color="auto" w:fill="auto"/>
            <w:noWrap/>
            <w:vAlign w:val="bottom"/>
            <w:hideMark/>
          </w:tcPr>
          <w:p w14:paraId="517D1E98" w14:textId="77777777" w:rsidR="000D42F1" w:rsidRPr="004836DA" w:rsidRDefault="000D42F1">
            <w:pPr>
              <w:pStyle w:val="Tables"/>
            </w:pPr>
            <w:r w:rsidRPr="004836DA">
              <w:t>878</w:t>
            </w:r>
          </w:p>
        </w:tc>
        <w:tc>
          <w:tcPr>
            <w:tcW w:w="1133" w:type="pct"/>
            <w:shd w:val="clear" w:color="auto" w:fill="auto"/>
            <w:noWrap/>
            <w:vAlign w:val="bottom"/>
            <w:hideMark/>
          </w:tcPr>
          <w:p w14:paraId="480B8BB5" w14:textId="77777777" w:rsidR="000D42F1" w:rsidRPr="004836DA" w:rsidRDefault="000D42F1">
            <w:pPr>
              <w:pStyle w:val="Tables"/>
            </w:pPr>
            <w:r w:rsidRPr="004836DA">
              <w:t>1,277</w:t>
            </w:r>
          </w:p>
        </w:tc>
        <w:tc>
          <w:tcPr>
            <w:tcW w:w="1346" w:type="pct"/>
            <w:noWrap/>
            <w:vAlign w:val="bottom"/>
            <w:hideMark/>
          </w:tcPr>
          <w:p w14:paraId="7DFB6B1A" w14:textId="77777777" w:rsidR="000D42F1" w:rsidRPr="004836DA" w:rsidRDefault="000D42F1">
            <w:pPr>
              <w:pStyle w:val="Tables"/>
            </w:pPr>
            <w:r w:rsidRPr="004836DA">
              <w:t>1</w:t>
            </w:r>
          </w:p>
        </w:tc>
      </w:tr>
      <w:tr w:rsidR="000D42F1" w:rsidRPr="004836DA" w14:paraId="1502C1F9" w14:textId="77777777" w:rsidTr="001B6ECB">
        <w:trPr>
          <w:trHeight w:val="340"/>
        </w:trPr>
        <w:tc>
          <w:tcPr>
            <w:tcW w:w="1462" w:type="pct"/>
            <w:vAlign w:val="center"/>
          </w:tcPr>
          <w:p w14:paraId="5034000C" w14:textId="77777777" w:rsidR="000D42F1" w:rsidRPr="004836DA" w:rsidRDefault="000D42F1">
            <w:pPr>
              <w:pStyle w:val="Tables"/>
              <w:jc w:val="left"/>
            </w:pPr>
            <w:r w:rsidRPr="004836DA">
              <w:t>70 and above</w:t>
            </w:r>
          </w:p>
        </w:tc>
        <w:tc>
          <w:tcPr>
            <w:tcW w:w="1060" w:type="pct"/>
            <w:shd w:val="clear" w:color="auto" w:fill="auto"/>
            <w:noWrap/>
            <w:vAlign w:val="bottom"/>
          </w:tcPr>
          <w:p w14:paraId="75F2B1CF" w14:textId="77777777" w:rsidR="000D42F1" w:rsidRPr="004836DA" w:rsidRDefault="000D42F1">
            <w:pPr>
              <w:pStyle w:val="Tables"/>
            </w:pPr>
            <w:r w:rsidRPr="004836DA">
              <w:t>403</w:t>
            </w:r>
          </w:p>
        </w:tc>
        <w:tc>
          <w:tcPr>
            <w:tcW w:w="1133" w:type="pct"/>
            <w:shd w:val="clear" w:color="auto" w:fill="auto"/>
            <w:noWrap/>
            <w:vAlign w:val="bottom"/>
          </w:tcPr>
          <w:p w14:paraId="7A9C5027" w14:textId="77777777" w:rsidR="000D42F1" w:rsidRPr="004836DA" w:rsidRDefault="000D42F1">
            <w:pPr>
              <w:pStyle w:val="Tables"/>
            </w:pPr>
            <w:r w:rsidRPr="004836DA">
              <w:t>506</w:t>
            </w:r>
          </w:p>
        </w:tc>
        <w:tc>
          <w:tcPr>
            <w:tcW w:w="1346" w:type="pct"/>
            <w:noWrap/>
            <w:vAlign w:val="bottom"/>
          </w:tcPr>
          <w:p w14:paraId="59BBCF0B" w14:textId="77777777" w:rsidR="000D42F1" w:rsidRPr="004836DA" w:rsidRDefault="000D42F1">
            <w:pPr>
              <w:pStyle w:val="Tables"/>
            </w:pPr>
            <w:r w:rsidRPr="004836DA">
              <w:t>3</w:t>
            </w:r>
          </w:p>
        </w:tc>
      </w:tr>
      <w:tr w:rsidR="000D42F1" w:rsidRPr="004836DA" w14:paraId="505B37F7" w14:textId="77777777" w:rsidTr="001B6ECB">
        <w:trPr>
          <w:trHeight w:val="340"/>
        </w:trPr>
        <w:tc>
          <w:tcPr>
            <w:tcW w:w="1462" w:type="pct"/>
            <w:vAlign w:val="center"/>
          </w:tcPr>
          <w:p w14:paraId="25D8334B" w14:textId="77777777" w:rsidR="000D42F1" w:rsidRPr="004836DA" w:rsidRDefault="000D42F1">
            <w:pPr>
              <w:pStyle w:val="Tables"/>
              <w:jc w:val="left"/>
              <w:rPr>
                <w:b/>
                <w:bCs/>
              </w:rPr>
            </w:pPr>
            <w:r w:rsidRPr="004836DA">
              <w:rPr>
                <w:b/>
                <w:bCs/>
              </w:rPr>
              <w:t>Total</w:t>
            </w:r>
          </w:p>
        </w:tc>
        <w:tc>
          <w:tcPr>
            <w:tcW w:w="1060" w:type="pct"/>
            <w:shd w:val="clear" w:color="auto" w:fill="auto"/>
            <w:noWrap/>
            <w:vAlign w:val="bottom"/>
          </w:tcPr>
          <w:p w14:paraId="723482CF" w14:textId="77777777" w:rsidR="000D42F1" w:rsidRPr="004836DA" w:rsidRDefault="000D42F1">
            <w:pPr>
              <w:pStyle w:val="Tables"/>
              <w:rPr>
                <w:b/>
                <w:bCs/>
              </w:rPr>
            </w:pPr>
            <w:r w:rsidRPr="004836DA">
              <w:rPr>
                <w:b/>
                <w:bCs/>
              </w:rPr>
              <w:t>33,779</w:t>
            </w:r>
          </w:p>
        </w:tc>
        <w:tc>
          <w:tcPr>
            <w:tcW w:w="1133" w:type="pct"/>
            <w:shd w:val="clear" w:color="auto" w:fill="auto"/>
            <w:noWrap/>
            <w:vAlign w:val="bottom"/>
          </w:tcPr>
          <w:p w14:paraId="638B32BD" w14:textId="77777777" w:rsidR="000D42F1" w:rsidRPr="004836DA" w:rsidRDefault="000D42F1">
            <w:pPr>
              <w:pStyle w:val="Tables"/>
              <w:rPr>
                <w:b/>
                <w:bCs/>
              </w:rPr>
            </w:pPr>
            <w:r w:rsidRPr="004836DA">
              <w:rPr>
                <w:b/>
                <w:bCs/>
              </w:rPr>
              <w:t>32,977</w:t>
            </w:r>
          </w:p>
        </w:tc>
        <w:tc>
          <w:tcPr>
            <w:tcW w:w="1346" w:type="pct"/>
            <w:noWrap/>
            <w:vAlign w:val="bottom"/>
          </w:tcPr>
          <w:p w14:paraId="6E265A18" w14:textId="77777777" w:rsidR="000D42F1" w:rsidRPr="004836DA" w:rsidRDefault="000D42F1">
            <w:pPr>
              <w:pStyle w:val="Tables"/>
              <w:rPr>
                <w:b/>
                <w:bCs/>
              </w:rPr>
            </w:pPr>
            <w:r w:rsidRPr="004836DA">
              <w:rPr>
                <w:b/>
                <w:bCs/>
              </w:rPr>
              <w:t>113</w:t>
            </w:r>
          </w:p>
        </w:tc>
      </w:tr>
    </w:tbl>
    <w:p w14:paraId="567ED246" w14:textId="77777777" w:rsidR="000D42F1" w:rsidRDefault="000D42F1" w:rsidP="000D42F1">
      <w:pPr>
        <w:pStyle w:val="Tables"/>
        <w:jc w:val="left"/>
        <w:rPr>
          <w:sz w:val="16"/>
        </w:rPr>
      </w:pPr>
      <w:r w:rsidRPr="00DA6E91">
        <w:rPr>
          <w:sz w:val="16"/>
        </w:rPr>
        <w:t xml:space="preserve">*Excludes some </w:t>
      </w:r>
      <w:r>
        <w:rPr>
          <w:sz w:val="16"/>
        </w:rPr>
        <w:t>employees</w:t>
      </w:r>
      <w:r w:rsidRPr="00DA6E91">
        <w:rPr>
          <w:sz w:val="16"/>
        </w:rPr>
        <w:t xml:space="preserve"> for whom no date of birth/age was provided</w:t>
      </w:r>
      <w:r>
        <w:rPr>
          <w:sz w:val="16"/>
        </w:rPr>
        <w:t>.</w:t>
      </w:r>
    </w:p>
    <w:p w14:paraId="5A55B593" w14:textId="77777777" w:rsidR="000D42F1" w:rsidRDefault="000D42F1" w:rsidP="000D42F1">
      <w:pPr>
        <w:pStyle w:val="Caption"/>
        <w:rPr>
          <w:b/>
          <w:bCs/>
        </w:rPr>
      </w:pPr>
    </w:p>
    <w:p w14:paraId="2523A2B1" w14:textId="133A91E6" w:rsidR="000D42F1" w:rsidRPr="00727374" w:rsidRDefault="000D42F1" w:rsidP="000D42F1">
      <w:pPr>
        <w:pStyle w:val="Caption"/>
        <w:rPr>
          <w:b/>
          <w:bCs/>
        </w:rPr>
      </w:pPr>
      <w:bookmarkStart w:id="44" w:name="_Ref148711666"/>
      <w:r w:rsidRPr="00727374">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7</w:t>
      </w:r>
      <w:r>
        <w:rPr>
          <w:b/>
          <w:bCs/>
        </w:rPr>
        <w:fldChar w:fldCharType="end"/>
      </w:r>
      <w:bookmarkEnd w:id="43"/>
      <w:bookmarkEnd w:id="44"/>
      <w:r w:rsidRPr="00727374">
        <w:rPr>
          <w:b/>
          <w:bCs/>
          <w:noProof/>
        </w:rPr>
        <w:t>:</w:t>
      </w:r>
      <w:r w:rsidRPr="00727374">
        <w:rPr>
          <w:b/>
          <w:bCs/>
        </w:rPr>
        <w:t xml:space="preserve"> Distribution of </w:t>
      </w:r>
      <w:r w:rsidR="008E628B" w:rsidRPr="00727374">
        <w:rPr>
          <w:b/>
          <w:bCs/>
        </w:rPr>
        <w:t>female</w:t>
      </w:r>
      <w:r w:rsidR="008E628B">
        <w:rPr>
          <w:b/>
          <w:bCs/>
        </w:rPr>
        <w:t xml:space="preserve"> and</w:t>
      </w:r>
      <w:r w:rsidR="008E628B" w:rsidRPr="00727374">
        <w:rPr>
          <w:b/>
          <w:bCs/>
        </w:rPr>
        <w:t xml:space="preserve"> </w:t>
      </w:r>
      <w:r w:rsidRPr="00727374">
        <w:rPr>
          <w:b/>
          <w:bCs/>
        </w:rPr>
        <w:t>male employees by age group, WA other government entities March 202</w:t>
      </w:r>
      <w:r>
        <w:rPr>
          <w:b/>
          <w:bCs/>
        </w:rPr>
        <w:t>3</w:t>
      </w:r>
    </w:p>
    <w:p w14:paraId="6325356B" w14:textId="77777777" w:rsidR="000D42F1" w:rsidRDefault="000D42F1" w:rsidP="000D42F1">
      <w:pPr>
        <w:spacing w:line="240" w:lineRule="auto"/>
      </w:pPr>
      <w:r>
        <w:rPr>
          <w:noProof/>
        </w:rPr>
        <w:drawing>
          <wp:inline distT="0" distB="0" distL="0" distR="0" wp14:anchorId="40A4684C" wp14:editId="34C483DB">
            <wp:extent cx="5836920" cy="3801745"/>
            <wp:effectExtent l="0" t="0" r="0" b="0"/>
            <wp:docPr id="8" name="Chart 8" descr="A bar graph showing the distribution of male and female employees by age group in WA other government entities in 2022-23. This shows a higher percentage of male employees in older age groups compared to female employees, and a higher percentage of female employees in younger age groups compared to male employees.">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56E66F1" w14:textId="77777777" w:rsidR="001058C1" w:rsidRDefault="001058C1" w:rsidP="000D42F1">
      <w:pPr>
        <w:spacing w:before="240" w:after="240" w:line="240" w:lineRule="auto"/>
      </w:pPr>
      <w:r>
        <w:br w:type="page"/>
      </w:r>
    </w:p>
    <w:p w14:paraId="257F30E6" w14:textId="1EEECFC0" w:rsidR="000D42F1" w:rsidRDefault="000D42F1" w:rsidP="000D42F1">
      <w:pPr>
        <w:spacing w:before="240" w:after="240" w:line="240" w:lineRule="auto"/>
      </w:pPr>
      <w:r>
        <w:lastRenderedPageBreak/>
        <w:t>Since 2018-19,</w:t>
      </w:r>
      <w:r w:rsidRPr="00CE19DC">
        <w:t xml:space="preserve"> </w:t>
      </w:r>
      <w:r>
        <w:t>employees</w:t>
      </w:r>
      <w:r w:rsidRPr="00CE19DC">
        <w:t xml:space="preserve"> aged 65 and above have increased from</w:t>
      </w:r>
      <w:r>
        <w:t xml:space="preserve"> 4.8</w:t>
      </w:r>
      <w:r w:rsidRPr="00CE19DC">
        <w:t xml:space="preserve">% to </w:t>
      </w:r>
      <w:r>
        <w:t>5.8</w:t>
      </w:r>
      <w:r w:rsidRPr="00CE19DC">
        <w:t>% of the public sector workforce (</w:t>
      </w:r>
      <w:r>
        <w:fldChar w:fldCharType="begin"/>
      </w:r>
      <w:r>
        <w:instrText xml:space="preserve"> REF _Ref84253322 \h  \* MERGEFORMAT </w:instrText>
      </w:r>
      <w:r>
        <w:fldChar w:fldCharType="separate"/>
      </w:r>
      <w:r w:rsidR="0048418F" w:rsidRPr="0048418F">
        <w:t>Figure 8</w:t>
      </w:r>
      <w:r>
        <w:fldChar w:fldCharType="end"/>
      </w:r>
      <w:r w:rsidRPr="00CE19DC">
        <w:t>). The annual average percentage of employees</w:t>
      </w:r>
      <w:r>
        <w:t xml:space="preserve"> </w:t>
      </w:r>
      <w:r w:rsidRPr="00CE19DC">
        <w:t xml:space="preserve">aged 24 and under has increased from </w:t>
      </w:r>
      <w:r>
        <w:t>4.0</w:t>
      </w:r>
      <w:r w:rsidRPr="00CE19DC">
        <w:t xml:space="preserve">% to </w:t>
      </w:r>
      <w:r>
        <w:t>5.2</w:t>
      </w:r>
      <w:r w:rsidRPr="00CE19DC">
        <w:t>% of the sector over the same period. Over the last year</w:t>
      </w:r>
      <w:r>
        <w:t>,</w:t>
      </w:r>
      <w:r w:rsidRPr="00CE19DC">
        <w:t xml:space="preserve"> </w:t>
      </w:r>
      <w:r w:rsidR="00732B34" w:rsidRPr="00CE19DC">
        <w:t>employees</w:t>
      </w:r>
      <w:r w:rsidR="00732B34">
        <w:t xml:space="preserve"> </w:t>
      </w:r>
      <w:r w:rsidR="00732B34" w:rsidRPr="00CE19DC">
        <w:t>aged 24 and under</w:t>
      </w:r>
      <w:r w:rsidR="00732B34" w:rsidRPr="00CE19DC" w:rsidDel="00732B34">
        <w:t xml:space="preserve"> </w:t>
      </w:r>
      <w:r w:rsidRPr="00CE19DC">
        <w:t xml:space="preserve">increased, up by </w:t>
      </w:r>
      <w:r>
        <w:t xml:space="preserve">782 </w:t>
      </w:r>
      <w:r w:rsidRPr="00CE19DC">
        <w:t>headcount (10.0% increase from 2021</w:t>
      </w:r>
      <w:r>
        <w:noBreakHyphen/>
      </w:r>
      <w:r w:rsidRPr="00CE19DC">
        <w:t xml:space="preserve">22). </w:t>
      </w:r>
    </w:p>
    <w:p w14:paraId="1B83B808" w14:textId="153CC5E2" w:rsidR="000D42F1" w:rsidRPr="00727374" w:rsidRDefault="000D42F1" w:rsidP="000D42F1">
      <w:pPr>
        <w:pStyle w:val="Caption"/>
        <w:rPr>
          <w:b/>
          <w:bCs/>
        </w:rPr>
      </w:pPr>
      <w:bookmarkStart w:id="45" w:name="_Ref84253322"/>
      <w:r w:rsidRPr="00727374">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8</w:t>
      </w:r>
      <w:r>
        <w:rPr>
          <w:b/>
          <w:bCs/>
        </w:rPr>
        <w:fldChar w:fldCharType="end"/>
      </w:r>
      <w:bookmarkEnd w:id="45"/>
      <w:r w:rsidRPr="00727374">
        <w:rPr>
          <w:b/>
          <w:bCs/>
        </w:rPr>
        <w:t>: WA public sector headcount by age group (annual average) 20</w:t>
      </w:r>
      <w:r>
        <w:rPr>
          <w:b/>
          <w:bCs/>
        </w:rPr>
        <w:t>18</w:t>
      </w:r>
      <w:r w:rsidRPr="00727374">
        <w:rPr>
          <w:b/>
          <w:bCs/>
        </w:rPr>
        <w:t>-</w:t>
      </w:r>
      <w:r>
        <w:rPr>
          <w:b/>
          <w:bCs/>
        </w:rPr>
        <w:t>19</w:t>
      </w:r>
      <w:r w:rsidRPr="00727374">
        <w:rPr>
          <w:b/>
          <w:bCs/>
        </w:rPr>
        <w:t xml:space="preserve"> and 20</w:t>
      </w:r>
      <w:r>
        <w:rPr>
          <w:b/>
          <w:bCs/>
        </w:rPr>
        <w:t>22</w:t>
      </w:r>
      <w:r w:rsidRPr="00727374">
        <w:rPr>
          <w:b/>
          <w:bCs/>
        </w:rPr>
        <w:t>-</w:t>
      </w:r>
      <w:r>
        <w:rPr>
          <w:b/>
          <w:bCs/>
        </w:rPr>
        <w:t>23</w:t>
      </w:r>
    </w:p>
    <w:p w14:paraId="2737C188" w14:textId="77777777" w:rsidR="000D42F1" w:rsidRPr="009532D5" w:rsidRDefault="000D42F1" w:rsidP="000D42F1">
      <w:pPr>
        <w:spacing w:line="240" w:lineRule="auto"/>
        <w:rPr>
          <w:sz w:val="14"/>
          <w:szCs w:val="14"/>
        </w:rPr>
      </w:pPr>
      <w:r>
        <w:rPr>
          <w:noProof/>
        </w:rPr>
        <w:drawing>
          <wp:inline distT="0" distB="0" distL="0" distR="0" wp14:anchorId="4775CBD3" wp14:editId="390CA075">
            <wp:extent cx="5836920" cy="3801745"/>
            <wp:effectExtent l="0" t="0" r="0" b="0"/>
            <wp:docPr id="9" name="Chart 9" descr="A bar graph showing the WA public sector headcount by age group in 2018-19 and 2022-23. Compared to 2018-19, the percent of employees in the following age groups have increased - 19 and under, 20 to 24, 25 to 29, 35 to 39, 40 to 44, 65 to 69 and 70 and above. All other age groups have decreased.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222462" w14:textId="7C2D7001" w:rsidR="001B6ECB" w:rsidRDefault="000D42F1" w:rsidP="000D42F1">
      <w:pPr>
        <w:spacing w:line="240" w:lineRule="auto"/>
      </w:pPr>
      <w:r>
        <w:t xml:space="preserve">While historic data on individual employee ages is not available for other government entities, data was collected for the previous years on 3 broad age groups (youth employees aged 24 and under, employees aged 25 to 44 and mature employees aged 45 and over). Comparison of these groups between March 2019 and March 2023 showed the age profile of government employees outside the public sector was slightly younger than </w:t>
      </w:r>
      <w:r w:rsidRPr="001D5848">
        <w:rPr>
          <w:iCs/>
        </w:rPr>
        <w:t>previous</w:t>
      </w:r>
      <w:r w:rsidR="008E628B">
        <w:rPr>
          <w:iCs/>
        </w:rPr>
        <w:t>ly</w:t>
      </w:r>
      <w:r w:rsidRPr="001D5848">
        <w:rPr>
          <w:iCs/>
        </w:rPr>
        <w:t xml:space="preserve"> (</w:t>
      </w:r>
      <w:r w:rsidRPr="001D5848">
        <w:rPr>
          <w:iCs/>
        </w:rPr>
        <w:fldChar w:fldCharType="begin"/>
      </w:r>
      <w:r w:rsidRPr="001D5848">
        <w:rPr>
          <w:iCs/>
        </w:rPr>
        <w:instrText xml:space="preserve">REF _Ref84253355 \* MERGEFORMAT </w:instrText>
      </w:r>
      <w:r w:rsidRPr="001D5848">
        <w:rPr>
          <w:iCs/>
        </w:rPr>
        <w:fldChar w:fldCharType="separate"/>
      </w:r>
      <w:r w:rsidR="0048418F" w:rsidRPr="0048418F">
        <w:rPr>
          <w:iCs/>
        </w:rPr>
        <w:t>Figure 9</w:t>
      </w:r>
      <w:r w:rsidRPr="001D5848">
        <w:rPr>
          <w:iCs/>
        </w:rPr>
        <w:fldChar w:fldCharType="end"/>
      </w:r>
      <w:r w:rsidRPr="001D5848">
        <w:rPr>
          <w:iCs/>
        </w:rPr>
        <w:t>).</w:t>
      </w:r>
      <w:r w:rsidRPr="00B44773">
        <w:t xml:space="preserve"> </w:t>
      </w:r>
      <w:r w:rsidR="001B6ECB">
        <w:br w:type="page"/>
      </w:r>
    </w:p>
    <w:p w14:paraId="54D2C13A" w14:textId="5828259A" w:rsidR="000D42F1" w:rsidRDefault="000D42F1" w:rsidP="000D42F1">
      <w:pPr>
        <w:spacing w:line="240" w:lineRule="auto"/>
      </w:pPr>
      <w:bookmarkStart w:id="46" w:name="_Ref84253355"/>
      <w:r w:rsidRPr="00727374">
        <w:rPr>
          <w:b/>
          <w:bCs/>
          <w:iCs/>
          <w:color w:val="2E74B5" w:themeColor="accent1" w:themeShade="BF"/>
          <w:sz w:val="20"/>
          <w:szCs w:val="20"/>
        </w:rPr>
        <w:lastRenderedPageBreak/>
        <w:t xml:space="preserve">Figure </w:t>
      </w:r>
      <w:r>
        <w:rPr>
          <w:b/>
          <w:bCs/>
          <w:iCs/>
          <w:color w:val="2E74B5" w:themeColor="accent1" w:themeShade="BF"/>
          <w:sz w:val="20"/>
          <w:szCs w:val="20"/>
        </w:rPr>
        <w:fldChar w:fldCharType="begin"/>
      </w:r>
      <w:r>
        <w:rPr>
          <w:b/>
          <w:bCs/>
          <w:iCs/>
          <w:color w:val="2E74B5" w:themeColor="accent1" w:themeShade="BF"/>
          <w:sz w:val="20"/>
          <w:szCs w:val="20"/>
        </w:rPr>
        <w:instrText xml:space="preserve"> SEQ Figure \* ARABIC </w:instrText>
      </w:r>
      <w:r>
        <w:rPr>
          <w:b/>
          <w:bCs/>
          <w:iCs/>
          <w:color w:val="2E74B5" w:themeColor="accent1" w:themeShade="BF"/>
          <w:sz w:val="20"/>
          <w:szCs w:val="20"/>
        </w:rPr>
        <w:fldChar w:fldCharType="separate"/>
      </w:r>
      <w:r w:rsidR="0048418F">
        <w:rPr>
          <w:b/>
          <w:bCs/>
          <w:iCs/>
          <w:noProof/>
          <w:color w:val="2E74B5" w:themeColor="accent1" w:themeShade="BF"/>
          <w:sz w:val="20"/>
          <w:szCs w:val="20"/>
        </w:rPr>
        <w:t>9</w:t>
      </w:r>
      <w:r>
        <w:rPr>
          <w:b/>
          <w:bCs/>
          <w:iCs/>
          <w:color w:val="2E74B5" w:themeColor="accent1" w:themeShade="BF"/>
          <w:sz w:val="20"/>
          <w:szCs w:val="20"/>
        </w:rPr>
        <w:fldChar w:fldCharType="end"/>
      </w:r>
      <w:bookmarkEnd w:id="46"/>
      <w:r w:rsidRPr="00727374">
        <w:rPr>
          <w:b/>
          <w:bCs/>
          <w:iCs/>
          <w:color w:val="2E74B5" w:themeColor="accent1" w:themeShade="BF"/>
          <w:sz w:val="20"/>
          <w:szCs w:val="20"/>
        </w:rPr>
        <w:t>: Distribution of headcount by broad age groups, WA other government entities March</w:t>
      </w:r>
      <w:r>
        <w:rPr>
          <w:b/>
          <w:bCs/>
          <w:iCs/>
          <w:color w:val="2E74B5" w:themeColor="accent1" w:themeShade="BF"/>
          <w:sz w:val="20"/>
          <w:szCs w:val="20"/>
        </w:rPr>
        <w:t> </w:t>
      </w:r>
      <w:r w:rsidRPr="00727374">
        <w:rPr>
          <w:b/>
          <w:bCs/>
          <w:iCs/>
          <w:color w:val="2E74B5" w:themeColor="accent1" w:themeShade="BF"/>
          <w:sz w:val="20"/>
          <w:szCs w:val="20"/>
        </w:rPr>
        <w:t>20</w:t>
      </w:r>
      <w:r>
        <w:rPr>
          <w:b/>
          <w:bCs/>
          <w:iCs/>
          <w:color w:val="2E74B5" w:themeColor="accent1" w:themeShade="BF"/>
          <w:sz w:val="20"/>
          <w:szCs w:val="20"/>
        </w:rPr>
        <w:t>19</w:t>
      </w:r>
      <w:r w:rsidRPr="00727374">
        <w:rPr>
          <w:b/>
          <w:bCs/>
          <w:iCs/>
          <w:color w:val="2E74B5" w:themeColor="accent1" w:themeShade="BF"/>
          <w:sz w:val="20"/>
          <w:szCs w:val="20"/>
        </w:rPr>
        <w:t xml:space="preserve"> and March 20</w:t>
      </w:r>
      <w:r>
        <w:rPr>
          <w:b/>
          <w:bCs/>
          <w:iCs/>
          <w:color w:val="2E74B5" w:themeColor="accent1" w:themeShade="BF"/>
          <w:sz w:val="20"/>
          <w:szCs w:val="20"/>
        </w:rPr>
        <w:t>23</w:t>
      </w:r>
    </w:p>
    <w:p w14:paraId="344BAC08" w14:textId="77777777" w:rsidR="000D42F1" w:rsidRPr="00727374" w:rsidRDefault="000D42F1" w:rsidP="000D42F1">
      <w:pPr>
        <w:spacing w:line="240" w:lineRule="auto"/>
        <w:rPr>
          <w:b/>
          <w:bCs/>
          <w:noProof/>
        </w:rPr>
      </w:pPr>
      <w:r>
        <w:rPr>
          <w:noProof/>
        </w:rPr>
        <w:drawing>
          <wp:inline distT="0" distB="0" distL="0" distR="0" wp14:anchorId="1E750BCA" wp14:editId="6F64DEEA">
            <wp:extent cx="5638800" cy="2247900"/>
            <wp:effectExtent l="0" t="0" r="0" b="0"/>
            <wp:docPr id="573400099" name="Chart 573400099" descr="A bar graph showing the distribution of headcount by broad age groups for WA other government entities in March 2019 and March 2023. Comparing March 2019 to March 2023, employees in other government entities were slightly younger in 202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138034" w14:textId="242E20BE" w:rsidR="000D42F1" w:rsidRDefault="000D42F1" w:rsidP="000D42F1">
      <w:pPr>
        <w:spacing w:line="240" w:lineRule="auto"/>
      </w:pPr>
      <w:r w:rsidRPr="00487E19">
        <w:t xml:space="preserve">When all </w:t>
      </w:r>
      <w:r>
        <w:t>employees’ equivalent salary is</w:t>
      </w:r>
      <w:r w:rsidRPr="00487E19">
        <w:t xml:space="preserve"> mapped</w:t>
      </w:r>
      <w:r>
        <w:rPr>
          <w:rStyle w:val="FootnoteReference"/>
        </w:rPr>
        <w:footnoteReference w:id="7"/>
      </w:r>
      <w:r w:rsidRPr="00487E19">
        <w:t xml:space="preserve"> to the salary bands of the Public Sector CSA Agreement (PSCSAA)</w:t>
      </w:r>
      <w:r w:rsidRPr="00487E19">
        <w:rPr>
          <w:rStyle w:val="FootnoteReference"/>
        </w:rPr>
        <w:footnoteReference w:id="8"/>
      </w:r>
      <w:r w:rsidRPr="00487E19">
        <w:t>,</w:t>
      </w:r>
      <w:r w:rsidRPr="00487E19" w:rsidDel="005C2CA5">
        <w:t xml:space="preserve"> </w:t>
      </w:r>
      <w:r w:rsidRPr="00487E19">
        <w:t>the distribution of public sector FTE across salary bands has remained largely consistent between 20</w:t>
      </w:r>
      <w:r>
        <w:t>18</w:t>
      </w:r>
      <w:r w:rsidRPr="00487E19">
        <w:t>-</w:t>
      </w:r>
      <w:r>
        <w:t>19</w:t>
      </w:r>
      <w:r w:rsidRPr="00487E19">
        <w:t xml:space="preserve"> and 20</w:t>
      </w:r>
      <w:r>
        <w:t>22</w:t>
      </w:r>
      <w:r w:rsidRPr="00487E19">
        <w:t>-</w:t>
      </w:r>
      <w:r>
        <w:t>23</w:t>
      </w:r>
      <w:r w:rsidRPr="00487E19">
        <w:t xml:space="preserve"> (</w:t>
      </w:r>
      <w:r w:rsidRPr="00487E19">
        <w:fldChar w:fldCharType="begin"/>
      </w:r>
      <w:r w:rsidRPr="00487E19">
        <w:instrText>REF _Ref84253374</w:instrText>
      </w:r>
      <w:r>
        <w:instrText xml:space="preserve"> \* MERGEFORMAT </w:instrText>
      </w:r>
      <w:r w:rsidRPr="00487E19">
        <w:fldChar w:fldCharType="separate"/>
      </w:r>
      <w:r w:rsidR="0048418F" w:rsidRPr="0048418F">
        <w:t>Figure 10</w:t>
      </w:r>
      <w:r w:rsidRPr="00487E19">
        <w:fldChar w:fldCharType="end"/>
      </w:r>
      <w:r w:rsidRPr="00487E19">
        <w:t>).</w:t>
      </w:r>
      <w:r w:rsidRPr="00805357">
        <w:t xml:space="preserve"> </w:t>
      </w:r>
    </w:p>
    <w:p w14:paraId="452A27CD" w14:textId="6A5ECD8A" w:rsidR="000D42F1" w:rsidRDefault="000D42F1" w:rsidP="000D42F1">
      <w:pPr>
        <w:pStyle w:val="Caption"/>
      </w:pPr>
      <w:bookmarkStart w:id="47" w:name="_Ref84253374"/>
      <w:r w:rsidRPr="007541E1">
        <w:rPr>
          <w:b/>
          <w:bCs/>
        </w:rPr>
        <w:t xml:space="preserve">Figure </w:t>
      </w:r>
      <w:r w:rsidRPr="007541E1">
        <w:rPr>
          <w:b/>
          <w:bCs/>
        </w:rPr>
        <w:fldChar w:fldCharType="begin"/>
      </w:r>
      <w:r w:rsidRPr="007541E1">
        <w:rPr>
          <w:b/>
          <w:bCs/>
        </w:rPr>
        <w:instrText xml:space="preserve"> SEQ Figure \* ARABIC </w:instrText>
      </w:r>
      <w:r w:rsidRPr="007541E1">
        <w:rPr>
          <w:b/>
          <w:bCs/>
        </w:rPr>
        <w:fldChar w:fldCharType="separate"/>
      </w:r>
      <w:r w:rsidR="0048418F">
        <w:rPr>
          <w:b/>
          <w:bCs/>
          <w:noProof/>
        </w:rPr>
        <w:t>10</w:t>
      </w:r>
      <w:r w:rsidRPr="007541E1">
        <w:rPr>
          <w:b/>
          <w:bCs/>
        </w:rPr>
        <w:fldChar w:fldCharType="end"/>
      </w:r>
      <w:bookmarkEnd w:id="47"/>
      <w:r>
        <w:rPr>
          <w:b/>
          <w:bCs/>
        </w:rPr>
        <w:t>:</w:t>
      </w:r>
      <w:r w:rsidRPr="00727374">
        <w:rPr>
          <w:b/>
          <w:bCs/>
        </w:rPr>
        <w:t xml:space="preserve"> </w:t>
      </w:r>
      <w:r w:rsidR="001B6ECB">
        <w:rPr>
          <w:b/>
          <w:bCs/>
        </w:rPr>
        <w:t>Percentage</w:t>
      </w:r>
      <w:r w:rsidRPr="00727374">
        <w:rPr>
          <w:b/>
          <w:bCs/>
        </w:rPr>
        <w:t xml:space="preserve"> of total public sector FTE by PSCSAA equivalent salary level 20</w:t>
      </w:r>
      <w:r>
        <w:rPr>
          <w:b/>
          <w:bCs/>
        </w:rPr>
        <w:t>18-19</w:t>
      </w:r>
      <w:r>
        <w:rPr>
          <w:b/>
          <w:bCs/>
        </w:rPr>
        <w:br/>
      </w:r>
      <w:r w:rsidRPr="00727374">
        <w:rPr>
          <w:b/>
          <w:bCs/>
        </w:rPr>
        <w:t>and 20</w:t>
      </w:r>
      <w:r>
        <w:rPr>
          <w:b/>
          <w:bCs/>
        </w:rPr>
        <w:t>22-23</w:t>
      </w:r>
    </w:p>
    <w:p w14:paraId="7D45C64D" w14:textId="77777777" w:rsidR="000D42F1" w:rsidRDefault="000D42F1" w:rsidP="000D42F1">
      <w:pPr>
        <w:spacing w:line="240" w:lineRule="auto"/>
      </w:pPr>
      <w:r>
        <w:rPr>
          <w:noProof/>
        </w:rPr>
        <w:drawing>
          <wp:inline distT="0" distB="0" distL="0" distR="0" wp14:anchorId="63C3B767" wp14:editId="406689C9">
            <wp:extent cx="5695950" cy="3200400"/>
            <wp:effectExtent l="0" t="0" r="0" b="0"/>
            <wp:docPr id="11" name="Chart 11" descr="A bar graph showing the percentage of FTE in each equivalent salary level in the public sector in 2018-19 and 2022-23. The distribution across salary bands has remained largely consistent with the exception of decreases at Level 4 equivalent and increases at Level 5 equivalent. Note: Public sector employees are engaged under a variety of industrial awards and agreements. These are subject to their own reviews and updates over time. This means changes in salary levels under the PSCSAA do not always align with changes under other awards and agreements. This leads to a shift in relative salary mapping. This is particularly prevalent at Level 4 and 5 equivalent and when it effects health and education occupations given the size of those groups.">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782B6B" w14:textId="77777777" w:rsidR="001058C1" w:rsidRDefault="001058C1" w:rsidP="000D42F1">
      <w:pPr>
        <w:spacing w:line="240" w:lineRule="auto"/>
      </w:pPr>
      <w:r>
        <w:br w:type="page"/>
      </w:r>
    </w:p>
    <w:p w14:paraId="78D56836" w14:textId="69B88E02" w:rsidR="000D42F1" w:rsidRDefault="000D42F1" w:rsidP="000D42F1">
      <w:pPr>
        <w:spacing w:line="240" w:lineRule="auto"/>
      </w:pPr>
      <w:r w:rsidRPr="00805357">
        <w:lastRenderedPageBreak/>
        <w:t xml:space="preserve">When FTE related to male and female </w:t>
      </w:r>
      <w:r>
        <w:t>employees</w:t>
      </w:r>
      <w:r w:rsidRPr="00805357">
        <w:t xml:space="preserve"> is mapped to PSCSAA salary bands, </w:t>
      </w:r>
      <w:r>
        <w:t xml:space="preserve">the </w:t>
      </w:r>
      <w:r w:rsidR="001B6ECB">
        <w:t>percentage</w:t>
      </w:r>
      <w:r>
        <w:t xml:space="preserve"> of female employees at higher levels continued to increase. This year females at Level</w:t>
      </w:r>
      <w:r w:rsidR="002E41BB">
        <w:t>s</w:t>
      </w:r>
      <w:r>
        <w:t xml:space="preserve"> 8 and 9 equivalent have both reached parity, with Level 8 equivalent at 51.7% and Level 9 equivalent at 50.1%. Representation </w:t>
      </w:r>
      <w:r w:rsidR="002E41BB">
        <w:t xml:space="preserve">at </w:t>
      </w:r>
      <w:r>
        <w:t>Class 1 and above equivalent continues to increase and remains much higher than 5 years ago (</w:t>
      </w:r>
      <w:r w:rsidR="00785D75">
        <w:fldChar w:fldCharType="begin"/>
      </w:r>
      <w:r w:rsidR="00785D75">
        <w:instrText xml:space="preserve"> REF _Ref148711708 \h </w:instrText>
      </w:r>
      <w:r w:rsidR="00B94A95">
        <w:instrText xml:space="preserve"> \* MERGEFORMAT </w:instrText>
      </w:r>
      <w:r w:rsidR="00785D75">
        <w:fldChar w:fldCharType="separate"/>
      </w:r>
      <w:r w:rsidR="0048418F" w:rsidRPr="0048418F">
        <w:t>Figure 11</w:t>
      </w:r>
      <w:r w:rsidR="00785D75">
        <w:fldChar w:fldCharType="end"/>
      </w:r>
      <w:r w:rsidRPr="008734AB">
        <w:t>).</w:t>
      </w:r>
    </w:p>
    <w:p w14:paraId="660AB1AB" w14:textId="18DB21D9" w:rsidR="00DF6D84" w:rsidRPr="00DF6D84" w:rsidRDefault="00DF6D84" w:rsidP="00DF6D84">
      <w:pPr>
        <w:pStyle w:val="Caption"/>
        <w:rPr>
          <w:b/>
          <w:bCs/>
        </w:rPr>
      </w:pPr>
      <w:r w:rsidRPr="007F2168">
        <w:rPr>
          <w:b/>
          <w:bCs/>
        </w:rPr>
        <w:t xml:space="preserve">Figure </w:t>
      </w:r>
      <w:r w:rsidRPr="007F2168">
        <w:rPr>
          <w:b/>
          <w:bCs/>
        </w:rPr>
        <w:fldChar w:fldCharType="begin"/>
      </w:r>
      <w:r w:rsidRPr="007F2168">
        <w:rPr>
          <w:b/>
          <w:bCs/>
        </w:rPr>
        <w:instrText xml:space="preserve"> SEQ Figure \* ARABIC </w:instrText>
      </w:r>
      <w:r w:rsidRPr="007F2168">
        <w:rPr>
          <w:b/>
          <w:bCs/>
        </w:rPr>
        <w:fldChar w:fldCharType="separate"/>
      </w:r>
      <w:r>
        <w:rPr>
          <w:b/>
          <w:bCs/>
        </w:rPr>
        <w:t>11</w:t>
      </w:r>
      <w:r w:rsidRPr="007F2168">
        <w:rPr>
          <w:b/>
          <w:bCs/>
        </w:rPr>
        <w:fldChar w:fldCharType="end"/>
      </w:r>
      <w:r w:rsidRPr="00727374">
        <w:rPr>
          <w:b/>
          <w:bCs/>
        </w:rPr>
        <w:t xml:space="preserve">: </w:t>
      </w:r>
      <w:r>
        <w:rPr>
          <w:b/>
          <w:bCs/>
        </w:rPr>
        <w:t>Percentage</w:t>
      </w:r>
      <w:r w:rsidRPr="00727374">
        <w:rPr>
          <w:b/>
          <w:bCs/>
        </w:rPr>
        <w:t xml:space="preserve"> of </w:t>
      </w:r>
      <w:r>
        <w:rPr>
          <w:b/>
          <w:bCs/>
        </w:rPr>
        <w:t>public sector f</w:t>
      </w:r>
      <w:r w:rsidRPr="00727374">
        <w:rPr>
          <w:b/>
          <w:bCs/>
        </w:rPr>
        <w:t>emale</w:t>
      </w:r>
      <w:r>
        <w:rPr>
          <w:b/>
          <w:bCs/>
        </w:rPr>
        <w:t xml:space="preserve"> employee</w:t>
      </w:r>
      <w:r w:rsidRPr="00727374">
        <w:rPr>
          <w:b/>
          <w:bCs/>
        </w:rPr>
        <w:t xml:space="preserve"> FTE as percent of PSCSAA equivalent salary level employees</w:t>
      </w:r>
      <w:r>
        <w:rPr>
          <w:b/>
          <w:bCs/>
        </w:rPr>
        <w:t xml:space="preserve"> </w:t>
      </w:r>
      <w:r w:rsidRPr="00727374">
        <w:rPr>
          <w:b/>
          <w:bCs/>
        </w:rPr>
        <w:t>20</w:t>
      </w:r>
      <w:r>
        <w:rPr>
          <w:b/>
          <w:bCs/>
        </w:rPr>
        <w:t>18</w:t>
      </w:r>
      <w:r>
        <w:rPr>
          <w:b/>
          <w:bCs/>
        </w:rPr>
        <w:noBreakHyphen/>
        <w:t>19</w:t>
      </w:r>
      <w:r w:rsidRPr="00727374">
        <w:rPr>
          <w:b/>
          <w:bCs/>
        </w:rPr>
        <w:t xml:space="preserve"> and 20</w:t>
      </w:r>
      <w:r>
        <w:rPr>
          <w:b/>
          <w:bCs/>
        </w:rPr>
        <w:t>22</w:t>
      </w:r>
      <w:r w:rsidRPr="00727374">
        <w:rPr>
          <w:b/>
          <w:bCs/>
        </w:rPr>
        <w:t>-</w:t>
      </w:r>
      <w:r>
        <w:rPr>
          <w:b/>
          <w:bCs/>
        </w:rPr>
        <w:t>23</w:t>
      </w:r>
    </w:p>
    <w:p w14:paraId="192BC650" w14:textId="63D17FCA" w:rsidR="000D42F1" w:rsidRDefault="00F306B5" w:rsidP="000D42F1">
      <w:pPr>
        <w:pStyle w:val="Caption"/>
        <w:rPr>
          <w:b/>
          <w:bCs/>
        </w:rPr>
      </w:pPr>
      <w:bookmarkStart w:id="48" w:name="_Ref148711708"/>
      <w:bookmarkStart w:id="49" w:name="_Ref84253443"/>
      <w:r w:rsidRPr="007F2168">
        <w:rPr>
          <w:b/>
          <w:bCs/>
          <w:noProof/>
        </w:rPr>
        <w:drawing>
          <wp:inline distT="0" distB="0" distL="0" distR="0" wp14:anchorId="0326E795" wp14:editId="6AF55C39">
            <wp:extent cx="5734050" cy="3834765"/>
            <wp:effectExtent l="0" t="0" r="0" b="13335"/>
            <wp:docPr id="12" name="Chart 12" descr="A bar graph showing the percentage of female public sector employees (in FTE) in each equivalent salary level in 2018-19 and 2022-23. Level 1 and below through to Level 6 equivalent remained fairly consistent between the two time periods. Level 7 equivalent and above have all increased by more than 5 percentage points since 2018-19. ">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48"/>
      <w:bookmarkEnd w:id="49"/>
    </w:p>
    <w:p w14:paraId="3F63B4F1" w14:textId="77777777" w:rsidR="000D42F1" w:rsidRDefault="000D42F1" w:rsidP="000D42F1">
      <w:pPr>
        <w:spacing w:after="0" w:line="240" w:lineRule="auto"/>
        <w:rPr>
          <w:rFonts w:eastAsiaTheme="minorEastAsia"/>
          <w:lang w:eastAsia="en-US"/>
        </w:rPr>
      </w:pPr>
    </w:p>
    <w:p w14:paraId="1A12FEF4" w14:textId="77777777" w:rsidR="00F306B5" w:rsidRDefault="00F306B5" w:rsidP="000D42F1">
      <w:pPr>
        <w:spacing w:after="0" w:line="240" w:lineRule="auto"/>
        <w:rPr>
          <w:rFonts w:eastAsiaTheme="minorEastAsia"/>
          <w:lang w:eastAsia="en-US"/>
        </w:rPr>
      </w:pPr>
      <w:r>
        <w:rPr>
          <w:rFonts w:eastAsiaTheme="minorEastAsia"/>
          <w:lang w:eastAsia="en-US"/>
        </w:rPr>
        <w:br w:type="page"/>
      </w:r>
    </w:p>
    <w:p w14:paraId="6F215F22" w14:textId="73DDABC1" w:rsidR="000D42F1" w:rsidRPr="009B2E78" w:rsidRDefault="000D42F1" w:rsidP="000D42F1">
      <w:pPr>
        <w:spacing w:after="0" w:line="240" w:lineRule="auto"/>
        <w:rPr>
          <w:rFonts w:eastAsiaTheme="minorEastAsia"/>
          <w:lang w:eastAsia="en-US"/>
        </w:rPr>
      </w:pPr>
      <w:r w:rsidRPr="009B2E78">
        <w:rPr>
          <w:rFonts w:eastAsiaTheme="minorEastAsia"/>
          <w:lang w:eastAsia="en-US"/>
        </w:rPr>
        <w:lastRenderedPageBreak/>
        <w:t>There is a notable gender difference among part</w:t>
      </w:r>
      <w:r>
        <w:rPr>
          <w:rFonts w:eastAsiaTheme="minorEastAsia"/>
          <w:lang w:eastAsia="en-US"/>
        </w:rPr>
        <w:t xml:space="preserve"> </w:t>
      </w:r>
      <w:r w:rsidRPr="009B2E78">
        <w:rPr>
          <w:rFonts w:eastAsiaTheme="minorEastAsia"/>
          <w:lang w:eastAsia="en-US"/>
        </w:rPr>
        <w:t>time employees</w:t>
      </w:r>
      <w:r>
        <w:rPr>
          <w:rFonts w:eastAsiaTheme="minorEastAsia"/>
          <w:lang w:eastAsia="en-US"/>
        </w:rPr>
        <w:t xml:space="preserve"> </w:t>
      </w:r>
      <w:r w:rsidRPr="009B2E78">
        <w:rPr>
          <w:rFonts w:eastAsiaTheme="minorEastAsia"/>
          <w:lang w:eastAsia="en-US"/>
        </w:rPr>
        <w:t>in the public sector</w:t>
      </w:r>
      <w:r>
        <w:rPr>
          <w:rFonts w:eastAsiaTheme="minorEastAsia"/>
          <w:lang w:eastAsia="en-US"/>
        </w:rPr>
        <w:t>. In 2022</w:t>
      </w:r>
      <w:r>
        <w:rPr>
          <w:rFonts w:eastAsiaTheme="minorEastAsia"/>
          <w:lang w:eastAsia="en-US"/>
        </w:rPr>
        <w:noBreakHyphen/>
        <w:t>23 there were</w:t>
      </w:r>
      <w:r w:rsidRPr="009B2E78">
        <w:rPr>
          <w:rFonts w:eastAsiaTheme="minorEastAsia"/>
          <w:lang w:eastAsia="en-US"/>
        </w:rPr>
        <w:t xml:space="preserve"> 50,</w:t>
      </w:r>
      <w:r w:rsidRPr="37FE12FB">
        <w:rPr>
          <w:rFonts w:eastAsiaTheme="minorEastAsia"/>
          <w:lang w:eastAsia="en-US"/>
        </w:rPr>
        <w:t>739</w:t>
      </w:r>
      <w:r>
        <w:rPr>
          <w:rFonts w:eastAsiaTheme="minorEastAsia"/>
          <w:lang w:eastAsia="en-US"/>
        </w:rPr>
        <w:t xml:space="preserve"> female part time employees </w:t>
      </w:r>
      <w:r w:rsidRPr="009B2E78">
        <w:rPr>
          <w:rFonts w:eastAsiaTheme="minorEastAsia"/>
          <w:lang w:eastAsia="en-US"/>
        </w:rPr>
        <w:t>compared</w:t>
      </w:r>
      <w:r>
        <w:rPr>
          <w:rFonts w:eastAsiaTheme="minorEastAsia"/>
          <w:lang w:eastAsia="en-US"/>
        </w:rPr>
        <w:t xml:space="preserve"> to 7,188 males (</w:t>
      </w:r>
      <w:r w:rsidR="00785D75">
        <w:rPr>
          <w:rFonts w:eastAsiaTheme="minorEastAsia"/>
          <w:lang w:eastAsia="en-US"/>
        </w:rPr>
        <w:fldChar w:fldCharType="begin"/>
      </w:r>
      <w:r w:rsidR="00785D75">
        <w:rPr>
          <w:rFonts w:eastAsiaTheme="minorEastAsia"/>
          <w:lang w:eastAsia="en-US"/>
        </w:rPr>
        <w:instrText xml:space="preserve"> REF _Ref148970260 \h  \* MERGEFORMAT </w:instrText>
      </w:r>
      <w:r w:rsidR="00785D75">
        <w:rPr>
          <w:rFonts w:eastAsiaTheme="minorEastAsia"/>
          <w:lang w:eastAsia="en-US"/>
        </w:rPr>
      </w:r>
      <w:r w:rsidR="00785D75">
        <w:rPr>
          <w:rFonts w:eastAsiaTheme="minorEastAsia"/>
          <w:lang w:eastAsia="en-US"/>
        </w:rPr>
        <w:fldChar w:fldCharType="separate"/>
      </w:r>
      <w:r w:rsidR="0048418F" w:rsidRPr="0048418F">
        <w:rPr>
          <w:rFonts w:eastAsiaTheme="minorEastAsia"/>
          <w:lang w:eastAsia="en-US"/>
        </w:rPr>
        <w:t>Table 11</w:t>
      </w:r>
      <w:r w:rsidR="00785D75">
        <w:rPr>
          <w:rFonts w:eastAsiaTheme="minorEastAsia"/>
          <w:lang w:eastAsia="en-US"/>
        </w:rPr>
        <w:fldChar w:fldCharType="end"/>
      </w:r>
      <w:r>
        <w:rPr>
          <w:rFonts w:eastAsiaTheme="minorEastAsia"/>
          <w:lang w:eastAsia="en-US"/>
        </w:rPr>
        <w:t>)</w:t>
      </w:r>
      <w:r w:rsidRPr="009B2E78">
        <w:rPr>
          <w:rFonts w:eastAsiaTheme="minorEastAsia"/>
          <w:lang w:eastAsia="en-US"/>
        </w:rPr>
        <w:t>.</w:t>
      </w:r>
      <w:r>
        <w:rPr>
          <w:rFonts w:eastAsiaTheme="minorEastAsia"/>
          <w:lang w:eastAsia="en-US"/>
        </w:rPr>
        <w:t xml:space="preserve"> The percentage of female employees is higher than the percentage of male employees at every equivalent salary level. </w:t>
      </w:r>
      <w:r w:rsidRPr="009B2E78">
        <w:rPr>
          <w:rFonts w:eastAsiaTheme="minorEastAsia"/>
          <w:lang w:eastAsia="en-US"/>
        </w:rPr>
        <w:t xml:space="preserve">Level 1 and below </w:t>
      </w:r>
      <w:r>
        <w:rPr>
          <w:rFonts w:eastAsiaTheme="minorEastAsia"/>
          <w:lang w:eastAsia="en-US"/>
        </w:rPr>
        <w:t>had</w:t>
      </w:r>
      <w:r w:rsidRPr="009B2E78">
        <w:rPr>
          <w:rFonts w:eastAsiaTheme="minorEastAsia"/>
          <w:lang w:eastAsia="en-US"/>
        </w:rPr>
        <w:t xml:space="preserve"> the highest headcount of female part</w:t>
      </w:r>
      <w:r>
        <w:rPr>
          <w:rFonts w:eastAsiaTheme="minorEastAsia"/>
          <w:lang w:eastAsia="en-US"/>
        </w:rPr>
        <w:t xml:space="preserve"> </w:t>
      </w:r>
      <w:r w:rsidRPr="009B2E78">
        <w:rPr>
          <w:rFonts w:eastAsiaTheme="minorEastAsia"/>
          <w:lang w:eastAsia="en-US"/>
        </w:rPr>
        <w:t xml:space="preserve">time employees totalling </w:t>
      </w:r>
      <w:r w:rsidRPr="37FE12FB">
        <w:rPr>
          <w:rFonts w:eastAsiaTheme="minorEastAsia"/>
          <w:lang w:eastAsia="en-US"/>
        </w:rPr>
        <w:t>14,619</w:t>
      </w:r>
      <w:r w:rsidRPr="009B2E78">
        <w:rPr>
          <w:rFonts w:eastAsiaTheme="minorEastAsia"/>
          <w:lang w:eastAsia="en-US"/>
        </w:rPr>
        <w:t xml:space="preserve"> in 2022-23.</w:t>
      </w:r>
    </w:p>
    <w:p w14:paraId="6E4B9688" w14:textId="77777777" w:rsidR="000D42F1" w:rsidRPr="009B2E78" w:rsidRDefault="000D42F1" w:rsidP="000D42F1">
      <w:pPr>
        <w:spacing w:after="0" w:line="240" w:lineRule="auto"/>
        <w:rPr>
          <w:rFonts w:eastAsiaTheme="minorEastAsia"/>
          <w:lang w:eastAsia="en-US"/>
        </w:rPr>
      </w:pPr>
    </w:p>
    <w:p w14:paraId="64DAD0EC" w14:textId="6AEF14A6" w:rsidR="000D42F1" w:rsidRPr="008734AB" w:rsidRDefault="000D42F1" w:rsidP="000D42F1">
      <w:pPr>
        <w:pStyle w:val="Caption"/>
      </w:pPr>
      <w:bookmarkStart w:id="50" w:name="_Ref148970260"/>
      <w:r w:rsidRPr="00785D75">
        <w:rPr>
          <w:b/>
          <w:bCs/>
        </w:rPr>
        <w:t xml:space="preserve">Table </w:t>
      </w:r>
      <w:r w:rsidRPr="00785D75">
        <w:rPr>
          <w:b/>
          <w:bCs/>
        </w:rPr>
        <w:fldChar w:fldCharType="begin"/>
      </w:r>
      <w:r w:rsidRPr="00785D75">
        <w:rPr>
          <w:b/>
          <w:bCs/>
        </w:rPr>
        <w:instrText xml:space="preserve"> SEQ Table \* ARABIC </w:instrText>
      </w:r>
      <w:r w:rsidRPr="00785D75">
        <w:rPr>
          <w:b/>
          <w:bCs/>
        </w:rPr>
        <w:fldChar w:fldCharType="separate"/>
      </w:r>
      <w:r w:rsidR="0048418F">
        <w:rPr>
          <w:b/>
          <w:bCs/>
          <w:noProof/>
        </w:rPr>
        <w:t>11</w:t>
      </w:r>
      <w:r w:rsidRPr="00785D75">
        <w:rPr>
          <w:b/>
          <w:bCs/>
        </w:rPr>
        <w:fldChar w:fldCharType="end"/>
      </w:r>
      <w:bookmarkEnd w:id="50"/>
      <w:r>
        <w:rPr>
          <w:b/>
          <w:bCs/>
        </w:rPr>
        <w:t xml:space="preserve">: Part </w:t>
      </w:r>
      <w:r w:rsidR="002815EC">
        <w:rPr>
          <w:b/>
          <w:bCs/>
        </w:rPr>
        <w:t>t</w:t>
      </w:r>
      <w:r>
        <w:rPr>
          <w:b/>
          <w:bCs/>
        </w:rPr>
        <w:t xml:space="preserve">ime </w:t>
      </w:r>
      <w:r w:rsidR="001A1369">
        <w:rPr>
          <w:b/>
          <w:bCs/>
        </w:rPr>
        <w:t>public sector</w:t>
      </w:r>
      <w:r>
        <w:rPr>
          <w:b/>
          <w:bCs/>
        </w:rPr>
        <w:t xml:space="preserve"> employee headcount by gender and </w:t>
      </w:r>
      <w:r w:rsidRPr="00727374">
        <w:rPr>
          <w:b/>
          <w:bCs/>
        </w:rPr>
        <w:t>PSCSAA equivalent salary level</w:t>
      </w:r>
      <w:r>
        <w:rPr>
          <w:b/>
          <w:bCs/>
        </w:rPr>
        <w:t xml:space="preserve"> 2022-23</w:t>
      </w:r>
    </w:p>
    <w:tbl>
      <w:tblPr>
        <w:tblW w:w="9349"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11: Part time public sector employee headcount by gender and PSCSAA equivalent salary level 2022-23"/>
      </w:tblPr>
      <w:tblGrid>
        <w:gridCol w:w="3229"/>
        <w:gridCol w:w="1020"/>
        <w:gridCol w:w="1020"/>
        <w:gridCol w:w="1020"/>
        <w:gridCol w:w="1020"/>
        <w:gridCol w:w="1020"/>
        <w:gridCol w:w="1020"/>
      </w:tblGrid>
      <w:tr w:rsidR="000D42F1" w:rsidRPr="004836DA" w14:paraId="239BE30E" w14:textId="77777777" w:rsidTr="00F306B5">
        <w:trPr>
          <w:trHeight w:val="315"/>
        </w:trPr>
        <w:tc>
          <w:tcPr>
            <w:tcW w:w="0" w:type="auto"/>
            <w:shd w:val="clear" w:color="auto" w:fill="auto"/>
            <w:noWrap/>
            <w:hideMark/>
          </w:tcPr>
          <w:p w14:paraId="398DCEC4" w14:textId="77777777" w:rsidR="000D42F1" w:rsidRPr="004836DA" w:rsidRDefault="000D42F1" w:rsidP="00F306B5">
            <w:pPr>
              <w:spacing w:after="0" w:line="240" w:lineRule="auto"/>
              <w:rPr>
                <w:b/>
                <w:bCs/>
                <w:color w:val="2E74B5"/>
                <w:sz w:val="20"/>
                <w:szCs w:val="20"/>
                <w:lang w:eastAsia="zh-CN" w:bidi="th-TH"/>
              </w:rPr>
            </w:pPr>
            <w:r w:rsidRPr="004836DA">
              <w:rPr>
                <w:b/>
                <w:bCs/>
                <w:color w:val="2E74B5"/>
                <w:sz w:val="20"/>
                <w:szCs w:val="20"/>
                <w:lang w:eastAsia="zh-CN" w:bidi="th-TH"/>
              </w:rPr>
              <w:t xml:space="preserve">PSCSAA equivalent salary level </w:t>
            </w:r>
          </w:p>
        </w:tc>
        <w:tc>
          <w:tcPr>
            <w:tcW w:w="1020" w:type="dxa"/>
            <w:shd w:val="clear" w:color="auto" w:fill="auto"/>
            <w:noWrap/>
            <w:hideMark/>
          </w:tcPr>
          <w:p w14:paraId="104217AA" w14:textId="163B99C7" w:rsidR="000D42F1" w:rsidRPr="004836DA" w:rsidRDefault="000D42F1" w:rsidP="00F306B5">
            <w:pPr>
              <w:spacing w:after="0" w:line="240" w:lineRule="auto"/>
              <w:jc w:val="right"/>
              <w:rPr>
                <w:b/>
                <w:bCs/>
                <w:color w:val="2E74B5"/>
                <w:sz w:val="20"/>
                <w:szCs w:val="20"/>
                <w:lang w:eastAsia="zh-CN" w:bidi="th-TH"/>
              </w:rPr>
            </w:pPr>
            <w:r>
              <w:rPr>
                <w:b/>
                <w:bCs/>
                <w:color w:val="2E74B5"/>
                <w:sz w:val="20"/>
                <w:szCs w:val="20"/>
                <w:lang w:eastAsia="zh-CN" w:bidi="th-TH"/>
              </w:rPr>
              <w:t xml:space="preserve">Female </w:t>
            </w:r>
            <w:r w:rsidR="002E41BB">
              <w:rPr>
                <w:b/>
                <w:bCs/>
                <w:color w:val="2E74B5"/>
                <w:sz w:val="20"/>
                <w:szCs w:val="20"/>
                <w:lang w:eastAsia="zh-CN" w:bidi="th-TH"/>
              </w:rPr>
              <w:t>t</w:t>
            </w:r>
            <w:r w:rsidRPr="004836DA">
              <w:rPr>
                <w:b/>
                <w:bCs/>
                <w:color w:val="2E74B5"/>
                <w:sz w:val="20"/>
                <w:szCs w:val="20"/>
                <w:lang w:eastAsia="zh-CN" w:bidi="th-TH"/>
              </w:rPr>
              <w:t>otal</w:t>
            </w:r>
          </w:p>
        </w:tc>
        <w:tc>
          <w:tcPr>
            <w:tcW w:w="1020" w:type="dxa"/>
            <w:shd w:val="clear" w:color="auto" w:fill="auto"/>
            <w:noWrap/>
            <w:hideMark/>
          </w:tcPr>
          <w:p w14:paraId="52927BCB" w14:textId="47218EF4" w:rsidR="000D42F1" w:rsidRPr="004836DA" w:rsidRDefault="000D42F1" w:rsidP="00F306B5">
            <w:pPr>
              <w:spacing w:after="0" w:line="240" w:lineRule="auto"/>
              <w:jc w:val="right"/>
              <w:rPr>
                <w:b/>
                <w:bCs/>
                <w:color w:val="2E74B5"/>
                <w:sz w:val="20"/>
                <w:szCs w:val="20"/>
                <w:lang w:eastAsia="zh-CN" w:bidi="th-TH"/>
              </w:rPr>
            </w:pPr>
            <w:r>
              <w:rPr>
                <w:b/>
                <w:bCs/>
                <w:color w:val="2E74B5"/>
                <w:sz w:val="20"/>
                <w:szCs w:val="20"/>
                <w:lang w:eastAsia="zh-CN" w:bidi="th-TH"/>
              </w:rPr>
              <w:t xml:space="preserve">Female </w:t>
            </w:r>
            <w:r w:rsidR="004015E2" w:rsidRPr="00E22288">
              <w:rPr>
                <w:b/>
                <w:bCs/>
                <w:color w:val="2E74B5"/>
                <w:sz w:val="20"/>
                <w:szCs w:val="20"/>
                <w:lang w:eastAsia="zh-CN" w:bidi="th-TH"/>
              </w:rPr>
              <w:t>p</w:t>
            </w:r>
            <w:r w:rsidRPr="004836DA">
              <w:rPr>
                <w:b/>
                <w:bCs/>
                <w:color w:val="2E74B5"/>
                <w:sz w:val="20"/>
                <w:szCs w:val="20"/>
                <w:lang w:eastAsia="zh-CN" w:bidi="th-TH"/>
              </w:rPr>
              <w:t>art time</w:t>
            </w:r>
          </w:p>
        </w:tc>
        <w:tc>
          <w:tcPr>
            <w:tcW w:w="1020" w:type="dxa"/>
            <w:shd w:val="clear" w:color="auto" w:fill="auto"/>
            <w:noWrap/>
            <w:hideMark/>
          </w:tcPr>
          <w:p w14:paraId="58A40CF0" w14:textId="77777777" w:rsidR="000D42F1" w:rsidRDefault="000D42F1" w:rsidP="00F306B5">
            <w:pPr>
              <w:spacing w:after="0" w:line="240" w:lineRule="auto"/>
              <w:jc w:val="right"/>
              <w:rPr>
                <w:b/>
                <w:bCs/>
                <w:color w:val="2E74B5"/>
                <w:sz w:val="20"/>
                <w:szCs w:val="20"/>
                <w:lang w:eastAsia="zh-CN" w:bidi="th-TH"/>
              </w:rPr>
            </w:pPr>
            <w:r>
              <w:rPr>
                <w:b/>
                <w:bCs/>
                <w:color w:val="2E74B5"/>
                <w:sz w:val="20"/>
                <w:szCs w:val="20"/>
                <w:lang w:eastAsia="zh-CN" w:bidi="th-TH"/>
              </w:rPr>
              <w:t>Female</w:t>
            </w:r>
          </w:p>
          <w:p w14:paraId="28912623" w14:textId="77777777" w:rsidR="000D42F1" w:rsidRPr="004836DA" w:rsidRDefault="000D42F1" w:rsidP="00F306B5">
            <w:pPr>
              <w:spacing w:after="0" w:line="240" w:lineRule="auto"/>
              <w:jc w:val="right"/>
              <w:rPr>
                <w:b/>
                <w:bCs/>
                <w:color w:val="2E74B5"/>
                <w:sz w:val="20"/>
                <w:szCs w:val="20"/>
                <w:lang w:eastAsia="zh-CN" w:bidi="th-TH"/>
              </w:rPr>
            </w:pPr>
            <w:r w:rsidRPr="004836DA">
              <w:rPr>
                <w:b/>
                <w:bCs/>
                <w:color w:val="2E74B5"/>
                <w:sz w:val="20"/>
                <w:szCs w:val="20"/>
                <w:lang w:eastAsia="zh-CN" w:bidi="th-TH"/>
              </w:rPr>
              <w:t>% part time</w:t>
            </w:r>
          </w:p>
        </w:tc>
        <w:tc>
          <w:tcPr>
            <w:tcW w:w="1020" w:type="dxa"/>
            <w:shd w:val="clear" w:color="auto" w:fill="auto"/>
            <w:noWrap/>
            <w:hideMark/>
          </w:tcPr>
          <w:p w14:paraId="6370C31C" w14:textId="77777777" w:rsidR="000D42F1" w:rsidRDefault="000D42F1" w:rsidP="00F306B5">
            <w:pPr>
              <w:spacing w:after="0" w:line="240" w:lineRule="auto"/>
              <w:jc w:val="right"/>
              <w:rPr>
                <w:b/>
                <w:bCs/>
                <w:color w:val="2E74B5"/>
                <w:sz w:val="20"/>
                <w:szCs w:val="20"/>
                <w:lang w:eastAsia="zh-CN" w:bidi="th-TH"/>
              </w:rPr>
            </w:pPr>
            <w:r>
              <w:rPr>
                <w:b/>
                <w:bCs/>
                <w:color w:val="2E74B5"/>
                <w:sz w:val="20"/>
                <w:szCs w:val="20"/>
                <w:lang w:eastAsia="zh-CN" w:bidi="th-TH"/>
              </w:rPr>
              <w:t>Male</w:t>
            </w:r>
          </w:p>
          <w:p w14:paraId="77FA046D" w14:textId="078729AF" w:rsidR="000D42F1" w:rsidRPr="004836DA" w:rsidRDefault="002E41BB" w:rsidP="00F306B5">
            <w:pPr>
              <w:spacing w:after="0" w:line="240" w:lineRule="auto"/>
              <w:jc w:val="right"/>
              <w:rPr>
                <w:b/>
                <w:bCs/>
                <w:color w:val="2E74B5"/>
                <w:sz w:val="20"/>
                <w:szCs w:val="20"/>
                <w:lang w:eastAsia="zh-CN" w:bidi="th-TH"/>
              </w:rPr>
            </w:pPr>
            <w:r>
              <w:rPr>
                <w:b/>
                <w:bCs/>
                <w:color w:val="2E74B5"/>
                <w:sz w:val="20"/>
                <w:szCs w:val="20"/>
                <w:lang w:eastAsia="zh-CN" w:bidi="th-TH"/>
              </w:rPr>
              <w:t>t</w:t>
            </w:r>
            <w:r w:rsidR="000D42F1" w:rsidRPr="004836DA">
              <w:rPr>
                <w:b/>
                <w:bCs/>
                <w:color w:val="2E74B5"/>
                <w:sz w:val="20"/>
                <w:szCs w:val="20"/>
                <w:lang w:eastAsia="zh-CN" w:bidi="th-TH"/>
              </w:rPr>
              <w:t xml:space="preserve">otal </w:t>
            </w:r>
          </w:p>
        </w:tc>
        <w:tc>
          <w:tcPr>
            <w:tcW w:w="1020" w:type="dxa"/>
            <w:shd w:val="clear" w:color="auto" w:fill="auto"/>
            <w:noWrap/>
            <w:hideMark/>
          </w:tcPr>
          <w:p w14:paraId="4D88C215" w14:textId="77777777" w:rsidR="000D42F1" w:rsidRDefault="000D42F1" w:rsidP="00F306B5">
            <w:pPr>
              <w:spacing w:after="0" w:line="240" w:lineRule="auto"/>
              <w:jc w:val="right"/>
              <w:rPr>
                <w:b/>
                <w:bCs/>
                <w:color w:val="2E74B5"/>
                <w:sz w:val="20"/>
                <w:szCs w:val="20"/>
                <w:lang w:eastAsia="zh-CN" w:bidi="th-TH"/>
              </w:rPr>
            </w:pPr>
            <w:r>
              <w:rPr>
                <w:b/>
                <w:bCs/>
                <w:color w:val="2E74B5"/>
                <w:sz w:val="20"/>
                <w:szCs w:val="20"/>
                <w:lang w:eastAsia="zh-CN" w:bidi="th-TH"/>
              </w:rPr>
              <w:t>Male</w:t>
            </w:r>
          </w:p>
          <w:p w14:paraId="128A7C78" w14:textId="2D47B667" w:rsidR="000D42F1" w:rsidRPr="004836DA" w:rsidRDefault="004015E2" w:rsidP="00F306B5">
            <w:pPr>
              <w:spacing w:after="0" w:line="240" w:lineRule="auto"/>
              <w:jc w:val="right"/>
              <w:rPr>
                <w:b/>
                <w:bCs/>
                <w:color w:val="2E74B5"/>
                <w:sz w:val="20"/>
                <w:szCs w:val="20"/>
                <w:lang w:eastAsia="zh-CN" w:bidi="th-TH"/>
              </w:rPr>
            </w:pPr>
            <w:r w:rsidRPr="00E22288">
              <w:rPr>
                <w:b/>
                <w:bCs/>
                <w:color w:val="2E74B5"/>
                <w:sz w:val="20"/>
                <w:szCs w:val="20"/>
                <w:lang w:eastAsia="zh-CN" w:bidi="th-TH"/>
              </w:rPr>
              <w:t>p</w:t>
            </w:r>
            <w:r w:rsidR="000D42F1" w:rsidRPr="004836DA">
              <w:rPr>
                <w:b/>
                <w:bCs/>
                <w:color w:val="2E74B5"/>
                <w:sz w:val="20"/>
                <w:szCs w:val="20"/>
                <w:lang w:eastAsia="zh-CN" w:bidi="th-TH"/>
              </w:rPr>
              <w:t>art time</w:t>
            </w:r>
          </w:p>
        </w:tc>
        <w:tc>
          <w:tcPr>
            <w:tcW w:w="1020" w:type="dxa"/>
            <w:shd w:val="clear" w:color="auto" w:fill="auto"/>
            <w:noWrap/>
            <w:hideMark/>
          </w:tcPr>
          <w:p w14:paraId="65D5BD17" w14:textId="77777777" w:rsidR="000D42F1" w:rsidRDefault="000D42F1" w:rsidP="00F306B5">
            <w:pPr>
              <w:spacing w:after="0" w:line="240" w:lineRule="auto"/>
              <w:jc w:val="right"/>
              <w:rPr>
                <w:b/>
                <w:bCs/>
                <w:color w:val="2E74B5"/>
                <w:sz w:val="20"/>
                <w:szCs w:val="20"/>
                <w:lang w:eastAsia="zh-CN" w:bidi="th-TH"/>
              </w:rPr>
            </w:pPr>
            <w:r>
              <w:rPr>
                <w:b/>
                <w:bCs/>
                <w:color w:val="2E74B5"/>
                <w:sz w:val="20"/>
                <w:szCs w:val="20"/>
                <w:lang w:eastAsia="zh-CN" w:bidi="th-TH"/>
              </w:rPr>
              <w:t>Male</w:t>
            </w:r>
          </w:p>
          <w:p w14:paraId="53C40FB8" w14:textId="77777777" w:rsidR="000D42F1" w:rsidRPr="004836DA" w:rsidRDefault="000D42F1" w:rsidP="00F306B5">
            <w:pPr>
              <w:spacing w:after="0" w:line="240" w:lineRule="auto"/>
              <w:jc w:val="right"/>
              <w:rPr>
                <w:b/>
                <w:bCs/>
                <w:color w:val="2E74B5"/>
                <w:sz w:val="20"/>
                <w:szCs w:val="20"/>
                <w:lang w:eastAsia="zh-CN" w:bidi="th-TH"/>
              </w:rPr>
            </w:pPr>
            <w:r w:rsidRPr="004836DA">
              <w:rPr>
                <w:b/>
                <w:bCs/>
                <w:color w:val="2E74B5"/>
                <w:sz w:val="20"/>
                <w:szCs w:val="20"/>
                <w:lang w:eastAsia="zh-CN" w:bidi="th-TH"/>
              </w:rPr>
              <w:t>% part time</w:t>
            </w:r>
          </w:p>
        </w:tc>
      </w:tr>
      <w:tr w:rsidR="000D42F1" w:rsidRPr="004836DA" w14:paraId="14FF3E21" w14:textId="77777777" w:rsidTr="00F306B5">
        <w:trPr>
          <w:trHeight w:val="340"/>
        </w:trPr>
        <w:tc>
          <w:tcPr>
            <w:tcW w:w="0" w:type="auto"/>
            <w:shd w:val="clear" w:color="auto" w:fill="auto"/>
            <w:noWrap/>
            <w:vAlign w:val="bottom"/>
            <w:hideMark/>
          </w:tcPr>
          <w:p w14:paraId="2E62686E"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1 and below</w:t>
            </w:r>
          </w:p>
        </w:tc>
        <w:tc>
          <w:tcPr>
            <w:tcW w:w="1020" w:type="dxa"/>
            <w:shd w:val="clear" w:color="auto" w:fill="auto"/>
            <w:noWrap/>
            <w:vAlign w:val="center"/>
            <w:hideMark/>
          </w:tcPr>
          <w:p w14:paraId="104CFD5C"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29,252</w:t>
            </w:r>
          </w:p>
        </w:tc>
        <w:tc>
          <w:tcPr>
            <w:tcW w:w="1020" w:type="dxa"/>
            <w:shd w:val="clear" w:color="auto" w:fill="auto"/>
            <w:noWrap/>
            <w:vAlign w:val="center"/>
            <w:hideMark/>
          </w:tcPr>
          <w:p w14:paraId="74A06B24"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14,619</w:t>
            </w:r>
          </w:p>
        </w:tc>
        <w:tc>
          <w:tcPr>
            <w:tcW w:w="1020" w:type="dxa"/>
            <w:shd w:val="clear" w:color="auto" w:fill="auto"/>
            <w:noWrap/>
            <w:vAlign w:val="center"/>
            <w:hideMark/>
          </w:tcPr>
          <w:p w14:paraId="493B312C" w14:textId="4C944F20"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50.0</w:t>
            </w:r>
            <w:r w:rsidR="0035305B">
              <w:rPr>
                <w:color w:val="000000"/>
                <w:sz w:val="20"/>
                <w:szCs w:val="20"/>
                <w:lang w:eastAsia="zh-CN" w:bidi="th-TH"/>
              </w:rPr>
              <w:t>%</w:t>
            </w:r>
          </w:p>
        </w:tc>
        <w:tc>
          <w:tcPr>
            <w:tcW w:w="1020" w:type="dxa"/>
            <w:shd w:val="clear" w:color="auto" w:fill="auto"/>
            <w:noWrap/>
            <w:vAlign w:val="center"/>
            <w:hideMark/>
          </w:tcPr>
          <w:p w14:paraId="7EDA50CD"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6,854</w:t>
            </w:r>
          </w:p>
        </w:tc>
        <w:tc>
          <w:tcPr>
            <w:tcW w:w="1020" w:type="dxa"/>
            <w:shd w:val="clear" w:color="auto" w:fill="auto"/>
            <w:noWrap/>
            <w:vAlign w:val="center"/>
            <w:hideMark/>
          </w:tcPr>
          <w:p w14:paraId="185AD74A"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2,244</w:t>
            </w:r>
          </w:p>
        </w:tc>
        <w:tc>
          <w:tcPr>
            <w:tcW w:w="1020" w:type="dxa"/>
            <w:shd w:val="clear" w:color="auto" w:fill="auto"/>
            <w:noWrap/>
            <w:vAlign w:val="center"/>
            <w:hideMark/>
          </w:tcPr>
          <w:p w14:paraId="7001ED73" w14:textId="30854533"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32.7</w:t>
            </w:r>
            <w:r w:rsidR="0035305B">
              <w:rPr>
                <w:color w:val="000000"/>
                <w:sz w:val="20"/>
                <w:szCs w:val="20"/>
                <w:lang w:eastAsia="zh-CN" w:bidi="th-TH"/>
              </w:rPr>
              <w:t>%</w:t>
            </w:r>
          </w:p>
        </w:tc>
      </w:tr>
      <w:tr w:rsidR="000D42F1" w:rsidRPr="004836DA" w14:paraId="12078FCB" w14:textId="77777777" w:rsidTr="00F306B5">
        <w:trPr>
          <w:trHeight w:val="340"/>
        </w:trPr>
        <w:tc>
          <w:tcPr>
            <w:tcW w:w="0" w:type="auto"/>
            <w:shd w:val="clear" w:color="auto" w:fill="auto"/>
            <w:noWrap/>
            <w:vAlign w:val="bottom"/>
            <w:hideMark/>
          </w:tcPr>
          <w:p w14:paraId="1EFF3A74"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2</w:t>
            </w:r>
          </w:p>
        </w:tc>
        <w:tc>
          <w:tcPr>
            <w:tcW w:w="1020" w:type="dxa"/>
            <w:shd w:val="clear" w:color="auto" w:fill="auto"/>
            <w:noWrap/>
            <w:vAlign w:val="center"/>
            <w:hideMark/>
          </w:tcPr>
          <w:p w14:paraId="40722C0A"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13,785</w:t>
            </w:r>
          </w:p>
        </w:tc>
        <w:tc>
          <w:tcPr>
            <w:tcW w:w="1020" w:type="dxa"/>
            <w:shd w:val="clear" w:color="auto" w:fill="auto"/>
            <w:noWrap/>
            <w:vAlign w:val="center"/>
            <w:hideMark/>
          </w:tcPr>
          <w:p w14:paraId="77104270"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6,903</w:t>
            </w:r>
          </w:p>
        </w:tc>
        <w:tc>
          <w:tcPr>
            <w:tcW w:w="1020" w:type="dxa"/>
            <w:shd w:val="clear" w:color="auto" w:fill="auto"/>
            <w:noWrap/>
            <w:vAlign w:val="center"/>
            <w:hideMark/>
          </w:tcPr>
          <w:p w14:paraId="45D1B57A" w14:textId="75CC63A2"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50.1</w:t>
            </w:r>
            <w:r w:rsidR="0035305B">
              <w:rPr>
                <w:color w:val="000000"/>
                <w:sz w:val="20"/>
                <w:szCs w:val="20"/>
                <w:lang w:eastAsia="zh-CN" w:bidi="th-TH"/>
              </w:rPr>
              <w:t>%</w:t>
            </w:r>
          </w:p>
        </w:tc>
        <w:tc>
          <w:tcPr>
            <w:tcW w:w="1020" w:type="dxa"/>
            <w:shd w:val="clear" w:color="auto" w:fill="auto"/>
            <w:noWrap/>
            <w:vAlign w:val="center"/>
            <w:hideMark/>
          </w:tcPr>
          <w:p w14:paraId="192BEDA7"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3,259</w:t>
            </w:r>
          </w:p>
        </w:tc>
        <w:tc>
          <w:tcPr>
            <w:tcW w:w="1020" w:type="dxa"/>
            <w:shd w:val="clear" w:color="auto" w:fill="auto"/>
            <w:noWrap/>
            <w:vAlign w:val="center"/>
            <w:hideMark/>
          </w:tcPr>
          <w:p w14:paraId="4548DB76"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631</w:t>
            </w:r>
          </w:p>
        </w:tc>
        <w:tc>
          <w:tcPr>
            <w:tcW w:w="1020" w:type="dxa"/>
            <w:shd w:val="clear" w:color="auto" w:fill="auto"/>
            <w:noWrap/>
            <w:vAlign w:val="center"/>
            <w:hideMark/>
          </w:tcPr>
          <w:p w14:paraId="171815C3" w14:textId="2EEF0018"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19.4</w:t>
            </w:r>
            <w:r w:rsidR="0035305B">
              <w:rPr>
                <w:color w:val="000000"/>
                <w:sz w:val="20"/>
                <w:szCs w:val="20"/>
                <w:lang w:eastAsia="zh-CN" w:bidi="th-TH"/>
              </w:rPr>
              <w:t>%</w:t>
            </w:r>
          </w:p>
        </w:tc>
      </w:tr>
      <w:tr w:rsidR="000D42F1" w:rsidRPr="004836DA" w14:paraId="38299BB2" w14:textId="77777777" w:rsidTr="00F306B5">
        <w:trPr>
          <w:trHeight w:val="340"/>
        </w:trPr>
        <w:tc>
          <w:tcPr>
            <w:tcW w:w="0" w:type="auto"/>
            <w:shd w:val="clear" w:color="auto" w:fill="auto"/>
            <w:noWrap/>
            <w:vAlign w:val="bottom"/>
            <w:hideMark/>
          </w:tcPr>
          <w:p w14:paraId="472409D4"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3</w:t>
            </w:r>
          </w:p>
        </w:tc>
        <w:tc>
          <w:tcPr>
            <w:tcW w:w="1020" w:type="dxa"/>
            <w:shd w:val="clear" w:color="auto" w:fill="auto"/>
            <w:noWrap/>
            <w:vAlign w:val="center"/>
            <w:hideMark/>
          </w:tcPr>
          <w:p w14:paraId="4C99F4DD"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10,581</w:t>
            </w:r>
          </w:p>
        </w:tc>
        <w:tc>
          <w:tcPr>
            <w:tcW w:w="1020" w:type="dxa"/>
            <w:shd w:val="clear" w:color="auto" w:fill="auto"/>
            <w:noWrap/>
            <w:vAlign w:val="center"/>
            <w:hideMark/>
          </w:tcPr>
          <w:p w14:paraId="49539CE0"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3,600</w:t>
            </w:r>
          </w:p>
        </w:tc>
        <w:tc>
          <w:tcPr>
            <w:tcW w:w="1020" w:type="dxa"/>
            <w:shd w:val="clear" w:color="auto" w:fill="auto"/>
            <w:noWrap/>
            <w:vAlign w:val="center"/>
            <w:hideMark/>
          </w:tcPr>
          <w:p w14:paraId="27B60801" w14:textId="0C931E71"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34.0</w:t>
            </w:r>
            <w:r w:rsidR="0035305B">
              <w:rPr>
                <w:color w:val="000000"/>
                <w:sz w:val="20"/>
                <w:szCs w:val="20"/>
                <w:lang w:eastAsia="zh-CN" w:bidi="th-TH"/>
              </w:rPr>
              <w:t>%</w:t>
            </w:r>
          </w:p>
        </w:tc>
        <w:tc>
          <w:tcPr>
            <w:tcW w:w="1020" w:type="dxa"/>
            <w:shd w:val="clear" w:color="auto" w:fill="auto"/>
            <w:noWrap/>
            <w:vAlign w:val="center"/>
            <w:hideMark/>
          </w:tcPr>
          <w:p w14:paraId="0D5DE4E9"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4,000</w:t>
            </w:r>
          </w:p>
        </w:tc>
        <w:tc>
          <w:tcPr>
            <w:tcW w:w="1020" w:type="dxa"/>
            <w:shd w:val="clear" w:color="auto" w:fill="auto"/>
            <w:noWrap/>
            <w:vAlign w:val="center"/>
            <w:hideMark/>
          </w:tcPr>
          <w:p w14:paraId="66236A40"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455</w:t>
            </w:r>
          </w:p>
        </w:tc>
        <w:tc>
          <w:tcPr>
            <w:tcW w:w="1020" w:type="dxa"/>
            <w:shd w:val="clear" w:color="auto" w:fill="auto"/>
            <w:noWrap/>
            <w:vAlign w:val="center"/>
            <w:hideMark/>
          </w:tcPr>
          <w:p w14:paraId="77B00E82" w14:textId="2208C903"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11.4</w:t>
            </w:r>
            <w:r w:rsidR="0035305B">
              <w:rPr>
                <w:color w:val="000000"/>
                <w:sz w:val="20"/>
                <w:szCs w:val="20"/>
                <w:lang w:eastAsia="zh-CN" w:bidi="th-TH"/>
              </w:rPr>
              <w:t>%</w:t>
            </w:r>
          </w:p>
        </w:tc>
      </w:tr>
      <w:tr w:rsidR="000D42F1" w:rsidRPr="004836DA" w14:paraId="2C1F6ECD" w14:textId="77777777" w:rsidTr="00F306B5">
        <w:trPr>
          <w:trHeight w:val="340"/>
        </w:trPr>
        <w:tc>
          <w:tcPr>
            <w:tcW w:w="0" w:type="auto"/>
            <w:shd w:val="clear" w:color="auto" w:fill="auto"/>
            <w:noWrap/>
            <w:vAlign w:val="bottom"/>
            <w:hideMark/>
          </w:tcPr>
          <w:p w14:paraId="2F46C8EB"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4</w:t>
            </w:r>
          </w:p>
        </w:tc>
        <w:tc>
          <w:tcPr>
            <w:tcW w:w="1020" w:type="dxa"/>
            <w:shd w:val="clear" w:color="auto" w:fill="auto"/>
            <w:noWrap/>
            <w:vAlign w:val="center"/>
            <w:hideMark/>
          </w:tcPr>
          <w:p w14:paraId="49969D43"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9,673</w:t>
            </w:r>
          </w:p>
        </w:tc>
        <w:tc>
          <w:tcPr>
            <w:tcW w:w="1020" w:type="dxa"/>
            <w:shd w:val="clear" w:color="auto" w:fill="auto"/>
            <w:noWrap/>
            <w:vAlign w:val="center"/>
            <w:hideMark/>
          </w:tcPr>
          <w:p w14:paraId="321BEE87"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3,390</w:t>
            </w:r>
          </w:p>
        </w:tc>
        <w:tc>
          <w:tcPr>
            <w:tcW w:w="1020" w:type="dxa"/>
            <w:shd w:val="clear" w:color="auto" w:fill="auto"/>
            <w:noWrap/>
            <w:vAlign w:val="center"/>
            <w:hideMark/>
          </w:tcPr>
          <w:p w14:paraId="749A8D0D" w14:textId="7D4BA209"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35.0</w:t>
            </w:r>
            <w:r w:rsidR="0035305B">
              <w:rPr>
                <w:color w:val="000000"/>
                <w:sz w:val="20"/>
                <w:szCs w:val="20"/>
                <w:lang w:eastAsia="zh-CN" w:bidi="th-TH"/>
              </w:rPr>
              <w:t>%</w:t>
            </w:r>
          </w:p>
        </w:tc>
        <w:tc>
          <w:tcPr>
            <w:tcW w:w="1020" w:type="dxa"/>
            <w:shd w:val="clear" w:color="auto" w:fill="auto"/>
            <w:noWrap/>
            <w:vAlign w:val="center"/>
            <w:hideMark/>
          </w:tcPr>
          <w:p w14:paraId="68222E05"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4,523</w:t>
            </w:r>
          </w:p>
        </w:tc>
        <w:tc>
          <w:tcPr>
            <w:tcW w:w="1020" w:type="dxa"/>
            <w:shd w:val="clear" w:color="auto" w:fill="auto"/>
            <w:noWrap/>
            <w:vAlign w:val="center"/>
            <w:hideMark/>
          </w:tcPr>
          <w:p w14:paraId="024C713A"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450</w:t>
            </w:r>
          </w:p>
        </w:tc>
        <w:tc>
          <w:tcPr>
            <w:tcW w:w="1020" w:type="dxa"/>
            <w:shd w:val="clear" w:color="auto" w:fill="auto"/>
            <w:noWrap/>
            <w:vAlign w:val="center"/>
            <w:hideMark/>
          </w:tcPr>
          <w:p w14:paraId="49A077C4" w14:textId="6A7546B6"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9.9</w:t>
            </w:r>
            <w:r w:rsidR="0035305B">
              <w:rPr>
                <w:color w:val="000000"/>
                <w:sz w:val="20"/>
                <w:szCs w:val="20"/>
                <w:lang w:eastAsia="zh-CN" w:bidi="th-TH"/>
              </w:rPr>
              <w:t>%</w:t>
            </w:r>
          </w:p>
        </w:tc>
      </w:tr>
      <w:tr w:rsidR="000D42F1" w:rsidRPr="004836DA" w14:paraId="40ADCD13" w14:textId="77777777" w:rsidTr="00F306B5">
        <w:trPr>
          <w:trHeight w:val="340"/>
        </w:trPr>
        <w:tc>
          <w:tcPr>
            <w:tcW w:w="0" w:type="auto"/>
            <w:shd w:val="clear" w:color="auto" w:fill="auto"/>
            <w:noWrap/>
            <w:vAlign w:val="bottom"/>
            <w:hideMark/>
          </w:tcPr>
          <w:p w14:paraId="4CEA7BB9"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5</w:t>
            </w:r>
          </w:p>
        </w:tc>
        <w:tc>
          <w:tcPr>
            <w:tcW w:w="1020" w:type="dxa"/>
            <w:shd w:val="clear" w:color="auto" w:fill="auto"/>
            <w:noWrap/>
            <w:vAlign w:val="center"/>
            <w:hideMark/>
          </w:tcPr>
          <w:p w14:paraId="5A994C76"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21,139</w:t>
            </w:r>
          </w:p>
        </w:tc>
        <w:tc>
          <w:tcPr>
            <w:tcW w:w="1020" w:type="dxa"/>
            <w:shd w:val="clear" w:color="auto" w:fill="auto"/>
            <w:noWrap/>
            <w:vAlign w:val="center"/>
            <w:hideMark/>
          </w:tcPr>
          <w:p w14:paraId="4617260E"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9,934</w:t>
            </w:r>
          </w:p>
        </w:tc>
        <w:tc>
          <w:tcPr>
            <w:tcW w:w="1020" w:type="dxa"/>
            <w:shd w:val="clear" w:color="auto" w:fill="auto"/>
            <w:noWrap/>
            <w:vAlign w:val="center"/>
            <w:hideMark/>
          </w:tcPr>
          <w:p w14:paraId="011BC31A" w14:textId="7A4E81A9"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47.0</w:t>
            </w:r>
            <w:r w:rsidR="0035305B">
              <w:rPr>
                <w:color w:val="000000"/>
                <w:sz w:val="20"/>
                <w:szCs w:val="20"/>
                <w:lang w:eastAsia="zh-CN" w:bidi="th-TH"/>
              </w:rPr>
              <w:t>%</w:t>
            </w:r>
          </w:p>
        </w:tc>
        <w:tc>
          <w:tcPr>
            <w:tcW w:w="1020" w:type="dxa"/>
            <w:shd w:val="clear" w:color="auto" w:fill="auto"/>
            <w:noWrap/>
            <w:vAlign w:val="center"/>
            <w:hideMark/>
          </w:tcPr>
          <w:p w14:paraId="21187205"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7,300</w:t>
            </w:r>
          </w:p>
        </w:tc>
        <w:tc>
          <w:tcPr>
            <w:tcW w:w="1020" w:type="dxa"/>
            <w:shd w:val="clear" w:color="auto" w:fill="auto"/>
            <w:noWrap/>
            <w:vAlign w:val="center"/>
            <w:hideMark/>
          </w:tcPr>
          <w:p w14:paraId="41DAFEC9"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981</w:t>
            </w:r>
          </w:p>
        </w:tc>
        <w:tc>
          <w:tcPr>
            <w:tcW w:w="1020" w:type="dxa"/>
            <w:shd w:val="clear" w:color="auto" w:fill="auto"/>
            <w:noWrap/>
            <w:vAlign w:val="center"/>
            <w:hideMark/>
          </w:tcPr>
          <w:p w14:paraId="096D499D" w14:textId="436D9FA3"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13.4</w:t>
            </w:r>
            <w:r w:rsidR="0035305B">
              <w:rPr>
                <w:color w:val="000000"/>
                <w:sz w:val="20"/>
                <w:szCs w:val="20"/>
                <w:lang w:eastAsia="zh-CN" w:bidi="th-TH"/>
              </w:rPr>
              <w:t>%</w:t>
            </w:r>
          </w:p>
        </w:tc>
      </w:tr>
      <w:tr w:rsidR="000D42F1" w:rsidRPr="004836DA" w14:paraId="4E6980FB" w14:textId="77777777" w:rsidTr="00F306B5">
        <w:trPr>
          <w:trHeight w:val="340"/>
        </w:trPr>
        <w:tc>
          <w:tcPr>
            <w:tcW w:w="0" w:type="auto"/>
            <w:shd w:val="clear" w:color="auto" w:fill="auto"/>
            <w:noWrap/>
            <w:vAlign w:val="bottom"/>
            <w:hideMark/>
          </w:tcPr>
          <w:p w14:paraId="66A11EDA"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6</w:t>
            </w:r>
          </w:p>
        </w:tc>
        <w:tc>
          <w:tcPr>
            <w:tcW w:w="1020" w:type="dxa"/>
            <w:shd w:val="clear" w:color="auto" w:fill="auto"/>
            <w:noWrap/>
            <w:vAlign w:val="center"/>
            <w:hideMark/>
          </w:tcPr>
          <w:p w14:paraId="4E297FF0"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22,363</w:t>
            </w:r>
          </w:p>
        </w:tc>
        <w:tc>
          <w:tcPr>
            <w:tcW w:w="1020" w:type="dxa"/>
            <w:shd w:val="clear" w:color="auto" w:fill="auto"/>
            <w:noWrap/>
            <w:vAlign w:val="center"/>
            <w:hideMark/>
          </w:tcPr>
          <w:p w14:paraId="291E05DC"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9,015</w:t>
            </w:r>
          </w:p>
        </w:tc>
        <w:tc>
          <w:tcPr>
            <w:tcW w:w="1020" w:type="dxa"/>
            <w:shd w:val="clear" w:color="auto" w:fill="auto"/>
            <w:noWrap/>
            <w:vAlign w:val="center"/>
            <w:hideMark/>
          </w:tcPr>
          <w:p w14:paraId="7FD3A36F" w14:textId="7B0FE805"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40.3</w:t>
            </w:r>
            <w:r w:rsidR="0035305B">
              <w:rPr>
                <w:color w:val="000000"/>
                <w:sz w:val="20"/>
                <w:szCs w:val="20"/>
                <w:lang w:eastAsia="zh-CN" w:bidi="th-TH"/>
              </w:rPr>
              <w:t>%</w:t>
            </w:r>
          </w:p>
        </w:tc>
        <w:tc>
          <w:tcPr>
            <w:tcW w:w="1020" w:type="dxa"/>
            <w:shd w:val="clear" w:color="auto" w:fill="auto"/>
            <w:noWrap/>
            <w:vAlign w:val="center"/>
            <w:hideMark/>
          </w:tcPr>
          <w:p w14:paraId="7531C358"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7,836</w:t>
            </w:r>
          </w:p>
        </w:tc>
        <w:tc>
          <w:tcPr>
            <w:tcW w:w="1020" w:type="dxa"/>
            <w:shd w:val="clear" w:color="auto" w:fill="auto"/>
            <w:noWrap/>
            <w:vAlign w:val="center"/>
            <w:hideMark/>
          </w:tcPr>
          <w:p w14:paraId="11200813"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1,002</w:t>
            </w:r>
          </w:p>
        </w:tc>
        <w:tc>
          <w:tcPr>
            <w:tcW w:w="1020" w:type="dxa"/>
            <w:shd w:val="clear" w:color="auto" w:fill="auto"/>
            <w:noWrap/>
            <w:vAlign w:val="center"/>
            <w:hideMark/>
          </w:tcPr>
          <w:p w14:paraId="14E2732F" w14:textId="173C2372"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12.8</w:t>
            </w:r>
            <w:r w:rsidR="0035305B">
              <w:rPr>
                <w:color w:val="000000"/>
                <w:sz w:val="20"/>
                <w:szCs w:val="20"/>
                <w:lang w:eastAsia="zh-CN" w:bidi="th-TH"/>
              </w:rPr>
              <w:t>%</w:t>
            </w:r>
          </w:p>
        </w:tc>
      </w:tr>
      <w:tr w:rsidR="000D42F1" w:rsidRPr="004836DA" w14:paraId="0099CFCE" w14:textId="77777777" w:rsidTr="00F306B5">
        <w:trPr>
          <w:trHeight w:val="340"/>
        </w:trPr>
        <w:tc>
          <w:tcPr>
            <w:tcW w:w="0" w:type="auto"/>
            <w:shd w:val="clear" w:color="auto" w:fill="auto"/>
            <w:noWrap/>
            <w:vAlign w:val="bottom"/>
            <w:hideMark/>
          </w:tcPr>
          <w:p w14:paraId="4085EBC9"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7</w:t>
            </w:r>
          </w:p>
        </w:tc>
        <w:tc>
          <w:tcPr>
            <w:tcW w:w="1020" w:type="dxa"/>
            <w:shd w:val="clear" w:color="auto" w:fill="auto"/>
            <w:noWrap/>
            <w:vAlign w:val="center"/>
            <w:hideMark/>
          </w:tcPr>
          <w:p w14:paraId="6CB3463F"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7,124</w:t>
            </w:r>
          </w:p>
        </w:tc>
        <w:tc>
          <w:tcPr>
            <w:tcW w:w="1020" w:type="dxa"/>
            <w:shd w:val="clear" w:color="auto" w:fill="auto"/>
            <w:noWrap/>
            <w:vAlign w:val="center"/>
            <w:hideMark/>
          </w:tcPr>
          <w:p w14:paraId="349AE2FC"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2,032</w:t>
            </w:r>
          </w:p>
        </w:tc>
        <w:tc>
          <w:tcPr>
            <w:tcW w:w="1020" w:type="dxa"/>
            <w:shd w:val="clear" w:color="auto" w:fill="auto"/>
            <w:noWrap/>
            <w:vAlign w:val="center"/>
            <w:hideMark/>
          </w:tcPr>
          <w:p w14:paraId="3502C061" w14:textId="2B1B965C"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28.5</w:t>
            </w:r>
            <w:r w:rsidR="0035305B">
              <w:rPr>
                <w:color w:val="000000"/>
                <w:sz w:val="20"/>
                <w:szCs w:val="20"/>
                <w:lang w:eastAsia="zh-CN" w:bidi="th-TH"/>
              </w:rPr>
              <w:t>%</w:t>
            </w:r>
          </w:p>
        </w:tc>
        <w:tc>
          <w:tcPr>
            <w:tcW w:w="1020" w:type="dxa"/>
            <w:shd w:val="clear" w:color="auto" w:fill="auto"/>
            <w:noWrap/>
            <w:vAlign w:val="center"/>
            <w:hideMark/>
          </w:tcPr>
          <w:p w14:paraId="459B131E"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4,184</w:t>
            </w:r>
          </w:p>
        </w:tc>
        <w:tc>
          <w:tcPr>
            <w:tcW w:w="1020" w:type="dxa"/>
            <w:shd w:val="clear" w:color="auto" w:fill="auto"/>
            <w:noWrap/>
            <w:vAlign w:val="center"/>
            <w:hideMark/>
          </w:tcPr>
          <w:p w14:paraId="6939437B"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345</w:t>
            </w:r>
          </w:p>
        </w:tc>
        <w:tc>
          <w:tcPr>
            <w:tcW w:w="1020" w:type="dxa"/>
            <w:shd w:val="clear" w:color="auto" w:fill="auto"/>
            <w:noWrap/>
            <w:vAlign w:val="center"/>
            <w:hideMark/>
          </w:tcPr>
          <w:p w14:paraId="54DEC0DD" w14:textId="70E8959C"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8.2</w:t>
            </w:r>
            <w:r w:rsidR="0035305B">
              <w:rPr>
                <w:color w:val="000000"/>
                <w:sz w:val="20"/>
                <w:szCs w:val="20"/>
                <w:lang w:eastAsia="zh-CN" w:bidi="th-TH"/>
              </w:rPr>
              <w:t>%</w:t>
            </w:r>
          </w:p>
        </w:tc>
      </w:tr>
      <w:tr w:rsidR="000D42F1" w:rsidRPr="004836DA" w14:paraId="5DDEEB1E" w14:textId="77777777" w:rsidTr="00F306B5">
        <w:trPr>
          <w:trHeight w:val="340"/>
        </w:trPr>
        <w:tc>
          <w:tcPr>
            <w:tcW w:w="0" w:type="auto"/>
            <w:shd w:val="clear" w:color="auto" w:fill="auto"/>
            <w:noWrap/>
            <w:vAlign w:val="bottom"/>
            <w:hideMark/>
          </w:tcPr>
          <w:p w14:paraId="27C5CC6F"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8</w:t>
            </w:r>
          </w:p>
        </w:tc>
        <w:tc>
          <w:tcPr>
            <w:tcW w:w="1020" w:type="dxa"/>
            <w:shd w:val="clear" w:color="auto" w:fill="auto"/>
            <w:noWrap/>
            <w:vAlign w:val="center"/>
            <w:hideMark/>
          </w:tcPr>
          <w:p w14:paraId="6A407373"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2,490</w:t>
            </w:r>
          </w:p>
        </w:tc>
        <w:tc>
          <w:tcPr>
            <w:tcW w:w="1020" w:type="dxa"/>
            <w:shd w:val="clear" w:color="auto" w:fill="auto"/>
            <w:noWrap/>
            <w:vAlign w:val="center"/>
            <w:hideMark/>
          </w:tcPr>
          <w:p w14:paraId="4599DFCD"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461</w:t>
            </w:r>
          </w:p>
        </w:tc>
        <w:tc>
          <w:tcPr>
            <w:tcW w:w="1020" w:type="dxa"/>
            <w:shd w:val="clear" w:color="auto" w:fill="auto"/>
            <w:noWrap/>
            <w:vAlign w:val="center"/>
            <w:hideMark/>
          </w:tcPr>
          <w:p w14:paraId="3B2B9589" w14:textId="4AD286FB"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18.5</w:t>
            </w:r>
            <w:r w:rsidR="0035305B">
              <w:rPr>
                <w:color w:val="000000"/>
                <w:sz w:val="20"/>
                <w:szCs w:val="20"/>
                <w:lang w:eastAsia="zh-CN" w:bidi="th-TH"/>
              </w:rPr>
              <w:t>%</w:t>
            </w:r>
          </w:p>
        </w:tc>
        <w:tc>
          <w:tcPr>
            <w:tcW w:w="1020" w:type="dxa"/>
            <w:shd w:val="clear" w:color="auto" w:fill="auto"/>
            <w:noWrap/>
            <w:vAlign w:val="center"/>
            <w:hideMark/>
          </w:tcPr>
          <w:p w14:paraId="12148F59"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2,181</w:t>
            </w:r>
          </w:p>
        </w:tc>
        <w:tc>
          <w:tcPr>
            <w:tcW w:w="1020" w:type="dxa"/>
            <w:shd w:val="clear" w:color="auto" w:fill="auto"/>
            <w:noWrap/>
            <w:vAlign w:val="center"/>
            <w:hideMark/>
          </w:tcPr>
          <w:p w14:paraId="39CC165C"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143</w:t>
            </w:r>
          </w:p>
        </w:tc>
        <w:tc>
          <w:tcPr>
            <w:tcW w:w="1020" w:type="dxa"/>
            <w:shd w:val="clear" w:color="auto" w:fill="auto"/>
            <w:noWrap/>
            <w:vAlign w:val="center"/>
            <w:hideMark/>
          </w:tcPr>
          <w:p w14:paraId="658296C5" w14:textId="49A660FA"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6.6</w:t>
            </w:r>
            <w:r w:rsidR="0035305B">
              <w:rPr>
                <w:color w:val="000000"/>
                <w:sz w:val="20"/>
                <w:szCs w:val="20"/>
                <w:lang w:eastAsia="zh-CN" w:bidi="th-TH"/>
              </w:rPr>
              <w:t>%</w:t>
            </w:r>
          </w:p>
        </w:tc>
      </w:tr>
      <w:tr w:rsidR="000D42F1" w:rsidRPr="004836DA" w14:paraId="65A9511A" w14:textId="77777777" w:rsidTr="00F306B5">
        <w:trPr>
          <w:trHeight w:val="340"/>
        </w:trPr>
        <w:tc>
          <w:tcPr>
            <w:tcW w:w="0" w:type="auto"/>
            <w:shd w:val="clear" w:color="auto" w:fill="auto"/>
            <w:noWrap/>
            <w:vAlign w:val="bottom"/>
            <w:hideMark/>
          </w:tcPr>
          <w:p w14:paraId="4BEEB8C9" w14:textId="77777777"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Level 9</w:t>
            </w:r>
          </w:p>
        </w:tc>
        <w:tc>
          <w:tcPr>
            <w:tcW w:w="1020" w:type="dxa"/>
            <w:shd w:val="clear" w:color="auto" w:fill="auto"/>
            <w:noWrap/>
            <w:vAlign w:val="center"/>
            <w:hideMark/>
          </w:tcPr>
          <w:p w14:paraId="2033DD86"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886</w:t>
            </w:r>
          </w:p>
        </w:tc>
        <w:tc>
          <w:tcPr>
            <w:tcW w:w="1020" w:type="dxa"/>
            <w:shd w:val="clear" w:color="auto" w:fill="auto"/>
            <w:noWrap/>
            <w:vAlign w:val="center"/>
            <w:hideMark/>
          </w:tcPr>
          <w:p w14:paraId="00C623BE"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114</w:t>
            </w:r>
          </w:p>
        </w:tc>
        <w:tc>
          <w:tcPr>
            <w:tcW w:w="1020" w:type="dxa"/>
            <w:shd w:val="clear" w:color="auto" w:fill="auto"/>
            <w:noWrap/>
            <w:vAlign w:val="center"/>
            <w:hideMark/>
          </w:tcPr>
          <w:p w14:paraId="4C55DD21" w14:textId="08103DF5"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12.9</w:t>
            </w:r>
            <w:r w:rsidR="0035305B">
              <w:rPr>
                <w:color w:val="000000"/>
                <w:sz w:val="20"/>
                <w:szCs w:val="20"/>
                <w:lang w:eastAsia="zh-CN" w:bidi="th-TH"/>
              </w:rPr>
              <w:t>%</w:t>
            </w:r>
          </w:p>
        </w:tc>
        <w:tc>
          <w:tcPr>
            <w:tcW w:w="1020" w:type="dxa"/>
            <w:shd w:val="clear" w:color="auto" w:fill="auto"/>
            <w:noWrap/>
            <w:vAlign w:val="center"/>
            <w:hideMark/>
          </w:tcPr>
          <w:p w14:paraId="1511222B"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854</w:t>
            </w:r>
          </w:p>
        </w:tc>
        <w:tc>
          <w:tcPr>
            <w:tcW w:w="1020" w:type="dxa"/>
            <w:shd w:val="clear" w:color="auto" w:fill="auto"/>
            <w:noWrap/>
            <w:vAlign w:val="center"/>
            <w:hideMark/>
          </w:tcPr>
          <w:p w14:paraId="4D588F22"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66</w:t>
            </w:r>
          </w:p>
        </w:tc>
        <w:tc>
          <w:tcPr>
            <w:tcW w:w="1020" w:type="dxa"/>
            <w:shd w:val="clear" w:color="auto" w:fill="auto"/>
            <w:noWrap/>
            <w:vAlign w:val="center"/>
            <w:hideMark/>
          </w:tcPr>
          <w:p w14:paraId="5977D814" w14:textId="52CE9B8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7.8</w:t>
            </w:r>
            <w:r w:rsidR="0035305B">
              <w:rPr>
                <w:color w:val="000000"/>
                <w:sz w:val="20"/>
                <w:szCs w:val="20"/>
                <w:lang w:eastAsia="zh-CN" w:bidi="th-TH"/>
              </w:rPr>
              <w:t>%</w:t>
            </w:r>
          </w:p>
        </w:tc>
      </w:tr>
      <w:tr w:rsidR="000D42F1" w:rsidRPr="004836DA" w14:paraId="0DE56231" w14:textId="77777777" w:rsidTr="00F306B5">
        <w:trPr>
          <w:trHeight w:val="340"/>
        </w:trPr>
        <w:tc>
          <w:tcPr>
            <w:tcW w:w="0" w:type="auto"/>
            <w:shd w:val="clear" w:color="auto" w:fill="auto"/>
            <w:noWrap/>
            <w:vAlign w:val="bottom"/>
            <w:hideMark/>
          </w:tcPr>
          <w:p w14:paraId="2B994A7B" w14:textId="77D86A33" w:rsidR="000D42F1" w:rsidRPr="004836DA" w:rsidRDefault="000D42F1">
            <w:pPr>
              <w:spacing w:after="0" w:line="240" w:lineRule="auto"/>
              <w:rPr>
                <w:color w:val="000000"/>
                <w:sz w:val="20"/>
                <w:szCs w:val="20"/>
                <w:lang w:eastAsia="zh-CN" w:bidi="th-TH"/>
              </w:rPr>
            </w:pPr>
            <w:r w:rsidRPr="004836DA">
              <w:rPr>
                <w:color w:val="000000"/>
                <w:sz w:val="20"/>
                <w:szCs w:val="20"/>
                <w:lang w:eastAsia="zh-CN" w:bidi="th-TH"/>
              </w:rPr>
              <w:t>Class</w:t>
            </w:r>
            <w:r w:rsidR="008B7057">
              <w:rPr>
                <w:color w:val="000000"/>
                <w:sz w:val="20"/>
                <w:szCs w:val="20"/>
                <w:lang w:eastAsia="zh-CN" w:bidi="th-TH"/>
              </w:rPr>
              <w:t xml:space="preserve"> </w:t>
            </w:r>
            <w:r w:rsidRPr="004836DA">
              <w:rPr>
                <w:color w:val="000000"/>
                <w:sz w:val="20"/>
                <w:szCs w:val="20"/>
                <w:lang w:eastAsia="zh-CN" w:bidi="th-TH"/>
              </w:rPr>
              <w:t>1</w:t>
            </w:r>
            <w:r w:rsidR="00F306B5">
              <w:rPr>
                <w:color w:val="000000"/>
                <w:sz w:val="20"/>
                <w:szCs w:val="20"/>
                <w:lang w:eastAsia="zh-CN" w:bidi="th-TH"/>
              </w:rPr>
              <w:t xml:space="preserve"> </w:t>
            </w:r>
            <w:r w:rsidR="00EA0815">
              <w:rPr>
                <w:color w:val="000000"/>
                <w:sz w:val="20"/>
                <w:szCs w:val="20"/>
                <w:lang w:eastAsia="zh-CN" w:bidi="th-TH"/>
              </w:rPr>
              <w:t>and above</w:t>
            </w:r>
          </w:p>
        </w:tc>
        <w:tc>
          <w:tcPr>
            <w:tcW w:w="1020" w:type="dxa"/>
            <w:shd w:val="clear" w:color="auto" w:fill="auto"/>
            <w:noWrap/>
            <w:vAlign w:val="center"/>
            <w:hideMark/>
          </w:tcPr>
          <w:p w14:paraId="32CB2A13"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1,913</w:t>
            </w:r>
          </w:p>
        </w:tc>
        <w:tc>
          <w:tcPr>
            <w:tcW w:w="1020" w:type="dxa"/>
            <w:shd w:val="clear" w:color="auto" w:fill="auto"/>
            <w:noWrap/>
            <w:vAlign w:val="center"/>
            <w:hideMark/>
          </w:tcPr>
          <w:p w14:paraId="3719E921"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671</w:t>
            </w:r>
          </w:p>
        </w:tc>
        <w:tc>
          <w:tcPr>
            <w:tcW w:w="1020" w:type="dxa"/>
            <w:shd w:val="clear" w:color="auto" w:fill="auto"/>
            <w:noWrap/>
            <w:vAlign w:val="center"/>
            <w:hideMark/>
          </w:tcPr>
          <w:p w14:paraId="781162BD" w14:textId="5568F492"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35.1</w:t>
            </w:r>
            <w:r w:rsidR="0035305B">
              <w:rPr>
                <w:color w:val="000000"/>
                <w:sz w:val="20"/>
                <w:szCs w:val="20"/>
                <w:lang w:eastAsia="zh-CN" w:bidi="th-TH"/>
              </w:rPr>
              <w:t>%</w:t>
            </w:r>
          </w:p>
        </w:tc>
        <w:tc>
          <w:tcPr>
            <w:tcW w:w="1020" w:type="dxa"/>
            <w:shd w:val="clear" w:color="auto" w:fill="auto"/>
            <w:noWrap/>
            <w:vAlign w:val="center"/>
            <w:hideMark/>
          </w:tcPr>
          <w:p w14:paraId="4E05DF00"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2,600</w:t>
            </w:r>
          </w:p>
        </w:tc>
        <w:tc>
          <w:tcPr>
            <w:tcW w:w="1020" w:type="dxa"/>
            <w:shd w:val="clear" w:color="auto" w:fill="auto"/>
            <w:noWrap/>
            <w:vAlign w:val="center"/>
            <w:hideMark/>
          </w:tcPr>
          <w:p w14:paraId="5248E408" w14:textId="77777777"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871</w:t>
            </w:r>
          </w:p>
        </w:tc>
        <w:tc>
          <w:tcPr>
            <w:tcW w:w="1020" w:type="dxa"/>
            <w:shd w:val="clear" w:color="auto" w:fill="auto"/>
            <w:noWrap/>
            <w:vAlign w:val="center"/>
            <w:hideMark/>
          </w:tcPr>
          <w:p w14:paraId="5160E95C" w14:textId="4B19D8BC" w:rsidR="000D42F1" w:rsidRPr="004836DA" w:rsidRDefault="000D42F1">
            <w:pPr>
              <w:spacing w:after="0" w:line="240" w:lineRule="auto"/>
              <w:jc w:val="right"/>
              <w:rPr>
                <w:color w:val="000000"/>
                <w:sz w:val="20"/>
                <w:szCs w:val="20"/>
                <w:lang w:eastAsia="zh-CN" w:bidi="th-TH"/>
              </w:rPr>
            </w:pPr>
            <w:r w:rsidRPr="004836DA">
              <w:rPr>
                <w:color w:val="000000"/>
                <w:sz w:val="20"/>
                <w:szCs w:val="20"/>
                <w:lang w:eastAsia="zh-CN" w:bidi="th-TH"/>
              </w:rPr>
              <w:t>33.5</w:t>
            </w:r>
            <w:r w:rsidR="0035305B">
              <w:rPr>
                <w:color w:val="000000"/>
                <w:sz w:val="20"/>
                <w:szCs w:val="20"/>
                <w:lang w:eastAsia="zh-CN" w:bidi="th-TH"/>
              </w:rPr>
              <w:t>%</w:t>
            </w:r>
          </w:p>
        </w:tc>
      </w:tr>
      <w:tr w:rsidR="000D42F1" w:rsidRPr="004836DA" w14:paraId="4A0F549C" w14:textId="77777777" w:rsidTr="00F306B5">
        <w:trPr>
          <w:trHeight w:val="340"/>
        </w:trPr>
        <w:tc>
          <w:tcPr>
            <w:tcW w:w="0" w:type="auto"/>
            <w:shd w:val="clear" w:color="auto" w:fill="auto"/>
            <w:noWrap/>
            <w:vAlign w:val="bottom"/>
            <w:hideMark/>
          </w:tcPr>
          <w:p w14:paraId="33F49744" w14:textId="77777777" w:rsidR="000D42F1" w:rsidRPr="004836DA" w:rsidRDefault="000D42F1">
            <w:pPr>
              <w:spacing w:after="0" w:line="240" w:lineRule="auto"/>
              <w:rPr>
                <w:b/>
                <w:bCs/>
                <w:color w:val="000000"/>
                <w:sz w:val="20"/>
                <w:szCs w:val="20"/>
                <w:lang w:eastAsia="zh-CN" w:bidi="th-TH"/>
              </w:rPr>
            </w:pPr>
            <w:r w:rsidRPr="004836DA">
              <w:rPr>
                <w:b/>
                <w:color w:val="000000" w:themeColor="text1"/>
                <w:sz w:val="20"/>
                <w:szCs w:val="20"/>
                <w:lang w:eastAsia="zh-CN" w:bidi="th-TH"/>
              </w:rPr>
              <w:t>Total</w:t>
            </w:r>
          </w:p>
        </w:tc>
        <w:tc>
          <w:tcPr>
            <w:tcW w:w="1020" w:type="dxa"/>
            <w:shd w:val="clear" w:color="auto" w:fill="auto"/>
            <w:noWrap/>
            <w:vAlign w:val="center"/>
            <w:hideMark/>
          </w:tcPr>
          <w:p w14:paraId="495BDEA6" w14:textId="77777777" w:rsidR="000D42F1" w:rsidRPr="004836DA" w:rsidRDefault="000D42F1">
            <w:pPr>
              <w:spacing w:after="0" w:line="240" w:lineRule="auto"/>
              <w:jc w:val="right"/>
              <w:rPr>
                <w:b/>
                <w:bCs/>
                <w:color w:val="000000"/>
                <w:sz w:val="20"/>
                <w:szCs w:val="20"/>
                <w:lang w:eastAsia="zh-CN" w:bidi="th-TH"/>
              </w:rPr>
            </w:pPr>
            <w:r w:rsidRPr="004836DA">
              <w:rPr>
                <w:b/>
                <w:color w:val="000000" w:themeColor="text1"/>
                <w:sz w:val="20"/>
                <w:szCs w:val="20"/>
                <w:lang w:eastAsia="zh-CN" w:bidi="th-TH"/>
              </w:rPr>
              <w:t>119,</w:t>
            </w:r>
            <w:r w:rsidRPr="004836DA">
              <w:rPr>
                <w:b/>
                <w:bCs/>
                <w:color w:val="000000" w:themeColor="text1"/>
                <w:sz w:val="20"/>
                <w:szCs w:val="20"/>
                <w:lang w:eastAsia="zh-CN" w:bidi="th-TH"/>
              </w:rPr>
              <w:t>206</w:t>
            </w:r>
          </w:p>
        </w:tc>
        <w:tc>
          <w:tcPr>
            <w:tcW w:w="1020" w:type="dxa"/>
            <w:shd w:val="clear" w:color="auto" w:fill="auto"/>
            <w:noWrap/>
            <w:vAlign w:val="center"/>
            <w:hideMark/>
          </w:tcPr>
          <w:p w14:paraId="64796310" w14:textId="77777777" w:rsidR="000D42F1" w:rsidRPr="004836DA" w:rsidRDefault="000D42F1">
            <w:pPr>
              <w:spacing w:after="0" w:line="240" w:lineRule="auto"/>
              <w:jc w:val="right"/>
              <w:rPr>
                <w:b/>
                <w:bCs/>
                <w:color w:val="000000"/>
                <w:sz w:val="20"/>
                <w:szCs w:val="20"/>
                <w:lang w:eastAsia="zh-CN" w:bidi="th-TH"/>
              </w:rPr>
            </w:pPr>
            <w:r w:rsidRPr="004836DA">
              <w:rPr>
                <w:b/>
                <w:color w:val="000000" w:themeColor="text1"/>
                <w:sz w:val="20"/>
                <w:szCs w:val="20"/>
                <w:lang w:eastAsia="zh-CN" w:bidi="th-TH"/>
              </w:rPr>
              <w:t>50,</w:t>
            </w:r>
            <w:r w:rsidRPr="004836DA">
              <w:rPr>
                <w:b/>
                <w:bCs/>
                <w:color w:val="000000" w:themeColor="text1"/>
                <w:sz w:val="20"/>
                <w:szCs w:val="20"/>
                <w:lang w:eastAsia="zh-CN" w:bidi="th-TH"/>
              </w:rPr>
              <w:t>739</w:t>
            </w:r>
          </w:p>
        </w:tc>
        <w:tc>
          <w:tcPr>
            <w:tcW w:w="1020" w:type="dxa"/>
            <w:shd w:val="clear" w:color="auto" w:fill="auto"/>
            <w:noWrap/>
            <w:vAlign w:val="center"/>
            <w:hideMark/>
          </w:tcPr>
          <w:p w14:paraId="1FDA5812" w14:textId="02C80636" w:rsidR="000D42F1" w:rsidRPr="004836DA" w:rsidRDefault="000D42F1">
            <w:pPr>
              <w:spacing w:after="0" w:line="240" w:lineRule="auto"/>
              <w:jc w:val="right"/>
              <w:rPr>
                <w:b/>
                <w:bCs/>
                <w:color w:val="000000"/>
                <w:sz w:val="20"/>
                <w:szCs w:val="20"/>
                <w:lang w:eastAsia="zh-CN" w:bidi="th-TH"/>
              </w:rPr>
            </w:pPr>
            <w:r w:rsidRPr="004836DA">
              <w:rPr>
                <w:b/>
                <w:bCs/>
                <w:color w:val="000000"/>
                <w:sz w:val="20"/>
                <w:szCs w:val="20"/>
                <w:lang w:eastAsia="zh-CN" w:bidi="th-TH"/>
              </w:rPr>
              <w:t>42.6</w:t>
            </w:r>
            <w:r w:rsidR="006235C3">
              <w:rPr>
                <w:b/>
                <w:bCs/>
                <w:color w:val="000000"/>
                <w:sz w:val="20"/>
                <w:szCs w:val="20"/>
                <w:lang w:eastAsia="zh-CN" w:bidi="th-TH"/>
              </w:rPr>
              <w:t>%</w:t>
            </w:r>
          </w:p>
        </w:tc>
        <w:tc>
          <w:tcPr>
            <w:tcW w:w="1020" w:type="dxa"/>
            <w:shd w:val="clear" w:color="auto" w:fill="auto"/>
            <w:noWrap/>
            <w:vAlign w:val="center"/>
            <w:hideMark/>
          </w:tcPr>
          <w:p w14:paraId="16717CAA" w14:textId="77777777" w:rsidR="000D42F1" w:rsidRPr="004836DA" w:rsidRDefault="000D42F1">
            <w:pPr>
              <w:spacing w:after="0" w:line="240" w:lineRule="auto"/>
              <w:jc w:val="right"/>
              <w:rPr>
                <w:b/>
                <w:bCs/>
                <w:color w:val="000000"/>
                <w:sz w:val="20"/>
                <w:szCs w:val="20"/>
                <w:lang w:eastAsia="zh-CN" w:bidi="th-TH"/>
              </w:rPr>
            </w:pPr>
            <w:r w:rsidRPr="004836DA">
              <w:rPr>
                <w:b/>
                <w:color w:val="000000" w:themeColor="text1"/>
                <w:sz w:val="20"/>
                <w:szCs w:val="20"/>
                <w:lang w:eastAsia="zh-CN" w:bidi="th-TH"/>
              </w:rPr>
              <w:t>43,</w:t>
            </w:r>
            <w:r w:rsidRPr="004836DA">
              <w:rPr>
                <w:b/>
                <w:bCs/>
                <w:color w:val="000000" w:themeColor="text1"/>
                <w:sz w:val="20"/>
                <w:szCs w:val="20"/>
                <w:lang w:eastAsia="zh-CN" w:bidi="th-TH"/>
              </w:rPr>
              <w:t>591</w:t>
            </w:r>
          </w:p>
        </w:tc>
        <w:tc>
          <w:tcPr>
            <w:tcW w:w="1020" w:type="dxa"/>
            <w:shd w:val="clear" w:color="auto" w:fill="auto"/>
            <w:noWrap/>
            <w:vAlign w:val="center"/>
            <w:hideMark/>
          </w:tcPr>
          <w:p w14:paraId="1AC83C3C" w14:textId="77777777" w:rsidR="000D42F1" w:rsidRPr="004836DA" w:rsidRDefault="000D42F1">
            <w:pPr>
              <w:spacing w:after="0" w:line="240" w:lineRule="auto"/>
              <w:jc w:val="right"/>
              <w:rPr>
                <w:b/>
                <w:bCs/>
                <w:color w:val="000000"/>
                <w:sz w:val="20"/>
                <w:szCs w:val="20"/>
                <w:lang w:eastAsia="zh-CN" w:bidi="th-TH"/>
              </w:rPr>
            </w:pPr>
            <w:r w:rsidRPr="004836DA">
              <w:rPr>
                <w:b/>
                <w:bCs/>
                <w:color w:val="000000"/>
                <w:sz w:val="20"/>
                <w:szCs w:val="20"/>
                <w:lang w:eastAsia="zh-CN" w:bidi="th-TH"/>
              </w:rPr>
              <w:t>7,188</w:t>
            </w:r>
          </w:p>
        </w:tc>
        <w:tc>
          <w:tcPr>
            <w:tcW w:w="1020" w:type="dxa"/>
            <w:shd w:val="clear" w:color="auto" w:fill="auto"/>
            <w:noWrap/>
            <w:vAlign w:val="center"/>
            <w:hideMark/>
          </w:tcPr>
          <w:p w14:paraId="0EBB7F4D" w14:textId="75A21BE6" w:rsidR="000D42F1" w:rsidRPr="004836DA" w:rsidRDefault="000D42F1">
            <w:pPr>
              <w:spacing w:after="0" w:line="240" w:lineRule="auto"/>
              <w:jc w:val="right"/>
              <w:rPr>
                <w:b/>
                <w:bCs/>
                <w:color w:val="000000"/>
                <w:sz w:val="20"/>
                <w:szCs w:val="20"/>
                <w:lang w:eastAsia="zh-CN" w:bidi="th-TH"/>
              </w:rPr>
            </w:pPr>
            <w:r w:rsidRPr="004836DA">
              <w:rPr>
                <w:b/>
                <w:color w:val="000000" w:themeColor="text1"/>
                <w:sz w:val="20"/>
                <w:szCs w:val="20"/>
                <w:lang w:eastAsia="zh-CN" w:bidi="th-TH"/>
              </w:rPr>
              <w:t>16.5</w:t>
            </w:r>
            <w:r w:rsidR="006235C3">
              <w:rPr>
                <w:b/>
                <w:color w:val="000000" w:themeColor="text1"/>
                <w:sz w:val="20"/>
                <w:szCs w:val="20"/>
                <w:lang w:eastAsia="zh-CN" w:bidi="th-TH"/>
              </w:rPr>
              <w:t>%</w:t>
            </w:r>
          </w:p>
        </w:tc>
      </w:tr>
    </w:tbl>
    <w:p w14:paraId="0E317192" w14:textId="77777777" w:rsidR="00F306B5" w:rsidRPr="00F306B5" w:rsidRDefault="00F306B5" w:rsidP="00F306B5">
      <w:pPr>
        <w:rPr>
          <w:sz w:val="10"/>
          <w:szCs w:val="10"/>
        </w:rPr>
      </w:pPr>
    </w:p>
    <w:p w14:paraId="7B73D370" w14:textId="1E21B535" w:rsidR="000D42F1" w:rsidRPr="001C169F" w:rsidRDefault="000D42F1" w:rsidP="000D42F1">
      <w:pPr>
        <w:pStyle w:val="Heading3"/>
        <w:spacing w:before="0" w:line="240" w:lineRule="auto"/>
        <w:rPr>
          <w:color w:val="auto"/>
          <w:sz w:val="22"/>
          <w:szCs w:val="22"/>
        </w:rPr>
      </w:pPr>
      <w:bookmarkStart w:id="51" w:name="_Toc151900169"/>
      <w:r w:rsidRPr="00F2283B">
        <w:t>Occupations</w:t>
      </w:r>
      <w:bookmarkEnd w:id="51"/>
    </w:p>
    <w:p w14:paraId="258375D0" w14:textId="48B2C98D" w:rsidR="000D42F1" w:rsidRPr="001C169F" w:rsidRDefault="000D42F1" w:rsidP="001058C1">
      <w:pPr>
        <w:spacing w:line="240" w:lineRule="auto"/>
        <w:contextualSpacing/>
        <w:rPr>
          <w:rFonts w:eastAsiaTheme="minorEastAsia"/>
          <w:lang w:eastAsia="en-US"/>
        </w:rPr>
      </w:pPr>
      <w:r w:rsidRPr="75FF2350">
        <w:rPr>
          <w:rFonts w:eastAsiaTheme="minorEastAsia"/>
          <w:lang w:eastAsia="en-US"/>
        </w:rPr>
        <w:t xml:space="preserve">The public sector workforce is categorised into 23 occupational groups </w:t>
      </w:r>
      <w:r w:rsidRPr="00B94A95">
        <w:rPr>
          <w:rFonts w:eastAsiaTheme="minorEastAsia"/>
          <w:lang w:eastAsia="en-US"/>
        </w:rPr>
        <w:t>(</w:t>
      </w:r>
      <w:r w:rsidRPr="00744903">
        <w:rPr>
          <w:rFonts w:eastAsiaTheme="minorEastAsia"/>
          <w:lang w:eastAsia="en-US"/>
        </w:rPr>
        <w:fldChar w:fldCharType="begin"/>
      </w:r>
      <w:r w:rsidRPr="00744903">
        <w:rPr>
          <w:rFonts w:eastAsiaTheme="minorEastAsia"/>
          <w:lang w:eastAsia="en-US"/>
        </w:rPr>
        <w:instrText xml:space="preserve"> REF _Ref84253479 </w:instrText>
      </w:r>
      <w:r>
        <w:rPr>
          <w:rFonts w:eastAsiaTheme="minorEastAsia"/>
          <w:lang w:eastAsia="en-US"/>
        </w:rPr>
        <w:instrText xml:space="preserve"> \* MERGEFORMAT </w:instrText>
      </w:r>
      <w:r w:rsidRPr="00744903">
        <w:rPr>
          <w:rFonts w:eastAsiaTheme="minorEastAsia"/>
          <w:lang w:eastAsia="en-US"/>
        </w:rPr>
        <w:fldChar w:fldCharType="separate"/>
      </w:r>
      <w:r w:rsidR="0048418F" w:rsidRPr="0048418F">
        <w:rPr>
          <w:rFonts w:eastAsiaTheme="minorEastAsia"/>
          <w:lang w:eastAsia="en-US"/>
        </w:rPr>
        <w:t>Table 12</w:t>
      </w:r>
      <w:r w:rsidRPr="00744903">
        <w:rPr>
          <w:rFonts w:eastAsiaTheme="minorEastAsia"/>
          <w:lang w:eastAsia="en-US"/>
        </w:rPr>
        <w:fldChar w:fldCharType="end"/>
      </w:r>
      <w:r w:rsidRPr="75FF2350">
        <w:rPr>
          <w:rFonts w:eastAsiaTheme="minorEastAsia"/>
          <w:lang w:eastAsia="en-US"/>
        </w:rPr>
        <w:t>). On average, the top 4 occupational groups made up more than half of all</w:t>
      </w:r>
      <w:r>
        <w:rPr>
          <w:rFonts w:eastAsiaTheme="minorEastAsia"/>
          <w:lang w:eastAsia="en-US"/>
        </w:rPr>
        <w:t xml:space="preserve"> employees</w:t>
      </w:r>
      <w:r w:rsidRPr="75FF2350">
        <w:rPr>
          <w:rFonts w:eastAsiaTheme="minorEastAsia"/>
          <w:lang w:eastAsia="en-US"/>
        </w:rPr>
        <w:t xml:space="preserve"> in the public sector </w:t>
      </w:r>
      <w:r>
        <w:rPr>
          <w:rFonts w:eastAsiaTheme="minorEastAsia"/>
          <w:lang w:eastAsia="en-US"/>
        </w:rPr>
        <w:t>in</w:t>
      </w:r>
      <w:r w:rsidRPr="75FF2350">
        <w:rPr>
          <w:rFonts w:eastAsiaTheme="minorEastAsia"/>
          <w:lang w:eastAsia="en-US"/>
        </w:rPr>
        <w:t xml:space="preserve"> 20</w:t>
      </w:r>
      <w:r>
        <w:rPr>
          <w:rFonts w:eastAsiaTheme="minorEastAsia"/>
          <w:lang w:eastAsia="en-US"/>
        </w:rPr>
        <w:t>22</w:t>
      </w:r>
      <w:r w:rsidRPr="75FF2350">
        <w:rPr>
          <w:rFonts w:eastAsiaTheme="minorEastAsia"/>
          <w:lang w:eastAsia="en-US"/>
        </w:rPr>
        <w:t>-</w:t>
      </w:r>
      <w:r>
        <w:rPr>
          <w:rFonts w:eastAsiaTheme="minorEastAsia"/>
          <w:lang w:eastAsia="en-US"/>
        </w:rPr>
        <w:t>23</w:t>
      </w:r>
      <w:r w:rsidRPr="75FF2350">
        <w:rPr>
          <w:rFonts w:eastAsiaTheme="minorEastAsia"/>
          <w:lang w:eastAsia="en-US"/>
        </w:rPr>
        <w:t>:</w:t>
      </w:r>
    </w:p>
    <w:p w14:paraId="3F4B656F" w14:textId="77777777" w:rsidR="000D42F1" w:rsidRPr="001C169F" w:rsidRDefault="000D42F1">
      <w:pPr>
        <w:pStyle w:val="ListParagraph"/>
        <w:numPr>
          <w:ilvl w:val="0"/>
          <w:numId w:val="6"/>
        </w:numPr>
        <w:spacing w:line="240" w:lineRule="auto"/>
        <w:ind w:left="426" w:hanging="426"/>
        <w:rPr>
          <w:rFonts w:eastAsiaTheme="minorEastAsia"/>
          <w:lang w:eastAsia="en-US"/>
        </w:rPr>
      </w:pPr>
      <w:r w:rsidRPr="75FF2350">
        <w:rPr>
          <w:rFonts w:eastAsiaTheme="minorEastAsia"/>
          <w:lang w:eastAsia="en-US"/>
        </w:rPr>
        <w:t>teachers (</w:t>
      </w:r>
      <w:r>
        <w:rPr>
          <w:rFonts w:eastAsiaTheme="minorEastAsia"/>
          <w:lang w:eastAsia="en-US"/>
        </w:rPr>
        <w:t>18.4</w:t>
      </w:r>
      <w:r w:rsidRPr="75FF2350">
        <w:rPr>
          <w:rFonts w:eastAsiaTheme="minorEastAsia"/>
          <w:lang w:eastAsia="en-US"/>
        </w:rPr>
        <w:t>% of total FTE)</w:t>
      </w:r>
    </w:p>
    <w:p w14:paraId="4A7F27FE" w14:textId="77777777" w:rsidR="000D42F1" w:rsidRPr="006B79EE" w:rsidRDefault="000D42F1">
      <w:pPr>
        <w:pStyle w:val="ListParagraph"/>
        <w:numPr>
          <w:ilvl w:val="0"/>
          <w:numId w:val="6"/>
        </w:numPr>
        <w:spacing w:line="240" w:lineRule="auto"/>
        <w:ind w:left="426" w:hanging="426"/>
        <w:rPr>
          <w:rFonts w:eastAsiaTheme="minorEastAsia"/>
          <w:lang w:eastAsia="en-US"/>
        </w:rPr>
      </w:pPr>
      <w:r w:rsidRPr="75FF2350">
        <w:rPr>
          <w:rFonts w:eastAsiaTheme="minorEastAsia"/>
          <w:lang w:eastAsia="en-US"/>
        </w:rPr>
        <w:t>clerical and administrative workers (</w:t>
      </w:r>
      <w:r>
        <w:rPr>
          <w:rFonts w:eastAsiaTheme="minorEastAsia"/>
          <w:lang w:eastAsia="en-US"/>
        </w:rPr>
        <w:t>16.7</w:t>
      </w:r>
      <w:r w:rsidRPr="75FF2350">
        <w:rPr>
          <w:rFonts w:eastAsiaTheme="minorEastAsia"/>
          <w:lang w:eastAsia="en-US"/>
        </w:rPr>
        <w:t>% of total FTE)</w:t>
      </w:r>
    </w:p>
    <w:p w14:paraId="0B2E1EDB" w14:textId="77777777" w:rsidR="000D42F1" w:rsidRPr="006B79EE" w:rsidRDefault="000D42F1">
      <w:pPr>
        <w:pStyle w:val="ListParagraph"/>
        <w:numPr>
          <w:ilvl w:val="0"/>
          <w:numId w:val="6"/>
        </w:numPr>
        <w:spacing w:line="240" w:lineRule="auto"/>
        <w:ind w:left="426" w:hanging="426"/>
        <w:rPr>
          <w:rFonts w:eastAsiaTheme="minorHAnsi"/>
          <w:lang w:eastAsia="en-US"/>
        </w:rPr>
      </w:pPr>
      <w:r w:rsidRPr="006B79EE">
        <w:rPr>
          <w:rFonts w:eastAsiaTheme="minorHAnsi"/>
          <w:lang w:eastAsia="en-US"/>
        </w:rPr>
        <w:t>nurses and midwives (</w:t>
      </w:r>
      <w:r>
        <w:rPr>
          <w:rFonts w:eastAsiaTheme="minorEastAsia"/>
          <w:lang w:eastAsia="en-US"/>
        </w:rPr>
        <w:t>11.2</w:t>
      </w:r>
      <w:r w:rsidRPr="3CC1BF77">
        <w:rPr>
          <w:rFonts w:eastAsiaTheme="minorEastAsia"/>
          <w:lang w:eastAsia="en-US"/>
        </w:rPr>
        <w:t>%</w:t>
      </w:r>
      <w:r w:rsidRPr="006B79EE">
        <w:rPr>
          <w:rFonts w:eastAsiaTheme="minorHAnsi"/>
          <w:lang w:eastAsia="en-US"/>
        </w:rPr>
        <w:t xml:space="preserve"> of total FTE)</w:t>
      </w:r>
    </w:p>
    <w:p w14:paraId="03627A66" w14:textId="77777777" w:rsidR="000D42F1" w:rsidRDefault="000D42F1">
      <w:pPr>
        <w:pStyle w:val="ListParagraph"/>
        <w:numPr>
          <w:ilvl w:val="0"/>
          <w:numId w:val="6"/>
        </w:numPr>
        <w:spacing w:line="240" w:lineRule="auto"/>
        <w:ind w:left="426" w:hanging="426"/>
        <w:rPr>
          <w:rFonts w:eastAsiaTheme="minorEastAsia"/>
          <w:lang w:eastAsia="en-US"/>
        </w:rPr>
      </w:pPr>
      <w:r w:rsidRPr="0649273F">
        <w:rPr>
          <w:rFonts w:eastAsiaTheme="minorEastAsia"/>
          <w:lang w:eastAsia="en-US"/>
        </w:rPr>
        <w:t>education aides (</w:t>
      </w:r>
      <w:r>
        <w:rPr>
          <w:rFonts w:eastAsiaTheme="minorEastAsia"/>
          <w:lang w:eastAsia="en-US"/>
        </w:rPr>
        <w:t>7.8</w:t>
      </w:r>
      <w:r w:rsidRPr="0649273F">
        <w:rPr>
          <w:rFonts w:eastAsiaTheme="minorEastAsia"/>
          <w:lang w:eastAsia="en-US"/>
        </w:rPr>
        <w:t>% of total FTE).</w:t>
      </w:r>
    </w:p>
    <w:p w14:paraId="73FE4F6D" w14:textId="7438C8CE" w:rsidR="000D42F1" w:rsidRPr="00BA13C8" w:rsidRDefault="000D42F1" w:rsidP="000D42F1">
      <w:pPr>
        <w:spacing w:after="240" w:line="240" w:lineRule="auto"/>
        <w:rPr>
          <w:rFonts w:eastAsiaTheme="minorEastAsia"/>
          <w:lang w:eastAsia="en-US"/>
        </w:rPr>
      </w:pPr>
      <w:r w:rsidRPr="2716D652">
        <w:rPr>
          <w:rFonts w:eastAsiaTheme="minorEastAsia"/>
          <w:lang w:eastAsia="en-US"/>
        </w:rPr>
        <w:t>Between 20</w:t>
      </w:r>
      <w:r>
        <w:rPr>
          <w:rFonts w:eastAsiaTheme="minorEastAsia"/>
          <w:lang w:eastAsia="en-US"/>
        </w:rPr>
        <w:t xml:space="preserve">18-19 </w:t>
      </w:r>
      <w:r w:rsidRPr="2716D652">
        <w:rPr>
          <w:rFonts w:eastAsiaTheme="minorEastAsia"/>
          <w:lang w:eastAsia="en-US"/>
        </w:rPr>
        <w:t>and 20</w:t>
      </w:r>
      <w:r>
        <w:rPr>
          <w:rFonts w:eastAsiaTheme="minorEastAsia"/>
          <w:lang w:eastAsia="en-US"/>
        </w:rPr>
        <w:t>22-23</w:t>
      </w:r>
      <w:r w:rsidRPr="2716D652">
        <w:rPr>
          <w:rFonts w:eastAsiaTheme="minorEastAsia"/>
          <w:lang w:eastAsia="en-US"/>
        </w:rPr>
        <w:t xml:space="preserve">, </w:t>
      </w:r>
      <w:r>
        <w:rPr>
          <w:rFonts w:eastAsiaTheme="minorEastAsia"/>
          <w:lang w:eastAsia="en-US"/>
        </w:rPr>
        <w:t>nursing support and personal care workers</w:t>
      </w:r>
      <w:r w:rsidRPr="2716D652">
        <w:rPr>
          <w:rFonts w:eastAsiaTheme="minorEastAsia"/>
          <w:lang w:eastAsia="en-US"/>
        </w:rPr>
        <w:t xml:space="preserve"> had the largest </w:t>
      </w:r>
      <w:r>
        <w:rPr>
          <w:rFonts w:eastAsiaTheme="minorEastAsia"/>
          <w:lang w:eastAsia="en-US"/>
        </w:rPr>
        <w:t>percentage</w:t>
      </w:r>
      <w:r w:rsidRPr="2716D652">
        <w:rPr>
          <w:rFonts w:eastAsiaTheme="minorEastAsia"/>
          <w:lang w:eastAsia="en-US"/>
        </w:rPr>
        <w:t xml:space="preserve"> increase across all occupations, increasing </w:t>
      </w:r>
      <w:r>
        <w:rPr>
          <w:rFonts w:eastAsiaTheme="minorEastAsia"/>
          <w:lang w:eastAsia="en-US"/>
        </w:rPr>
        <w:t>29.9</w:t>
      </w:r>
      <w:r w:rsidRPr="2716D652">
        <w:rPr>
          <w:rFonts w:eastAsiaTheme="minorEastAsia"/>
          <w:lang w:eastAsia="en-US"/>
        </w:rPr>
        <w:t xml:space="preserve">% to </w:t>
      </w:r>
      <w:r>
        <w:rPr>
          <w:rFonts w:eastAsiaTheme="minorEastAsia"/>
          <w:lang w:eastAsia="en-US"/>
        </w:rPr>
        <w:t>2,982</w:t>
      </w:r>
      <w:r w:rsidRPr="2716D652">
        <w:rPr>
          <w:rFonts w:eastAsiaTheme="minorEastAsia"/>
          <w:lang w:eastAsia="en-US"/>
        </w:rPr>
        <w:t xml:space="preserve"> FTE in 20</w:t>
      </w:r>
      <w:r>
        <w:rPr>
          <w:rFonts w:eastAsiaTheme="minorEastAsia"/>
          <w:lang w:eastAsia="en-US"/>
        </w:rPr>
        <w:t>22-23</w:t>
      </w:r>
      <w:r w:rsidRPr="2716D652">
        <w:rPr>
          <w:rFonts w:eastAsiaTheme="minorEastAsia"/>
          <w:lang w:eastAsia="en-US"/>
        </w:rPr>
        <w:t xml:space="preserve">. </w:t>
      </w:r>
      <w:r>
        <w:rPr>
          <w:rFonts w:eastAsiaTheme="minorEastAsia"/>
          <w:lang w:eastAsia="en-US"/>
        </w:rPr>
        <w:t xml:space="preserve">Managers </w:t>
      </w:r>
      <w:r w:rsidR="002E41BB">
        <w:rPr>
          <w:rFonts w:eastAsiaTheme="minorEastAsia"/>
          <w:lang w:eastAsia="en-US"/>
        </w:rPr>
        <w:t xml:space="preserve">had </w:t>
      </w:r>
      <w:r>
        <w:rPr>
          <w:rFonts w:eastAsiaTheme="minorEastAsia"/>
          <w:lang w:eastAsia="en-US"/>
        </w:rPr>
        <w:t xml:space="preserve">an increase of 26.2% to 8,018 FTE and </w:t>
      </w:r>
      <w:r w:rsidRPr="6E627689">
        <w:rPr>
          <w:rFonts w:eastAsiaTheme="minorEastAsia"/>
          <w:lang w:eastAsia="en-US"/>
        </w:rPr>
        <w:t>c</w:t>
      </w:r>
      <w:r>
        <w:rPr>
          <w:rFonts w:eastAsiaTheme="minorEastAsia"/>
          <w:lang w:eastAsia="en-US"/>
        </w:rPr>
        <w:t>leaners an increase of 25.7% to 3,149</w:t>
      </w:r>
      <w:r w:rsidR="00F306B5">
        <w:rPr>
          <w:rFonts w:eastAsiaTheme="minorEastAsia"/>
          <w:lang w:eastAsia="en-US"/>
        </w:rPr>
        <w:t> </w:t>
      </w:r>
      <w:r>
        <w:rPr>
          <w:rFonts w:eastAsiaTheme="minorEastAsia"/>
          <w:lang w:eastAsia="en-US"/>
        </w:rPr>
        <w:t xml:space="preserve">FTE. </w:t>
      </w:r>
    </w:p>
    <w:p w14:paraId="7E3A0786" w14:textId="77777777" w:rsidR="000D42F1" w:rsidRPr="00624E29" w:rsidRDefault="000D42F1" w:rsidP="000D42F1">
      <w:pPr>
        <w:spacing w:line="240" w:lineRule="auto"/>
        <w:rPr>
          <w:color w:val="2E74B5" w:themeColor="accent1" w:themeShade="BF"/>
          <w:sz w:val="20"/>
          <w:szCs w:val="20"/>
        </w:rPr>
      </w:pPr>
      <w:r w:rsidRPr="00763129" w:rsidDel="00763129">
        <w:rPr>
          <w:color w:val="2E74B5" w:themeColor="accent1" w:themeShade="BF"/>
          <w:sz w:val="20"/>
          <w:szCs w:val="20"/>
        </w:rPr>
        <w:t xml:space="preserve"> </w:t>
      </w:r>
    </w:p>
    <w:p w14:paraId="133F947F" w14:textId="77777777" w:rsidR="000D42F1" w:rsidRDefault="000D42F1" w:rsidP="000D42F1">
      <w:pPr>
        <w:tabs>
          <w:tab w:val="center" w:pos="4596"/>
        </w:tabs>
        <w:spacing w:after="160" w:line="240" w:lineRule="auto"/>
        <w:jc w:val="center"/>
        <w:rPr>
          <w:color w:val="2E74B5" w:themeColor="accent1" w:themeShade="BF"/>
          <w:sz w:val="20"/>
          <w:szCs w:val="20"/>
        </w:rPr>
      </w:pPr>
    </w:p>
    <w:p w14:paraId="09308682" w14:textId="77777777" w:rsidR="000D42F1" w:rsidRDefault="000D42F1" w:rsidP="000D42F1">
      <w:pPr>
        <w:tabs>
          <w:tab w:val="center" w:pos="4596"/>
        </w:tabs>
        <w:spacing w:after="160" w:line="240" w:lineRule="auto"/>
        <w:jc w:val="center"/>
        <w:rPr>
          <w:color w:val="2E74B5" w:themeColor="accent1" w:themeShade="BF"/>
          <w:sz w:val="20"/>
          <w:szCs w:val="20"/>
        </w:rPr>
        <w:sectPr w:rsidR="000D42F1" w:rsidSect="00FA1DC5">
          <w:headerReference w:type="even" r:id="rId40"/>
          <w:headerReference w:type="default" r:id="rId41"/>
          <w:footerReference w:type="default" r:id="rId42"/>
          <w:headerReference w:type="first" r:id="rId43"/>
          <w:type w:val="continuous"/>
          <w:pgSz w:w="11906" w:h="16838"/>
          <w:pgMar w:top="1440" w:right="1274" w:bottom="1440" w:left="1440" w:header="708" w:footer="358" w:gutter="0"/>
          <w:cols w:space="708"/>
          <w:docGrid w:linePitch="360"/>
        </w:sectPr>
      </w:pPr>
    </w:p>
    <w:p w14:paraId="25A4EFD0" w14:textId="5A1F7914" w:rsidR="000D42F1" w:rsidRPr="00C667B0" w:rsidRDefault="000D42F1" w:rsidP="000D42F1">
      <w:pPr>
        <w:pStyle w:val="Caption"/>
        <w:rPr>
          <w:b/>
          <w:bCs/>
        </w:rPr>
      </w:pPr>
      <w:bookmarkStart w:id="52" w:name="_Ref84253479"/>
      <w:r w:rsidRPr="007F2168">
        <w:rPr>
          <w:b/>
          <w:bCs/>
        </w:rPr>
        <w:lastRenderedPageBreak/>
        <w:t xml:space="preserve">Table </w:t>
      </w:r>
      <w:r w:rsidRPr="007F2168">
        <w:rPr>
          <w:b/>
          <w:bCs/>
        </w:rPr>
        <w:fldChar w:fldCharType="begin"/>
      </w:r>
      <w:r w:rsidRPr="007F2168">
        <w:rPr>
          <w:b/>
          <w:bCs/>
        </w:rPr>
        <w:instrText xml:space="preserve"> SEQ Table \* ARABIC </w:instrText>
      </w:r>
      <w:r w:rsidRPr="007F2168">
        <w:rPr>
          <w:b/>
          <w:bCs/>
        </w:rPr>
        <w:fldChar w:fldCharType="separate"/>
      </w:r>
      <w:r w:rsidR="0048418F">
        <w:rPr>
          <w:b/>
          <w:bCs/>
          <w:noProof/>
        </w:rPr>
        <w:t>12</w:t>
      </w:r>
      <w:r w:rsidRPr="007F2168">
        <w:rPr>
          <w:b/>
          <w:bCs/>
        </w:rPr>
        <w:fldChar w:fldCharType="end"/>
      </w:r>
      <w:bookmarkEnd w:id="52"/>
      <w:r w:rsidRPr="00C667B0">
        <w:rPr>
          <w:b/>
          <w:bCs/>
        </w:rPr>
        <w:t>: Key statistics, WA public sector workforce by occupation</w:t>
      </w:r>
      <w:r w:rsidR="00E07D3D">
        <w:rPr>
          <w:b/>
          <w:bCs/>
        </w:rPr>
        <w:t xml:space="preserve">, annual average </w:t>
      </w:r>
      <w:r w:rsidRPr="00C667B0">
        <w:rPr>
          <w:b/>
          <w:bCs/>
        </w:rPr>
        <w:t>20</w:t>
      </w:r>
      <w:r>
        <w:rPr>
          <w:b/>
          <w:bCs/>
        </w:rPr>
        <w:t>22-23</w:t>
      </w:r>
    </w:p>
    <w:tbl>
      <w:tblPr>
        <w:tblW w:w="0" w:type="auto"/>
        <w:tblInd w:w="-10"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Caption w:val="Table 12: Key statistics, WA public sector workforce by occupation, annual average 2022-23"/>
      </w:tblPr>
      <w:tblGrid>
        <w:gridCol w:w="3402"/>
        <w:gridCol w:w="1418"/>
        <w:gridCol w:w="1814"/>
        <w:gridCol w:w="1077"/>
        <w:gridCol w:w="1417"/>
        <w:gridCol w:w="1417"/>
        <w:gridCol w:w="1418"/>
        <w:gridCol w:w="1814"/>
      </w:tblGrid>
      <w:tr w:rsidR="000D42F1" w:rsidRPr="004836DA" w14:paraId="5CBF1382" w14:textId="77777777" w:rsidTr="001058C1">
        <w:trPr>
          <w:trHeight w:hRule="exact" w:val="1061"/>
        </w:trPr>
        <w:tc>
          <w:tcPr>
            <w:tcW w:w="3402" w:type="dxa"/>
            <w:shd w:val="clear" w:color="auto" w:fill="auto"/>
            <w:noWrap/>
            <w:hideMark/>
          </w:tcPr>
          <w:p w14:paraId="4390B616" w14:textId="77777777" w:rsidR="000D42F1" w:rsidRPr="004836DA" w:rsidRDefault="000D42F1">
            <w:pPr>
              <w:pStyle w:val="Tables"/>
              <w:jc w:val="left"/>
              <w:rPr>
                <w:b/>
                <w:color w:val="2E74B5" w:themeColor="accent1" w:themeShade="BF"/>
              </w:rPr>
            </w:pPr>
            <w:r w:rsidRPr="004836DA">
              <w:rPr>
                <w:b/>
                <w:color w:val="2E74B5" w:themeColor="accent1" w:themeShade="BF"/>
              </w:rPr>
              <w:t>Occupational group</w:t>
            </w:r>
          </w:p>
        </w:tc>
        <w:tc>
          <w:tcPr>
            <w:tcW w:w="1418" w:type="dxa"/>
            <w:shd w:val="clear" w:color="auto" w:fill="auto"/>
            <w:noWrap/>
            <w:hideMark/>
          </w:tcPr>
          <w:p w14:paraId="21A63453" w14:textId="77777777" w:rsidR="000D42F1" w:rsidRPr="004836DA" w:rsidRDefault="000D42F1">
            <w:pPr>
              <w:pStyle w:val="Tables"/>
              <w:rPr>
                <w:b/>
                <w:bCs/>
                <w:color w:val="2E74B5" w:themeColor="accent1" w:themeShade="BF"/>
              </w:rPr>
            </w:pPr>
            <w:r w:rsidRPr="004836DA">
              <w:rPr>
                <w:b/>
                <w:bCs/>
                <w:color w:val="2E74B5" w:themeColor="accent1" w:themeShade="BF"/>
              </w:rPr>
              <w:t>FTE 2022-23</w:t>
            </w:r>
          </w:p>
        </w:tc>
        <w:tc>
          <w:tcPr>
            <w:tcW w:w="1814" w:type="dxa"/>
            <w:shd w:val="clear" w:color="auto" w:fill="auto"/>
            <w:noWrap/>
            <w:hideMark/>
          </w:tcPr>
          <w:p w14:paraId="00320ED3" w14:textId="77777777" w:rsidR="000D42F1" w:rsidRPr="004836DA" w:rsidRDefault="000D42F1">
            <w:pPr>
              <w:pStyle w:val="Tables"/>
              <w:rPr>
                <w:b/>
                <w:color w:val="2E74B5" w:themeColor="accent1" w:themeShade="BF"/>
              </w:rPr>
            </w:pPr>
            <w:r w:rsidRPr="004836DA">
              <w:rPr>
                <w:b/>
                <w:color w:val="2E74B5" w:themeColor="accent1" w:themeShade="BF"/>
              </w:rPr>
              <w:t xml:space="preserve">FTE change </w:t>
            </w:r>
          </w:p>
          <w:p w14:paraId="1B6F70BF" w14:textId="77777777" w:rsidR="000D42F1" w:rsidRPr="004836DA" w:rsidRDefault="000D42F1">
            <w:pPr>
              <w:pStyle w:val="Tables"/>
              <w:rPr>
                <w:b/>
                <w:bCs/>
                <w:color w:val="2E74B5" w:themeColor="accent1" w:themeShade="BF"/>
              </w:rPr>
            </w:pPr>
            <w:r w:rsidRPr="004836DA">
              <w:rPr>
                <w:b/>
                <w:color w:val="2E74B5" w:themeColor="accent1" w:themeShade="BF"/>
              </w:rPr>
              <w:t>s</w:t>
            </w:r>
            <w:r>
              <w:rPr>
                <w:b/>
                <w:color w:val="2E74B5" w:themeColor="accent1" w:themeShade="BF"/>
              </w:rPr>
              <w:t>i</w:t>
            </w:r>
            <w:r w:rsidRPr="004836DA">
              <w:rPr>
                <w:b/>
                <w:color w:val="2E74B5" w:themeColor="accent1" w:themeShade="BF"/>
              </w:rPr>
              <w:t xml:space="preserve">nce </w:t>
            </w:r>
            <w:r w:rsidRPr="004836DA">
              <w:rPr>
                <w:b/>
                <w:bCs/>
                <w:color w:val="2E74B5" w:themeColor="accent1" w:themeShade="BF"/>
              </w:rPr>
              <w:t xml:space="preserve">2018-19 </w:t>
            </w:r>
          </w:p>
          <w:p w14:paraId="1D451CCB" w14:textId="77777777" w:rsidR="000D42F1" w:rsidRPr="004836DA" w:rsidRDefault="000D42F1">
            <w:pPr>
              <w:pStyle w:val="Tables"/>
              <w:rPr>
                <w:b/>
                <w:bCs/>
                <w:color w:val="2E74B5" w:themeColor="accent1" w:themeShade="BF"/>
              </w:rPr>
            </w:pPr>
            <w:r w:rsidRPr="004836DA">
              <w:rPr>
                <w:b/>
                <w:bCs/>
                <w:color w:val="2E74B5" w:themeColor="accent1" w:themeShade="BF"/>
              </w:rPr>
              <w:t>(%)</w:t>
            </w:r>
          </w:p>
        </w:tc>
        <w:tc>
          <w:tcPr>
            <w:tcW w:w="1077" w:type="dxa"/>
            <w:shd w:val="clear" w:color="auto" w:fill="auto"/>
            <w:noWrap/>
            <w:hideMark/>
          </w:tcPr>
          <w:p w14:paraId="7F6E4B98" w14:textId="77777777" w:rsidR="000D42F1" w:rsidRPr="004836DA" w:rsidRDefault="000D42F1">
            <w:pPr>
              <w:pStyle w:val="Tables"/>
              <w:rPr>
                <w:b/>
                <w:color w:val="2E74B5" w:themeColor="accent1" w:themeShade="BF"/>
              </w:rPr>
            </w:pPr>
            <w:r w:rsidRPr="004836DA">
              <w:rPr>
                <w:b/>
                <w:color w:val="2E74B5" w:themeColor="accent1" w:themeShade="BF"/>
              </w:rPr>
              <w:t>Median age</w:t>
            </w:r>
          </w:p>
        </w:tc>
        <w:tc>
          <w:tcPr>
            <w:tcW w:w="1417" w:type="dxa"/>
            <w:shd w:val="clear" w:color="auto" w:fill="auto"/>
            <w:noWrap/>
            <w:hideMark/>
          </w:tcPr>
          <w:p w14:paraId="4556FABB" w14:textId="77777777" w:rsidR="000D42F1" w:rsidRPr="004836DA" w:rsidRDefault="000D42F1">
            <w:pPr>
              <w:pStyle w:val="Tables"/>
              <w:rPr>
                <w:b/>
                <w:color w:val="2E74B5" w:themeColor="accent1" w:themeShade="BF"/>
              </w:rPr>
            </w:pPr>
            <w:r w:rsidRPr="004836DA">
              <w:rPr>
                <w:b/>
                <w:color w:val="2E74B5" w:themeColor="accent1" w:themeShade="BF"/>
              </w:rPr>
              <w:t xml:space="preserve">Median </w:t>
            </w:r>
            <w:r w:rsidRPr="004836DA">
              <w:rPr>
                <w:b/>
                <w:color w:val="2E74B5" w:themeColor="accent1" w:themeShade="BF"/>
              </w:rPr>
              <w:br/>
              <w:t>salary combined</w:t>
            </w:r>
          </w:p>
        </w:tc>
        <w:tc>
          <w:tcPr>
            <w:tcW w:w="1417" w:type="dxa"/>
          </w:tcPr>
          <w:p w14:paraId="34DDC328" w14:textId="77777777" w:rsidR="000D42F1" w:rsidRPr="004836DA" w:rsidRDefault="000D42F1">
            <w:pPr>
              <w:pStyle w:val="Tables"/>
              <w:rPr>
                <w:b/>
                <w:color w:val="2E74B5" w:themeColor="accent1" w:themeShade="BF"/>
              </w:rPr>
            </w:pPr>
            <w:r w:rsidRPr="004836DA">
              <w:rPr>
                <w:b/>
                <w:color w:val="2E74B5" w:themeColor="accent1" w:themeShade="BF"/>
              </w:rPr>
              <w:t>Median salary female employees</w:t>
            </w:r>
          </w:p>
        </w:tc>
        <w:tc>
          <w:tcPr>
            <w:tcW w:w="1418" w:type="dxa"/>
          </w:tcPr>
          <w:p w14:paraId="3A94AC99" w14:textId="77777777" w:rsidR="000D42F1" w:rsidRPr="004836DA" w:rsidRDefault="000D42F1">
            <w:pPr>
              <w:pStyle w:val="Tables"/>
              <w:rPr>
                <w:b/>
                <w:color w:val="2E74B5" w:themeColor="accent1" w:themeShade="BF"/>
              </w:rPr>
            </w:pPr>
            <w:r w:rsidRPr="004836DA">
              <w:rPr>
                <w:b/>
                <w:color w:val="2E74B5" w:themeColor="accent1" w:themeShade="BF"/>
              </w:rPr>
              <w:t>Median salary male employees</w:t>
            </w:r>
          </w:p>
        </w:tc>
        <w:tc>
          <w:tcPr>
            <w:tcW w:w="1814" w:type="dxa"/>
            <w:shd w:val="clear" w:color="auto" w:fill="auto"/>
            <w:noWrap/>
            <w:hideMark/>
          </w:tcPr>
          <w:p w14:paraId="74AE45F7" w14:textId="77777777" w:rsidR="000D42F1" w:rsidRPr="004836DA" w:rsidRDefault="000D42F1">
            <w:pPr>
              <w:pStyle w:val="Tables"/>
              <w:rPr>
                <w:b/>
                <w:bCs/>
                <w:color w:val="2E74B5" w:themeColor="accent1" w:themeShade="BF"/>
              </w:rPr>
            </w:pPr>
            <w:r w:rsidRPr="004836DA">
              <w:rPr>
                <w:b/>
                <w:bCs/>
                <w:color w:val="2E74B5" w:themeColor="accent1" w:themeShade="BF"/>
              </w:rPr>
              <w:t>Female % (percentage point change since 2018-19)</w:t>
            </w:r>
          </w:p>
        </w:tc>
      </w:tr>
      <w:tr w:rsidR="000D42F1" w:rsidRPr="004836DA" w14:paraId="130E4858" w14:textId="77777777" w:rsidTr="001058C1">
        <w:trPr>
          <w:trHeight w:val="567"/>
        </w:trPr>
        <w:tc>
          <w:tcPr>
            <w:tcW w:w="3402" w:type="dxa"/>
            <w:shd w:val="clear" w:color="auto" w:fill="auto"/>
            <w:noWrap/>
            <w:hideMark/>
          </w:tcPr>
          <w:p w14:paraId="295C48F4" w14:textId="77777777" w:rsidR="000D42F1" w:rsidRPr="004836DA" w:rsidRDefault="000D42F1">
            <w:pPr>
              <w:pStyle w:val="Tables"/>
              <w:jc w:val="left"/>
            </w:pPr>
            <w:r w:rsidRPr="004836DA">
              <w:t>Education professionals (teachers)</w:t>
            </w:r>
          </w:p>
        </w:tc>
        <w:tc>
          <w:tcPr>
            <w:tcW w:w="1418" w:type="dxa"/>
            <w:shd w:val="clear" w:color="auto" w:fill="auto"/>
            <w:noWrap/>
            <w:hideMark/>
          </w:tcPr>
          <w:p w14:paraId="5467939A" w14:textId="77777777" w:rsidR="000D42F1" w:rsidRPr="004836DA" w:rsidRDefault="000D42F1">
            <w:pPr>
              <w:pStyle w:val="Tables"/>
            </w:pPr>
            <w:r w:rsidRPr="004601C6">
              <w:t xml:space="preserve">23,431 </w:t>
            </w:r>
          </w:p>
        </w:tc>
        <w:tc>
          <w:tcPr>
            <w:tcW w:w="1814" w:type="dxa"/>
            <w:shd w:val="clear" w:color="auto" w:fill="auto"/>
            <w:noWrap/>
            <w:hideMark/>
          </w:tcPr>
          <w:p w14:paraId="2496686B" w14:textId="77777777" w:rsidR="000D42F1" w:rsidRPr="004836DA" w:rsidRDefault="000D42F1">
            <w:pPr>
              <w:pStyle w:val="Tables"/>
            </w:pPr>
            <w:r w:rsidRPr="004601C6">
              <w:t xml:space="preserve">+1,741 (+8.0%) </w:t>
            </w:r>
          </w:p>
        </w:tc>
        <w:tc>
          <w:tcPr>
            <w:tcW w:w="1077" w:type="dxa"/>
            <w:shd w:val="clear" w:color="auto" w:fill="auto"/>
            <w:noWrap/>
            <w:hideMark/>
          </w:tcPr>
          <w:p w14:paraId="393092CF" w14:textId="77777777" w:rsidR="000D42F1" w:rsidRPr="004836DA" w:rsidRDefault="000D42F1" w:rsidP="00B94A95">
            <w:pPr>
              <w:pStyle w:val="Tables"/>
            </w:pPr>
            <w:r w:rsidRPr="004601C6">
              <w:t xml:space="preserve">43.0 </w:t>
            </w:r>
          </w:p>
        </w:tc>
        <w:tc>
          <w:tcPr>
            <w:tcW w:w="1417" w:type="dxa"/>
            <w:shd w:val="clear" w:color="auto" w:fill="auto"/>
            <w:noWrap/>
            <w:hideMark/>
          </w:tcPr>
          <w:p w14:paraId="177CE30C" w14:textId="77777777" w:rsidR="000D42F1" w:rsidRPr="004836DA" w:rsidRDefault="000D42F1" w:rsidP="00B94A95">
            <w:pPr>
              <w:pStyle w:val="Tables"/>
            </w:pPr>
            <w:r w:rsidRPr="004601C6">
              <w:t xml:space="preserve">$111,803 </w:t>
            </w:r>
          </w:p>
        </w:tc>
        <w:tc>
          <w:tcPr>
            <w:tcW w:w="1417" w:type="dxa"/>
          </w:tcPr>
          <w:p w14:paraId="2D1F00A7" w14:textId="77777777" w:rsidR="000D42F1" w:rsidRPr="004836DA" w:rsidRDefault="000D42F1">
            <w:pPr>
              <w:pStyle w:val="Tables"/>
            </w:pPr>
            <w:r w:rsidRPr="004601C6">
              <w:t xml:space="preserve">$111,914 </w:t>
            </w:r>
          </w:p>
        </w:tc>
        <w:tc>
          <w:tcPr>
            <w:tcW w:w="1418" w:type="dxa"/>
          </w:tcPr>
          <w:p w14:paraId="1968D07A" w14:textId="77777777" w:rsidR="000D42F1" w:rsidRPr="004836DA" w:rsidRDefault="000D42F1" w:rsidP="00B94A95">
            <w:pPr>
              <w:pStyle w:val="Tables"/>
            </w:pPr>
            <w:r w:rsidRPr="004601C6">
              <w:t xml:space="preserve">$107,870 </w:t>
            </w:r>
          </w:p>
        </w:tc>
        <w:tc>
          <w:tcPr>
            <w:tcW w:w="1814" w:type="dxa"/>
            <w:shd w:val="clear" w:color="auto" w:fill="auto"/>
            <w:noWrap/>
            <w:hideMark/>
          </w:tcPr>
          <w:p w14:paraId="65128892" w14:textId="7A244D58" w:rsidR="000D42F1" w:rsidRPr="004836DA" w:rsidRDefault="000D42F1">
            <w:pPr>
              <w:pStyle w:val="Tables"/>
            </w:pPr>
            <w:r w:rsidRPr="004601C6">
              <w:t>77.2% (-0.6</w:t>
            </w:r>
            <w:r>
              <w:t>ppt</w:t>
            </w:r>
            <w:r w:rsidRPr="004601C6">
              <w:t xml:space="preserve">) </w:t>
            </w:r>
          </w:p>
        </w:tc>
      </w:tr>
      <w:tr w:rsidR="000D42F1" w:rsidRPr="004836DA" w14:paraId="3212299D" w14:textId="77777777" w:rsidTr="001058C1">
        <w:trPr>
          <w:trHeight w:hRule="exact" w:val="567"/>
        </w:trPr>
        <w:tc>
          <w:tcPr>
            <w:tcW w:w="3402" w:type="dxa"/>
            <w:shd w:val="clear" w:color="auto" w:fill="auto"/>
            <w:noWrap/>
            <w:hideMark/>
          </w:tcPr>
          <w:p w14:paraId="25FA22C0" w14:textId="77777777" w:rsidR="000D42F1" w:rsidRPr="004836DA" w:rsidRDefault="000D42F1">
            <w:pPr>
              <w:pStyle w:val="Tables"/>
              <w:jc w:val="left"/>
            </w:pPr>
            <w:r w:rsidRPr="004836DA">
              <w:t>Clerical and administrative workers</w:t>
            </w:r>
          </w:p>
        </w:tc>
        <w:tc>
          <w:tcPr>
            <w:tcW w:w="1418" w:type="dxa"/>
            <w:shd w:val="clear" w:color="auto" w:fill="auto"/>
            <w:noWrap/>
            <w:hideMark/>
          </w:tcPr>
          <w:p w14:paraId="0813DDDF" w14:textId="77777777" w:rsidR="000D42F1" w:rsidRPr="004836DA" w:rsidRDefault="000D42F1">
            <w:pPr>
              <w:pStyle w:val="Tables"/>
            </w:pPr>
            <w:r w:rsidRPr="004601C6">
              <w:t xml:space="preserve">21,292 </w:t>
            </w:r>
          </w:p>
        </w:tc>
        <w:tc>
          <w:tcPr>
            <w:tcW w:w="1814" w:type="dxa"/>
            <w:shd w:val="clear" w:color="auto" w:fill="auto"/>
            <w:noWrap/>
            <w:hideMark/>
          </w:tcPr>
          <w:p w14:paraId="7D335760" w14:textId="77777777" w:rsidR="000D42F1" w:rsidRPr="004836DA" w:rsidRDefault="000D42F1">
            <w:pPr>
              <w:pStyle w:val="Tables"/>
            </w:pPr>
            <w:r w:rsidRPr="004601C6">
              <w:t xml:space="preserve">+3,161 (+17.4%) </w:t>
            </w:r>
          </w:p>
        </w:tc>
        <w:tc>
          <w:tcPr>
            <w:tcW w:w="1077" w:type="dxa"/>
            <w:shd w:val="clear" w:color="auto" w:fill="auto"/>
            <w:noWrap/>
            <w:hideMark/>
          </w:tcPr>
          <w:p w14:paraId="35ABF3E3" w14:textId="77777777" w:rsidR="000D42F1" w:rsidRPr="004836DA" w:rsidRDefault="000D42F1" w:rsidP="00B94A95">
            <w:pPr>
              <w:pStyle w:val="Tables"/>
            </w:pPr>
            <w:r w:rsidRPr="004601C6">
              <w:t xml:space="preserve">46.3 </w:t>
            </w:r>
          </w:p>
        </w:tc>
        <w:tc>
          <w:tcPr>
            <w:tcW w:w="1417" w:type="dxa"/>
            <w:shd w:val="clear" w:color="auto" w:fill="auto"/>
            <w:noWrap/>
            <w:hideMark/>
          </w:tcPr>
          <w:p w14:paraId="20B8289A" w14:textId="77777777" w:rsidR="000D42F1" w:rsidRPr="004836DA" w:rsidRDefault="000D42F1" w:rsidP="00B94A95">
            <w:pPr>
              <w:pStyle w:val="Tables"/>
            </w:pPr>
            <w:r w:rsidRPr="004601C6">
              <w:t xml:space="preserve">$71,642 </w:t>
            </w:r>
          </w:p>
        </w:tc>
        <w:tc>
          <w:tcPr>
            <w:tcW w:w="1417" w:type="dxa"/>
          </w:tcPr>
          <w:p w14:paraId="53FA6D51" w14:textId="77777777" w:rsidR="000D42F1" w:rsidRPr="004836DA" w:rsidRDefault="000D42F1">
            <w:pPr>
              <w:pStyle w:val="Tables"/>
            </w:pPr>
            <w:r w:rsidRPr="004601C6">
              <w:t xml:space="preserve">$71,604 </w:t>
            </w:r>
          </w:p>
        </w:tc>
        <w:tc>
          <w:tcPr>
            <w:tcW w:w="1418" w:type="dxa"/>
          </w:tcPr>
          <w:p w14:paraId="4940A04E" w14:textId="77777777" w:rsidR="000D42F1" w:rsidRPr="004836DA" w:rsidRDefault="000D42F1" w:rsidP="00B94A95">
            <w:pPr>
              <w:pStyle w:val="Tables"/>
            </w:pPr>
            <w:r w:rsidRPr="004601C6">
              <w:t xml:space="preserve">$83,161 </w:t>
            </w:r>
          </w:p>
        </w:tc>
        <w:tc>
          <w:tcPr>
            <w:tcW w:w="1814" w:type="dxa"/>
            <w:shd w:val="clear" w:color="auto" w:fill="auto"/>
            <w:noWrap/>
            <w:hideMark/>
          </w:tcPr>
          <w:p w14:paraId="4F52AF0B" w14:textId="5DB82B6B" w:rsidR="000D42F1" w:rsidRPr="004836DA" w:rsidRDefault="000D42F1">
            <w:pPr>
              <w:pStyle w:val="Tables"/>
            </w:pPr>
            <w:r w:rsidRPr="004601C6">
              <w:t>80.1% (-0.7</w:t>
            </w:r>
            <w:r>
              <w:t>ppt</w:t>
            </w:r>
            <w:r w:rsidRPr="004601C6">
              <w:t xml:space="preserve">) </w:t>
            </w:r>
          </w:p>
        </w:tc>
      </w:tr>
      <w:tr w:rsidR="000D42F1" w:rsidRPr="004836DA" w14:paraId="0536780E" w14:textId="77777777" w:rsidTr="001058C1">
        <w:trPr>
          <w:trHeight w:hRule="exact" w:val="567"/>
        </w:trPr>
        <w:tc>
          <w:tcPr>
            <w:tcW w:w="3402" w:type="dxa"/>
            <w:shd w:val="clear" w:color="auto" w:fill="auto"/>
            <w:noWrap/>
            <w:hideMark/>
          </w:tcPr>
          <w:p w14:paraId="7DD34618" w14:textId="77777777" w:rsidR="000D42F1" w:rsidRPr="004836DA" w:rsidRDefault="000D42F1">
            <w:pPr>
              <w:pStyle w:val="Tables"/>
              <w:jc w:val="left"/>
            </w:pPr>
            <w:r w:rsidRPr="004836DA">
              <w:t>Nurses and midwives</w:t>
            </w:r>
          </w:p>
        </w:tc>
        <w:tc>
          <w:tcPr>
            <w:tcW w:w="1418" w:type="dxa"/>
            <w:shd w:val="clear" w:color="auto" w:fill="auto"/>
            <w:noWrap/>
            <w:hideMark/>
          </w:tcPr>
          <w:p w14:paraId="2D3513A9" w14:textId="77777777" w:rsidR="000D42F1" w:rsidRPr="004836DA" w:rsidRDefault="000D42F1">
            <w:pPr>
              <w:pStyle w:val="Tables"/>
            </w:pPr>
            <w:r w:rsidRPr="004601C6">
              <w:t xml:space="preserve">14,221 </w:t>
            </w:r>
          </w:p>
        </w:tc>
        <w:tc>
          <w:tcPr>
            <w:tcW w:w="1814" w:type="dxa"/>
            <w:shd w:val="clear" w:color="auto" w:fill="auto"/>
            <w:noWrap/>
            <w:hideMark/>
          </w:tcPr>
          <w:p w14:paraId="6840077E" w14:textId="77777777" w:rsidR="000D42F1" w:rsidRPr="004836DA" w:rsidRDefault="000D42F1">
            <w:pPr>
              <w:pStyle w:val="Tables"/>
            </w:pPr>
            <w:r w:rsidRPr="004601C6">
              <w:t xml:space="preserve"> +2,118 (+17.5%) </w:t>
            </w:r>
          </w:p>
        </w:tc>
        <w:tc>
          <w:tcPr>
            <w:tcW w:w="1077" w:type="dxa"/>
            <w:shd w:val="clear" w:color="auto" w:fill="auto"/>
            <w:noWrap/>
            <w:hideMark/>
          </w:tcPr>
          <w:p w14:paraId="7B6C6973" w14:textId="77777777" w:rsidR="000D42F1" w:rsidRPr="004836DA" w:rsidRDefault="000D42F1" w:rsidP="00B94A95">
            <w:pPr>
              <w:pStyle w:val="Tables"/>
            </w:pPr>
            <w:r w:rsidRPr="004601C6">
              <w:t xml:space="preserve">40.5 </w:t>
            </w:r>
          </w:p>
        </w:tc>
        <w:tc>
          <w:tcPr>
            <w:tcW w:w="1417" w:type="dxa"/>
            <w:shd w:val="clear" w:color="auto" w:fill="auto"/>
            <w:noWrap/>
            <w:hideMark/>
          </w:tcPr>
          <w:p w14:paraId="09166A93" w14:textId="77777777" w:rsidR="000D42F1" w:rsidRPr="004836DA" w:rsidRDefault="000D42F1" w:rsidP="00B94A95">
            <w:pPr>
              <w:pStyle w:val="Tables"/>
            </w:pPr>
            <w:r w:rsidRPr="004601C6">
              <w:t xml:space="preserve">$92,017 </w:t>
            </w:r>
          </w:p>
        </w:tc>
        <w:tc>
          <w:tcPr>
            <w:tcW w:w="1417" w:type="dxa"/>
          </w:tcPr>
          <w:p w14:paraId="3C033E61" w14:textId="77777777" w:rsidR="000D42F1" w:rsidRPr="004836DA" w:rsidRDefault="000D42F1">
            <w:pPr>
              <w:pStyle w:val="Tables"/>
            </w:pPr>
            <w:r w:rsidRPr="004601C6">
              <w:t xml:space="preserve">$92,017 </w:t>
            </w:r>
          </w:p>
        </w:tc>
        <w:tc>
          <w:tcPr>
            <w:tcW w:w="1418" w:type="dxa"/>
          </w:tcPr>
          <w:p w14:paraId="637CD2D2" w14:textId="77777777" w:rsidR="000D42F1" w:rsidRPr="004836DA" w:rsidRDefault="000D42F1" w:rsidP="00B94A95">
            <w:pPr>
              <w:pStyle w:val="Tables"/>
            </w:pPr>
            <w:r w:rsidRPr="004601C6">
              <w:t xml:space="preserve">$92,017 </w:t>
            </w:r>
          </w:p>
        </w:tc>
        <w:tc>
          <w:tcPr>
            <w:tcW w:w="1814" w:type="dxa"/>
            <w:shd w:val="clear" w:color="auto" w:fill="auto"/>
            <w:noWrap/>
            <w:hideMark/>
          </w:tcPr>
          <w:p w14:paraId="46B0BC59" w14:textId="2168E9B5" w:rsidR="000D42F1" w:rsidRPr="004836DA" w:rsidRDefault="000D42F1">
            <w:pPr>
              <w:pStyle w:val="Tables"/>
              <w:ind w:right="110"/>
            </w:pPr>
            <w:r w:rsidRPr="004601C6">
              <w:t>89.8% (0.0</w:t>
            </w:r>
            <w:r>
              <w:t>ppt</w:t>
            </w:r>
            <w:r w:rsidRPr="004601C6">
              <w:t xml:space="preserve">) </w:t>
            </w:r>
          </w:p>
        </w:tc>
      </w:tr>
      <w:tr w:rsidR="000D42F1" w:rsidRPr="004836DA" w14:paraId="6A8481EB" w14:textId="77777777" w:rsidTr="001058C1">
        <w:trPr>
          <w:trHeight w:hRule="exact" w:val="567"/>
        </w:trPr>
        <w:tc>
          <w:tcPr>
            <w:tcW w:w="3402" w:type="dxa"/>
            <w:shd w:val="clear" w:color="auto" w:fill="auto"/>
            <w:noWrap/>
            <w:hideMark/>
          </w:tcPr>
          <w:p w14:paraId="15A85CC6" w14:textId="77777777" w:rsidR="000D42F1" w:rsidRPr="004836DA" w:rsidRDefault="000D42F1">
            <w:pPr>
              <w:pStyle w:val="Tables"/>
              <w:jc w:val="left"/>
            </w:pPr>
            <w:r w:rsidRPr="004836DA">
              <w:t>Education aides</w:t>
            </w:r>
          </w:p>
        </w:tc>
        <w:tc>
          <w:tcPr>
            <w:tcW w:w="1418" w:type="dxa"/>
            <w:shd w:val="clear" w:color="auto" w:fill="auto"/>
            <w:noWrap/>
            <w:hideMark/>
          </w:tcPr>
          <w:p w14:paraId="76FBC76E" w14:textId="77777777" w:rsidR="000D42F1" w:rsidRPr="004836DA" w:rsidRDefault="000D42F1">
            <w:pPr>
              <w:pStyle w:val="Tables"/>
            </w:pPr>
            <w:r w:rsidRPr="004601C6">
              <w:t xml:space="preserve">9,926 </w:t>
            </w:r>
          </w:p>
        </w:tc>
        <w:tc>
          <w:tcPr>
            <w:tcW w:w="1814" w:type="dxa"/>
            <w:shd w:val="clear" w:color="auto" w:fill="auto"/>
            <w:noWrap/>
            <w:hideMark/>
          </w:tcPr>
          <w:p w14:paraId="341ECD4F" w14:textId="77777777" w:rsidR="000D42F1" w:rsidRPr="004836DA" w:rsidRDefault="000D42F1">
            <w:pPr>
              <w:pStyle w:val="Tables"/>
            </w:pPr>
            <w:r w:rsidRPr="004601C6">
              <w:t xml:space="preserve">+1,549 (+18.5%) </w:t>
            </w:r>
          </w:p>
        </w:tc>
        <w:tc>
          <w:tcPr>
            <w:tcW w:w="1077" w:type="dxa"/>
            <w:shd w:val="clear" w:color="auto" w:fill="auto"/>
            <w:noWrap/>
            <w:hideMark/>
          </w:tcPr>
          <w:p w14:paraId="1CB71D67" w14:textId="77777777" w:rsidR="000D42F1" w:rsidRPr="004836DA" w:rsidRDefault="000D42F1" w:rsidP="00B94A95">
            <w:pPr>
              <w:pStyle w:val="Tables"/>
            </w:pPr>
            <w:r w:rsidRPr="004601C6">
              <w:t xml:space="preserve">46.0 </w:t>
            </w:r>
          </w:p>
        </w:tc>
        <w:tc>
          <w:tcPr>
            <w:tcW w:w="1417" w:type="dxa"/>
            <w:shd w:val="clear" w:color="auto" w:fill="auto"/>
            <w:noWrap/>
            <w:hideMark/>
          </w:tcPr>
          <w:p w14:paraId="37EFB9C2" w14:textId="0DD25657" w:rsidR="000D42F1" w:rsidRPr="004836DA" w:rsidRDefault="000D42F1" w:rsidP="00B94A95">
            <w:pPr>
              <w:pStyle w:val="Tables"/>
            </w:pPr>
            <w:r w:rsidRPr="004601C6">
              <w:t>$55,974</w:t>
            </w:r>
          </w:p>
        </w:tc>
        <w:tc>
          <w:tcPr>
            <w:tcW w:w="1417" w:type="dxa"/>
          </w:tcPr>
          <w:p w14:paraId="02B609F1" w14:textId="6551CEDD" w:rsidR="000D42F1" w:rsidRPr="004836DA" w:rsidRDefault="000D42F1" w:rsidP="001058C1">
            <w:pPr>
              <w:pStyle w:val="Tables"/>
            </w:pPr>
            <w:r w:rsidRPr="004601C6">
              <w:t xml:space="preserve">$55,974 </w:t>
            </w:r>
          </w:p>
        </w:tc>
        <w:tc>
          <w:tcPr>
            <w:tcW w:w="1418" w:type="dxa"/>
          </w:tcPr>
          <w:p w14:paraId="1CA81A73" w14:textId="0145B309" w:rsidR="000D42F1" w:rsidRPr="004836DA" w:rsidRDefault="000D42F1" w:rsidP="00B94A95">
            <w:pPr>
              <w:pStyle w:val="Tables"/>
            </w:pPr>
            <w:r w:rsidRPr="004601C6">
              <w:t xml:space="preserve">$55,974 </w:t>
            </w:r>
          </w:p>
        </w:tc>
        <w:tc>
          <w:tcPr>
            <w:tcW w:w="1814" w:type="dxa"/>
            <w:shd w:val="clear" w:color="auto" w:fill="auto"/>
            <w:noWrap/>
            <w:hideMark/>
          </w:tcPr>
          <w:p w14:paraId="780B7495" w14:textId="16FB90F8" w:rsidR="000D42F1" w:rsidRPr="004836DA" w:rsidRDefault="000D42F1">
            <w:pPr>
              <w:pStyle w:val="Tables"/>
            </w:pPr>
            <w:r w:rsidRPr="004601C6">
              <w:t xml:space="preserve"> 94.0% (-0.8</w:t>
            </w:r>
            <w:r>
              <w:t>ppt</w:t>
            </w:r>
            <w:r w:rsidRPr="004601C6">
              <w:t xml:space="preserve">) </w:t>
            </w:r>
          </w:p>
        </w:tc>
      </w:tr>
      <w:tr w:rsidR="000D42F1" w:rsidRPr="004836DA" w14:paraId="2D133124" w14:textId="77777777" w:rsidTr="001058C1">
        <w:trPr>
          <w:trHeight w:hRule="exact" w:val="567"/>
        </w:trPr>
        <w:tc>
          <w:tcPr>
            <w:tcW w:w="3402" w:type="dxa"/>
            <w:shd w:val="clear" w:color="auto" w:fill="auto"/>
            <w:noWrap/>
            <w:hideMark/>
          </w:tcPr>
          <w:p w14:paraId="78791612" w14:textId="77777777" w:rsidR="000D42F1" w:rsidRPr="004836DA" w:rsidRDefault="000D42F1">
            <w:pPr>
              <w:pStyle w:val="Tables"/>
              <w:jc w:val="left"/>
            </w:pPr>
            <w:r w:rsidRPr="004836DA">
              <w:t>Managers</w:t>
            </w:r>
          </w:p>
        </w:tc>
        <w:tc>
          <w:tcPr>
            <w:tcW w:w="1418" w:type="dxa"/>
            <w:shd w:val="clear" w:color="auto" w:fill="auto"/>
            <w:noWrap/>
            <w:hideMark/>
          </w:tcPr>
          <w:p w14:paraId="58509A7D" w14:textId="77777777" w:rsidR="000D42F1" w:rsidRPr="004836DA" w:rsidRDefault="000D42F1">
            <w:pPr>
              <w:pStyle w:val="Tables"/>
            </w:pPr>
            <w:r w:rsidRPr="004601C6">
              <w:t xml:space="preserve">8,018 </w:t>
            </w:r>
          </w:p>
        </w:tc>
        <w:tc>
          <w:tcPr>
            <w:tcW w:w="1814" w:type="dxa"/>
            <w:shd w:val="clear" w:color="auto" w:fill="auto"/>
            <w:noWrap/>
            <w:hideMark/>
          </w:tcPr>
          <w:p w14:paraId="27438142" w14:textId="77777777" w:rsidR="000D42F1" w:rsidRPr="004836DA" w:rsidRDefault="000D42F1">
            <w:pPr>
              <w:pStyle w:val="Tables"/>
            </w:pPr>
            <w:r w:rsidRPr="00E8702E">
              <w:t xml:space="preserve"> +1,665 (+26.2%) </w:t>
            </w:r>
          </w:p>
        </w:tc>
        <w:tc>
          <w:tcPr>
            <w:tcW w:w="1077" w:type="dxa"/>
            <w:shd w:val="clear" w:color="auto" w:fill="auto"/>
            <w:noWrap/>
            <w:hideMark/>
          </w:tcPr>
          <w:p w14:paraId="63C27E44" w14:textId="69203B08" w:rsidR="000D42F1" w:rsidRPr="004836DA" w:rsidRDefault="000D42F1" w:rsidP="00B94A95">
            <w:pPr>
              <w:pStyle w:val="Tables"/>
            </w:pPr>
            <w:r w:rsidRPr="00E8702E">
              <w:t xml:space="preserve">50.0 </w:t>
            </w:r>
          </w:p>
        </w:tc>
        <w:tc>
          <w:tcPr>
            <w:tcW w:w="1417" w:type="dxa"/>
            <w:shd w:val="clear" w:color="auto" w:fill="auto"/>
            <w:noWrap/>
            <w:hideMark/>
          </w:tcPr>
          <w:p w14:paraId="3772E6DF" w14:textId="11257613" w:rsidR="000D42F1" w:rsidRPr="004836DA" w:rsidRDefault="000D42F1" w:rsidP="00B94A95">
            <w:pPr>
              <w:pStyle w:val="Tables"/>
            </w:pPr>
            <w:r w:rsidRPr="00E8702E">
              <w:t xml:space="preserve">$131,965 </w:t>
            </w:r>
          </w:p>
        </w:tc>
        <w:tc>
          <w:tcPr>
            <w:tcW w:w="1417" w:type="dxa"/>
          </w:tcPr>
          <w:p w14:paraId="4E0FCFA1" w14:textId="72AF26A9" w:rsidR="000D42F1" w:rsidRPr="004836DA" w:rsidRDefault="000D42F1" w:rsidP="00B94A95">
            <w:pPr>
              <w:pStyle w:val="Tables"/>
            </w:pPr>
            <w:r w:rsidRPr="00E8702E">
              <w:t xml:space="preserve">$123,981 </w:t>
            </w:r>
          </w:p>
        </w:tc>
        <w:tc>
          <w:tcPr>
            <w:tcW w:w="1418" w:type="dxa"/>
          </w:tcPr>
          <w:p w14:paraId="4F9D2C6D" w14:textId="668738DE" w:rsidR="000D42F1" w:rsidRPr="004836DA" w:rsidRDefault="000D42F1" w:rsidP="00B94A95">
            <w:pPr>
              <w:pStyle w:val="Tables"/>
            </w:pPr>
            <w:r w:rsidRPr="00E8702E">
              <w:t xml:space="preserve">$138,123 </w:t>
            </w:r>
          </w:p>
        </w:tc>
        <w:tc>
          <w:tcPr>
            <w:tcW w:w="1814" w:type="dxa"/>
            <w:shd w:val="clear" w:color="auto" w:fill="auto"/>
            <w:noWrap/>
            <w:hideMark/>
          </w:tcPr>
          <w:p w14:paraId="5BBE42BD" w14:textId="792E126A" w:rsidR="000D42F1" w:rsidRPr="004836DA" w:rsidRDefault="000D42F1">
            <w:pPr>
              <w:pStyle w:val="Tables"/>
            </w:pPr>
            <w:r w:rsidRPr="00E8702E">
              <w:t xml:space="preserve"> 56.1% (+3.4</w:t>
            </w:r>
            <w:r>
              <w:t>ppt</w:t>
            </w:r>
            <w:r w:rsidRPr="00E8702E">
              <w:t xml:space="preserve">) </w:t>
            </w:r>
          </w:p>
        </w:tc>
      </w:tr>
      <w:tr w:rsidR="000D42F1" w:rsidRPr="004836DA" w14:paraId="6905F693" w14:textId="77777777" w:rsidTr="001058C1">
        <w:trPr>
          <w:trHeight w:hRule="exact" w:val="567"/>
        </w:trPr>
        <w:tc>
          <w:tcPr>
            <w:tcW w:w="3402" w:type="dxa"/>
            <w:shd w:val="clear" w:color="auto" w:fill="auto"/>
            <w:noWrap/>
            <w:hideMark/>
          </w:tcPr>
          <w:p w14:paraId="5450FBCF" w14:textId="77777777" w:rsidR="000D42F1" w:rsidRPr="004836DA" w:rsidRDefault="000D42F1">
            <w:pPr>
              <w:pStyle w:val="Tables"/>
              <w:jc w:val="left"/>
            </w:pPr>
            <w:r w:rsidRPr="004836DA">
              <w:t>Business, human resource and marketing professionals</w:t>
            </w:r>
          </w:p>
        </w:tc>
        <w:tc>
          <w:tcPr>
            <w:tcW w:w="1418" w:type="dxa"/>
            <w:shd w:val="clear" w:color="auto" w:fill="auto"/>
            <w:noWrap/>
            <w:hideMark/>
          </w:tcPr>
          <w:p w14:paraId="41D903D9" w14:textId="77777777" w:rsidR="000D42F1" w:rsidRPr="004836DA" w:rsidRDefault="000D42F1">
            <w:pPr>
              <w:pStyle w:val="Tables"/>
            </w:pPr>
            <w:r w:rsidRPr="00E8702E">
              <w:t xml:space="preserve">6,660 </w:t>
            </w:r>
          </w:p>
        </w:tc>
        <w:tc>
          <w:tcPr>
            <w:tcW w:w="1814" w:type="dxa"/>
            <w:shd w:val="clear" w:color="auto" w:fill="auto"/>
            <w:noWrap/>
            <w:hideMark/>
          </w:tcPr>
          <w:p w14:paraId="3D7578E5" w14:textId="77777777" w:rsidR="000D42F1" w:rsidRPr="004836DA" w:rsidRDefault="000D42F1">
            <w:pPr>
              <w:pStyle w:val="Tables"/>
            </w:pPr>
            <w:r w:rsidRPr="00E8702E">
              <w:t xml:space="preserve"> +833 (+14.3%) </w:t>
            </w:r>
          </w:p>
        </w:tc>
        <w:tc>
          <w:tcPr>
            <w:tcW w:w="1077" w:type="dxa"/>
            <w:shd w:val="clear" w:color="auto" w:fill="auto"/>
            <w:noWrap/>
            <w:hideMark/>
          </w:tcPr>
          <w:p w14:paraId="5EABB398" w14:textId="14858B7C" w:rsidR="000D42F1" w:rsidRPr="004836DA" w:rsidRDefault="000D42F1" w:rsidP="00B94A95">
            <w:pPr>
              <w:pStyle w:val="Tables"/>
            </w:pPr>
            <w:r w:rsidRPr="00E8702E">
              <w:t xml:space="preserve">44.0 </w:t>
            </w:r>
          </w:p>
        </w:tc>
        <w:tc>
          <w:tcPr>
            <w:tcW w:w="1417" w:type="dxa"/>
            <w:shd w:val="clear" w:color="auto" w:fill="auto"/>
            <w:noWrap/>
            <w:hideMark/>
          </w:tcPr>
          <w:p w14:paraId="7C15B637" w14:textId="7A28FAAB" w:rsidR="000D42F1" w:rsidRPr="004836DA" w:rsidRDefault="000D42F1" w:rsidP="00B94A95">
            <w:pPr>
              <w:pStyle w:val="Tables"/>
            </w:pPr>
            <w:r w:rsidRPr="00E8702E">
              <w:t xml:space="preserve">$106,334 </w:t>
            </w:r>
          </w:p>
        </w:tc>
        <w:tc>
          <w:tcPr>
            <w:tcW w:w="1417" w:type="dxa"/>
          </w:tcPr>
          <w:p w14:paraId="67FC60AD" w14:textId="056444C7" w:rsidR="000D42F1" w:rsidRPr="004836DA" w:rsidRDefault="000D42F1" w:rsidP="00B94A95">
            <w:pPr>
              <w:pStyle w:val="Tables"/>
            </w:pPr>
            <w:r w:rsidRPr="00E8702E">
              <w:t xml:space="preserve">$106,334 </w:t>
            </w:r>
          </w:p>
        </w:tc>
        <w:tc>
          <w:tcPr>
            <w:tcW w:w="1418" w:type="dxa"/>
          </w:tcPr>
          <w:p w14:paraId="5815C10F" w14:textId="7750818F" w:rsidR="000D42F1" w:rsidRPr="004836DA" w:rsidRDefault="000D42F1" w:rsidP="00B94A95">
            <w:pPr>
              <w:pStyle w:val="Tables"/>
            </w:pPr>
            <w:r w:rsidRPr="00E8702E">
              <w:t xml:space="preserve">$106,334 </w:t>
            </w:r>
          </w:p>
        </w:tc>
        <w:tc>
          <w:tcPr>
            <w:tcW w:w="1814" w:type="dxa"/>
            <w:shd w:val="clear" w:color="auto" w:fill="auto"/>
            <w:noWrap/>
            <w:hideMark/>
          </w:tcPr>
          <w:p w14:paraId="559C5216" w14:textId="243FE777" w:rsidR="000D42F1" w:rsidRPr="004836DA" w:rsidRDefault="000D42F1">
            <w:pPr>
              <w:pStyle w:val="Tables"/>
            </w:pPr>
            <w:r w:rsidRPr="00E8702E">
              <w:t xml:space="preserve"> 65.1% (+0.8</w:t>
            </w:r>
            <w:r>
              <w:t>ppt</w:t>
            </w:r>
            <w:r w:rsidRPr="00E8702E">
              <w:t xml:space="preserve">) </w:t>
            </w:r>
          </w:p>
        </w:tc>
      </w:tr>
      <w:tr w:rsidR="000D42F1" w:rsidRPr="004836DA" w14:paraId="20DE345C" w14:textId="77777777" w:rsidTr="001058C1">
        <w:trPr>
          <w:trHeight w:hRule="exact" w:val="567"/>
        </w:trPr>
        <w:tc>
          <w:tcPr>
            <w:tcW w:w="3402" w:type="dxa"/>
            <w:shd w:val="clear" w:color="auto" w:fill="auto"/>
            <w:noWrap/>
            <w:hideMark/>
          </w:tcPr>
          <w:p w14:paraId="24D1446A" w14:textId="77777777" w:rsidR="000D42F1" w:rsidRPr="004836DA" w:rsidRDefault="000D42F1">
            <w:pPr>
              <w:pStyle w:val="Tables"/>
              <w:jc w:val="left"/>
            </w:pPr>
            <w:r w:rsidRPr="004836DA">
              <w:t>Medical practitioners</w:t>
            </w:r>
          </w:p>
        </w:tc>
        <w:tc>
          <w:tcPr>
            <w:tcW w:w="1418" w:type="dxa"/>
            <w:shd w:val="clear" w:color="auto" w:fill="auto"/>
            <w:noWrap/>
            <w:hideMark/>
          </w:tcPr>
          <w:p w14:paraId="0B3A5646" w14:textId="77777777" w:rsidR="000D42F1" w:rsidRPr="004836DA" w:rsidRDefault="000D42F1">
            <w:pPr>
              <w:pStyle w:val="Tables"/>
            </w:pPr>
            <w:r w:rsidRPr="00E8702E">
              <w:t xml:space="preserve">5,160 </w:t>
            </w:r>
          </w:p>
        </w:tc>
        <w:tc>
          <w:tcPr>
            <w:tcW w:w="1814" w:type="dxa"/>
            <w:shd w:val="clear" w:color="auto" w:fill="auto"/>
            <w:noWrap/>
            <w:hideMark/>
          </w:tcPr>
          <w:p w14:paraId="580C8502" w14:textId="77777777" w:rsidR="000D42F1" w:rsidRPr="004836DA" w:rsidRDefault="000D42F1">
            <w:pPr>
              <w:pStyle w:val="Tables"/>
            </w:pPr>
            <w:r w:rsidRPr="00E8702E">
              <w:t xml:space="preserve"> +999 (+24.0%) </w:t>
            </w:r>
          </w:p>
        </w:tc>
        <w:tc>
          <w:tcPr>
            <w:tcW w:w="1077" w:type="dxa"/>
            <w:shd w:val="clear" w:color="auto" w:fill="auto"/>
            <w:noWrap/>
            <w:hideMark/>
          </w:tcPr>
          <w:p w14:paraId="735785CD" w14:textId="6244C4E6" w:rsidR="000D42F1" w:rsidRPr="004836DA" w:rsidRDefault="000D42F1" w:rsidP="00B94A95">
            <w:pPr>
              <w:pStyle w:val="Tables"/>
            </w:pPr>
            <w:r w:rsidRPr="00E8702E">
              <w:t xml:space="preserve">37.5 </w:t>
            </w:r>
          </w:p>
        </w:tc>
        <w:tc>
          <w:tcPr>
            <w:tcW w:w="1417" w:type="dxa"/>
            <w:shd w:val="clear" w:color="auto" w:fill="auto"/>
            <w:noWrap/>
            <w:hideMark/>
          </w:tcPr>
          <w:p w14:paraId="7FB4EEC6" w14:textId="6C5B0057" w:rsidR="000D42F1" w:rsidRPr="004836DA" w:rsidRDefault="000D42F1" w:rsidP="00B94A95">
            <w:pPr>
              <w:pStyle w:val="Tables"/>
            </w:pPr>
            <w:r w:rsidRPr="00E8702E">
              <w:t xml:space="preserve">$171,604 </w:t>
            </w:r>
          </w:p>
        </w:tc>
        <w:tc>
          <w:tcPr>
            <w:tcW w:w="1417" w:type="dxa"/>
          </w:tcPr>
          <w:p w14:paraId="5B3911F2" w14:textId="281D4171" w:rsidR="000D42F1" w:rsidRPr="004836DA" w:rsidRDefault="000D42F1" w:rsidP="00B94A95">
            <w:pPr>
              <w:pStyle w:val="Tables"/>
            </w:pPr>
            <w:r w:rsidRPr="00E8702E">
              <w:t xml:space="preserve">$150,438 </w:t>
            </w:r>
          </w:p>
        </w:tc>
        <w:tc>
          <w:tcPr>
            <w:tcW w:w="1418" w:type="dxa"/>
          </w:tcPr>
          <w:p w14:paraId="37726009" w14:textId="2A2E2C78" w:rsidR="000D42F1" w:rsidRPr="004836DA" w:rsidRDefault="000D42F1" w:rsidP="00B94A95">
            <w:pPr>
              <w:pStyle w:val="Tables"/>
            </w:pPr>
            <w:r w:rsidRPr="00E8702E">
              <w:t xml:space="preserve">$190,329 </w:t>
            </w:r>
          </w:p>
        </w:tc>
        <w:tc>
          <w:tcPr>
            <w:tcW w:w="1814" w:type="dxa"/>
            <w:shd w:val="clear" w:color="auto" w:fill="auto"/>
            <w:noWrap/>
            <w:hideMark/>
          </w:tcPr>
          <w:p w14:paraId="39DAFB0F" w14:textId="627FF739" w:rsidR="000D42F1" w:rsidRPr="004836DA" w:rsidRDefault="000D42F1">
            <w:pPr>
              <w:pStyle w:val="Tables"/>
            </w:pPr>
            <w:r w:rsidRPr="00E8702E">
              <w:t xml:space="preserve"> 49.7% (+4.0</w:t>
            </w:r>
            <w:r>
              <w:t>ppt</w:t>
            </w:r>
            <w:r w:rsidRPr="00E8702E">
              <w:t xml:space="preserve">) </w:t>
            </w:r>
          </w:p>
        </w:tc>
      </w:tr>
      <w:tr w:rsidR="000D42F1" w:rsidRPr="004836DA" w14:paraId="3FDF1A5A" w14:textId="77777777" w:rsidTr="001058C1">
        <w:trPr>
          <w:trHeight w:hRule="exact" w:val="567"/>
        </w:trPr>
        <w:tc>
          <w:tcPr>
            <w:tcW w:w="3402" w:type="dxa"/>
            <w:shd w:val="clear" w:color="auto" w:fill="auto"/>
            <w:noWrap/>
            <w:hideMark/>
          </w:tcPr>
          <w:p w14:paraId="078B72F6" w14:textId="77777777" w:rsidR="000D42F1" w:rsidRPr="004836DA" w:rsidRDefault="000D42F1">
            <w:pPr>
              <w:pStyle w:val="Tables"/>
              <w:jc w:val="left"/>
            </w:pPr>
            <w:r w:rsidRPr="004836DA">
              <w:t>Education managers</w:t>
            </w:r>
          </w:p>
        </w:tc>
        <w:tc>
          <w:tcPr>
            <w:tcW w:w="1418" w:type="dxa"/>
            <w:shd w:val="clear" w:color="auto" w:fill="auto"/>
            <w:noWrap/>
            <w:hideMark/>
          </w:tcPr>
          <w:p w14:paraId="0BC5EA10" w14:textId="77777777" w:rsidR="000D42F1" w:rsidRPr="004836DA" w:rsidRDefault="000D42F1">
            <w:pPr>
              <w:pStyle w:val="Tables"/>
            </w:pPr>
            <w:r w:rsidRPr="00E8702E">
              <w:t xml:space="preserve">3,824 </w:t>
            </w:r>
          </w:p>
        </w:tc>
        <w:tc>
          <w:tcPr>
            <w:tcW w:w="1814" w:type="dxa"/>
            <w:shd w:val="clear" w:color="auto" w:fill="auto"/>
            <w:noWrap/>
            <w:hideMark/>
          </w:tcPr>
          <w:p w14:paraId="42B11F1C" w14:textId="77777777" w:rsidR="000D42F1" w:rsidRPr="004836DA" w:rsidRDefault="000D42F1">
            <w:pPr>
              <w:pStyle w:val="Tables"/>
            </w:pPr>
            <w:r w:rsidRPr="00E8702E">
              <w:t xml:space="preserve"> +423 (+12.4%) </w:t>
            </w:r>
          </w:p>
        </w:tc>
        <w:tc>
          <w:tcPr>
            <w:tcW w:w="1077" w:type="dxa"/>
            <w:shd w:val="clear" w:color="auto" w:fill="auto"/>
            <w:noWrap/>
            <w:hideMark/>
          </w:tcPr>
          <w:p w14:paraId="200350F6" w14:textId="034295E2" w:rsidR="000D42F1" w:rsidRPr="004836DA" w:rsidRDefault="000D42F1" w:rsidP="00B94A95">
            <w:pPr>
              <w:pStyle w:val="Tables"/>
            </w:pPr>
            <w:r w:rsidRPr="00E8702E">
              <w:t xml:space="preserve">50.0 </w:t>
            </w:r>
          </w:p>
        </w:tc>
        <w:tc>
          <w:tcPr>
            <w:tcW w:w="1417" w:type="dxa"/>
            <w:shd w:val="clear" w:color="auto" w:fill="auto"/>
            <w:noWrap/>
            <w:hideMark/>
          </w:tcPr>
          <w:p w14:paraId="3A45B466" w14:textId="268037C5" w:rsidR="000D42F1" w:rsidRPr="004836DA" w:rsidRDefault="000D42F1" w:rsidP="00B94A95">
            <w:pPr>
              <w:pStyle w:val="Tables"/>
            </w:pPr>
            <w:r w:rsidRPr="00E8702E">
              <w:t xml:space="preserve">$135,710 </w:t>
            </w:r>
          </w:p>
        </w:tc>
        <w:tc>
          <w:tcPr>
            <w:tcW w:w="1417" w:type="dxa"/>
          </w:tcPr>
          <w:p w14:paraId="1F268E64" w14:textId="68EEB186" w:rsidR="000D42F1" w:rsidRPr="004836DA" w:rsidRDefault="000D42F1" w:rsidP="00B94A95">
            <w:pPr>
              <w:pStyle w:val="Tables"/>
            </w:pPr>
            <w:r w:rsidRPr="00E8702E">
              <w:t xml:space="preserve">$135,710 </w:t>
            </w:r>
          </w:p>
        </w:tc>
        <w:tc>
          <w:tcPr>
            <w:tcW w:w="1418" w:type="dxa"/>
          </w:tcPr>
          <w:p w14:paraId="253143EF" w14:textId="6656C771" w:rsidR="000D42F1" w:rsidRPr="004836DA" w:rsidRDefault="000D42F1" w:rsidP="00B94A95">
            <w:pPr>
              <w:pStyle w:val="Tables"/>
            </w:pPr>
            <w:r w:rsidRPr="00E8702E">
              <w:t xml:space="preserve">$135,710 </w:t>
            </w:r>
          </w:p>
        </w:tc>
        <w:tc>
          <w:tcPr>
            <w:tcW w:w="1814" w:type="dxa"/>
            <w:shd w:val="clear" w:color="auto" w:fill="auto"/>
            <w:noWrap/>
            <w:hideMark/>
          </w:tcPr>
          <w:p w14:paraId="6E07E4BD" w14:textId="71D9958C" w:rsidR="000D42F1" w:rsidRPr="004836DA" w:rsidRDefault="000D42F1">
            <w:pPr>
              <w:pStyle w:val="Tables"/>
            </w:pPr>
            <w:r w:rsidRPr="00E8702E">
              <w:t xml:space="preserve"> 65.2% (+5.2</w:t>
            </w:r>
            <w:r>
              <w:t>ppt</w:t>
            </w:r>
            <w:r w:rsidRPr="00E8702E">
              <w:t xml:space="preserve">) </w:t>
            </w:r>
          </w:p>
        </w:tc>
      </w:tr>
      <w:tr w:rsidR="000D42F1" w:rsidRPr="004836DA" w14:paraId="752DA380" w14:textId="77777777" w:rsidTr="001058C1">
        <w:trPr>
          <w:trHeight w:hRule="exact" w:val="567"/>
        </w:trPr>
        <w:tc>
          <w:tcPr>
            <w:tcW w:w="3402" w:type="dxa"/>
            <w:shd w:val="clear" w:color="auto" w:fill="auto"/>
            <w:noWrap/>
            <w:hideMark/>
          </w:tcPr>
          <w:p w14:paraId="6D02B38D" w14:textId="77777777" w:rsidR="000D42F1" w:rsidRPr="004836DA" w:rsidRDefault="000D42F1">
            <w:pPr>
              <w:pStyle w:val="Tables"/>
              <w:jc w:val="left"/>
            </w:pPr>
            <w:r w:rsidRPr="004836DA">
              <w:t>Other technicians and trades workers</w:t>
            </w:r>
          </w:p>
        </w:tc>
        <w:tc>
          <w:tcPr>
            <w:tcW w:w="1418" w:type="dxa"/>
            <w:shd w:val="clear" w:color="auto" w:fill="auto"/>
            <w:noWrap/>
            <w:hideMark/>
          </w:tcPr>
          <w:p w14:paraId="1BAF25A8" w14:textId="77777777" w:rsidR="000D42F1" w:rsidRPr="004836DA" w:rsidRDefault="000D42F1">
            <w:pPr>
              <w:pStyle w:val="Tables"/>
            </w:pPr>
            <w:r w:rsidRPr="00E8702E">
              <w:t xml:space="preserve">3,596 </w:t>
            </w:r>
          </w:p>
        </w:tc>
        <w:tc>
          <w:tcPr>
            <w:tcW w:w="1814" w:type="dxa"/>
            <w:shd w:val="clear" w:color="auto" w:fill="auto"/>
            <w:noWrap/>
            <w:hideMark/>
          </w:tcPr>
          <w:p w14:paraId="29445435" w14:textId="77777777" w:rsidR="000D42F1" w:rsidRPr="004836DA" w:rsidRDefault="000D42F1">
            <w:pPr>
              <w:pStyle w:val="Tables"/>
            </w:pPr>
            <w:r w:rsidRPr="00E8702E">
              <w:t xml:space="preserve"> +222 (+6.6%) </w:t>
            </w:r>
          </w:p>
        </w:tc>
        <w:tc>
          <w:tcPr>
            <w:tcW w:w="1077" w:type="dxa"/>
            <w:shd w:val="clear" w:color="auto" w:fill="auto"/>
            <w:noWrap/>
            <w:hideMark/>
          </w:tcPr>
          <w:p w14:paraId="3D5F353E" w14:textId="2C7CA8EA" w:rsidR="000D42F1" w:rsidRPr="004836DA" w:rsidRDefault="000D42F1" w:rsidP="00B94A95">
            <w:pPr>
              <w:pStyle w:val="Tables"/>
            </w:pPr>
            <w:r w:rsidRPr="00E8702E">
              <w:t xml:space="preserve">49.0 </w:t>
            </w:r>
          </w:p>
        </w:tc>
        <w:tc>
          <w:tcPr>
            <w:tcW w:w="1417" w:type="dxa"/>
            <w:shd w:val="clear" w:color="auto" w:fill="auto"/>
            <w:noWrap/>
            <w:hideMark/>
          </w:tcPr>
          <w:p w14:paraId="088A6A03" w14:textId="30E39963" w:rsidR="000D42F1" w:rsidRPr="004836DA" w:rsidRDefault="000D42F1" w:rsidP="00B94A95">
            <w:pPr>
              <w:pStyle w:val="Tables"/>
            </w:pPr>
            <w:r w:rsidRPr="00E8702E">
              <w:t xml:space="preserve">$71,604 </w:t>
            </w:r>
          </w:p>
        </w:tc>
        <w:tc>
          <w:tcPr>
            <w:tcW w:w="1417" w:type="dxa"/>
          </w:tcPr>
          <w:p w14:paraId="4111AA70" w14:textId="4F737F15" w:rsidR="000D42F1" w:rsidRPr="004836DA" w:rsidRDefault="006235C3" w:rsidP="00B94A95">
            <w:pPr>
              <w:pStyle w:val="Tables"/>
            </w:pPr>
            <w:r>
              <w:t>$</w:t>
            </w:r>
            <w:r w:rsidR="000D42F1" w:rsidRPr="00E8702E">
              <w:t xml:space="preserve">67,089 </w:t>
            </w:r>
          </w:p>
        </w:tc>
        <w:tc>
          <w:tcPr>
            <w:tcW w:w="1418" w:type="dxa"/>
          </w:tcPr>
          <w:p w14:paraId="5DC4711D" w14:textId="28D09E54" w:rsidR="000D42F1" w:rsidRPr="004836DA" w:rsidRDefault="000D42F1" w:rsidP="00B94A95">
            <w:pPr>
              <w:pStyle w:val="Tables"/>
            </w:pPr>
            <w:r w:rsidRPr="00E8702E">
              <w:t xml:space="preserve">$73,466 </w:t>
            </w:r>
          </w:p>
        </w:tc>
        <w:tc>
          <w:tcPr>
            <w:tcW w:w="1814" w:type="dxa"/>
            <w:shd w:val="clear" w:color="auto" w:fill="auto"/>
            <w:noWrap/>
            <w:hideMark/>
          </w:tcPr>
          <w:p w14:paraId="54344AFD" w14:textId="144EBE16" w:rsidR="000D42F1" w:rsidRPr="004836DA" w:rsidRDefault="000D42F1">
            <w:pPr>
              <w:pStyle w:val="Tables"/>
            </w:pPr>
            <w:r w:rsidRPr="00E8702E">
              <w:t xml:space="preserve"> 33.5% (+2.1</w:t>
            </w:r>
            <w:r>
              <w:t>ppt</w:t>
            </w:r>
            <w:r w:rsidRPr="00E8702E">
              <w:t xml:space="preserve">) </w:t>
            </w:r>
          </w:p>
        </w:tc>
      </w:tr>
      <w:tr w:rsidR="000D42F1" w:rsidRPr="004836DA" w14:paraId="79B15D84" w14:textId="77777777" w:rsidTr="001058C1">
        <w:trPr>
          <w:trHeight w:hRule="exact" w:val="567"/>
        </w:trPr>
        <w:tc>
          <w:tcPr>
            <w:tcW w:w="3402" w:type="dxa"/>
            <w:shd w:val="clear" w:color="auto" w:fill="auto"/>
            <w:noWrap/>
            <w:hideMark/>
          </w:tcPr>
          <w:p w14:paraId="72E64C4D" w14:textId="77777777" w:rsidR="000D42F1" w:rsidRPr="004836DA" w:rsidRDefault="000D42F1">
            <w:pPr>
              <w:pStyle w:val="Tables"/>
              <w:jc w:val="left"/>
            </w:pPr>
            <w:r w:rsidRPr="004836DA">
              <w:t>Health professionals</w:t>
            </w:r>
          </w:p>
        </w:tc>
        <w:tc>
          <w:tcPr>
            <w:tcW w:w="1418" w:type="dxa"/>
            <w:shd w:val="clear" w:color="auto" w:fill="auto"/>
            <w:noWrap/>
            <w:hideMark/>
          </w:tcPr>
          <w:p w14:paraId="080A07E8" w14:textId="77777777" w:rsidR="000D42F1" w:rsidRPr="004836DA" w:rsidRDefault="000D42F1">
            <w:pPr>
              <w:pStyle w:val="Tables"/>
            </w:pPr>
            <w:r w:rsidRPr="00E8702E">
              <w:t xml:space="preserve">3,565 </w:t>
            </w:r>
          </w:p>
        </w:tc>
        <w:tc>
          <w:tcPr>
            <w:tcW w:w="1814" w:type="dxa"/>
            <w:shd w:val="clear" w:color="auto" w:fill="auto"/>
            <w:noWrap/>
            <w:hideMark/>
          </w:tcPr>
          <w:p w14:paraId="03DE1259" w14:textId="77777777" w:rsidR="000D42F1" w:rsidRPr="004836DA" w:rsidRDefault="000D42F1">
            <w:pPr>
              <w:pStyle w:val="Tables"/>
            </w:pPr>
            <w:r w:rsidRPr="00E8702E">
              <w:t xml:space="preserve"> +476 (+15.4%) </w:t>
            </w:r>
          </w:p>
        </w:tc>
        <w:tc>
          <w:tcPr>
            <w:tcW w:w="1077" w:type="dxa"/>
            <w:shd w:val="clear" w:color="auto" w:fill="auto"/>
            <w:noWrap/>
            <w:hideMark/>
          </w:tcPr>
          <w:p w14:paraId="7972833F" w14:textId="4568DA1F" w:rsidR="000D42F1" w:rsidRPr="004836DA" w:rsidRDefault="000D42F1" w:rsidP="00B94A95">
            <w:pPr>
              <w:pStyle w:val="Tables"/>
            </w:pPr>
            <w:r w:rsidRPr="00E8702E">
              <w:t xml:space="preserve">37.0 </w:t>
            </w:r>
          </w:p>
        </w:tc>
        <w:tc>
          <w:tcPr>
            <w:tcW w:w="1417" w:type="dxa"/>
            <w:shd w:val="clear" w:color="auto" w:fill="auto"/>
            <w:noWrap/>
            <w:hideMark/>
          </w:tcPr>
          <w:p w14:paraId="3921FA74" w14:textId="771D0F5F" w:rsidR="000D42F1" w:rsidRPr="004836DA" w:rsidRDefault="000D42F1" w:rsidP="00B94A95">
            <w:pPr>
              <w:pStyle w:val="Tables"/>
            </w:pPr>
            <w:r w:rsidRPr="00E8702E">
              <w:t xml:space="preserve">$108,340 </w:t>
            </w:r>
          </w:p>
        </w:tc>
        <w:tc>
          <w:tcPr>
            <w:tcW w:w="1417" w:type="dxa"/>
          </w:tcPr>
          <w:p w14:paraId="679203A3" w14:textId="3B7C6A1D" w:rsidR="000D42F1" w:rsidRPr="004836DA" w:rsidRDefault="000D42F1" w:rsidP="00B94A95">
            <w:pPr>
              <w:pStyle w:val="Tables"/>
            </w:pPr>
            <w:r w:rsidRPr="00E8702E">
              <w:t xml:space="preserve">$107,450 </w:t>
            </w:r>
          </w:p>
        </w:tc>
        <w:tc>
          <w:tcPr>
            <w:tcW w:w="1418" w:type="dxa"/>
          </w:tcPr>
          <w:p w14:paraId="67A279B3" w14:textId="0919409E" w:rsidR="000D42F1" w:rsidRPr="004836DA" w:rsidRDefault="000D42F1" w:rsidP="00B94A95">
            <w:pPr>
              <w:pStyle w:val="Tables"/>
            </w:pPr>
            <w:r w:rsidRPr="00E8702E">
              <w:t xml:space="preserve">$114,130 </w:t>
            </w:r>
          </w:p>
        </w:tc>
        <w:tc>
          <w:tcPr>
            <w:tcW w:w="1814" w:type="dxa"/>
            <w:shd w:val="clear" w:color="auto" w:fill="auto"/>
            <w:noWrap/>
            <w:hideMark/>
          </w:tcPr>
          <w:p w14:paraId="5F23C109" w14:textId="02ACAD50" w:rsidR="000D42F1" w:rsidRPr="004836DA" w:rsidRDefault="000D42F1">
            <w:pPr>
              <w:pStyle w:val="Tables"/>
            </w:pPr>
            <w:r w:rsidRPr="00E8702E">
              <w:t xml:space="preserve"> 81.7% (-0.4</w:t>
            </w:r>
            <w:r>
              <w:t>ppt</w:t>
            </w:r>
            <w:r w:rsidRPr="00E8702E">
              <w:t xml:space="preserve">) </w:t>
            </w:r>
          </w:p>
        </w:tc>
      </w:tr>
      <w:tr w:rsidR="000D42F1" w:rsidRPr="004836DA" w14:paraId="6F7D2242" w14:textId="77777777" w:rsidTr="001058C1">
        <w:trPr>
          <w:trHeight w:hRule="exact" w:val="567"/>
        </w:trPr>
        <w:tc>
          <w:tcPr>
            <w:tcW w:w="3402" w:type="dxa"/>
            <w:shd w:val="clear" w:color="auto" w:fill="auto"/>
            <w:noWrap/>
            <w:hideMark/>
          </w:tcPr>
          <w:p w14:paraId="245D9CB2" w14:textId="77777777" w:rsidR="000D42F1" w:rsidRPr="004836DA" w:rsidRDefault="000D42F1">
            <w:pPr>
              <w:pStyle w:val="Tables"/>
              <w:jc w:val="left"/>
            </w:pPr>
            <w:r w:rsidRPr="004836DA">
              <w:t>Health and welfare support workers</w:t>
            </w:r>
          </w:p>
        </w:tc>
        <w:tc>
          <w:tcPr>
            <w:tcW w:w="1418" w:type="dxa"/>
            <w:shd w:val="clear" w:color="auto" w:fill="auto"/>
            <w:noWrap/>
            <w:hideMark/>
          </w:tcPr>
          <w:p w14:paraId="3651295D" w14:textId="77777777" w:rsidR="000D42F1" w:rsidRPr="004836DA" w:rsidRDefault="000D42F1">
            <w:pPr>
              <w:pStyle w:val="Tables"/>
            </w:pPr>
            <w:r w:rsidRPr="00E8702E">
              <w:t xml:space="preserve">3,361 </w:t>
            </w:r>
          </w:p>
        </w:tc>
        <w:tc>
          <w:tcPr>
            <w:tcW w:w="1814" w:type="dxa"/>
            <w:shd w:val="clear" w:color="auto" w:fill="auto"/>
            <w:noWrap/>
            <w:hideMark/>
          </w:tcPr>
          <w:p w14:paraId="62ACA050" w14:textId="77777777" w:rsidR="000D42F1" w:rsidRPr="004836DA" w:rsidRDefault="000D42F1">
            <w:pPr>
              <w:pStyle w:val="Tables"/>
            </w:pPr>
            <w:r w:rsidRPr="00E8702E">
              <w:t xml:space="preserve"> +240 (+7.7%) </w:t>
            </w:r>
          </w:p>
        </w:tc>
        <w:tc>
          <w:tcPr>
            <w:tcW w:w="1077" w:type="dxa"/>
            <w:shd w:val="clear" w:color="auto" w:fill="auto"/>
            <w:noWrap/>
            <w:hideMark/>
          </w:tcPr>
          <w:p w14:paraId="138EFA80" w14:textId="6284C22F" w:rsidR="000D42F1" w:rsidRPr="004836DA" w:rsidRDefault="000D42F1" w:rsidP="00B94A95">
            <w:pPr>
              <w:pStyle w:val="Tables"/>
            </w:pPr>
            <w:r w:rsidRPr="00E8702E">
              <w:t xml:space="preserve">44.0 </w:t>
            </w:r>
          </w:p>
        </w:tc>
        <w:tc>
          <w:tcPr>
            <w:tcW w:w="1417" w:type="dxa"/>
            <w:shd w:val="clear" w:color="auto" w:fill="auto"/>
            <w:noWrap/>
            <w:hideMark/>
          </w:tcPr>
          <w:p w14:paraId="6F2CC761" w14:textId="0D866F58" w:rsidR="000D42F1" w:rsidRPr="004836DA" w:rsidRDefault="000D42F1" w:rsidP="00B94A95">
            <w:pPr>
              <w:pStyle w:val="Tables"/>
            </w:pPr>
            <w:r w:rsidRPr="00E8702E">
              <w:t xml:space="preserve">$70,821 </w:t>
            </w:r>
          </w:p>
        </w:tc>
        <w:tc>
          <w:tcPr>
            <w:tcW w:w="1417" w:type="dxa"/>
          </w:tcPr>
          <w:p w14:paraId="23E9CE00" w14:textId="7A4888DE" w:rsidR="000D42F1" w:rsidRPr="004836DA" w:rsidRDefault="006235C3" w:rsidP="00B94A95">
            <w:pPr>
              <w:pStyle w:val="Tables"/>
            </w:pPr>
            <w:r>
              <w:t>$</w:t>
            </w:r>
            <w:r w:rsidR="000D42F1" w:rsidRPr="00E8702E">
              <w:t xml:space="preserve">70,821 </w:t>
            </w:r>
          </w:p>
        </w:tc>
        <w:tc>
          <w:tcPr>
            <w:tcW w:w="1418" w:type="dxa"/>
          </w:tcPr>
          <w:p w14:paraId="5B908FEB" w14:textId="59E6DF81" w:rsidR="000D42F1" w:rsidRPr="004836DA" w:rsidRDefault="000D42F1" w:rsidP="00B94A95">
            <w:pPr>
              <w:pStyle w:val="Tables"/>
            </w:pPr>
            <w:r w:rsidRPr="00E8702E">
              <w:t xml:space="preserve">$70,821 </w:t>
            </w:r>
          </w:p>
        </w:tc>
        <w:tc>
          <w:tcPr>
            <w:tcW w:w="1814" w:type="dxa"/>
            <w:shd w:val="clear" w:color="auto" w:fill="auto"/>
            <w:noWrap/>
            <w:hideMark/>
          </w:tcPr>
          <w:p w14:paraId="53EE13DF" w14:textId="381B550B" w:rsidR="000D42F1" w:rsidRPr="004836DA" w:rsidRDefault="000D42F1">
            <w:pPr>
              <w:pStyle w:val="Tables"/>
            </w:pPr>
            <w:r w:rsidRPr="00E8702E">
              <w:t xml:space="preserve"> 77.3% (+0.3</w:t>
            </w:r>
            <w:r>
              <w:t>ppt</w:t>
            </w:r>
            <w:r w:rsidRPr="00E8702E">
              <w:t xml:space="preserve">) </w:t>
            </w:r>
          </w:p>
        </w:tc>
      </w:tr>
      <w:tr w:rsidR="000D42F1" w:rsidRPr="004836DA" w14:paraId="56A3B527" w14:textId="77777777" w:rsidTr="001058C1">
        <w:trPr>
          <w:trHeight w:val="567"/>
        </w:trPr>
        <w:tc>
          <w:tcPr>
            <w:tcW w:w="3402" w:type="dxa"/>
            <w:shd w:val="clear" w:color="auto" w:fill="auto"/>
            <w:noWrap/>
            <w:hideMark/>
          </w:tcPr>
          <w:p w14:paraId="2E982C6C" w14:textId="77777777" w:rsidR="000D42F1" w:rsidRPr="004836DA" w:rsidRDefault="000D42F1">
            <w:pPr>
              <w:pStyle w:val="Tables"/>
              <w:jc w:val="left"/>
            </w:pPr>
            <w:r w:rsidRPr="004836DA">
              <w:t>Other professionals</w:t>
            </w:r>
          </w:p>
        </w:tc>
        <w:tc>
          <w:tcPr>
            <w:tcW w:w="1418" w:type="dxa"/>
            <w:shd w:val="clear" w:color="auto" w:fill="auto"/>
            <w:noWrap/>
            <w:hideMark/>
          </w:tcPr>
          <w:p w14:paraId="1EECFB2F" w14:textId="77777777" w:rsidR="000D42F1" w:rsidRPr="004836DA" w:rsidRDefault="000D42F1">
            <w:pPr>
              <w:pStyle w:val="Tables"/>
            </w:pPr>
            <w:r w:rsidRPr="00E8702E">
              <w:t xml:space="preserve">3,331 </w:t>
            </w:r>
          </w:p>
        </w:tc>
        <w:tc>
          <w:tcPr>
            <w:tcW w:w="1814" w:type="dxa"/>
            <w:shd w:val="clear" w:color="auto" w:fill="auto"/>
            <w:noWrap/>
            <w:hideMark/>
          </w:tcPr>
          <w:p w14:paraId="046D0CA6" w14:textId="77777777" w:rsidR="000D42F1" w:rsidRPr="004836DA" w:rsidRDefault="000D42F1">
            <w:pPr>
              <w:pStyle w:val="Tables"/>
            </w:pPr>
            <w:r w:rsidRPr="00E8702E">
              <w:t xml:space="preserve"> +481 (+16.9%) </w:t>
            </w:r>
          </w:p>
        </w:tc>
        <w:tc>
          <w:tcPr>
            <w:tcW w:w="1077" w:type="dxa"/>
            <w:shd w:val="clear" w:color="auto" w:fill="auto"/>
            <w:noWrap/>
            <w:hideMark/>
          </w:tcPr>
          <w:p w14:paraId="668AF639" w14:textId="1A1A66A2" w:rsidR="000D42F1" w:rsidRPr="004836DA" w:rsidRDefault="000D42F1" w:rsidP="00B94A95">
            <w:pPr>
              <w:pStyle w:val="Tables"/>
            </w:pPr>
            <w:r w:rsidRPr="00E8702E">
              <w:t xml:space="preserve">43.0 </w:t>
            </w:r>
          </w:p>
        </w:tc>
        <w:tc>
          <w:tcPr>
            <w:tcW w:w="1417" w:type="dxa"/>
            <w:shd w:val="clear" w:color="auto" w:fill="auto"/>
            <w:noWrap/>
            <w:hideMark/>
          </w:tcPr>
          <w:p w14:paraId="7C14D234" w14:textId="01E01B5D" w:rsidR="000D42F1" w:rsidRPr="004836DA" w:rsidRDefault="000D42F1" w:rsidP="00B94A95">
            <w:pPr>
              <w:pStyle w:val="Tables"/>
            </w:pPr>
            <w:r w:rsidRPr="00E8702E">
              <w:t xml:space="preserve">$108,008 </w:t>
            </w:r>
          </w:p>
        </w:tc>
        <w:tc>
          <w:tcPr>
            <w:tcW w:w="1417" w:type="dxa"/>
          </w:tcPr>
          <w:p w14:paraId="45D10B81" w14:textId="652F656E" w:rsidR="000D42F1" w:rsidRPr="004836DA" w:rsidRDefault="000D42F1" w:rsidP="00B94A95">
            <w:pPr>
              <w:pStyle w:val="Tables"/>
            </w:pPr>
            <w:r w:rsidRPr="00E8702E">
              <w:t xml:space="preserve">$107,628 </w:t>
            </w:r>
          </w:p>
        </w:tc>
        <w:tc>
          <w:tcPr>
            <w:tcW w:w="1418" w:type="dxa"/>
          </w:tcPr>
          <w:p w14:paraId="7FB31C04" w14:textId="446B0D37" w:rsidR="000D42F1" w:rsidRPr="004836DA" w:rsidRDefault="000D42F1" w:rsidP="00B94A95">
            <w:pPr>
              <w:pStyle w:val="Tables"/>
            </w:pPr>
            <w:r w:rsidRPr="00E8702E">
              <w:t xml:space="preserve">$108,474 </w:t>
            </w:r>
          </w:p>
        </w:tc>
        <w:tc>
          <w:tcPr>
            <w:tcW w:w="1814" w:type="dxa"/>
            <w:shd w:val="clear" w:color="auto" w:fill="auto"/>
            <w:noWrap/>
            <w:hideMark/>
          </w:tcPr>
          <w:p w14:paraId="1546C296" w14:textId="73F7989C" w:rsidR="000D42F1" w:rsidRPr="004836DA" w:rsidRDefault="000D42F1">
            <w:pPr>
              <w:pStyle w:val="Tables"/>
            </w:pPr>
            <w:r w:rsidRPr="00E8702E">
              <w:t xml:space="preserve"> 41.7% (+1.0</w:t>
            </w:r>
            <w:r>
              <w:t>ppt</w:t>
            </w:r>
            <w:r w:rsidRPr="00E8702E">
              <w:t xml:space="preserve">) </w:t>
            </w:r>
          </w:p>
        </w:tc>
      </w:tr>
    </w:tbl>
    <w:p w14:paraId="61699001" w14:textId="77777777" w:rsidR="000D42F1" w:rsidRDefault="000D42F1" w:rsidP="000D42F1">
      <w:pPr>
        <w:spacing w:line="240" w:lineRule="auto"/>
      </w:pPr>
    </w:p>
    <w:p w14:paraId="29C6535A" w14:textId="77777777" w:rsidR="000D42F1" w:rsidRDefault="000D42F1" w:rsidP="000D42F1">
      <w:pPr>
        <w:spacing w:line="240" w:lineRule="auto"/>
      </w:pPr>
    </w:p>
    <w:p w14:paraId="38786722" w14:textId="1477DBC2" w:rsidR="000D42F1" w:rsidRDefault="000D42F1" w:rsidP="000D42F1">
      <w:pPr>
        <w:spacing w:line="240" w:lineRule="auto"/>
        <w:rPr>
          <w:b/>
          <w:bCs/>
          <w:color w:val="2E74B5" w:themeColor="accent1" w:themeShade="BF"/>
          <w:sz w:val="20"/>
          <w:szCs w:val="20"/>
        </w:rPr>
      </w:pPr>
      <w:r w:rsidRPr="007541E1">
        <w:rPr>
          <w:b/>
          <w:bCs/>
          <w:color w:val="2E74B5" w:themeColor="accent1" w:themeShade="BF"/>
          <w:sz w:val="20"/>
          <w:szCs w:val="20"/>
        </w:rPr>
        <w:lastRenderedPageBreak/>
        <w:t>Table 12</w:t>
      </w:r>
      <w:r>
        <w:rPr>
          <w:b/>
          <w:bCs/>
          <w:color w:val="2E74B5" w:themeColor="accent1" w:themeShade="BF"/>
          <w:sz w:val="20"/>
          <w:szCs w:val="20"/>
        </w:rPr>
        <w:t xml:space="preserve"> </w:t>
      </w:r>
      <w:r w:rsidR="002E41BB">
        <w:rPr>
          <w:b/>
          <w:bCs/>
          <w:color w:val="2E74B5" w:themeColor="accent1" w:themeShade="BF"/>
          <w:sz w:val="20"/>
          <w:szCs w:val="20"/>
        </w:rPr>
        <w:t>(</w:t>
      </w:r>
      <w:r>
        <w:rPr>
          <w:b/>
          <w:bCs/>
          <w:color w:val="2E74B5" w:themeColor="accent1" w:themeShade="BF"/>
          <w:sz w:val="20"/>
          <w:szCs w:val="20"/>
        </w:rPr>
        <w:t>continued</w:t>
      </w:r>
      <w:r w:rsidR="002E41BB">
        <w:rPr>
          <w:b/>
          <w:bCs/>
          <w:color w:val="2E74B5" w:themeColor="accent1" w:themeShade="BF"/>
          <w:sz w:val="20"/>
          <w:szCs w:val="20"/>
        </w:rPr>
        <w:t>)</w:t>
      </w:r>
      <w:r w:rsidRPr="00C667B0">
        <w:rPr>
          <w:b/>
          <w:bCs/>
          <w:noProof/>
          <w:color w:val="2E74B5" w:themeColor="accent1" w:themeShade="BF"/>
          <w:sz w:val="20"/>
          <w:szCs w:val="20"/>
        </w:rPr>
        <w:t>:</w:t>
      </w:r>
      <w:r w:rsidRPr="00C667B0">
        <w:rPr>
          <w:b/>
          <w:bCs/>
          <w:color w:val="2E74B5" w:themeColor="accent1" w:themeShade="BF"/>
          <w:sz w:val="20"/>
          <w:szCs w:val="20"/>
        </w:rPr>
        <w:t xml:space="preserve"> Key statistics, WA public sector workforce by occupation</w:t>
      </w:r>
      <w:r w:rsidR="00E07D3D" w:rsidRPr="00E07D3D">
        <w:rPr>
          <w:b/>
          <w:bCs/>
          <w:color w:val="2E74B5" w:themeColor="accent1" w:themeShade="BF"/>
          <w:sz w:val="20"/>
          <w:szCs w:val="20"/>
        </w:rPr>
        <w:t xml:space="preserve">, annual average </w:t>
      </w:r>
      <w:r w:rsidRPr="00C667B0">
        <w:rPr>
          <w:b/>
          <w:bCs/>
          <w:color w:val="2E74B5" w:themeColor="accent1" w:themeShade="BF"/>
          <w:sz w:val="20"/>
          <w:szCs w:val="20"/>
        </w:rPr>
        <w:t>20</w:t>
      </w:r>
      <w:r>
        <w:rPr>
          <w:b/>
          <w:bCs/>
          <w:color w:val="2E74B5" w:themeColor="accent1" w:themeShade="BF"/>
          <w:sz w:val="20"/>
          <w:szCs w:val="20"/>
        </w:rPr>
        <w:t>22-23</w:t>
      </w:r>
    </w:p>
    <w:tbl>
      <w:tblPr>
        <w:tblW w:w="13862" w:type="dxa"/>
        <w:tblInd w:w="-10"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12 (continued): Key statistics, WA public sector workforce by occupation, annual average 2022-23"/>
      </w:tblPr>
      <w:tblGrid>
        <w:gridCol w:w="3544"/>
        <w:gridCol w:w="1418"/>
        <w:gridCol w:w="1814"/>
        <w:gridCol w:w="1077"/>
        <w:gridCol w:w="1417"/>
        <w:gridCol w:w="1417"/>
        <w:gridCol w:w="1418"/>
        <w:gridCol w:w="1757"/>
      </w:tblGrid>
      <w:tr w:rsidR="000D42F1" w:rsidRPr="004836DA" w14:paraId="2B9384D5" w14:textId="77777777" w:rsidTr="001058C1">
        <w:trPr>
          <w:trHeight w:hRule="exact" w:val="1061"/>
        </w:trPr>
        <w:tc>
          <w:tcPr>
            <w:tcW w:w="3544" w:type="dxa"/>
            <w:shd w:val="clear" w:color="auto" w:fill="auto"/>
            <w:noWrap/>
            <w:hideMark/>
          </w:tcPr>
          <w:p w14:paraId="7E19491B" w14:textId="77777777" w:rsidR="000D42F1" w:rsidRPr="004836DA" w:rsidRDefault="000D42F1">
            <w:pPr>
              <w:pStyle w:val="Tables"/>
              <w:jc w:val="left"/>
              <w:rPr>
                <w:b/>
                <w:color w:val="2E74B5" w:themeColor="accent1" w:themeShade="BF"/>
              </w:rPr>
            </w:pPr>
            <w:r w:rsidRPr="004836DA">
              <w:rPr>
                <w:b/>
                <w:color w:val="2E74B5" w:themeColor="accent1" w:themeShade="BF"/>
              </w:rPr>
              <w:t>Occupational group</w:t>
            </w:r>
          </w:p>
        </w:tc>
        <w:tc>
          <w:tcPr>
            <w:tcW w:w="1418" w:type="dxa"/>
            <w:shd w:val="clear" w:color="auto" w:fill="auto"/>
            <w:noWrap/>
            <w:hideMark/>
          </w:tcPr>
          <w:p w14:paraId="2B169522" w14:textId="77777777" w:rsidR="000D42F1" w:rsidRPr="004836DA" w:rsidRDefault="000D42F1">
            <w:pPr>
              <w:pStyle w:val="Tables"/>
              <w:rPr>
                <w:b/>
                <w:color w:val="2E74B5" w:themeColor="accent1" w:themeShade="BF"/>
              </w:rPr>
            </w:pPr>
            <w:r w:rsidRPr="004836DA">
              <w:rPr>
                <w:b/>
                <w:color w:val="2E74B5" w:themeColor="accent1" w:themeShade="BF"/>
              </w:rPr>
              <w:t>FTE 2022-23</w:t>
            </w:r>
          </w:p>
        </w:tc>
        <w:tc>
          <w:tcPr>
            <w:tcW w:w="1814" w:type="dxa"/>
            <w:shd w:val="clear" w:color="auto" w:fill="auto"/>
            <w:noWrap/>
            <w:hideMark/>
          </w:tcPr>
          <w:p w14:paraId="1C640ACD" w14:textId="77777777" w:rsidR="000D42F1" w:rsidRPr="004836DA" w:rsidRDefault="000D42F1">
            <w:pPr>
              <w:pStyle w:val="Tables"/>
              <w:rPr>
                <w:b/>
                <w:color w:val="2E74B5" w:themeColor="accent1" w:themeShade="BF"/>
              </w:rPr>
            </w:pPr>
            <w:r w:rsidRPr="004836DA">
              <w:rPr>
                <w:b/>
                <w:color w:val="2E74B5" w:themeColor="accent1" w:themeShade="BF"/>
              </w:rPr>
              <w:t>FTE change</w:t>
            </w:r>
          </w:p>
          <w:p w14:paraId="44FF1EF5" w14:textId="77777777" w:rsidR="000D42F1" w:rsidRPr="004836DA" w:rsidRDefault="000D42F1">
            <w:pPr>
              <w:pStyle w:val="Tables"/>
              <w:rPr>
                <w:b/>
                <w:color w:val="2E74B5" w:themeColor="accent1" w:themeShade="BF"/>
              </w:rPr>
            </w:pPr>
            <w:r w:rsidRPr="004836DA">
              <w:rPr>
                <w:b/>
                <w:color w:val="2E74B5" w:themeColor="accent1" w:themeShade="BF"/>
              </w:rPr>
              <w:t>since 2018-19</w:t>
            </w:r>
          </w:p>
          <w:p w14:paraId="0A537799" w14:textId="77777777" w:rsidR="000D42F1" w:rsidRPr="004836DA" w:rsidRDefault="000D42F1">
            <w:pPr>
              <w:pStyle w:val="Tables"/>
              <w:rPr>
                <w:b/>
                <w:color w:val="2E74B5" w:themeColor="accent1" w:themeShade="BF"/>
              </w:rPr>
            </w:pPr>
            <w:r w:rsidRPr="004836DA">
              <w:rPr>
                <w:b/>
                <w:color w:val="2E74B5" w:themeColor="accent1" w:themeShade="BF"/>
              </w:rPr>
              <w:t>(%)</w:t>
            </w:r>
          </w:p>
        </w:tc>
        <w:tc>
          <w:tcPr>
            <w:tcW w:w="1077" w:type="dxa"/>
            <w:shd w:val="clear" w:color="auto" w:fill="auto"/>
            <w:noWrap/>
            <w:hideMark/>
          </w:tcPr>
          <w:p w14:paraId="3F1FCCD9" w14:textId="77777777" w:rsidR="000D42F1" w:rsidRPr="004836DA" w:rsidRDefault="000D42F1">
            <w:pPr>
              <w:pStyle w:val="Tables"/>
              <w:rPr>
                <w:b/>
                <w:color w:val="2E74B5" w:themeColor="accent1" w:themeShade="BF"/>
              </w:rPr>
            </w:pPr>
            <w:r w:rsidRPr="004836DA">
              <w:rPr>
                <w:b/>
                <w:color w:val="2E74B5" w:themeColor="accent1" w:themeShade="BF"/>
              </w:rPr>
              <w:t>Median age</w:t>
            </w:r>
          </w:p>
        </w:tc>
        <w:tc>
          <w:tcPr>
            <w:tcW w:w="1417" w:type="dxa"/>
            <w:shd w:val="clear" w:color="auto" w:fill="auto"/>
            <w:noWrap/>
            <w:hideMark/>
          </w:tcPr>
          <w:p w14:paraId="42027760" w14:textId="77777777" w:rsidR="000D42F1" w:rsidRPr="004836DA" w:rsidRDefault="000D42F1">
            <w:pPr>
              <w:pStyle w:val="Tables"/>
              <w:rPr>
                <w:b/>
                <w:color w:val="2E74B5" w:themeColor="accent1" w:themeShade="BF"/>
              </w:rPr>
            </w:pPr>
            <w:r w:rsidRPr="004836DA">
              <w:rPr>
                <w:b/>
                <w:color w:val="2E74B5" w:themeColor="accent1" w:themeShade="BF"/>
              </w:rPr>
              <w:t xml:space="preserve">Median </w:t>
            </w:r>
            <w:r w:rsidRPr="004836DA">
              <w:rPr>
                <w:b/>
                <w:color w:val="2E74B5" w:themeColor="accent1" w:themeShade="BF"/>
              </w:rPr>
              <w:br/>
              <w:t>salary combined</w:t>
            </w:r>
          </w:p>
        </w:tc>
        <w:tc>
          <w:tcPr>
            <w:tcW w:w="1417" w:type="dxa"/>
          </w:tcPr>
          <w:p w14:paraId="73AA6FD8" w14:textId="77777777" w:rsidR="000D42F1" w:rsidRPr="004836DA" w:rsidRDefault="000D42F1">
            <w:pPr>
              <w:pStyle w:val="Tables"/>
              <w:rPr>
                <w:b/>
                <w:color w:val="2E74B5" w:themeColor="accent1" w:themeShade="BF"/>
              </w:rPr>
            </w:pPr>
            <w:r w:rsidRPr="004836DA">
              <w:rPr>
                <w:b/>
                <w:color w:val="2E74B5" w:themeColor="accent1" w:themeShade="BF"/>
              </w:rPr>
              <w:t>Median salary female employees</w:t>
            </w:r>
          </w:p>
        </w:tc>
        <w:tc>
          <w:tcPr>
            <w:tcW w:w="1418" w:type="dxa"/>
          </w:tcPr>
          <w:p w14:paraId="6C91A6BB" w14:textId="77777777" w:rsidR="000D42F1" w:rsidRPr="004836DA" w:rsidRDefault="000D42F1">
            <w:pPr>
              <w:pStyle w:val="Tables"/>
              <w:rPr>
                <w:b/>
                <w:color w:val="2E74B5" w:themeColor="accent1" w:themeShade="BF"/>
              </w:rPr>
            </w:pPr>
            <w:r w:rsidRPr="004836DA">
              <w:rPr>
                <w:b/>
                <w:color w:val="2E74B5" w:themeColor="accent1" w:themeShade="BF"/>
              </w:rPr>
              <w:t>Median salary male employees</w:t>
            </w:r>
          </w:p>
        </w:tc>
        <w:tc>
          <w:tcPr>
            <w:tcW w:w="1757" w:type="dxa"/>
            <w:shd w:val="clear" w:color="auto" w:fill="auto"/>
            <w:noWrap/>
            <w:hideMark/>
          </w:tcPr>
          <w:p w14:paraId="2AB6381D" w14:textId="77777777" w:rsidR="000D42F1" w:rsidRPr="004836DA" w:rsidRDefault="000D42F1">
            <w:pPr>
              <w:pStyle w:val="Tables"/>
              <w:rPr>
                <w:b/>
                <w:color w:val="2E74B5" w:themeColor="accent1" w:themeShade="BF"/>
              </w:rPr>
            </w:pPr>
            <w:r w:rsidRPr="004836DA">
              <w:rPr>
                <w:b/>
                <w:color w:val="2E74B5" w:themeColor="accent1" w:themeShade="BF"/>
              </w:rPr>
              <w:t>Female % (percentage point change since 2018-19)</w:t>
            </w:r>
          </w:p>
        </w:tc>
      </w:tr>
      <w:tr w:rsidR="003A5529" w:rsidRPr="004836DA" w14:paraId="4BE8CA5F" w14:textId="77777777" w:rsidTr="001058C1">
        <w:trPr>
          <w:trHeight w:val="567"/>
        </w:trPr>
        <w:tc>
          <w:tcPr>
            <w:tcW w:w="3544" w:type="dxa"/>
            <w:shd w:val="clear" w:color="auto" w:fill="auto"/>
            <w:noWrap/>
            <w:vAlign w:val="bottom"/>
            <w:hideMark/>
          </w:tcPr>
          <w:p w14:paraId="555BA01E" w14:textId="77777777" w:rsidR="000D42F1" w:rsidRPr="004836DA" w:rsidRDefault="000D42F1">
            <w:pPr>
              <w:pStyle w:val="Tables"/>
              <w:jc w:val="left"/>
            </w:pPr>
            <w:r w:rsidRPr="004836DA">
              <w:t>Social and welfare professionals</w:t>
            </w:r>
          </w:p>
        </w:tc>
        <w:tc>
          <w:tcPr>
            <w:tcW w:w="1418" w:type="dxa"/>
            <w:shd w:val="clear" w:color="auto" w:fill="auto"/>
            <w:noWrap/>
            <w:hideMark/>
          </w:tcPr>
          <w:p w14:paraId="371A7657" w14:textId="77777777" w:rsidR="000D42F1" w:rsidRPr="004836DA" w:rsidRDefault="000D42F1">
            <w:pPr>
              <w:pStyle w:val="Tables"/>
            </w:pPr>
            <w:r w:rsidRPr="00E8702E">
              <w:t>3,193</w:t>
            </w:r>
          </w:p>
        </w:tc>
        <w:tc>
          <w:tcPr>
            <w:tcW w:w="1814" w:type="dxa"/>
            <w:shd w:val="clear" w:color="auto" w:fill="auto"/>
            <w:noWrap/>
            <w:hideMark/>
          </w:tcPr>
          <w:p w14:paraId="0D3AC079" w14:textId="77777777" w:rsidR="000D42F1" w:rsidRPr="004836DA" w:rsidRDefault="000D42F1">
            <w:pPr>
              <w:pStyle w:val="Tables"/>
            </w:pPr>
            <w:r w:rsidRPr="00E8702E">
              <w:t xml:space="preserve"> +221 (+7.4%) </w:t>
            </w:r>
          </w:p>
        </w:tc>
        <w:tc>
          <w:tcPr>
            <w:tcW w:w="1077" w:type="dxa"/>
            <w:shd w:val="clear" w:color="auto" w:fill="auto"/>
            <w:noWrap/>
            <w:hideMark/>
          </w:tcPr>
          <w:p w14:paraId="21F6A5C5" w14:textId="47A18C24" w:rsidR="000D42F1" w:rsidRPr="004836DA" w:rsidRDefault="000D42F1">
            <w:pPr>
              <w:pStyle w:val="Tables"/>
            </w:pPr>
            <w:r w:rsidRPr="00E8702E">
              <w:t xml:space="preserve">41.8 </w:t>
            </w:r>
          </w:p>
        </w:tc>
        <w:tc>
          <w:tcPr>
            <w:tcW w:w="1417" w:type="dxa"/>
            <w:shd w:val="clear" w:color="auto" w:fill="auto"/>
            <w:noWrap/>
            <w:hideMark/>
          </w:tcPr>
          <w:p w14:paraId="0E4238CE" w14:textId="05357E37" w:rsidR="000D42F1" w:rsidRPr="004836DA" w:rsidRDefault="000D42F1">
            <w:pPr>
              <w:pStyle w:val="Tables"/>
            </w:pPr>
            <w:r w:rsidRPr="00E8702E">
              <w:t xml:space="preserve">$107,061 </w:t>
            </w:r>
          </w:p>
        </w:tc>
        <w:tc>
          <w:tcPr>
            <w:tcW w:w="1417" w:type="dxa"/>
          </w:tcPr>
          <w:p w14:paraId="1D8A0031" w14:textId="08DAD02D" w:rsidR="000D42F1" w:rsidRPr="004836DA" w:rsidRDefault="000D42F1">
            <w:pPr>
              <w:pStyle w:val="Tables"/>
            </w:pPr>
            <w:r w:rsidRPr="00E8702E">
              <w:t>$107,195</w:t>
            </w:r>
          </w:p>
        </w:tc>
        <w:tc>
          <w:tcPr>
            <w:tcW w:w="1418" w:type="dxa"/>
          </w:tcPr>
          <w:p w14:paraId="52362AF8" w14:textId="0B367A46" w:rsidR="000D42F1" w:rsidRPr="004836DA" w:rsidRDefault="000D42F1">
            <w:pPr>
              <w:pStyle w:val="Tables"/>
            </w:pPr>
            <w:r w:rsidRPr="00E8702E">
              <w:t xml:space="preserve">$106,277 </w:t>
            </w:r>
          </w:p>
        </w:tc>
        <w:tc>
          <w:tcPr>
            <w:tcW w:w="1757" w:type="dxa"/>
            <w:shd w:val="clear" w:color="auto" w:fill="auto"/>
            <w:noWrap/>
            <w:hideMark/>
          </w:tcPr>
          <w:p w14:paraId="031B5DC4" w14:textId="3F431AC4" w:rsidR="000D42F1" w:rsidRPr="004836DA" w:rsidRDefault="000D42F1">
            <w:pPr>
              <w:pStyle w:val="Tables"/>
            </w:pPr>
            <w:r w:rsidRPr="00E8702E">
              <w:t xml:space="preserve"> 85.4% (0.0</w:t>
            </w:r>
            <w:r>
              <w:t>ppt</w:t>
            </w:r>
            <w:r w:rsidRPr="00E8702E">
              <w:t xml:space="preserve">) </w:t>
            </w:r>
          </w:p>
        </w:tc>
      </w:tr>
      <w:tr w:rsidR="000D42F1" w:rsidRPr="004836DA" w14:paraId="21557D74" w14:textId="77777777" w:rsidTr="001058C1">
        <w:trPr>
          <w:trHeight w:hRule="exact" w:val="567"/>
        </w:trPr>
        <w:tc>
          <w:tcPr>
            <w:tcW w:w="3544" w:type="dxa"/>
            <w:shd w:val="clear" w:color="auto" w:fill="auto"/>
            <w:noWrap/>
            <w:hideMark/>
          </w:tcPr>
          <w:p w14:paraId="3CA871C3" w14:textId="77777777" w:rsidR="000D42F1" w:rsidRPr="004836DA" w:rsidRDefault="000D42F1">
            <w:pPr>
              <w:pStyle w:val="Tables"/>
              <w:jc w:val="left"/>
            </w:pPr>
            <w:r w:rsidRPr="004836DA">
              <w:t>Cleaners (mainly schools and hospitals)</w:t>
            </w:r>
          </w:p>
        </w:tc>
        <w:tc>
          <w:tcPr>
            <w:tcW w:w="1418" w:type="dxa"/>
            <w:shd w:val="clear" w:color="auto" w:fill="auto"/>
            <w:noWrap/>
            <w:hideMark/>
          </w:tcPr>
          <w:p w14:paraId="252108C1" w14:textId="77777777" w:rsidR="000D42F1" w:rsidRPr="004836DA" w:rsidRDefault="000D42F1">
            <w:pPr>
              <w:pStyle w:val="Tables"/>
            </w:pPr>
            <w:r w:rsidRPr="00E8702E">
              <w:t>3,149</w:t>
            </w:r>
          </w:p>
        </w:tc>
        <w:tc>
          <w:tcPr>
            <w:tcW w:w="1814" w:type="dxa"/>
            <w:shd w:val="clear" w:color="auto" w:fill="auto"/>
            <w:noWrap/>
            <w:hideMark/>
          </w:tcPr>
          <w:p w14:paraId="7F598F74" w14:textId="77777777" w:rsidR="000D42F1" w:rsidRPr="004836DA" w:rsidRDefault="000D42F1">
            <w:pPr>
              <w:pStyle w:val="Tables"/>
            </w:pPr>
            <w:r w:rsidRPr="00E8702E">
              <w:t xml:space="preserve"> +643 (+25.7%) </w:t>
            </w:r>
          </w:p>
        </w:tc>
        <w:tc>
          <w:tcPr>
            <w:tcW w:w="1077" w:type="dxa"/>
            <w:shd w:val="clear" w:color="auto" w:fill="auto"/>
            <w:noWrap/>
            <w:hideMark/>
          </w:tcPr>
          <w:p w14:paraId="29E14FF3" w14:textId="5219ECE2" w:rsidR="000D42F1" w:rsidRPr="004836DA" w:rsidRDefault="000D42F1">
            <w:pPr>
              <w:pStyle w:val="Tables"/>
            </w:pPr>
            <w:r w:rsidRPr="00E8702E">
              <w:t xml:space="preserve">50.5 </w:t>
            </w:r>
          </w:p>
        </w:tc>
        <w:tc>
          <w:tcPr>
            <w:tcW w:w="1417" w:type="dxa"/>
            <w:shd w:val="clear" w:color="auto" w:fill="auto"/>
            <w:noWrap/>
            <w:hideMark/>
          </w:tcPr>
          <w:p w14:paraId="43C4EC07" w14:textId="77A161E5" w:rsidR="000D42F1" w:rsidRPr="004836DA" w:rsidRDefault="000D42F1">
            <w:pPr>
              <w:pStyle w:val="Tables"/>
            </w:pPr>
            <w:r w:rsidRPr="00E8702E">
              <w:t xml:space="preserve">$55,906 </w:t>
            </w:r>
          </w:p>
        </w:tc>
        <w:tc>
          <w:tcPr>
            <w:tcW w:w="1417" w:type="dxa"/>
          </w:tcPr>
          <w:p w14:paraId="749F9EB5" w14:textId="3B649E55" w:rsidR="000D42F1" w:rsidRPr="004836DA" w:rsidRDefault="000D42F1">
            <w:pPr>
              <w:pStyle w:val="Tables"/>
            </w:pPr>
            <w:r w:rsidRPr="00E8702E">
              <w:t xml:space="preserve">$55,906 </w:t>
            </w:r>
          </w:p>
        </w:tc>
        <w:tc>
          <w:tcPr>
            <w:tcW w:w="1418" w:type="dxa"/>
          </w:tcPr>
          <w:p w14:paraId="2A98819D" w14:textId="62770638" w:rsidR="000D42F1" w:rsidRPr="004836DA" w:rsidRDefault="000D42F1">
            <w:pPr>
              <w:pStyle w:val="Tables"/>
            </w:pPr>
            <w:r w:rsidRPr="00E8702E">
              <w:t xml:space="preserve">$55,906 </w:t>
            </w:r>
          </w:p>
        </w:tc>
        <w:tc>
          <w:tcPr>
            <w:tcW w:w="1757" w:type="dxa"/>
            <w:shd w:val="clear" w:color="auto" w:fill="auto"/>
            <w:noWrap/>
            <w:hideMark/>
          </w:tcPr>
          <w:p w14:paraId="37B12141" w14:textId="324038CB" w:rsidR="000D42F1" w:rsidRPr="004836DA" w:rsidRDefault="000D42F1">
            <w:pPr>
              <w:pStyle w:val="Tables"/>
            </w:pPr>
            <w:r w:rsidRPr="00E8702E">
              <w:t xml:space="preserve"> 79.4% (+0.3</w:t>
            </w:r>
            <w:r>
              <w:t>ppt</w:t>
            </w:r>
            <w:r w:rsidRPr="00E8702E">
              <w:t xml:space="preserve">) </w:t>
            </w:r>
          </w:p>
        </w:tc>
      </w:tr>
      <w:tr w:rsidR="000D42F1" w:rsidRPr="004836DA" w14:paraId="18D8BE46" w14:textId="77777777" w:rsidTr="001058C1">
        <w:trPr>
          <w:trHeight w:hRule="exact" w:val="567"/>
        </w:trPr>
        <w:tc>
          <w:tcPr>
            <w:tcW w:w="3544" w:type="dxa"/>
            <w:shd w:val="clear" w:color="auto" w:fill="auto"/>
            <w:noWrap/>
            <w:hideMark/>
          </w:tcPr>
          <w:p w14:paraId="67BA7F83" w14:textId="77777777" w:rsidR="000D42F1" w:rsidRPr="004836DA" w:rsidRDefault="000D42F1">
            <w:pPr>
              <w:pStyle w:val="Tables"/>
              <w:jc w:val="left"/>
            </w:pPr>
            <w:r w:rsidRPr="004836DA">
              <w:t>Nursing support and personal care workers</w:t>
            </w:r>
          </w:p>
        </w:tc>
        <w:tc>
          <w:tcPr>
            <w:tcW w:w="1418" w:type="dxa"/>
            <w:shd w:val="clear" w:color="auto" w:fill="auto"/>
            <w:noWrap/>
            <w:hideMark/>
          </w:tcPr>
          <w:p w14:paraId="78BAC384" w14:textId="77777777" w:rsidR="000D42F1" w:rsidRPr="004836DA" w:rsidRDefault="000D42F1">
            <w:pPr>
              <w:pStyle w:val="Tables"/>
            </w:pPr>
            <w:r w:rsidRPr="00E8702E">
              <w:t>2,982</w:t>
            </w:r>
          </w:p>
        </w:tc>
        <w:tc>
          <w:tcPr>
            <w:tcW w:w="1814" w:type="dxa"/>
            <w:shd w:val="clear" w:color="auto" w:fill="auto"/>
            <w:noWrap/>
            <w:hideMark/>
          </w:tcPr>
          <w:p w14:paraId="2FEB939E" w14:textId="77777777" w:rsidR="000D42F1" w:rsidRPr="004836DA" w:rsidRDefault="000D42F1">
            <w:pPr>
              <w:pStyle w:val="Tables"/>
            </w:pPr>
            <w:r w:rsidRPr="00E8702E">
              <w:t xml:space="preserve"> +686 (+29.9%) </w:t>
            </w:r>
          </w:p>
        </w:tc>
        <w:tc>
          <w:tcPr>
            <w:tcW w:w="1077" w:type="dxa"/>
            <w:shd w:val="clear" w:color="auto" w:fill="auto"/>
            <w:noWrap/>
            <w:hideMark/>
          </w:tcPr>
          <w:p w14:paraId="7B8AE731" w14:textId="1D654BCE" w:rsidR="000D42F1" w:rsidRPr="004836DA" w:rsidRDefault="000D42F1">
            <w:pPr>
              <w:pStyle w:val="Tables"/>
            </w:pPr>
            <w:r w:rsidRPr="00E8702E">
              <w:t>44.3</w:t>
            </w:r>
          </w:p>
        </w:tc>
        <w:tc>
          <w:tcPr>
            <w:tcW w:w="1417" w:type="dxa"/>
            <w:shd w:val="clear" w:color="auto" w:fill="auto"/>
            <w:noWrap/>
            <w:hideMark/>
          </w:tcPr>
          <w:p w14:paraId="1AD437FE" w14:textId="13427579" w:rsidR="000D42F1" w:rsidRPr="004836DA" w:rsidRDefault="000D42F1">
            <w:pPr>
              <w:pStyle w:val="Tables"/>
            </w:pPr>
            <w:r w:rsidRPr="00E8702E">
              <w:t xml:space="preserve">$59,271 </w:t>
            </w:r>
          </w:p>
        </w:tc>
        <w:tc>
          <w:tcPr>
            <w:tcW w:w="1417" w:type="dxa"/>
          </w:tcPr>
          <w:p w14:paraId="5A74C20B" w14:textId="39F9B369" w:rsidR="000D42F1" w:rsidRPr="004836DA" w:rsidRDefault="000D42F1">
            <w:pPr>
              <w:pStyle w:val="Tables"/>
            </w:pPr>
            <w:r w:rsidRPr="00E8702E">
              <w:t xml:space="preserve">$59,271 </w:t>
            </w:r>
            <w:r w:rsidRPr="004836DA" w:rsidDel="00426586">
              <w:t xml:space="preserve"> </w:t>
            </w:r>
          </w:p>
        </w:tc>
        <w:tc>
          <w:tcPr>
            <w:tcW w:w="1418" w:type="dxa"/>
          </w:tcPr>
          <w:p w14:paraId="4C4517BB" w14:textId="40D5BB16" w:rsidR="000D42F1" w:rsidRPr="004836DA" w:rsidRDefault="000D42F1">
            <w:pPr>
              <w:pStyle w:val="Tables"/>
            </w:pPr>
            <w:r w:rsidRPr="00E8702E">
              <w:t xml:space="preserve">$59,271 </w:t>
            </w:r>
          </w:p>
        </w:tc>
        <w:tc>
          <w:tcPr>
            <w:tcW w:w="1757" w:type="dxa"/>
            <w:shd w:val="clear" w:color="auto" w:fill="auto"/>
            <w:noWrap/>
            <w:hideMark/>
          </w:tcPr>
          <w:p w14:paraId="11AC44D1" w14:textId="2A29330A" w:rsidR="000D42F1" w:rsidRPr="004836DA" w:rsidRDefault="000D42F1">
            <w:pPr>
              <w:pStyle w:val="Tables"/>
            </w:pPr>
            <w:r w:rsidRPr="00E8702E">
              <w:t xml:space="preserve"> 69.6% (+0.7</w:t>
            </w:r>
            <w:r>
              <w:t>ppt</w:t>
            </w:r>
            <w:r w:rsidRPr="00E8702E">
              <w:t xml:space="preserve">) </w:t>
            </w:r>
          </w:p>
        </w:tc>
      </w:tr>
      <w:tr w:rsidR="000D42F1" w:rsidRPr="004836DA" w14:paraId="0C81EEE0" w14:textId="77777777" w:rsidTr="001058C1">
        <w:trPr>
          <w:trHeight w:hRule="exact" w:val="567"/>
        </w:trPr>
        <w:tc>
          <w:tcPr>
            <w:tcW w:w="3544" w:type="dxa"/>
            <w:shd w:val="clear" w:color="auto" w:fill="auto"/>
            <w:noWrap/>
            <w:hideMark/>
          </w:tcPr>
          <w:p w14:paraId="4E084DAF" w14:textId="77777777" w:rsidR="000D42F1" w:rsidRPr="004836DA" w:rsidRDefault="000D42F1">
            <w:pPr>
              <w:pStyle w:val="Tables"/>
              <w:jc w:val="left"/>
            </w:pPr>
            <w:r w:rsidRPr="004836DA">
              <w:t>Prison, transit and security officers</w:t>
            </w:r>
          </w:p>
        </w:tc>
        <w:tc>
          <w:tcPr>
            <w:tcW w:w="1418" w:type="dxa"/>
            <w:shd w:val="clear" w:color="auto" w:fill="auto"/>
            <w:noWrap/>
            <w:hideMark/>
          </w:tcPr>
          <w:p w14:paraId="2F990CA4" w14:textId="77777777" w:rsidR="000D42F1" w:rsidRPr="004836DA" w:rsidRDefault="000D42F1">
            <w:pPr>
              <w:pStyle w:val="Tables"/>
            </w:pPr>
            <w:r w:rsidRPr="00E8702E">
              <w:t>2,885</w:t>
            </w:r>
          </w:p>
        </w:tc>
        <w:tc>
          <w:tcPr>
            <w:tcW w:w="1814" w:type="dxa"/>
            <w:shd w:val="clear" w:color="auto" w:fill="auto"/>
            <w:noWrap/>
            <w:hideMark/>
          </w:tcPr>
          <w:p w14:paraId="1D86AFCB" w14:textId="77777777" w:rsidR="000D42F1" w:rsidRPr="004836DA" w:rsidRDefault="000D42F1">
            <w:pPr>
              <w:pStyle w:val="Tables"/>
            </w:pPr>
            <w:r w:rsidRPr="00E8702E">
              <w:t xml:space="preserve"> +303 (+11.7%) </w:t>
            </w:r>
          </w:p>
        </w:tc>
        <w:tc>
          <w:tcPr>
            <w:tcW w:w="1077" w:type="dxa"/>
            <w:shd w:val="clear" w:color="auto" w:fill="auto"/>
            <w:noWrap/>
            <w:hideMark/>
          </w:tcPr>
          <w:p w14:paraId="5312CBC6" w14:textId="433BC12B" w:rsidR="000D42F1" w:rsidRPr="004836DA" w:rsidRDefault="000D42F1">
            <w:pPr>
              <w:pStyle w:val="Tables"/>
            </w:pPr>
            <w:r w:rsidRPr="00E8702E">
              <w:t xml:space="preserve">48.0 </w:t>
            </w:r>
          </w:p>
        </w:tc>
        <w:tc>
          <w:tcPr>
            <w:tcW w:w="1417" w:type="dxa"/>
            <w:shd w:val="clear" w:color="auto" w:fill="auto"/>
            <w:noWrap/>
            <w:hideMark/>
          </w:tcPr>
          <w:p w14:paraId="13203A48" w14:textId="5CAA7B20" w:rsidR="000D42F1" w:rsidRPr="004836DA" w:rsidRDefault="000D42F1">
            <w:pPr>
              <w:pStyle w:val="Tables"/>
            </w:pPr>
            <w:r w:rsidRPr="00E8702E">
              <w:t xml:space="preserve">$88,620 </w:t>
            </w:r>
          </w:p>
        </w:tc>
        <w:tc>
          <w:tcPr>
            <w:tcW w:w="1417" w:type="dxa"/>
          </w:tcPr>
          <w:p w14:paraId="56689D58" w14:textId="6E75D859" w:rsidR="000D42F1" w:rsidRPr="004836DA" w:rsidRDefault="000D42F1">
            <w:pPr>
              <w:pStyle w:val="Tables"/>
            </w:pPr>
            <w:r w:rsidRPr="00E8702E">
              <w:t xml:space="preserve">$89,039 </w:t>
            </w:r>
          </w:p>
        </w:tc>
        <w:tc>
          <w:tcPr>
            <w:tcW w:w="1418" w:type="dxa"/>
          </w:tcPr>
          <w:p w14:paraId="066913DC" w14:textId="28FB0403" w:rsidR="000D42F1" w:rsidRPr="004836DA" w:rsidRDefault="000D42F1">
            <w:pPr>
              <w:pStyle w:val="Tables"/>
            </w:pPr>
            <w:r w:rsidRPr="00E8702E">
              <w:t xml:space="preserve">$88,620 </w:t>
            </w:r>
          </w:p>
        </w:tc>
        <w:tc>
          <w:tcPr>
            <w:tcW w:w="1757" w:type="dxa"/>
            <w:shd w:val="clear" w:color="auto" w:fill="auto"/>
            <w:noWrap/>
            <w:hideMark/>
          </w:tcPr>
          <w:p w14:paraId="082B9F10" w14:textId="00C90616" w:rsidR="000D42F1" w:rsidRPr="004836DA" w:rsidRDefault="000D42F1">
            <w:pPr>
              <w:pStyle w:val="Tables"/>
            </w:pPr>
            <w:r w:rsidRPr="00E8702E">
              <w:t xml:space="preserve"> 22.5% (+1.3</w:t>
            </w:r>
            <w:r>
              <w:t>ppt</w:t>
            </w:r>
            <w:r w:rsidRPr="00E8702E">
              <w:t xml:space="preserve">) </w:t>
            </w:r>
          </w:p>
        </w:tc>
      </w:tr>
      <w:tr w:rsidR="000D42F1" w:rsidRPr="004836DA" w14:paraId="4503AADD" w14:textId="77777777" w:rsidTr="001058C1">
        <w:trPr>
          <w:trHeight w:hRule="exact" w:val="567"/>
        </w:trPr>
        <w:tc>
          <w:tcPr>
            <w:tcW w:w="3544" w:type="dxa"/>
            <w:shd w:val="clear" w:color="auto" w:fill="auto"/>
            <w:noWrap/>
            <w:hideMark/>
          </w:tcPr>
          <w:p w14:paraId="6FB5B47B" w14:textId="77777777" w:rsidR="000D42F1" w:rsidRPr="004836DA" w:rsidRDefault="000D42F1">
            <w:pPr>
              <w:pStyle w:val="Tables"/>
              <w:jc w:val="left"/>
            </w:pPr>
            <w:r w:rsidRPr="004836DA">
              <w:t>Natural and physical science professionals</w:t>
            </w:r>
          </w:p>
        </w:tc>
        <w:tc>
          <w:tcPr>
            <w:tcW w:w="1418" w:type="dxa"/>
            <w:shd w:val="clear" w:color="auto" w:fill="auto"/>
            <w:noWrap/>
            <w:hideMark/>
          </w:tcPr>
          <w:p w14:paraId="28D9B9DD" w14:textId="77777777" w:rsidR="000D42F1" w:rsidRPr="004836DA" w:rsidRDefault="000D42F1">
            <w:pPr>
              <w:pStyle w:val="Tables"/>
            </w:pPr>
            <w:r w:rsidRPr="00E8702E">
              <w:t>2,577</w:t>
            </w:r>
          </w:p>
        </w:tc>
        <w:tc>
          <w:tcPr>
            <w:tcW w:w="1814" w:type="dxa"/>
            <w:shd w:val="clear" w:color="auto" w:fill="auto"/>
            <w:noWrap/>
            <w:hideMark/>
          </w:tcPr>
          <w:p w14:paraId="43BC0B68" w14:textId="77777777" w:rsidR="000D42F1" w:rsidRPr="004836DA" w:rsidRDefault="000D42F1">
            <w:pPr>
              <w:pStyle w:val="Tables"/>
            </w:pPr>
            <w:r w:rsidRPr="00E8702E">
              <w:t xml:space="preserve"> +263 (+11.4%) </w:t>
            </w:r>
          </w:p>
        </w:tc>
        <w:tc>
          <w:tcPr>
            <w:tcW w:w="1077" w:type="dxa"/>
            <w:shd w:val="clear" w:color="auto" w:fill="auto"/>
            <w:noWrap/>
            <w:hideMark/>
          </w:tcPr>
          <w:p w14:paraId="200E707F" w14:textId="4DF821F6" w:rsidR="000D42F1" w:rsidRPr="004836DA" w:rsidRDefault="000D42F1">
            <w:pPr>
              <w:pStyle w:val="Tables"/>
            </w:pPr>
            <w:r w:rsidRPr="00E8702E">
              <w:t xml:space="preserve">42.0 </w:t>
            </w:r>
          </w:p>
        </w:tc>
        <w:tc>
          <w:tcPr>
            <w:tcW w:w="1417" w:type="dxa"/>
            <w:shd w:val="clear" w:color="auto" w:fill="auto"/>
            <w:noWrap/>
            <w:hideMark/>
          </w:tcPr>
          <w:p w14:paraId="64FE7833" w14:textId="31211189" w:rsidR="000D42F1" w:rsidRPr="004836DA" w:rsidRDefault="000D42F1">
            <w:pPr>
              <w:pStyle w:val="Tables"/>
            </w:pPr>
            <w:r w:rsidRPr="00E8702E">
              <w:t xml:space="preserve">$104,822 </w:t>
            </w:r>
          </w:p>
        </w:tc>
        <w:tc>
          <w:tcPr>
            <w:tcW w:w="1417" w:type="dxa"/>
          </w:tcPr>
          <w:p w14:paraId="115621FC" w14:textId="60E28E31" w:rsidR="000D42F1" w:rsidRPr="004836DA" w:rsidRDefault="000D42F1">
            <w:pPr>
              <w:pStyle w:val="Tables"/>
            </w:pPr>
            <w:r w:rsidRPr="00E8702E">
              <w:t xml:space="preserve">$104,822 </w:t>
            </w:r>
          </w:p>
        </w:tc>
        <w:tc>
          <w:tcPr>
            <w:tcW w:w="1418" w:type="dxa"/>
          </w:tcPr>
          <w:p w14:paraId="306271C7" w14:textId="0616850D" w:rsidR="000D42F1" w:rsidRPr="004836DA" w:rsidRDefault="000D42F1">
            <w:pPr>
              <w:pStyle w:val="Tables"/>
            </w:pPr>
            <w:r w:rsidRPr="00E8702E">
              <w:t xml:space="preserve">$104,822 </w:t>
            </w:r>
          </w:p>
        </w:tc>
        <w:tc>
          <w:tcPr>
            <w:tcW w:w="1757" w:type="dxa"/>
            <w:shd w:val="clear" w:color="auto" w:fill="auto"/>
            <w:noWrap/>
            <w:hideMark/>
          </w:tcPr>
          <w:p w14:paraId="4BB39FBB" w14:textId="41C85FA1" w:rsidR="000D42F1" w:rsidRPr="004836DA" w:rsidRDefault="000D42F1">
            <w:pPr>
              <w:pStyle w:val="Tables"/>
            </w:pPr>
            <w:r w:rsidRPr="00E8702E">
              <w:t xml:space="preserve"> 57.2% (+1.2</w:t>
            </w:r>
            <w:r>
              <w:t>ppt</w:t>
            </w:r>
            <w:r w:rsidRPr="00E8702E">
              <w:t xml:space="preserve">) </w:t>
            </w:r>
          </w:p>
        </w:tc>
      </w:tr>
      <w:tr w:rsidR="000D42F1" w:rsidRPr="004836DA" w14:paraId="5346A2B3" w14:textId="77777777" w:rsidTr="001058C1">
        <w:trPr>
          <w:trHeight w:hRule="exact" w:val="567"/>
        </w:trPr>
        <w:tc>
          <w:tcPr>
            <w:tcW w:w="3544" w:type="dxa"/>
            <w:shd w:val="clear" w:color="auto" w:fill="auto"/>
            <w:noWrap/>
            <w:hideMark/>
          </w:tcPr>
          <w:p w14:paraId="38BEC9A3" w14:textId="77777777" w:rsidR="000D42F1" w:rsidRPr="004836DA" w:rsidRDefault="000D42F1">
            <w:pPr>
              <w:pStyle w:val="Tables"/>
              <w:jc w:val="left"/>
            </w:pPr>
            <w:r w:rsidRPr="004836DA">
              <w:t>Medical technicians</w:t>
            </w:r>
          </w:p>
        </w:tc>
        <w:tc>
          <w:tcPr>
            <w:tcW w:w="1418" w:type="dxa"/>
            <w:shd w:val="clear" w:color="auto" w:fill="auto"/>
            <w:noWrap/>
            <w:hideMark/>
          </w:tcPr>
          <w:p w14:paraId="0A4A3488" w14:textId="77777777" w:rsidR="000D42F1" w:rsidRPr="004836DA" w:rsidRDefault="000D42F1">
            <w:pPr>
              <w:pStyle w:val="Tables"/>
            </w:pPr>
            <w:r w:rsidRPr="00E8702E">
              <w:t xml:space="preserve">1,426 </w:t>
            </w:r>
          </w:p>
        </w:tc>
        <w:tc>
          <w:tcPr>
            <w:tcW w:w="1814" w:type="dxa"/>
            <w:shd w:val="clear" w:color="auto" w:fill="auto"/>
            <w:noWrap/>
            <w:hideMark/>
          </w:tcPr>
          <w:p w14:paraId="5BCDEF5D" w14:textId="77777777" w:rsidR="000D42F1" w:rsidRPr="004836DA" w:rsidRDefault="000D42F1">
            <w:pPr>
              <w:pStyle w:val="Tables"/>
            </w:pPr>
            <w:r w:rsidRPr="00E8702E">
              <w:t xml:space="preserve"> +248 (+21.0%) </w:t>
            </w:r>
          </w:p>
        </w:tc>
        <w:tc>
          <w:tcPr>
            <w:tcW w:w="1077" w:type="dxa"/>
            <w:shd w:val="clear" w:color="auto" w:fill="auto"/>
            <w:noWrap/>
            <w:hideMark/>
          </w:tcPr>
          <w:p w14:paraId="0664B834" w14:textId="04E12FEC" w:rsidR="000D42F1" w:rsidRPr="004836DA" w:rsidRDefault="000D42F1">
            <w:pPr>
              <w:pStyle w:val="Tables"/>
            </w:pPr>
            <w:r w:rsidRPr="00E8702E">
              <w:t xml:space="preserve">39.8 </w:t>
            </w:r>
          </w:p>
        </w:tc>
        <w:tc>
          <w:tcPr>
            <w:tcW w:w="1417" w:type="dxa"/>
            <w:shd w:val="clear" w:color="auto" w:fill="auto"/>
            <w:noWrap/>
            <w:hideMark/>
          </w:tcPr>
          <w:p w14:paraId="60FB4834" w14:textId="5F85571C" w:rsidR="000D42F1" w:rsidRPr="004836DA" w:rsidRDefault="000D42F1">
            <w:pPr>
              <w:pStyle w:val="Tables"/>
            </w:pPr>
            <w:r w:rsidRPr="00E8702E">
              <w:t xml:space="preserve">$72,300 </w:t>
            </w:r>
          </w:p>
        </w:tc>
        <w:tc>
          <w:tcPr>
            <w:tcW w:w="1417" w:type="dxa"/>
          </w:tcPr>
          <w:p w14:paraId="230DDE44" w14:textId="1DB5C20F" w:rsidR="000D42F1" w:rsidRPr="004836DA" w:rsidRDefault="000D42F1">
            <w:pPr>
              <w:pStyle w:val="Tables"/>
            </w:pPr>
            <w:r w:rsidRPr="00E8702E">
              <w:t xml:space="preserve">$70,559 </w:t>
            </w:r>
          </w:p>
        </w:tc>
        <w:tc>
          <w:tcPr>
            <w:tcW w:w="1418" w:type="dxa"/>
          </w:tcPr>
          <w:p w14:paraId="66149557" w14:textId="6782201A" w:rsidR="000D42F1" w:rsidRPr="004836DA" w:rsidRDefault="000D42F1">
            <w:pPr>
              <w:pStyle w:val="Tables"/>
            </w:pPr>
            <w:r w:rsidRPr="00E8702E">
              <w:t xml:space="preserve">$75,478 </w:t>
            </w:r>
          </w:p>
        </w:tc>
        <w:tc>
          <w:tcPr>
            <w:tcW w:w="1757" w:type="dxa"/>
            <w:shd w:val="clear" w:color="auto" w:fill="auto"/>
            <w:noWrap/>
            <w:hideMark/>
          </w:tcPr>
          <w:p w14:paraId="3EB2251D" w14:textId="79179F55" w:rsidR="000D42F1" w:rsidRPr="004836DA" w:rsidRDefault="000D42F1">
            <w:pPr>
              <w:pStyle w:val="Tables"/>
            </w:pPr>
            <w:r w:rsidRPr="00E8702E">
              <w:t xml:space="preserve"> 73.7% (-2.1</w:t>
            </w:r>
            <w:r>
              <w:t>ppt</w:t>
            </w:r>
            <w:r w:rsidRPr="00E8702E">
              <w:t xml:space="preserve">) </w:t>
            </w:r>
          </w:p>
        </w:tc>
      </w:tr>
      <w:tr w:rsidR="000D42F1" w:rsidRPr="004836DA" w14:paraId="7302EA45" w14:textId="77777777" w:rsidTr="001058C1">
        <w:trPr>
          <w:trHeight w:hRule="exact" w:val="567"/>
        </w:trPr>
        <w:tc>
          <w:tcPr>
            <w:tcW w:w="3544" w:type="dxa"/>
            <w:shd w:val="clear" w:color="auto" w:fill="auto"/>
            <w:noWrap/>
            <w:hideMark/>
          </w:tcPr>
          <w:p w14:paraId="57DC8CB6" w14:textId="77777777" w:rsidR="000D42F1" w:rsidRPr="004836DA" w:rsidRDefault="000D42F1">
            <w:pPr>
              <w:pStyle w:val="Tables"/>
              <w:jc w:val="left"/>
            </w:pPr>
            <w:r w:rsidRPr="004836DA">
              <w:t>Fire and emergency workers</w:t>
            </w:r>
          </w:p>
        </w:tc>
        <w:tc>
          <w:tcPr>
            <w:tcW w:w="1418" w:type="dxa"/>
            <w:shd w:val="clear" w:color="auto" w:fill="auto"/>
            <w:noWrap/>
            <w:hideMark/>
          </w:tcPr>
          <w:p w14:paraId="430EFA3C" w14:textId="77777777" w:rsidR="000D42F1" w:rsidRPr="004836DA" w:rsidRDefault="000D42F1">
            <w:pPr>
              <w:pStyle w:val="Tables"/>
            </w:pPr>
            <w:r w:rsidRPr="00E8702E">
              <w:t xml:space="preserve">1,316 </w:t>
            </w:r>
          </w:p>
        </w:tc>
        <w:tc>
          <w:tcPr>
            <w:tcW w:w="1814" w:type="dxa"/>
            <w:shd w:val="clear" w:color="auto" w:fill="auto"/>
            <w:noWrap/>
            <w:hideMark/>
          </w:tcPr>
          <w:p w14:paraId="30A29AA7" w14:textId="77777777" w:rsidR="000D42F1" w:rsidRPr="004836DA" w:rsidRDefault="000D42F1">
            <w:pPr>
              <w:pStyle w:val="Tables"/>
            </w:pPr>
            <w:r w:rsidRPr="00E8702E">
              <w:t xml:space="preserve"> +53 (+4.2%) </w:t>
            </w:r>
          </w:p>
        </w:tc>
        <w:tc>
          <w:tcPr>
            <w:tcW w:w="1077" w:type="dxa"/>
            <w:shd w:val="clear" w:color="auto" w:fill="auto"/>
            <w:noWrap/>
            <w:hideMark/>
          </w:tcPr>
          <w:p w14:paraId="6913BDC0" w14:textId="140AFEE4" w:rsidR="000D42F1" w:rsidRPr="004836DA" w:rsidRDefault="000D42F1">
            <w:pPr>
              <w:pStyle w:val="Tables"/>
            </w:pPr>
            <w:r w:rsidRPr="00E8702E">
              <w:t xml:space="preserve">42.0 </w:t>
            </w:r>
          </w:p>
        </w:tc>
        <w:tc>
          <w:tcPr>
            <w:tcW w:w="1417" w:type="dxa"/>
            <w:shd w:val="clear" w:color="auto" w:fill="auto"/>
            <w:noWrap/>
            <w:hideMark/>
          </w:tcPr>
          <w:p w14:paraId="35635AB9" w14:textId="5DAD6194" w:rsidR="000D42F1" w:rsidRPr="004836DA" w:rsidRDefault="000D42F1">
            <w:pPr>
              <w:pStyle w:val="Tables"/>
            </w:pPr>
            <w:r w:rsidRPr="00E8702E">
              <w:t xml:space="preserve">$103,321 </w:t>
            </w:r>
          </w:p>
        </w:tc>
        <w:tc>
          <w:tcPr>
            <w:tcW w:w="1417" w:type="dxa"/>
          </w:tcPr>
          <w:p w14:paraId="3F9C3B3B" w14:textId="3F0E2BDE" w:rsidR="000D42F1" w:rsidRPr="004836DA" w:rsidRDefault="000D42F1">
            <w:pPr>
              <w:pStyle w:val="Tables"/>
            </w:pPr>
            <w:r w:rsidRPr="00E8702E">
              <w:t xml:space="preserve">$82,521 </w:t>
            </w:r>
          </w:p>
        </w:tc>
        <w:tc>
          <w:tcPr>
            <w:tcW w:w="1418" w:type="dxa"/>
          </w:tcPr>
          <w:p w14:paraId="67991FF9" w14:textId="740B106D" w:rsidR="000D42F1" w:rsidRPr="004836DA" w:rsidRDefault="000D42F1">
            <w:pPr>
              <w:pStyle w:val="Tables"/>
            </w:pPr>
            <w:r w:rsidRPr="00E8702E">
              <w:t xml:space="preserve">$103,321 </w:t>
            </w:r>
          </w:p>
        </w:tc>
        <w:tc>
          <w:tcPr>
            <w:tcW w:w="1757" w:type="dxa"/>
            <w:shd w:val="clear" w:color="auto" w:fill="auto"/>
            <w:noWrap/>
            <w:hideMark/>
          </w:tcPr>
          <w:p w14:paraId="786C6F9E" w14:textId="00A95D86" w:rsidR="000D42F1" w:rsidRPr="004836DA" w:rsidRDefault="000D42F1">
            <w:pPr>
              <w:pStyle w:val="Tables"/>
            </w:pPr>
            <w:r w:rsidRPr="00E8702E">
              <w:t xml:space="preserve"> 8.7% (+3.3</w:t>
            </w:r>
            <w:r>
              <w:t>ppt</w:t>
            </w:r>
            <w:r w:rsidRPr="00E8702E">
              <w:t xml:space="preserve">) </w:t>
            </w:r>
          </w:p>
        </w:tc>
      </w:tr>
      <w:tr w:rsidR="000D42F1" w:rsidRPr="004836DA" w14:paraId="089F9CEC" w14:textId="77777777" w:rsidTr="001058C1">
        <w:trPr>
          <w:trHeight w:hRule="exact" w:val="567"/>
        </w:trPr>
        <w:tc>
          <w:tcPr>
            <w:tcW w:w="3544" w:type="dxa"/>
            <w:shd w:val="clear" w:color="auto" w:fill="auto"/>
            <w:noWrap/>
            <w:hideMark/>
          </w:tcPr>
          <w:p w14:paraId="51E24C3B" w14:textId="77777777" w:rsidR="000D42F1" w:rsidRPr="004836DA" w:rsidRDefault="000D42F1">
            <w:pPr>
              <w:pStyle w:val="Tables"/>
              <w:jc w:val="left"/>
            </w:pPr>
            <w:r w:rsidRPr="004836DA">
              <w:t>Other labourers</w:t>
            </w:r>
          </w:p>
        </w:tc>
        <w:tc>
          <w:tcPr>
            <w:tcW w:w="1418" w:type="dxa"/>
            <w:shd w:val="clear" w:color="auto" w:fill="auto"/>
            <w:noWrap/>
            <w:hideMark/>
          </w:tcPr>
          <w:p w14:paraId="71935450" w14:textId="77777777" w:rsidR="000D42F1" w:rsidRPr="004836DA" w:rsidRDefault="000D42F1">
            <w:pPr>
              <w:pStyle w:val="Tables"/>
            </w:pPr>
            <w:r w:rsidRPr="00E8702E">
              <w:t xml:space="preserve">1,193 </w:t>
            </w:r>
          </w:p>
        </w:tc>
        <w:tc>
          <w:tcPr>
            <w:tcW w:w="1814" w:type="dxa"/>
            <w:shd w:val="clear" w:color="auto" w:fill="auto"/>
            <w:noWrap/>
            <w:hideMark/>
          </w:tcPr>
          <w:p w14:paraId="3C167BF2" w14:textId="77777777" w:rsidR="000D42F1" w:rsidRPr="004836DA" w:rsidRDefault="000D42F1">
            <w:pPr>
              <w:pStyle w:val="Tables"/>
            </w:pPr>
            <w:r w:rsidRPr="00E8702E">
              <w:t xml:space="preserve"> +90 (+8.1%) </w:t>
            </w:r>
          </w:p>
        </w:tc>
        <w:tc>
          <w:tcPr>
            <w:tcW w:w="1077" w:type="dxa"/>
            <w:shd w:val="clear" w:color="auto" w:fill="auto"/>
            <w:noWrap/>
            <w:hideMark/>
          </w:tcPr>
          <w:p w14:paraId="459DC88F" w14:textId="566C4E77" w:rsidR="000D42F1" w:rsidRPr="004836DA" w:rsidRDefault="000D42F1">
            <w:pPr>
              <w:pStyle w:val="Tables"/>
            </w:pPr>
            <w:r w:rsidRPr="00E8702E">
              <w:t xml:space="preserve">56.8 </w:t>
            </w:r>
          </w:p>
        </w:tc>
        <w:tc>
          <w:tcPr>
            <w:tcW w:w="1417" w:type="dxa"/>
            <w:shd w:val="clear" w:color="auto" w:fill="auto"/>
            <w:noWrap/>
            <w:hideMark/>
          </w:tcPr>
          <w:p w14:paraId="5123E107" w14:textId="53401D35" w:rsidR="000D42F1" w:rsidRPr="004836DA" w:rsidRDefault="000D42F1">
            <w:pPr>
              <w:pStyle w:val="Tables"/>
            </w:pPr>
            <w:r w:rsidRPr="00E8702E">
              <w:t xml:space="preserve">$56,662 </w:t>
            </w:r>
          </w:p>
        </w:tc>
        <w:tc>
          <w:tcPr>
            <w:tcW w:w="1417" w:type="dxa"/>
          </w:tcPr>
          <w:p w14:paraId="687CA388" w14:textId="50148A65" w:rsidR="000D42F1" w:rsidRPr="004836DA" w:rsidRDefault="000D42F1">
            <w:pPr>
              <w:pStyle w:val="Tables"/>
            </w:pPr>
            <w:r w:rsidRPr="00E8702E">
              <w:t xml:space="preserve">$56,767 </w:t>
            </w:r>
          </w:p>
        </w:tc>
        <w:tc>
          <w:tcPr>
            <w:tcW w:w="1418" w:type="dxa"/>
          </w:tcPr>
          <w:p w14:paraId="109A7805" w14:textId="1889A852" w:rsidR="000D42F1" w:rsidRPr="004836DA" w:rsidRDefault="000D42F1">
            <w:pPr>
              <w:pStyle w:val="Tables"/>
            </w:pPr>
            <w:r w:rsidRPr="00E8702E">
              <w:t xml:space="preserve">$56,247 </w:t>
            </w:r>
          </w:p>
        </w:tc>
        <w:tc>
          <w:tcPr>
            <w:tcW w:w="1757" w:type="dxa"/>
            <w:shd w:val="clear" w:color="auto" w:fill="auto"/>
            <w:noWrap/>
            <w:hideMark/>
          </w:tcPr>
          <w:p w14:paraId="10FB029B" w14:textId="57FE3512" w:rsidR="000D42F1" w:rsidRPr="004836DA" w:rsidRDefault="000D42F1">
            <w:pPr>
              <w:pStyle w:val="Tables"/>
            </w:pPr>
            <w:r w:rsidRPr="00E8702E">
              <w:t xml:space="preserve"> 57.5% (+0.8</w:t>
            </w:r>
            <w:r>
              <w:t>ppt</w:t>
            </w:r>
            <w:r w:rsidRPr="00E8702E">
              <w:t xml:space="preserve">) </w:t>
            </w:r>
          </w:p>
        </w:tc>
      </w:tr>
      <w:tr w:rsidR="000D42F1" w:rsidRPr="004836DA" w14:paraId="2D96C8E3" w14:textId="77777777" w:rsidTr="001058C1">
        <w:trPr>
          <w:trHeight w:hRule="exact" w:val="567"/>
        </w:trPr>
        <w:tc>
          <w:tcPr>
            <w:tcW w:w="3544" w:type="dxa"/>
            <w:shd w:val="clear" w:color="auto" w:fill="auto"/>
            <w:noWrap/>
            <w:hideMark/>
          </w:tcPr>
          <w:p w14:paraId="6E53CE71" w14:textId="77777777" w:rsidR="000D42F1" w:rsidRPr="004836DA" w:rsidRDefault="000D42F1">
            <w:pPr>
              <w:pStyle w:val="Tables"/>
              <w:jc w:val="left"/>
            </w:pPr>
            <w:r w:rsidRPr="004836DA">
              <w:t>Other community and personal service workers</w:t>
            </w:r>
          </w:p>
        </w:tc>
        <w:tc>
          <w:tcPr>
            <w:tcW w:w="1418" w:type="dxa"/>
            <w:shd w:val="clear" w:color="auto" w:fill="auto"/>
            <w:noWrap/>
            <w:hideMark/>
          </w:tcPr>
          <w:p w14:paraId="2023B48C" w14:textId="63D4F8CD" w:rsidR="000D42F1" w:rsidRPr="004836DA" w:rsidRDefault="000D42F1">
            <w:pPr>
              <w:pStyle w:val="Tables"/>
            </w:pPr>
            <w:r w:rsidRPr="00E8702E">
              <w:t xml:space="preserve">883 </w:t>
            </w:r>
          </w:p>
        </w:tc>
        <w:tc>
          <w:tcPr>
            <w:tcW w:w="1814" w:type="dxa"/>
            <w:shd w:val="clear" w:color="auto" w:fill="auto"/>
            <w:noWrap/>
            <w:hideMark/>
          </w:tcPr>
          <w:p w14:paraId="14D21D21" w14:textId="77777777" w:rsidR="000D42F1" w:rsidRPr="004836DA" w:rsidRDefault="000D42F1">
            <w:pPr>
              <w:pStyle w:val="Tables"/>
            </w:pPr>
            <w:r w:rsidRPr="00E8702E">
              <w:t xml:space="preserve"> +126 (+16.6%) </w:t>
            </w:r>
          </w:p>
        </w:tc>
        <w:tc>
          <w:tcPr>
            <w:tcW w:w="1077" w:type="dxa"/>
            <w:shd w:val="clear" w:color="auto" w:fill="auto"/>
            <w:noWrap/>
            <w:hideMark/>
          </w:tcPr>
          <w:p w14:paraId="5BB42C4A" w14:textId="28DA3692" w:rsidR="000D42F1" w:rsidRPr="004836DA" w:rsidRDefault="000D42F1">
            <w:pPr>
              <w:pStyle w:val="Tables"/>
            </w:pPr>
            <w:r w:rsidRPr="00E8702E">
              <w:t xml:space="preserve">44.4 </w:t>
            </w:r>
          </w:p>
        </w:tc>
        <w:tc>
          <w:tcPr>
            <w:tcW w:w="1417" w:type="dxa"/>
            <w:shd w:val="clear" w:color="auto" w:fill="auto"/>
            <w:noWrap/>
            <w:hideMark/>
          </w:tcPr>
          <w:p w14:paraId="2A1400A8" w14:textId="6C2E9CBE" w:rsidR="000D42F1" w:rsidRPr="004836DA" w:rsidRDefault="000D42F1">
            <w:pPr>
              <w:pStyle w:val="Tables"/>
            </w:pPr>
            <w:r w:rsidRPr="00E8702E">
              <w:t xml:space="preserve">$69,451 </w:t>
            </w:r>
          </w:p>
        </w:tc>
        <w:tc>
          <w:tcPr>
            <w:tcW w:w="1417" w:type="dxa"/>
          </w:tcPr>
          <w:p w14:paraId="5C69E47A" w14:textId="0699A9D2" w:rsidR="000D42F1" w:rsidRPr="004836DA" w:rsidRDefault="000D42F1">
            <w:pPr>
              <w:pStyle w:val="Tables"/>
            </w:pPr>
            <w:r w:rsidRPr="00E8702E">
              <w:t xml:space="preserve">$70,714 </w:t>
            </w:r>
          </w:p>
        </w:tc>
        <w:tc>
          <w:tcPr>
            <w:tcW w:w="1418" w:type="dxa"/>
          </w:tcPr>
          <w:p w14:paraId="656F060B" w14:textId="3E949FA3" w:rsidR="000D42F1" w:rsidRPr="004836DA" w:rsidRDefault="000D42F1">
            <w:pPr>
              <w:pStyle w:val="Tables"/>
            </w:pPr>
            <w:r w:rsidRPr="00E8702E">
              <w:t xml:space="preserve">$67,253 </w:t>
            </w:r>
          </w:p>
        </w:tc>
        <w:tc>
          <w:tcPr>
            <w:tcW w:w="1757" w:type="dxa"/>
            <w:shd w:val="clear" w:color="auto" w:fill="auto"/>
            <w:noWrap/>
            <w:hideMark/>
          </w:tcPr>
          <w:p w14:paraId="6F47B926" w14:textId="48E14E38" w:rsidR="000D42F1" w:rsidRPr="004836DA" w:rsidRDefault="000D42F1">
            <w:pPr>
              <w:pStyle w:val="Tables"/>
            </w:pPr>
            <w:r w:rsidRPr="00E8702E">
              <w:t xml:space="preserve"> 80.7% (-0.2</w:t>
            </w:r>
            <w:r>
              <w:t>ppt</w:t>
            </w:r>
            <w:r w:rsidRPr="00E8702E">
              <w:t xml:space="preserve">) </w:t>
            </w:r>
          </w:p>
        </w:tc>
      </w:tr>
      <w:tr w:rsidR="000D42F1" w:rsidRPr="004836DA" w14:paraId="73C21F55" w14:textId="77777777" w:rsidTr="001058C1">
        <w:trPr>
          <w:trHeight w:hRule="exact" w:val="567"/>
        </w:trPr>
        <w:tc>
          <w:tcPr>
            <w:tcW w:w="3544" w:type="dxa"/>
            <w:shd w:val="clear" w:color="auto" w:fill="auto"/>
            <w:noWrap/>
            <w:hideMark/>
          </w:tcPr>
          <w:p w14:paraId="0CA57D77" w14:textId="77777777" w:rsidR="000D42F1" w:rsidRPr="004836DA" w:rsidRDefault="000D42F1">
            <w:pPr>
              <w:pStyle w:val="Tables"/>
              <w:jc w:val="left"/>
            </w:pPr>
            <w:r w:rsidRPr="004836DA">
              <w:t>Machinery operators and drivers</w:t>
            </w:r>
          </w:p>
        </w:tc>
        <w:tc>
          <w:tcPr>
            <w:tcW w:w="1418" w:type="dxa"/>
            <w:shd w:val="clear" w:color="auto" w:fill="auto"/>
            <w:noWrap/>
            <w:hideMark/>
          </w:tcPr>
          <w:p w14:paraId="43CAFF45" w14:textId="1ED81CC8" w:rsidR="000D42F1" w:rsidRPr="004836DA" w:rsidRDefault="000D42F1">
            <w:pPr>
              <w:pStyle w:val="Tables"/>
            </w:pPr>
            <w:r w:rsidRPr="00E8702E">
              <w:t xml:space="preserve">861 </w:t>
            </w:r>
          </w:p>
        </w:tc>
        <w:tc>
          <w:tcPr>
            <w:tcW w:w="1814" w:type="dxa"/>
            <w:shd w:val="clear" w:color="auto" w:fill="auto"/>
            <w:noWrap/>
            <w:hideMark/>
          </w:tcPr>
          <w:p w14:paraId="5DAFC704" w14:textId="77777777" w:rsidR="000D42F1" w:rsidRPr="004836DA" w:rsidRDefault="000D42F1">
            <w:pPr>
              <w:pStyle w:val="Tables"/>
            </w:pPr>
            <w:r w:rsidRPr="00E8702E">
              <w:t xml:space="preserve"> +3 (+0.3%) </w:t>
            </w:r>
          </w:p>
        </w:tc>
        <w:tc>
          <w:tcPr>
            <w:tcW w:w="1077" w:type="dxa"/>
            <w:shd w:val="clear" w:color="auto" w:fill="auto"/>
            <w:noWrap/>
            <w:hideMark/>
          </w:tcPr>
          <w:p w14:paraId="3B72D333" w14:textId="72894C0B" w:rsidR="000D42F1" w:rsidRPr="004836DA" w:rsidRDefault="000D42F1">
            <w:pPr>
              <w:pStyle w:val="Tables"/>
            </w:pPr>
            <w:r w:rsidRPr="00E8702E">
              <w:t xml:space="preserve">52.3 </w:t>
            </w:r>
          </w:p>
        </w:tc>
        <w:tc>
          <w:tcPr>
            <w:tcW w:w="1417" w:type="dxa"/>
            <w:shd w:val="clear" w:color="auto" w:fill="auto"/>
            <w:noWrap/>
            <w:hideMark/>
          </w:tcPr>
          <w:p w14:paraId="3F1D10D6" w14:textId="16CDB1E7" w:rsidR="000D42F1" w:rsidRPr="004836DA" w:rsidRDefault="000D42F1">
            <w:pPr>
              <w:pStyle w:val="Tables"/>
            </w:pPr>
            <w:r w:rsidRPr="00E8702E">
              <w:t xml:space="preserve">$68,460 </w:t>
            </w:r>
          </w:p>
        </w:tc>
        <w:tc>
          <w:tcPr>
            <w:tcW w:w="1417" w:type="dxa"/>
          </w:tcPr>
          <w:p w14:paraId="591BBC41" w14:textId="21F672AA" w:rsidR="000D42F1" w:rsidRPr="004836DA" w:rsidRDefault="000D42F1">
            <w:pPr>
              <w:pStyle w:val="Tables"/>
            </w:pPr>
            <w:r w:rsidRPr="00E8702E">
              <w:t xml:space="preserve">$64,791 </w:t>
            </w:r>
          </w:p>
        </w:tc>
        <w:tc>
          <w:tcPr>
            <w:tcW w:w="1418" w:type="dxa"/>
          </w:tcPr>
          <w:p w14:paraId="1811F3A4" w14:textId="03430E9F" w:rsidR="000D42F1" w:rsidRPr="004836DA" w:rsidRDefault="000D42F1">
            <w:pPr>
              <w:pStyle w:val="Tables"/>
            </w:pPr>
            <w:r w:rsidRPr="00E8702E">
              <w:t xml:space="preserve">$75,370 </w:t>
            </w:r>
          </w:p>
        </w:tc>
        <w:tc>
          <w:tcPr>
            <w:tcW w:w="1757" w:type="dxa"/>
            <w:shd w:val="clear" w:color="auto" w:fill="auto"/>
            <w:noWrap/>
            <w:hideMark/>
          </w:tcPr>
          <w:p w14:paraId="03BC8EE2" w14:textId="5CD9D9F0" w:rsidR="000D42F1" w:rsidRPr="004836DA" w:rsidRDefault="000D42F1">
            <w:pPr>
              <w:pStyle w:val="Tables"/>
            </w:pPr>
            <w:r w:rsidRPr="00E8702E">
              <w:t xml:space="preserve"> 28</w:t>
            </w:r>
            <w:r w:rsidR="00F36603">
              <w:t>.0</w:t>
            </w:r>
            <w:r w:rsidRPr="00E8702E">
              <w:t>% (-2.1</w:t>
            </w:r>
            <w:r>
              <w:t>ppt</w:t>
            </w:r>
            <w:r w:rsidRPr="00E8702E">
              <w:t>)</w:t>
            </w:r>
          </w:p>
        </w:tc>
      </w:tr>
      <w:tr w:rsidR="000D42F1" w:rsidRPr="004836DA" w14:paraId="301D16F9" w14:textId="77777777" w:rsidTr="001058C1">
        <w:trPr>
          <w:trHeight w:hRule="exact" w:val="567"/>
        </w:trPr>
        <w:tc>
          <w:tcPr>
            <w:tcW w:w="3544" w:type="dxa"/>
            <w:shd w:val="clear" w:color="auto" w:fill="auto"/>
            <w:noWrap/>
            <w:hideMark/>
          </w:tcPr>
          <w:p w14:paraId="7938F8A9" w14:textId="77777777" w:rsidR="000D42F1" w:rsidRPr="004836DA" w:rsidRDefault="000D42F1">
            <w:pPr>
              <w:pStyle w:val="Tables"/>
              <w:jc w:val="left"/>
            </w:pPr>
            <w:r w:rsidRPr="004836DA">
              <w:t>Sales workers</w:t>
            </w:r>
          </w:p>
        </w:tc>
        <w:tc>
          <w:tcPr>
            <w:tcW w:w="1418" w:type="dxa"/>
            <w:shd w:val="clear" w:color="auto" w:fill="auto"/>
            <w:noWrap/>
            <w:hideMark/>
          </w:tcPr>
          <w:p w14:paraId="19A8641B" w14:textId="1B8A2C74" w:rsidR="000D42F1" w:rsidRPr="004836DA" w:rsidRDefault="000D42F1">
            <w:pPr>
              <w:pStyle w:val="Tables"/>
            </w:pPr>
            <w:r w:rsidRPr="00E8702E">
              <w:t xml:space="preserve">671 </w:t>
            </w:r>
          </w:p>
        </w:tc>
        <w:tc>
          <w:tcPr>
            <w:tcW w:w="1814" w:type="dxa"/>
            <w:shd w:val="clear" w:color="auto" w:fill="auto"/>
            <w:noWrap/>
            <w:hideMark/>
          </w:tcPr>
          <w:p w14:paraId="6C152B42" w14:textId="77777777" w:rsidR="000D42F1" w:rsidRPr="004836DA" w:rsidRDefault="000D42F1">
            <w:pPr>
              <w:pStyle w:val="Tables"/>
            </w:pPr>
            <w:r w:rsidRPr="00E8702E">
              <w:t xml:space="preserve"> +4 (+0.7%) </w:t>
            </w:r>
          </w:p>
        </w:tc>
        <w:tc>
          <w:tcPr>
            <w:tcW w:w="1077" w:type="dxa"/>
            <w:shd w:val="clear" w:color="auto" w:fill="auto"/>
            <w:noWrap/>
            <w:hideMark/>
          </w:tcPr>
          <w:p w14:paraId="03297FD0" w14:textId="6C9D8878" w:rsidR="000D42F1" w:rsidRPr="004836DA" w:rsidRDefault="000D42F1">
            <w:pPr>
              <w:pStyle w:val="Tables"/>
            </w:pPr>
            <w:r w:rsidRPr="00E8702E">
              <w:t xml:space="preserve">46.3 </w:t>
            </w:r>
          </w:p>
        </w:tc>
        <w:tc>
          <w:tcPr>
            <w:tcW w:w="1417" w:type="dxa"/>
            <w:shd w:val="clear" w:color="auto" w:fill="auto"/>
            <w:noWrap/>
            <w:hideMark/>
          </w:tcPr>
          <w:p w14:paraId="6A18F35A" w14:textId="7C59A9A2" w:rsidR="000D42F1" w:rsidRPr="004836DA" w:rsidRDefault="000D42F1">
            <w:pPr>
              <w:pStyle w:val="Tables"/>
            </w:pPr>
            <w:r w:rsidRPr="00E8702E">
              <w:t xml:space="preserve">$76,186 </w:t>
            </w:r>
          </w:p>
        </w:tc>
        <w:tc>
          <w:tcPr>
            <w:tcW w:w="1417" w:type="dxa"/>
          </w:tcPr>
          <w:p w14:paraId="5A3CA4A7" w14:textId="7037A65F" w:rsidR="000D42F1" w:rsidRPr="004836DA" w:rsidRDefault="000D42F1">
            <w:pPr>
              <w:pStyle w:val="Tables"/>
            </w:pPr>
            <w:r w:rsidRPr="00E8702E">
              <w:t xml:space="preserve">$76,249 </w:t>
            </w:r>
          </w:p>
        </w:tc>
        <w:tc>
          <w:tcPr>
            <w:tcW w:w="1418" w:type="dxa"/>
          </w:tcPr>
          <w:p w14:paraId="63858D28" w14:textId="4D710113" w:rsidR="000D42F1" w:rsidRPr="004836DA" w:rsidRDefault="000D42F1">
            <w:pPr>
              <w:pStyle w:val="Tables"/>
            </w:pPr>
            <w:r w:rsidRPr="00E8702E">
              <w:t xml:space="preserve">$75,244 </w:t>
            </w:r>
          </w:p>
        </w:tc>
        <w:tc>
          <w:tcPr>
            <w:tcW w:w="1757" w:type="dxa"/>
            <w:shd w:val="clear" w:color="auto" w:fill="auto"/>
            <w:noWrap/>
            <w:hideMark/>
          </w:tcPr>
          <w:p w14:paraId="1585265A" w14:textId="1000FF44" w:rsidR="000D42F1" w:rsidRPr="004836DA" w:rsidRDefault="000D42F1">
            <w:pPr>
              <w:pStyle w:val="Tables"/>
            </w:pPr>
            <w:r w:rsidRPr="00E8702E">
              <w:t xml:space="preserve"> 67.2% (+2.1</w:t>
            </w:r>
            <w:r>
              <w:t>ppt</w:t>
            </w:r>
            <w:r w:rsidRPr="00E8702E">
              <w:t xml:space="preserve">) </w:t>
            </w:r>
          </w:p>
        </w:tc>
      </w:tr>
    </w:tbl>
    <w:p w14:paraId="670724D9" w14:textId="77777777" w:rsidR="000D42F1" w:rsidRPr="0000528C" w:rsidRDefault="000D42F1" w:rsidP="000D42F1">
      <w:pPr>
        <w:spacing w:line="240" w:lineRule="auto"/>
        <w:rPr>
          <w:color w:val="2E74B5" w:themeColor="accent1" w:themeShade="BF"/>
          <w:sz w:val="20"/>
          <w:szCs w:val="20"/>
        </w:rPr>
      </w:pPr>
    </w:p>
    <w:p w14:paraId="181D833C" w14:textId="77777777" w:rsidR="000D42F1" w:rsidRDefault="000D42F1" w:rsidP="000D42F1">
      <w:pPr>
        <w:spacing w:after="240" w:line="240" w:lineRule="auto"/>
        <w:sectPr w:rsidR="000D42F1" w:rsidSect="00F306B5">
          <w:headerReference w:type="even" r:id="rId44"/>
          <w:headerReference w:type="default" r:id="rId45"/>
          <w:footerReference w:type="default" r:id="rId46"/>
          <w:headerReference w:type="first" r:id="rId47"/>
          <w:pgSz w:w="16838" w:h="11906" w:orient="landscape"/>
          <w:pgMar w:top="1440" w:right="1440" w:bottom="1440" w:left="1440" w:header="708" w:footer="373" w:gutter="0"/>
          <w:cols w:space="708"/>
          <w:docGrid w:linePitch="360"/>
        </w:sectPr>
      </w:pPr>
    </w:p>
    <w:p w14:paraId="3F404593" w14:textId="20C1FA31" w:rsidR="000D42F1" w:rsidRDefault="000D42F1" w:rsidP="000D42F1">
      <w:pPr>
        <w:spacing w:after="240" w:line="240" w:lineRule="auto"/>
      </w:pPr>
      <w:r>
        <w:lastRenderedPageBreak/>
        <w:t xml:space="preserve">There </w:t>
      </w:r>
      <w:r w:rsidR="00EA0815">
        <w:t>is a moderate</w:t>
      </w:r>
      <w:r>
        <w:t xml:space="preserve"> relationship between occupational groups, gender profiles and salary ranges in the public sector with occupational groups comprising </w:t>
      </w:r>
      <w:proofErr w:type="gramStart"/>
      <w:r>
        <w:t>a majority of</w:t>
      </w:r>
      <w:proofErr w:type="gramEnd"/>
      <w:r>
        <w:t xml:space="preserve"> </w:t>
      </w:r>
      <w:r w:rsidR="00FA3A2A">
        <w:t xml:space="preserve">female employees </w:t>
      </w:r>
      <w:r>
        <w:t>at lower median salaries (</w:t>
      </w:r>
      <w:r w:rsidRPr="001E468C">
        <w:fldChar w:fldCharType="begin"/>
      </w:r>
      <w:r w:rsidRPr="001E468C">
        <w:instrText>REF _Ref84253574</w:instrText>
      </w:r>
      <w:r>
        <w:instrText xml:space="preserve"> \* MERGEFORMAT </w:instrText>
      </w:r>
      <w:r w:rsidRPr="001E468C">
        <w:fldChar w:fldCharType="separate"/>
      </w:r>
      <w:r w:rsidR="0048418F" w:rsidRPr="0048418F">
        <w:t>Figure 12</w:t>
      </w:r>
      <w:r w:rsidRPr="001E468C">
        <w:fldChar w:fldCharType="end"/>
      </w:r>
      <w:r>
        <w:t>).</w:t>
      </w:r>
    </w:p>
    <w:p w14:paraId="1FB9FBC2" w14:textId="6C01EE66" w:rsidR="000D42F1" w:rsidRPr="00C667B0" w:rsidRDefault="000D42F1" w:rsidP="000D42F1">
      <w:pPr>
        <w:pStyle w:val="Caption"/>
        <w:rPr>
          <w:b/>
          <w:bCs/>
        </w:rPr>
      </w:pPr>
      <w:bookmarkStart w:id="53" w:name="_Ref84253574"/>
      <w:r w:rsidRPr="007F2168">
        <w:rPr>
          <w:b/>
          <w:bCs/>
        </w:rPr>
        <w:t xml:space="preserve">Figure </w:t>
      </w:r>
      <w:r w:rsidRPr="007F2168">
        <w:rPr>
          <w:b/>
          <w:bCs/>
        </w:rPr>
        <w:fldChar w:fldCharType="begin"/>
      </w:r>
      <w:r w:rsidRPr="007F2168">
        <w:rPr>
          <w:b/>
          <w:bCs/>
        </w:rPr>
        <w:instrText xml:space="preserve"> SEQ Figure \* ARABIC </w:instrText>
      </w:r>
      <w:r w:rsidRPr="007F2168">
        <w:rPr>
          <w:b/>
          <w:bCs/>
        </w:rPr>
        <w:fldChar w:fldCharType="separate"/>
      </w:r>
      <w:r w:rsidR="0048418F">
        <w:rPr>
          <w:b/>
          <w:bCs/>
          <w:noProof/>
        </w:rPr>
        <w:t>12</w:t>
      </w:r>
      <w:r w:rsidRPr="007F2168">
        <w:rPr>
          <w:b/>
          <w:bCs/>
        </w:rPr>
        <w:fldChar w:fldCharType="end"/>
      </w:r>
      <w:bookmarkEnd w:id="53"/>
      <w:r w:rsidRPr="00C667B0">
        <w:rPr>
          <w:b/>
          <w:bCs/>
        </w:rPr>
        <w:t>: WA public sector occupational groups by percent female employees and median salary 20</w:t>
      </w:r>
      <w:r>
        <w:rPr>
          <w:b/>
          <w:bCs/>
        </w:rPr>
        <w:t xml:space="preserve">22-23 </w:t>
      </w:r>
      <w:r w:rsidRPr="00C667B0">
        <w:rPr>
          <w:b/>
          <w:bCs/>
        </w:rPr>
        <w:t>(size of each point reflects relative size of occupational group in annual average FTE)</w:t>
      </w:r>
    </w:p>
    <w:p w14:paraId="3CFC15C5" w14:textId="77777777" w:rsidR="000D42F1" w:rsidRDefault="000D42F1" w:rsidP="000D42F1">
      <w:pPr>
        <w:spacing w:after="240" w:line="240" w:lineRule="auto"/>
        <w:sectPr w:rsidR="000D42F1" w:rsidSect="00750F4B">
          <w:headerReference w:type="even" r:id="rId48"/>
          <w:headerReference w:type="default" r:id="rId49"/>
          <w:footerReference w:type="default" r:id="rId50"/>
          <w:headerReference w:type="first" r:id="rId51"/>
          <w:pgSz w:w="16838" w:h="11906" w:orient="landscape"/>
          <w:pgMar w:top="1440" w:right="1440" w:bottom="1274" w:left="1440" w:header="708" w:footer="378" w:gutter="0"/>
          <w:cols w:space="708"/>
          <w:docGrid w:linePitch="360"/>
        </w:sectPr>
      </w:pPr>
      <w:r>
        <w:rPr>
          <w:noProof/>
        </w:rPr>
        <w:drawing>
          <wp:inline distT="0" distB="0" distL="0" distR="0" wp14:anchorId="368AA423" wp14:editId="48BD33A6">
            <wp:extent cx="8863330" cy="4522478"/>
            <wp:effectExtent l="0" t="0" r="0" b="0"/>
            <wp:docPr id="4" name="Chart 4" descr="A scatter graph showing the occupational groups in the WA public sector by percentage of female employees and median salary in 2022-23 with key information as described in the preceding text. ">
              <a:extLst xmlns:a="http://schemas.openxmlformats.org/drawingml/2006/main">
                <a:ext uri="{FF2B5EF4-FFF2-40B4-BE49-F238E27FC236}">
                  <a16:creationId xmlns:a16="http://schemas.microsoft.com/office/drawing/2014/main" id="{1447E637-E3D6-49DB-B80E-9C64E3BD5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DC0DAB" w14:textId="549CD8A0" w:rsidR="000D42F1" w:rsidRPr="00994CC7" w:rsidRDefault="000D42F1" w:rsidP="00B94A95">
      <w:pPr>
        <w:spacing w:after="240"/>
      </w:pPr>
      <w:r>
        <w:lastRenderedPageBreak/>
        <w:t xml:space="preserve">Sworn police officers are not part of the </w:t>
      </w:r>
      <w:r w:rsidRPr="00994CC7">
        <w:t>public sector</w:t>
      </w:r>
      <w:r>
        <w:t xml:space="preserve"> as defined in the PSM Act</w:t>
      </w:r>
      <w:r w:rsidRPr="00994CC7">
        <w:t xml:space="preserve">. Key statistical information for sworn officers of the WA Police Force is in </w:t>
      </w:r>
      <w:r w:rsidRPr="00994CC7">
        <w:fldChar w:fldCharType="begin"/>
      </w:r>
      <w:r w:rsidRPr="00994CC7">
        <w:instrText xml:space="preserve"> REF _Ref84251460 </w:instrText>
      </w:r>
      <w:r>
        <w:instrText xml:space="preserve"> \* MERGEFORMAT </w:instrText>
      </w:r>
      <w:r w:rsidRPr="00994CC7">
        <w:fldChar w:fldCharType="separate"/>
      </w:r>
      <w:r w:rsidR="0048418F" w:rsidRPr="0048418F">
        <w:t>Table 13</w:t>
      </w:r>
      <w:r w:rsidRPr="00994CC7">
        <w:fldChar w:fldCharType="end"/>
      </w:r>
      <w:r w:rsidRPr="00994CC7">
        <w:t xml:space="preserve">. Detailed information on occupations is not collected from other government entities. Summary information for other government entities is in </w:t>
      </w:r>
      <w:r w:rsidR="00B94A95">
        <w:fldChar w:fldCharType="begin"/>
      </w:r>
      <w:r w:rsidR="00B94A95">
        <w:instrText xml:space="preserve"> REF _Ref149032693 \h  \* MERGEFORMAT </w:instrText>
      </w:r>
      <w:r w:rsidR="00B94A95">
        <w:fldChar w:fldCharType="separate"/>
      </w:r>
      <w:r w:rsidR="0048418F" w:rsidRPr="0048418F">
        <w:t>Table 14</w:t>
      </w:r>
      <w:r w:rsidR="00B94A95">
        <w:fldChar w:fldCharType="end"/>
      </w:r>
      <w:r w:rsidR="00B94A95">
        <w:t xml:space="preserve">. </w:t>
      </w:r>
    </w:p>
    <w:p w14:paraId="6E05308F" w14:textId="0E213A2E" w:rsidR="000D42F1" w:rsidRPr="00C667B0" w:rsidRDefault="000D42F1" w:rsidP="000D42F1">
      <w:pPr>
        <w:pStyle w:val="Caption"/>
        <w:rPr>
          <w:b/>
          <w:bCs/>
        </w:rPr>
      </w:pPr>
      <w:bookmarkStart w:id="54" w:name="_Ref84251460"/>
      <w:r w:rsidRPr="007F2168">
        <w:rPr>
          <w:b/>
          <w:bCs/>
        </w:rPr>
        <w:t xml:space="preserve">Table </w:t>
      </w:r>
      <w:r w:rsidRPr="007F2168">
        <w:rPr>
          <w:b/>
          <w:bCs/>
        </w:rPr>
        <w:fldChar w:fldCharType="begin"/>
      </w:r>
      <w:r w:rsidRPr="007F2168">
        <w:rPr>
          <w:b/>
          <w:bCs/>
        </w:rPr>
        <w:instrText xml:space="preserve"> SEQ Table \* ARABIC </w:instrText>
      </w:r>
      <w:r w:rsidRPr="007F2168">
        <w:rPr>
          <w:b/>
          <w:bCs/>
        </w:rPr>
        <w:fldChar w:fldCharType="separate"/>
      </w:r>
      <w:r w:rsidR="0048418F">
        <w:rPr>
          <w:b/>
          <w:bCs/>
          <w:noProof/>
        </w:rPr>
        <w:t>13</w:t>
      </w:r>
      <w:r w:rsidRPr="007F2168">
        <w:rPr>
          <w:b/>
          <w:bCs/>
        </w:rPr>
        <w:fldChar w:fldCharType="end"/>
      </w:r>
      <w:bookmarkEnd w:id="54"/>
      <w:r w:rsidRPr="00C667B0">
        <w:rPr>
          <w:b/>
          <w:bCs/>
        </w:rPr>
        <w:t>: Key statistics for sworn officers of WA Police Force 20</w:t>
      </w:r>
      <w:r>
        <w:rPr>
          <w:b/>
          <w:bCs/>
        </w:rPr>
        <w:t>22</w:t>
      </w:r>
      <w:r w:rsidRPr="00C667B0">
        <w:rPr>
          <w:b/>
          <w:bCs/>
        </w:rPr>
        <w:t>-</w:t>
      </w:r>
      <w:r>
        <w:rPr>
          <w:b/>
          <w:bCs/>
        </w:rPr>
        <w:t>23</w:t>
      </w:r>
      <w:r w:rsidRPr="00C667B0">
        <w:rPr>
          <w:b/>
          <w:bCs/>
        </w:rPr>
        <w:t xml:space="preserve"> (annual average)</w:t>
      </w:r>
    </w:p>
    <w:tbl>
      <w:tblPr>
        <w:tblW w:w="9498"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Caption w:val="Table 13: Key statistics for sworn officers of WA Police Force 2022-23 (annual average)"/>
      </w:tblPr>
      <w:tblGrid>
        <w:gridCol w:w="1560"/>
        <w:gridCol w:w="992"/>
        <w:gridCol w:w="992"/>
        <w:gridCol w:w="992"/>
        <w:gridCol w:w="1276"/>
        <w:gridCol w:w="992"/>
        <w:gridCol w:w="1134"/>
        <w:gridCol w:w="1560"/>
      </w:tblGrid>
      <w:tr w:rsidR="000D42F1" w:rsidRPr="00BD1818" w14:paraId="14E581B5" w14:textId="77777777">
        <w:trPr>
          <w:trHeight w:val="300"/>
        </w:trPr>
        <w:tc>
          <w:tcPr>
            <w:tcW w:w="1560" w:type="dxa"/>
            <w:tcBorders>
              <w:top w:val="nil"/>
              <w:left w:val="nil"/>
            </w:tcBorders>
            <w:shd w:val="clear" w:color="auto" w:fill="auto"/>
            <w:noWrap/>
            <w:hideMark/>
          </w:tcPr>
          <w:p w14:paraId="5824DD2D" w14:textId="77777777" w:rsidR="000D42F1" w:rsidRPr="00BD1818" w:rsidRDefault="000D42F1">
            <w:pPr>
              <w:pStyle w:val="Tables"/>
              <w:rPr>
                <w:b/>
                <w:color w:val="2E74B5" w:themeColor="accent1" w:themeShade="BF"/>
              </w:rPr>
            </w:pPr>
          </w:p>
        </w:tc>
        <w:tc>
          <w:tcPr>
            <w:tcW w:w="992" w:type="dxa"/>
            <w:shd w:val="clear" w:color="auto" w:fill="auto"/>
            <w:noWrap/>
            <w:hideMark/>
          </w:tcPr>
          <w:p w14:paraId="1945F1AC" w14:textId="77777777" w:rsidR="000D42F1" w:rsidRPr="00BD1818" w:rsidRDefault="000D42F1">
            <w:pPr>
              <w:pStyle w:val="Tables"/>
              <w:rPr>
                <w:b/>
                <w:bCs/>
                <w:color w:val="2E74B5" w:themeColor="accent1" w:themeShade="BF"/>
              </w:rPr>
            </w:pPr>
            <w:r w:rsidRPr="5D754B50">
              <w:rPr>
                <w:b/>
                <w:bCs/>
                <w:color w:val="2E74B5" w:themeColor="accent1" w:themeShade="BF"/>
              </w:rPr>
              <w:t xml:space="preserve">FTE </w:t>
            </w:r>
            <w:r>
              <w:br/>
            </w:r>
            <w:r w:rsidRPr="5D754B50">
              <w:rPr>
                <w:b/>
                <w:bCs/>
                <w:color w:val="2E74B5" w:themeColor="accent1" w:themeShade="BF"/>
              </w:rPr>
              <w:t>20</w:t>
            </w:r>
            <w:r>
              <w:rPr>
                <w:b/>
                <w:bCs/>
                <w:color w:val="2E74B5" w:themeColor="accent1" w:themeShade="BF"/>
              </w:rPr>
              <w:t>22-23</w:t>
            </w:r>
          </w:p>
        </w:tc>
        <w:tc>
          <w:tcPr>
            <w:tcW w:w="992" w:type="dxa"/>
            <w:shd w:val="clear" w:color="auto" w:fill="auto"/>
            <w:noWrap/>
            <w:hideMark/>
          </w:tcPr>
          <w:p w14:paraId="2B5523A9" w14:textId="77777777" w:rsidR="000D42F1" w:rsidRPr="00BD1818" w:rsidRDefault="000D42F1">
            <w:pPr>
              <w:pStyle w:val="Tables"/>
              <w:rPr>
                <w:b/>
                <w:color w:val="2E74B5" w:themeColor="accent1" w:themeShade="BF"/>
              </w:rPr>
            </w:pPr>
            <w:r w:rsidRPr="00BD1818">
              <w:rPr>
                <w:b/>
                <w:color w:val="2E74B5" w:themeColor="accent1" w:themeShade="BF"/>
              </w:rPr>
              <w:t>FTE change since</w:t>
            </w:r>
          </w:p>
          <w:p w14:paraId="7C45CB81" w14:textId="77777777" w:rsidR="000D42F1" w:rsidRPr="00BD1818" w:rsidRDefault="000D42F1">
            <w:pPr>
              <w:pStyle w:val="Tables"/>
              <w:rPr>
                <w:b/>
                <w:bCs/>
                <w:color w:val="2E74B5" w:themeColor="accent1" w:themeShade="BF"/>
              </w:rPr>
            </w:pPr>
            <w:r w:rsidRPr="5D754B50">
              <w:rPr>
                <w:b/>
                <w:bCs/>
                <w:color w:val="2E74B5" w:themeColor="accent1" w:themeShade="BF"/>
              </w:rPr>
              <w:t>20</w:t>
            </w:r>
            <w:r>
              <w:rPr>
                <w:b/>
                <w:bCs/>
                <w:color w:val="2E74B5" w:themeColor="accent1" w:themeShade="BF"/>
              </w:rPr>
              <w:t>18-19</w:t>
            </w:r>
          </w:p>
        </w:tc>
        <w:tc>
          <w:tcPr>
            <w:tcW w:w="992" w:type="dxa"/>
            <w:shd w:val="clear" w:color="auto" w:fill="auto"/>
            <w:noWrap/>
            <w:hideMark/>
          </w:tcPr>
          <w:p w14:paraId="1C9D0E26" w14:textId="77777777" w:rsidR="000D42F1" w:rsidRPr="00BD1818" w:rsidRDefault="000D42F1">
            <w:pPr>
              <w:pStyle w:val="Tables"/>
              <w:rPr>
                <w:b/>
                <w:color w:val="2E74B5" w:themeColor="accent1" w:themeShade="BF"/>
              </w:rPr>
            </w:pPr>
            <w:r w:rsidRPr="00BD1818">
              <w:rPr>
                <w:b/>
                <w:color w:val="2E74B5" w:themeColor="accent1" w:themeShade="BF"/>
              </w:rPr>
              <w:t>Median age</w:t>
            </w:r>
          </w:p>
        </w:tc>
        <w:tc>
          <w:tcPr>
            <w:tcW w:w="1276" w:type="dxa"/>
            <w:shd w:val="clear" w:color="auto" w:fill="auto"/>
            <w:noWrap/>
            <w:hideMark/>
          </w:tcPr>
          <w:p w14:paraId="50348C10" w14:textId="77777777" w:rsidR="000D42F1" w:rsidRPr="00BD1818" w:rsidRDefault="000D42F1">
            <w:pPr>
              <w:pStyle w:val="Tables"/>
              <w:rPr>
                <w:b/>
                <w:color w:val="2E74B5" w:themeColor="accent1" w:themeShade="BF"/>
              </w:rPr>
            </w:pPr>
            <w:r w:rsidRPr="00A676A4">
              <w:rPr>
                <w:b/>
                <w:color w:val="2E74B5" w:themeColor="accent1" w:themeShade="BF"/>
              </w:rPr>
              <w:t xml:space="preserve">Median </w:t>
            </w:r>
            <w:r w:rsidRPr="00A676A4">
              <w:rPr>
                <w:b/>
                <w:color w:val="2E74B5" w:themeColor="accent1" w:themeShade="BF"/>
              </w:rPr>
              <w:br/>
              <w:t>salary combined</w:t>
            </w:r>
          </w:p>
        </w:tc>
        <w:tc>
          <w:tcPr>
            <w:tcW w:w="992" w:type="dxa"/>
          </w:tcPr>
          <w:p w14:paraId="0AEE2DDD" w14:textId="77777777" w:rsidR="000D42F1" w:rsidRPr="5D754B50" w:rsidRDefault="000D42F1">
            <w:pPr>
              <w:pStyle w:val="Tables"/>
              <w:rPr>
                <w:b/>
                <w:bCs/>
                <w:color w:val="2E74B5" w:themeColor="accent1" w:themeShade="BF"/>
              </w:rPr>
            </w:pPr>
            <w:r w:rsidRPr="00A676A4">
              <w:rPr>
                <w:b/>
                <w:color w:val="2E74B5" w:themeColor="accent1" w:themeShade="BF"/>
              </w:rPr>
              <w:t>Median salary female</w:t>
            </w:r>
          </w:p>
        </w:tc>
        <w:tc>
          <w:tcPr>
            <w:tcW w:w="1134" w:type="dxa"/>
          </w:tcPr>
          <w:p w14:paraId="6E6227E9" w14:textId="77777777" w:rsidR="000D42F1" w:rsidRPr="5D754B50" w:rsidRDefault="000D42F1">
            <w:pPr>
              <w:pStyle w:val="Tables"/>
              <w:rPr>
                <w:b/>
                <w:bCs/>
                <w:color w:val="2E74B5" w:themeColor="accent1" w:themeShade="BF"/>
              </w:rPr>
            </w:pPr>
            <w:r w:rsidRPr="00A676A4">
              <w:rPr>
                <w:b/>
                <w:color w:val="2E74B5" w:themeColor="accent1" w:themeShade="BF"/>
              </w:rPr>
              <w:t>Median salary male</w:t>
            </w:r>
          </w:p>
        </w:tc>
        <w:tc>
          <w:tcPr>
            <w:tcW w:w="1560" w:type="dxa"/>
            <w:shd w:val="clear" w:color="auto" w:fill="auto"/>
            <w:noWrap/>
            <w:hideMark/>
          </w:tcPr>
          <w:p w14:paraId="46A2116D" w14:textId="77777777" w:rsidR="000D42F1" w:rsidRDefault="000D42F1">
            <w:pPr>
              <w:pStyle w:val="Tables"/>
              <w:rPr>
                <w:b/>
                <w:bCs/>
                <w:color w:val="2E74B5" w:themeColor="accent1" w:themeShade="BF"/>
              </w:rPr>
            </w:pPr>
            <w:r w:rsidRPr="5D754B50">
              <w:rPr>
                <w:b/>
                <w:bCs/>
                <w:color w:val="2E74B5" w:themeColor="accent1" w:themeShade="BF"/>
              </w:rPr>
              <w:t xml:space="preserve">Female % (percentage point change since </w:t>
            </w:r>
          </w:p>
          <w:p w14:paraId="52835F22" w14:textId="77777777" w:rsidR="000D42F1" w:rsidRPr="00BD1818" w:rsidRDefault="000D42F1">
            <w:pPr>
              <w:pStyle w:val="Tables"/>
              <w:rPr>
                <w:b/>
                <w:bCs/>
                <w:color w:val="2E74B5" w:themeColor="accent1" w:themeShade="BF"/>
              </w:rPr>
            </w:pPr>
            <w:r w:rsidRPr="5D754B50">
              <w:rPr>
                <w:b/>
                <w:bCs/>
                <w:color w:val="2E74B5" w:themeColor="accent1" w:themeShade="BF"/>
              </w:rPr>
              <w:t>20</w:t>
            </w:r>
            <w:r>
              <w:rPr>
                <w:b/>
                <w:bCs/>
                <w:color w:val="2E74B5" w:themeColor="accent1" w:themeShade="BF"/>
              </w:rPr>
              <w:t>18-19</w:t>
            </w:r>
            <w:r w:rsidRPr="5D754B50">
              <w:rPr>
                <w:b/>
                <w:bCs/>
                <w:color w:val="2E74B5" w:themeColor="accent1" w:themeShade="BF"/>
              </w:rPr>
              <w:t>)</w:t>
            </w:r>
          </w:p>
        </w:tc>
      </w:tr>
      <w:tr w:rsidR="000D42F1" w:rsidRPr="005038C8" w14:paraId="23614BE7" w14:textId="77777777">
        <w:trPr>
          <w:trHeight w:val="300"/>
        </w:trPr>
        <w:tc>
          <w:tcPr>
            <w:tcW w:w="1560" w:type="dxa"/>
            <w:shd w:val="clear" w:color="auto" w:fill="auto"/>
            <w:noWrap/>
            <w:vAlign w:val="center"/>
            <w:hideMark/>
          </w:tcPr>
          <w:p w14:paraId="43ADB4E0" w14:textId="77777777" w:rsidR="000D42F1" w:rsidRPr="005038C8" w:rsidRDefault="000D42F1">
            <w:pPr>
              <w:pStyle w:val="Tables"/>
              <w:jc w:val="left"/>
            </w:pPr>
            <w:r w:rsidRPr="005038C8">
              <w:t>WA Police Force</w:t>
            </w:r>
            <w:r>
              <w:t xml:space="preserve"> </w:t>
            </w:r>
            <w:r w:rsidRPr="005038C8">
              <w:t>(sworn</w:t>
            </w:r>
            <w:r>
              <w:t xml:space="preserve"> </w:t>
            </w:r>
            <w:r w:rsidRPr="005038C8">
              <w:t>officers)</w:t>
            </w:r>
          </w:p>
        </w:tc>
        <w:tc>
          <w:tcPr>
            <w:tcW w:w="992" w:type="dxa"/>
            <w:shd w:val="clear" w:color="auto" w:fill="auto"/>
            <w:noWrap/>
            <w:vAlign w:val="center"/>
          </w:tcPr>
          <w:p w14:paraId="7A00D116" w14:textId="77777777" w:rsidR="000D42F1" w:rsidRPr="005038C8" w:rsidRDefault="000D42F1">
            <w:pPr>
              <w:pStyle w:val="Tables"/>
            </w:pPr>
            <w:r>
              <w:t>6,994</w:t>
            </w:r>
          </w:p>
        </w:tc>
        <w:tc>
          <w:tcPr>
            <w:tcW w:w="992" w:type="dxa"/>
            <w:shd w:val="clear" w:color="auto" w:fill="auto"/>
            <w:noWrap/>
            <w:vAlign w:val="center"/>
          </w:tcPr>
          <w:p w14:paraId="0C621F6C" w14:textId="77777777" w:rsidR="000D42F1" w:rsidRPr="005038C8" w:rsidRDefault="000D42F1">
            <w:pPr>
              <w:pStyle w:val="Tables"/>
            </w:pPr>
            <w:r w:rsidRPr="005038C8">
              <w:t>+</w:t>
            </w:r>
            <w:r>
              <w:t>489</w:t>
            </w:r>
            <w:r w:rsidRPr="005038C8">
              <w:t xml:space="preserve"> (+</w:t>
            </w:r>
            <w:r>
              <w:t>7.5</w:t>
            </w:r>
            <w:r w:rsidRPr="005038C8">
              <w:t>%)</w:t>
            </w:r>
          </w:p>
        </w:tc>
        <w:tc>
          <w:tcPr>
            <w:tcW w:w="992" w:type="dxa"/>
            <w:shd w:val="clear" w:color="auto" w:fill="auto"/>
            <w:noWrap/>
            <w:vAlign w:val="center"/>
          </w:tcPr>
          <w:p w14:paraId="2B5C3167" w14:textId="77777777" w:rsidR="000D42F1" w:rsidRPr="005038C8" w:rsidRDefault="000D42F1">
            <w:pPr>
              <w:pStyle w:val="Tables"/>
            </w:pPr>
            <w:r>
              <w:t>41.3</w:t>
            </w:r>
          </w:p>
        </w:tc>
        <w:tc>
          <w:tcPr>
            <w:tcW w:w="1276" w:type="dxa"/>
            <w:shd w:val="clear" w:color="auto" w:fill="auto"/>
            <w:noWrap/>
            <w:vAlign w:val="center"/>
          </w:tcPr>
          <w:p w14:paraId="0ADFF49E" w14:textId="77777777" w:rsidR="000D42F1" w:rsidRPr="005038C8" w:rsidRDefault="000D42F1">
            <w:pPr>
              <w:pStyle w:val="Tables"/>
            </w:pPr>
            <w:r w:rsidRPr="005038C8">
              <w:t>$</w:t>
            </w:r>
            <w:r>
              <w:t>100,421</w:t>
            </w:r>
          </w:p>
        </w:tc>
        <w:tc>
          <w:tcPr>
            <w:tcW w:w="992" w:type="dxa"/>
            <w:vAlign w:val="center"/>
          </w:tcPr>
          <w:p w14:paraId="4CB80DB7" w14:textId="77777777" w:rsidR="000D42F1" w:rsidRPr="005038C8" w:rsidRDefault="000D42F1">
            <w:pPr>
              <w:pStyle w:val="Tables"/>
            </w:pPr>
            <w:r w:rsidRPr="003C7BF8">
              <w:t>$</w:t>
            </w:r>
            <w:r>
              <w:t>97,447</w:t>
            </w:r>
          </w:p>
        </w:tc>
        <w:tc>
          <w:tcPr>
            <w:tcW w:w="1134" w:type="dxa"/>
            <w:vAlign w:val="center"/>
          </w:tcPr>
          <w:p w14:paraId="4BF307C9" w14:textId="77777777" w:rsidR="000D42F1" w:rsidRPr="005038C8" w:rsidRDefault="000D42F1">
            <w:pPr>
              <w:pStyle w:val="Tables"/>
            </w:pPr>
            <w:r w:rsidRPr="003C7BF8">
              <w:t>$</w:t>
            </w:r>
            <w:r>
              <w:t>102,005</w:t>
            </w:r>
          </w:p>
        </w:tc>
        <w:tc>
          <w:tcPr>
            <w:tcW w:w="1560" w:type="dxa"/>
            <w:shd w:val="clear" w:color="auto" w:fill="auto"/>
            <w:noWrap/>
            <w:vAlign w:val="center"/>
          </w:tcPr>
          <w:p w14:paraId="457E8FD9" w14:textId="269E9E2D" w:rsidR="000D42F1" w:rsidRPr="005038C8" w:rsidRDefault="000D42F1">
            <w:pPr>
              <w:pStyle w:val="Tables"/>
            </w:pPr>
            <w:r>
              <w:t>25.3</w:t>
            </w:r>
            <w:r w:rsidRPr="005038C8">
              <w:t>%</w:t>
            </w:r>
            <w:r>
              <w:t xml:space="preserve"> </w:t>
            </w:r>
            <w:r w:rsidRPr="005038C8">
              <w:t>(+</w:t>
            </w:r>
            <w:r>
              <w:t>1.2</w:t>
            </w:r>
            <w:r w:rsidR="001A1369">
              <w:t>ppt</w:t>
            </w:r>
            <w:r w:rsidRPr="005038C8">
              <w:t>)</w:t>
            </w:r>
          </w:p>
        </w:tc>
      </w:tr>
    </w:tbl>
    <w:p w14:paraId="66A9AF1D" w14:textId="77777777" w:rsidR="000D42F1" w:rsidRDefault="000D42F1" w:rsidP="00B94A95">
      <w:bookmarkStart w:id="55" w:name="_Ref84251467"/>
    </w:p>
    <w:p w14:paraId="16AFCF58" w14:textId="00B6523A" w:rsidR="000D42F1" w:rsidRPr="00C667B0" w:rsidRDefault="000D42F1" w:rsidP="000D42F1">
      <w:pPr>
        <w:pStyle w:val="Caption"/>
        <w:rPr>
          <w:b/>
          <w:bCs/>
        </w:rPr>
      </w:pPr>
      <w:bookmarkStart w:id="56" w:name="_Ref149032693"/>
      <w:r w:rsidRPr="007F2168">
        <w:rPr>
          <w:b/>
          <w:bCs/>
        </w:rPr>
        <w:t xml:space="preserve">Table </w:t>
      </w:r>
      <w:r w:rsidRPr="007F2168">
        <w:rPr>
          <w:b/>
          <w:bCs/>
        </w:rPr>
        <w:fldChar w:fldCharType="begin"/>
      </w:r>
      <w:r w:rsidRPr="007F2168">
        <w:rPr>
          <w:b/>
          <w:bCs/>
        </w:rPr>
        <w:instrText xml:space="preserve"> SEQ Table \* ARABIC </w:instrText>
      </w:r>
      <w:r w:rsidRPr="007F2168">
        <w:rPr>
          <w:b/>
          <w:bCs/>
        </w:rPr>
        <w:fldChar w:fldCharType="separate"/>
      </w:r>
      <w:r w:rsidR="0048418F">
        <w:rPr>
          <w:b/>
          <w:bCs/>
          <w:noProof/>
        </w:rPr>
        <w:t>14</w:t>
      </w:r>
      <w:r w:rsidRPr="007F2168">
        <w:rPr>
          <w:b/>
          <w:bCs/>
        </w:rPr>
        <w:fldChar w:fldCharType="end"/>
      </w:r>
      <w:bookmarkEnd w:id="55"/>
      <w:bookmarkEnd w:id="56"/>
      <w:r w:rsidRPr="00C667B0">
        <w:rPr>
          <w:b/>
          <w:bCs/>
        </w:rPr>
        <w:t>: Key statistics for WA other government entities (excluding WA Police Force) March</w:t>
      </w:r>
      <w:r>
        <w:rPr>
          <w:b/>
          <w:bCs/>
        </w:rPr>
        <w:t> </w:t>
      </w:r>
      <w:r w:rsidRPr="00C667B0">
        <w:rPr>
          <w:b/>
          <w:bCs/>
        </w:rPr>
        <w:t>202</w:t>
      </w:r>
      <w:r>
        <w:rPr>
          <w:b/>
          <w:bCs/>
        </w:rPr>
        <w:t>3</w:t>
      </w:r>
    </w:p>
    <w:tbl>
      <w:tblPr>
        <w:tblW w:w="9498"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14: Key statistics for WA other government entities (excluding WA Police Force) March 2023"/>
      </w:tblPr>
      <w:tblGrid>
        <w:gridCol w:w="3251"/>
        <w:gridCol w:w="1417"/>
        <w:gridCol w:w="1853"/>
        <w:gridCol w:w="1276"/>
        <w:gridCol w:w="1701"/>
      </w:tblGrid>
      <w:tr w:rsidR="000D42F1" w:rsidRPr="005038C8" w14:paraId="36A18350" w14:textId="77777777">
        <w:trPr>
          <w:trHeight w:val="900"/>
        </w:trPr>
        <w:tc>
          <w:tcPr>
            <w:tcW w:w="3251" w:type="dxa"/>
            <w:tcBorders>
              <w:top w:val="nil"/>
              <w:left w:val="nil"/>
            </w:tcBorders>
            <w:shd w:val="clear" w:color="auto" w:fill="auto"/>
            <w:noWrap/>
            <w:hideMark/>
          </w:tcPr>
          <w:p w14:paraId="71B21458" w14:textId="77777777" w:rsidR="000D42F1" w:rsidRPr="005038C8" w:rsidRDefault="000D42F1">
            <w:pPr>
              <w:pStyle w:val="Tables"/>
              <w:rPr>
                <w:b/>
                <w:color w:val="2E74B5" w:themeColor="accent1" w:themeShade="BF"/>
              </w:rPr>
            </w:pPr>
          </w:p>
        </w:tc>
        <w:tc>
          <w:tcPr>
            <w:tcW w:w="1417" w:type="dxa"/>
          </w:tcPr>
          <w:p w14:paraId="57C368B5" w14:textId="77777777" w:rsidR="000D42F1" w:rsidRPr="005038C8" w:rsidRDefault="000D42F1">
            <w:pPr>
              <w:pStyle w:val="Tables"/>
              <w:rPr>
                <w:b/>
                <w:bCs/>
                <w:color w:val="2E74B5" w:themeColor="accent1" w:themeShade="BF"/>
              </w:rPr>
            </w:pPr>
            <w:r w:rsidRPr="005038C8">
              <w:rPr>
                <w:b/>
                <w:bCs/>
                <w:color w:val="2E74B5" w:themeColor="accent1" w:themeShade="BF"/>
              </w:rPr>
              <w:t xml:space="preserve">FTE </w:t>
            </w:r>
            <w:r w:rsidRPr="005038C8">
              <w:br/>
            </w:r>
            <w:r w:rsidRPr="005038C8">
              <w:rPr>
                <w:b/>
                <w:bCs/>
                <w:color w:val="2E74B5" w:themeColor="accent1" w:themeShade="BF"/>
              </w:rPr>
              <w:t>March 20</w:t>
            </w:r>
            <w:r>
              <w:rPr>
                <w:b/>
                <w:bCs/>
                <w:color w:val="2E74B5" w:themeColor="accent1" w:themeShade="BF"/>
              </w:rPr>
              <w:t>23</w:t>
            </w:r>
          </w:p>
        </w:tc>
        <w:tc>
          <w:tcPr>
            <w:tcW w:w="1853" w:type="dxa"/>
          </w:tcPr>
          <w:p w14:paraId="7E94C197" w14:textId="77777777" w:rsidR="000D42F1" w:rsidRPr="005038C8" w:rsidRDefault="000D42F1">
            <w:pPr>
              <w:pStyle w:val="Tables"/>
              <w:rPr>
                <w:b/>
                <w:bCs/>
                <w:color w:val="2E74B5" w:themeColor="accent1" w:themeShade="BF"/>
              </w:rPr>
            </w:pPr>
            <w:r w:rsidRPr="005038C8">
              <w:rPr>
                <w:b/>
                <w:bCs/>
                <w:color w:val="2E74B5" w:themeColor="accent1" w:themeShade="BF"/>
              </w:rPr>
              <w:t xml:space="preserve">FTE change since </w:t>
            </w:r>
            <w:r w:rsidRPr="005038C8">
              <w:br/>
            </w:r>
            <w:r w:rsidRPr="005038C8">
              <w:rPr>
                <w:b/>
                <w:bCs/>
                <w:color w:val="2E74B5" w:themeColor="accent1" w:themeShade="BF"/>
              </w:rPr>
              <w:t>March 20</w:t>
            </w:r>
            <w:r>
              <w:rPr>
                <w:b/>
                <w:bCs/>
                <w:color w:val="2E74B5" w:themeColor="accent1" w:themeShade="BF"/>
              </w:rPr>
              <w:t>19</w:t>
            </w:r>
          </w:p>
        </w:tc>
        <w:tc>
          <w:tcPr>
            <w:tcW w:w="1276" w:type="dxa"/>
          </w:tcPr>
          <w:p w14:paraId="2BD3B5E4" w14:textId="77777777" w:rsidR="000D42F1" w:rsidRPr="005038C8" w:rsidRDefault="000D42F1">
            <w:pPr>
              <w:pStyle w:val="Tables"/>
              <w:rPr>
                <w:b/>
                <w:bCs/>
                <w:color w:val="2E74B5" w:themeColor="accent1" w:themeShade="BF"/>
              </w:rPr>
            </w:pPr>
            <w:r w:rsidRPr="005038C8">
              <w:rPr>
                <w:b/>
                <w:bCs/>
                <w:color w:val="2E74B5" w:themeColor="accent1" w:themeShade="BF"/>
              </w:rPr>
              <w:t>Median age March 20</w:t>
            </w:r>
            <w:r>
              <w:rPr>
                <w:b/>
                <w:bCs/>
                <w:color w:val="2E74B5" w:themeColor="accent1" w:themeShade="BF"/>
              </w:rPr>
              <w:t>23</w:t>
            </w:r>
          </w:p>
        </w:tc>
        <w:tc>
          <w:tcPr>
            <w:tcW w:w="1701" w:type="dxa"/>
            <w:shd w:val="clear" w:color="auto" w:fill="auto"/>
            <w:noWrap/>
            <w:hideMark/>
          </w:tcPr>
          <w:p w14:paraId="73F5C55D" w14:textId="77777777" w:rsidR="000D42F1" w:rsidRPr="005038C8" w:rsidRDefault="000D42F1">
            <w:pPr>
              <w:pStyle w:val="Tables"/>
              <w:rPr>
                <w:b/>
                <w:bCs/>
                <w:color w:val="2E74B5" w:themeColor="accent1" w:themeShade="BF"/>
              </w:rPr>
            </w:pPr>
            <w:r w:rsidRPr="005038C8">
              <w:rPr>
                <w:b/>
                <w:bCs/>
                <w:color w:val="2E74B5" w:themeColor="accent1" w:themeShade="BF"/>
              </w:rPr>
              <w:t>Female %</w:t>
            </w:r>
            <w:r w:rsidRPr="005038C8">
              <w:br/>
            </w:r>
            <w:r w:rsidRPr="005038C8">
              <w:rPr>
                <w:b/>
                <w:bCs/>
                <w:color w:val="2E74B5" w:themeColor="accent1" w:themeShade="BF"/>
              </w:rPr>
              <w:t>(percentage point change since March 20</w:t>
            </w:r>
            <w:r>
              <w:rPr>
                <w:b/>
                <w:bCs/>
                <w:color w:val="2E74B5" w:themeColor="accent1" w:themeShade="BF"/>
              </w:rPr>
              <w:t>19</w:t>
            </w:r>
            <w:r w:rsidRPr="005038C8">
              <w:rPr>
                <w:b/>
                <w:bCs/>
                <w:color w:val="2E74B5" w:themeColor="accent1" w:themeShade="BF"/>
              </w:rPr>
              <w:t>)</w:t>
            </w:r>
            <w:r w:rsidRPr="005038C8">
              <w:rPr>
                <w:sz w:val="16"/>
                <w:szCs w:val="16"/>
              </w:rPr>
              <w:t> </w:t>
            </w:r>
          </w:p>
        </w:tc>
      </w:tr>
      <w:tr w:rsidR="000D42F1" w:rsidRPr="005038C8" w14:paraId="470605DA" w14:textId="77777777">
        <w:trPr>
          <w:trHeight w:val="300"/>
        </w:trPr>
        <w:tc>
          <w:tcPr>
            <w:tcW w:w="3251" w:type="dxa"/>
            <w:shd w:val="clear" w:color="auto" w:fill="auto"/>
            <w:noWrap/>
            <w:vAlign w:val="center"/>
            <w:hideMark/>
          </w:tcPr>
          <w:p w14:paraId="6D3757B8" w14:textId="77777777" w:rsidR="000D42F1" w:rsidRPr="005038C8" w:rsidRDefault="000D42F1">
            <w:pPr>
              <w:pStyle w:val="Tables"/>
              <w:jc w:val="left"/>
            </w:pPr>
            <w:r w:rsidRPr="005038C8">
              <w:t>Local governments</w:t>
            </w:r>
          </w:p>
        </w:tc>
        <w:tc>
          <w:tcPr>
            <w:tcW w:w="1417" w:type="dxa"/>
            <w:vAlign w:val="center"/>
          </w:tcPr>
          <w:p w14:paraId="7F2D2EDE" w14:textId="77777777" w:rsidR="000D42F1" w:rsidRPr="005038C8" w:rsidRDefault="000D42F1">
            <w:pPr>
              <w:pStyle w:val="Tables"/>
            </w:pPr>
            <w:r>
              <w:t>18,783</w:t>
            </w:r>
          </w:p>
        </w:tc>
        <w:tc>
          <w:tcPr>
            <w:tcW w:w="1853" w:type="dxa"/>
            <w:vAlign w:val="center"/>
          </w:tcPr>
          <w:p w14:paraId="036BF2C3" w14:textId="77777777" w:rsidR="000D42F1" w:rsidRPr="005038C8" w:rsidRDefault="000D42F1">
            <w:pPr>
              <w:pStyle w:val="Tables"/>
            </w:pPr>
            <w:r w:rsidRPr="005038C8">
              <w:t>+</w:t>
            </w:r>
            <w:r>
              <w:t>1,672</w:t>
            </w:r>
            <w:r w:rsidRPr="005038C8">
              <w:t xml:space="preserve"> (+</w:t>
            </w:r>
            <w:r>
              <w:t>9.8</w:t>
            </w:r>
            <w:r w:rsidRPr="005038C8">
              <w:t>%)</w:t>
            </w:r>
          </w:p>
        </w:tc>
        <w:tc>
          <w:tcPr>
            <w:tcW w:w="1276" w:type="dxa"/>
            <w:vAlign w:val="center"/>
          </w:tcPr>
          <w:p w14:paraId="5F4CDCE8" w14:textId="77777777" w:rsidR="000D42F1" w:rsidRPr="005038C8" w:rsidRDefault="000D42F1">
            <w:pPr>
              <w:pStyle w:val="Tables"/>
            </w:pPr>
            <w:r>
              <w:t>43</w:t>
            </w:r>
          </w:p>
        </w:tc>
        <w:tc>
          <w:tcPr>
            <w:tcW w:w="1701" w:type="dxa"/>
            <w:shd w:val="clear" w:color="auto" w:fill="auto"/>
            <w:noWrap/>
            <w:vAlign w:val="center"/>
            <w:hideMark/>
          </w:tcPr>
          <w:p w14:paraId="22C3A7B8" w14:textId="12094B1B" w:rsidR="000D42F1" w:rsidRPr="005038C8" w:rsidRDefault="000D42F1">
            <w:pPr>
              <w:pStyle w:val="Tables"/>
            </w:pPr>
            <w:r>
              <w:t>56.1</w:t>
            </w:r>
            <w:r w:rsidRPr="005038C8">
              <w:t>% (+</w:t>
            </w:r>
            <w:r>
              <w:t>1.6</w:t>
            </w:r>
            <w:r w:rsidR="001A1369">
              <w:t>ppt</w:t>
            </w:r>
            <w:r w:rsidRPr="005038C8">
              <w:t>)</w:t>
            </w:r>
          </w:p>
        </w:tc>
      </w:tr>
      <w:tr w:rsidR="000D42F1" w:rsidRPr="005038C8" w14:paraId="6349E393" w14:textId="77777777">
        <w:trPr>
          <w:trHeight w:val="300"/>
        </w:trPr>
        <w:tc>
          <w:tcPr>
            <w:tcW w:w="3251" w:type="dxa"/>
            <w:shd w:val="clear" w:color="auto" w:fill="auto"/>
            <w:noWrap/>
            <w:vAlign w:val="center"/>
            <w:hideMark/>
          </w:tcPr>
          <w:p w14:paraId="4D1B4506" w14:textId="77777777" w:rsidR="000D42F1" w:rsidRPr="005038C8" w:rsidRDefault="000D42F1">
            <w:pPr>
              <w:pStyle w:val="Tables"/>
              <w:jc w:val="left"/>
            </w:pPr>
            <w:r w:rsidRPr="005038C8">
              <w:t xml:space="preserve">Public universities </w:t>
            </w:r>
          </w:p>
        </w:tc>
        <w:tc>
          <w:tcPr>
            <w:tcW w:w="1417" w:type="dxa"/>
            <w:vAlign w:val="center"/>
          </w:tcPr>
          <w:p w14:paraId="2A33E64D" w14:textId="77777777" w:rsidR="000D42F1" w:rsidRPr="005038C8" w:rsidRDefault="000D42F1">
            <w:pPr>
              <w:pStyle w:val="Tables"/>
            </w:pPr>
            <w:r>
              <w:t>10,728</w:t>
            </w:r>
          </w:p>
        </w:tc>
        <w:tc>
          <w:tcPr>
            <w:tcW w:w="1853" w:type="dxa"/>
            <w:vAlign w:val="center"/>
          </w:tcPr>
          <w:p w14:paraId="2416D9C3" w14:textId="645F167C" w:rsidR="000D42F1" w:rsidRPr="005038C8" w:rsidRDefault="000D42F1">
            <w:pPr>
              <w:pStyle w:val="Tables"/>
            </w:pPr>
            <w:r w:rsidRPr="005038C8">
              <w:t>-</w:t>
            </w:r>
            <w:r>
              <w:t>2</w:t>
            </w:r>
            <w:r w:rsidRPr="005038C8">
              <w:t xml:space="preserve"> (</w:t>
            </w:r>
            <w:r>
              <w:t>0.0</w:t>
            </w:r>
            <w:r w:rsidRPr="005038C8">
              <w:t>%)</w:t>
            </w:r>
          </w:p>
        </w:tc>
        <w:tc>
          <w:tcPr>
            <w:tcW w:w="1276" w:type="dxa"/>
            <w:vAlign w:val="center"/>
          </w:tcPr>
          <w:p w14:paraId="1BACD3C0" w14:textId="77777777" w:rsidR="000D42F1" w:rsidRPr="005038C8" w:rsidRDefault="000D42F1">
            <w:pPr>
              <w:pStyle w:val="Tables"/>
            </w:pPr>
            <w:r>
              <w:t>41</w:t>
            </w:r>
          </w:p>
        </w:tc>
        <w:tc>
          <w:tcPr>
            <w:tcW w:w="1701" w:type="dxa"/>
            <w:shd w:val="clear" w:color="auto" w:fill="auto"/>
            <w:noWrap/>
            <w:vAlign w:val="center"/>
            <w:hideMark/>
          </w:tcPr>
          <w:p w14:paraId="50443248" w14:textId="3AC72A18" w:rsidR="000D42F1" w:rsidRPr="005038C8" w:rsidRDefault="000D42F1">
            <w:pPr>
              <w:pStyle w:val="Tables"/>
            </w:pPr>
            <w:r>
              <w:t>60.8</w:t>
            </w:r>
            <w:r w:rsidRPr="005038C8">
              <w:t>% (</w:t>
            </w:r>
            <w:r>
              <w:t>+3.7</w:t>
            </w:r>
            <w:r w:rsidR="001A1369">
              <w:t>ppt</w:t>
            </w:r>
            <w:r w:rsidRPr="005038C8">
              <w:t>)</w:t>
            </w:r>
          </w:p>
        </w:tc>
      </w:tr>
      <w:tr w:rsidR="000D42F1" w:rsidRPr="00637424" w14:paraId="09ACFB02" w14:textId="77777777">
        <w:trPr>
          <w:trHeight w:val="300"/>
        </w:trPr>
        <w:tc>
          <w:tcPr>
            <w:tcW w:w="3251" w:type="dxa"/>
            <w:shd w:val="clear" w:color="auto" w:fill="auto"/>
            <w:noWrap/>
            <w:vAlign w:val="center"/>
            <w:hideMark/>
          </w:tcPr>
          <w:p w14:paraId="24AC5C11" w14:textId="2BF814E9" w:rsidR="000D42F1" w:rsidRPr="005038C8" w:rsidRDefault="000D42F1">
            <w:pPr>
              <w:pStyle w:val="Tables"/>
              <w:jc w:val="left"/>
            </w:pPr>
            <w:r w:rsidRPr="005038C8">
              <w:t xml:space="preserve">Government trading enterprises and other </w:t>
            </w:r>
            <w:r w:rsidR="005A2FDC">
              <w:t>authorities</w:t>
            </w:r>
          </w:p>
        </w:tc>
        <w:tc>
          <w:tcPr>
            <w:tcW w:w="1417" w:type="dxa"/>
            <w:vAlign w:val="center"/>
          </w:tcPr>
          <w:p w14:paraId="0354AD9B" w14:textId="77777777" w:rsidR="000D42F1" w:rsidRPr="005038C8" w:rsidRDefault="000D42F1">
            <w:pPr>
              <w:pStyle w:val="Tables"/>
            </w:pPr>
            <w:r>
              <w:t>11,472</w:t>
            </w:r>
          </w:p>
        </w:tc>
        <w:tc>
          <w:tcPr>
            <w:tcW w:w="1853" w:type="dxa"/>
            <w:vAlign w:val="center"/>
          </w:tcPr>
          <w:p w14:paraId="6294B3FA" w14:textId="77777777" w:rsidR="000D42F1" w:rsidRPr="005038C8" w:rsidRDefault="000D42F1">
            <w:pPr>
              <w:pStyle w:val="Tables"/>
            </w:pPr>
            <w:r w:rsidRPr="005038C8">
              <w:t>+</w:t>
            </w:r>
            <w:r>
              <w:t>2,796</w:t>
            </w:r>
            <w:r w:rsidRPr="005038C8">
              <w:t xml:space="preserve"> (+</w:t>
            </w:r>
            <w:r>
              <w:t>32.2</w:t>
            </w:r>
            <w:r w:rsidRPr="005038C8">
              <w:t>%)</w:t>
            </w:r>
          </w:p>
        </w:tc>
        <w:tc>
          <w:tcPr>
            <w:tcW w:w="1276" w:type="dxa"/>
            <w:vAlign w:val="center"/>
          </w:tcPr>
          <w:p w14:paraId="7DC95F27" w14:textId="77777777" w:rsidR="000D42F1" w:rsidRPr="005038C8" w:rsidRDefault="000D42F1">
            <w:pPr>
              <w:pStyle w:val="Tables"/>
            </w:pPr>
            <w:r>
              <w:t>43</w:t>
            </w:r>
          </w:p>
        </w:tc>
        <w:tc>
          <w:tcPr>
            <w:tcW w:w="1701" w:type="dxa"/>
            <w:shd w:val="clear" w:color="auto" w:fill="auto"/>
            <w:noWrap/>
            <w:vAlign w:val="center"/>
            <w:hideMark/>
          </w:tcPr>
          <w:p w14:paraId="31544A23" w14:textId="43217773" w:rsidR="000D42F1" w:rsidRPr="005038C8" w:rsidRDefault="000D42F1">
            <w:pPr>
              <w:pStyle w:val="Tables"/>
            </w:pPr>
            <w:r>
              <w:t>35.5</w:t>
            </w:r>
            <w:r w:rsidRPr="005038C8">
              <w:t>% (+</w:t>
            </w:r>
            <w:r>
              <w:t>1.2</w:t>
            </w:r>
            <w:r w:rsidR="001A1369">
              <w:t>ppt</w:t>
            </w:r>
            <w:r w:rsidRPr="005038C8">
              <w:t>)</w:t>
            </w:r>
          </w:p>
        </w:tc>
      </w:tr>
    </w:tbl>
    <w:p w14:paraId="4C262A7B" w14:textId="77777777" w:rsidR="000D42F1" w:rsidRPr="004B6524" w:rsidRDefault="000D42F1" w:rsidP="000D42F1">
      <w:pPr>
        <w:pStyle w:val="Heading3"/>
        <w:spacing w:line="240" w:lineRule="auto"/>
      </w:pPr>
      <w:bookmarkStart w:id="57" w:name="_Toc151900170"/>
      <w:r w:rsidRPr="004B6524">
        <w:t>Locations</w:t>
      </w:r>
      <w:bookmarkEnd w:id="57"/>
    </w:p>
    <w:p w14:paraId="6F3897B5" w14:textId="60548966" w:rsidR="000D42F1" w:rsidRPr="005038C8" w:rsidRDefault="000D42F1" w:rsidP="000D42F1">
      <w:pPr>
        <w:spacing w:line="240" w:lineRule="auto"/>
      </w:pPr>
      <w:r w:rsidRPr="005038C8">
        <w:t xml:space="preserve">Consistent with previous years, </w:t>
      </w:r>
      <w:proofErr w:type="gramStart"/>
      <w:r w:rsidRPr="005038C8">
        <w:t>the majority of</w:t>
      </w:r>
      <w:proofErr w:type="gramEnd"/>
      <w:r w:rsidRPr="005038C8">
        <w:t xml:space="preserve"> public sector </w:t>
      </w:r>
      <w:r>
        <w:t>employees</w:t>
      </w:r>
      <w:r w:rsidRPr="005038C8">
        <w:t xml:space="preserve"> (annual average </w:t>
      </w:r>
      <w:r>
        <w:t>125,675</w:t>
      </w:r>
      <w:r w:rsidRPr="005038C8">
        <w:t xml:space="preserve"> headcount</w:t>
      </w:r>
      <w:r>
        <w:t xml:space="preserve"> or</w:t>
      </w:r>
      <w:r w:rsidRPr="005038C8">
        <w:t xml:space="preserve"> </w:t>
      </w:r>
      <w:r>
        <w:t>77.2</w:t>
      </w:r>
      <w:r w:rsidRPr="005038C8">
        <w:t>% of the public sector) worked in the metropolitan region during 20</w:t>
      </w:r>
      <w:r>
        <w:t>22-23 (</w:t>
      </w:r>
      <w:r w:rsidR="00BE1206">
        <w:fldChar w:fldCharType="begin"/>
      </w:r>
      <w:r w:rsidR="00BE1206">
        <w:instrText xml:space="preserve"> REF _Ref148970344 \h </w:instrText>
      </w:r>
      <w:r w:rsidR="007F2168">
        <w:instrText xml:space="preserve"> \* MERGEFORMAT </w:instrText>
      </w:r>
      <w:r w:rsidR="00BE1206">
        <w:fldChar w:fldCharType="separate"/>
      </w:r>
      <w:r w:rsidR="0048418F" w:rsidRPr="0048418F">
        <w:t>Table 15</w:t>
      </w:r>
      <w:r w:rsidR="00BE1206">
        <w:fldChar w:fldCharType="end"/>
      </w:r>
      <w:r>
        <w:t>)</w:t>
      </w:r>
      <w:r w:rsidRPr="005038C8">
        <w:t>. The</w:t>
      </w:r>
      <w:r>
        <w:t>re were</w:t>
      </w:r>
      <w:r w:rsidRPr="005038C8">
        <w:t xml:space="preserve"> </w:t>
      </w:r>
      <w:r>
        <w:t>37,057</w:t>
      </w:r>
      <w:r w:rsidRPr="005038C8">
        <w:t xml:space="preserve"> public sector </w:t>
      </w:r>
      <w:r>
        <w:t>employees located</w:t>
      </w:r>
      <w:r w:rsidRPr="005038C8">
        <w:t xml:space="preserve"> in regional WA (</w:t>
      </w:r>
      <w:r>
        <w:t>22.8</w:t>
      </w:r>
      <w:r w:rsidRPr="005038C8">
        <w:t xml:space="preserve">% of the public sector) </w:t>
      </w:r>
      <w:r w:rsidR="001A1369">
        <w:t xml:space="preserve">up from </w:t>
      </w:r>
      <w:r w:rsidR="005B08A9">
        <w:t>34,307 in 2018-19,</w:t>
      </w:r>
      <w:r w:rsidRPr="005038C8">
        <w:t xml:space="preserve"> and </w:t>
      </w:r>
      <w:r>
        <w:t>80</w:t>
      </w:r>
      <w:r w:rsidRPr="005038C8">
        <w:t xml:space="preserve"> outside WA (</w:t>
      </w:r>
      <w:r w:rsidRPr="005038C8" w:rsidDel="000E181F">
        <w:t xml:space="preserve">less than </w:t>
      </w:r>
      <w:r w:rsidRPr="005038C8" w:rsidDel="00BD54D0">
        <w:t>0.1</w:t>
      </w:r>
      <w:r w:rsidRPr="005038C8">
        <w:t>% of the public sector).</w:t>
      </w:r>
      <w:r>
        <w:t xml:space="preserve"> </w:t>
      </w:r>
    </w:p>
    <w:p w14:paraId="6920F197" w14:textId="66377B8A" w:rsidR="000D42F1" w:rsidRDefault="000D42F1" w:rsidP="000D42F1">
      <w:pPr>
        <w:spacing w:after="240" w:line="240" w:lineRule="auto"/>
        <w:sectPr w:rsidR="000D42F1" w:rsidSect="00750F4B">
          <w:headerReference w:type="even" r:id="rId53"/>
          <w:headerReference w:type="default" r:id="rId54"/>
          <w:footerReference w:type="default" r:id="rId55"/>
          <w:headerReference w:type="first" r:id="rId56"/>
          <w:pgSz w:w="11906" w:h="16838"/>
          <w:pgMar w:top="1440" w:right="1274" w:bottom="1440" w:left="1440" w:header="720" w:footer="349" w:gutter="0"/>
          <w:cols w:space="708"/>
        </w:sectPr>
      </w:pPr>
      <w:r w:rsidRPr="005038C8">
        <w:t>In regional WA the highest rates of growth since 20</w:t>
      </w:r>
      <w:r>
        <w:t xml:space="preserve">18-19 </w:t>
      </w:r>
      <w:r w:rsidRPr="005038C8">
        <w:t xml:space="preserve">have been in the </w:t>
      </w:r>
      <w:proofErr w:type="gramStart"/>
      <w:r>
        <w:t>South West</w:t>
      </w:r>
      <w:proofErr w:type="gramEnd"/>
      <w:r w:rsidRPr="005038C8">
        <w:t xml:space="preserve"> (</w:t>
      </w:r>
      <w:r>
        <w:t>12.5</w:t>
      </w:r>
      <w:r w:rsidRPr="005038C8">
        <w:t xml:space="preserve">% increase to </w:t>
      </w:r>
      <w:r>
        <w:t>10,407</w:t>
      </w:r>
      <w:r w:rsidRPr="005038C8">
        <w:t xml:space="preserve"> </w:t>
      </w:r>
      <w:r>
        <w:t>employees</w:t>
      </w:r>
      <w:r w:rsidRPr="005038C8">
        <w:t xml:space="preserve">) and </w:t>
      </w:r>
      <w:r>
        <w:t>Mid West</w:t>
      </w:r>
      <w:r w:rsidRPr="005038C8">
        <w:t xml:space="preserve"> (</w:t>
      </w:r>
      <w:r>
        <w:t>12.3</w:t>
      </w:r>
      <w:r w:rsidRPr="005038C8">
        <w:t xml:space="preserve">% increase to </w:t>
      </w:r>
      <w:r>
        <w:t>3,915</w:t>
      </w:r>
      <w:r w:rsidRPr="005038C8">
        <w:t xml:space="preserve"> </w:t>
      </w:r>
      <w:r>
        <w:t>employees) (</w:t>
      </w:r>
      <w:r w:rsidRPr="005038C8">
        <w:t>see</w:t>
      </w:r>
      <w:r w:rsidR="00BE1206">
        <w:t xml:space="preserve"> </w:t>
      </w:r>
      <w:r w:rsidR="00BE1206">
        <w:fldChar w:fldCharType="begin"/>
      </w:r>
      <w:r w:rsidR="00BE1206">
        <w:instrText xml:space="preserve"> REF _Ref148970344 \h </w:instrText>
      </w:r>
      <w:r w:rsidR="007F2168">
        <w:instrText xml:space="preserve"> \* MERGEFORMAT </w:instrText>
      </w:r>
      <w:r w:rsidR="00BE1206">
        <w:fldChar w:fldCharType="separate"/>
      </w:r>
      <w:r w:rsidR="0048418F" w:rsidRPr="0048418F">
        <w:t>Table 15</w:t>
      </w:r>
      <w:r w:rsidR="00BE1206">
        <w:fldChar w:fldCharType="end"/>
      </w:r>
      <w:r>
        <w:t>)</w:t>
      </w:r>
      <w:r w:rsidRPr="005038C8">
        <w:t>. No regions ha</w:t>
      </w:r>
      <w:r>
        <w:t>d</w:t>
      </w:r>
      <w:r w:rsidRPr="005038C8">
        <w:t xml:space="preserve"> a lower headcount than in 20</w:t>
      </w:r>
      <w:r>
        <w:t>18-19</w:t>
      </w:r>
      <w:r w:rsidRPr="005038C8">
        <w:t xml:space="preserve">. </w:t>
      </w:r>
      <w:r>
        <w:t>S</w:t>
      </w:r>
      <w:r w:rsidRPr="005038C8">
        <w:t>ince 20</w:t>
      </w:r>
      <w:r>
        <w:t>18-19, m</w:t>
      </w:r>
      <w:r w:rsidRPr="005038C8">
        <w:t>edian salaries increased in all regions except the Gascoyne.</w:t>
      </w:r>
      <w:bookmarkStart w:id="58" w:name="_Ref84251967"/>
    </w:p>
    <w:p w14:paraId="2FE10AFE" w14:textId="23960A93" w:rsidR="000D42F1" w:rsidRPr="00C667B0" w:rsidRDefault="000D42F1" w:rsidP="000D42F1">
      <w:pPr>
        <w:pStyle w:val="Caption"/>
        <w:rPr>
          <w:b/>
          <w:bCs/>
        </w:rPr>
      </w:pPr>
      <w:bookmarkStart w:id="59" w:name="_Ref148970344"/>
      <w:r w:rsidRPr="00BE1206">
        <w:rPr>
          <w:b/>
          <w:bCs/>
        </w:rPr>
        <w:lastRenderedPageBreak/>
        <w:t xml:space="preserve">Table </w:t>
      </w:r>
      <w:r w:rsidRPr="00BE1206">
        <w:rPr>
          <w:b/>
          <w:bCs/>
        </w:rPr>
        <w:fldChar w:fldCharType="begin"/>
      </w:r>
      <w:r w:rsidRPr="00BE1206">
        <w:rPr>
          <w:b/>
          <w:bCs/>
        </w:rPr>
        <w:instrText xml:space="preserve"> SEQ Table \* ARABIC </w:instrText>
      </w:r>
      <w:r w:rsidRPr="00BE1206">
        <w:rPr>
          <w:b/>
          <w:bCs/>
        </w:rPr>
        <w:fldChar w:fldCharType="separate"/>
      </w:r>
      <w:r w:rsidR="0048418F">
        <w:rPr>
          <w:b/>
          <w:bCs/>
          <w:noProof/>
        </w:rPr>
        <w:t>15</w:t>
      </w:r>
      <w:r w:rsidRPr="00BE1206">
        <w:rPr>
          <w:b/>
          <w:bCs/>
        </w:rPr>
        <w:fldChar w:fldCharType="end"/>
      </w:r>
      <w:bookmarkEnd w:id="58"/>
      <w:bookmarkEnd w:id="59"/>
      <w:r w:rsidRPr="00C667B0">
        <w:rPr>
          <w:b/>
          <w:bCs/>
        </w:rPr>
        <w:t>: Key statistics for WA public sector workforce by location, annual average 20</w:t>
      </w:r>
      <w:r>
        <w:rPr>
          <w:b/>
          <w:bCs/>
        </w:rPr>
        <w:t>22-23</w:t>
      </w:r>
    </w:p>
    <w:tbl>
      <w:tblPr>
        <w:tblW w:w="14742" w:type="dxa"/>
        <w:tblInd w:w="-567"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Caption w:val="Table 15: Key statistics for WA public sector workforce by location, annual average 2022-23"/>
      </w:tblPr>
      <w:tblGrid>
        <w:gridCol w:w="1843"/>
        <w:gridCol w:w="1549"/>
        <w:gridCol w:w="1317"/>
        <w:gridCol w:w="1433"/>
        <w:gridCol w:w="1433"/>
        <w:gridCol w:w="1434"/>
        <w:gridCol w:w="1433"/>
        <w:gridCol w:w="1433"/>
        <w:gridCol w:w="1433"/>
        <w:gridCol w:w="1434"/>
      </w:tblGrid>
      <w:tr w:rsidR="000D42F1" w:rsidRPr="005E0AE5" w14:paraId="40E795E5" w14:textId="77777777">
        <w:trPr>
          <w:trHeight w:val="300"/>
        </w:trPr>
        <w:tc>
          <w:tcPr>
            <w:tcW w:w="1843" w:type="dxa"/>
            <w:shd w:val="clear" w:color="auto" w:fill="auto"/>
            <w:noWrap/>
            <w:hideMark/>
          </w:tcPr>
          <w:p w14:paraId="676F83A5" w14:textId="77777777" w:rsidR="000D42F1" w:rsidRPr="004836DA" w:rsidRDefault="000D42F1">
            <w:pPr>
              <w:pStyle w:val="Tables"/>
              <w:jc w:val="left"/>
              <w:rPr>
                <w:b/>
                <w:color w:val="2E74B5" w:themeColor="accent1" w:themeShade="BF"/>
              </w:rPr>
            </w:pPr>
            <w:r w:rsidRPr="004836DA">
              <w:rPr>
                <w:b/>
                <w:color w:val="2E74B5" w:themeColor="accent1" w:themeShade="BF"/>
              </w:rPr>
              <w:t>Region</w:t>
            </w:r>
          </w:p>
        </w:tc>
        <w:tc>
          <w:tcPr>
            <w:tcW w:w="1549" w:type="dxa"/>
            <w:shd w:val="clear" w:color="auto" w:fill="auto"/>
            <w:noWrap/>
            <w:hideMark/>
          </w:tcPr>
          <w:p w14:paraId="3C1A34D2" w14:textId="77777777" w:rsidR="000D42F1" w:rsidRPr="004836DA" w:rsidRDefault="000D42F1">
            <w:pPr>
              <w:pStyle w:val="Tables"/>
              <w:rPr>
                <w:b/>
                <w:bCs/>
                <w:color w:val="2E74B5" w:themeColor="accent1" w:themeShade="BF"/>
              </w:rPr>
            </w:pPr>
            <w:r w:rsidRPr="004836DA">
              <w:rPr>
                <w:b/>
                <w:bCs/>
                <w:color w:val="2E74B5" w:themeColor="accent1" w:themeShade="BF"/>
              </w:rPr>
              <w:t>Headcount 2022-23</w:t>
            </w:r>
            <w:r w:rsidRPr="004836DA">
              <w:br/>
            </w:r>
            <w:r w:rsidRPr="004836DA">
              <w:rPr>
                <w:b/>
                <w:bCs/>
                <w:color w:val="2E74B5" w:themeColor="accent1" w:themeShade="BF"/>
              </w:rPr>
              <w:t>(percent of total)</w:t>
            </w:r>
          </w:p>
        </w:tc>
        <w:tc>
          <w:tcPr>
            <w:tcW w:w="1317" w:type="dxa"/>
            <w:shd w:val="clear" w:color="auto" w:fill="auto"/>
            <w:noWrap/>
            <w:hideMark/>
          </w:tcPr>
          <w:p w14:paraId="54693AFF" w14:textId="77777777" w:rsidR="000D42F1" w:rsidRPr="004836DA" w:rsidRDefault="000D42F1">
            <w:pPr>
              <w:pStyle w:val="Tables"/>
              <w:rPr>
                <w:b/>
                <w:bCs/>
                <w:color w:val="2E74B5" w:themeColor="accent1" w:themeShade="BF"/>
              </w:rPr>
            </w:pPr>
            <w:r w:rsidRPr="004836DA">
              <w:rPr>
                <w:b/>
                <w:bCs/>
                <w:color w:val="2E74B5" w:themeColor="accent1" w:themeShade="BF"/>
              </w:rPr>
              <w:t xml:space="preserve">Headcount percent change from </w:t>
            </w:r>
            <w:r w:rsidRPr="004836DA">
              <w:br/>
            </w:r>
            <w:r w:rsidRPr="004836DA">
              <w:rPr>
                <w:b/>
                <w:bCs/>
                <w:color w:val="2E74B5" w:themeColor="accent1" w:themeShade="BF"/>
              </w:rPr>
              <w:t>2018-19</w:t>
            </w:r>
          </w:p>
        </w:tc>
        <w:tc>
          <w:tcPr>
            <w:tcW w:w="1433" w:type="dxa"/>
            <w:shd w:val="clear" w:color="auto" w:fill="auto"/>
            <w:noWrap/>
            <w:hideMark/>
          </w:tcPr>
          <w:p w14:paraId="64093941" w14:textId="77777777" w:rsidR="000D42F1" w:rsidRPr="004836DA" w:rsidRDefault="000D42F1">
            <w:pPr>
              <w:pStyle w:val="Tables"/>
              <w:rPr>
                <w:b/>
                <w:bCs/>
                <w:color w:val="2E74B5" w:themeColor="accent1" w:themeShade="BF"/>
              </w:rPr>
            </w:pPr>
            <w:r w:rsidRPr="004836DA">
              <w:rPr>
                <w:b/>
                <w:bCs/>
                <w:color w:val="2E74B5" w:themeColor="accent1" w:themeShade="BF"/>
              </w:rPr>
              <w:t xml:space="preserve">FTE </w:t>
            </w:r>
            <w:r w:rsidRPr="004836DA">
              <w:br/>
            </w:r>
            <w:r w:rsidRPr="004836DA">
              <w:rPr>
                <w:b/>
                <w:bCs/>
                <w:color w:val="2E74B5" w:themeColor="accent1" w:themeShade="BF"/>
              </w:rPr>
              <w:t>2022-23</w:t>
            </w:r>
            <w:r w:rsidRPr="004836DA">
              <w:br/>
            </w:r>
            <w:r w:rsidRPr="004836DA">
              <w:rPr>
                <w:b/>
                <w:bCs/>
                <w:color w:val="2E74B5" w:themeColor="accent1" w:themeShade="BF"/>
              </w:rPr>
              <w:t>(percent of total)</w:t>
            </w:r>
          </w:p>
        </w:tc>
        <w:tc>
          <w:tcPr>
            <w:tcW w:w="1433" w:type="dxa"/>
            <w:shd w:val="clear" w:color="auto" w:fill="auto"/>
            <w:noWrap/>
            <w:hideMark/>
          </w:tcPr>
          <w:p w14:paraId="50E64CAD" w14:textId="77777777" w:rsidR="000D42F1" w:rsidRPr="004836DA" w:rsidRDefault="000D42F1">
            <w:pPr>
              <w:pStyle w:val="Tables"/>
              <w:rPr>
                <w:b/>
                <w:bCs/>
                <w:color w:val="2E74B5" w:themeColor="accent1" w:themeShade="BF"/>
              </w:rPr>
            </w:pPr>
            <w:r w:rsidRPr="004836DA">
              <w:rPr>
                <w:b/>
                <w:bCs/>
                <w:color w:val="2E74B5" w:themeColor="accent1" w:themeShade="BF"/>
              </w:rPr>
              <w:t>FTE percent change from 2018-19</w:t>
            </w:r>
          </w:p>
        </w:tc>
        <w:tc>
          <w:tcPr>
            <w:tcW w:w="1434" w:type="dxa"/>
            <w:shd w:val="clear" w:color="auto" w:fill="auto"/>
            <w:noWrap/>
            <w:hideMark/>
          </w:tcPr>
          <w:p w14:paraId="2E186F6D" w14:textId="77777777" w:rsidR="000D42F1" w:rsidRPr="004836DA" w:rsidRDefault="000D42F1">
            <w:pPr>
              <w:pStyle w:val="Tables"/>
              <w:rPr>
                <w:b/>
                <w:bCs/>
                <w:color w:val="2E74B5" w:themeColor="accent1" w:themeShade="BF"/>
              </w:rPr>
            </w:pPr>
            <w:r w:rsidRPr="004836DA">
              <w:rPr>
                <w:b/>
                <w:bCs/>
                <w:color w:val="2E74B5" w:themeColor="accent1" w:themeShade="BF"/>
              </w:rPr>
              <w:t>Median age 2022-23</w:t>
            </w:r>
          </w:p>
        </w:tc>
        <w:tc>
          <w:tcPr>
            <w:tcW w:w="1433" w:type="dxa"/>
            <w:shd w:val="clear" w:color="auto" w:fill="auto"/>
            <w:noWrap/>
            <w:hideMark/>
          </w:tcPr>
          <w:p w14:paraId="7A77759F" w14:textId="77777777" w:rsidR="000D42F1" w:rsidRPr="004836DA" w:rsidRDefault="000D42F1">
            <w:pPr>
              <w:pStyle w:val="Tables"/>
              <w:rPr>
                <w:b/>
                <w:bCs/>
                <w:color w:val="2E74B5" w:themeColor="accent1" w:themeShade="BF"/>
              </w:rPr>
            </w:pPr>
            <w:r w:rsidRPr="004836DA">
              <w:rPr>
                <w:b/>
                <w:bCs/>
                <w:color w:val="2E74B5" w:themeColor="accent1" w:themeShade="BF"/>
              </w:rPr>
              <w:t xml:space="preserve">Median salary </w:t>
            </w:r>
          </w:p>
          <w:p w14:paraId="53E84A79" w14:textId="77777777" w:rsidR="000D42F1" w:rsidRPr="004836DA" w:rsidRDefault="000D42F1">
            <w:pPr>
              <w:pStyle w:val="Tables"/>
              <w:rPr>
                <w:b/>
                <w:bCs/>
                <w:color w:val="2E74B5" w:themeColor="accent1" w:themeShade="BF"/>
              </w:rPr>
            </w:pPr>
            <w:r w:rsidRPr="004836DA">
              <w:rPr>
                <w:b/>
                <w:bCs/>
                <w:color w:val="2E74B5" w:themeColor="accent1" w:themeShade="BF"/>
              </w:rPr>
              <w:t>2022-23</w:t>
            </w:r>
          </w:p>
        </w:tc>
        <w:tc>
          <w:tcPr>
            <w:tcW w:w="1433" w:type="dxa"/>
            <w:shd w:val="clear" w:color="auto" w:fill="auto"/>
            <w:noWrap/>
            <w:hideMark/>
          </w:tcPr>
          <w:p w14:paraId="117DEB96" w14:textId="77777777" w:rsidR="000D42F1" w:rsidRPr="004836DA" w:rsidRDefault="000D42F1">
            <w:pPr>
              <w:pStyle w:val="Tables"/>
              <w:rPr>
                <w:b/>
                <w:bCs/>
                <w:color w:val="2E74B5" w:themeColor="accent1" w:themeShade="BF"/>
              </w:rPr>
            </w:pPr>
            <w:r w:rsidRPr="004836DA">
              <w:rPr>
                <w:b/>
                <w:bCs/>
                <w:color w:val="2E74B5" w:themeColor="accent1" w:themeShade="BF"/>
              </w:rPr>
              <w:t>Median salary percent change from 2018-19</w:t>
            </w:r>
          </w:p>
        </w:tc>
        <w:tc>
          <w:tcPr>
            <w:tcW w:w="1433" w:type="dxa"/>
            <w:shd w:val="clear" w:color="auto" w:fill="auto"/>
            <w:noWrap/>
            <w:hideMark/>
          </w:tcPr>
          <w:p w14:paraId="26C394FD" w14:textId="77777777" w:rsidR="000D42F1" w:rsidRPr="004836DA" w:rsidRDefault="000D42F1">
            <w:pPr>
              <w:pStyle w:val="Tables"/>
              <w:rPr>
                <w:b/>
                <w:bCs/>
                <w:color w:val="2E74B5" w:themeColor="accent1" w:themeShade="BF"/>
              </w:rPr>
            </w:pPr>
            <w:r w:rsidRPr="004836DA">
              <w:rPr>
                <w:b/>
                <w:bCs/>
                <w:color w:val="2E74B5" w:themeColor="accent1" w:themeShade="BF"/>
              </w:rPr>
              <w:t xml:space="preserve">Permanent FTE as percent of region </w:t>
            </w:r>
            <w:r w:rsidRPr="004836DA">
              <w:br/>
            </w:r>
            <w:r w:rsidRPr="004836DA">
              <w:rPr>
                <w:b/>
                <w:bCs/>
                <w:color w:val="2E74B5" w:themeColor="accent1" w:themeShade="BF"/>
              </w:rPr>
              <w:t>2022-23</w:t>
            </w:r>
          </w:p>
        </w:tc>
        <w:tc>
          <w:tcPr>
            <w:tcW w:w="1434" w:type="dxa"/>
            <w:shd w:val="clear" w:color="auto" w:fill="auto"/>
            <w:noWrap/>
            <w:hideMark/>
          </w:tcPr>
          <w:p w14:paraId="383769EE" w14:textId="77777777" w:rsidR="000D42F1" w:rsidRPr="004836DA" w:rsidRDefault="000D42F1">
            <w:pPr>
              <w:pStyle w:val="Tables"/>
              <w:rPr>
                <w:b/>
                <w:bCs/>
                <w:color w:val="2E74B5" w:themeColor="accent1" w:themeShade="BF"/>
              </w:rPr>
            </w:pPr>
            <w:r w:rsidRPr="004836DA">
              <w:rPr>
                <w:b/>
                <w:bCs/>
                <w:color w:val="2E74B5" w:themeColor="accent1" w:themeShade="BF"/>
              </w:rPr>
              <w:t>Change in permanent FTE (percentage point) since 2018-19</w:t>
            </w:r>
          </w:p>
        </w:tc>
      </w:tr>
      <w:tr w:rsidR="000D42F1" w:rsidRPr="005E0AE5" w14:paraId="1693DC0C" w14:textId="77777777">
        <w:trPr>
          <w:trHeight w:val="540"/>
        </w:trPr>
        <w:tc>
          <w:tcPr>
            <w:tcW w:w="1843" w:type="dxa"/>
            <w:shd w:val="clear" w:color="auto" w:fill="auto"/>
            <w:noWrap/>
            <w:hideMark/>
          </w:tcPr>
          <w:p w14:paraId="0F6E4225" w14:textId="77777777" w:rsidR="000D42F1" w:rsidRPr="004836DA" w:rsidRDefault="000D42F1">
            <w:pPr>
              <w:pStyle w:val="Tables"/>
              <w:jc w:val="left"/>
            </w:pPr>
            <w:r w:rsidRPr="004836DA">
              <w:t>Gascoyne</w:t>
            </w:r>
          </w:p>
        </w:tc>
        <w:tc>
          <w:tcPr>
            <w:tcW w:w="1549" w:type="dxa"/>
            <w:shd w:val="clear" w:color="auto" w:fill="auto"/>
            <w:noWrap/>
            <w:hideMark/>
          </w:tcPr>
          <w:p w14:paraId="13EC31A7" w14:textId="77777777" w:rsidR="000D42F1" w:rsidRPr="004836DA" w:rsidRDefault="000D42F1">
            <w:pPr>
              <w:pStyle w:val="Tables"/>
            </w:pPr>
            <w:r w:rsidRPr="00E8702E">
              <w:t xml:space="preserve"> 705 (0.4%) </w:t>
            </w:r>
          </w:p>
        </w:tc>
        <w:tc>
          <w:tcPr>
            <w:tcW w:w="1317" w:type="dxa"/>
            <w:shd w:val="clear" w:color="auto" w:fill="auto"/>
            <w:noWrap/>
            <w:hideMark/>
          </w:tcPr>
          <w:p w14:paraId="67398D96" w14:textId="77777777" w:rsidR="000D42F1" w:rsidRPr="004836DA" w:rsidRDefault="000D42F1">
            <w:pPr>
              <w:pStyle w:val="Tables"/>
            </w:pPr>
            <w:r w:rsidRPr="00E8702E">
              <w:t xml:space="preserve"> 6.7% </w:t>
            </w:r>
          </w:p>
        </w:tc>
        <w:tc>
          <w:tcPr>
            <w:tcW w:w="1433" w:type="dxa"/>
            <w:shd w:val="clear" w:color="auto" w:fill="auto"/>
            <w:noWrap/>
            <w:hideMark/>
          </w:tcPr>
          <w:p w14:paraId="25F99CFE" w14:textId="77777777" w:rsidR="000D42F1" w:rsidRPr="004836DA" w:rsidRDefault="000D42F1">
            <w:pPr>
              <w:pStyle w:val="Tables"/>
            </w:pPr>
            <w:r w:rsidRPr="00E8702E">
              <w:t xml:space="preserve"> 569 (0.4%) </w:t>
            </w:r>
          </w:p>
        </w:tc>
        <w:tc>
          <w:tcPr>
            <w:tcW w:w="1433" w:type="dxa"/>
            <w:shd w:val="clear" w:color="auto" w:fill="auto"/>
            <w:noWrap/>
            <w:hideMark/>
          </w:tcPr>
          <w:p w14:paraId="74088C85" w14:textId="77777777" w:rsidR="000D42F1" w:rsidRPr="004836DA" w:rsidRDefault="000D42F1">
            <w:pPr>
              <w:pStyle w:val="Tables"/>
            </w:pPr>
            <w:r w:rsidRPr="00E8702E">
              <w:t xml:space="preserve"> 7.5% </w:t>
            </w:r>
          </w:p>
        </w:tc>
        <w:tc>
          <w:tcPr>
            <w:tcW w:w="1434" w:type="dxa"/>
            <w:shd w:val="clear" w:color="auto" w:fill="auto"/>
            <w:noWrap/>
            <w:hideMark/>
          </w:tcPr>
          <w:p w14:paraId="0703B8C4" w14:textId="77777777" w:rsidR="000D42F1" w:rsidRPr="004836DA" w:rsidRDefault="000D42F1">
            <w:pPr>
              <w:pStyle w:val="Tables"/>
            </w:pPr>
            <w:r w:rsidRPr="00E8702E">
              <w:t xml:space="preserve">44.5 </w:t>
            </w:r>
          </w:p>
        </w:tc>
        <w:tc>
          <w:tcPr>
            <w:tcW w:w="1433" w:type="dxa"/>
            <w:shd w:val="clear" w:color="auto" w:fill="auto"/>
            <w:noWrap/>
            <w:hideMark/>
          </w:tcPr>
          <w:p w14:paraId="34D3E0CA" w14:textId="77777777" w:rsidR="000D42F1" w:rsidRPr="004836DA" w:rsidRDefault="000D42F1">
            <w:pPr>
              <w:pStyle w:val="Tables"/>
            </w:pPr>
            <w:r w:rsidRPr="00E8702E">
              <w:t>$73,870</w:t>
            </w:r>
          </w:p>
        </w:tc>
        <w:tc>
          <w:tcPr>
            <w:tcW w:w="1433" w:type="dxa"/>
            <w:shd w:val="clear" w:color="auto" w:fill="auto"/>
            <w:noWrap/>
            <w:hideMark/>
          </w:tcPr>
          <w:p w14:paraId="3F6377F4" w14:textId="77777777" w:rsidR="000D42F1" w:rsidRPr="004836DA" w:rsidRDefault="000D42F1">
            <w:pPr>
              <w:pStyle w:val="Tables"/>
            </w:pPr>
            <w:r w:rsidRPr="00E8702E">
              <w:t xml:space="preserve"> 0.0% </w:t>
            </w:r>
          </w:p>
        </w:tc>
        <w:tc>
          <w:tcPr>
            <w:tcW w:w="1433" w:type="dxa"/>
            <w:shd w:val="clear" w:color="auto" w:fill="auto"/>
            <w:noWrap/>
            <w:hideMark/>
          </w:tcPr>
          <w:p w14:paraId="65FDABEC" w14:textId="77777777" w:rsidR="000D42F1" w:rsidRPr="004836DA" w:rsidRDefault="000D42F1">
            <w:pPr>
              <w:pStyle w:val="Tables"/>
            </w:pPr>
            <w:r w:rsidRPr="00E8702E">
              <w:t xml:space="preserve"> 72.2% </w:t>
            </w:r>
          </w:p>
        </w:tc>
        <w:tc>
          <w:tcPr>
            <w:tcW w:w="1434" w:type="dxa"/>
            <w:shd w:val="clear" w:color="auto" w:fill="auto"/>
            <w:noWrap/>
            <w:hideMark/>
          </w:tcPr>
          <w:p w14:paraId="4FB9663C" w14:textId="2F273E8F" w:rsidR="000D42F1" w:rsidRPr="004836DA" w:rsidRDefault="000D42F1">
            <w:pPr>
              <w:pStyle w:val="Tables"/>
            </w:pPr>
            <w:r w:rsidRPr="00E8702E">
              <w:t>+2.7ppt</w:t>
            </w:r>
          </w:p>
        </w:tc>
      </w:tr>
      <w:tr w:rsidR="000D42F1" w:rsidRPr="005E0AE5" w14:paraId="2D194460" w14:textId="77777777">
        <w:trPr>
          <w:trHeight w:val="540"/>
        </w:trPr>
        <w:tc>
          <w:tcPr>
            <w:tcW w:w="1843" w:type="dxa"/>
            <w:shd w:val="clear" w:color="auto" w:fill="auto"/>
            <w:noWrap/>
            <w:hideMark/>
          </w:tcPr>
          <w:p w14:paraId="416D8071" w14:textId="77777777" w:rsidR="000D42F1" w:rsidRPr="004836DA" w:rsidRDefault="000D42F1">
            <w:pPr>
              <w:pStyle w:val="Tables"/>
              <w:jc w:val="left"/>
            </w:pPr>
            <w:r w:rsidRPr="004836DA">
              <w:t>Goldfields Esperance</w:t>
            </w:r>
          </w:p>
        </w:tc>
        <w:tc>
          <w:tcPr>
            <w:tcW w:w="1549" w:type="dxa"/>
            <w:shd w:val="clear" w:color="auto" w:fill="auto"/>
            <w:noWrap/>
            <w:hideMark/>
          </w:tcPr>
          <w:p w14:paraId="20E53EDA" w14:textId="77777777" w:rsidR="000D42F1" w:rsidRPr="004836DA" w:rsidRDefault="000D42F1">
            <w:pPr>
              <w:pStyle w:val="Tables"/>
            </w:pPr>
            <w:r w:rsidRPr="00E8702E">
              <w:t xml:space="preserve"> 3,190 (2.0%) </w:t>
            </w:r>
          </w:p>
        </w:tc>
        <w:tc>
          <w:tcPr>
            <w:tcW w:w="1317" w:type="dxa"/>
            <w:shd w:val="clear" w:color="auto" w:fill="auto"/>
            <w:noWrap/>
            <w:hideMark/>
          </w:tcPr>
          <w:p w14:paraId="15A8F5D5" w14:textId="77777777" w:rsidR="000D42F1" w:rsidRPr="004836DA" w:rsidRDefault="000D42F1">
            <w:pPr>
              <w:pStyle w:val="Tables"/>
            </w:pPr>
            <w:r w:rsidRPr="00E8702E">
              <w:t xml:space="preserve"> 3.3% </w:t>
            </w:r>
          </w:p>
        </w:tc>
        <w:tc>
          <w:tcPr>
            <w:tcW w:w="1433" w:type="dxa"/>
            <w:shd w:val="clear" w:color="auto" w:fill="auto"/>
            <w:noWrap/>
            <w:hideMark/>
          </w:tcPr>
          <w:p w14:paraId="0DEBAE8B" w14:textId="77777777" w:rsidR="000D42F1" w:rsidRPr="004836DA" w:rsidRDefault="000D42F1">
            <w:pPr>
              <w:pStyle w:val="Tables"/>
            </w:pPr>
            <w:r w:rsidRPr="00E8702E">
              <w:t xml:space="preserve"> 2,595 (2.0%) </w:t>
            </w:r>
          </w:p>
        </w:tc>
        <w:tc>
          <w:tcPr>
            <w:tcW w:w="1433" w:type="dxa"/>
            <w:shd w:val="clear" w:color="auto" w:fill="auto"/>
            <w:noWrap/>
            <w:hideMark/>
          </w:tcPr>
          <w:p w14:paraId="2593CCE2" w14:textId="77777777" w:rsidR="000D42F1" w:rsidRPr="004836DA" w:rsidRDefault="000D42F1">
            <w:pPr>
              <w:pStyle w:val="Tables"/>
            </w:pPr>
            <w:r w:rsidRPr="00E8702E">
              <w:t xml:space="preserve"> 4.2% </w:t>
            </w:r>
          </w:p>
        </w:tc>
        <w:tc>
          <w:tcPr>
            <w:tcW w:w="1434" w:type="dxa"/>
            <w:shd w:val="clear" w:color="auto" w:fill="auto"/>
            <w:noWrap/>
            <w:hideMark/>
          </w:tcPr>
          <w:p w14:paraId="3227D165" w14:textId="77777777" w:rsidR="000D42F1" w:rsidRPr="004836DA" w:rsidRDefault="000D42F1">
            <w:pPr>
              <w:pStyle w:val="Tables"/>
            </w:pPr>
            <w:r w:rsidRPr="00E8702E">
              <w:t xml:space="preserve">45.5 </w:t>
            </w:r>
          </w:p>
        </w:tc>
        <w:tc>
          <w:tcPr>
            <w:tcW w:w="1433" w:type="dxa"/>
            <w:shd w:val="clear" w:color="auto" w:fill="auto"/>
            <w:noWrap/>
            <w:hideMark/>
          </w:tcPr>
          <w:p w14:paraId="3C98DA9F" w14:textId="77777777" w:rsidR="000D42F1" w:rsidRPr="004836DA" w:rsidRDefault="000D42F1">
            <w:pPr>
              <w:pStyle w:val="Tables"/>
            </w:pPr>
            <w:r w:rsidRPr="00E8702E">
              <w:t>$82,536</w:t>
            </w:r>
          </w:p>
        </w:tc>
        <w:tc>
          <w:tcPr>
            <w:tcW w:w="1433" w:type="dxa"/>
            <w:shd w:val="clear" w:color="auto" w:fill="auto"/>
            <w:noWrap/>
            <w:hideMark/>
          </w:tcPr>
          <w:p w14:paraId="4F07D1D0" w14:textId="77777777" w:rsidR="000D42F1" w:rsidRPr="004836DA" w:rsidRDefault="000D42F1">
            <w:pPr>
              <w:pStyle w:val="Tables"/>
            </w:pPr>
            <w:r w:rsidRPr="00E8702E">
              <w:t xml:space="preserve"> 7.9% </w:t>
            </w:r>
          </w:p>
        </w:tc>
        <w:tc>
          <w:tcPr>
            <w:tcW w:w="1433" w:type="dxa"/>
            <w:shd w:val="clear" w:color="auto" w:fill="auto"/>
            <w:noWrap/>
            <w:hideMark/>
          </w:tcPr>
          <w:p w14:paraId="7A090069" w14:textId="77777777" w:rsidR="000D42F1" w:rsidRPr="004836DA" w:rsidRDefault="000D42F1">
            <w:pPr>
              <w:pStyle w:val="Tables"/>
            </w:pPr>
            <w:r w:rsidRPr="00E8702E">
              <w:t xml:space="preserve"> 78.5% </w:t>
            </w:r>
          </w:p>
        </w:tc>
        <w:tc>
          <w:tcPr>
            <w:tcW w:w="1434" w:type="dxa"/>
            <w:shd w:val="clear" w:color="auto" w:fill="auto"/>
            <w:noWrap/>
            <w:hideMark/>
          </w:tcPr>
          <w:p w14:paraId="4661B2E8" w14:textId="1443F08A" w:rsidR="000D42F1" w:rsidRPr="004836DA" w:rsidRDefault="000D42F1">
            <w:pPr>
              <w:pStyle w:val="Tables"/>
            </w:pPr>
            <w:r w:rsidRPr="00E8702E">
              <w:t>+0.9ppt</w:t>
            </w:r>
          </w:p>
        </w:tc>
      </w:tr>
      <w:tr w:rsidR="000D42F1" w:rsidRPr="005E0AE5" w14:paraId="32E31256" w14:textId="77777777">
        <w:trPr>
          <w:trHeight w:val="540"/>
        </w:trPr>
        <w:tc>
          <w:tcPr>
            <w:tcW w:w="1843" w:type="dxa"/>
            <w:shd w:val="clear" w:color="auto" w:fill="auto"/>
            <w:noWrap/>
            <w:hideMark/>
          </w:tcPr>
          <w:p w14:paraId="3D60E566" w14:textId="77777777" w:rsidR="000D42F1" w:rsidRPr="004836DA" w:rsidRDefault="000D42F1">
            <w:pPr>
              <w:pStyle w:val="Tables"/>
              <w:jc w:val="left"/>
            </w:pPr>
            <w:r w:rsidRPr="004836DA">
              <w:t>Great Southern</w:t>
            </w:r>
          </w:p>
        </w:tc>
        <w:tc>
          <w:tcPr>
            <w:tcW w:w="1549" w:type="dxa"/>
            <w:shd w:val="clear" w:color="auto" w:fill="auto"/>
            <w:noWrap/>
            <w:hideMark/>
          </w:tcPr>
          <w:p w14:paraId="494D61AE" w14:textId="77777777" w:rsidR="000D42F1" w:rsidRPr="004836DA" w:rsidRDefault="000D42F1">
            <w:pPr>
              <w:pStyle w:val="Tables"/>
            </w:pPr>
            <w:r w:rsidRPr="00E8702E">
              <w:t xml:space="preserve"> 3,624 (2.2%) </w:t>
            </w:r>
          </w:p>
        </w:tc>
        <w:tc>
          <w:tcPr>
            <w:tcW w:w="1317" w:type="dxa"/>
            <w:shd w:val="clear" w:color="auto" w:fill="auto"/>
            <w:noWrap/>
            <w:hideMark/>
          </w:tcPr>
          <w:p w14:paraId="38A93211" w14:textId="77777777" w:rsidR="000D42F1" w:rsidRPr="004836DA" w:rsidRDefault="000D42F1">
            <w:pPr>
              <w:pStyle w:val="Tables"/>
            </w:pPr>
            <w:r w:rsidRPr="00E8702E">
              <w:t xml:space="preserve"> 3.7% </w:t>
            </w:r>
          </w:p>
        </w:tc>
        <w:tc>
          <w:tcPr>
            <w:tcW w:w="1433" w:type="dxa"/>
            <w:shd w:val="clear" w:color="auto" w:fill="auto"/>
            <w:noWrap/>
            <w:hideMark/>
          </w:tcPr>
          <w:p w14:paraId="4DF2988E" w14:textId="77777777" w:rsidR="000D42F1" w:rsidRPr="004836DA" w:rsidRDefault="000D42F1">
            <w:pPr>
              <w:pStyle w:val="Tables"/>
            </w:pPr>
            <w:r w:rsidRPr="00E8702E">
              <w:t xml:space="preserve"> 2,716 (2.1%) </w:t>
            </w:r>
          </w:p>
        </w:tc>
        <w:tc>
          <w:tcPr>
            <w:tcW w:w="1433" w:type="dxa"/>
            <w:shd w:val="clear" w:color="auto" w:fill="auto"/>
            <w:noWrap/>
            <w:hideMark/>
          </w:tcPr>
          <w:p w14:paraId="6ED36C61" w14:textId="77777777" w:rsidR="000D42F1" w:rsidRPr="004836DA" w:rsidRDefault="000D42F1">
            <w:pPr>
              <w:pStyle w:val="Tables"/>
            </w:pPr>
            <w:r w:rsidRPr="00E8702E">
              <w:t xml:space="preserve"> 5.8% </w:t>
            </w:r>
          </w:p>
        </w:tc>
        <w:tc>
          <w:tcPr>
            <w:tcW w:w="1434" w:type="dxa"/>
            <w:shd w:val="clear" w:color="auto" w:fill="auto"/>
            <w:noWrap/>
            <w:hideMark/>
          </w:tcPr>
          <w:p w14:paraId="3FF1BB8D" w14:textId="77777777" w:rsidR="000D42F1" w:rsidRPr="004836DA" w:rsidRDefault="000D42F1">
            <w:pPr>
              <w:pStyle w:val="Tables"/>
            </w:pPr>
            <w:r w:rsidRPr="00E8702E">
              <w:t xml:space="preserve">48.5 </w:t>
            </w:r>
          </w:p>
        </w:tc>
        <w:tc>
          <w:tcPr>
            <w:tcW w:w="1433" w:type="dxa"/>
            <w:shd w:val="clear" w:color="auto" w:fill="auto"/>
            <w:noWrap/>
            <w:hideMark/>
          </w:tcPr>
          <w:p w14:paraId="37B4E2DF" w14:textId="77777777" w:rsidR="000D42F1" w:rsidRPr="004836DA" w:rsidRDefault="000D42F1">
            <w:pPr>
              <w:pStyle w:val="Tables"/>
            </w:pPr>
            <w:r w:rsidRPr="00E8702E">
              <w:t>$87,431</w:t>
            </w:r>
          </w:p>
        </w:tc>
        <w:tc>
          <w:tcPr>
            <w:tcW w:w="1433" w:type="dxa"/>
            <w:shd w:val="clear" w:color="auto" w:fill="auto"/>
            <w:noWrap/>
            <w:hideMark/>
          </w:tcPr>
          <w:p w14:paraId="317045E7" w14:textId="77777777" w:rsidR="000D42F1" w:rsidRPr="004836DA" w:rsidRDefault="000D42F1">
            <w:pPr>
              <w:pStyle w:val="Tables"/>
            </w:pPr>
            <w:r w:rsidRPr="00E8702E">
              <w:t xml:space="preserve"> 9.2% </w:t>
            </w:r>
          </w:p>
        </w:tc>
        <w:tc>
          <w:tcPr>
            <w:tcW w:w="1433" w:type="dxa"/>
            <w:shd w:val="clear" w:color="auto" w:fill="auto"/>
            <w:noWrap/>
            <w:hideMark/>
          </w:tcPr>
          <w:p w14:paraId="3B366DEF" w14:textId="77777777" w:rsidR="000D42F1" w:rsidRPr="004836DA" w:rsidRDefault="000D42F1">
            <w:pPr>
              <w:pStyle w:val="Tables"/>
            </w:pPr>
            <w:r w:rsidRPr="00E8702E">
              <w:t xml:space="preserve"> 78.8% </w:t>
            </w:r>
          </w:p>
        </w:tc>
        <w:tc>
          <w:tcPr>
            <w:tcW w:w="1434" w:type="dxa"/>
            <w:shd w:val="clear" w:color="auto" w:fill="auto"/>
            <w:noWrap/>
            <w:hideMark/>
          </w:tcPr>
          <w:p w14:paraId="32243A73" w14:textId="283D64E6" w:rsidR="000D42F1" w:rsidRPr="004836DA" w:rsidRDefault="000D42F1">
            <w:pPr>
              <w:pStyle w:val="Tables"/>
            </w:pPr>
            <w:r w:rsidRPr="00E8702E">
              <w:t>-1.9ppt</w:t>
            </w:r>
          </w:p>
        </w:tc>
      </w:tr>
      <w:tr w:rsidR="000D42F1" w:rsidRPr="005E0AE5" w14:paraId="6C1E7AD7" w14:textId="77777777">
        <w:trPr>
          <w:trHeight w:val="540"/>
        </w:trPr>
        <w:tc>
          <w:tcPr>
            <w:tcW w:w="1843" w:type="dxa"/>
            <w:shd w:val="clear" w:color="auto" w:fill="auto"/>
            <w:noWrap/>
            <w:hideMark/>
          </w:tcPr>
          <w:p w14:paraId="4C434ECC" w14:textId="77777777" w:rsidR="000D42F1" w:rsidRPr="004836DA" w:rsidRDefault="000D42F1">
            <w:pPr>
              <w:pStyle w:val="Tables"/>
              <w:jc w:val="left"/>
            </w:pPr>
            <w:r w:rsidRPr="004836DA">
              <w:t>Kimberley</w:t>
            </w:r>
          </w:p>
        </w:tc>
        <w:tc>
          <w:tcPr>
            <w:tcW w:w="1549" w:type="dxa"/>
            <w:shd w:val="clear" w:color="auto" w:fill="auto"/>
            <w:noWrap/>
            <w:hideMark/>
          </w:tcPr>
          <w:p w14:paraId="4D32D4FB" w14:textId="77777777" w:rsidR="000D42F1" w:rsidRPr="004836DA" w:rsidRDefault="000D42F1">
            <w:pPr>
              <w:pStyle w:val="Tables"/>
            </w:pPr>
            <w:r w:rsidRPr="00E8702E">
              <w:t xml:space="preserve"> 3,848 (2.4%) </w:t>
            </w:r>
          </w:p>
        </w:tc>
        <w:tc>
          <w:tcPr>
            <w:tcW w:w="1317" w:type="dxa"/>
            <w:shd w:val="clear" w:color="auto" w:fill="auto"/>
            <w:noWrap/>
            <w:hideMark/>
          </w:tcPr>
          <w:p w14:paraId="3221781A" w14:textId="77777777" w:rsidR="000D42F1" w:rsidRPr="004836DA" w:rsidRDefault="000D42F1">
            <w:pPr>
              <w:pStyle w:val="Tables"/>
            </w:pPr>
            <w:r w:rsidRPr="00E8702E">
              <w:t xml:space="preserve"> 3.9% </w:t>
            </w:r>
          </w:p>
        </w:tc>
        <w:tc>
          <w:tcPr>
            <w:tcW w:w="1433" w:type="dxa"/>
            <w:shd w:val="clear" w:color="auto" w:fill="auto"/>
            <w:noWrap/>
            <w:hideMark/>
          </w:tcPr>
          <w:p w14:paraId="49094BE5" w14:textId="77777777" w:rsidR="000D42F1" w:rsidRPr="004836DA" w:rsidRDefault="000D42F1">
            <w:pPr>
              <w:pStyle w:val="Tables"/>
            </w:pPr>
            <w:r w:rsidRPr="00E8702E">
              <w:t xml:space="preserve"> 3,185 (2.5%) </w:t>
            </w:r>
          </w:p>
        </w:tc>
        <w:tc>
          <w:tcPr>
            <w:tcW w:w="1433" w:type="dxa"/>
            <w:shd w:val="clear" w:color="auto" w:fill="auto"/>
            <w:noWrap/>
            <w:hideMark/>
          </w:tcPr>
          <w:p w14:paraId="04B170DA" w14:textId="77777777" w:rsidR="000D42F1" w:rsidRPr="004836DA" w:rsidRDefault="000D42F1">
            <w:pPr>
              <w:pStyle w:val="Tables"/>
            </w:pPr>
            <w:r w:rsidRPr="00E8702E">
              <w:t xml:space="preserve"> 2.8% </w:t>
            </w:r>
          </w:p>
        </w:tc>
        <w:tc>
          <w:tcPr>
            <w:tcW w:w="1434" w:type="dxa"/>
            <w:shd w:val="clear" w:color="auto" w:fill="auto"/>
            <w:noWrap/>
            <w:hideMark/>
          </w:tcPr>
          <w:p w14:paraId="26431AD0" w14:textId="77777777" w:rsidR="000D42F1" w:rsidRPr="004836DA" w:rsidRDefault="000D42F1">
            <w:pPr>
              <w:pStyle w:val="Tables"/>
            </w:pPr>
            <w:r w:rsidRPr="00E8702E">
              <w:t xml:space="preserve">42.0 </w:t>
            </w:r>
          </w:p>
        </w:tc>
        <w:tc>
          <w:tcPr>
            <w:tcW w:w="1433" w:type="dxa"/>
            <w:shd w:val="clear" w:color="auto" w:fill="auto"/>
            <w:noWrap/>
            <w:hideMark/>
          </w:tcPr>
          <w:p w14:paraId="77685934" w14:textId="77777777" w:rsidR="000D42F1" w:rsidRPr="004836DA" w:rsidRDefault="000D42F1">
            <w:pPr>
              <w:pStyle w:val="Tables"/>
            </w:pPr>
            <w:r w:rsidRPr="00E8702E">
              <w:t>$87,539</w:t>
            </w:r>
          </w:p>
        </w:tc>
        <w:tc>
          <w:tcPr>
            <w:tcW w:w="1433" w:type="dxa"/>
            <w:shd w:val="clear" w:color="auto" w:fill="auto"/>
            <w:noWrap/>
            <w:hideMark/>
          </w:tcPr>
          <w:p w14:paraId="79331034" w14:textId="77777777" w:rsidR="000D42F1" w:rsidRPr="004836DA" w:rsidRDefault="000D42F1">
            <w:pPr>
              <w:pStyle w:val="Tables"/>
            </w:pPr>
            <w:r w:rsidRPr="00E8702E">
              <w:t xml:space="preserve"> 5.7% </w:t>
            </w:r>
          </w:p>
        </w:tc>
        <w:tc>
          <w:tcPr>
            <w:tcW w:w="1433" w:type="dxa"/>
            <w:shd w:val="clear" w:color="auto" w:fill="auto"/>
            <w:noWrap/>
            <w:hideMark/>
          </w:tcPr>
          <w:p w14:paraId="3701A5E2" w14:textId="77777777" w:rsidR="000D42F1" w:rsidRPr="004836DA" w:rsidRDefault="000D42F1">
            <w:pPr>
              <w:pStyle w:val="Tables"/>
            </w:pPr>
            <w:r w:rsidRPr="00E8702E">
              <w:t xml:space="preserve"> 72.3% </w:t>
            </w:r>
          </w:p>
        </w:tc>
        <w:tc>
          <w:tcPr>
            <w:tcW w:w="1434" w:type="dxa"/>
            <w:shd w:val="clear" w:color="auto" w:fill="auto"/>
            <w:noWrap/>
            <w:hideMark/>
          </w:tcPr>
          <w:p w14:paraId="5545A6D7" w14:textId="25E1614B" w:rsidR="000D42F1" w:rsidRPr="004836DA" w:rsidRDefault="000D42F1">
            <w:pPr>
              <w:pStyle w:val="Tables"/>
            </w:pPr>
            <w:r w:rsidRPr="00E8702E">
              <w:t>+0.5ppt</w:t>
            </w:r>
          </w:p>
        </w:tc>
      </w:tr>
      <w:tr w:rsidR="000D42F1" w:rsidRPr="005E0AE5" w14:paraId="134279E4" w14:textId="77777777">
        <w:trPr>
          <w:trHeight w:val="540"/>
        </w:trPr>
        <w:tc>
          <w:tcPr>
            <w:tcW w:w="1843" w:type="dxa"/>
            <w:shd w:val="clear" w:color="auto" w:fill="auto"/>
            <w:noWrap/>
            <w:hideMark/>
          </w:tcPr>
          <w:p w14:paraId="685B8A28" w14:textId="77777777" w:rsidR="000D42F1" w:rsidRPr="004836DA" w:rsidRDefault="000D42F1">
            <w:pPr>
              <w:pStyle w:val="Tables"/>
              <w:jc w:val="left"/>
            </w:pPr>
            <w:r w:rsidRPr="004836DA">
              <w:t>Mid West</w:t>
            </w:r>
          </w:p>
        </w:tc>
        <w:tc>
          <w:tcPr>
            <w:tcW w:w="1549" w:type="dxa"/>
            <w:shd w:val="clear" w:color="auto" w:fill="auto"/>
            <w:noWrap/>
            <w:hideMark/>
          </w:tcPr>
          <w:p w14:paraId="1AD00AB5" w14:textId="77777777" w:rsidR="000D42F1" w:rsidRPr="004836DA" w:rsidRDefault="000D42F1">
            <w:pPr>
              <w:pStyle w:val="Tables"/>
            </w:pPr>
            <w:r w:rsidRPr="00E8702E">
              <w:t xml:space="preserve"> 3,915 (2.4%) </w:t>
            </w:r>
          </w:p>
        </w:tc>
        <w:tc>
          <w:tcPr>
            <w:tcW w:w="1317" w:type="dxa"/>
            <w:shd w:val="clear" w:color="auto" w:fill="auto"/>
            <w:noWrap/>
            <w:hideMark/>
          </w:tcPr>
          <w:p w14:paraId="3A3783FE" w14:textId="77777777" w:rsidR="000D42F1" w:rsidRPr="004836DA" w:rsidRDefault="000D42F1">
            <w:pPr>
              <w:pStyle w:val="Tables"/>
            </w:pPr>
            <w:r w:rsidRPr="00E8702E">
              <w:t xml:space="preserve"> 12.3% </w:t>
            </w:r>
          </w:p>
        </w:tc>
        <w:tc>
          <w:tcPr>
            <w:tcW w:w="1433" w:type="dxa"/>
            <w:shd w:val="clear" w:color="auto" w:fill="auto"/>
            <w:noWrap/>
            <w:hideMark/>
          </w:tcPr>
          <w:p w14:paraId="7ECF70A0" w14:textId="77777777" w:rsidR="000D42F1" w:rsidRPr="004836DA" w:rsidRDefault="000D42F1">
            <w:pPr>
              <w:pStyle w:val="Tables"/>
            </w:pPr>
            <w:r w:rsidRPr="00E8702E">
              <w:t xml:space="preserve"> 3,018 (2.4%) </w:t>
            </w:r>
          </w:p>
        </w:tc>
        <w:tc>
          <w:tcPr>
            <w:tcW w:w="1433" w:type="dxa"/>
            <w:shd w:val="clear" w:color="auto" w:fill="auto"/>
            <w:noWrap/>
            <w:hideMark/>
          </w:tcPr>
          <w:p w14:paraId="7720A3A8" w14:textId="77777777" w:rsidR="000D42F1" w:rsidRPr="004836DA" w:rsidRDefault="000D42F1">
            <w:pPr>
              <w:pStyle w:val="Tables"/>
            </w:pPr>
            <w:r w:rsidRPr="00E8702E">
              <w:t xml:space="preserve"> 10.5% </w:t>
            </w:r>
          </w:p>
        </w:tc>
        <w:tc>
          <w:tcPr>
            <w:tcW w:w="1434" w:type="dxa"/>
            <w:shd w:val="clear" w:color="auto" w:fill="auto"/>
            <w:noWrap/>
            <w:hideMark/>
          </w:tcPr>
          <w:p w14:paraId="3A3355D9" w14:textId="77777777" w:rsidR="000D42F1" w:rsidRPr="004836DA" w:rsidRDefault="000D42F1">
            <w:pPr>
              <w:pStyle w:val="Tables"/>
            </w:pPr>
            <w:r w:rsidRPr="00E8702E">
              <w:t xml:space="preserve">46.0 </w:t>
            </w:r>
          </w:p>
        </w:tc>
        <w:tc>
          <w:tcPr>
            <w:tcW w:w="1433" w:type="dxa"/>
            <w:shd w:val="clear" w:color="auto" w:fill="auto"/>
            <w:noWrap/>
            <w:hideMark/>
          </w:tcPr>
          <w:p w14:paraId="5E713C5F" w14:textId="77777777" w:rsidR="000D42F1" w:rsidRPr="004836DA" w:rsidRDefault="000D42F1">
            <w:pPr>
              <w:pStyle w:val="Tables"/>
            </w:pPr>
            <w:r w:rsidRPr="00E8702E">
              <w:t>$81,163</w:t>
            </w:r>
          </w:p>
        </w:tc>
        <w:tc>
          <w:tcPr>
            <w:tcW w:w="1433" w:type="dxa"/>
            <w:shd w:val="clear" w:color="auto" w:fill="auto"/>
            <w:noWrap/>
            <w:hideMark/>
          </w:tcPr>
          <w:p w14:paraId="392600D9" w14:textId="77777777" w:rsidR="000D42F1" w:rsidRPr="004836DA" w:rsidRDefault="000D42F1">
            <w:pPr>
              <w:pStyle w:val="Tables"/>
            </w:pPr>
            <w:r w:rsidRPr="00E8702E">
              <w:t xml:space="preserve"> 6.0% </w:t>
            </w:r>
          </w:p>
        </w:tc>
        <w:tc>
          <w:tcPr>
            <w:tcW w:w="1433" w:type="dxa"/>
            <w:shd w:val="clear" w:color="auto" w:fill="auto"/>
            <w:noWrap/>
            <w:hideMark/>
          </w:tcPr>
          <w:p w14:paraId="01FB53BC" w14:textId="77777777" w:rsidR="000D42F1" w:rsidRPr="004836DA" w:rsidRDefault="000D42F1">
            <w:pPr>
              <w:pStyle w:val="Tables"/>
            </w:pPr>
            <w:r w:rsidRPr="00E8702E">
              <w:t xml:space="preserve"> 74.9% </w:t>
            </w:r>
          </w:p>
        </w:tc>
        <w:tc>
          <w:tcPr>
            <w:tcW w:w="1434" w:type="dxa"/>
            <w:shd w:val="clear" w:color="auto" w:fill="auto"/>
            <w:noWrap/>
            <w:hideMark/>
          </w:tcPr>
          <w:p w14:paraId="21C8110A" w14:textId="704F1F00" w:rsidR="000D42F1" w:rsidRPr="004836DA" w:rsidRDefault="000D42F1">
            <w:pPr>
              <w:pStyle w:val="Tables"/>
            </w:pPr>
            <w:r w:rsidRPr="00E8702E">
              <w:t>-3.1ppt</w:t>
            </w:r>
          </w:p>
        </w:tc>
      </w:tr>
      <w:tr w:rsidR="000D42F1" w:rsidRPr="005E0AE5" w14:paraId="488CC784" w14:textId="77777777">
        <w:trPr>
          <w:trHeight w:val="540"/>
        </w:trPr>
        <w:tc>
          <w:tcPr>
            <w:tcW w:w="1843" w:type="dxa"/>
            <w:shd w:val="clear" w:color="auto" w:fill="auto"/>
            <w:noWrap/>
            <w:hideMark/>
          </w:tcPr>
          <w:p w14:paraId="784ACE5B" w14:textId="77777777" w:rsidR="000D42F1" w:rsidRPr="004836DA" w:rsidRDefault="000D42F1">
            <w:pPr>
              <w:pStyle w:val="Tables"/>
              <w:jc w:val="left"/>
            </w:pPr>
            <w:r w:rsidRPr="004836DA">
              <w:t>Peel</w:t>
            </w:r>
          </w:p>
        </w:tc>
        <w:tc>
          <w:tcPr>
            <w:tcW w:w="1549" w:type="dxa"/>
            <w:shd w:val="clear" w:color="auto" w:fill="auto"/>
            <w:noWrap/>
            <w:hideMark/>
          </w:tcPr>
          <w:p w14:paraId="68DB718B" w14:textId="77777777" w:rsidR="000D42F1" w:rsidRPr="004836DA" w:rsidRDefault="000D42F1">
            <w:pPr>
              <w:pStyle w:val="Tables"/>
            </w:pPr>
            <w:r w:rsidRPr="00E8702E">
              <w:t xml:space="preserve"> 3,826 (2.3%) </w:t>
            </w:r>
          </w:p>
        </w:tc>
        <w:tc>
          <w:tcPr>
            <w:tcW w:w="1317" w:type="dxa"/>
            <w:shd w:val="clear" w:color="auto" w:fill="auto"/>
            <w:noWrap/>
            <w:hideMark/>
          </w:tcPr>
          <w:p w14:paraId="459FBE55" w14:textId="77777777" w:rsidR="000D42F1" w:rsidRPr="004836DA" w:rsidRDefault="000D42F1">
            <w:pPr>
              <w:pStyle w:val="Tables"/>
            </w:pPr>
            <w:r w:rsidRPr="00E8702E">
              <w:t xml:space="preserve"> 11.7% </w:t>
            </w:r>
          </w:p>
        </w:tc>
        <w:tc>
          <w:tcPr>
            <w:tcW w:w="1433" w:type="dxa"/>
            <w:shd w:val="clear" w:color="auto" w:fill="auto"/>
            <w:noWrap/>
            <w:hideMark/>
          </w:tcPr>
          <w:p w14:paraId="1C559EBE" w14:textId="77777777" w:rsidR="000D42F1" w:rsidRPr="004836DA" w:rsidRDefault="000D42F1">
            <w:pPr>
              <w:pStyle w:val="Tables"/>
            </w:pPr>
            <w:r w:rsidRPr="00E8702E">
              <w:t xml:space="preserve"> 3,012 (2.4%) </w:t>
            </w:r>
          </w:p>
        </w:tc>
        <w:tc>
          <w:tcPr>
            <w:tcW w:w="1433" w:type="dxa"/>
            <w:shd w:val="clear" w:color="auto" w:fill="auto"/>
            <w:noWrap/>
            <w:hideMark/>
          </w:tcPr>
          <w:p w14:paraId="1BB7AD07" w14:textId="77777777" w:rsidR="000D42F1" w:rsidRPr="004836DA" w:rsidRDefault="000D42F1">
            <w:pPr>
              <w:pStyle w:val="Tables"/>
            </w:pPr>
            <w:r w:rsidRPr="00E8702E">
              <w:t xml:space="preserve"> 10.8% </w:t>
            </w:r>
          </w:p>
        </w:tc>
        <w:tc>
          <w:tcPr>
            <w:tcW w:w="1434" w:type="dxa"/>
            <w:shd w:val="clear" w:color="auto" w:fill="auto"/>
            <w:noWrap/>
            <w:hideMark/>
          </w:tcPr>
          <w:p w14:paraId="70759C63" w14:textId="77777777" w:rsidR="000D42F1" w:rsidRPr="004836DA" w:rsidRDefault="000D42F1">
            <w:pPr>
              <w:pStyle w:val="Tables"/>
            </w:pPr>
            <w:r w:rsidRPr="00E8702E">
              <w:t xml:space="preserve">46.8 </w:t>
            </w:r>
          </w:p>
        </w:tc>
        <w:tc>
          <w:tcPr>
            <w:tcW w:w="1433" w:type="dxa"/>
            <w:shd w:val="clear" w:color="auto" w:fill="auto"/>
            <w:noWrap/>
            <w:hideMark/>
          </w:tcPr>
          <w:p w14:paraId="6AFD80AB" w14:textId="77777777" w:rsidR="000D42F1" w:rsidRPr="004836DA" w:rsidRDefault="000D42F1">
            <w:pPr>
              <w:pStyle w:val="Tables"/>
            </w:pPr>
            <w:r w:rsidRPr="00E8702E">
              <w:t>$82,694</w:t>
            </w:r>
          </w:p>
        </w:tc>
        <w:tc>
          <w:tcPr>
            <w:tcW w:w="1433" w:type="dxa"/>
            <w:shd w:val="clear" w:color="auto" w:fill="auto"/>
            <w:noWrap/>
            <w:hideMark/>
          </w:tcPr>
          <w:p w14:paraId="1A3DFFF5" w14:textId="77777777" w:rsidR="000D42F1" w:rsidRPr="004836DA" w:rsidRDefault="000D42F1">
            <w:pPr>
              <w:pStyle w:val="Tables"/>
            </w:pPr>
            <w:r w:rsidRPr="00E8702E">
              <w:t xml:space="preserve"> 5.8% </w:t>
            </w:r>
          </w:p>
        </w:tc>
        <w:tc>
          <w:tcPr>
            <w:tcW w:w="1433" w:type="dxa"/>
            <w:shd w:val="clear" w:color="auto" w:fill="auto"/>
            <w:noWrap/>
            <w:hideMark/>
          </w:tcPr>
          <w:p w14:paraId="579119C4" w14:textId="77777777" w:rsidR="000D42F1" w:rsidRPr="004836DA" w:rsidRDefault="000D42F1">
            <w:pPr>
              <w:pStyle w:val="Tables"/>
            </w:pPr>
            <w:r w:rsidRPr="00E8702E">
              <w:t xml:space="preserve"> 82.4% </w:t>
            </w:r>
          </w:p>
        </w:tc>
        <w:tc>
          <w:tcPr>
            <w:tcW w:w="1434" w:type="dxa"/>
            <w:shd w:val="clear" w:color="auto" w:fill="auto"/>
            <w:noWrap/>
            <w:hideMark/>
          </w:tcPr>
          <w:p w14:paraId="74966425" w14:textId="3CB53237" w:rsidR="000D42F1" w:rsidRPr="004836DA" w:rsidRDefault="000D42F1">
            <w:pPr>
              <w:pStyle w:val="Tables"/>
            </w:pPr>
            <w:r w:rsidRPr="00E8702E">
              <w:t>-2.6ppt</w:t>
            </w:r>
          </w:p>
        </w:tc>
      </w:tr>
      <w:tr w:rsidR="000D42F1" w:rsidRPr="005E0AE5" w14:paraId="0218E8F4" w14:textId="77777777">
        <w:trPr>
          <w:trHeight w:val="540"/>
        </w:trPr>
        <w:tc>
          <w:tcPr>
            <w:tcW w:w="1843" w:type="dxa"/>
            <w:shd w:val="clear" w:color="auto" w:fill="auto"/>
            <w:noWrap/>
            <w:hideMark/>
          </w:tcPr>
          <w:p w14:paraId="5BCEF854" w14:textId="77777777" w:rsidR="000D42F1" w:rsidRPr="004836DA" w:rsidRDefault="000D42F1">
            <w:pPr>
              <w:pStyle w:val="Tables"/>
              <w:jc w:val="left"/>
            </w:pPr>
            <w:r w:rsidRPr="004836DA">
              <w:t>Pilbara</w:t>
            </w:r>
          </w:p>
        </w:tc>
        <w:tc>
          <w:tcPr>
            <w:tcW w:w="1549" w:type="dxa"/>
            <w:shd w:val="clear" w:color="auto" w:fill="auto"/>
            <w:noWrap/>
            <w:hideMark/>
          </w:tcPr>
          <w:p w14:paraId="2E19A581" w14:textId="77777777" w:rsidR="000D42F1" w:rsidRPr="004836DA" w:rsidRDefault="000D42F1">
            <w:pPr>
              <w:pStyle w:val="Tables"/>
            </w:pPr>
            <w:r w:rsidRPr="00E8702E">
              <w:t xml:space="preserve"> 3,244 (2.0%) </w:t>
            </w:r>
          </w:p>
        </w:tc>
        <w:tc>
          <w:tcPr>
            <w:tcW w:w="1317" w:type="dxa"/>
            <w:shd w:val="clear" w:color="auto" w:fill="auto"/>
            <w:noWrap/>
            <w:hideMark/>
          </w:tcPr>
          <w:p w14:paraId="28EF0A6D" w14:textId="77777777" w:rsidR="000D42F1" w:rsidRPr="004836DA" w:rsidRDefault="000D42F1">
            <w:pPr>
              <w:pStyle w:val="Tables"/>
            </w:pPr>
            <w:r w:rsidRPr="00E8702E">
              <w:t xml:space="preserve"> 6.7% </w:t>
            </w:r>
          </w:p>
        </w:tc>
        <w:tc>
          <w:tcPr>
            <w:tcW w:w="1433" w:type="dxa"/>
            <w:shd w:val="clear" w:color="auto" w:fill="auto"/>
            <w:noWrap/>
            <w:hideMark/>
          </w:tcPr>
          <w:p w14:paraId="756FB2CA" w14:textId="77777777" w:rsidR="000D42F1" w:rsidRPr="004836DA" w:rsidRDefault="000D42F1">
            <w:pPr>
              <w:pStyle w:val="Tables"/>
            </w:pPr>
            <w:r w:rsidRPr="003A3758">
              <w:t xml:space="preserve"> 2,639 (2.1%) </w:t>
            </w:r>
          </w:p>
        </w:tc>
        <w:tc>
          <w:tcPr>
            <w:tcW w:w="1433" w:type="dxa"/>
            <w:shd w:val="clear" w:color="auto" w:fill="auto"/>
            <w:noWrap/>
            <w:hideMark/>
          </w:tcPr>
          <w:p w14:paraId="592ADC41" w14:textId="77777777" w:rsidR="000D42F1" w:rsidRPr="004836DA" w:rsidRDefault="000D42F1">
            <w:pPr>
              <w:pStyle w:val="Tables"/>
            </w:pPr>
            <w:r w:rsidRPr="003A3758">
              <w:t xml:space="preserve"> 4.7% </w:t>
            </w:r>
          </w:p>
        </w:tc>
        <w:tc>
          <w:tcPr>
            <w:tcW w:w="1434" w:type="dxa"/>
            <w:shd w:val="clear" w:color="auto" w:fill="auto"/>
            <w:noWrap/>
            <w:hideMark/>
          </w:tcPr>
          <w:p w14:paraId="5C50809B" w14:textId="77777777" w:rsidR="000D42F1" w:rsidRPr="004836DA" w:rsidRDefault="000D42F1">
            <w:pPr>
              <w:pStyle w:val="Tables"/>
            </w:pPr>
            <w:r w:rsidRPr="003A3758">
              <w:t xml:space="preserve">40.8 </w:t>
            </w:r>
          </w:p>
        </w:tc>
        <w:tc>
          <w:tcPr>
            <w:tcW w:w="1433" w:type="dxa"/>
            <w:shd w:val="clear" w:color="auto" w:fill="auto"/>
            <w:noWrap/>
            <w:hideMark/>
          </w:tcPr>
          <w:p w14:paraId="17628FBB" w14:textId="77777777" w:rsidR="000D42F1" w:rsidRPr="004836DA" w:rsidRDefault="000D42F1">
            <w:pPr>
              <w:pStyle w:val="Tables"/>
            </w:pPr>
            <w:r w:rsidRPr="003A3758">
              <w:t>$83,927</w:t>
            </w:r>
          </w:p>
        </w:tc>
        <w:tc>
          <w:tcPr>
            <w:tcW w:w="1433" w:type="dxa"/>
            <w:shd w:val="clear" w:color="auto" w:fill="auto"/>
            <w:noWrap/>
            <w:hideMark/>
          </w:tcPr>
          <w:p w14:paraId="3B30AF1B" w14:textId="77777777" w:rsidR="000D42F1" w:rsidRPr="004836DA" w:rsidRDefault="000D42F1">
            <w:pPr>
              <w:pStyle w:val="Tables"/>
            </w:pPr>
            <w:r w:rsidRPr="003A3758">
              <w:t xml:space="preserve"> 7.1% </w:t>
            </w:r>
          </w:p>
        </w:tc>
        <w:tc>
          <w:tcPr>
            <w:tcW w:w="1433" w:type="dxa"/>
            <w:shd w:val="clear" w:color="auto" w:fill="auto"/>
            <w:noWrap/>
            <w:hideMark/>
          </w:tcPr>
          <w:p w14:paraId="55BA8529" w14:textId="77777777" w:rsidR="000D42F1" w:rsidRPr="004836DA" w:rsidRDefault="000D42F1">
            <w:pPr>
              <w:pStyle w:val="Tables"/>
            </w:pPr>
            <w:r w:rsidRPr="003A3758">
              <w:t xml:space="preserve"> 77.4% </w:t>
            </w:r>
          </w:p>
        </w:tc>
        <w:tc>
          <w:tcPr>
            <w:tcW w:w="1434" w:type="dxa"/>
            <w:shd w:val="clear" w:color="auto" w:fill="auto"/>
            <w:noWrap/>
            <w:hideMark/>
          </w:tcPr>
          <w:p w14:paraId="6F935460" w14:textId="72F2084F" w:rsidR="000D42F1" w:rsidRPr="004836DA" w:rsidRDefault="000D42F1">
            <w:pPr>
              <w:pStyle w:val="Tables"/>
            </w:pPr>
            <w:r w:rsidRPr="003A3758">
              <w:t>+1.6ppt</w:t>
            </w:r>
          </w:p>
        </w:tc>
      </w:tr>
      <w:tr w:rsidR="00212523" w:rsidRPr="005E0AE5" w14:paraId="04BC3A1C" w14:textId="77777777">
        <w:trPr>
          <w:trHeight w:val="540"/>
        </w:trPr>
        <w:tc>
          <w:tcPr>
            <w:tcW w:w="1843" w:type="dxa"/>
            <w:tcBorders>
              <w:bottom w:val="single" w:sz="12" w:space="0" w:color="4472C4" w:themeColor="accent5"/>
            </w:tcBorders>
            <w:shd w:val="clear" w:color="auto" w:fill="auto"/>
            <w:noWrap/>
            <w:hideMark/>
          </w:tcPr>
          <w:p w14:paraId="10AD98B5" w14:textId="77777777" w:rsidR="000D42F1" w:rsidRPr="004836DA" w:rsidRDefault="000D42F1">
            <w:pPr>
              <w:pStyle w:val="Tables"/>
              <w:jc w:val="left"/>
            </w:pPr>
            <w:r w:rsidRPr="004836DA">
              <w:t>South West</w:t>
            </w:r>
          </w:p>
        </w:tc>
        <w:tc>
          <w:tcPr>
            <w:tcW w:w="1549" w:type="dxa"/>
            <w:tcBorders>
              <w:bottom w:val="single" w:sz="12" w:space="0" w:color="4472C4" w:themeColor="accent5"/>
            </w:tcBorders>
            <w:shd w:val="clear" w:color="auto" w:fill="auto"/>
            <w:noWrap/>
            <w:hideMark/>
          </w:tcPr>
          <w:p w14:paraId="6EC816D8" w14:textId="77777777" w:rsidR="000D42F1" w:rsidRPr="004836DA" w:rsidRDefault="000D42F1">
            <w:pPr>
              <w:pStyle w:val="Tables"/>
            </w:pPr>
            <w:r w:rsidRPr="003A3758">
              <w:t xml:space="preserve"> 10,407 (6.4%) </w:t>
            </w:r>
          </w:p>
        </w:tc>
        <w:tc>
          <w:tcPr>
            <w:tcW w:w="1317" w:type="dxa"/>
            <w:tcBorders>
              <w:bottom w:val="single" w:sz="12" w:space="0" w:color="4472C4" w:themeColor="accent5"/>
            </w:tcBorders>
            <w:shd w:val="clear" w:color="auto" w:fill="auto"/>
            <w:noWrap/>
            <w:hideMark/>
          </w:tcPr>
          <w:p w14:paraId="0D214B11" w14:textId="77777777" w:rsidR="000D42F1" w:rsidRPr="004836DA" w:rsidRDefault="000D42F1">
            <w:pPr>
              <w:pStyle w:val="Tables"/>
            </w:pPr>
            <w:r w:rsidRPr="003A3758">
              <w:t xml:space="preserve"> 12.5% </w:t>
            </w:r>
          </w:p>
        </w:tc>
        <w:tc>
          <w:tcPr>
            <w:tcW w:w="1433" w:type="dxa"/>
            <w:tcBorders>
              <w:bottom w:val="single" w:sz="12" w:space="0" w:color="4472C4" w:themeColor="accent5"/>
            </w:tcBorders>
            <w:shd w:val="clear" w:color="auto" w:fill="auto"/>
            <w:noWrap/>
            <w:hideMark/>
          </w:tcPr>
          <w:p w14:paraId="5149828C" w14:textId="77777777" w:rsidR="000D42F1" w:rsidRPr="004836DA" w:rsidRDefault="000D42F1">
            <w:pPr>
              <w:pStyle w:val="Tables"/>
            </w:pPr>
            <w:r w:rsidRPr="003A3758">
              <w:t xml:space="preserve"> 7,742 (6.1%) </w:t>
            </w:r>
          </w:p>
        </w:tc>
        <w:tc>
          <w:tcPr>
            <w:tcW w:w="1433" w:type="dxa"/>
            <w:tcBorders>
              <w:bottom w:val="single" w:sz="12" w:space="0" w:color="4472C4" w:themeColor="accent5"/>
            </w:tcBorders>
            <w:shd w:val="clear" w:color="auto" w:fill="auto"/>
            <w:noWrap/>
            <w:hideMark/>
          </w:tcPr>
          <w:p w14:paraId="0C22179E" w14:textId="77777777" w:rsidR="000D42F1" w:rsidRPr="004836DA" w:rsidRDefault="000D42F1">
            <w:pPr>
              <w:pStyle w:val="Tables"/>
            </w:pPr>
            <w:r w:rsidRPr="003A3758">
              <w:t xml:space="preserve"> 12.9% </w:t>
            </w:r>
          </w:p>
        </w:tc>
        <w:tc>
          <w:tcPr>
            <w:tcW w:w="1434" w:type="dxa"/>
            <w:tcBorders>
              <w:bottom w:val="single" w:sz="12" w:space="0" w:color="4472C4" w:themeColor="accent5"/>
            </w:tcBorders>
            <w:shd w:val="clear" w:color="auto" w:fill="auto"/>
            <w:noWrap/>
            <w:hideMark/>
          </w:tcPr>
          <w:p w14:paraId="12F0CB50" w14:textId="77777777" w:rsidR="000D42F1" w:rsidRPr="004836DA" w:rsidRDefault="000D42F1">
            <w:pPr>
              <w:pStyle w:val="Tables"/>
            </w:pPr>
            <w:r w:rsidRPr="003A3758">
              <w:t xml:space="preserve">47.0 </w:t>
            </w:r>
          </w:p>
        </w:tc>
        <w:tc>
          <w:tcPr>
            <w:tcW w:w="1433" w:type="dxa"/>
            <w:tcBorders>
              <w:bottom w:val="single" w:sz="12" w:space="0" w:color="4472C4" w:themeColor="accent5"/>
            </w:tcBorders>
            <w:shd w:val="clear" w:color="auto" w:fill="auto"/>
            <w:noWrap/>
            <w:hideMark/>
          </w:tcPr>
          <w:p w14:paraId="3AB47768" w14:textId="77777777" w:rsidR="000D42F1" w:rsidRPr="004836DA" w:rsidRDefault="000D42F1">
            <w:pPr>
              <w:pStyle w:val="Tables"/>
            </w:pPr>
            <w:r w:rsidRPr="003A3758">
              <w:t>$84,305</w:t>
            </w:r>
          </w:p>
        </w:tc>
        <w:tc>
          <w:tcPr>
            <w:tcW w:w="1433" w:type="dxa"/>
            <w:tcBorders>
              <w:bottom w:val="single" w:sz="12" w:space="0" w:color="4472C4" w:themeColor="accent5"/>
            </w:tcBorders>
            <w:shd w:val="clear" w:color="auto" w:fill="auto"/>
            <w:noWrap/>
            <w:hideMark/>
          </w:tcPr>
          <w:p w14:paraId="3855A53A" w14:textId="77777777" w:rsidR="000D42F1" w:rsidRPr="004836DA" w:rsidRDefault="000D42F1">
            <w:pPr>
              <w:pStyle w:val="Tables"/>
            </w:pPr>
            <w:r w:rsidRPr="003A3758">
              <w:t xml:space="preserve"> 6.5% </w:t>
            </w:r>
          </w:p>
        </w:tc>
        <w:tc>
          <w:tcPr>
            <w:tcW w:w="1433" w:type="dxa"/>
            <w:tcBorders>
              <w:bottom w:val="single" w:sz="12" w:space="0" w:color="4472C4" w:themeColor="accent5"/>
            </w:tcBorders>
            <w:shd w:val="clear" w:color="auto" w:fill="auto"/>
            <w:noWrap/>
            <w:hideMark/>
          </w:tcPr>
          <w:p w14:paraId="48B070BF" w14:textId="77777777" w:rsidR="000D42F1" w:rsidRPr="004836DA" w:rsidRDefault="000D42F1">
            <w:pPr>
              <w:pStyle w:val="Tables"/>
            </w:pPr>
            <w:r w:rsidRPr="003A3758">
              <w:t xml:space="preserve"> 77.3% </w:t>
            </w:r>
          </w:p>
        </w:tc>
        <w:tc>
          <w:tcPr>
            <w:tcW w:w="1434" w:type="dxa"/>
            <w:tcBorders>
              <w:bottom w:val="single" w:sz="12" w:space="0" w:color="4472C4" w:themeColor="accent5"/>
            </w:tcBorders>
            <w:shd w:val="clear" w:color="auto" w:fill="auto"/>
            <w:noWrap/>
            <w:hideMark/>
          </w:tcPr>
          <w:p w14:paraId="33E21E96" w14:textId="4BC53FFF" w:rsidR="000D42F1" w:rsidRPr="004836DA" w:rsidRDefault="000D42F1">
            <w:pPr>
              <w:pStyle w:val="Tables"/>
            </w:pPr>
            <w:r w:rsidRPr="003A3758">
              <w:t>-3.1ppt</w:t>
            </w:r>
          </w:p>
        </w:tc>
      </w:tr>
      <w:tr w:rsidR="00254D85" w:rsidRPr="005E0AE5" w14:paraId="1FE03F24" w14:textId="77777777">
        <w:trPr>
          <w:trHeight w:val="540"/>
        </w:trPr>
        <w:tc>
          <w:tcPr>
            <w:tcW w:w="1843" w:type="dxa"/>
            <w:tcBorders>
              <w:top w:val="single" w:sz="12" w:space="0" w:color="4472C4" w:themeColor="accent5"/>
              <w:left w:val="single" w:sz="12" w:space="0" w:color="4472C4" w:themeColor="accent5"/>
              <w:bottom w:val="single" w:sz="12" w:space="0" w:color="4472C4" w:themeColor="accent5"/>
            </w:tcBorders>
            <w:shd w:val="clear" w:color="auto" w:fill="auto"/>
            <w:noWrap/>
            <w:hideMark/>
          </w:tcPr>
          <w:p w14:paraId="440E00F0" w14:textId="77777777" w:rsidR="000D42F1" w:rsidRPr="004836DA" w:rsidRDefault="000D42F1">
            <w:pPr>
              <w:pStyle w:val="Tables"/>
              <w:jc w:val="left"/>
            </w:pPr>
            <w:r w:rsidRPr="004836DA">
              <w:t>Wheatbelt</w:t>
            </w:r>
          </w:p>
        </w:tc>
        <w:tc>
          <w:tcPr>
            <w:tcW w:w="1549" w:type="dxa"/>
            <w:tcBorders>
              <w:top w:val="single" w:sz="12" w:space="0" w:color="4472C4" w:themeColor="accent5"/>
              <w:bottom w:val="single" w:sz="12" w:space="0" w:color="4472C4" w:themeColor="accent5"/>
            </w:tcBorders>
            <w:shd w:val="clear" w:color="auto" w:fill="auto"/>
            <w:noWrap/>
            <w:hideMark/>
          </w:tcPr>
          <w:p w14:paraId="6846DCF0" w14:textId="77777777" w:rsidR="000D42F1" w:rsidRPr="004836DA" w:rsidRDefault="000D42F1">
            <w:pPr>
              <w:pStyle w:val="Tables"/>
            </w:pPr>
            <w:r w:rsidRPr="003A3758">
              <w:t xml:space="preserve"> 4,299 (2.6%) </w:t>
            </w:r>
          </w:p>
        </w:tc>
        <w:tc>
          <w:tcPr>
            <w:tcW w:w="1317" w:type="dxa"/>
            <w:tcBorders>
              <w:top w:val="single" w:sz="12" w:space="0" w:color="4472C4" w:themeColor="accent5"/>
              <w:bottom w:val="single" w:sz="12" w:space="0" w:color="4472C4" w:themeColor="accent5"/>
            </w:tcBorders>
            <w:shd w:val="clear" w:color="auto" w:fill="auto"/>
            <w:noWrap/>
            <w:hideMark/>
          </w:tcPr>
          <w:p w14:paraId="0196D6A8" w14:textId="77777777" w:rsidR="000D42F1" w:rsidRPr="004836DA" w:rsidRDefault="000D42F1">
            <w:pPr>
              <w:pStyle w:val="Tables"/>
            </w:pPr>
            <w:r w:rsidRPr="003A3758">
              <w:t xml:space="preserve"> 3.4% </w:t>
            </w:r>
          </w:p>
        </w:tc>
        <w:tc>
          <w:tcPr>
            <w:tcW w:w="1433" w:type="dxa"/>
            <w:tcBorders>
              <w:top w:val="single" w:sz="12" w:space="0" w:color="4472C4" w:themeColor="accent5"/>
              <w:bottom w:val="single" w:sz="12" w:space="0" w:color="4472C4" w:themeColor="accent5"/>
            </w:tcBorders>
            <w:shd w:val="clear" w:color="auto" w:fill="auto"/>
            <w:noWrap/>
            <w:hideMark/>
          </w:tcPr>
          <w:p w14:paraId="12B59AFD" w14:textId="77777777" w:rsidR="000D42F1" w:rsidRPr="004836DA" w:rsidRDefault="000D42F1">
            <w:pPr>
              <w:pStyle w:val="Tables"/>
            </w:pPr>
            <w:r w:rsidRPr="003A3758">
              <w:t xml:space="preserve"> 3,159 (2.5%) </w:t>
            </w:r>
          </w:p>
        </w:tc>
        <w:tc>
          <w:tcPr>
            <w:tcW w:w="1433" w:type="dxa"/>
            <w:tcBorders>
              <w:top w:val="single" w:sz="12" w:space="0" w:color="4472C4" w:themeColor="accent5"/>
              <w:bottom w:val="single" w:sz="12" w:space="0" w:color="4472C4" w:themeColor="accent5"/>
            </w:tcBorders>
            <w:shd w:val="clear" w:color="auto" w:fill="auto"/>
            <w:noWrap/>
            <w:hideMark/>
          </w:tcPr>
          <w:p w14:paraId="5C0798FA" w14:textId="77777777" w:rsidR="000D42F1" w:rsidRPr="004836DA" w:rsidRDefault="000D42F1">
            <w:pPr>
              <w:pStyle w:val="Tables"/>
            </w:pPr>
            <w:r w:rsidRPr="003A3758">
              <w:t xml:space="preserve"> 4.5% </w:t>
            </w:r>
          </w:p>
        </w:tc>
        <w:tc>
          <w:tcPr>
            <w:tcW w:w="1434" w:type="dxa"/>
            <w:tcBorders>
              <w:top w:val="single" w:sz="12" w:space="0" w:color="4472C4" w:themeColor="accent5"/>
              <w:bottom w:val="single" w:sz="12" w:space="0" w:color="4472C4" w:themeColor="accent5"/>
            </w:tcBorders>
            <w:shd w:val="clear" w:color="auto" w:fill="auto"/>
            <w:noWrap/>
            <w:hideMark/>
          </w:tcPr>
          <w:p w14:paraId="2A849596" w14:textId="77777777" w:rsidR="000D42F1" w:rsidRPr="004836DA" w:rsidRDefault="000D42F1">
            <w:pPr>
              <w:pStyle w:val="Tables"/>
            </w:pPr>
            <w:r w:rsidRPr="003A3758">
              <w:t xml:space="preserve">48.8 </w:t>
            </w:r>
          </w:p>
        </w:tc>
        <w:tc>
          <w:tcPr>
            <w:tcW w:w="1433" w:type="dxa"/>
            <w:tcBorders>
              <w:top w:val="single" w:sz="12" w:space="0" w:color="4472C4" w:themeColor="accent5"/>
              <w:bottom w:val="single" w:sz="12" w:space="0" w:color="4472C4" w:themeColor="accent5"/>
            </w:tcBorders>
            <w:shd w:val="clear" w:color="auto" w:fill="auto"/>
            <w:noWrap/>
            <w:hideMark/>
          </w:tcPr>
          <w:p w14:paraId="3B6B66B9" w14:textId="77777777" w:rsidR="000D42F1" w:rsidRPr="004836DA" w:rsidRDefault="000D42F1">
            <w:pPr>
              <w:pStyle w:val="Tables"/>
            </w:pPr>
            <w:r w:rsidRPr="003A3758">
              <w:t>$76,539</w:t>
            </w:r>
          </w:p>
        </w:tc>
        <w:tc>
          <w:tcPr>
            <w:tcW w:w="1433" w:type="dxa"/>
            <w:tcBorders>
              <w:top w:val="single" w:sz="12" w:space="0" w:color="4472C4" w:themeColor="accent5"/>
              <w:bottom w:val="single" w:sz="12" w:space="0" w:color="4472C4" w:themeColor="accent5"/>
            </w:tcBorders>
            <w:shd w:val="clear" w:color="auto" w:fill="auto"/>
            <w:noWrap/>
            <w:hideMark/>
          </w:tcPr>
          <w:p w14:paraId="225088C5" w14:textId="77777777" w:rsidR="000D42F1" w:rsidRPr="004836DA" w:rsidRDefault="000D42F1">
            <w:pPr>
              <w:pStyle w:val="Tables"/>
            </w:pPr>
            <w:r w:rsidRPr="003A3758">
              <w:t xml:space="preserve"> 9.5% </w:t>
            </w:r>
          </w:p>
        </w:tc>
        <w:tc>
          <w:tcPr>
            <w:tcW w:w="1433" w:type="dxa"/>
            <w:tcBorders>
              <w:top w:val="single" w:sz="12" w:space="0" w:color="4472C4" w:themeColor="accent5"/>
              <w:bottom w:val="single" w:sz="12" w:space="0" w:color="4472C4" w:themeColor="accent5"/>
            </w:tcBorders>
            <w:shd w:val="clear" w:color="auto" w:fill="auto"/>
            <w:noWrap/>
            <w:hideMark/>
          </w:tcPr>
          <w:p w14:paraId="069BC4F0" w14:textId="77777777" w:rsidR="000D42F1" w:rsidRPr="004836DA" w:rsidRDefault="000D42F1">
            <w:pPr>
              <w:pStyle w:val="Tables"/>
            </w:pPr>
            <w:r w:rsidRPr="003A3758">
              <w:t xml:space="preserve"> 77.7% </w:t>
            </w:r>
          </w:p>
        </w:tc>
        <w:tc>
          <w:tcPr>
            <w:tcW w:w="1434" w:type="dxa"/>
            <w:tcBorders>
              <w:top w:val="single" w:sz="12" w:space="0" w:color="4472C4" w:themeColor="accent5"/>
              <w:bottom w:val="single" w:sz="12" w:space="0" w:color="4472C4" w:themeColor="accent5"/>
              <w:right w:val="single" w:sz="12" w:space="0" w:color="4472C4" w:themeColor="accent5"/>
            </w:tcBorders>
            <w:shd w:val="clear" w:color="auto" w:fill="auto"/>
            <w:noWrap/>
            <w:hideMark/>
          </w:tcPr>
          <w:p w14:paraId="20DED6B9" w14:textId="5D212471" w:rsidR="000D42F1" w:rsidRPr="004836DA" w:rsidRDefault="000D42F1">
            <w:pPr>
              <w:pStyle w:val="Tables"/>
            </w:pPr>
            <w:r w:rsidRPr="003A3758">
              <w:t>-1.2ppt</w:t>
            </w:r>
          </w:p>
        </w:tc>
      </w:tr>
      <w:tr w:rsidR="00716B86" w:rsidRPr="001F5B5B" w14:paraId="0F24C079" w14:textId="77777777">
        <w:trPr>
          <w:trHeight w:val="131"/>
        </w:trPr>
        <w:tc>
          <w:tcPr>
            <w:tcW w:w="1843" w:type="dxa"/>
            <w:tcBorders>
              <w:top w:val="single" w:sz="12" w:space="0" w:color="4472C4" w:themeColor="accent5"/>
              <w:left w:val="nil"/>
              <w:bottom w:val="single" w:sz="12" w:space="0" w:color="4472C4" w:themeColor="accent5"/>
              <w:right w:val="nil"/>
            </w:tcBorders>
            <w:shd w:val="clear" w:color="auto" w:fill="auto"/>
            <w:noWrap/>
          </w:tcPr>
          <w:p w14:paraId="78E309F0" w14:textId="77777777" w:rsidR="000D42F1" w:rsidRPr="007541E1" w:rsidRDefault="000D42F1">
            <w:pPr>
              <w:pStyle w:val="Tables"/>
              <w:jc w:val="left"/>
              <w:rPr>
                <w:b/>
                <w:sz w:val="4"/>
                <w:szCs w:val="4"/>
              </w:rPr>
            </w:pPr>
          </w:p>
        </w:tc>
        <w:tc>
          <w:tcPr>
            <w:tcW w:w="1549" w:type="dxa"/>
            <w:tcBorders>
              <w:top w:val="single" w:sz="12" w:space="0" w:color="4472C4" w:themeColor="accent5"/>
              <w:left w:val="nil"/>
              <w:bottom w:val="single" w:sz="12" w:space="0" w:color="4472C4" w:themeColor="accent5"/>
              <w:right w:val="nil"/>
            </w:tcBorders>
            <w:shd w:val="clear" w:color="auto" w:fill="auto"/>
            <w:noWrap/>
          </w:tcPr>
          <w:p w14:paraId="39012F6E" w14:textId="77777777" w:rsidR="000D42F1" w:rsidRPr="007541E1" w:rsidRDefault="000D42F1">
            <w:pPr>
              <w:pStyle w:val="Tables"/>
              <w:rPr>
                <w:sz w:val="4"/>
                <w:szCs w:val="4"/>
              </w:rPr>
            </w:pPr>
          </w:p>
        </w:tc>
        <w:tc>
          <w:tcPr>
            <w:tcW w:w="1317" w:type="dxa"/>
            <w:tcBorders>
              <w:top w:val="single" w:sz="12" w:space="0" w:color="4472C4" w:themeColor="accent5"/>
              <w:left w:val="nil"/>
              <w:bottom w:val="single" w:sz="12" w:space="0" w:color="4472C4" w:themeColor="accent5"/>
              <w:right w:val="nil"/>
            </w:tcBorders>
            <w:shd w:val="clear" w:color="auto" w:fill="auto"/>
            <w:noWrap/>
          </w:tcPr>
          <w:p w14:paraId="7D855085" w14:textId="77777777" w:rsidR="000D42F1" w:rsidRPr="007541E1" w:rsidRDefault="000D42F1">
            <w:pPr>
              <w:pStyle w:val="Tables"/>
              <w:rPr>
                <w:sz w:val="4"/>
                <w:szCs w:val="4"/>
              </w:rPr>
            </w:pPr>
          </w:p>
        </w:tc>
        <w:tc>
          <w:tcPr>
            <w:tcW w:w="1433" w:type="dxa"/>
            <w:tcBorders>
              <w:top w:val="single" w:sz="12" w:space="0" w:color="4472C4" w:themeColor="accent5"/>
              <w:left w:val="nil"/>
              <w:bottom w:val="single" w:sz="12" w:space="0" w:color="4472C4" w:themeColor="accent5"/>
              <w:right w:val="nil"/>
            </w:tcBorders>
            <w:shd w:val="clear" w:color="auto" w:fill="auto"/>
            <w:noWrap/>
          </w:tcPr>
          <w:p w14:paraId="7E6EFC0B" w14:textId="77777777" w:rsidR="000D42F1" w:rsidRPr="007541E1" w:rsidRDefault="000D42F1">
            <w:pPr>
              <w:pStyle w:val="Tables"/>
              <w:rPr>
                <w:sz w:val="4"/>
                <w:szCs w:val="4"/>
              </w:rPr>
            </w:pPr>
          </w:p>
        </w:tc>
        <w:tc>
          <w:tcPr>
            <w:tcW w:w="1433" w:type="dxa"/>
            <w:tcBorders>
              <w:top w:val="single" w:sz="12" w:space="0" w:color="4472C4" w:themeColor="accent5"/>
              <w:left w:val="nil"/>
              <w:bottom w:val="single" w:sz="12" w:space="0" w:color="4472C4" w:themeColor="accent5"/>
              <w:right w:val="nil"/>
            </w:tcBorders>
            <w:shd w:val="clear" w:color="auto" w:fill="auto"/>
            <w:noWrap/>
          </w:tcPr>
          <w:p w14:paraId="02C82A69" w14:textId="77777777" w:rsidR="000D42F1" w:rsidRPr="007541E1" w:rsidRDefault="000D42F1">
            <w:pPr>
              <w:pStyle w:val="Tables"/>
              <w:rPr>
                <w:sz w:val="4"/>
                <w:szCs w:val="4"/>
              </w:rPr>
            </w:pPr>
          </w:p>
        </w:tc>
        <w:tc>
          <w:tcPr>
            <w:tcW w:w="1434" w:type="dxa"/>
            <w:tcBorders>
              <w:top w:val="single" w:sz="12" w:space="0" w:color="4472C4" w:themeColor="accent5"/>
              <w:left w:val="nil"/>
              <w:bottom w:val="single" w:sz="12" w:space="0" w:color="4472C4" w:themeColor="accent5"/>
              <w:right w:val="nil"/>
            </w:tcBorders>
            <w:shd w:val="clear" w:color="auto" w:fill="auto"/>
            <w:noWrap/>
          </w:tcPr>
          <w:p w14:paraId="540FADB9" w14:textId="77777777" w:rsidR="000D42F1" w:rsidRPr="007541E1" w:rsidRDefault="000D42F1">
            <w:pPr>
              <w:pStyle w:val="Tables"/>
              <w:rPr>
                <w:sz w:val="4"/>
                <w:szCs w:val="4"/>
              </w:rPr>
            </w:pPr>
          </w:p>
        </w:tc>
        <w:tc>
          <w:tcPr>
            <w:tcW w:w="1433" w:type="dxa"/>
            <w:tcBorders>
              <w:top w:val="single" w:sz="12" w:space="0" w:color="4472C4" w:themeColor="accent5"/>
              <w:left w:val="nil"/>
              <w:bottom w:val="single" w:sz="12" w:space="0" w:color="4472C4" w:themeColor="accent5"/>
              <w:right w:val="nil"/>
            </w:tcBorders>
            <w:shd w:val="clear" w:color="auto" w:fill="auto"/>
            <w:noWrap/>
          </w:tcPr>
          <w:p w14:paraId="78887928" w14:textId="77777777" w:rsidR="000D42F1" w:rsidRPr="007541E1" w:rsidRDefault="000D42F1">
            <w:pPr>
              <w:pStyle w:val="Tables"/>
              <w:rPr>
                <w:sz w:val="4"/>
                <w:szCs w:val="4"/>
              </w:rPr>
            </w:pPr>
          </w:p>
        </w:tc>
        <w:tc>
          <w:tcPr>
            <w:tcW w:w="1433" w:type="dxa"/>
            <w:tcBorders>
              <w:top w:val="single" w:sz="12" w:space="0" w:color="4472C4" w:themeColor="accent5"/>
              <w:left w:val="nil"/>
              <w:bottom w:val="single" w:sz="12" w:space="0" w:color="4472C4" w:themeColor="accent5"/>
              <w:right w:val="nil"/>
            </w:tcBorders>
            <w:shd w:val="clear" w:color="auto" w:fill="auto"/>
            <w:noWrap/>
          </w:tcPr>
          <w:p w14:paraId="269CFA67" w14:textId="77777777" w:rsidR="000D42F1" w:rsidRPr="007541E1" w:rsidRDefault="000D42F1">
            <w:pPr>
              <w:pStyle w:val="Tables"/>
              <w:rPr>
                <w:sz w:val="4"/>
                <w:szCs w:val="4"/>
              </w:rPr>
            </w:pPr>
          </w:p>
        </w:tc>
        <w:tc>
          <w:tcPr>
            <w:tcW w:w="1433" w:type="dxa"/>
            <w:tcBorders>
              <w:top w:val="single" w:sz="12" w:space="0" w:color="4472C4" w:themeColor="accent5"/>
              <w:left w:val="nil"/>
              <w:bottom w:val="single" w:sz="12" w:space="0" w:color="4472C4" w:themeColor="accent5"/>
              <w:right w:val="nil"/>
            </w:tcBorders>
            <w:shd w:val="clear" w:color="auto" w:fill="auto"/>
            <w:noWrap/>
          </w:tcPr>
          <w:p w14:paraId="6F3F1975" w14:textId="77777777" w:rsidR="000D42F1" w:rsidRPr="007541E1" w:rsidRDefault="000D42F1">
            <w:pPr>
              <w:pStyle w:val="Tables"/>
              <w:rPr>
                <w:sz w:val="4"/>
                <w:szCs w:val="4"/>
              </w:rPr>
            </w:pPr>
          </w:p>
        </w:tc>
        <w:tc>
          <w:tcPr>
            <w:tcW w:w="1434" w:type="dxa"/>
            <w:tcBorders>
              <w:top w:val="single" w:sz="12" w:space="0" w:color="4472C4" w:themeColor="accent5"/>
              <w:left w:val="nil"/>
              <w:bottom w:val="single" w:sz="12" w:space="0" w:color="4472C4" w:themeColor="accent5"/>
              <w:right w:val="nil"/>
            </w:tcBorders>
            <w:shd w:val="clear" w:color="auto" w:fill="auto"/>
            <w:noWrap/>
          </w:tcPr>
          <w:p w14:paraId="62C087C0" w14:textId="77777777" w:rsidR="000D42F1" w:rsidRPr="007541E1" w:rsidRDefault="000D42F1">
            <w:pPr>
              <w:pStyle w:val="Tables"/>
              <w:rPr>
                <w:sz w:val="4"/>
                <w:szCs w:val="4"/>
              </w:rPr>
            </w:pPr>
          </w:p>
        </w:tc>
      </w:tr>
      <w:tr w:rsidR="00716B86" w:rsidRPr="008E4A3E" w14:paraId="5336CD08" w14:textId="77777777">
        <w:trPr>
          <w:trHeight w:val="540"/>
        </w:trPr>
        <w:tc>
          <w:tcPr>
            <w:tcW w:w="1843" w:type="dxa"/>
            <w:tcBorders>
              <w:top w:val="single" w:sz="12" w:space="0" w:color="4472C4" w:themeColor="accent5"/>
              <w:left w:val="single" w:sz="12" w:space="0" w:color="4472C4" w:themeColor="accent5"/>
            </w:tcBorders>
            <w:shd w:val="clear" w:color="auto" w:fill="auto"/>
            <w:noWrap/>
          </w:tcPr>
          <w:p w14:paraId="0FF88EC4" w14:textId="77777777" w:rsidR="000D42F1" w:rsidRPr="004836DA" w:rsidRDefault="000D42F1">
            <w:pPr>
              <w:pStyle w:val="Tables"/>
              <w:jc w:val="left"/>
              <w:rPr>
                <w:b/>
              </w:rPr>
            </w:pPr>
            <w:r w:rsidRPr="004836DA">
              <w:rPr>
                <w:b/>
              </w:rPr>
              <w:t>Regional WA total</w:t>
            </w:r>
          </w:p>
        </w:tc>
        <w:tc>
          <w:tcPr>
            <w:tcW w:w="1549" w:type="dxa"/>
            <w:tcBorders>
              <w:top w:val="single" w:sz="12" w:space="0" w:color="4472C4" w:themeColor="accent5"/>
            </w:tcBorders>
            <w:shd w:val="clear" w:color="auto" w:fill="auto"/>
            <w:noWrap/>
          </w:tcPr>
          <w:p w14:paraId="4D89C081" w14:textId="77777777" w:rsidR="000D42F1" w:rsidRPr="00F306B5" w:rsidRDefault="000D42F1">
            <w:pPr>
              <w:pStyle w:val="Tables"/>
              <w:rPr>
                <w:b/>
                <w:bCs/>
              </w:rPr>
            </w:pPr>
            <w:r w:rsidRPr="00F306B5">
              <w:rPr>
                <w:b/>
                <w:bCs/>
              </w:rPr>
              <w:t xml:space="preserve"> 37,057 (22.8%) </w:t>
            </w:r>
          </w:p>
        </w:tc>
        <w:tc>
          <w:tcPr>
            <w:tcW w:w="1317" w:type="dxa"/>
            <w:tcBorders>
              <w:top w:val="single" w:sz="12" w:space="0" w:color="4472C4" w:themeColor="accent5"/>
            </w:tcBorders>
            <w:shd w:val="clear" w:color="auto" w:fill="auto"/>
            <w:noWrap/>
          </w:tcPr>
          <w:p w14:paraId="38AB03C2" w14:textId="77777777" w:rsidR="000D42F1" w:rsidRPr="00F306B5" w:rsidRDefault="000D42F1">
            <w:pPr>
              <w:pStyle w:val="Tables"/>
              <w:rPr>
                <w:b/>
                <w:bCs/>
              </w:rPr>
            </w:pPr>
            <w:r w:rsidRPr="00F306B5">
              <w:rPr>
                <w:b/>
                <w:bCs/>
              </w:rPr>
              <w:t xml:space="preserve"> 8.0% </w:t>
            </w:r>
          </w:p>
        </w:tc>
        <w:tc>
          <w:tcPr>
            <w:tcW w:w="1433" w:type="dxa"/>
            <w:tcBorders>
              <w:top w:val="single" w:sz="12" w:space="0" w:color="4472C4" w:themeColor="accent5"/>
            </w:tcBorders>
            <w:shd w:val="clear" w:color="auto" w:fill="auto"/>
            <w:noWrap/>
          </w:tcPr>
          <w:p w14:paraId="13BBFCBA" w14:textId="77777777" w:rsidR="000D42F1" w:rsidRPr="00F306B5" w:rsidRDefault="000D42F1">
            <w:pPr>
              <w:pStyle w:val="Tables"/>
              <w:rPr>
                <w:b/>
                <w:bCs/>
              </w:rPr>
            </w:pPr>
            <w:r w:rsidRPr="00F306B5">
              <w:rPr>
                <w:b/>
                <w:bCs/>
              </w:rPr>
              <w:t xml:space="preserve"> 28,636 (22.5%) </w:t>
            </w:r>
          </w:p>
        </w:tc>
        <w:tc>
          <w:tcPr>
            <w:tcW w:w="1433" w:type="dxa"/>
            <w:tcBorders>
              <w:top w:val="single" w:sz="12" w:space="0" w:color="4472C4" w:themeColor="accent5"/>
            </w:tcBorders>
            <w:shd w:val="clear" w:color="auto" w:fill="auto"/>
            <w:noWrap/>
          </w:tcPr>
          <w:p w14:paraId="2DDB177B" w14:textId="77777777" w:rsidR="000D42F1" w:rsidRPr="00F306B5" w:rsidRDefault="000D42F1">
            <w:pPr>
              <w:pStyle w:val="Tables"/>
              <w:rPr>
                <w:b/>
                <w:bCs/>
              </w:rPr>
            </w:pPr>
            <w:r w:rsidRPr="00F306B5">
              <w:rPr>
                <w:b/>
                <w:bCs/>
              </w:rPr>
              <w:t xml:space="preserve"> 7.9% </w:t>
            </w:r>
          </w:p>
        </w:tc>
        <w:tc>
          <w:tcPr>
            <w:tcW w:w="1434" w:type="dxa"/>
            <w:tcBorders>
              <w:top w:val="single" w:sz="12" w:space="0" w:color="4472C4" w:themeColor="accent5"/>
            </w:tcBorders>
            <w:shd w:val="clear" w:color="auto" w:fill="auto"/>
            <w:noWrap/>
          </w:tcPr>
          <w:p w14:paraId="49208E18" w14:textId="77777777" w:rsidR="000D42F1" w:rsidRPr="00F306B5" w:rsidRDefault="000D42F1">
            <w:pPr>
              <w:pStyle w:val="Tables"/>
              <w:rPr>
                <w:b/>
                <w:bCs/>
              </w:rPr>
            </w:pPr>
            <w:r w:rsidRPr="00F306B5">
              <w:rPr>
                <w:b/>
                <w:bCs/>
              </w:rPr>
              <w:t xml:space="preserve">46.0 </w:t>
            </w:r>
          </w:p>
        </w:tc>
        <w:tc>
          <w:tcPr>
            <w:tcW w:w="1433" w:type="dxa"/>
            <w:tcBorders>
              <w:top w:val="single" w:sz="12" w:space="0" w:color="4472C4" w:themeColor="accent5"/>
            </w:tcBorders>
            <w:shd w:val="clear" w:color="auto" w:fill="auto"/>
            <w:noWrap/>
          </w:tcPr>
          <w:p w14:paraId="00F80258" w14:textId="77777777" w:rsidR="000D42F1" w:rsidRPr="00F306B5" w:rsidRDefault="000D42F1">
            <w:pPr>
              <w:pStyle w:val="Tables"/>
              <w:rPr>
                <w:b/>
                <w:bCs/>
              </w:rPr>
            </w:pPr>
            <w:r w:rsidRPr="00F306B5">
              <w:rPr>
                <w:b/>
                <w:bCs/>
              </w:rPr>
              <w:t>$83,154</w:t>
            </w:r>
          </w:p>
        </w:tc>
        <w:tc>
          <w:tcPr>
            <w:tcW w:w="1433" w:type="dxa"/>
            <w:tcBorders>
              <w:top w:val="single" w:sz="12" w:space="0" w:color="4472C4" w:themeColor="accent5"/>
            </w:tcBorders>
            <w:shd w:val="clear" w:color="auto" w:fill="auto"/>
            <w:noWrap/>
          </w:tcPr>
          <w:p w14:paraId="457E925B" w14:textId="77777777" w:rsidR="000D42F1" w:rsidRPr="00F306B5" w:rsidRDefault="000D42F1">
            <w:pPr>
              <w:pStyle w:val="Tables"/>
              <w:rPr>
                <w:b/>
                <w:bCs/>
              </w:rPr>
            </w:pPr>
            <w:r w:rsidRPr="00F306B5">
              <w:rPr>
                <w:b/>
                <w:bCs/>
              </w:rPr>
              <w:t xml:space="preserve"> 7.1% </w:t>
            </w:r>
          </w:p>
        </w:tc>
        <w:tc>
          <w:tcPr>
            <w:tcW w:w="1433" w:type="dxa"/>
            <w:tcBorders>
              <w:top w:val="single" w:sz="12" w:space="0" w:color="4472C4" w:themeColor="accent5"/>
            </w:tcBorders>
            <w:shd w:val="clear" w:color="auto" w:fill="auto"/>
            <w:noWrap/>
          </w:tcPr>
          <w:p w14:paraId="23C1833B" w14:textId="77777777" w:rsidR="000D42F1" w:rsidRPr="00F306B5" w:rsidRDefault="000D42F1">
            <w:pPr>
              <w:pStyle w:val="Tables"/>
              <w:rPr>
                <w:b/>
                <w:bCs/>
              </w:rPr>
            </w:pPr>
            <w:r w:rsidRPr="00F306B5">
              <w:rPr>
                <w:b/>
                <w:bCs/>
              </w:rPr>
              <w:t xml:space="preserve"> 77.2% </w:t>
            </w:r>
          </w:p>
        </w:tc>
        <w:tc>
          <w:tcPr>
            <w:tcW w:w="1434" w:type="dxa"/>
            <w:tcBorders>
              <w:top w:val="single" w:sz="12" w:space="0" w:color="4472C4" w:themeColor="accent5"/>
              <w:right w:val="single" w:sz="12" w:space="0" w:color="4472C4" w:themeColor="accent5"/>
            </w:tcBorders>
            <w:shd w:val="clear" w:color="auto" w:fill="auto"/>
            <w:noWrap/>
          </w:tcPr>
          <w:p w14:paraId="51D42907" w14:textId="1456C0C1" w:rsidR="000D42F1" w:rsidRPr="00F306B5" w:rsidRDefault="000D42F1">
            <w:pPr>
              <w:pStyle w:val="Tables"/>
              <w:rPr>
                <w:b/>
                <w:bCs/>
              </w:rPr>
            </w:pPr>
            <w:r w:rsidRPr="00F306B5">
              <w:rPr>
                <w:b/>
                <w:bCs/>
              </w:rPr>
              <w:t>-1.4ppt</w:t>
            </w:r>
          </w:p>
        </w:tc>
      </w:tr>
      <w:tr w:rsidR="00716B86" w:rsidRPr="005E0AE5" w14:paraId="6B006E16" w14:textId="77777777">
        <w:trPr>
          <w:trHeight w:val="540"/>
        </w:trPr>
        <w:tc>
          <w:tcPr>
            <w:tcW w:w="1843" w:type="dxa"/>
            <w:tcBorders>
              <w:left w:val="single" w:sz="12" w:space="0" w:color="4472C4" w:themeColor="accent5"/>
            </w:tcBorders>
            <w:shd w:val="clear" w:color="auto" w:fill="auto"/>
            <w:noWrap/>
            <w:hideMark/>
          </w:tcPr>
          <w:p w14:paraId="78647D6D" w14:textId="77777777" w:rsidR="000D42F1" w:rsidRPr="004836DA" w:rsidRDefault="000D42F1">
            <w:pPr>
              <w:pStyle w:val="Tables"/>
              <w:jc w:val="left"/>
              <w:rPr>
                <w:b/>
                <w:bCs/>
              </w:rPr>
            </w:pPr>
            <w:r w:rsidRPr="004836DA">
              <w:rPr>
                <w:b/>
                <w:bCs/>
              </w:rPr>
              <w:t>Metropolitan</w:t>
            </w:r>
          </w:p>
        </w:tc>
        <w:tc>
          <w:tcPr>
            <w:tcW w:w="1549" w:type="dxa"/>
            <w:shd w:val="clear" w:color="auto" w:fill="auto"/>
            <w:noWrap/>
            <w:hideMark/>
          </w:tcPr>
          <w:p w14:paraId="422CB06A" w14:textId="77777777" w:rsidR="000D42F1" w:rsidRPr="00F306B5" w:rsidRDefault="000D42F1">
            <w:pPr>
              <w:pStyle w:val="Tables"/>
              <w:rPr>
                <w:b/>
                <w:bCs/>
              </w:rPr>
            </w:pPr>
            <w:r w:rsidRPr="00F306B5">
              <w:rPr>
                <w:b/>
                <w:bCs/>
              </w:rPr>
              <w:t xml:space="preserve"> 125,675 (77.2%) </w:t>
            </w:r>
          </w:p>
        </w:tc>
        <w:tc>
          <w:tcPr>
            <w:tcW w:w="1317" w:type="dxa"/>
            <w:shd w:val="clear" w:color="auto" w:fill="auto"/>
            <w:noWrap/>
            <w:hideMark/>
          </w:tcPr>
          <w:p w14:paraId="4778A90D" w14:textId="77777777" w:rsidR="000D42F1" w:rsidRPr="00F306B5" w:rsidRDefault="000D42F1">
            <w:pPr>
              <w:pStyle w:val="Tables"/>
              <w:rPr>
                <w:b/>
                <w:bCs/>
              </w:rPr>
            </w:pPr>
            <w:r w:rsidRPr="00F306B5">
              <w:rPr>
                <w:b/>
                <w:bCs/>
              </w:rPr>
              <w:t xml:space="preserve"> 17.5% </w:t>
            </w:r>
          </w:p>
        </w:tc>
        <w:tc>
          <w:tcPr>
            <w:tcW w:w="1433" w:type="dxa"/>
            <w:shd w:val="clear" w:color="auto" w:fill="auto"/>
            <w:noWrap/>
            <w:hideMark/>
          </w:tcPr>
          <w:p w14:paraId="7AFA29B1" w14:textId="77777777" w:rsidR="000D42F1" w:rsidRPr="00F306B5" w:rsidRDefault="000D42F1">
            <w:pPr>
              <w:pStyle w:val="Tables"/>
              <w:rPr>
                <w:b/>
                <w:bCs/>
              </w:rPr>
            </w:pPr>
            <w:r w:rsidRPr="00F306B5">
              <w:rPr>
                <w:b/>
                <w:bCs/>
              </w:rPr>
              <w:t xml:space="preserve"> 98,815 (77.5%) </w:t>
            </w:r>
          </w:p>
        </w:tc>
        <w:tc>
          <w:tcPr>
            <w:tcW w:w="1433" w:type="dxa"/>
            <w:shd w:val="clear" w:color="auto" w:fill="auto"/>
            <w:noWrap/>
            <w:hideMark/>
          </w:tcPr>
          <w:p w14:paraId="6A1E6090" w14:textId="77777777" w:rsidR="000D42F1" w:rsidRPr="00F306B5" w:rsidRDefault="000D42F1">
            <w:pPr>
              <w:pStyle w:val="Tables"/>
              <w:rPr>
                <w:b/>
                <w:bCs/>
              </w:rPr>
            </w:pPr>
            <w:r w:rsidRPr="00F306B5">
              <w:rPr>
                <w:b/>
                <w:bCs/>
              </w:rPr>
              <w:t xml:space="preserve"> 17.1% </w:t>
            </w:r>
          </w:p>
        </w:tc>
        <w:tc>
          <w:tcPr>
            <w:tcW w:w="1434" w:type="dxa"/>
            <w:shd w:val="clear" w:color="auto" w:fill="auto"/>
            <w:noWrap/>
            <w:hideMark/>
          </w:tcPr>
          <w:p w14:paraId="2A6B587E" w14:textId="77777777" w:rsidR="000D42F1" w:rsidRPr="00F306B5" w:rsidRDefault="000D42F1">
            <w:pPr>
              <w:pStyle w:val="Tables"/>
              <w:rPr>
                <w:b/>
                <w:bCs/>
              </w:rPr>
            </w:pPr>
            <w:r w:rsidRPr="00F306B5">
              <w:rPr>
                <w:b/>
                <w:bCs/>
              </w:rPr>
              <w:t xml:space="preserve">44.0 </w:t>
            </w:r>
          </w:p>
        </w:tc>
        <w:tc>
          <w:tcPr>
            <w:tcW w:w="1433" w:type="dxa"/>
            <w:shd w:val="clear" w:color="auto" w:fill="auto"/>
            <w:noWrap/>
            <w:hideMark/>
          </w:tcPr>
          <w:p w14:paraId="732EADFD" w14:textId="77777777" w:rsidR="000D42F1" w:rsidRPr="00F306B5" w:rsidRDefault="000D42F1">
            <w:pPr>
              <w:pStyle w:val="Tables"/>
              <w:rPr>
                <w:b/>
                <w:bCs/>
              </w:rPr>
            </w:pPr>
            <w:r w:rsidRPr="00F306B5">
              <w:rPr>
                <w:b/>
                <w:bCs/>
              </w:rPr>
              <w:t>$92,017</w:t>
            </w:r>
          </w:p>
        </w:tc>
        <w:tc>
          <w:tcPr>
            <w:tcW w:w="1433" w:type="dxa"/>
            <w:shd w:val="clear" w:color="auto" w:fill="auto"/>
            <w:noWrap/>
            <w:hideMark/>
          </w:tcPr>
          <w:p w14:paraId="60D5C968" w14:textId="77777777" w:rsidR="000D42F1" w:rsidRPr="00F306B5" w:rsidRDefault="000D42F1">
            <w:pPr>
              <w:pStyle w:val="Tables"/>
              <w:rPr>
                <w:b/>
                <w:bCs/>
              </w:rPr>
            </w:pPr>
            <w:r w:rsidRPr="00F306B5">
              <w:rPr>
                <w:b/>
                <w:bCs/>
              </w:rPr>
              <w:t xml:space="preserve"> 6.3% </w:t>
            </w:r>
          </w:p>
        </w:tc>
        <w:tc>
          <w:tcPr>
            <w:tcW w:w="1433" w:type="dxa"/>
            <w:shd w:val="clear" w:color="auto" w:fill="auto"/>
            <w:noWrap/>
            <w:hideMark/>
          </w:tcPr>
          <w:p w14:paraId="049C766C" w14:textId="77777777" w:rsidR="000D42F1" w:rsidRPr="00F306B5" w:rsidRDefault="000D42F1">
            <w:pPr>
              <w:pStyle w:val="Tables"/>
              <w:rPr>
                <w:b/>
                <w:bCs/>
              </w:rPr>
            </w:pPr>
            <w:r w:rsidRPr="00F306B5">
              <w:rPr>
                <w:b/>
                <w:bCs/>
              </w:rPr>
              <w:t xml:space="preserve"> 75.0% </w:t>
            </w:r>
          </w:p>
        </w:tc>
        <w:tc>
          <w:tcPr>
            <w:tcW w:w="1434" w:type="dxa"/>
            <w:tcBorders>
              <w:right w:val="single" w:sz="12" w:space="0" w:color="4472C4" w:themeColor="accent5"/>
            </w:tcBorders>
            <w:shd w:val="clear" w:color="auto" w:fill="auto"/>
            <w:noWrap/>
            <w:hideMark/>
          </w:tcPr>
          <w:p w14:paraId="0177C655" w14:textId="4AB12CAF" w:rsidR="000D42F1" w:rsidRPr="00F306B5" w:rsidRDefault="000D42F1">
            <w:pPr>
              <w:pStyle w:val="Tables"/>
              <w:rPr>
                <w:b/>
                <w:bCs/>
              </w:rPr>
            </w:pPr>
            <w:r w:rsidRPr="00F306B5">
              <w:rPr>
                <w:b/>
                <w:bCs/>
              </w:rPr>
              <w:t>-2.8ppt</w:t>
            </w:r>
          </w:p>
        </w:tc>
      </w:tr>
      <w:tr w:rsidR="00716B86" w:rsidRPr="005E0AE5" w14:paraId="0FF87D80" w14:textId="77777777">
        <w:trPr>
          <w:trHeight w:val="540"/>
        </w:trPr>
        <w:tc>
          <w:tcPr>
            <w:tcW w:w="1843" w:type="dxa"/>
            <w:tcBorders>
              <w:left w:val="single" w:sz="12" w:space="0" w:color="4472C4" w:themeColor="accent5"/>
              <w:bottom w:val="single" w:sz="12" w:space="0" w:color="4472C4" w:themeColor="accent5"/>
            </w:tcBorders>
            <w:shd w:val="clear" w:color="auto" w:fill="auto"/>
            <w:noWrap/>
            <w:hideMark/>
          </w:tcPr>
          <w:p w14:paraId="0A8C3F94" w14:textId="77777777" w:rsidR="000D42F1" w:rsidRPr="004836DA" w:rsidRDefault="000D42F1">
            <w:pPr>
              <w:pStyle w:val="Tables"/>
              <w:jc w:val="left"/>
              <w:rPr>
                <w:b/>
                <w:bCs/>
              </w:rPr>
            </w:pPr>
            <w:r w:rsidRPr="004836DA">
              <w:rPr>
                <w:b/>
                <w:bCs/>
              </w:rPr>
              <w:t>Outside WA</w:t>
            </w:r>
          </w:p>
        </w:tc>
        <w:tc>
          <w:tcPr>
            <w:tcW w:w="1549" w:type="dxa"/>
            <w:tcBorders>
              <w:bottom w:val="single" w:sz="12" w:space="0" w:color="4472C4" w:themeColor="accent5"/>
            </w:tcBorders>
            <w:shd w:val="clear" w:color="auto" w:fill="auto"/>
            <w:noWrap/>
            <w:hideMark/>
          </w:tcPr>
          <w:p w14:paraId="416FB9E7" w14:textId="77777777" w:rsidR="000D42F1" w:rsidRPr="00F306B5" w:rsidRDefault="000D42F1">
            <w:pPr>
              <w:pStyle w:val="Tables"/>
              <w:rPr>
                <w:b/>
                <w:bCs/>
              </w:rPr>
            </w:pPr>
            <w:r w:rsidRPr="00F306B5">
              <w:rPr>
                <w:b/>
                <w:bCs/>
              </w:rPr>
              <w:t xml:space="preserve"> 80 </w:t>
            </w:r>
            <w:r w:rsidRPr="00F306B5" w:rsidDel="00A3644C">
              <w:rPr>
                <w:b/>
                <w:bCs/>
              </w:rPr>
              <w:br/>
              <w:t>(&lt;0.1%)</w:t>
            </w:r>
          </w:p>
        </w:tc>
        <w:tc>
          <w:tcPr>
            <w:tcW w:w="1317" w:type="dxa"/>
            <w:tcBorders>
              <w:bottom w:val="single" w:sz="12" w:space="0" w:color="4472C4" w:themeColor="accent5"/>
            </w:tcBorders>
            <w:shd w:val="clear" w:color="auto" w:fill="auto"/>
            <w:noWrap/>
            <w:hideMark/>
          </w:tcPr>
          <w:p w14:paraId="763BA20A" w14:textId="77777777" w:rsidR="000D42F1" w:rsidRPr="00F306B5" w:rsidRDefault="000D42F1">
            <w:pPr>
              <w:pStyle w:val="Tables"/>
              <w:rPr>
                <w:b/>
                <w:bCs/>
              </w:rPr>
            </w:pPr>
            <w:r w:rsidRPr="00F306B5">
              <w:rPr>
                <w:b/>
                <w:bCs/>
              </w:rPr>
              <w:t xml:space="preserve"> 0.6% </w:t>
            </w:r>
          </w:p>
        </w:tc>
        <w:tc>
          <w:tcPr>
            <w:tcW w:w="1433" w:type="dxa"/>
            <w:tcBorders>
              <w:bottom w:val="single" w:sz="12" w:space="0" w:color="4472C4" w:themeColor="accent5"/>
            </w:tcBorders>
            <w:shd w:val="clear" w:color="auto" w:fill="auto"/>
            <w:noWrap/>
            <w:hideMark/>
          </w:tcPr>
          <w:p w14:paraId="68C452A4" w14:textId="77777777" w:rsidR="000D42F1" w:rsidRPr="00F306B5" w:rsidRDefault="000D42F1">
            <w:pPr>
              <w:pStyle w:val="Tables"/>
              <w:rPr>
                <w:b/>
                <w:bCs/>
              </w:rPr>
            </w:pPr>
            <w:r w:rsidRPr="00F306B5">
              <w:rPr>
                <w:b/>
                <w:bCs/>
              </w:rPr>
              <w:t>69</w:t>
            </w:r>
            <w:r w:rsidRPr="00F306B5">
              <w:rPr>
                <w:b/>
                <w:bCs/>
              </w:rPr>
              <w:br/>
              <w:t>(0.1%)</w:t>
            </w:r>
          </w:p>
        </w:tc>
        <w:tc>
          <w:tcPr>
            <w:tcW w:w="1433" w:type="dxa"/>
            <w:tcBorders>
              <w:bottom w:val="single" w:sz="12" w:space="0" w:color="4472C4" w:themeColor="accent5"/>
            </w:tcBorders>
            <w:shd w:val="clear" w:color="auto" w:fill="auto"/>
            <w:noWrap/>
            <w:hideMark/>
          </w:tcPr>
          <w:p w14:paraId="4EA344E7" w14:textId="77777777" w:rsidR="000D42F1" w:rsidRPr="00F306B5" w:rsidRDefault="000D42F1">
            <w:pPr>
              <w:pStyle w:val="Tables"/>
              <w:rPr>
                <w:b/>
                <w:bCs/>
              </w:rPr>
            </w:pPr>
            <w:r w:rsidRPr="00F306B5">
              <w:rPr>
                <w:b/>
                <w:bCs/>
              </w:rPr>
              <w:t xml:space="preserve"> 4.9% </w:t>
            </w:r>
          </w:p>
        </w:tc>
        <w:tc>
          <w:tcPr>
            <w:tcW w:w="1434" w:type="dxa"/>
            <w:tcBorders>
              <w:bottom w:val="single" w:sz="12" w:space="0" w:color="4472C4" w:themeColor="accent5"/>
            </w:tcBorders>
            <w:shd w:val="clear" w:color="auto" w:fill="auto"/>
            <w:noWrap/>
            <w:hideMark/>
          </w:tcPr>
          <w:p w14:paraId="68973E43" w14:textId="77777777" w:rsidR="000D42F1" w:rsidRPr="00F306B5" w:rsidRDefault="000D42F1">
            <w:pPr>
              <w:pStyle w:val="Tables"/>
              <w:rPr>
                <w:b/>
                <w:bCs/>
              </w:rPr>
            </w:pPr>
            <w:r w:rsidRPr="00F306B5">
              <w:rPr>
                <w:b/>
                <w:bCs/>
              </w:rPr>
              <w:t xml:space="preserve">44.4 </w:t>
            </w:r>
          </w:p>
        </w:tc>
        <w:tc>
          <w:tcPr>
            <w:tcW w:w="1433" w:type="dxa"/>
            <w:tcBorders>
              <w:bottom w:val="single" w:sz="12" w:space="0" w:color="4472C4" w:themeColor="accent5"/>
            </w:tcBorders>
            <w:shd w:val="clear" w:color="auto" w:fill="auto"/>
            <w:noWrap/>
            <w:hideMark/>
          </w:tcPr>
          <w:p w14:paraId="0D3C8335" w14:textId="77777777" w:rsidR="000D42F1" w:rsidRPr="00F306B5" w:rsidRDefault="000D42F1">
            <w:pPr>
              <w:pStyle w:val="Tables"/>
              <w:rPr>
                <w:b/>
                <w:bCs/>
              </w:rPr>
            </w:pPr>
            <w:r w:rsidRPr="00F306B5">
              <w:rPr>
                <w:b/>
                <w:bCs/>
              </w:rPr>
              <w:t>$111,914</w:t>
            </w:r>
          </w:p>
        </w:tc>
        <w:tc>
          <w:tcPr>
            <w:tcW w:w="1433" w:type="dxa"/>
            <w:tcBorders>
              <w:bottom w:val="single" w:sz="12" w:space="0" w:color="4472C4" w:themeColor="accent5"/>
            </w:tcBorders>
            <w:shd w:val="clear" w:color="auto" w:fill="auto"/>
            <w:noWrap/>
            <w:hideMark/>
          </w:tcPr>
          <w:p w14:paraId="65824D30" w14:textId="77777777" w:rsidR="000D42F1" w:rsidRPr="00F306B5" w:rsidRDefault="000D42F1">
            <w:pPr>
              <w:pStyle w:val="Tables"/>
              <w:rPr>
                <w:b/>
                <w:bCs/>
              </w:rPr>
            </w:pPr>
            <w:r w:rsidRPr="00F306B5">
              <w:rPr>
                <w:b/>
                <w:bCs/>
              </w:rPr>
              <w:t xml:space="preserve"> 6.8% </w:t>
            </w:r>
          </w:p>
        </w:tc>
        <w:tc>
          <w:tcPr>
            <w:tcW w:w="1433" w:type="dxa"/>
            <w:tcBorders>
              <w:bottom w:val="single" w:sz="12" w:space="0" w:color="4472C4" w:themeColor="accent5"/>
            </w:tcBorders>
            <w:shd w:val="clear" w:color="auto" w:fill="auto"/>
            <w:noWrap/>
            <w:hideMark/>
          </w:tcPr>
          <w:p w14:paraId="52D80879" w14:textId="77777777" w:rsidR="000D42F1" w:rsidRPr="00F306B5" w:rsidRDefault="000D42F1">
            <w:pPr>
              <w:pStyle w:val="Tables"/>
              <w:rPr>
                <w:b/>
                <w:bCs/>
              </w:rPr>
            </w:pPr>
            <w:r w:rsidRPr="00F306B5">
              <w:rPr>
                <w:b/>
                <w:bCs/>
              </w:rPr>
              <w:t xml:space="preserve"> 44.9% </w:t>
            </w:r>
          </w:p>
        </w:tc>
        <w:tc>
          <w:tcPr>
            <w:tcW w:w="1434" w:type="dxa"/>
            <w:tcBorders>
              <w:bottom w:val="single" w:sz="12" w:space="0" w:color="4472C4" w:themeColor="accent5"/>
              <w:right w:val="single" w:sz="12" w:space="0" w:color="4472C4" w:themeColor="accent5"/>
            </w:tcBorders>
            <w:shd w:val="clear" w:color="auto" w:fill="auto"/>
            <w:noWrap/>
            <w:hideMark/>
          </w:tcPr>
          <w:p w14:paraId="44C9E239" w14:textId="07C3983B" w:rsidR="000D42F1" w:rsidRPr="00F306B5" w:rsidRDefault="000D42F1">
            <w:pPr>
              <w:pStyle w:val="Tables"/>
              <w:rPr>
                <w:b/>
                <w:bCs/>
              </w:rPr>
            </w:pPr>
            <w:r w:rsidRPr="00F306B5">
              <w:rPr>
                <w:b/>
                <w:bCs/>
              </w:rPr>
              <w:t>-7.3ppt</w:t>
            </w:r>
          </w:p>
        </w:tc>
      </w:tr>
    </w:tbl>
    <w:p w14:paraId="4AF35457" w14:textId="77777777" w:rsidR="000D42F1" w:rsidRDefault="000D42F1" w:rsidP="000D42F1">
      <w:pPr>
        <w:pStyle w:val="Heading3"/>
        <w:spacing w:line="240" w:lineRule="auto"/>
        <w:sectPr w:rsidR="000D42F1" w:rsidSect="00750F4B">
          <w:headerReference w:type="even" r:id="rId57"/>
          <w:headerReference w:type="default" r:id="rId58"/>
          <w:footerReference w:type="default" r:id="rId59"/>
          <w:headerReference w:type="first" r:id="rId60"/>
          <w:pgSz w:w="16838" w:h="11906" w:orient="landscape"/>
          <w:pgMar w:top="1440" w:right="1440" w:bottom="1274" w:left="1440" w:header="708" w:footer="373" w:gutter="0"/>
          <w:cols w:space="708"/>
          <w:docGrid w:linePitch="360"/>
        </w:sectPr>
      </w:pPr>
    </w:p>
    <w:p w14:paraId="73F77A53" w14:textId="77777777" w:rsidR="000D42F1" w:rsidRPr="005038C8" w:rsidRDefault="000D42F1" w:rsidP="000D42F1">
      <w:pPr>
        <w:pStyle w:val="Heading3"/>
        <w:spacing w:before="0" w:line="240" w:lineRule="auto"/>
      </w:pPr>
      <w:bookmarkStart w:id="60" w:name="_Toc151900171"/>
      <w:r w:rsidRPr="00B14D4A">
        <w:lastRenderedPageBreak/>
        <w:t xml:space="preserve">Redeployment, redundancy, severances and separation </w:t>
      </w:r>
      <w:r w:rsidRPr="005038C8">
        <w:t>payments</w:t>
      </w:r>
      <w:bookmarkEnd w:id="60"/>
    </w:p>
    <w:p w14:paraId="781CB17E" w14:textId="4EA5C716" w:rsidR="000D42F1" w:rsidRPr="005038C8" w:rsidRDefault="000D42F1" w:rsidP="000D42F1">
      <w:pPr>
        <w:spacing w:line="240" w:lineRule="auto"/>
      </w:pPr>
      <w:r w:rsidRPr="005038C8">
        <w:t>At 30 June 202</w:t>
      </w:r>
      <w:r>
        <w:t>3</w:t>
      </w:r>
      <w:r w:rsidRPr="005038C8">
        <w:t>, there were 2</w:t>
      </w:r>
      <w:r>
        <w:t>27</w:t>
      </w:r>
      <w:r w:rsidRPr="005038C8">
        <w:t xml:space="preserve"> employees in the public sector identified as surplus to requirements (</w:t>
      </w:r>
      <w:r>
        <w:t>226</w:t>
      </w:r>
      <w:r w:rsidRPr="005038C8">
        <w:t xml:space="preserve"> </w:t>
      </w:r>
      <w:r>
        <w:t>registrable</w:t>
      </w:r>
      <w:r w:rsidRPr="005038C8">
        <w:t xml:space="preserve"> and </w:t>
      </w:r>
      <w:r>
        <w:t>1</w:t>
      </w:r>
      <w:r w:rsidRPr="005038C8">
        <w:t xml:space="preserve"> registered). At the same point last year there were </w:t>
      </w:r>
      <w:r>
        <w:t>223</w:t>
      </w:r>
      <w:r w:rsidRPr="005038C8">
        <w:t xml:space="preserve"> registrable and </w:t>
      </w:r>
      <w:r>
        <w:t>20</w:t>
      </w:r>
      <w:r w:rsidRPr="005038C8">
        <w:t xml:space="preserve"> registered </w:t>
      </w:r>
      <w:r>
        <w:t>employees</w:t>
      </w:r>
      <w:r w:rsidRPr="005038C8">
        <w:t xml:space="preserve">. </w:t>
      </w:r>
    </w:p>
    <w:p w14:paraId="7FD22BFA" w14:textId="77777777" w:rsidR="000D42F1" w:rsidRPr="005038C8" w:rsidRDefault="000D42F1" w:rsidP="000D42F1">
      <w:pPr>
        <w:spacing w:line="240" w:lineRule="auto"/>
      </w:pPr>
      <w:r w:rsidRPr="005038C8">
        <w:t xml:space="preserve">There were </w:t>
      </w:r>
      <w:r>
        <w:t>79</w:t>
      </w:r>
      <w:r w:rsidRPr="005038C8">
        <w:t xml:space="preserve"> voluntary severances in 20</w:t>
      </w:r>
      <w:r>
        <w:t xml:space="preserve">22-23 </w:t>
      </w:r>
      <w:r w:rsidRPr="005038C8">
        <w:t>totalling $</w:t>
      </w:r>
      <w:r>
        <w:t>9,186,368</w:t>
      </w:r>
      <w:r w:rsidRPr="005038C8">
        <w:t xml:space="preserve">. </w:t>
      </w:r>
      <w:r>
        <w:t>In 2021-22 there were also 79</w:t>
      </w:r>
      <w:r w:rsidRPr="005038C8">
        <w:t xml:space="preserve"> voluntary severances</w:t>
      </w:r>
      <w:r>
        <w:t xml:space="preserve"> </w:t>
      </w:r>
      <w:r w:rsidRPr="005038C8">
        <w:t>totalling $</w:t>
      </w:r>
      <w:r>
        <w:t>9,944,737</w:t>
      </w:r>
      <w:r w:rsidRPr="005038C8">
        <w:t>.</w:t>
      </w:r>
    </w:p>
    <w:p w14:paraId="3CEE03BE" w14:textId="5C05D4E3" w:rsidR="000D42F1" w:rsidRPr="005038C8" w:rsidRDefault="000D42F1" w:rsidP="000D42F1">
      <w:pPr>
        <w:spacing w:line="240" w:lineRule="auto"/>
      </w:pPr>
      <w:r>
        <w:t>P</w:t>
      </w:r>
      <w:r w:rsidRPr="005038C8">
        <w:t>ublic sector agencies with the most voluntary severances in 202</w:t>
      </w:r>
      <w:r>
        <w:t>2</w:t>
      </w:r>
      <w:r w:rsidRPr="005038C8">
        <w:t>-2</w:t>
      </w:r>
      <w:r>
        <w:t>3</w:t>
      </w:r>
      <w:r w:rsidRPr="005038C8">
        <w:t xml:space="preserve"> were the </w:t>
      </w:r>
      <w:r>
        <w:t>Animal Resource</w:t>
      </w:r>
      <w:r w:rsidR="00502787">
        <w:t>s</w:t>
      </w:r>
      <w:r>
        <w:t xml:space="preserve"> Centre</w:t>
      </w:r>
      <w:r w:rsidRPr="005038C8">
        <w:t xml:space="preserve"> (</w:t>
      </w:r>
      <w:r>
        <w:t>41</w:t>
      </w:r>
      <w:r w:rsidRPr="005038C8">
        <w:t>)</w:t>
      </w:r>
      <w:r>
        <w:t xml:space="preserve"> that wound down and officially transitioned to a private entity at 30 June 2023; South Regional TAFE </w:t>
      </w:r>
      <w:r w:rsidRPr="005038C8">
        <w:t>(</w:t>
      </w:r>
      <w:r>
        <w:t>5</w:t>
      </w:r>
      <w:r w:rsidRPr="005038C8">
        <w:t>)</w:t>
      </w:r>
      <w:r>
        <w:t>; D</w:t>
      </w:r>
      <w:r w:rsidRPr="005038C8">
        <w:t>epartment of Biodiversity, Conservation and Attractions</w:t>
      </w:r>
      <w:r>
        <w:t xml:space="preserve"> (4); and Insurance Commission of WA (3)</w:t>
      </w:r>
      <w:r w:rsidRPr="005038C8">
        <w:t xml:space="preserve">. There were </w:t>
      </w:r>
      <w:r>
        <w:t>9</w:t>
      </w:r>
      <w:r w:rsidRPr="005038C8">
        <w:t xml:space="preserve"> involuntary severance</w:t>
      </w:r>
      <w:r>
        <w:t>s</w:t>
      </w:r>
      <w:r w:rsidRPr="005038C8">
        <w:t xml:space="preserve"> during the year</w:t>
      </w:r>
      <w:r>
        <w:t xml:space="preserve"> (6 from Animal Resource</w:t>
      </w:r>
      <w:r w:rsidR="00502787">
        <w:t>s</w:t>
      </w:r>
      <w:r>
        <w:t xml:space="preserve"> Centre)</w:t>
      </w:r>
      <w:r w:rsidRPr="005038C8">
        <w:t>.</w:t>
      </w:r>
    </w:p>
    <w:p w14:paraId="1212557C" w14:textId="729D2BEC" w:rsidR="000D42F1" w:rsidRDefault="000D42F1" w:rsidP="000D42F1">
      <w:pPr>
        <w:spacing w:line="240" w:lineRule="auto"/>
      </w:pPr>
      <w:r w:rsidRPr="005038C8">
        <w:t xml:space="preserve">While </w:t>
      </w:r>
      <w:r w:rsidR="00E07D3D">
        <w:t>Senior Executive Service (</w:t>
      </w:r>
      <w:r w:rsidRPr="005038C8">
        <w:t>SES</w:t>
      </w:r>
      <w:r w:rsidR="00E07D3D">
        <w:t>)</w:t>
      </w:r>
      <w:r w:rsidRPr="005038C8">
        <w:t xml:space="preserve"> officers are not eligible to receive voluntary severances, separation payments for early termination in the SES are dealt with under section 59 of the PSM Act. </w:t>
      </w:r>
      <w:r>
        <w:t>No</w:t>
      </w:r>
      <w:r w:rsidRPr="005038C8">
        <w:t xml:space="preserve"> section 59 separation payment</w:t>
      </w:r>
      <w:r>
        <w:t>s</w:t>
      </w:r>
      <w:r w:rsidRPr="005038C8">
        <w:t xml:space="preserve"> </w:t>
      </w:r>
      <w:r>
        <w:t>were</w:t>
      </w:r>
      <w:r w:rsidRPr="005038C8">
        <w:t xml:space="preserve"> paid during 202</w:t>
      </w:r>
      <w:r>
        <w:t>2</w:t>
      </w:r>
      <w:r w:rsidRPr="005038C8">
        <w:t>-2</w:t>
      </w:r>
      <w:r>
        <w:t>3 (down from 5 in 2021-22 totalling $553,797).</w:t>
      </w:r>
    </w:p>
    <w:p w14:paraId="64663822" w14:textId="77777777" w:rsidR="000D42F1" w:rsidRPr="00B14D4A" w:rsidRDefault="000D42F1" w:rsidP="000D42F1">
      <w:pPr>
        <w:pStyle w:val="Heading3"/>
        <w:spacing w:line="240" w:lineRule="auto"/>
      </w:pPr>
      <w:bookmarkStart w:id="61" w:name="_Toc151900172"/>
      <w:r w:rsidRPr="00B14D4A">
        <w:t>Managing temporary personnel in the public sector</w:t>
      </w:r>
      <w:bookmarkEnd w:id="61"/>
    </w:p>
    <w:p w14:paraId="40845222" w14:textId="7C144C00" w:rsidR="000D42F1" w:rsidRDefault="000D42F1" w:rsidP="000D42F1">
      <w:pPr>
        <w:spacing w:line="240" w:lineRule="auto"/>
      </w:pPr>
      <w:r>
        <w:t>Based on data provided to the Department of Finance, public sector agencies spent $130.3 million under the Temporary Personnel Services Common Use Arrangement (CUATPS2019) in 2022-23</w:t>
      </w:r>
      <w:r w:rsidR="003111D8">
        <w:t xml:space="preserve"> (</w:t>
      </w:r>
      <w:r w:rsidR="003111D8" w:rsidRPr="003111D8">
        <w:fldChar w:fldCharType="begin"/>
      </w:r>
      <w:r w:rsidR="003111D8" w:rsidRPr="003111D8">
        <w:instrText xml:space="preserve"> REF _Ref85727105 \h  \* MERGEFORMAT </w:instrText>
      </w:r>
      <w:r w:rsidR="003111D8" w:rsidRPr="003111D8">
        <w:fldChar w:fldCharType="separate"/>
      </w:r>
      <w:r w:rsidR="003111D8" w:rsidRPr="003111D8">
        <w:t xml:space="preserve">Figure </w:t>
      </w:r>
      <w:r w:rsidR="003111D8" w:rsidRPr="003111D8">
        <w:rPr>
          <w:noProof/>
        </w:rPr>
        <w:t>13</w:t>
      </w:r>
      <w:r w:rsidR="003111D8" w:rsidRPr="003111D8">
        <w:fldChar w:fldCharType="end"/>
      </w:r>
      <w:r w:rsidR="003111D8">
        <w:t>)</w:t>
      </w:r>
      <w:r>
        <w:t>. This was an increase of $5.0 million from the $125.3 million spent in 2021-22. The increased spend can be attributed to continued high demand for temporary personnel in the Western Australia market, resulting in the average hourly rate for all engagements across CUATPS2019 increasing from $68.05 in 2021-22 to $74.11 in 2022-23.</w:t>
      </w:r>
    </w:p>
    <w:p w14:paraId="2F4FBDC4" w14:textId="27CCEA32" w:rsidR="000D42F1" w:rsidRDefault="000D42F1" w:rsidP="000D42F1">
      <w:pPr>
        <w:spacing w:line="240" w:lineRule="auto"/>
      </w:pPr>
      <w:r>
        <w:t>The Department of Primary Industries and Regional Development recorded a $3.9 million increase from 2021-22 due to increased pest management response</w:t>
      </w:r>
      <w:r w:rsidR="002273B8">
        <w:t>s</w:t>
      </w:r>
      <w:r>
        <w:t xml:space="preserve">. Other notable rises were due to increased consumer protection and licensing engagements at the Department of Mines, Industry Regulation and Safety ($1.7 million increase from 2021-22); and increased engagements in </w:t>
      </w:r>
      <w:r w:rsidR="00502787">
        <w:t xml:space="preserve">disaster </w:t>
      </w:r>
      <w:r>
        <w:t>recovery funding at the Department of Fire and Emergency Services ($1.6 million increase from 2021-22).</w:t>
      </w:r>
    </w:p>
    <w:p w14:paraId="212FD2C2" w14:textId="619BFE7D" w:rsidR="000D42F1" w:rsidRDefault="00000000" w:rsidP="000D42F1">
      <w:pPr>
        <w:spacing w:line="240" w:lineRule="auto"/>
      </w:pPr>
      <w:hyperlink r:id="rId61" w:history="1">
        <w:r w:rsidR="000D42F1" w:rsidRPr="003E59B7">
          <w:rPr>
            <w:rStyle w:val="Hyperlink"/>
          </w:rPr>
          <w:t>Commissioner’s Instruction 41: Contracts for Services</w:t>
        </w:r>
      </w:hyperlink>
      <w:r w:rsidR="000D42F1">
        <w:t xml:space="preserve"> was released in April 2023 to replace Approved Procedure 5: Contracts for Services Procedures. The new instruction provides limited circumstances in which contracts for services can be used to temporarily engage individuals, either directly or through labour hire or other companies</w:t>
      </w:r>
      <w:r w:rsidR="00502787">
        <w:t xml:space="preserve"> or </w:t>
      </w:r>
      <w:r w:rsidR="000D42F1">
        <w:t>organisations. The new instruction requires agencies to first consider whether employees can undertake the work, limits engagements to 12 months, provides greater clarity and more streamlined rules around circumstances when contractors can be used, and details record keeping requirements.</w:t>
      </w:r>
    </w:p>
    <w:p w14:paraId="42B52C0D" w14:textId="12A028AE" w:rsidR="000D42F1" w:rsidRDefault="000D42F1" w:rsidP="000D42F1">
      <w:pPr>
        <w:pStyle w:val="Caption"/>
        <w:rPr>
          <w:b/>
        </w:rPr>
      </w:pPr>
      <w:bookmarkStart w:id="62" w:name="_Ref85727105"/>
      <w:bookmarkStart w:id="63" w:name="_Ref85727099"/>
      <w:r w:rsidRPr="00E94AFC">
        <w:rPr>
          <w:b/>
          <w:bCs/>
        </w:rPr>
        <w:lastRenderedPageBreak/>
        <w:t xml:space="preserve">Figure </w:t>
      </w:r>
      <w:r w:rsidRPr="00E94AFC">
        <w:rPr>
          <w:b/>
          <w:bCs/>
        </w:rPr>
        <w:fldChar w:fldCharType="begin"/>
      </w:r>
      <w:r w:rsidRPr="00E94AFC">
        <w:rPr>
          <w:b/>
          <w:bCs/>
        </w:rPr>
        <w:instrText xml:space="preserve"> SEQ Figure \* ARABIC </w:instrText>
      </w:r>
      <w:r w:rsidRPr="00E94AFC">
        <w:rPr>
          <w:b/>
          <w:bCs/>
        </w:rPr>
        <w:fldChar w:fldCharType="separate"/>
      </w:r>
      <w:r w:rsidR="0048418F">
        <w:rPr>
          <w:b/>
          <w:bCs/>
          <w:noProof/>
        </w:rPr>
        <w:t>13</w:t>
      </w:r>
      <w:r w:rsidRPr="00E94AFC">
        <w:rPr>
          <w:b/>
          <w:bCs/>
        </w:rPr>
        <w:fldChar w:fldCharType="end"/>
      </w:r>
      <w:bookmarkEnd w:id="62"/>
      <w:r>
        <w:rPr>
          <w:b/>
          <w:bCs/>
        </w:rPr>
        <w:t>:</w:t>
      </w:r>
      <w:r w:rsidRPr="00D20A39">
        <w:rPr>
          <w:b/>
          <w:bCs/>
        </w:rPr>
        <w:t xml:space="preserve"> Annual expenditure on temporary personnel in WA public sector 20</w:t>
      </w:r>
      <w:r>
        <w:rPr>
          <w:b/>
          <w:bCs/>
        </w:rPr>
        <w:t>18-19</w:t>
      </w:r>
      <w:r w:rsidRPr="00D20A39">
        <w:rPr>
          <w:b/>
          <w:bCs/>
        </w:rPr>
        <w:t xml:space="preserve"> to </w:t>
      </w:r>
      <w:bookmarkEnd w:id="63"/>
      <w:r w:rsidRPr="00D20A39">
        <w:rPr>
          <w:b/>
          <w:bCs/>
        </w:rPr>
        <w:t>20</w:t>
      </w:r>
      <w:r>
        <w:rPr>
          <w:b/>
          <w:bCs/>
        </w:rPr>
        <w:t>22-23</w:t>
      </w:r>
    </w:p>
    <w:p w14:paraId="3B67C4D1" w14:textId="0AD79134" w:rsidR="000D42F1" w:rsidRPr="00D20A39" w:rsidRDefault="00292935" w:rsidP="000D42F1">
      <w:pPr>
        <w:spacing w:after="240" w:line="240" w:lineRule="auto"/>
      </w:pPr>
      <w:r>
        <w:rPr>
          <w:noProof/>
        </w:rPr>
        <w:drawing>
          <wp:inline distT="0" distB="0" distL="0" distR="0" wp14:anchorId="09B38FFE" wp14:editId="5862B9D1">
            <wp:extent cx="5661660" cy="2246812"/>
            <wp:effectExtent l="0" t="0" r="15240" b="1270"/>
            <wp:docPr id="2129432123" name="Chart 1" descr="A bar graph showing the annual expenditure on temporary personnel in the WA public sector each year from 2018-19 to 2022-23. Expenditure was around $88 million in both 2018-19 and 2019-20, and has been increasing since then as described in the preceding text.">
              <a:extLst xmlns:a="http://schemas.openxmlformats.org/drawingml/2006/main">
                <a:ext uri="{FF2B5EF4-FFF2-40B4-BE49-F238E27FC236}">
                  <a16:creationId xmlns:a16="http://schemas.microsoft.com/office/drawing/2014/main" id="{D2470A23-20BC-4DCA-955E-E3B225B29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F65474" w14:textId="77777777" w:rsidR="000D42F1" w:rsidRDefault="000D42F1" w:rsidP="000D42F1">
      <w:pPr>
        <w:pStyle w:val="Heading3"/>
        <w:spacing w:before="0" w:line="240" w:lineRule="auto"/>
        <w:rPr>
          <w:rFonts w:eastAsia="Calibri"/>
          <w:lang w:val="en-US" w:eastAsia="en-US"/>
        </w:rPr>
      </w:pPr>
      <w:bookmarkStart w:id="64" w:name="_Toc151900173"/>
      <w:r w:rsidRPr="00CB36C1">
        <w:rPr>
          <w:rFonts w:eastAsia="Calibri"/>
          <w:lang w:val="en-US" w:eastAsia="en-US"/>
        </w:rPr>
        <w:t>Managing leave</w:t>
      </w:r>
      <w:bookmarkEnd w:id="64"/>
    </w:p>
    <w:p w14:paraId="7DACFC45" w14:textId="0EB379FB" w:rsidR="000D42F1" w:rsidRPr="008C270C" w:rsidRDefault="000D42F1" w:rsidP="000D42F1">
      <w:pPr>
        <w:spacing w:line="240" w:lineRule="auto"/>
        <w:rPr>
          <w:rFonts w:eastAsiaTheme="minorEastAsia"/>
        </w:rPr>
      </w:pPr>
      <w:bookmarkStart w:id="65" w:name="_Ref84253630"/>
      <w:r w:rsidRPr="008C270C">
        <w:rPr>
          <w:rFonts w:eastAsiaTheme="minorEastAsia"/>
        </w:rPr>
        <w:t>In 2022-23 use of annual leave in the public sector</w:t>
      </w:r>
      <w:r>
        <w:rPr>
          <w:rFonts w:eastAsiaTheme="minorEastAsia"/>
        </w:rPr>
        <w:t xml:space="preserve"> was </w:t>
      </w:r>
      <w:r w:rsidR="00CB5D8D">
        <w:rPr>
          <w:rFonts w:eastAsiaTheme="minorEastAsia"/>
        </w:rPr>
        <w:t xml:space="preserve">on average </w:t>
      </w:r>
      <w:r w:rsidR="000C47A2">
        <w:rPr>
          <w:rFonts w:eastAsiaTheme="minorEastAsia"/>
        </w:rPr>
        <w:t xml:space="preserve">29.8 </w:t>
      </w:r>
      <w:r>
        <w:rPr>
          <w:rFonts w:eastAsiaTheme="minorEastAsia"/>
        </w:rPr>
        <w:t>days per FTE</w:t>
      </w:r>
      <w:r w:rsidR="004B71DF">
        <w:rPr>
          <w:rFonts w:eastAsiaTheme="minorEastAsia"/>
        </w:rPr>
        <w:t xml:space="preserve">, approaching levels </w:t>
      </w:r>
      <w:r w:rsidR="004B71DF" w:rsidRPr="008C270C">
        <w:rPr>
          <w:rFonts w:eastAsiaTheme="minorEastAsia"/>
        </w:rPr>
        <w:t>last seen before the COVID-19 pandemic</w:t>
      </w:r>
      <w:r w:rsidR="004B71DF">
        <w:rPr>
          <w:rFonts w:eastAsiaTheme="minorEastAsia"/>
        </w:rPr>
        <w:t>. W</w:t>
      </w:r>
      <w:r>
        <w:rPr>
          <w:rFonts w:eastAsiaTheme="minorEastAsia"/>
        </w:rPr>
        <w:t xml:space="preserve">hen excluding </w:t>
      </w:r>
      <w:r w:rsidRPr="00501424">
        <w:t>education aides, teachers and education managers at the Department of Education</w:t>
      </w:r>
      <w:r>
        <w:rPr>
          <w:rStyle w:val="FootnoteReference"/>
          <w:rFonts w:eastAsiaTheme="minorEastAsia"/>
        </w:rPr>
        <w:footnoteReference w:id="9"/>
      </w:r>
      <w:r>
        <w:t xml:space="preserve">, </w:t>
      </w:r>
      <w:r w:rsidRPr="008C270C">
        <w:rPr>
          <w:rFonts w:eastAsiaTheme="minorEastAsia"/>
        </w:rPr>
        <w:t>use of annual leave averag</w:t>
      </w:r>
      <w:r w:rsidR="004B71DF">
        <w:rPr>
          <w:rFonts w:eastAsiaTheme="minorEastAsia"/>
        </w:rPr>
        <w:t>ed</w:t>
      </w:r>
      <w:r w:rsidRPr="008C270C">
        <w:rPr>
          <w:rFonts w:eastAsiaTheme="minorEastAsia"/>
        </w:rPr>
        <w:t xml:space="preserve"> </w:t>
      </w:r>
      <w:r w:rsidR="000C47A2">
        <w:rPr>
          <w:rFonts w:eastAsiaTheme="minorEastAsia"/>
        </w:rPr>
        <w:t>20.2</w:t>
      </w:r>
      <w:r w:rsidRPr="008C270C">
        <w:rPr>
          <w:rFonts w:eastAsiaTheme="minorEastAsia"/>
        </w:rPr>
        <w:t xml:space="preserve"> days per FTE</w:t>
      </w:r>
      <w:r w:rsidR="000C47A2">
        <w:rPr>
          <w:rFonts w:eastAsiaTheme="minorEastAsia"/>
        </w:rPr>
        <w:t xml:space="preserve">, slightly below the 21.4 days per FTE recorded in 2018-19. </w:t>
      </w:r>
    </w:p>
    <w:p w14:paraId="7056EBCF" w14:textId="7A1D2E47" w:rsidR="000D42F1" w:rsidRDefault="000D42F1" w:rsidP="000D42F1">
      <w:pPr>
        <w:spacing w:line="240" w:lineRule="auto"/>
        <w:rPr>
          <w:rFonts w:eastAsiaTheme="minorEastAsia"/>
        </w:rPr>
      </w:pPr>
      <w:r w:rsidRPr="008C270C">
        <w:rPr>
          <w:rFonts w:eastAsiaTheme="minorEastAsia"/>
        </w:rPr>
        <w:t>Use of long service leave also started to increase</w:t>
      </w:r>
      <w:r>
        <w:rPr>
          <w:rFonts w:eastAsiaTheme="minorEastAsia"/>
        </w:rPr>
        <w:t xml:space="preserve"> </w:t>
      </w:r>
      <w:r w:rsidRPr="008C270C">
        <w:rPr>
          <w:rFonts w:eastAsiaTheme="minorEastAsia"/>
        </w:rPr>
        <w:t xml:space="preserve">at </w:t>
      </w:r>
      <w:r w:rsidR="00CB5D8D">
        <w:rPr>
          <w:rFonts w:eastAsiaTheme="minorEastAsia"/>
        </w:rPr>
        <w:t xml:space="preserve">on average </w:t>
      </w:r>
      <w:r w:rsidR="001E0125">
        <w:rPr>
          <w:rFonts w:eastAsiaTheme="minorEastAsia"/>
        </w:rPr>
        <w:t>4.</w:t>
      </w:r>
      <w:r w:rsidR="005458AB">
        <w:rPr>
          <w:rFonts w:eastAsiaTheme="minorEastAsia"/>
        </w:rPr>
        <w:t>1</w:t>
      </w:r>
      <w:r w:rsidRPr="008C270C">
        <w:rPr>
          <w:rFonts w:eastAsiaTheme="minorEastAsia"/>
        </w:rPr>
        <w:t xml:space="preserve"> days per FTE</w:t>
      </w:r>
      <w:r>
        <w:rPr>
          <w:rFonts w:eastAsiaTheme="minorEastAsia"/>
        </w:rPr>
        <w:t xml:space="preserve"> in 2022-23 but was</w:t>
      </w:r>
      <w:r w:rsidRPr="008C270C">
        <w:rPr>
          <w:rFonts w:eastAsiaTheme="minorEastAsia"/>
        </w:rPr>
        <w:t xml:space="preserve"> still slightly below the </w:t>
      </w:r>
      <w:r w:rsidR="001E0125">
        <w:rPr>
          <w:rFonts w:eastAsiaTheme="minorEastAsia"/>
        </w:rPr>
        <w:t>4.</w:t>
      </w:r>
      <w:r w:rsidR="005458AB">
        <w:rPr>
          <w:rFonts w:eastAsiaTheme="minorEastAsia"/>
        </w:rPr>
        <w:t>5</w:t>
      </w:r>
      <w:r w:rsidR="001E0125">
        <w:rPr>
          <w:rFonts w:eastAsiaTheme="minorEastAsia"/>
        </w:rPr>
        <w:t xml:space="preserve"> d</w:t>
      </w:r>
      <w:r w:rsidRPr="008C270C">
        <w:rPr>
          <w:rFonts w:eastAsiaTheme="minorEastAsia"/>
        </w:rPr>
        <w:t xml:space="preserve">ays recorded in 2018-19. </w:t>
      </w:r>
    </w:p>
    <w:p w14:paraId="51A167FF" w14:textId="0B55D090" w:rsidR="000D42F1" w:rsidRPr="008C270C" w:rsidRDefault="000D42F1" w:rsidP="000D42F1">
      <w:pPr>
        <w:spacing w:line="240" w:lineRule="auto"/>
        <w:rPr>
          <w:rFonts w:eastAsiaTheme="minorEastAsia"/>
        </w:rPr>
      </w:pPr>
      <w:r w:rsidRPr="008C270C">
        <w:rPr>
          <w:rFonts w:eastAsiaTheme="minorEastAsia"/>
        </w:rPr>
        <w:t xml:space="preserve">Personal leave (including sick and other types of personal leave) averaged </w:t>
      </w:r>
      <w:r w:rsidR="001E0125">
        <w:rPr>
          <w:rFonts w:eastAsiaTheme="minorEastAsia"/>
        </w:rPr>
        <w:t>11.4</w:t>
      </w:r>
      <w:r w:rsidRPr="008C270C">
        <w:rPr>
          <w:rFonts w:eastAsiaTheme="minorEastAsia"/>
        </w:rPr>
        <w:t xml:space="preserve"> days per FTE</w:t>
      </w:r>
      <w:r>
        <w:rPr>
          <w:rFonts w:eastAsiaTheme="minorEastAsia"/>
        </w:rPr>
        <w:t xml:space="preserve"> in 2022-23</w:t>
      </w:r>
      <w:r w:rsidRPr="008C270C">
        <w:rPr>
          <w:rFonts w:eastAsiaTheme="minorEastAsia"/>
        </w:rPr>
        <w:t xml:space="preserve">, up from </w:t>
      </w:r>
      <w:r w:rsidR="001E0125">
        <w:rPr>
          <w:rFonts w:eastAsiaTheme="minorEastAsia"/>
        </w:rPr>
        <w:t xml:space="preserve">11.1 </w:t>
      </w:r>
      <w:r w:rsidRPr="008C270C">
        <w:rPr>
          <w:rFonts w:eastAsiaTheme="minorEastAsia"/>
        </w:rPr>
        <w:t>days per FTE in 2018-19.</w:t>
      </w:r>
    </w:p>
    <w:p w14:paraId="381F8EF5" w14:textId="5905B5AF" w:rsidR="000D42F1" w:rsidRDefault="000D42F1" w:rsidP="000D42F1">
      <w:pPr>
        <w:spacing w:line="240" w:lineRule="auto"/>
        <w:rPr>
          <w:rFonts w:eastAsiaTheme="minorEastAsia"/>
        </w:rPr>
      </w:pPr>
      <w:r>
        <w:rPr>
          <w:rFonts w:eastAsiaTheme="minorEastAsia"/>
        </w:rPr>
        <w:t>While a</w:t>
      </w:r>
      <w:r w:rsidRPr="008C270C">
        <w:rPr>
          <w:rFonts w:eastAsiaTheme="minorEastAsia"/>
        </w:rPr>
        <w:t xml:space="preserve">nnual leave liability (leave hours owed to current employees) increased </w:t>
      </w:r>
      <w:r>
        <w:rPr>
          <w:rFonts w:eastAsiaTheme="minorEastAsia"/>
        </w:rPr>
        <w:t>slightly to 14.4</w:t>
      </w:r>
      <w:r w:rsidR="00A41B23">
        <w:rPr>
          <w:rFonts w:eastAsiaTheme="minorEastAsia"/>
        </w:rPr>
        <w:t> </w:t>
      </w:r>
      <w:r>
        <w:rPr>
          <w:rFonts w:eastAsiaTheme="minorEastAsia"/>
        </w:rPr>
        <w:t>million hours in June 2023, the first significant decrease in liability since the pandemic occurred between September 2022 and March 2023</w:t>
      </w:r>
      <w:r w:rsidR="003111D8">
        <w:rPr>
          <w:rFonts w:eastAsiaTheme="minorEastAsia"/>
        </w:rPr>
        <w:t xml:space="preserve"> (</w:t>
      </w:r>
      <w:r w:rsidR="003111D8" w:rsidRPr="003111D8">
        <w:rPr>
          <w:rFonts w:eastAsiaTheme="minorEastAsia"/>
        </w:rPr>
        <w:fldChar w:fldCharType="begin"/>
      </w:r>
      <w:r w:rsidR="003111D8" w:rsidRPr="003111D8">
        <w:rPr>
          <w:rFonts w:eastAsiaTheme="minorEastAsia"/>
        </w:rPr>
        <w:instrText xml:space="preserve"> REF _Ref149032655 \h  \* MERGEFORMAT </w:instrText>
      </w:r>
      <w:r w:rsidR="003111D8" w:rsidRPr="003111D8">
        <w:rPr>
          <w:rFonts w:eastAsiaTheme="minorEastAsia"/>
        </w:rPr>
      </w:r>
      <w:r w:rsidR="003111D8" w:rsidRPr="003111D8">
        <w:rPr>
          <w:rFonts w:eastAsiaTheme="minorEastAsia"/>
        </w:rPr>
        <w:fldChar w:fldCharType="separate"/>
      </w:r>
      <w:r w:rsidR="003111D8" w:rsidRPr="003111D8">
        <w:t xml:space="preserve">Figure </w:t>
      </w:r>
      <w:r w:rsidR="003111D8" w:rsidRPr="003111D8">
        <w:rPr>
          <w:noProof/>
        </w:rPr>
        <w:t>14</w:t>
      </w:r>
      <w:r w:rsidR="003111D8" w:rsidRPr="003111D8">
        <w:rPr>
          <w:rFonts w:eastAsiaTheme="minorEastAsia"/>
        </w:rPr>
        <w:fldChar w:fldCharType="end"/>
      </w:r>
      <w:r w:rsidR="003111D8">
        <w:rPr>
          <w:rFonts w:eastAsiaTheme="minorEastAsia"/>
        </w:rPr>
        <w:t>)</w:t>
      </w:r>
      <w:r>
        <w:rPr>
          <w:rFonts w:eastAsiaTheme="minorEastAsia"/>
        </w:rPr>
        <w:t>.</w:t>
      </w:r>
    </w:p>
    <w:p w14:paraId="2DBC275E" w14:textId="77777777" w:rsidR="000D42F1" w:rsidRDefault="000D42F1" w:rsidP="000D42F1">
      <w:pPr>
        <w:spacing w:after="240" w:line="240" w:lineRule="auto"/>
        <w:rPr>
          <w:rFonts w:eastAsiaTheme="minorEastAsia"/>
        </w:rPr>
      </w:pPr>
      <w:r>
        <w:rPr>
          <w:rFonts w:eastAsiaTheme="minorEastAsia"/>
        </w:rPr>
        <w:t>L</w:t>
      </w:r>
      <w:r w:rsidRPr="008C270C">
        <w:rPr>
          <w:rFonts w:eastAsiaTheme="minorEastAsia"/>
        </w:rPr>
        <w:t>ong service leave liability</w:t>
      </w:r>
      <w:r>
        <w:rPr>
          <w:rFonts w:eastAsiaTheme="minorEastAsia"/>
        </w:rPr>
        <w:t xml:space="preserve"> increased marginally to 11.2 million hours at June 2023</w:t>
      </w:r>
      <w:r w:rsidRPr="008C270C">
        <w:rPr>
          <w:rFonts w:eastAsiaTheme="minorEastAsia"/>
        </w:rPr>
        <w:t>.</w:t>
      </w:r>
    </w:p>
    <w:p w14:paraId="263F1D3D" w14:textId="49471A85" w:rsidR="000D42F1" w:rsidRPr="00C667B0" w:rsidRDefault="000D42F1" w:rsidP="000D42F1">
      <w:pPr>
        <w:pStyle w:val="Caption"/>
        <w:rPr>
          <w:b/>
          <w:bCs/>
        </w:rPr>
      </w:pPr>
      <w:bookmarkStart w:id="66" w:name="_Ref149032655"/>
      <w:r w:rsidRPr="00E94AFC">
        <w:rPr>
          <w:b/>
          <w:bCs/>
        </w:rPr>
        <w:lastRenderedPageBreak/>
        <w:t xml:space="preserve">Figure </w:t>
      </w:r>
      <w:r w:rsidRPr="00E94AFC">
        <w:rPr>
          <w:b/>
          <w:bCs/>
        </w:rPr>
        <w:fldChar w:fldCharType="begin"/>
      </w:r>
      <w:r w:rsidRPr="00E94AFC">
        <w:rPr>
          <w:b/>
          <w:bCs/>
        </w:rPr>
        <w:instrText xml:space="preserve"> SEQ Figure \* ARABIC </w:instrText>
      </w:r>
      <w:r w:rsidRPr="00E94AFC">
        <w:rPr>
          <w:b/>
          <w:bCs/>
        </w:rPr>
        <w:fldChar w:fldCharType="separate"/>
      </w:r>
      <w:r w:rsidR="0048418F">
        <w:rPr>
          <w:b/>
          <w:bCs/>
          <w:noProof/>
        </w:rPr>
        <w:t>14</w:t>
      </w:r>
      <w:r w:rsidRPr="00E94AFC">
        <w:rPr>
          <w:b/>
          <w:bCs/>
        </w:rPr>
        <w:fldChar w:fldCharType="end"/>
      </w:r>
      <w:bookmarkEnd w:id="65"/>
      <w:bookmarkEnd w:id="66"/>
      <w:r w:rsidRPr="00C667B0">
        <w:rPr>
          <w:b/>
          <w:bCs/>
        </w:rPr>
        <w:t>: WA public sector leave liability 20</w:t>
      </w:r>
      <w:r>
        <w:rPr>
          <w:b/>
          <w:bCs/>
        </w:rPr>
        <w:t>18-19</w:t>
      </w:r>
      <w:r w:rsidRPr="00C667B0">
        <w:rPr>
          <w:b/>
          <w:bCs/>
        </w:rPr>
        <w:t xml:space="preserve"> to 20</w:t>
      </w:r>
      <w:r>
        <w:rPr>
          <w:b/>
          <w:bCs/>
        </w:rPr>
        <w:t>22-23</w:t>
      </w:r>
      <w:r w:rsidRPr="00C667B0">
        <w:rPr>
          <w:b/>
          <w:bCs/>
        </w:rPr>
        <w:t xml:space="preserve"> (point in time data)</w:t>
      </w:r>
    </w:p>
    <w:p w14:paraId="5E5169B3" w14:textId="77777777" w:rsidR="000D42F1" w:rsidRDefault="000D42F1" w:rsidP="000D42F1">
      <w:pPr>
        <w:spacing w:line="240" w:lineRule="auto"/>
        <w:rPr>
          <w:rFonts w:eastAsia="Calibri"/>
        </w:rPr>
      </w:pPr>
      <w:r>
        <w:rPr>
          <w:noProof/>
        </w:rPr>
        <w:drawing>
          <wp:inline distT="0" distB="0" distL="0" distR="0" wp14:anchorId="2C198FFA" wp14:editId="1525C358">
            <wp:extent cx="5836920" cy="3801745"/>
            <wp:effectExtent l="0" t="0" r="0" b="0"/>
            <wp:docPr id="15" name="Chart 15" descr="A line graph showing the WA public sector leave liability between 2018-19 to 2022-23. Annual leave shows a cyclical pattern each year, generally peaking in September, and shows an increase each financial year. Long service leave liability shows a less pronounced annual cycle which generally decreases each December and shows an upward trend from 2018 to 2021 and remaining stable since then.">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50EF3C" w14:textId="77777777" w:rsidR="000D42F1" w:rsidRDefault="000D42F1" w:rsidP="000D42F1">
      <w:pPr>
        <w:spacing w:after="160" w:line="240" w:lineRule="auto"/>
        <w:rPr>
          <w:rFonts w:eastAsia="Calibri"/>
        </w:rPr>
      </w:pPr>
      <w:r>
        <w:rPr>
          <w:rFonts w:eastAsia="Calibri"/>
        </w:rPr>
        <w:br w:type="page"/>
      </w:r>
    </w:p>
    <w:p w14:paraId="5FF6D09F" w14:textId="77777777" w:rsidR="000D42F1" w:rsidRPr="006B4D53" w:rsidRDefault="000D42F1" w:rsidP="000D42F1">
      <w:pPr>
        <w:pStyle w:val="Heading3"/>
        <w:spacing w:before="0" w:line="240" w:lineRule="auto"/>
        <w:rPr>
          <w:sz w:val="44"/>
          <w:szCs w:val="44"/>
        </w:rPr>
      </w:pPr>
      <w:bookmarkStart w:id="67" w:name="_Toc151900174"/>
      <w:r w:rsidRPr="006B4D53">
        <w:rPr>
          <w:b/>
          <w:bCs/>
          <w:sz w:val="44"/>
          <w:szCs w:val="44"/>
        </w:rPr>
        <w:lastRenderedPageBreak/>
        <w:t xml:space="preserve">Commissioner’s </w:t>
      </w:r>
      <w:r w:rsidRPr="006B4D53">
        <w:rPr>
          <w:sz w:val="44"/>
          <w:szCs w:val="44"/>
        </w:rPr>
        <w:t>observations</w:t>
      </w:r>
      <w:bookmarkEnd w:id="67"/>
    </w:p>
    <w:p w14:paraId="1AAE5F79" w14:textId="77777777" w:rsidR="000D42F1" w:rsidRDefault="000D42F1" w:rsidP="000D42F1">
      <w:pPr>
        <w:keepNext/>
        <w:spacing w:line="240" w:lineRule="auto"/>
        <w:rPr>
          <w:rFonts w:ascii="Century Gothic" w:hAnsi="Century Gothic"/>
          <w:b/>
          <w:bCs/>
          <w:color w:val="2E74B5" w:themeColor="accent1" w:themeShade="BF"/>
          <w:sz w:val="24"/>
          <w:szCs w:val="24"/>
        </w:rPr>
      </w:pPr>
      <w:r>
        <w:rPr>
          <w:rFonts w:ascii="Century Gothic" w:hAnsi="Century Gothic"/>
          <w:b/>
          <w:bCs/>
          <w:color w:val="2E74B5" w:themeColor="accent1" w:themeShade="BF"/>
          <w:sz w:val="24"/>
          <w:szCs w:val="24"/>
        </w:rPr>
        <w:t>It is pleasing to see many of the effects of the COVID-19 pandemic on the size and shape of the government sector workforce are dissipating, and seasonal patterns are beginning to return across a number of workforce indicators.</w:t>
      </w:r>
    </w:p>
    <w:p w14:paraId="2E91542A" w14:textId="77777777" w:rsidR="000D42F1" w:rsidRPr="008758A5" w:rsidRDefault="000D42F1" w:rsidP="000D42F1">
      <w:pPr>
        <w:spacing w:line="240" w:lineRule="auto"/>
        <w:rPr>
          <w:rFonts w:ascii="Century Gothic" w:hAnsi="Century Gothic"/>
        </w:rPr>
      </w:pPr>
      <w:r w:rsidRPr="008758A5">
        <w:rPr>
          <w:rFonts w:ascii="Century Gothic" w:hAnsi="Century Gothic"/>
        </w:rPr>
        <w:t xml:space="preserve">The government sector, like other sectors and industries nationally, faces difficulties in the strong employment market generally and shortages in specific skills areas. Following a number of years of a capped wage increase of $1,000 a year, the policy change in 2022 to a 3% increase a year (and a $3,000 cost of living payment for each employee in a settled agreement) has made some difference to the competitiveness of wages in the sector. </w:t>
      </w:r>
    </w:p>
    <w:p w14:paraId="1856935F" w14:textId="41644712" w:rsidR="000D42F1" w:rsidRPr="008758A5" w:rsidRDefault="000D42F1" w:rsidP="000D42F1">
      <w:pPr>
        <w:keepNext/>
        <w:spacing w:line="240" w:lineRule="auto"/>
        <w:rPr>
          <w:rFonts w:ascii="Century Gothic" w:hAnsi="Century Gothic"/>
        </w:rPr>
      </w:pPr>
      <w:r w:rsidRPr="008758A5">
        <w:rPr>
          <w:rFonts w:ascii="Century Gothic" w:hAnsi="Century Gothic"/>
        </w:rPr>
        <w:t xml:space="preserve">Two new instructions I issued during the year for the public sector </w:t>
      </w:r>
      <w:r w:rsidR="00070606" w:rsidRPr="008758A5">
        <w:rPr>
          <w:rFonts w:ascii="Century Gothic" w:hAnsi="Century Gothic"/>
        </w:rPr>
        <w:t>are</w:t>
      </w:r>
      <w:r w:rsidRPr="008758A5">
        <w:rPr>
          <w:rFonts w:ascii="Century Gothic" w:hAnsi="Century Gothic"/>
        </w:rPr>
        <w:t xml:space="preserve"> in direct response to the employment market – one streamlining recruitment processes and the other providing incentives for regional employment where pressure </w:t>
      </w:r>
      <w:r w:rsidR="00070606" w:rsidRPr="008758A5">
        <w:rPr>
          <w:rFonts w:ascii="Century Gothic" w:hAnsi="Century Gothic"/>
        </w:rPr>
        <w:t>is</w:t>
      </w:r>
      <w:r w:rsidRPr="008758A5">
        <w:rPr>
          <w:rFonts w:ascii="Century Gothic" w:hAnsi="Century Gothic"/>
        </w:rPr>
        <w:t xml:space="preserve"> greatest. While both are temporary measures, I intend to use the learnings from them to inform a </w:t>
      </w:r>
      <w:r w:rsidR="005D778B" w:rsidRPr="008758A5">
        <w:rPr>
          <w:rFonts w:ascii="Century Gothic" w:hAnsi="Century Gothic"/>
        </w:rPr>
        <w:t xml:space="preserve">new and </w:t>
      </w:r>
      <w:r w:rsidRPr="008758A5">
        <w:rPr>
          <w:rFonts w:ascii="Century Gothic" w:hAnsi="Century Gothic"/>
        </w:rPr>
        <w:t>contemporary recruitment policy for the sector.</w:t>
      </w:r>
    </w:p>
    <w:p w14:paraId="4C605B42" w14:textId="28DE0131" w:rsidR="000D42F1" w:rsidRPr="008758A5" w:rsidRDefault="000D42F1" w:rsidP="000D42F1">
      <w:pPr>
        <w:pStyle w:val="ListBullet"/>
        <w:numPr>
          <w:ilvl w:val="0"/>
          <w:numId w:val="0"/>
        </w:numPr>
        <w:spacing w:line="240" w:lineRule="auto"/>
        <w:rPr>
          <w:rFonts w:ascii="Century Gothic" w:hAnsi="Century Gothic"/>
        </w:rPr>
      </w:pPr>
      <w:r w:rsidRPr="008758A5">
        <w:rPr>
          <w:rFonts w:ascii="Century Gothic" w:hAnsi="Century Gothic"/>
        </w:rPr>
        <w:t xml:space="preserve">The public sector has also made good progress in increasing permanent employment through the conversion to permanency initiative that commenced in 2018. While the effect of this initiative (through a Commissioner’s Instruction) was </w:t>
      </w:r>
      <w:r w:rsidR="005D778B" w:rsidRPr="008758A5">
        <w:rPr>
          <w:rFonts w:ascii="Century Gothic" w:hAnsi="Century Gothic"/>
        </w:rPr>
        <w:t xml:space="preserve">slowed </w:t>
      </w:r>
      <w:r w:rsidRPr="008758A5">
        <w:rPr>
          <w:rFonts w:ascii="Century Gothic" w:hAnsi="Century Gothic"/>
        </w:rPr>
        <w:t>for a time by the urgent need for temporary employees to respond to the pandemic, this year the percentage of permanency has started to rebound. A review of my instruction showed the objective of creating a more stable public sector was achieved with 10.3% of employees reviewed under this instruction being made permanent. With all relevant contracts now reviewed and ongoing industrial mechanisms in place, I rescinded the instruction during the year.</w:t>
      </w:r>
    </w:p>
    <w:p w14:paraId="2799D236" w14:textId="5525E1A8" w:rsidR="000D42F1" w:rsidRPr="008758A5" w:rsidRDefault="00070606" w:rsidP="000D42F1">
      <w:pPr>
        <w:spacing w:line="240" w:lineRule="auto"/>
        <w:rPr>
          <w:rFonts w:ascii="Century Gothic" w:eastAsiaTheme="minorEastAsia" w:hAnsi="Century Gothic"/>
        </w:rPr>
      </w:pPr>
      <w:r w:rsidRPr="008758A5">
        <w:rPr>
          <w:rFonts w:ascii="Century Gothic" w:eastAsiaTheme="minorEastAsia" w:hAnsi="Century Gothic"/>
        </w:rPr>
        <w:t xml:space="preserve">There is evidence that </w:t>
      </w:r>
      <w:r w:rsidR="000D42F1" w:rsidRPr="008758A5">
        <w:rPr>
          <w:rFonts w:ascii="Century Gothic" w:eastAsiaTheme="minorEastAsia" w:hAnsi="Century Gothic"/>
        </w:rPr>
        <w:t>leave taken</w:t>
      </w:r>
      <w:r w:rsidRPr="008758A5">
        <w:rPr>
          <w:rFonts w:ascii="Century Gothic" w:eastAsiaTheme="minorEastAsia" w:hAnsi="Century Gothic"/>
        </w:rPr>
        <w:t xml:space="preserve"> is</w:t>
      </w:r>
      <w:r w:rsidR="000D42F1" w:rsidRPr="008758A5">
        <w:rPr>
          <w:rFonts w:ascii="Century Gothic" w:eastAsiaTheme="minorEastAsia" w:hAnsi="Century Gothic"/>
        </w:rPr>
        <w:t xml:space="preserve"> returning to pre-pandemic patterns. </w:t>
      </w:r>
      <w:r w:rsidRPr="008758A5">
        <w:rPr>
          <w:rFonts w:ascii="Century Gothic" w:eastAsiaTheme="minorEastAsia" w:hAnsi="Century Gothic"/>
        </w:rPr>
        <w:t xml:space="preserve">It is important to </w:t>
      </w:r>
      <w:r w:rsidR="000D42F1" w:rsidRPr="008758A5">
        <w:rPr>
          <w:rFonts w:ascii="Century Gothic" w:eastAsiaTheme="minorEastAsia" w:hAnsi="Century Gothic"/>
        </w:rPr>
        <w:t>continue to focus on ensuring leave is well managed by agencies. There is an inherent tension in this as the competitive labour market reduces the ability to find appropriate skilled and capable people to backfill critical positions.</w:t>
      </w:r>
    </w:p>
    <w:p w14:paraId="53223649" w14:textId="1130F7F6" w:rsidR="000D42F1" w:rsidRPr="008758A5" w:rsidRDefault="000D42F1" w:rsidP="000D42F1">
      <w:pPr>
        <w:keepNext/>
        <w:spacing w:line="240" w:lineRule="auto"/>
        <w:rPr>
          <w:rFonts w:ascii="Century Gothic" w:hAnsi="Century Gothic"/>
        </w:rPr>
      </w:pPr>
      <w:r w:rsidRPr="008758A5">
        <w:rPr>
          <w:rFonts w:ascii="Century Gothic" w:eastAsiaTheme="minorEastAsia" w:hAnsi="Century Gothic"/>
        </w:rPr>
        <w:t xml:space="preserve">I am pleased to see there are </w:t>
      </w:r>
      <w:r w:rsidRPr="008758A5">
        <w:rPr>
          <w:rFonts w:ascii="Century Gothic" w:hAnsi="Century Gothic"/>
        </w:rPr>
        <w:t xml:space="preserve">more women at higher salary bands, with Level 8 and 9 equivalent surpassing parity. I have focused effort on gender equity over the last couple of years, in particular looking for insights into the matter using the data </w:t>
      </w:r>
      <w:r w:rsidR="00070606" w:rsidRPr="008758A5">
        <w:rPr>
          <w:rFonts w:ascii="Century Gothic" w:hAnsi="Century Gothic"/>
        </w:rPr>
        <w:t>the Commission</w:t>
      </w:r>
      <w:r w:rsidRPr="008758A5">
        <w:rPr>
          <w:rFonts w:ascii="Century Gothic" w:hAnsi="Century Gothic"/>
        </w:rPr>
        <w:t xml:space="preserve"> and agencies hold. I have taken a concerted stand on sharing data with agencies so senior leaders across the sector can take action to address any barriers specific to their agency, workforce </w:t>
      </w:r>
      <w:r w:rsidR="00070606" w:rsidRPr="008758A5">
        <w:rPr>
          <w:rFonts w:ascii="Century Gothic" w:hAnsi="Century Gothic"/>
        </w:rPr>
        <w:t>and</w:t>
      </w:r>
      <w:r w:rsidRPr="008758A5">
        <w:rPr>
          <w:rFonts w:ascii="Century Gothic" w:hAnsi="Century Gothic"/>
        </w:rPr>
        <w:t xml:space="preserve"> occupations.</w:t>
      </w:r>
    </w:p>
    <w:p w14:paraId="5957B81A" w14:textId="7D3661F2" w:rsidR="000D42F1" w:rsidRDefault="000D42F1">
      <w:r>
        <w:br w:type="page"/>
      </w:r>
    </w:p>
    <w:p w14:paraId="75F94C99" w14:textId="77777777" w:rsidR="000D42F1" w:rsidRPr="00534412" w:rsidRDefault="000D42F1" w:rsidP="000D42F1">
      <w:pPr>
        <w:pStyle w:val="Heading2"/>
        <w:spacing w:after="240"/>
        <w:rPr>
          <w:b/>
          <w:bCs/>
        </w:rPr>
      </w:pPr>
      <w:bookmarkStart w:id="68" w:name="_Section_3:_Workforce"/>
      <w:bookmarkStart w:id="69" w:name="_Toc151900175"/>
      <w:bookmarkEnd w:id="68"/>
      <w:r>
        <w:lastRenderedPageBreak/>
        <w:t xml:space="preserve">Section 3: </w:t>
      </w:r>
      <w:r w:rsidRPr="00942C00">
        <w:rPr>
          <w:b/>
          <w:bCs/>
        </w:rPr>
        <w:t>Workforce diversity</w:t>
      </w:r>
      <w:bookmarkEnd w:id="69"/>
    </w:p>
    <w:p w14:paraId="77FC7B05" w14:textId="28EDF52B" w:rsidR="000D42F1" w:rsidRPr="00276323" w:rsidRDefault="000D42F1" w:rsidP="000D42F1">
      <w:pPr>
        <w:spacing w:after="0"/>
        <w:rPr>
          <w:rFonts w:ascii="Century Gothic" w:hAnsi="Century Gothic"/>
          <w:b/>
          <w:bCs/>
          <w:color w:val="2E74B5" w:themeColor="accent1" w:themeShade="BF"/>
          <w:sz w:val="24"/>
          <w:szCs w:val="24"/>
        </w:rPr>
      </w:pPr>
      <w:r w:rsidRPr="00276323">
        <w:rPr>
          <w:rFonts w:ascii="Century Gothic" w:hAnsi="Century Gothic"/>
          <w:b/>
          <w:bCs/>
          <w:color w:val="2E74B5" w:themeColor="accent1" w:themeShade="BF"/>
          <w:sz w:val="24"/>
          <w:szCs w:val="24"/>
        </w:rPr>
        <w:t xml:space="preserve">This section of the report focuses on the </w:t>
      </w:r>
      <w:r>
        <w:rPr>
          <w:rFonts w:ascii="Century Gothic" w:hAnsi="Century Gothic"/>
          <w:b/>
          <w:bCs/>
          <w:color w:val="2E74B5" w:themeColor="accent1" w:themeShade="BF"/>
          <w:sz w:val="24"/>
          <w:szCs w:val="24"/>
        </w:rPr>
        <w:t xml:space="preserve">diversity of the workforce </w:t>
      </w:r>
      <w:r w:rsidRPr="00276323">
        <w:rPr>
          <w:rFonts w:ascii="Century Gothic" w:hAnsi="Century Gothic"/>
          <w:b/>
          <w:bCs/>
          <w:color w:val="2E74B5" w:themeColor="accent1" w:themeShade="BF"/>
          <w:sz w:val="24"/>
          <w:szCs w:val="24"/>
        </w:rPr>
        <w:t>across the government sector, with information based on March point in time data rather than annual averages</w:t>
      </w:r>
      <w:r w:rsidRPr="00276323">
        <w:rPr>
          <w:rStyle w:val="FootnoteReference"/>
          <w:rFonts w:ascii="Century Gothic" w:hAnsi="Century Gothic"/>
          <w:b/>
          <w:bCs/>
          <w:color w:val="2E74B5" w:themeColor="accent1" w:themeShade="BF"/>
          <w:sz w:val="24"/>
          <w:szCs w:val="24"/>
        </w:rPr>
        <w:footnoteReference w:id="10"/>
      </w:r>
      <w:r w:rsidRPr="00276323">
        <w:rPr>
          <w:rFonts w:ascii="Century Gothic" w:hAnsi="Century Gothic"/>
          <w:b/>
          <w:bCs/>
          <w:color w:val="2E74B5" w:themeColor="accent1" w:themeShade="BF"/>
          <w:sz w:val="24"/>
          <w:szCs w:val="24"/>
        </w:rPr>
        <w:t xml:space="preserve">. This aligns to the </w:t>
      </w:r>
      <w:hyperlink r:id="rId64" w:history="1">
        <w:r w:rsidRPr="00FD087F">
          <w:rPr>
            <w:rStyle w:val="Hyperlink"/>
            <w:rFonts w:ascii="Century Gothic" w:hAnsi="Century Gothic"/>
            <w:b/>
            <w:bCs/>
            <w:sz w:val="24"/>
            <w:szCs w:val="24"/>
          </w:rPr>
          <w:t>Workforce Diversification and Inclusion Strategy</w:t>
        </w:r>
      </w:hyperlink>
      <w:r w:rsidRPr="00276323">
        <w:rPr>
          <w:rFonts w:ascii="Century Gothic" w:hAnsi="Century Gothic"/>
          <w:b/>
          <w:bCs/>
          <w:color w:val="2E74B5" w:themeColor="accent1" w:themeShade="BF"/>
          <w:sz w:val="24"/>
          <w:szCs w:val="24"/>
        </w:rPr>
        <w:t xml:space="preserve"> for the public sector and the Equal Employment Opportunity annual collection for other government entities.</w:t>
      </w:r>
    </w:p>
    <w:p w14:paraId="2C086F52" w14:textId="77777777" w:rsidR="000D42F1" w:rsidRPr="00FE644F" w:rsidRDefault="000D42F1" w:rsidP="000D42F1">
      <w:pPr>
        <w:pStyle w:val="Heading3"/>
      </w:pPr>
      <w:bookmarkStart w:id="70" w:name="_Toc151900176"/>
      <w:r w:rsidRPr="00FE644F">
        <w:t>Women</w:t>
      </w:r>
      <w:r>
        <w:t xml:space="preserve"> employees</w:t>
      </w:r>
      <w:bookmarkEnd w:id="70"/>
    </w:p>
    <w:p w14:paraId="5AA3640B" w14:textId="7A7397F1" w:rsidR="000D42F1" w:rsidRPr="00624E29" w:rsidRDefault="000D42F1" w:rsidP="000D42F1">
      <w:r>
        <w:t>In March 2023, the government sector employed 154,020 (66.6%) women comprising 120,173 women in the public sector (73.2% of the public sector workforce) and 33,847 women in other government entities (50.5% of the other government entities workforce) (</w:t>
      </w:r>
      <w:r w:rsidR="00785D75">
        <w:fldChar w:fldCharType="begin"/>
      </w:r>
      <w:r w:rsidR="00785D75">
        <w:instrText xml:space="preserve"> REF _Ref148969820 \h </w:instrText>
      </w:r>
      <w:r w:rsidR="00B94A95">
        <w:instrText xml:space="preserve"> \* MERGEFORMAT </w:instrText>
      </w:r>
      <w:r w:rsidR="00785D75">
        <w:fldChar w:fldCharType="separate"/>
      </w:r>
      <w:r w:rsidR="0048418F" w:rsidRPr="0048418F">
        <w:t>Figure 15</w:t>
      </w:r>
      <w:r w:rsidR="00785D75">
        <w:fldChar w:fldCharType="end"/>
      </w:r>
      <w:r>
        <w:t xml:space="preserve">). </w:t>
      </w:r>
    </w:p>
    <w:p w14:paraId="18673D19" w14:textId="234D0AD2" w:rsidR="00C319E0" w:rsidRDefault="000D42F1" w:rsidP="00C319E0">
      <w:pPr>
        <w:rPr>
          <w:rFonts w:eastAsiaTheme="minorEastAsia"/>
          <w:lang w:eastAsia="en-US"/>
        </w:rPr>
      </w:pPr>
      <w:r>
        <w:t>O</w:t>
      </w:r>
      <w:r w:rsidRPr="443291A9">
        <w:rPr>
          <w:rFonts w:eastAsiaTheme="minorEastAsia"/>
          <w:lang w:eastAsia="en-US"/>
        </w:rPr>
        <w:t xml:space="preserve">ver the past 5 years, the </w:t>
      </w:r>
      <w:r w:rsidR="001B6ECB">
        <w:rPr>
          <w:rFonts w:eastAsiaTheme="minorEastAsia"/>
          <w:lang w:eastAsia="en-US"/>
        </w:rPr>
        <w:t>percentage</w:t>
      </w:r>
      <w:r w:rsidRPr="443291A9">
        <w:rPr>
          <w:rFonts w:eastAsiaTheme="minorEastAsia"/>
          <w:lang w:eastAsia="en-US"/>
        </w:rPr>
        <w:t xml:space="preserve"> of women in the public sector has increased slightly from 72.8% </w:t>
      </w:r>
      <w:r w:rsidRPr="00C319E0">
        <w:rPr>
          <w:rFonts w:eastAsiaTheme="minorEastAsia"/>
        </w:rPr>
        <w:t>in</w:t>
      </w:r>
      <w:r w:rsidRPr="443291A9">
        <w:rPr>
          <w:rFonts w:eastAsiaTheme="minorEastAsia"/>
          <w:lang w:eastAsia="en-US"/>
        </w:rPr>
        <w:t xml:space="preserve"> March 2019 to 73.2% in March 2023. </w:t>
      </w:r>
    </w:p>
    <w:p w14:paraId="35772A69" w14:textId="1B6D30B7" w:rsidR="000D42F1" w:rsidRPr="00C319E0" w:rsidRDefault="000D42F1" w:rsidP="00C319E0">
      <w:r>
        <w:t xml:space="preserve">In other government entities, </w:t>
      </w:r>
      <w:r w:rsidRPr="00C319E0">
        <w:rPr>
          <w:rFonts w:eastAsiaTheme="minorEastAsia"/>
        </w:rPr>
        <w:t xml:space="preserve">the total workforce (headcount) increased by 5,294 (+8.6%) between March 2019 and March 2023. The headcount of women increased by 3,655 (+12.1%). As a result, the </w:t>
      </w:r>
      <w:r w:rsidR="001B6ECB">
        <w:rPr>
          <w:rFonts w:eastAsiaTheme="minorEastAsia"/>
        </w:rPr>
        <w:t>percentage</w:t>
      </w:r>
      <w:r w:rsidRPr="00C319E0">
        <w:rPr>
          <w:rFonts w:eastAsiaTheme="minorEastAsia"/>
        </w:rPr>
        <w:t xml:space="preserve"> of women increased from 49.0% in March 2019 to 50.5% in March 2023.</w:t>
      </w:r>
      <w:bookmarkStart w:id="71" w:name="_Ref84253846"/>
    </w:p>
    <w:p w14:paraId="59F5C7FD" w14:textId="3E62F51F" w:rsidR="000D42F1" w:rsidRPr="00C667B0" w:rsidRDefault="00785D75" w:rsidP="00785D75">
      <w:pPr>
        <w:pStyle w:val="Caption"/>
        <w:rPr>
          <w:b/>
          <w:bCs/>
        </w:rPr>
      </w:pPr>
      <w:bookmarkStart w:id="72" w:name="_Ref148969820"/>
      <w:bookmarkEnd w:id="71"/>
      <w:r w:rsidRPr="00E94AFC">
        <w:rPr>
          <w:b/>
          <w:bCs/>
        </w:rPr>
        <w:t xml:space="preserve">Figure </w:t>
      </w:r>
      <w:r w:rsidRPr="00E94AFC">
        <w:rPr>
          <w:b/>
          <w:bCs/>
        </w:rPr>
        <w:fldChar w:fldCharType="begin"/>
      </w:r>
      <w:r w:rsidRPr="00E94AFC">
        <w:rPr>
          <w:b/>
          <w:bCs/>
        </w:rPr>
        <w:instrText xml:space="preserve"> SEQ Figure \* ARABIC </w:instrText>
      </w:r>
      <w:r w:rsidRPr="00E94AFC">
        <w:rPr>
          <w:b/>
          <w:bCs/>
        </w:rPr>
        <w:fldChar w:fldCharType="separate"/>
      </w:r>
      <w:r w:rsidR="0048418F">
        <w:rPr>
          <w:b/>
          <w:bCs/>
          <w:noProof/>
        </w:rPr>
        <w:t>15</w:t>
      </w:r>
      <w:r w:rsidRPr="00E94AFC">
        <w:rPr>
          <w:b/>
          <w:bCs/>
        </w:rPr>
        <w:fldChar w:fldCharType="end"/>
      </w:r>
      <w:bookmarkEnd w:id="72"/>
      <w:r w:rsidR="000D42F1" w:rsidRPr="443291A9">
        <w:rPr>
          <w:b/>
          <w:bCs/>
        </w:rPr>
        <w:t xml:space="preserve">: Women as </w:t>
      </w:r>
      <w:r w:rsidR="000D42F1">
        <w:rPr>
          <w:b/>
          <w:bCs/>
        </w:rPr>
        <w:t>percent</w:t>
      </w:r>
      <w:r w:rsidR="000D42F1" w:rsidRPr="443291A9">
        <w:rPr>
          <w:b/>
          <w:bCs/>
        </w:rPr>
        <w:t xml:space="preserve"> of workforce (headcount), WA public sector and other government entities 2018-19 to 2022-23 (March data </w:t>
      </w:r>
      <w:r w:rsidR="00B44989">
        <w:rPr>
          <w:b/>
          <w:bCs/>
        </w:rPr>
        <w:t>labelled</w:t>
      </w:r>
      <w:r w:rsidR="000D42F1" w:rsidRPr="443291A9">
        <w:rPr>
          <w:b/>
          <w:bCs/>
        </w:rPr>
        <w:t>)</w:t>
      </w:r>
    </w:p>
    <w:p w14:paraId="70D1A275" w14:textId="31582E93" w:rsidR="000D42F1" w:rsidRDefault="00C4539F" w:rsidP="00C319E0">
      <w:pPr>
        <w:spacing w:after="240"/>
        <w:rPr>
          <w:rFonts w:ascii="Century Gothic" w:eastAsiaTheme="majorEastAsia" w:hAnsi="Century Gothic"/>
          <w:iCs/>
          <w:color w:val="2E74B5" w:themeColor="accent1" w:themeShade="BF"/>
          <w:sz w:val="24"/>
          <w:szCs w:val="24"/>
        </w:rPr>
      </w:pPr>
      <w:r>
        <w:rPr>
          <w:noProof/>
        </w:rPr>
        <w:drawing>
          <wp:inline distT="0" distB="0" distL="0" distR="0" wp14:anchorId="3BD29962" wp14:editId="6E182AD0">
            <wp:extent cx="5836920" cy="3800475"/>
            <wp:effectExtent l="0" t="0" r="11430" b="9525"/>
            <wp:docPr id="1041732166" name="Chart 1" descr="A line graph showing women as a percent of workforce headcount from 2018-19 to 2022-23. The percentage of women in both the public sector and other government entities has remained fairly stable over time with slight increases in both.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0D42F1">
        <w:br w:type="page"/>
      </w:r>
    </w:p>
    <w:p w14:paraId="35524BA1" w14:textId="77777777" w:rsidR="000D42F1" w:rsidRPr="003E34B8" w:rsidRDefault="000D42F1" w:rsidP="000D42F1">
      <w:pPr>
        <w:pStyle w:val="Heading4"/>
        <w:spacing w:before="240"/>
      </w:pPr>
      <w:r w:rsidRPr="003E34B8">
        <w:lastRenderedPageBreak/>
        <w:t>Gender pay gap</w:t>
      </w:r>
    </w:p>
    <w:p w14:paraId="312C3EE0" w14:textId="7E5816A2" w:rsidR="000D42F1" w:rsidRDefault="000D42F1" w:rsidP="000D42F1">
      <w:r>
        <w:t xml:space="preserve">The gender pay gap is the difference between the median </w:t>
      </w:r>
      <w:r w:rsidR="0094483B">
        <w:t xml:space="preserve">equivalent </w:t>
      </w:r>
      <w:r>
        <w:t xml:space="preserve">annual salaries of men and women across each sector including employees at all levels. </w:t>
      </w:r>
    </w:p>
    <w:p w14:paraId="0974D39F" w14:textId="7D515D04" w:rsidR="000D42F1" w:rsidRPr="00D535AF" w:rsidRDefault="000D42F1" w:rsidP="000D42F1">
      <w:pPr>
        <w:spacing w:after="240"/>
      </w:pPr>
      <w:r>
        <w:t xml:space="preserve">The median salary for women in the public sector increased by more than the median salary for men between March 2022 and March 2023. As a result, the gender pay gap reduced. In 2022-23, the </w:t>
      </w:r>
      <w:r w:rsidRPr="00D535AF">
        <w:t xml:space="preserve">median salary </w:t>
      </w:r>
      <w:r>
        <w:t xml:space="preserve">for women </w:t>
      </w:r>
      <w:r w:rsidRPr="00D535AF">
        <w:t xml:space="preserve">was </w:t>
      </w:r>
      <w:r>
        <w:t>8.9</w:t>
      </w:r>
      <w:r w:rsidRPr="00D535AF">
        <w:t>% lower than the median salary</w:t>
      </w:r>
      <w:r>
        <w:t xml:space="preserve"> for men</w:t>
      </w:r>
      <w:r w:rsidRPr="00D535AF">
        <w:t xml:space="preserve"> </w:t>
      </w:r>
      <w:r w:rsidR="004C5F01">
        <w:br/>
      </w:r>
      <w:r w:rsidRPr="00D535AF">
        <w:t>(</w:t>
      </w:r>
      <w:fldSimple w:instr="REF _Ref84252536  \* MERGEFORMAT">
        <w:r w:rsidR="0048418F" w:rsidRPr="0048418F">
          <w:t>Table 16</w:t>
        </w:r>
      </w:fldSimple>
      <w:r w:rsidRPr="00D535AF">
        <w:t>).</w:t>
      </w:r>
    </w:p>
    <w:p w14:paraId="61E72FBC" w14:textId="42B06BAD" w:rsidR="000D42F1" w:rsidRPr="00357E62" w:rsidRDefault="000D42F1" w:rsidP="000D42F1">
      <w:pPr>
        <w:rPr>
          <w:b/>
          <w:bCs/>
        </w:rPr>
      </w:pPr>
      <w:bookmarkStart w:id="73" w:name="_Ref84252536"/>
      <w:r w:rsidRPr="00357E62">
        <w:rPr>
          <w:b/>
          <w:bCs/>
          <w:color w:val="2E74B5" w:themeColor="accent1" w:themeShade="BF"/>
          <w:sz w:val="20"/>
          <w:szCs w:val="20"/>
        </w:rPr>
        <w:t xml:space="preserve">Table </w:t>
      </w:r>
      <w:r w:rsidRPr="00357E62">
        <w:rPr>
          <w:b/>
          <w:bCs/>
          <w:color w:val="2E74B5" w:themeColor="accent1" w:themeShade="BF"/>
          <w:sz w:val="20"/>
          <w:szCs w:val="20"/>
        </w:rPr>
        <w:fldChar w:fldCharType="begin"/>
      </w:r>
      <w:r w:rsidRPr="00357E62">
        <w:rPr>
          <w:b/>
          <w:bCs/>
          <w:color w:val="2E74B5" w:themeColor="accent1" w:themeShade="BF"/>
          <w:sz w:val="20"/>
          <w:szCs w:val="20"/>
        </w:rPr>
        <w:instrText xml:space="preserve"> SEQ Table \* ARABIC </w:instrText>
      </w:r>
      <w:r w:rsidRPr="00357E62">
        <w:rPr>
          <w:b/>
          <w:bCs/>
          <w:color w:val="2E74B5" w:themeColor="accent1" w:themeShade="BF"/>
          <w:sz w:val="20"/>
          <w:szCs w:val="20"/>
        </w:rPr>
        <w:fldChar w:fldCharType="separate"/>
      </w:r>
      <w:r w:rsidR="0048418F">
        <w:rPr>
          <w:b/>
          <w:bCs/>
          <w:noProof/>
          <w:color w:val="2E74B5" w:themeColor="accent1" w:themeShade="BF"/>
          <w:sz w:val="20"/>
          <w:szCs w:val="20"/>
        </w:rPr>
        <w:t>16</w:t>
      </w:r>
      <w:r w:rsidRPr="00357E62">
        <w:rPr>
          <w:b/>
          <w:bCs/>
          <w:noProof/>
          <w:color w:val="2E74B5" w:themeColor="accent1" w:themeShade="BF"/>
          <w:sz w:val="20"/>
          <w:szCs w:val="20"/>
        </w:rPr>
        <w:fldChar w:fldCharType="end"/>
      </w:r>
      <w:bookmarkEnd w:id="73"/>
      <w:r w:rsidRPr="00357E62">
        <w:rPr>
          <w:b/>
          <w:bCs/>
          <w:color w:val="2E74B5" w:themeColor="accent1" w:themeShade="BF"/>
          <w:sz w:val="20"/>
          <w:szCs w:val="20"/>
        </w:rPr>
        <w:t>: Median salary and gender pay gap</w:t>
      </w:r>
      <w:r>
        <w:rPr>
          <w:b/>
          <w:bCs/>
          <w:color w:val="2E74B5" w:themeColor="accent1" w:themeShade="BF"/>
          <w:sz w:val="20"/>
          <w:szCs w:val="20"/>
        </w:rPr>
        <w:t>,</w:t>
      </w:r>
      <w:r w:rsidRPr="00357E62">
        <w:rPr>
          <w:b/>
          <w:bCs/>
          <w:color w:val="2E74B5" w:themeColor="accent1" w:themeShade="BF"/>
          <w:sz w:val="20"/>
          <w:szCs w:val="20"/>
        </w:rPr>
        <w:t xml:space="preserve"> WA public sector (March point</w:t>
      </w:r>
      <w:r>
        <w:rPr>
          <w:b/>
          <w:bCs/>
          <w:color w:val="2E74B5" w:themeColor="accent1" w:themeShade="BF"/>
          <w:sz w:val="20"/>
          <w:szCs w:val="20"/>
        </w:rPr>
        <w:t xml:space="preserve"> </w:t>
      </w:r>
      <w:r w:rsidRPr="00357E62">
        <w:rPr>
          <w:b/>
          <w:bCs/>
          <w:color w:val="2E74B5" w:themeColor="accent1" w:themeShade="BF"/>
          <w:sz w:val="20"/>
          <w:szCs w:val="20"/>
        </w:rPr>
        <w:t>in</w:t>
      </w:r>
      <w:r>
        <w:rPr>
          <w:b/>
          <w:bCs/>
          <w:color w:val="2E74B5" w:themeColor="accent1" w:themeShade="BF"/>
          <w:sz w:val="20"/>
          <w:szCs w:val="20"/>
        </w:rPr>
        <w:t xml:space="preserve"> </w:t>
      </w:r>
      <w:r w:rsidRPr="00357E62">
        <w:rPr>
          <w:b/>
          <w:bCs/>
          <w:color w:val="2E74B5" w:themeColor="accent1" w:themeShade="BF"/>
          <w:sz w:val="20"/>
          <w:szCs w:val="20"/>
        </w:rPr>
        <w:t>time data)</w:t>
      </w:r>
    </w:p>
    <w:tbl>
      <w:tblPr>
        <w:tblW w:w="918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CellMar>
          <w:left w:w="0" w:type="dxa"/>
          <w:right w:w="0" w:type="dxa"/>
        </w:tblCellMar>
        <w:tblLook w:val="04A0" w:firstRow="1" w:lastRow="0" w:firstColumn="1" w:lastColumn="0" w:noHBand="0" w:noVBand="1"/>
        <w:tblCaption w:val="Table 16: Median salary and gender pay gap, WA public sector (March point in time data)"/>
      </w:tblPr>
      <w:tblGrid>
        <w:gridCol w:w="2381"/>
        <w:gridCol w:w="1701"/>
        <w:gridCol w:w="1701"/>
        <w:gridCol w:w="1701"/>
        <w:gridCol w:w="1701"/>
      </w:tblGrid>
      <w:tr w:rsidR="000D42F1" w:rsidRPr="00D535AF" w14:paraId="53946F7E" w14:textId="77777777" w:rsidTr="00C4539F">
        <w:trPr>
          <w:trHeight w:val="420"/>
        </w:trPr>
        <w:tc>
          <w:tcPr>
            <w:tcW w:w="2381" w:type="dxa"/>
            <w:tcBorders>
              <w:top w:val="nil"/>
              <w:left w:val="nil"/>
              <w:bottom w:val="single" w:sz="12" w:space="0" w:color="2E74B5" w:themeColor="accent1" w:themeShade="BF"/>
              <w:right w:val="single" w:sz="12" w:space="0" w:color="2E74B5" w:themeColor="accent1" w:themeShade="BF"/>
            </w:tcBorders>
            <w:tcMar>
              <w:top w:w="0" w:type="dxa"/>
              <w:left w:w="108" w:type="dxa"/>
              <w:bottom w:w="0" w:type="dxa"/>
              <w:right w:w="108" w:type="dxa"/>
            </w:tcMar>
            <w:hideMark/>
          </w:tcPr>
          <w:p w14:paraId="7D1F293E" w14:textId="77777777" w:rsidR="000D42F1" w:rsidRPr="00D535AF" w:rsidRDefault="000D42F1">
            <w:pPr>
              <w:pStyle w:val="Tables"/>
              <w:jc w:val="left"/>
              <w:rPr>
                <w:b/>
                <w:color w:val="2E74B5" w:themeColor="accent1" w:themeShade="BF"/>
              </w:rPr>
            </w:pPr>
          </w:p>
        </w:tc>
        <w:tc>
          <w:tcPr>
            <w:tcW w:w="1701" w:type="dxa"/>
            <w:tcBorders>
              <w:left w:val="single" w:sz="12" w:space="0" w:color="2E74B5" w:themeColor="accent1" w:themeShade="BF"/>
            </w:tcBorders>
            <w:shd w:val="clear" w:color="auto" w:fill="auto"/>
            <w:noWrap/>
            <w:tcMar>
              <w:top w:w="0" w:type="dxa"/>
              <w:left w:w="108" w:type="dxa"/>
              <w:bottom w:w="0" w:type="dxa"/>
              <w:right w:w="108" w:type="dxa"/>
            </w:tcMar>
          </w:tcPr>
          <w:p w14:paraId="2F7E2995" w14:textId="77777777" w:rsidR="000D42F1" w:rsidRPr="00D535AF" w:rsidRDefault="000D42F1">
            <w:pPr>
              <w:pStyle w:val="Tables"/>
              <w:rPr>
                <w:b/>
                <w:bCs/>
                <w:color w:val="2E74B5" w:themeColor="accent1" w:themeShade="BF"/>
              </w:rPr>
            </w:pPr>
            <w:r w:rsidRPr="00D535AF">
              <w:rPr>
                <w:b/>
                <w:bCs/>
                <w:color w:val="2E74B5" w:themeColor="accent1" w:themeShade="BF"/>
              </w:rPr>
              <w:t>March 2021</w:t>
            </w:r>
          </w:p>
        </w:tc>
        <w:tc>
          <w:tcPr>
            <w:tcW w:w="1701" w:type="dxa"/>
            <w:shd w:val="clear" w:color="auto" w:fill="auto"/>
            <w:noWrap/>
            <w:tcMar>
              <w:top w:w="0" w:type="dxa"/>
              <w:left w:w="108" w:type="dxa"/>
              <w:bottom w:w="0" w:type="dxa"/>
              <w:right w:w="108" w:type="dxa"/>
            </w:tcMar>
          </w:tcPr>
          <w:p w14:paraId="160E0EED" w14:textId="77777777" w:rsidR="000D42F1" w:rsidRPr="00D535AF" w:rsidRDefault="000D42F1">
            <w:pPr>
              <w:pStyle w:val="Tables"/>
              <w:rPr>
                <w:b/>
                <w:bCs/>
                <w:color w:val="2E74B5" w:themeColor="accent1" w:themeShade="BF"/>
              </w:rPr>
            </w:pPr>
            <w:r w:rsidRPr="00D535AF">
              <w:rPr>
                <w:b/>
                <w:bCs/>
                <w:color w:val="2E74B5" w:themeColor="accent1" w:themeShade="BF"/>
              </w:rPr>
              <w:t>March 2022</w:t>
            </w:r>
          </w:p>
        </w:tc>
        <w:tc>
          <w:tcPr>
            <w:tcW w:w="1701" w:type="dxa"/>
            <w:shd w:val="clear" w:color="auto" w:fill="auto"/>
            <w:tcMar>
              <w:top w:w="0" w:type="dxa"/>
              <w:left w:w="108" w:type="dxa"/>
              <w:bottom w:w="0" w:type="dxa"/>
              <w:right w:w="108" w:type="dxa"/>
            </w:tcMar>
          </w:tcPr>
          <w:p w14:paraId="345F4CC0" w14:textId="77777777" w:rsidR="000D42F1" w:rsidRPr="06397ECB" w:rsidRDefault="000D42F1">
            <w:pPr>
              <w:pStyle w:val="Tables"/>
              <w:rPr>
                <w:b/>
                <w:bCs/>
                <w:color w:val="2E74B5" w:themeColor="accent1" w:themeShade="BF"/>
              </w:rPr>
            </w:pPr>
            <w:r w:rsidRPr="06397ECB">
              <w:rPr>
                <w:b/>
                <w:bCs/>
                <w:color w:val="2E74B5" w:themeColor="accent1" w:themeShade="BF"/>
              </w:rPr>
              <w:t>March 2023</w:t>
            </w:r>
          </w:p>
        </w:tc>
        <w:tc>
          <w:tcPr>
            <w:tcW w:w="1701" w:type="dxa"/>
            <w:shd w:val="clear" w:color="auto" w:fill="auto"/>
            <w:tcMar>
              <w:top w:w="0" w:type="dxa"/>
              <w:left w:w="108" w:type="dxa"/>
              <w:bottom w:w="0" w:type="dxa"/>
              <w:right w:w="108" w:type="dxa"/>
            </w:tcMar>
            <w:hideMark/>
          </w:tcPr>
          <w:p w14:paraId="53ABE1F9" w14:textId="77777777" w:rsidR="004412C7" w:rsidRDefault="004412C7">
            <w:pPr>
              <w:pStyle w:val="Tables"/>
              <w:rPr>
                <w:b/>
                <w:bCs/>
                <w:color w:val="2E74B5" w:themeColor="accent1" w:themeShade="BF"/>
              </w:rPr>
            </w:pPr>
            <w:r w:rsidRPr="06397ECB">
              <w:rPr>
                <w:b/>
                <w:bCs/>
                <w:color w:val="2E74B5" w:themeColor="accent1" w:themeShade="BF"/>
              </w:rPr>
              <w:t>2022</w:t>
            </w:r>
            <w:r w:rsidRPr="00D535AF">
              <w:rPr>
                <w:b/>
                <w:bCs/>
                <w:color w:val="2E74B5" w:themeColor="accent1" w:themeShade="BF"/>
              </w:rPr>
              <w:t xml:space="preserve"> to </w:t>
            </w:r>
            <w:r w:rsidRPr="06397ECB">
              <w:rPr>
                <w:b/>
                <w:bCs/>
                <w:color w:val="2E74B5" w:themeColor="accent1" w:themeShade="BF"/>
              </w:rPr>
              <w:t>2023</w:t>
            </w:r>
          </w:p>
          <w:p w14:paraId="4710337F" w14:textId="2E942722" w:rsidR="000D42F1" w:rsidRPr="00D535AF" w:rsidRDefault="000D42F1">
            <w:pPr>
              <w:pStyle w:val="Tables"/>
              <w:rPr>
                <w:b/>
                <w:bCs/>
                <w:color w:val="2E74B5" w:themeColor="accent1" w:themeShade="BF"/>
              </w:rPr>
            </w:pPr>
            <w:r w:rsidRPr="00D535AF">
              <w:rPr>
                <w:b/>
                <w:bCs/>
                <w:color w:val="2E74B5" w:themeColor="accent1" w:themeShade="BF"/>
              </w:rPr>
              <w:t xml:space="preserve">Change </w:t>
            </w:r>
          </w:p>
        </w:tc>
      </w:tr>
      <w:tr w:rsidR="000D42F1" w:rsidRPr="00D535AF" w14:paraId="1FC2C462" w14:textId="77777777" w:rsidTr="00C4539F">
        <w:trPr>
          <w:trHeight w:val="300"/>
        </w:trPr>
        <w:tc>
          <w:tcPr>
            <w:tcW w:w="2381" w:type="dxa"/>
            <w:tcBorders>
              <w:top w:val="single" w:sz="12" w:space="0" w:color="2E74B5" w:themeColor="accent1" w:themeShade="BF"/>
            </w:tcBorders>
            <w:shd w:val="clear" w:color="auto" w:fill="auto"/>
            <w:noWrap/>
            <w:tcMar>
              <w:top w:w="0" w:type="dxa"/>
              <w:left w:w="108" w:type="dxa"/>
              <w:bottom w:w="0" w:type="dxa"/>
              <w:right w:w="108" w:type="dxa"/>
            </w:tcMar>
            <w:hideMark/>
          </w:tcPr>
          <w:p w14:paraId="0086253F" w14:textId="77777777" w:rsidR="000D42F1" w:rsidRPr="00D535AF" w:rsidRDefault="000D42F1">
            <w:pPr>
              <w:pStyle w:val="Tables"/>
              <w:jc w:val="left"/>
              <w:rPr>
                <w:rFonts w:eastAsia="Calibri"/>
              </w:rPr>
            </w:pPr>
            <w:r w:rsidRPr="00D535AF">
              <w:t xml:space="preserve">All </w:t>
            </w:r>
            <w:r>
              <w:t>employees</w:t>
            </w:r>
          </w:p>
        </w:tc>
        <w:tc>
          <w:tcPr>
            <w:tcW w:w="1701" w:type="dxa"/>
            <w:shd w:val="clear" w:color="auto" w:fill="auto"/>
            <w:noWrap/>
            <w:tcMar>
              <w:top w:w="0" w:type="dxa"/>
              <w:left w:w="108" w:type="dxa"/>
              <w:bottom w:w="0" w:type="dxa"/>
              <w:right w:w="108" w:type="dxa"/>
            </w:tcMar>
          </w:tcPr>
          <w:p w14:paraId="354F87A7" w14:textId="77777777" w:rsidR="000D42F1" w:rsidRPr="00D535AF" w:rsidRDefault="000D42F1">
            <w:pPr>
              <w:pStyle w:val="Tables"/>
            </w:pPr>
            <w:r w:rsidRPr="00D535AF">
              <w:t>$88,452</w:t>
            </w:r>
          </w:p>
        </w:tc>
        <w:tc>
          <w:tcPr>
            <w:tcW w:w="1701" w:type="dxa"/>
            <w:shd w:val="clear" w:color="auto" w:fill="auto"/>
            <w:noWrap/>
            <w:tcMar>
              <w:top w:w="0" w:type="dxa"/>
              <w:left w:w="108" w:type="dxa"/>
              <w:bottom w:w="0" w:type="dxa"/>
              <w:right w:w="108" w:type="dxa"/>
            </w:tcMar>
          </w:tcPr>
          <w:p w14:paraId="4713DA20" w14:textId="77777777" w:rsidR="000D42F1" w:rsidRPr="00D535AF" w:rsidRDefault="000D42F1">
            <w:pPr>
              <w:pStyle w:val="Tables"/>
            </w:pPr>
            <w:r w:rsidRPr="00D535AF">
              <w:t>$89,027</w:t>
            </w:r>
          </w:p>
        </w:tc>
        <w:tc>
          <w:tcPr>
            <w:tcW w:w="1701" w:type="dxa"/>
            <w:shd w:val="clear" w:color="auto" w:fill="auto"/>
            <w:tcMar>
              <w:top w:w="0" w:type="dxa"/>
              <w:left w:w="108" w:type="dxa"/>
              <w:bottom w:w="0" w:type="dxa"/>
              <w:right w:w="108" w:type="dxa"/>
            </w:tcMar>
          </w:tcPr>
          <w:p w14:paraId="5FA3D567" w14:textId="77777777" w:rsidR="000D42F1" w:rsidRDefault="000D42F1">
            <w:pPr>
              <w:pStyle w:val="Tables"/>
            </w:pPr>
            <w:r>
              <w:t>$93,177</w:t>
            </w:r>
          </w:p>
        </w:tc>
        <w:tc>
          <w:tcPr>
            <w:tcW w:w="1701" w:type="dxa"/>
            <w:shd w:val="clear" w:color="auto" w:fill="auto"/>
            <w:noWrap/>
            <w:tcMar>
              <w:top w:w="0" w:type="dxa"/>
              <w:left w:w="108" w:type="dxa"/>
              <w:bottom w:w="0" w:type="dxa"/>
              <w:right w:w="108" w:type="dxa"/>
            </w:tcMar>
          </w:tcPr>
          <w:p w14:paraId="2B3EB56C" w14:textId="77777777" w:rsidR="000D42F1" w:rsidRPr="00D535AF" w:rsidRDefault="000D42F1">
            <w:pPr>
              <w:pStyle w:val="Tables"/>
            </w:pPr>
            <w:r w:rsidRPr="06397ECB">
              <w:t xml:space="preserve"> +$4,150</w:t>
            </w:r>
          </w:p>
        </w:tc>
      </w:tr>
      <w:tr w:rsidR="000D42F1" w:rsidRPr="00D535AF" w14:paraId="1FBE285D" w14:textId="77777777" w:rsidTr="00C4539F">
        <w:trPr>
          <w:trHeight w:val="300"/>
        </w:trPr>
        <w:tc>
          <w:tcPr>
            <w:tcW w:w="2381" w:type="dxa"/>
            <w:shd w:val="clear" w:color="auto" w:fill="auto"/>
            <w:noWrap/>
            <w:tcMar>
              <w:top w:w="0" w:type="dxa"/>
              <w:left w:w="108" w:type="dxa"/>
              <w:bottom w:w="0" w:type="dxa"/>
              <w:right w:w="108" w:type="dxa"/>
            </w:tcMar>
            <w:hideMark/>
          </w:tcPr>
          <w:p w14:paraId="0DF49668" w14:textId="77777777" w:rsidR="000D42F1" w:rsidRPr="00D535AF" w:rsidRDefault="000D42F1">
            <w:pPr>
              <w:pStyle w:val="Tables"/>
              <w:jc w:val="left"/>
              <w:rPr>
                <w:rFonts w:eastAsia="Calibri"/>
              </w:rPr>
            </w:pPr>
            <w:r w:rsidRPr="00D535AF">
              <w:t>Women</w:t>
            </w:r>
          </w:p>
        </w:tc>
        <w:tc>
          <w:tcPr>
            <w:tcW w:w="1701" w:type="dxa"/>
            <w:shd w:val="clear" w:color="auto" w:fill="auto"/>
            <w:noWrap/>
            <w:tcMar>
              <w:top w:w="0" w:type="dxa"/>
              <w:left w:w="108" w:type="dxa"/>
              <w:bottom w:w="0" w:type="dxa"/>
              <w:right w:w="108" w:type="dxa"/>
            </w:tcMar>
          </w:tcPr>
          <w:p w14:paraId="7B3ACD19" w14:textId="77777777" w:rsidR="000D42F1" w:rsidRPr="00D535AF" w:rsidRDefault="000D42F1">
            <w:pPr>
              <w:pStyle w:val="Tables"/>
            </w:pPr>
            <w:r w:rsidRPr="00D535AF">
              <w:t>$85,820</w:t>
            </w:r>
          </w:p>
        </w:tc>
        <w:tc>
          <w:tcPr>
            <w:tcW w:w="1701" w:type="dxa"/>
            <w:shd w:val="clear" w:color="auto" w:fill="auto"/>
            <w:noWrap/>
            <w:tcMar>
              <w:top w:w="0" w:type="dxa"/>
              <w:left w:w="108" w:type="dxa"/>
              <w:bottom w:w="0" w:type="dxa"/>
              <w:right w:w="108" w:type="dxa"/>
            </w:tcMar>
          </w:tcPr>
          <w:p w14:paraId="19DB3690" w14:textId="77777777" w:rsidR="000D42F1" w:rsidRPr="00D535AF" w:rsidRDefault="000D42F1">
            <w:pPr>
              <w:pStyle w:val="Tables"/>
            </w:pPr>
            <w:r w:rsidRPr="00D535AF">
              <w:t>$85,797</w:t>
            </w:r>
          </w:p>
        </w:tc>
        <w:tc>
          <w:tcPr>
            <w:tcW w:w="1701" w:type="dxa"/>
            <w:shd w:val="clear" w:color="auto" w:fill="auto"/>
            <w:tcMar>
              <w:top w:w="0" w:type="dxa"/>
              <w:left w:w="108" w:type="dxa"/>
              <w:bottom w:w="0" w:type="dxa"/>
              <w:right w:w="108" w:type="dxa"/>
            </w:tcMar>
          </w:tcPr>
          <w:p w14:paraId="09C8FD2B" w14:textId="77777777" w:rsidR="000D42F1" w:rsidRDefault="000D42F1">
            <w:pPr>
              <w:pStyle w:val="Tables"/>
            </w:pPr>
            <w:r>
              <w:t>$90,259</w:t>
            </w:r>
          </w:p>
        </w:tc>
        <w:tc>
          <w:tcPr>
            <w:tcW w:w="1701" w:type="dxa"/>
            <w:shd w:val="clear" w:color="auto" w:fill="auto"/>
            <w:noWrap/>
            <w:tcMar>
              <w:top w:w="0" w:type="dxa"/>
              <w:left w:w="108" w:type="dxa"/>
              <w:bottom w:w="0" w:type="dxa"/>
              <w:right w:w="108" w:type="dxa"/>
            </w:tcMar>
          </w:tcPr>
          <w:p w14:paraId="7EA51FB4" w14:textId="77777777" w:rsidR="000D42F1" w:rsidRPr="00D535AF" w:rsidRDefault="000D42F1">
            <w:pPr>
              <w:pStyle w:val="Tables"/>
            </w:pPr>
            <w:r w:rsidRPr="06397ECB">
              <w:t xml:space="preserve"> +$4,462</w:t>
            </w:r>
          </w:p>
        </w:tc>
      </w:tr>
      <w:tr w:rsidR="000D42F1" w:rsidRPr="00D535AF" w14:paraId="6A1E0C4A" w14:textId="77777777" w:rsidTr="00C4539F">
        <w:trPr>
          <w:trHeight w:val="300"/>
        </w:trPr>
        <w:tc>
          <w:tcPr>
            <w:tcW w:w="2381" w:type="dxa"/>
            <w:shd w:val="clear" w:color="auto" w:fill="auto"/>
            <w:noWrap/>
            <w:tcMar>
              <w:top w:w="0" w:type="dxa"/>
              <w:left w:w="108" w:type="dxa"/>
              <w:bottom w:w="0" w:type="dxa"/>
              <w:right w:w="108" w:type="dxa"/>
            </w:tcMar>
            <w:hideMark/>
          </w:tcPr>
          <w:p w14:paraId="5D1F47E2" w14:textId="77777777" w:rsidR="000D42F1" w:rsidRPr="00D535AF" w:rsidRDefault="000D42F1">
            <w:pPr>
              <w:pStyle w:val="Tables"/>
              <w:jc w:val="left"/>
              <w:rPr>
                <w:rFonts w:eastAsia="Calibri"/>
              </w:rPr>
            </w:pPr>
            <w:r w:rsidRPr="00D535AF">
              <w:t>Men</w:t>
            </w:r>
          </w:p>
        </w:tc>
        <w:tc>
          <w:tcPr>
            <w:tcW w:w="1701" w:type="dxa"/>
            <w:shd w:val="clear" w:color="auto" w:fill="auto"/>
            <w:noWrap/>
            <w:tcMar>
              <w:top w:w="0" w:type="dxa"/>
              <w:left w:w="108" w:type="dxa"/>
              <w:bottom w:w="0" w:type="dxa"/>
              <w:right w:w="108" w:type="dxa"/>
            </w:tcMar>
          </w:tcPr>
          <w:p w14:paraId="1415899D" w14:textId="77777777" w:rsidR="000D42F1" w:rsidRPr="00D535AF" w:rsidRDefault="000D42F1">
            <w:pPr>
              <w:pStyle w:val="Tables"/>
            </w:pPr>
            <w:r w:rsidRPr="00D535AF">
              <w:t>$94,961</w:t>
            </w:r>
          </w:p>
        </w:tc>
        <w:tc>
          <w:tcPr>
            <w:tcW w:w="1701" w:type="dxa"/>
            <w:shd w:val="clear" w:color="auto" w:fill="auto"/>
            <w:noWrap/>
            <w:tcMar>
              <w:top w:w="0" w:type="dxa"/>
              <w:left w:w="108" w:type="dxa"/>
              <w:bottom w:w="0" w:type="dxa"/>
              <w:right w:w="108" w:type="dxa"/>
            </w:tcMar>
          </w:tcPr>
          <w:p w14:paraId="194CFDB7" w14:textId="77777777" w:rsidR="000D42F1" w:rsidRPr="00D535AF" w:rsidRDefault="000D42F1">
            <w:pPr>
              <w:pStyle w:val="Tables"/>
            </w:pPr>
            <w:r w:rsidRPr="00D535AF">
              <w:t>$95,152</w:t>
            </w:r>
          </w:p>
        </w:tc>
        <w:tc>
          <w:tcPr>
            <w:tcW w:w="1701" w:type="dxa"/>
            <w:shd w:val="clear" w:color="auto" w:fill="auto"/>
            <w:tcMar>
              <w:top w:w="0" w:type="dxa"/>
              <w:left w:w="108" w:type="dxa"/>
              <w:bottom w:w="0" w:type="dxa"/>
              <w:right w:w="108" w:type="dxa"/>
            </w:tcMar>
          </w:tcPr>
          <w:p w14:paraId="39AE195E" w14:textId="77777777" w:rsidR="000D42F1" w:rsidRDefault="000D42F1">
            <w:pPr>
              <w:pStyle w:val="Tables"/>
            </w:pPr>
            <w:r>
              <w:t>$99,026</w:t>
            </w:r>
          </w:p>
        </w:tc>
        <w:tc>
          <w:tcPr>
            <w:tcW w:w="1701" w:type="dxa"/>
            <w:shd w:val="clear" w:color="auto" w:fill="auto"/>
            <w:noWrap/>
            <w:tcMar>
              <w:top w:w="0" w:type="dxa"/>
              <w:left w:w="108" w:type="dxa"/>
              <w:bottom w:w="0" w:type="dxa"/>
              <w:right w:w="108" w:type="dxa"/>
            </w:tcMar>
          </w:tcPr>
          <w:p w14:paraId="670FF45A" w14:textId="77777777" w:rsidR="000D42F1" w:rsidRPr="00D535AF" w:rsidRDefault="000D42F1">
            <w:pPr>
              <w:pStyle w:val="Tables"/>
            </w:pPr>
            <w:r w:rsidRPr="06397ECB">
              <w:t xml:space="preserve"> +$3,874</w:t>
            </w:r>
          </w:p>
        </w:tc>
      </w:tr>
      <w:tr w:rsidR="000D42F1" w:rsidRPr="00EC65CD" w14:paraId="050568A0" w14:textId="77777777" w:rsidTr="00C4539F">
        <w:trPr>
          <w:trHeight w:val="300"/>
        </w:trPr>
        <w:tc>
          <w:tcPr>
            <w:tcW w:w="2381" w:type="dxa"/>
            <w:shd w:val="clear" w:color="auto" w:fill="auto"/>
            <w:noWrap/>
            <w:tcMar>
              <w:top w:w="0" w:type="dxa"/>
              <w:left w:w="108" w:type="dxa"/>
              <w:bottom w:w="0" w:type="dxa"/>
              <w:right w:w="108" w:type="dxa"/>
            </w:tcMar>
            <w:vAlign w:val="center"/>
            <w:hideMark/>
          </w:tcPr>
          <w:p w14:paraId="1DCA6CCB" w14:textId="77777777" w:rsidR="000D42F1" w:rsidRPr="00D535AF" w:rsidRDefault="000D42F1" w:rsidP="00C4539F">
            <w:pPr>
              <w:pStyle w:val="Tables"/>
              <w:jc w:val="left"/>
              <w:rPr>
                <w:rFonts w:eastAsia="Calibri"/>
              </w:rPr>
            </w:pPr>
            <w:r w:rsidRPr="00D535AF">
              <w:t>Gender pay gap*</w:t>
            </w:r>
          </w:p>
        </w:tc>
        <w:tc>
          <w:tcPr>
            <w:tcW w:w="1701" w:type="dxa"/>
            <w:shd w:val="clear" w:color="auto" w:fill="auto"/>
            <w:noWrap/>
            <w:tcMar>
              <w:top w:w="0" w:type="dxa"/>
              <w:left w:w="108" w:type="dxa"/>
              <w:bottom w:w="0" w:type="dxa"/>
              <w:right w:w="108" w:type="dxa"/>
            </w:tcMar>
          </w:tcPr>
          <w:p w14:paraId="79BC6F86" w14:textId="77777777" w:rsidR="000D42F1" w:rsidRPr="00D535AF" w:rsidRDefault="000D42F1">
            <w:pPr>
              <w:pStyle w:val="Tables"/>
            </w:pPr>
            <w:r w:rsidRPr="00D535AF">
              <w:t xml:space="preserve">$9,141 </w:t>
            </w:r>
            <w:r w:rsidRPr="00D535AF">
              <w:br/>
              <w:t>(9.6%)</w:t>
            </w:r>
          </w:p>
        </w:tc>
        <w:tc>
          <w:tcPr>
            <w:tcW w:w="1701" w:type="dxa"/>
            <w:shd w:val="clear" w:color="auto" w:fill="auto"/>
            <w:noWrap/>
            <w:tcMar>
              <w:top w:w="0" w:type="dxa"/>
              <w:left w:w="108" w:type="dxa"/>
              <w:bottom w:w="0" w:type="dxa"/>
              <w:right w:w="108" w:type="dxa"/>
            </w:tcMar>
          </w:tcPr>
          <w:p w14:paraId="4D0F6855" w14:textId="77777777" w:rsidR="000D42F1" w:rsidRPr="00D535AF" w:rsidRDefault="000D42F1">
            <w:pPr>
              <w:pStyle w:val="Tables"/>
            </w:pPr>
            <w:r w:rsidRPr="00D535AF">
              <w:t>$9,355</w:t>
            </w:r>
            <w:r w:rsidRPr="00D535AF">
              <w:br/>
              <w:t>(9.8%)</w:t>
            </w:r>
          </w:p>
        </w:tc>
        <w:tc>
          <w:tcPr>
            <w:tcW w:w="1701" w:type="dxa"/>
            <w:shd w:val="clear" w:color="auto" w:fill="auto"/>
            <w:tcMar>
              <w:top w:w="0" w:type="dxa"/>
              <w:left w:w="108" w:type="dxa"/>
              <w:bottom w:w="0" w:type="dxa"/>
              <w:right w:w="108" w:type="dxa"/>
            </w:tcMar>
          </w:tcPr>
          <w:p w14:paraId="63225A12" w14:textId="77777777" w:rsidR="000D42F1" w:rsidRDefault="000D42F1">
            <w:pPr>
              <w:pStyle w:val="Tables"/>
            </w:pPr>
            <w:r>
              <w:t>$8,767</w:t>
            </w:r>
          </w:p>
          <w:p w14:paraId="37E65289" w14:textId="77777777" w:rsidR="000D42F1" w:rsidRDefault="000D42F1">
            <w:pPr>
              <w:pStyle w:val="Tables"/>
            </w:pPr>
            <w:r>
              <w:t>(8.9%)</w:t>
            </w:r>
          </w:p>
        </w:tc>
        <w:tc>
          <w:tcPr>
            <w:tcW w:w="1701" w:type="dxa"/>
            <w:shd w:val="clear" w:color="auto" w:fill="auto"/>
            <w:noWrap/>
            <w:tcMar>
              <w:top w:w="0" w:type="dxa"/>
              <w:left w:w="108" w:type="dxa"/>
              <w:bottom w:w="0" w:type="dxa"/>
              <w:right w:w="108" w:type="dxa"/>
            </w:tcMar>
          </w:tcPr>
          <w:p w14:paraId="19F91E20" w14:textId="6FD73BBF" w:rsidR="000D42F1" w:rsidRPr="00D535AF" w:rsidRDefault="000D42F1">
            <w:pPr>
              <w:pStyle w:val="Tables"/>
            </w:pPr>
            <w:r w:rsidRPr="06397ECB">
              <w:t xml:space="preserve">-$588  </w:t>
            </w:r>
            <w:r w:rsidRPr="00D535AF">
              <w:br/>
              <w:t>(</w:t>
            </w:r>
            <w:r>
              <w:t>-0.9ppt</w:t>
            </w:r>
            <w:r w:rsidRPr="00D535AF">
              <w:t>)</w:t>
            </w:r>
          </w:p>
        </w:tc>
      </w:tr>
    </w:tbl>
    <w:p w14:paraId="3B8B820A" w14:textId="77777777" w:rsidR="000D42F1" w:rsidRPr="00357E62" w:rsidRDefault="000D42F1" w:rsidP="000D42F1">
      <w:pPr>
        <w:spacing w:before="60"/>
        <w:rPr>
          <w:sz w:val="16"/>
          <w:szCs w:val="16"/>
        </w:rPr>
      </w:pPr>
      <w:r w:rsidRPr="00357E62">
        <w:rPr>
          <w:sz w:val="16"/>
          <w:szCs w:val="16"/>
        </w:rPr>
        <w:t>*</w:t>
      </w:r>
      <w:r>
        <w:rPr>
          <w:sz w:val="16"/>
          <w:szCs w:val="16"/>
        </w:rPr>
        <w:t>D</w:t>
      </w:r>
      <w:r w:rsidRPr="00357E62">
        <w:rPr>
          <w:sz w:val="16"/>
          <w:szCs w:val="16"/>
        </w:rPr>
        <w:t>ifference between median equivalent annual salary of men and women expressed as percentage of men’s median equivalent annual salary.</w:t>
      </w:r>
    </w:p>
    <w:p w14:paraId="72089125" w14:textId="65F861F1" w:rsidR="000D42F1" w:rsidRDefault="00DB5AC5" w:rsidP="000D42F1">
      <w:r>
        <w:t>T</w:t>
      </w:r>
      <w:r w:rsidR="000D42F1">
        <w:t xml:space="preserve">he median overtime payment for men </w:t>
      </w:r>
      <w:r w:rsidR="00D80931">
        <w:t>in 2022-23</w:t>
      </w:r>
      <w:r w:rsidR="004D3D6E">
        <w:t xml:space="preserve"> </w:t>
      </w:r>
      <w:r w:rsidR="000D42F1">
        <w:t>was $4,778 compared with $1,323 for women – a gender overtime gap of 72.3%. This is based on the difference between the median annual overtime payments of men and women, including employees at all levels, for those who worked overtime.</w:t>
      </w:r>
    </w:p>
    <w:p w14:paraId="4DB53EA3" w14:textId="100CC0B8" w:rsidR="000D42F1" w:rsidRDefault="003123C2" w:rsidP="00070606">
      <w:pPr>
        <w:pStyle w:val="Caption"/>
        <w:spacing w:after="0"/>
        <w:rPr>
          <w:color w:val="auto"/>
          <w:sz w:val="22"/>
          <w:szCs w:val="22"/>
        </w:rPr>
      </w:pPr>
      <w:r>
        <w:rPr>
          <w:color w:val="auto"/>
          <w:sz w:val="22"/>
          <w:szCs w:val="22"/>
        </w:rPr>
        <w:t>O</w:t>
      </w:r>
      <w:r w:rsidR="000D42F1">
        <w:rPr>
          <w:color w:val="auto"/>
          <w:sz w:val="22"/>
          <w:szCs w:val="22"/>
        </w:rPr>
        <w:t>ther government entities (</w:t>
      </w:r>
      <w:r w:rsidR="00BE1206">
        <w:rPr>
          <w:color w:val="auto"/>
          <w:sz w:val="22"/>
          <w:szCs w:val="22"/>
        </w:rPr>
        <w:fldChar w:fldCharType="begin"/>
      </w:r>
      <w:r w:rsidR="00BE1206">
        <w:rPr>
          <w:color w:val="auto"/>
          <w:sz w:val="22"/>
          <w:szCs w:val="22"/>
        </w:rPr>
        <w:instrText xml:space="preserve"> REF _Ref84254972 \h  \* MERGEFORMAT </w:instrText>
      </w:r>
      <w:r w:rsidR="00BE1206">
        <w:rPr>
          <w:color w:val="auto"/>
          <w:sz w:val="22"/>
          <w:szCs w:val="22"/>
        </w:rPr>
      </w:r>
      <w:r w:rsidR="00BE1206">
        <w:rPr>
          <w:color w:val="auto"/>
          <w:sz w:val="22"/>
          <w:szCs w:val="22"/>
        </w:rPr>
        <w:fldChar w:fldCharType="separate"/>
      </w:r>
      <w:r w:rsidR="0048418F" w:rsidRPr="0048418F">
        <w:rPr>
          <w:color w:val="auto"/>
          <w:sz w:val="22"/>
          <w:szCs w:val="22"/>
        </w:rPr>
        <w:t>Table 17</w:t>
      </w:r>
      <w:r w:rsidR="00BE1206">
        <w:rPr>
          <w:color w:val="auto"/>
          <w:sz w:val="22"/>
          <w:szCs w:val="22"/>
        </w:rPr>
        <w:fldChar w:fldCharType="end"/>
      </w:r>
      <w:r w:rsidR="000D42F1">
        <w:rPr>
          <w:color w:val="auto"/>
          <w:sz w:val="22"/>
          <w:szCs w:val="22"/>
        </w:rPr>
        <w:t>)</w:t>
      </w:r>
      <w:r w:rsidR="000E160B">
        <w:rPr>
          <w:color w:val="auto"/>
          <w:sz w:val="22"/>
          <w:szCs w:val="22"/>
        </w:rPr>
        <w:t>:</w:t>
      </w:r>
    </w:p>
    <w:p w14:paraId="11D36449" w14:textId="4A17BBFF" w:rsidR="000E160B" w:rsidRDefault="000D42F1">
      <w:pPr>
        <w:pStyle w:val="Caption"/>
        <w:numPr>
          <w:ilvl w:val="0"/>
          <w:numId w:val="24"/>
        </w:numPr>
        <w:contextualSpacing/>
        <w:rPr>
          <w:color w:val="auto"/>
          <w:sz w:val="22"/>
          <w:szCs w:val="22"/>
        </w:rPr>
      </w:pPr>
      <w:r>
        <w:rPr>
          <w:color w:val="auto"/>
          <w:sz w:val="22"/>
          <w:szCs w:val="22"/>
        </w:rPr>
        <w:t>T</w:t>
      </w:r>
      <w:r w:rsidRPr="00CE1D6F">
        <w:rPr>
          <w:color w:val="auto"/>
          <w:sz w:val="22"/>
          <w:szCs w:val="22"/>
        </w:rPr>
        <w:t xml:space="preserve">he median salary for women in </w:t>
      </w:r>
      <w:r>
        <w:rPr>
          <w:color w:val="auto"/>
          <w:sz w:val="22"/>
          <w:szCs w:val="22"/>
        </w:rPr>
        <w:t xml:space="preserve">government trading enterprises and other authorities </w:t>
      </w:r>
      <w:r w:rsidRPr="00CE1D6F">
        <w:rPr>
          <w:color w:val="auto"/>
          <w:sz w:val="22"/>
          <w:szCs w:val="22"/>
        </w:rPr>
        <w:t>increased between March 2022 and March 2023</w:t>
      </w:r>
      <w:r w:rsidR="00DC31C1">
        <w:rPr>
          <w:color w:val="auto"/>
          <w:sz w:val="22"/>
          <w:szCs w:val="22"/>
        </w:rPr>
        <w:t>, and</w:t>
      </w:r>
      <w:r w:rsidRPr="00CE1D6F">
        <w:rPr>
          <w:color w:val="auto"/>
          <w:sz w:val="22"/>
          <w:szCs w:val="22"/>
        </w:rPr>
        <w:t xml:space="preserve"> the gender pay gap reduced. In 2022</w:t>
      </w:r>
      <w:r>
        <w:rPr>
          <w:color w:val="auto"/>
          <w:sz w:val="22"/>
          <w:szCs w:val="22"/>
        </w:rPr>
        <w:t>-</w:t>
      </w:r>
      <w:r w:rsidRPr="00CE1D6F">
        <w:rPr>
          <w:color w:val="auto"/>
          <w:sz w:val="22"/>
          <w:szCs w:val="22"/>
        </w:rPr>
        <w:t xml:space="preserve">23, the median salary for women was </w:t>
      </w:r>
      <w:r>
        <w:rPr>
          <w:color w:val="auto"/>
          <w:sz w:val="22"/>
          <w:szCs w:val="22"/>
        </w:rPr>
        <w:t>8.6</w:t>
      </w:r>
      <w:r w:rsidRPr="00CE1D6F">
        <w:rPr>
          <w:color w:val="auto"/>
          <w:sz w:val="22"/>
          <w:szCs w:val="22"/>
        </w:rPr>
        <w:t>% lower than the median salary for men</w:t>
      </w:r>
      <w:r>
        <w:rPr>
          <w:color w:val="auto"/>
          <w:sz w:val="22"/>
          <w:szCs w:val="22"/>
        </w:rPr>
        <w:t>.</w:t>
      </w:r>
    </w:p>
    <w:p w14:paraId="03F1A101" w14:textId="77777777" w:rsidR="000E160B" w:rsidRDefault="000D42F1">
      <w:pPr>
        <w:pStyle w:val="Caption"/>
        <w:numPr>
          <w:ilvl w:val="0"/>
          <w:numId w:val="24"/>
        </w:numPr>
        <w:contextualSpacing/>
        <w:rPr>
          <w:color w:val="auto"/>
          <w:sz w:val="22"/>
          <w:szCs w:val="22"/>
        </w:rPr>
      </w:pPr>
      <w:r w:rsidRPr="000E160B">
        <w:rPr>
          <w:color w:val="auto"/>
          <w:sz w:val="22"/>
          <w:szCs w:val="22"/>
        </w:rPr>
        <w:t>The median salary for women in local governments increased between March 2022 and March 2023. However, the gender pay gap widened slightly. In 2022-23, the median salary for women was 0.2% lower than the median salary for men.</w:t>
      </w:r>
    </w:p>
    <w:p w14:paraId="5116B8EF" w14:textId="783C4869" w:rsidR="000D42F1" w:rsidRPr="000E160B" w:rsidRDefault="000D42F1">
      <w:pPr>
        <w:pStyle w:val="Caption"/>
        <w:numPr>
          <w:ilvl w:val="0"/>
          <w:numId w:val="24"/>
        </w:numPr>
        <w:rPr>
          <w:color w:val="auto"/>
          <w:sz w:val="22"/>
          <w:szCs w:val="22"/>
        </w:rPr>
      </w:pPr>
      <w:r w:rsidRPr="000E160B">
        <w:rPr>
          <w:color w:val="auto"/>
          <w:sz w:val="22"/>
          <w:szCs w:val="22"/>
        </w:rPr>
        <w:t>The median salary for women in public universities decreased between March 2022 and March 2023</w:t>
      </w:r>
      <w:r w:rsidR="00DC31C1">
        <w:rPr>
          <w:color w:val="auto"/>
          <w:sz w:val="22"/>
          <w:szCs w:val="22"/>
        </w:rPr>
        <w:t xml:space="preserve">, and </w:t>
      </w:r>
      <w:r w:rsidRPr="000E160B">
        <w:rPr>
          <w:color w:val="auto"/>
          <w:sz w:val="22"/>
          <w:szCs w:val="22"/>
        </w:rPr>
        <w:t>the gender pay gap widened. In 2022-23, the median salary for women was 8.7% lower than the median salary for men.</w:t>
      </w:r>
    </w:p>
    <w:p w14:paraId="6FC18E20" w14:textId="77777777" w:rsidR="000D42F1" w:rsidRPr="00925126" w:rsidRDefault="000D42F1" w:rsidP="000E160B">
      <w:pPr>
        <w:pStyle w:val="Caption"/>
        <w:rPr>
          <w:color w:val="auto"/>
          <w:sz w:val="22"/>
          <w:szCs w:val="22"/>
        </w:rPr>
      </w:pPr>
      <w:r w:rsidRPr="00925126">
        <w:rPr>
          <w:color w:val="auto"/>
          <w:sz w:val="22"/>
          <w:szCs w:val="22"/>
        </w:rPr>
        <w:t xml:space="preserve">As this is </w:t>
      </w:r>
      <w:r>
        <w:rPr>
          <w:color w:val="auto"/>
          <w:sz w:val="22"/>
          <w:szCs w:val="22"/>
        </w:rPr>
        <w:t xml:space="preserve">still </w:t>
      </w:r>
      <w:r w:rsidRPr="00925126">
        <w:rPr>
          <w:color w:val="auto"/>
          <w:sz w:val="22"/>
          <w:szCs w:val="22"/>
        </w:rPr>
        <w:t xml:space="preserve">a </w:t>
      </w:r>
      <w:r>
        <w:rPr>
          <w:color w:val="auto"/>
          <w:sz w:val="22"/>
          <w:szCs w:val="22"/>
        </w:rPr>
        <w:t xml:space="preserve">relatively </w:t>
      </w:r>
      <w:r w:rsidRPr="00925126">
        <w:rPr>
          <w:color w:val="auto"/>
          <w:sz w:val="22"/>
          <w:szCs w:val="22"/>
        </w:rPr>
        <w:t>new method for these entities,</w:t>
      </w:r>
      <w:r>
        <w:rPr>
          <w:color w:val="auto"/>
          <w:sz w:val="22"/>
          <w:szCs w:val="22"/>
        </w:rPr>
        <w:t xml:space="preserve"> data quality issues may be present and trend information should be considered in this context when interpreting this information</w:t>
      </w:r>
      <w:r w:rsidRPr="00925126">
        <w:rPr>
          <w:color w:val="auto"/>
          <w:sz w:val="22"/>
          <w:szCs w:val="22"/>
        </w:rPr>
        <w:t>.</w:t>
      </w:r>
    </w:p>
    <w:p w14:paraId="6F7651A4" w14:textId="6986EAE6" w:rsidR="000D42F1" w:rsidRPr="00357E62" w:rsidRDefault="000D42F1" w:rsidP="000D42F1">
      <w:pPr>
        <w:pStyle w:val="Caption"/>
        <w:rPr>
          <w:b/>
          <w:bCs/>
        </w:rPr>
      </w:pPr>
      <w:bookmarkStart w:id="74" w:name="_Ref84254972"/>
      <w:r w:rsidRPr="00357E62">
        <w:rPr>
          <w:b/>
          <w:bCs/>
        </w:rPr>
        <w:t xml:space="preserve">Table </w:t>
      </w:r>
      <w:r w:rsidRPr="00357E62">
        <w:rPr>
          <w:b/>
          <w:bCs/>
        </w:rPr>
        <w:fldChar w:fldCharType="begin"/>
      </w:r>
      <w:r w:rsidRPr="00357E62">
        <w:rPr>
          <w:b/>
          <w:bCs/>
        </w:rPr>
        <w:instrText>SEQ Table \* ARABIC</w:instrText>
      </w:r>
      <w:r w:rsidRPr="00357E62">
        <w:rPr>
          <w:b/>
          <w:bCs/>
        </w:rPr>
        <w:fldChar w:fldCharType="separate"/>
      </w:r>
      <w:r w:rsidR="0048418F">
        <w:rPr>
          <w:b/>
          <w:bCs/>
          <w:noProof/>
        </w:rPr>
        <w:t>17</w:t>
      </w:r>
      <w:r w:rsidRPr="00357E62">
        <w:rPr>
          <w:b/>
          <w:bCs/>
        </w:rPr>
        <w:fldChar w:fldCharType="end"/>
      </w:r>
      <w:bookmarkEnd w:id="74"/>
      <w:r w:rsidRPr="00357E62">
        <w:rPr>
          <w:b/>
          <w:bCs/>
          <w:noProof/>
        </w:rPr>
        <w:t>:</w:t>
      </w:r>
      <w:r w:rsidRPr="00357E62">
        <w:rPr>
          <w:b/>
          <w:bCs/>
        </w:rPr>
        <w:t xml:space="preserve"> Median salary and gender pay gap, </w:t>
      </w:r>
      <w:r w:rsidR="00C44541">
        <w:rPr>
          <w:b/>
          <w:bCs/>
        </w:rPr>
        <w:t>WA</w:t>
      </w:r>
      <w:r w:rsidRPr="00357E62">
        <w:rPr>
          <w:b/>
          <w:bCs/>
        </w:rPr>
        <w:t xml:space="preserve"> other government entities March 20</w:t>
      </w:r>
      <w:r>
        <w:rPr>
          <w:b/>
          <w:bCs/>
        </w:rPr>
        <w:t>23</w:t>
      </w:r>
    </w:p>
    <w:tbl>
      <w:tblPr>
        <w:tblW w:w="9185"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Caption w:val="Table 17: Median salary and gender pay gap, WA other government entities March 2023"/>
      </w:tblPr>
      <w:tblGrid>
        <w:gridCol w:w="2381"/>
        <w:gridCol w:w="2268"/>
        <w:gridCol w:w="2268"/>
        <w:gridCol w:w="2268"/>
      </w:tblGrid>
      <w:tr w:rsidR="00C4539F" w:rsidRPr="00044F79" w14:paraId="4388EA0D" w14:textId="77777777" w:rsidTr="00C4539F">
        <w:trPr>
          <w:trHeight w:val="300"/>
        </w:trPr>
        <w:tc>
          <w:tcPr>
            <w:tcW w:w="2381" w:type="dxa"/>
            <w:tcBorders>
              <w:top w:val="nil"/>
              <w:left w:val="nil"/>
              <w:bottom w:val="single" w:sz="12" w:space="0" w:color="2E74B5" w:themeColor="accent1" w:themeShade="BF"/>
              <w:right w:val="single" w:sz="12" w:space="0" w:color="2E74B5" w:themeColor="accent1" w:themeShade="BF"/>
            </w:tcBorders>
            <w:shd w:val="clear" w:color="auto" w:fill="auto"/>
            <w:noWrap/>
            <w:hideMark/>
          </w:tcPr>
          <w:p w14:paraId="2926EFB3" w14:textId="77777777" w:rsidR="000D42F1" w:rsidRPr="00044F79" w:rsidRDefault="000D42F1">
            <w:pPr>
              <w:spacing w:after="0" w:line="240" w:lineRule="auto"/>
              <w:rPr>
                <w:sz w:val="20"/>
                <w:szCs w:val="20"/>
              </w:rPr>
            </w:pP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55C667E3" w14:textId="77777777" w:rsidR="000D42F1" w:rsidRPr="00044F79" w:rsidRDefault="000D42F1">
            <w:pPr>
              <w:pStyle w:val="Tables"/>
              <w:rPr>
                <w:b/>
                <w:bCs/>
                <w:color w:val="2E74B5" w:themeColor="accent1" w:themeShade="BF"/>
              </w:rPr>
            </w:pPr>
            <w:r w:rsidRPr="577E96CE">
              <w:rPr>
                <w:b/>
                <w:bCs/>
                <w:color w:val="2E74B5" w:themeColor="accent1" w:themeShade="BF"/>
              </w:rPr>
              <w:t xml:space="preserve">Government </w:t>
            </w:r>
            <w:r>
              <w:rPr>
                <w:b/>
                <w:bCs/>
                <w:color w:val="2E74B5" w:themeColor="accent1" w:themeShade="BF"/>
              </w:rPr>
              <w:t>t</w:t>
            </w:r>
            <w:r w:rsidRPr="577E96CE">
              <w:rPr>
                <w:b/>
                <w:bCs/>
                <w:color w:val="2E74B5" w:themeColor="accent1" w:themeShade="BF"/>
              </w:rPr>
              <w:t xml:space="preserve">rading </w:t>
            </w:r>
            <w:r>
              <w:rPr>
                <w:b/>
                <w:bCs/>
                <w:color w:val="2E74B5" w:themeColor="accent1" w:themeShade="BF"/>
              </w:rPr>
              <w:t>e</w:t>
            </w:r>
            <w:r w:rsidRPr="577E96CE">
              <w:rPr>
                <w:b/>
                <w:bCs/>
                <w:color w:val="2E74B5" w:themeColor="accent1" w:themeShade="BF"/>
              </w:rPr>
              <w:t>nterprises and other authorities</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378C62B5" w14:textId="77777777" w:rsidR="000D42F1" w:rsidRPr="00044F79" w:rsidRDefault="000D42F1">
            <w:pPr>
              <w:pStyle w:val="Tables"/>
              <w:rPr>
                <w:b/>
                <w:bCs/>
                <w:color w:val="2E74B5" w:themeColor="accent1" w:themeShade="BF"/>
              </w:rPr>
            </w:pPr>
            <w:r w:rsidRPr="6B690D38">
              <w:rPr>
                <w:b/>
                <w:bCs/>
                <w:color w:val="2E74B5" w:themeColor="accent1" w:themeShade="BF"/>
              </w:rPr>
              <w:t xml:space="preserve">Local </w:t>
            </w:r>
            <w:r>
              <w:rPr>
                <w:b/>
                <w:bCs/>
                <w:color w:val="2E74B5" w:themeColor="accent1" w:themeShade="BF"/>
              </w:rPr>
              <w:t>g</w:t>
            </w:r>
            <w:r w:rsidRPr="6B690D38">
              <w:rPr>
                <w:b/>
                <w:bCs/>
                <w:color w:val="2E74B5" w:themeColor="accent1" w:themeShade="BF"/>
              </w:rPr>
              <w:t>overnments</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1FB37B2B" w14:textId="77777777" w:rsidR="000D42F1" w:rsidRPr="00044F79" w:rsidRDefault="000D42F1">
            <w:pPr>
              <w:pStyle w:val="Tables"/>
              <w:rPr>
                <w:b/>
                <w:bCs/>
                <w:color w:val="2E74B5" w:themeColor="accent1" w:themeShade="BF"/>
              </w:rPr>
            </w:pPr>
            <w:r w:rsidRPr="6B690D38">
              <w:rPr>
                <w:b/>
                <w:bCs/>
                <w:color w:val="2E74B5" w:themeColor="accent1" w:themeShade="BF"/>
              </w:rPr>
              <w:t xml:space="preserve">Public </w:t>
            </w:r>
            <w:r>
              <w:rPr>
                <w:b/>
                <w:bCs/>
                <w:color w:val="2E74B5" w:themeColor="accent1" w:themeShade="BF"/>
              </w:rPr>
              <w:t>u</w:t>
            </w:r>
            <w:r w:rsidRPr="6B690D38">
              <w:rPr>
                <w:b/>
                <w:bCs/>
                <w:color w:val="2E74B5" w:themeColor="accent1" w:themeShade="BF"/>
              </w:rPr>
              <w:t>niversities</w:t>
            </w:r>
          </w:p>
        </w:tc>
      </w:tr>
      <w:tr w:rsidR="00C4539F" w:rsidRPr="00D535AF" w14:paraId="1A601385" w14:textId="77777777" w:rsidTr="00C4539F">
        <w:trPr>
          <w:trHeight w:val="300"/>
        </w:trPr>
        <w:tc>
          <w:tcPr>
            <w:tcW w:w="2381"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7687CEDC" w14:textId="77777777" w:rsidR="000D42F1" w:rsidRPr="00D535AF" w:rsidRDefault="000D42F1">
            <w:pPr>
              <w:pStyle w:val="Tables"/>
              <w:jc w:val="left"/>
            </w:pPr>
            <w:r w:rsidRPr="00D535AF">
              <w:t xml:space="preserve">All </w:t>
            </w:r>
            <w:r>
              <w:t>employees</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5317BB77" w14:textId="77777777" w:rsidR="000D42F1" w:rsidRPr="00D535AF" w:rsidRDefault="000D42F1">
            <w:pPr>
              <w:pStyle w:val="Tables"/>
            </w:pPr>
            <w:r w:rsidRPr="00D535AF">
              <w:t>$</w:t>
            </w:r>
            <w:r>
              <w:t>106,107</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507FB3A6" w14:textId="77777777" w:rsidR="000D42F1" w:rsidRPr="00D535AF" w:rsidRDefault="000D42F1">
            <w:pPr>
              <w:pStyle w:val="Tables"/>
            </w:pPr>
            <w:r w:rsidRPr="00D535AF">
              <w:t>$</w:t>
            </w:r>
            <w:r>
              <w:t>72,887</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4E1BC4F7" w14:textId="77777777" w:rsidR="000D42F1" w:rsidRPr="00D535AF" w:rsidRDefault="000D42F1">
            <w:pPr>
              <w:pStyle w:val="Tables"/>
            </w:pPr>
            <w:r w:rsidRPr="00D535AF">
              <w:t>$</w:t>
            </w:r>
            <w:r>
              <w:t>97,574</w:t>
            </w:r>
          </w:p>
        </w:tc>
      </w:tr>
      <w:tr w:rsidR="00C4539F" w:rsidRPr="00D535AF" w14:paraId="2118A6A1" w14:textId="77777777" w:rsidTr="00C4539F">
        <w:trPr>
          <w:trHeight w:val="300"/>
        </w:trPr>
        <w:tc>
          <w:tcPr>
            <w:tcW w:w="2381"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72D99C58" w14:textId="77777777" w:rsidR="000D42F1" w:rsidRPr="00D535AF" w:rsidRDefault="000D42F1">
            <w:pPr>
              <w:pStyle w:val="Tables"/>
              <w:jc w:val="left"/>
            </w:pPr>
            <w:r w:rsidRPr="00D535AF">
              <w:t>Women</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214FE3AB" w14:textId="77777777" w:rsidR="000D42F1" w:rsidRPr="00D535AF" w:rsidRDefault="000D42F1">
            <w:pPr>
              <w:pStyle w:val="Tables"/>
            </w:pPr>
            <w:r w:rsidRPr="00D535AF">
              <w:t>$</w:t>
            </w:r>
            <w:r>
              <w:t>97,534</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10DDC8CD" w14:textId="77777777" w:rsidR="000D42F1" w:rsidRPr="00D535AF" w:rsidRDefault="000D42F1">
            <w:pPr>
              <w:pStyle w:val="Tables"/>
            </w:pPr>
            <w:r w:rsidRPr="00D535AF">
              <w:t>$</w:t>
            </w:r>
            <w:r>
              <w:t>72,887</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276D245C" w14:textId="77777777" w:rsidR="000D42F1" w:rsidRPr="00D535AF" w:rsidRDefault="000D42F1">
            <w:pPr>
              <w:pStyle w:val="Tables"/>
            </w:pPr>
            <w:r w:rsidRPr="00D535AF">
              <w:t>$</w:t>
            </w:r>
            <w:r>
              <w:t>93,378</w:t>
            </w:r>
          </w:p>
        </w:tc>
      </w:tr>
      <w:tr w:rsidR="00C4539F" w:rsidRPr="00D535AF" w14:paraId="71B48C8A" w14:textId="77777777" w:rsidTr="00C4539F">
        <w:trPr>
          <w:trHeight w:val="300"/>
        </w:trPr>
        <w:tc>
          <w:tcPr>
            <w:tcW w:w="2381"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49BD33B9" w14:textId="77777777" w:rsidR="000D42F1" w:rsidRPr="00D535AF" w:rsidRDefault="000D42F1">
            <w:pPr>
              <w:pStyle w:val="Tables"/>
              <w:jc w:val="left"/>
            </w:pPr>
            <w:r w:rsidRPr="00D535AF">
              <w:t>Men</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7A7613C0" w14:textId="77777777" w:rsidR="000D42F1" w:rsidRPr="00D535AF" w:rsidRDefault="000D42F1">
            <w:pPr>
              <w:pStyle w:val="Tables"/>
            </w:pPr>
            <w:r w:rsidRPr="00D535AF">
              <w:t>$</w:t>
            </w:r>
            <w:r>
              <w:t>106,739</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1EE09AE6" w14:textId="77777777" w:rsidR="000D42F1" w:rsidRPr="00D535AF" w:rsidRDefault="000D42F1">
            <w:pPr>
              <w:pStyle w:val="Tables"/>
            </w:pPr>
            <w:r w:rsidRPr="00D535AF">
              <w:t>$</w:t>
            </w:r>
            <w:r>
              <w:t>73,044</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29A31DA2" w14:textId="77777777" w:rsidR="000D42F1" w:rsidRPr="00D535AF" w:rsidRDefault="000D42F1">
            <w:pPr>
              <w:pStyle w:val="Tables"/>
            </w:pPr>
            <w:r w:rsidRPr="00D535AF">
              <w:t>$</w:t>
            </w:r>
            <w:r>
              <w:t>102,249</w:t>
            </w:r>
          </w:p>
        </w:tc>
      </w:tr>
      <w:tr w:rsidR="00C4539F" w:rsidRPr="00D535AF" w14:paraId="1571AF78" w14:textId="77777777" w:rsidTr="00C4539F">
        <w:trPr>
          <w:trHeight w:val="300"/>
        </w:trPr>
        <w:tc>
          <w:tcPr>
            <w:tcW w:w="2381"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vAlign w:val="center"/>
            <w:hideMark/>
          </w:tcPr>
          <w:p w14:paraId="36808F48" w14:textId="236AA82D" w:rsidR="000D42F1" w:rsidRPr="00D535AF" w:rsidRDefault="000D42F1" w:rsidP="00C4539F">
            <w:pPr>
              <w:pStyle w:val="Tables"/>
              <w:jc w:val="left"/>
            </w:pPr>
            <w:r w:rsidRPr="00D535AF">
              <w:t>Gender pay gap</w:t>
            </w:r>
            <w:r w:rsidR="004D3D6E">
              <w:t>*</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7D058E73" w14:textId="77777777" w:rsidR="000D42F1" w:rsidRPr="00D535AF" w:rsidRDefault="000D42F1">
            <w:pPr>
              <w:pStyle w:val="Tables"/>
            </w:pPr>
            <w:r w:rsidRPr="00D535AF">
              <w:t>$</w:t>
            </w:r>
            <w:r>
              <w:t>9,205</w:t>
            </w:r>
            <w:r w:rsidRPr="00D535AF">
              <w:br/>
              <w:t>(8.</w:t>
            </w:r>
            <w:r>
              <w:t>6</w:t>
            </w:r>
            <w:r w:rsidRPr="00D535AF">
              <w:t>%)</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5936D50D" w14:textId="77777777" w:rsidR="000D42F1" w:rsidRPr="00D535AF" w:rsidRDefault="000D42F1">
            <w:pPr>
              <w:pStyle w:val="Tables"/>
            </w:pPr>
            <w:r w:rsidRPr="00D535AF">
              <w:t>$</w:t>
            </w:r>
            <w:r>
              <w:t>156</w:t>
            </w:r>
            <w:r w:rsidRPr="00D535AF">
              <w:br/>
              <w:t>(</w:t>
            </w:r>
            <w:r>
              <w:t>0.2</w:t>
            </w:r>
            <w:r w:rsidRPr="00D535AF">
              <w:t>%)</w:t>
            </w:r>
          </w:p>
        </w:tc>
        <w:tc>
          <w:tcPr>
            <w:tcW w:w="2268"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auto"/>
            <w:noWrap/>
            <w:hideMark/>
          </w:tcPr>
          <w:p w14:paraId="2798368E" w14:textId="77777777" w:rsidR="000D42F1" w:rsidRPr="00D535AF" w:rsidRDefault="000D42F1">
            <w:pPr>
              <w:pStyle w:val="Tables"/>
            </w:pPr>
            <w:r w:rsidRPr="00D535AF">
              <w:t>$</w:t>
            </w:r>
            <w:r>
              <w:t>8,871</w:t>
            </w:r>
            <w:r w:rsidRPr="00D535AF">
              <w:br/>
              <w:t>(</w:t>
            </w:r>
            <w:r>
              <w:t>8.7</w:t>
            </w:r>
            <w:r w:rsidRPr="00D535AF">
              <w:t>%)</w:t>
            </w:r>
          </w:p>
        </w:tc>
      </w:tr>
    </w:tbl>
    <w:p w14:paraId="764C8ED6" w14:textId="77777777" w:rsidR="004D3D6E" w:rsidRPr="00357E62" w:rsidRDefault="004D3D6E" w:rsidP="004D3D6E">
      <w:pPr>
        <w:spacing w:before="60"/>
        <w:rPr>
          <w:sz w:val="16"/>
          <w:szCs w:val="16"/>
        </w:rPr>
      </w:pPr>
      <w:r w:rsidRPr="00357E62">
        <w:rPr>
          <w:sz w:val="16"/>
          <w:szCs w:val="16"/>
        </w:rPr>
        <w:t>*</w:t>
      </w:r>
      <w:r>
        <w:rPr>
          <w:sz w:val="16"/>
          <w:szCs w:val="16"/>
        </w:rPr>
        <w:t>D</w:t>
      </w:r>
      <w:r w:rsidRPr="00357E62">
        <w:rPr>
          <w:sz w:val="16"/>
          <w:szCs w:val="16"/>
        </w:rPr>
        <w:t>ifference between median equivalent annual salary of men and women expressed as percentage of men’s median equivalent annual salary.</w:t>
      </w:r>
    </w:p>
    <w:p w14:paraId="456545D1" w14:textId="77777777" w:rsidR="000D42F1" w:rsidRPr="00D535AF" w:rsidRDefault="000D42F1" w:rsidP="000D42F1">
      <w:pPr>
        <w:pStyle w:val="Heading3"/>
      </w:pPr>
      <w:bookmarkStart w:id="75" w:name="_Toc151900177"/>
      <w:r w:rsidRPr="00D535AF">
        <w:lastRenderedPageBreak/>
        <w:t xml:space="preserve">Aboriginal and Torres Strait Islander </w:t>
      </w:r>
      <w:r>
        <w:t>employees</w:t>
      </w:r>
      <w:bookmarkEnd w:id="75"/>
    </w:p>
    <w:p w14:paraId="593437BE" w14:textId="77777777" w:rsidR="000D42F1" w:rsidRPr="00D535AF" w:rsidRDefault="000D42F1" w:rsidP="000E160B">
      <w:pPr>
        <w:spacing w:line="240" w:lineRule="auto"/>
      </w:pPr>
      <w:r w:rsidRPr="00D535AF">
        <w:t>In March 202</w:t>
      </w:r>
      <w:r>
        <w:t>3</w:t>
      </w:r>
      <w:r w:rsidRPr="00D535AF">
        <w:t xml:space="preserve">, </w:t>
      </w:r>
      <w:r>
        <w:t>5,003</w:t>
      </w:r>
      <w:r w:rsidRPr="00D535AF">
        <w:t xml:space="preserve"> government sector </w:t>
      </w:r>
      <w:r>
        <w:t>employees</w:t>
      </w:r>
      <w:r w:rsidRPr="00D535AF">
        <w:t xml:space="preserve"> </w:t>
      </w:r>
      <w:r>
        <w:t>(3,429 employees</w:t>
      </w:r>
      <w:r w:rsidRPr="00D535AF">
        <w:t xml:space="preserve"> in the public sector and </w:t>
      </w:r>
      <w:r>
        <w:t>1,574</w:t>
      </w:r>
      <w:r w:rsidRPr="00D535AF">
        <w:t xml:space="preserve"> in other government entities</w:t>
      </w:r>
      <w:r>
        <w:t>)</w:t>
      </w:r>
      <w:r w:rsidRPr="00D535AF">
        <w:t xml:space="preserve"> identified as Aboriginal and Torres Strait Islander people.</w:t>
      </w:r>
    </w:p>
    <w:p w14:paraId="434B658A" w14:textId="44A7710A" w:rsidR="000D42F1" w:rsidRPr="00D535AF" w:rsidRDefault="000D42F1" w:rsidP="000E160B">
      <w:pPr>
        <w:spacing w:line="240" w:lineRule="auto"/>
      </w:pPr>
      <w:r>
        <w:t>In the public sector, both t</w:t>
      </w:r>
      <w:r w:rsidRPr="00D535AF">
        <w:t xml:space="preserve">he number of employees identifying as Aboriginal and Torres Strait Islander people and the number of </w:t>
      </w:r>
      <w:r>
        <w:t>employees</w:t>
      </w:r>
      <w:r w:rsidRPr="00D535AF">
        <w:t xml:space="preserve"> sharing </w:t>
      </w:r>
      <w:r>
        <w:t>this</w:t>
      </w:r>
      <w:r w:rsidRPr="00D535AF">
        <w:t xml:space="preserve"> information </w:t>
      </w:r>
      <w:r w:rsidR="003123C2">
        <w:t xml:space="preserve">has </w:t>
      </w:r>
      <w:r w:rsidRPr="00D535AF">
        <w:t xml:space="preserve">increased </w:t>
      </w:r>
      <w:r>
        <w:t>over</w:t>
      </w:r>
      <w:r w:rsidRPr="00D535AF">
        <w:t xml:space="preserve"> the last 5 years. Representation</w:t>
      </w:r>
      <w:r>
        <w:t xml:space="preserve"> of</w:t>
      </w:r>
      <w:r w:rsidRPr="00D535AF">
        <w:t xml:space="preserve"> Aboriginal and Torres Strait Islander </w:t>
      </w:r>
      <w:r>
        <w:t>employees</w:t>
      </w:r>
      <w:r w:rsidRPr="00D535AF">
        <w:t xml:space="preserve"> in the public sector</w:t>
      </w:r>
      <w:r w:rsidR="003123C2">
        <w:t xml:space="preserve"> has</w:t>
      </w:r>
      <w:r w:rsidRPr="00D535AF">
        <w:t xml:space="preserve"> remained around 2.</w:t>
      </w:r>
      <w:r>
        <w:t>7</w:t>
      </w:r>
      <w:r w:rsidRPr="00D535AF">
        <w:t xml:space="preserve">% </w:t>
      </w:r>
      <w:r>
        <w:t>over</w:t>
      </w:r>
      <w:r w:rsidRPr="00D535AF">
        <w:t xml:space="preserve"> this </w:t>
      </w:r>
      <w:r>
        <w:t xml:space="preserve">5 year </w:t>
      </w:r>
      <w:r w:rsidRPr="00D535AF">
        <w:t xml:space="preserve">period. </w:t>
      </w:r>
    </w:p>
    <w:p w14:paraId="3E834017" w14:textId="2B724D2A" w:rsidR="000D42F1" w:rsidRPr="009C6149" w:rsidRDefault="000D42F1" w:rsidP="000E160B">
      <w:pPr>
        <w:spacing w:line="240" w:lineRule="auto"/>
      </w:pPr>
      <w:r>
        <w:t>R</w:t>
      </w:r>
      <w:r w:rsidRPr="00D535AF">
        <w:t xml:space="preserve">epresentation of Aboriginal and Torres Strait Islander </w:t>
      </w:r>
      <w:r>
        <w:t>employees</w:t>
      </w:r>
      <w:r w:rsidRPr="00D535AF">
        <w:t xml:space="preserve"> in other government entities continued to increase from 2.</w:t>
      </w:r>
      <w:r>
        <w:t>9</w:t>
      </w:r>
      <w:r w:rsidRPr="00D535AF">
        <w:t xml:space="preserve">% in March </w:t>
      </w:r>
      <w:r>
        <w:t>2022</w:t>
      </w:r>
      <w:r w:rsidRPr="00D535AF">
        <w:t xml:space="preserve"> to </w:t>
      </w:r>
      <w:r>
        <w:t>3.0</w:t>
      </w:r>
      <w:r w:rsidRPr="00D535AF">
        <w:t xml:space="preserve">% in March </w:t>
      </w:r>
      <w:r>
        <w:t>2023</w:t>
      </w:r>
      <w:r w:rsidRPr="00D535AF">
        <w:t xml:space="preserve"> (</w:t>
      </w:r>
      <w:r w:rsidR="00785D75">
        <w:fldChar w:fldCharType="begin"/>
      </w:r>
      <w:r w:rsidR="00785D75">
        <w:instrText xml:space="preserve"> REF _Ref84252701 \h  \* MERGEFORMAT </w:instrText>
      </w:r>
      <w:r w:rsidR="00785D75">
        <w:fldChar w:fldCharType="separate"/>
      </w:r>
      <w:r w:rsidR="0048418F" w:rsidRPr="0048418F">
        <w:t>Figure 16</w:t>
      </w:r>
      <w:r w:rsidR="00785D75">
        <w:fldChar w:fldCharType="end"/>
      </w:r>
      <w:r w:rsidRPr="009412AB">
        <w:t>).</w:t>
      </w:r>
      <w:r>
        <w:t xml:space="preserve"> </w:t>
      </w:r>
    </w:p>
    <w:p w14:paraId="4C3E8DD8" w14:textId="3CC752E3" w:rsidR="000D42F1" w:rsidRPr="00357E62" w:rsidRDefault="000D42F1" w:rsidP="000D42F1">
      <w:pPr>
        <w:pStyle w:val="Caption"/>
        <w:rPr>
          <w:b/>
          <w:bCs/>
        </w:rPr>
      </w:pPr>
      <w:bookmarkStart w:id="76" w:name="_Ref84252701"/>
      <w:bookmarkStart w:id="77" w:name="_Ref84252696"/>
      <w:r w:rsidRPr="00357E62">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16</w:t>
      </w:r>
      <w:r>
        <w:rPr>
          <w:b/>
          <w:bCs/>
        </w:rPr>
        <w:fldChar w:fldCharType="end"/>
      </w:r>
      <w:bookmarkEnd w:id="76"/>
      <w:r w:rsidRPr="00357E62">
        <w:rPr>
          <w:b/>
          <w:bCs/>
        </w:rPr>
        <w:t xml:space="preserve">: Representation of Aboriginal and Torres Strait Islander </w:t>
      </w:r>
      <w:r>
        <w:rPr>
          <w:b/>
          <w:bCs/>
        </w:rPr>
        <w:t>employees</w:t>
      </w:r>
      <w:r w:rsidRPr="00357E62">
        <w:rPr>
          <w:b/>
          <w:bCs/>
        </w:rPr>
        <w:t xml:space="preserve">, WA government sector </w:t>
      </w:r>
      <w:r>
        <w:rPr>
          <w:b/>
          <w:bCs/>
        </w:rPr>
        <w:t>2018-19</w:t>
      </w:r>
      <w:r w:rsidRPr="00357E62">
        <w:rPr>
          <w:b/>
          <w:bCs/>
        </w:rPr>
        <w:t xml:space="preserve"> to </w:t>
      </w:r>
      <w:r>
        <w:rPr>
          <w:b/>
          <w:bCs/>
        </w:rPr>
        <w:t>2022-23</w:t>
      </w:r>
      <w:r w:rsidRPr="00357E62">
        <w:rPr>
          <w:b/>
          <w:bCs/>
        </w:rPr>
        <w:t xml:space="preserve"> (March data </w:t>
      </w:r>
      <w:r w:rsidR="00B44989">
        <w:rPr>
          <w:b/>
          <w:bCs/>
        </w:rPr>
        <w:t>labelled</w:t>
      </w:r>
      <w:r w:rsidRPr="00357E62">
        <w:rPr>
          <w:b/>
          <w:bCs/>
        </w:rPr>
        <w:t>)</w:t>
      </w:r>
      <w:bookmarkEnd w:id="77"/>
    </w:p>
    <w:p w14:paraId="16D468FE" w14:textId="77777777" w:rsidR="000D42F1" w:rsidRDefault="000D42F1" w:rsidP="000D42F1">
      <w:pPr>
        <w:spacing w:after="240"/>
      </w:pPr>
      <w:r>
        <w:rPr>
          <w:noProof/>
        </w:rPr>
        <w:drawing>
          <wp:inline distT="0" distB="0" distL="0" distR="0" wp14:anchorId="49D070A4" wp14:editId="01FC9239">
            <wp:extent cx="5836920" cy="3801745"/>
            <wp:effectExtent l="0" t="0" r="11430" b="8255"/>
            <wp:docPr id="1" name="Chart 1" descr="A line graph showing a representation of Aboriginal and Torres Strait Islander between 2018-19 and 2022-23. Representation in the public sector remained around 2.7% over this 5-year period, below the aspirational target of 3.7%. Representation in other government entities showed an increasing trend.">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731500" w14:textId="0E65A143" w:rsidR="00B44989" w:rsidRDefault="00687A8F" w:rsidP="000D42F1">
      <w:pPr>
        <w:spacing w:after="240"/>
        <w:rPr>
          <w:rStyle w:val="ui-provider"/>
          <w:rFonts w:eastAsiaTheme="majorEastAsia"/>
          <w:sz w:val="20"/>
          <w:szCs w:val="20"/>
        </w:rPr>
      </w:pPr>
      <w:r w:rsidRPr="00687A8F">
        <w:rPr>
          <w:rStyle w:val="ui-provider"/>
          <w:rFonts w:eastAsiaTheme="majorEastAsia"/>
          <w:sz w:val="20"/>
          <w:szCs w:val="20"/>
        </w:rPr>
        <w:t>*Representation was reported as 2.8% (due to standard rounding convention of the 2 decimal figure of 2.754%).</w:t>
      </w:r>
      <w:r w:rsidR="00B44989">
        <w:rPr>
          <w:rStyle w:val="ui-provider"/>
          <w:rFonts w:eastAsiaTheme="majorEastAsia"/>
          <w:sz w:val="20"/>
          <w:szCs w:val="20"/>
        </w:rPr>
        <w:br w:type="page"/>
      </w:r>
    </w:p>
    <w:p w14:paraId="6DCCA3B9" w14:textId="77777777" w:rsidR="000D42F1" w:rsidRPr="00DA4811" w:rsidRDefault="000D42F1" w:rsidP="000D42F1">
      <w:pPr>
        <w:pStyle w:val="Heading4"/>
        <w:spacing w:before="240"/>
        <w:rPr>
          <w:highlight w:val="yellow"/>
        </w:rPr>
      </w:pPr>
      <w:r>
        <w:lastRenderedPageBreak/>
        <w:t xml:space="preserve">Aboriginal cultural awareness training </w:t>
      </w:r>
    </w:p>
    <w:p w14:paraId="5EB1ED09" w14:textId="6A64C2FD" w:rsidR="000D42F1" w:rsidRPr="00D535AF" w:rsidRDefault="000D42F1" w:rsidP="000D42F1">
      <w:r>
        <w:t xml:space="preserve">In July 2021, </w:t>
      </w:r>
      <w:hyperlink r:id="rId67" w:history="1">
        <w:r w:rsidR="005D778B">
          <w:rPr>
            <w:rStyle w:val="Hyperlink"/>
          </w:rPr>
          <w:t>Commissioner’s Instruction 29: Aboriginal and Torres Strait Islander Cultural Awareness Training</w:t>
        </w:r>
      </w:hyperlink>
      <w:r>
        <w:t xml:space="preserve"> came into force requiring the p</w:t>
      </w:r>
      <w:r w:rsidRPr="00D535AF">
        <w:t xml:space="preserve">ublic </w:t>
      </w:r>
      <w:r>
        <w:t xml:space="preserve">sector to ensure employees and board members </w:t>
      </w:r>
      <w:r w:rsidRPr="00D535AF">
        <w:t xml:space="preserve">complete </w:t>
      </w:r>
      <w:r>
        <w:t>Aboriginal and Torres Strait Islander cultural awareness training so they are better able to work in culturally informed ways</w:t>
      </w:r>
      <w:r w:rsidRPr="00D535AF">
        <w:t xml:space="preserve">. </w:t>
      </w:r>
      <w:r>
        <w:t>The Public Sector Commission released an interactive and free online resource to support this mandated requirement.</w:t>
      </w:r>
    </w:p>
    <w:p w14:paraId="6ADF63C9" w14:textId="41408549" w:rsidR="000D42F1" w:rsidRDefault="00070606" w:rsidP="000D42F1">
      <w:pPr>
        <w:spacing w:line="257" w:lineRule="auto"/>
        <w:rPr>
          <w:rFonts w:eastAsia="Arial"/>
        </w:rPr>
      </w:pPr>
      <w:r>
        <w:rPr>
          <w:rFonts w:eastAsia="Arial"/>
        </w:rPr>
        <w:t>In the last 3 years,</w:t>
      </w:r>
      <w:r w:rsidRPr="3EACB062">
        <w:rPr>
          <w:rFonts w:eastAsia="Arial"/>
        </w:rPr>
        <w:t xml:space="preserve"> </w:t>
      </w:r>
      <w:r w:rsidR="000D42F1" w:rsidRPr="3EACB062">
        <w:rPr>
          <w:rFonts w:eastAsia="Arial"/>
        </w:rPr>
        <w:t xml:space="preserve">65.0% </w:t>
      </w:r>
      <w:r w:rsidR="000D42F1">
        <w:rPr>
          <w:rFonts w:eastAsia="Arial"/>
        </w:rPr>
        <w:t>(</w:t>
      </w:r>
      <w:r w:rsidR="000D42F1" w:rsidRPr="3EACB062">
        <w:rPr>
          <w:rFonts w:eastAsia="Arial"/>
        </w:rPr>
        <w:t>104,651 of 160,954</w:t>
      </w:r>
      <w:r w:rsidR="000D42F1">
        <w:rPr>
          <w:rFonts w:eastAsia="Arial"/>
        </w:rPr>
        <w:t>)</w:t>
      </w:r>
      <w:r w:rsidR="000D42F1" w:rsidRPr="3EACB062">
        <w:rPr>
          <w:rFonts w:eastAsia="Arial"/>
        </w:rPr>
        <w:t xml:space="preserve"> </w:t>
      </w:r>
      <w:r w:rsidR="000D42F1">
        <w:rPr>
          <w:rFonts w:eastAsia="Arial"/>
        </w:rPr>
        <w:t xml:space="preserve">of </w:t>
      </w:r>
      <w:r w:rsidR="000D42F1" w:rsidRPr="3EACB062">
        <w:rPr>
          <w:rFonts w:eastAsia="Arial"/>
        </w:rPr>
        <w:t>public sector employees and board members in scope of the instruction completed such training. This comprised 104,382 of 160,594 public sector employees; and 269 of 360 board members.</w:t>
      </w:r>
      <w:r w:rsidR="000D42F1">
        <w:rPr>
          <w:rFonts w:eastAsia="Arial"/>
        </w:rPr>
        <w:t xml:space="preserve"> Employees may have completed training </w:t>
      </w:r>
      <w:r>
        <w:rPr>
          <w:rFonts w:eastAsia="Arial"/>
        </w:rPr>
        <w:t>before</w:t>
      </w:r>
      <w:r w:rsidR="000D42F1">
        <w:rPr>
          <w:rFonts w:eastAsia="Arial"/>
        </w:rPr>
        <w:t xml:space="preserve"> this</w:t>
      </w:r>
      <w:r>
        <w:rPr>
          <w:rFonts w:eastAsia="Arial"/>
        </w:rPr>
        <w:t xml:space="preserve"> but </w:t>
      </w:r>
      <w:r w:rsidR="000D42F1">
        <w:rPr>
          <w:rFonts w:eastAsia="Arial"/>
        </w:rPr>
        <w:t>this information was not in scope of the data collected by the Commission.</w:t>
      </w:r>
    </w:p>
    <w:p w14:paraId="0E26B076" w14:textId="77777777" w:rsidR="000D42F1" w:rsidRPr="00D535AF" w:rsidRDefault="000D42F1" w:rsidP="00070606">
      <w:pPr>
        <w:spacing w:after="0" w:line="240" w:lineRule="auto"/>
        <w:contextualSpacing/>
        <w:rPr>
          <w:rFonts w:eastAsia="Arial"/>
        </w:rPr>
      </w:pPr>
      <w:r w:rsidRPr="00D535AF">
        <w:rPr>
          <w:rFonts w:eastAsia="Arial"/>
        </w:rPr>
        <w:t>While not mandatory for employees in other government entities, the following was reported on the number of employee</w:t>
      </w:r>
      <w:r>
        <w:rPr>
          <w:rFonts w:eastAsia="Arial"/>
        </w:rPr>
        <w:t>s and</w:t>
      </w:r>
      <w:r w:rsidRPr="00D535AF">
        <w:rPr>
          <w:rFonts w:eastAsia="Arial"/>
        </w:rPr>
        <w:t xml:space="preserve"> </w:t>
      </w:r>
      <w:r>
        <w:rPr>
          <w:rFonts w:eastAsia="Arial"/>
        </w:rPr>
        <w:t xml:space="preserve">board </w:t>
      </w:r>
      <w:r w:rsidRPr="00D535AF">
        <w:rPr>
          <w:rFonts w:eastAsia="Arial"/>
        </w:rPr>
        <w:t xml:space="preserve">members having completed </w:t>
      </w:r>
      <w:r>
        <w:rPr>
          <w:rFonts w:eastAsia="Arial"/>
        </w:rPr>
        <w:t xml:space="preserve">training </w:t>
      </w:r>
      <w:r w:rsidRPr="00D535AF">
        <w:rPr>
          <w:rFonts w:eastAsia="Arial"/>
        </w:rPr>
        <w:t xml:space="preserve">in the last </w:t>
      </w:r>
      <w:r>
        <w:rPr>
          <w:rFonts w:eastAsia="Arial"/>
        </w:rPr>
        <w:t>3</w:t>
      </w:r>
      <w:r w:rsidRPr="00D535AF">
        <w:rPr>
          <w:rFonts w:eastAsia="Arial"/>
        </w:rPr>
        <w:t xml:space="preserve"> years:</w:t>
      </w:r>
    </w:p>
    <w:p w14:paraId="7D4C57F6" w14:textId="77777777" w:rsidR="000D42F1" w:rsidRPr="00D535AF" w:rsidRDefault="000D42F1">
      <w:pPr>
        <w:pStyle w:val="ListParagraph"/>
        <w:numPr>
          <w:ilvl w:val="0"/>
          <w:numId w:val="1"/>
        </w:numPr>
        <w:spacing w:line="240" w:lineRule="auto"/>
        <w:ind w:left="426" w:hanging="426"/>
        <w:rPr>
          <w:rFonts w:eastAsia="Arial"/>
        </w:rPr>
      </w:pPr>
      <w:r w:rsidRPr="00D535AF">
        <w:rPr>
          <w:rFonts w:eastAsia="Arial"/>
        </w:rPr>
        <w:t xml:space="preserve">local government employees: </w:t>
      </w:r>
      <w:r w:rsidRPr="06397ECB">
        <w:rPr>
          <w:rFonts w:eastAsia="Arial"/>
        </w:rPr>
        <w:t>3,956 out of 26,229 employees</w:t>
      </w:r>
    </w:p>
    <w:p w14:paraId="74D761F0" w14:textId="77777777" w:rsidR="000D42F1" w:rsidRDefault="000D42F1">
      <w:pPr>
        <w:pStyle w:val="ListParagraph"/>
        <w:numPr>
          <w:ilvl w:val="0"/>
          <w:numId w:val="1"/>
        </w:numPr>
        <w:spacing w:line="240" w:lineRule="auto"/>
        <w:ind w:left="426" w:hanging="426"/>
        <w:rPr>
          <w:rFonts w:eastAsia="Arial"/>
        </w:rPr>
      </w:pPr>
      <w:r w:rsidRPr="06397ECB">
        <w:rPr>
          <w:rFonts w:eastAsia="Arial"/>
        </w:rPr>
        <w:t>public university employees: 2,592 out of 21,254 employees</w:t>
      </w:r>
    </w:p>
    <w:p w14:paraId="05D531D9" w14:textId="77777777" w:rsidR="000D42F1" w:rsidRDefault="000D42F1">
      <w:pPr>
        <w:pStyle w:val="ListParagraph"/>
        <w:numPr>
          <w:ilvl w:val="0"/>
          <w:numId w:val="1"/>
        </w:numPr>
        <w:spacing w:line="240" w:lineRule="auto"/>
        <w:ind w:left="426" w:hanging="426"/>
        <w:rPr>
          <w:rFonts w:eastAsia="Arial"/>
        </w:rPr>
      </w:pPr>
      <w:r w:rsidRPr="06397ECB">
        <w:rPr>
          <w:rFonts w:eastAsia="Arial"/>
        </w:rPr>
        <w:t>government trading enterprise and other authority employees: 3,132 out of 12,000 employees</w:t>
      </w:r>
    </w:p>
    <w:p w14:paraId="5EE5F678" w14:textId="0D83D99E" w:rsidR="00B44989" w:rsidRDefault="000D42F1">
      <w:pPr>
        <w:pStyle w:val="ListParagraph"/>
        <w:numPr>
          <w:ilvl w:val="0"/>
          <w:numId w:val="1"/>
        </w:numPr>
        <w:spacing w:line="240" w:lineRule="auto"/>
        <w:ind w:left="426" w:hanging="426"/>
        <w:rPr>
          <w:rFonts w:eastAsia="Arial"/>
        </w:rPr>
      </w:pPr>
      <w:r w:rsidRPr="00D535AF">
        <w:rPr>
          <w:rFonts w:eastAsia="Arial"/>
        </w:rPr>
        <w:t>non</w:t>
      </w:r>
      <w:r>
        <w:rPr>
          <w:rFonts w:eastAsia="Arial"/>
        </w:rPr>
        <w:t>-</w:t>
      </w:r>
      <w:r w:rsidRPr="00D535AF">
        <w:rPr>
          <w:rFonts w:eastAsia="Arial"/>
        </w:rPr>
        <w:t xml:space="preserve">public sector board members: </w:t>
      </w:r>
      <w:r w:rsidRPr="06397ECB">
        <w:rPr>
          <w:rFonts w:eastAsia="Arial"/>
        </w:rPr>
        <w:t>47 out of 56 members.</w:t>
      </w:r>
      <w:r w:rsidR="00B44989">
        <w:rPr>
          <w:rFonts w:eastAsia="Arial"/>
        </w:rPr>
        <w:br w:type="page"/>
      </w:r>
    </w:p>
    <w:p w14:paraId="372D52FA" w14:textId="77777777" w:rsidR="000D42F1" w:rsidRPr="00D535AF" w:rsidRDefault="000D42F1" w:rsidP="000D42F1">
      <w:pPr>
        <w:pStyle w:val="Heading3"/>
      </w:pPr>
      <w:bookmarkStart w:id="78" w:name="_Toc151900178"/>
      <w:r>
        <w:lastRenderedPageBreak/>
        <w:t>Employees</w:t>
      </w:r>
      <w:r w:rsidRPr="00D535AF">
        <w:t xml:space="preserve"> with disability</w:t>
      </w:r>
      <w:bookmarkEnd w:id="78"/>
    </w:p>
    <w:p w14:paraId="60D5248C" w14:textId="77777777" w:rsidR="000D42F1" w:rsidRPr="00D535AF" w:rsidRDefault="000D42F1" w:rsidP="000D42F1">
      <w:r>
        <w:t xml:space="preserve">In March 2023, 2,960 government sector employees (1,930 in the public sector and 1,030 in other government entities) identified as having disability. This was a slight increase of 63 headcount in the public sector from 2021-22 and 178 headcount in other government entities. </w:t>
      </w:r>
    </w:p>
    <w:p w14:paraId="6BE805FE" w14:textId="134F5FA9" w:rsidR="000D42F1" w:rsidRPr="00840B0D" w:rsidRDefault="000D42F1" w:rsidP="000D42F1">
      <w:pPr>
        <w:spacing w:after="240"/>
      </w:pPr>
      <w:r w:rsidRPr="00D535AF">
        <w:t xml:space="preserve">Public sector representation of </w:t>
      </w:r>
      <w:r>
        <w:t>employees</w:t>
      </w:r>
      <w:r w:rsidRPr="00D535AF">
        <w:t xml:space="preserve"> with disability has been stable since March </w:t>
      </w:r>
      <w:r>
        <w:t>2019</w:t>
      </w:r>
      <w:r w:rsidRPr="00D535AF">
        <w:t xml:space="preserve"> at </w:t>
      </w:r>
      <w:r>
        <w:t xml:space="preserve">between </w:t>
      </w:r>
      <w:r w:rsidRPr="00D535AF">
        <w:t>1.5</w:t>
      </w:r>
      <w:r>
        <w:t>% and 1.6</w:t>
      </w:r>
      <w:r w:rsidRPr="00D535AF">
        <w:t>%. In other government entities</w:t>
      </w:r>
      <w:r>
        <w:t>,</w:t>
      </w:r>
      <w:r w:rsidRPr="00D535AF">
        <w:t xml:space="preserve"> representation has increased from 1.7% in March 2021 to </w:t>
      </w:r>
      <w:r>
        <w:t>2.1</w:t>
      </w:r>
      <w:r w:rsidRPr="00D535AF">
        <w:t xml:space="preserve">% in March </w:t>
      </w:r>
      <w:r>
        <w:t>2023</w:t>
      </w:r>
      <w:r w:rsidRPr="00D535AF">
        <w:t xml:space="preserve"> (</w:t>
      </w:r>
      <w:fldSimple w:instr="REF _Ref84254923  \* MERGEFORMAT">
        <w:r w:rsidR="0048418F" w:rsidRPr="0048418F">
          <w:t xml:space="preserve">Figure </w:t>
        </w:r>
        <w:r w:rsidR="0048418F" w:rsidRPr="0048418F">
          <w:rPr>
            <w:noProof/>
          </w:rPr>
          <w:t>17</w:t>
        </w:r>
      </w:fldSimple>
      <w:r w:rsidRPr="00D535AF">
        <w:t>).</w:t>
      </w:r>
      <w:r>
        <w:t xml:space="preserve"> </w:t>
      </w:r>
    </w:p>
    <w:p w14:paraId="3F3ADA22" w14:textId="554C6A74" w:rsidR="000D42F1" w:rsidRPr="00357E62" w:rsidRDefault="000D42F1" w:rsidP="000D42F1">
      <w:pPr>
        <w:pStyle w:val="Caption"/>
        <w:rPr>
          <w:b/>
          <w:bCs/>
        </w:rPr>
      </w:pPr>
      <w:bookmarkStart w:id="79" w:name="_Ref84254923"/>
      <w:r w:rsidRPr="00357E62">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17</w:t>
      </w:r>
      <w:r>
        <w:rPr>
          <w:b/>
          <w:bCs/>
        </w:rPr>
        <w:fldChar w:fldCharType="end"/>
      </w:r>
      <w:bookmarkEnd w:id="79"/>
      <w:r w:rsidRPr="00357E62">
        <w:rPr>
          <w:b/>
          <w:bCs/>
        </w:rPr>
        <w:t xml:space="preserve">: Representation of </w:t>
      </w:r>
      <w:r>
        <w:rPr>
          <w:b/>
          <w:bCs/>
        </w:rPr>
        <w:t>employees</w:t>
      </w:r>
      <w:r w:rsidRPr="00357E62">
        <w:rPr>
          <w:b/>
          <w:bCs/>
        </w:rPr>
        <w:t xml:space="preserve"> with disability, WA government sector </w:t>
      </w:r>
      <w:r w:rsidRPr="06397ECB">
        <w:rPr>
          <w:b/>
          <w:bCs/>
        </w:rPr>
        <w:t xml:space="preserve">2018-19 </w:t>
      </w:r>
      <w:r w:rsidRPr="00357E62">
        <w:rPr>
          <w:b/>
          <w:bCs/>
        </w:rPr>
        <w:t xml:space="preserve">to </w:t>
      </w:r>
      <w:r w:rsidR="00B44989">
        <w:rPr>
          <w:b/>
          <w:bCs/>
        </w:rPr>
        <w:br/>
      </w:r>
      <w:r w:rsidRPr="06397ECB">
        <w:rPr>
          <w:b/>
          <w:bCs/>
        </w:rPr>
        <w:t xml:space="preserve">2022-23 </w:t>
      </w:r>
      <w:r w:rsidRPr="00357E62">
        <w:rPr>
          <w:b/>
          <w:bCs/>
        </w:rPr>
        <w:t xml:space="preserve">(March data </w:t>
      </w:r>
      <w:r w:rsidR="00B44989">
        <w:rPr>
          <w:b/>
          <w:bCs/>
        </w:rPr>
        <w:t>labelled</w:t>
      </w:r>
      <w:r w:rsidRPr="00357E62">
        <w:rPr>
          <w:b/>
          <w:bCs/>
        </w:rPr>
        <w:t>)</w:t>
      </w:r>
    </w:p>
    <w:p w14:paraId="4FCF23BE" w14:textId="77777777" w:rsidR="000D42F1" w:rsidRDefault="000D42F1" w:rsidP="000D42F1">
      <w:r>
        <w:rPr>
          <w:noProof/>
        </w:rPr>
        <w:drawing>
          <wp:inline distT="0" distB="0" distL="0" distR="0" wp14:anchorId="6EF8EF7F" wp14:editId="7C705FFE">
            <wp:extent cx="5836920" cy="3801745"/>
            <wp:effectExtent l="0" t="0" r="11430" b="8255"/>
            <wp:docPr id="2118406122" name="Chart 2118406122" descr="A line graph showing representation of employees with disability between 2018-19 and 2022-23. Representation in the public sector of employees with disability has been stable since March 2019 at between 1.5% and 1.6%, below the aspirational target of 5%. Representation in other government entities has generally increased from 1.7% in March 2019 to 2.1% in March 202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89AFE3F" w14:textId="77777777" w:rsidR="000D42F1" w:rsidRDefault="000D42F1" w:rsidP="000D42F1">
      <w:r>
        <w:br w:type="page"/>
      </w:r>
    </w:p>
    <w:p w14:paraId="4D18A901" w14:textId="77777777" w:rsidR="000D42F1" w:rsidRPr="002D7991" w:rsidRDefault="000D42F1" w:rsidP="000D42F1">
      <w:pPr>
        <w:pStyle w:val="Heading3"/>
      </w:pPr>
      <w:bookmarkStart w:id="80" w:name="_Toc151900179"/>
      <w:r w:rsidRPr="002D7991">
        <w:lastRenderedPageBreak/>
        <w:t xml:space="preserve">Culturally and linguistically diverse </w:t>
      </w:r>
      <w:r>
        <w:t>employees</w:t>
      </w:r>
      <w:bookmarkEnd w:id="80"/>
    </w:p>
    <w:p w14:paraId="46185757" w14:textId="2424B050" w:rsidR="000D42F1" w:rsidRPr="000B1664" w:rsidRDefault="000D42F1" w:rsidP="00B533B0">
      <w:r w:rsidRPr="000B1664">
        <w:t>In March</w:t>
      </w:r>
      <w:r>
        <w:t xml:space="preserve"> 2023</w:t>
      </w:r>
      <w:r w:rsidRPr="000B1664">
        <w:t xml:space="preserve">, </w:t>
      </w:r>
      <w:r>
        <w:t>31,397</w:t>
      </w:r>
      <w:r w:rsidRPr="000B1664">
        <w:t xml:space="preserve"> government sector </w:t>
      </w:r>
      <w:r>
        <w:t>employees</w:t>
      </w:r>
      <w:r w:rsidRPr="000B1664">
        <w:t xml:space="preserve"> </w:t>
      </w:r>
      <w:r>
        <w:t>(19,192</w:t>
      </w:r>
      <w:r w:rsidRPr="000B1664">
        <w:t xml:space="preserve"> in the public sector and </w:t>
      </w:r>
      <w:r>
        <w:t>12,205</w:t>
      </w:r>
      <w:r w:rsidRPr="000B1664">
        <w:t xml:space="preserve"> in other government entities</w:t>
      </w:r>
      <w:r>
        <w:t>)</w:t>
      </w:r>
      <w:r w:rsidRPr="000B1664">
        <w:t xml:space="preserve"> identified as culturally and linguistically diverse. Representation of culturally and linguistically diverse </w:t>
      </w:r>
      <w:r>
        <w:t>employees</w:t>
      </w:r>
      <w:r w:rsidRPr="000B1664">
        <w:t xml:space="preserve"> has steadily increas</w:t>
      </w:r>
      <w:r>
        <w:t>ed</w:t>
      </w:r>
      <w:r w:rsidRPr="000B1664">
        <w:t xml:space="preserve"> in the public sector from </w:t>
      </w:r>
      <w:r>
        <w:t>13.3%</w:t>
      </w:r>
      <w:r w:rsidRPr="000B1664">
        <w:t xml:space="preserve"> in March</w:t>
      </w:r>
      <w:r>
        <w:t xml:space="preserve"> 2019</w:t>
      </w:r>
      <w:r w:rsidRPr="000B1664">
        <w:t xml:space="preserve"> to </w:t>
      </w:r>
      <w:r>
        <w:t>16.5%</w:t>
      </w:r>
      <w:r w:rsidRPr="000B1664">
        <w:t xml:space="preserve"> in March </w:t>
      </w:r>
      <w:r>
        <w:t>2023</w:t>
      </w:r>
      <w:r w:rsidRPr="000B1664">
        <w:t xml:space="preserve"> (</w:t>
      </w:r>
      <w:r w:rsidR="00B94A95">
        <w:fldChar w:fldCharType="begin"/>
      </w:r>
      <w:r w:rsidR="00B94A95">
        <w:instrText xml:space="preserve"> REF _Ref149032230 \h  \* MERGEFORMAT </w:instrText>
      </w:r>
      <w:r w:rsidR="00B94A95">
        <w:fldChar w:fldCharType="separate"/>
      </w:r>
      <w:r w:rsidR="0048418F" w:rsidRPr="0048418F">
        <w:t>Figure 18</w:t>
      </w:r>
      <w:r w:rsidR="00B94A95">
        <w:fldChar w:fldCharType="end"/>
      </w:r>
      <w:r w:rsidRPr="000B1664">
        <w:t xml:space="preserve">). </w:t>
      </w:r>
    </w:p>
    <w:p w14:paraId="369CE0EE" w14:textId="77777777" w:rsidR="000D42F1" w:rsidRPr="00CF4349" w:rsidRDefault="000D42F1" w:rsidP="00B533B0">
      <w:pPr>
        <w:spacing w:line="240" w:lineRule="auto"/>
        <w:contextualSpacing/>
      </w:pPr>
      <w:bookmarkStart w:id="81" w:name="_Ref84254904"/>
      <w:r w:rsidRPr="00D535AF">
        <w:t>In other government entities</w:t>
      </w:r>
      <w:r>
        <w:t>,</w:t>
      </w:r>
      <w:r w:rsidRPr="00D535AF">
        <w:t xml:space="preserve"> representation has increased from </w:t>
      </w:r>
      <w:r>
        <w:t>18.4%</w:t>
      </w:r>
      <w:r w:rsidRPr="00D535AF">
        <w:t xml:space="preserve"> in March </w:t>
      </w:r>
      <w:r>
        <w:t>2019</w:t>
      </w:r>
      <w:r w:rsidRPr="00D535AF">
        <w:t xml:space="preserve"> to </w:t>
      </w:r>
      <w:r>
        <w:t>22.6</w:t>
      </w:r>
      <w:r w:rsidRPr="00D535AF">
        <w:t xml:space="preserve">% in March </w:t>
      </w:r>
      <w:r>
        <w:t>2023.</w:t>
      </w:r>
    </w:p>
    <w:p w14:paraId="3B6DE01B" w14:textId="2456E917" w:rsidR="000D42F1" w:rsidRPr="00357E62" w:rsidRDefault="000D42F1" w:rsidP="000D42F1">
      <w:pPr>
        <w:pStyle w:val="Caption"/>
        <w:spacing w:after="240"/>
        <w:rPr>
          <w:b/>
          <w:bCs/>
        </w:rPr>
      </w:pPr>
      <w:bookmarkStart w:id="82" w:name="_Ref149032230"/>
      <w:r w:rsidRPr="00357E62">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18</w:t>
      </w:r>
      <w:r>
        <w:rPr>
          <w:b/>
          <w:bCs/>
        </w:rPr>
        <w:fldChar w:fldCharType="end"/>
      </w:r>
      <w:bookmarkEnd w:id="81"/>
      <w:bookmarkEnd w:id="82"/>
      <w:r w:rsidRPr="00357E62">
        <w:rPr>
          <w:b/>
          <w:bCs/>
        </w:rPr>
        <w:t xml:space="preserve">: Representation of culturally and linguistically diverse </w:t>
      </w:r>
      <w:r>
        <w:rPr>
          <w:b/>
          <w:bCs/>
        </w:rPr>
        <w:t>employees</w:t>
      </w:r>
      <w:r w:rsidRPr="00357E62">
        <w:rPr>
          <w:b/>
          <w:bCs/>
        </w:rPr>
        <w:t xml:space="preserve">, WA government sector </w:t>
      </w:r>
      <w:r w:rsidRPr="06397ECB">
        <w:rPr>
          <w:b/>
          <w:bCs/>
        </w:rPr>
        <w:t>2018-19</w:t>
      </w:r>
      <w:r w:rsidRPr="00357E62">
        <w:rPr>
          <w:b/>
          <w:bCs/>
        </w:rPr>
        <w:t xml:space="preserve"> to </w:t>
      </w:r>
      <w:r w:rsidRPr="06397ECB">
        <w:rPr>
          <w:b/>
          <w:bCs/>
        </w:rPr>
        <w:t>2022-23</w:t>
      </w:r>
      <w:r w:rsidRPr="00357E62">
        <w:rPr>
          <w:b/>
          <w:bCs/>
        </w:rPr>
        <w:t xml:space="preserve"> (March data </w:t>
      </w:r>
      <w:r w:rsidR="00B44989">
        <w:rPr>
          <w:b/>
          <w:bCs/>
        </w:rPr>
        <w:t>labelled</w:t>
      </w:r>
      <w:r w:rsidRPr="00357E62">
        <w:rPr>
          <w:b/>
          <w:bCs/>
        </w:rPr>
        <w:t>)</w:t>
      </w:r>
    </w:p>
    <w:p w14:paraId="013B36E4" w14:textId="77777777" w:rsidR="000D42F1" w:rsidRDefault="000D42F1" w:rsidP="000D42F1">
      <w:pPr>
        <w:keepNext/>
      </w:pPr>
      <w:r>
        <w:rPr>
          <w:noProof/>
        </w:rPr>
        <w:drawing>
          <wp:inline distT="0" distB="0" distL="0" distR="0" wp14:anchorId="6E04F61E" wp14:editId="5707DE11">
            <wp:extent cx="5836920" cy="4420471"/>
            <wp:effectExtent l="0" t="0" r="11430" b="18415"/>
            <wp:docPr id="3" name="Chart 3" descr="A line graph showing representation of culturally and linguistically diverse employees between 2018-19 and 2022-23. Representation of culturally and linguistically diverse employees has steadily increased in the public sector from 13.3% in March 2019 to 16.5% in March 2023, surpassing the aspirational target of 15.5% in 2022. Representation of culturally and linguistically diverse employees in other government entities generally increased from 18.4% in March 2019 to 22.6% in March 202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C96ADAE" w14:textId="77777777" w:rsidR="00B533B0" w:rsidRDefault="00B533B0" w:rsidP="000D42F1">
      <w:pPr>
        <w:pStyle w:val="Heading3"/>
        <w:rPr>
          <w:rFonts w:ascii="Arial" w:eastAsia="Times New Roman" w:hAnsi="Arial"/>
          <w:color w:val="auto"/>
          <w:sz w:val="22"/>
          <w:szCs w:val="22"/>
        </w:rPr>
      </w:pPr>
      <w:bookmarkStart w:id="83" w:name="_Youth_employees"/>
      <w:bookmarkEnd w:id="83"/>
      <w:r>
        <w:rPr>
          <w:rFonts w:ascii="Arial" w:eastAsia="Times New Roman" w:hAnsi="Arial"/>
          <w:color w:val="auto"/>
          <w:sz w:val="22"/>
          <w:szCs w:val="22"/>
        </w:rPr>
        <w:br w:type="page"/>
      </w:r>
    </w:p>
    <w:p w14:paraId="57B57C74" w14:textId="7013A465" w:rsidR="000D42F1" w:rsidRPr="002D7991" w:rsidRDefault="000D42F1" w:rsidP="000D42F1">
      <w:pPr>
        <w:pStyle w:val="Heading3"/>
      </w:pPr>
      <w:bookmarkStart w:id="84" w:name="_Toc151900180"/>
      <w:r w:rsidRPr="002D7991">
        <w:lastRenderedPageBreak/>
        <w:t>Youth</w:t>
      </w:r>
      <w:r>
        <w:t xml:space="preserve"> employees</w:t>
      </w:r>
      <w:bookmarkEnd w:id="84"/>
    </w:p>
    <w:p w14:paraId="68744DC0" w14:textId="4772ED44" w:rsidR="000D42F1" w:rsidRPr="000B1664" w:rsidRDefault="000D42F1" w:rsidP="000D42F1">
      <w:r>
        <w:t>In March 2023</w:t>
      </w:r>
      <w:r w:rsidRPr="009E0ABE">
        <w:t xml:space="preserve">, </w:t>
      </w:r>
      <w:r>
        <w:t>16,095</w:t>
      </w:r>
      <w:r w:rsidRPr="009E0ABE">
        <w:t xml:space="preserve"> government sector employees (</w:t>
      </w:r>
      <w:r w:rsidR="00B04502">
        <w:t>7.0</w:t>
      </w:r>
      <w:r w:rsidRPr="009E0ABE">
        <w:t>%) were aged 24 or under</w:t>
      </w:r>
      <w:r>
        <w:t xml:space="preserve"> </w:t>
      </w:r>
      <w:r w:rsidR="000531F2">
        <w:t>(</w:t>
      </w:r>
      <w:r>
        <w:t xml:space="preserve">8,917 </w:t>
      </w:r>
      <w:r w:rsidRPr="009E0ABE">
        <w:t>in the public</w:t>
      </w:r>
      <w:r w:rsidRPr="000B1664">
        <w:t xml:space="preserve"> sector and </w:t>
      </w:r>
      <w:r>
        <w:t>7,178</w:t>
      </w:r>
      <w:r w:rsidRPr="000B1664">
        <w:t xml:space="preserve"> in other government entities</w:t>
      </w:r>
      <w:r w:rsidR="000531F2">
        <w:t>)</w:t>
      </w:r>
      <w:r w:rsidRPr="000B1664">
        <w:t>. For the public sector, this was a</w:t>
      </w:r>
      <w:r>
        <w:t>n</w:t>
      </w:r>
      <w:r w:rsidRPr="000B1664">
        <w:t xml:space="preserve"> increase of </w:t>
      </w:r>
      <w:r>
        <w:t>471</w:t>
      </w:r>
      <w:r w:rsidRPr="000B1664">
        <w:t xml:space="preserve"> you</w:t>
      </w:r>
      <w:r>
        <w:t>th</w:t>
      </w:r>
      <w:r w:rsidRPr="000B1664">
        <w:t xml:space="preserve"> employees</w:t>
      </w:r>
      <w:r>
        <w:t xml:space="preserve"> since March 2022</w:t>
      </w:r>
      <w:r w:rsidRPr="000B1664">
        <w:t xml:space="preserve"> while other government entities saw you</w:t>
      </w:r>
      <w:r>
        <w:t>th</w:t>
      </w:r>
      <w:r w:rsidRPr="000B1664">
        <w:t xml:space="preserve"> employees increase by </w:t>
      </w:r>
      <w:r>
        <w:t>704</w:t>
      </w:r>
      <w:r w:rsidRPr="000B1664">
        <w:t xml:space="preserve"> headcount.</w:t>
      </w:r>
    </w:p>
    <w:p w14:paraId="50D79B5C" w14:textId="49A1D6F1" w:rsidR="000D42F1" w:rsidRDefault="000D42F1" w:rsidP="000D42F1">
      <w:pPr>
        <w:spacing w:after="240"/>
        <w:rPr>
          <w:color w:val="C45911" w:themeColor="accent2" w:themeShade="BF"/>
        </w:rPr>
      </w:pPr>
      <w:r w:rsidRPr="000B1664">
        <w:t>Youth made up 10.</w:t>
      </w:r>
      <w:r>
        <w:t>7</w:t>
      </w:r>
      <w:r w:rsidRPr="000B1664">
        <w:t xml:space="preserve">% of </w:t>
      </w:r>
      <w:r>
        <w:t>employees</w:t>
      </w:r>
      <w:r w:rsidRPr="000B1664">
        <w:t xml:space="preserve"> in other government entities</w:t>
      </w:r>
      <w:r w:rsidR="001D7332">
        <w:t xml:space="preserve"> and</w:t>
      </w:r>
      <w:r w:rsidRPr="000B1664">
        <w:t xml:space="preserve"> 5.</w:t>
      </w:r>
      <w:r>
        <w:t>4</w:t>
      </w:r>
      <w:r w:rsidRPr="000B1664">
        <w:t>% in the public sector (</w:t>
      </w:r>
      <w:r w:rsidR="00BD3454">
        <w:fldChar w:fldCharType="begin"/>
      </w:r>
      <w:r w:rsidR="00BD3454">
        <w:instrText xml:space="preserve"> REF _Ref84255016 \h  \* MERGEFORMAT </w:instrText>
      </w:r>
      <w:r w:rsidR="00BD3454">
        <w:fldChar w:fldCharType="separate"/>
      </w:r>
      <w:r w:rsidR="0048418F" w:rsidRPr="0048418F">
        <w:t>Figure 19</w:t>
      </w:r>
      <w:r w:rsidR="00BD3454">
        <w:fldChar w:fldCharType="end"/>
      </w:r>
      <w:r w:rsidRPr="000B1664">
        <w:t>)</w:t>
      </w:r>
      <w:r w:rsidRPr="000B1664">
        <w:rPr>
          <w:rStyle w:val="FootnoteReference"/>
        </w:rPr>
        <w:footnoteReference w:id="11"/>
      </w:r>
      <w:r w:rsidRPr="000B1664">
        <w:t>.</w:t>
      </w:r>
    </w:p>
    <w:p w14:paraId="7A7005BD" w14:textId="63228D00" w:rsidR="000D42F1" w:rsidRPr="00357E62" w:rsidRDefault="000D42F1" w:rsidP="000D42F1">
      <w:pPr>
        <w:rPr>
          <w:b/>
          <w:bCs/>
          <w:iCs/>
          <w:color w:val="2E74B5" w:themeColor="accent1" w:themeShade="BF"/>
          <w:sz w:val="20"/>
          <w:szCs w:val="20"/>
        </w:rPr>
      </w:pPr>
      <w:bookmarkStart w:id="85" w:name="_Ref84255016"/>
      <w:r w:rsidRPr="00357E62">
        <w:rPr>
          <w:b/>
          <w:bCs/>
          <w:iCs/>
          <w:color w:val="2E74B5" w:themeColor="accent1" w:themeShade="BF"/>
          <w:sz w:val="20"/>
          <w:szCs w:val="20"/>
        </w:rPr>
        <w:t xml:space="preserve">Figure </w:t>
      </w:r>
      <w:r>
        <w:rPr>
          <w:b/>
          <w:bCs/>
          <w:iCs/>
          <w:color w:val="2E74B5" w:themeColor="accent1" w:themeShade="BF"/>
          <w:sz w:val="20"/>
          <w:szCs w:val="20"/>
        </w:rPr>
        <w:fldChar w:fldCharType="begin"/>
      </w:r>
      <w:r>
        <w:rPr>
          <w:b/>
          <w:bCs/>
          <w:iCs/>
          <w:color w:val="2E74B5" w:themeColor="accent1" w:themeShade="BF"/>
          <w:sz w:val="20"/>
          <w:szCs w:val="20"/>
        </w:rPr>
        <w:instrText xml:space="preserve"> SEQ Figure \* ARABIC </w:instrText>
      </w:r>
      <w:r>
        <w:rPr>
          <w:b/>
          <w:bCs/>
          <w:iCs/>
          <w:color w:val="2E74B5" w:themeColor="accent1" w:themeShade="BF"/>
          <w:sz w:val="20"/>
          <w:szCs w:val="20"/>
        </w:rPr>
        <w:fldChar w:fldCharType="separate"/>
      </w:r>
      <w:r w:rsidR="0048418F">
        <w:rPr>
          <w:b/>
          <w:bCs/>
          <w:iCs/>
          <w:noProof/>
          <w:color w:val="2E74B5" w:themeColor="accent1" w:themeShade="BF"/>
          <w:sz w:val="20"/>
          <w:szCs w:val="20"/>
        </w:rPr>
        <w:t>19</w:t>
      </w:r>
      <w:r>
        <w:rPr>
          <w:b/>
          <w:bCs/>
          <w:iCs/>
          <w:color w:val="2E74B5" w:themeColor="accent1" w:themeShade="BF"/>
          <w:sz w:val="20"/>
          <w:szCs w:val="20"/>
        </w:rPr>
        <w:fldChar w:fldCharType="end"/>
      </w:r>
      <w:bookmarkEnd w:id="85"/>
      <w:r w:rsidRPr="00357E62">
        <w:rPr>
          <w:b/>
          <w:bCs/>
          <w:iCs/>
          <w:color w:val="2E74B5" w:themeColor="accent1" w:themeShade="BF"/>
          <w:sz w:val="20"/>
          <w:szCs w:val="20"/>
        </w:rPr>
        <w:t xml:space="preserve">: Representation of youth, WA government sector </w:t>
      </w:r>
      <w:r w:rsidRPr="06397ECB">
        <w:rPr>
          <w:b/>
          <w:bCs/>
          <w:color w:val="2E74B5" w:themeColor="accent1" w:themeShade="BF"/>
          <w:sz w:val="20"/>
          <w:szCs w:val="20"/>
        </w:rPr>
        <w:t>2018-19</w:t>
      </w:r>
      <w:r w:rsidRPr="00357E62">
        <w:rPr>
          <w:b/>
          <w:bCs/>
          <w:iCs/>
          <w:color w:val="2E74B5" w:themeColor="accent1" w:themeShade="BF"/>
          <w:sz w:val="20"/>
          <w:szCs w:val="20"/>
        </w:rPr>
        <w:t xml:space="preserve"> to </w:t>
      </w:r>
      <w:r w:rsidRPr="06397ECB">
        <w:rPr>
          <w:b/>
          <w:bCs/>
          <w:color w:val="2E74B5" w:themeColor="accent1" w:themeShade="BF"/>
          <w:sz w:val="20"/>
          <w:szCs w:val="20"/>
        </w:rPr>
        <w:t>2022-23</w:t>
      </w:r>
      <w:r w:rsidRPr="00357E62">
        <w:rPr>
          <w:b/>
          <w:bCs/>
          <w:iCs/>
          <w:color w:val="2E74B5" w:themeColor="accent1" w:themeShade="BF"/>
          <w:sz w:val="20"/>
          <w:szCs w:val="20"/>
        </w:rPr>
        <w:t xml:space="preserve"> (March data </w:t>
      </w:r>
      <w:r w:rsidR="00B44989">
        <w:rPr>
          <w:b/>
          <w:bCs/>
          <w:iCs/>
          <w:color w:val="2E74B5" w:themeColor="accent1" w:themeShade="BF"/>
          <w:sz w:val="20"/>
          <w:szCs w:val="20"/>
        </w:rPr>
        <w:t>labelled</w:t>
      </w:r>
      <w:r w:rsidRPr="00357E62">
        <w:rPr>
          <w:b/>
          <w:bCs/>
          <w:iCs/>
          <w:color w:val="2E74B5" w:themeColor="accent1" w:themeShade="BF"/>
          <w:sz w:val="20"/>
          <w:szCs w:val="20"/>
        </w:rPr>
        <w:t>)</w:t>
      </w:r>
    </w:p>
    <w:p w14:paraId="36992463" w14:textId="77777777" w:rsidR="000D42F1" w:rsidRPr="00E96BB8" w:rsidRDefault="000D42F1" w:rsidP="000D42F1">
      <w:r>
        <w:rPr>
          <w:noProof/>
        </w:rPr>
        <w:drawing>
          <wp:inline distT="0" distB="0" distL="0" distR="0" wp14:anchorId="1B5C47B7" wp14:editId="66519DB2">
            <wp:extent cx="5836920" cy="3801745"/>
            <wp:effectExtent l="0" t="0" r="11430" b="8255"/>
            <wp:docPr id="1015001001" name="Chart 1015001001" descr="A line graph showing the representation of youth between 2018-19 and 2022-23. Representation of youth in the public sector has generally increased from 4.2% in Match 2019 to 5.4% in March 2023, below the aspirational target of 5.8%. Representation of youth employees in other government entities followed an increasing trend up from 9.0% in March 2019 to 10.7% in March 202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09D495F" w14:textId="77777777" w:rsidR="00B533B0" w:rsidRDefault="00B533B0" w:rsidP="000D42F1">
      <w:pPr>
        <w:pStyle w:val="Heading3"/>
        <w:rPr>
          <w:rFonts w:ascii="Arial" w:eastAsia="Times New Roman" w:hAnsi="Arial"/>
          <w:color w:val="auto"/>
          <w:sz w:val="22"/>
          <w:szCs w:val="22"/>
        </w:rPr>
      </w:pPr>
      <w:r>
        <w:rPr>
          <w:rFonts w:ascii="Arial" w:eastAsia="Times New Roman" w:hAnsi="Arial"/>
          <w:color w:val="auto"/>
          <w:sz w:val="22"/>
          <w:szCs w:val="22"/>
        </w:rPr>
        <w:br w:type="page"/>
      </w:r>
    </w:p>
    <w:p w14:paraId="2C15C634" w14:textId="4465CE04" w:rsidR="000D42F1" w:rsidRDefault="000D42F1" w:rsidP="000D42F1">
      <w:pPr>
        <w:pStyle w:val="Heading3"/>
        <w:rPr>
          <w:color w:val="C45911" w:themeColor="accent2" w:themeShade="BF"/>
        </w:rPr>
      </w:pPr>
      <w:bookmarkStart w:id="86" w:name="_Toc151900181"/>
      <w:r>
        <w:lastRenderedPageBreak/>
        <w:t>Employees of diverse sexualities and genders</w:t>
      </w:r>
      <w:bookmarkEnd w:id="86"/>
    </w:p>
    <w:p w14:paraId="5A61835E" w14:textId="0DB4AE58" w:rsidR="000D42F1" w:rsidRDefault="000D42F1" w:rsidP="000D42F1">
      <w:r>
        <w:t>The government sector currently reports data to the Commission on employees</w:t>
      </w:r>
      <w:r w:rsidRPr="000B1664">
        <w:t xml:space="preserve"> who identify as neither male nor female. This data shows less than 0.1% of all </w:t>
      </w:r>
      <w:r>
        <w:t>employees</w:t>
      </w:r>
      <w:r w:rsidRPr="000B1664">
        <w:t xml:space="preserve"> identify as being neither male </w:t>
      </w:r>
      <w:r w:rsidR="0094483B">
        <w:t>n</w:t>
      </w:r>
      <w:r w:rsidRPr="000B1664">
        <w:t xml:space="preserve">or female, with </w:t>
      </w:r>
      <w:r>
        <w:t>employees</w:t>
      </w:r>
      <w:r w:rsidRPr="000B1664">
        <w:t xml:space="preserve"> less likely to be recorded as neither</w:t>
      </w:r>
      <w:r>
        <w:t xml:space="preserve"> male nor female in the public sector compared to other government entities. This is consistent with previous years.</w:t>
      </w:r>
    </w:p>
    <w:p w14:paraId="69F99C1D" w14:textId="77777777" w:rsidR="000D42F1" w:rsidRDefault="000D42F1" w:rsidP="000D42F1">
      <w:r>
        <w:t xml:space="preserve">This year the Commission conducted the 2023 WA Public Sector Census. A total of 47,115 of an estimated 165,340 employees in the public sector and WA Police Force responded to the census. A series of questions was asked on diverse sexualities and genders for the first time. </w:t>
      </w:r>
    </w:p>
    <w:p w14:paraId="27E7051D" w14:textId="77777777" w:rsidR="000D42F1" w:rsidRDefault="000D42F1" w:rsidP="00B533B0">
      <w:pPr>
        <w:spacing w:line="240" w:lineRule="auto"/>
        <w:contextualSpacing/>
      </w:pPr>
      <w:r>
        <w:t>From this are the first insights into this diversity group:</w:t>
      </w:r>
    </w:p>
    <w:p w14:paraId="64BBF7AF" w14:textId="77777777" w:rsidR="000D42F1" w:rsidRPr="001B0474" w:rsidRDefault="000D42F1">
      <w:pPr>
        <w:pStyle w:val="ListParagraph"/>
        <w:numPr>
          <w:ilvl w:val="0"/>
          <w:numId w:val="21"/>
        </w:numPr>
        <w:spacing w:line="240" w:lineRule="auto"/>
        <w:ind w:left="426" w:hanging="426"/>
      </w:pPr>
      <w:r w:rsidRPr="001B0474">
        <w:t>5.3% or 2,511 employees identified as a person with a diverse sexual orientation</w:t>
      </w:r>
    </w:p>
    <w:p w14:paraId="1A19DFB9" w14:textId="77777777" w:rsidR="000D42F1" w:rsidRPr="001B0474" w:rsidRDefault="000D42F1">
      <w:pPr>
        <w:pStyle w:val="ListParagraph"/>
        <w:numPr>
          <w:ilvl w:val="0"/>
          <w:numId w:val="21"/>
        </w:numPr>
        <w:spacing w:line="240" w:lineRule="auto"/>
        <w:ind w:left="426" w:hanging="426"/>
      </w:pPr>
      <w:r w:rsidRPr="001B0474">
        <w:t>0.7% or 337 employees identified as a person with diverse gender identities</w:t>
      </w:r>
    </w:p>
    <w:p w14:paraId="6DA88C4E" w14:textId="5130C4BA" w:rsidR="000D42F1" w:rsidRPr="001B0474" w:rsidRDefault="000D42F1">
      <w:pPr>
        <w:pStyle w:val="ListParagraph"/>
        <w:numPr>
          <w:ilvl w:val="0"/>
          <w:numId w:val="21"/>
        </w:numPr>
        <w:spacing w:line="240" w:lineRule="auto"/>
        <w:ind w:left="426" w:hanging="426"/>
      </w:pPr>
      <w:r w:rsidRPr="001B0474">
        <w:t>0.1% or 47 employees identified as a person with diverse sex characteristics.</w:t>
      </w:r>
    </w:p>
    <w:p w14:paraId="761B6CD7" w14:textId="77777777" w:rsidR="000D42F1" w:rsidRDefault="000D42F1" w:rsidP="000D42F1">
      <w:pPr>
        <w:spacing w:after="160"/>
        <w:rPr>
          <w:color w:val="7030A0"/>
          <w:sz w:val="32"/>
          <w:szCs w:val="20"/>
        </w:rPr>
      </w:pPr>
      <w:r w:rsidRPr="00FD7E34">
        <w:t>Th</w:t>
      </w:r>
      <w:r>
        <w:t>e</w:t>
      </w:r>
      <w:r w:rsidRPr="00FD7E34">
        <w:t xml:space="preserve"> information </w:t>
      </w:r>
      <w:r>
        <w:t xml:space="preserve">is being used </w:t>
      </w:r>
      <w:r w:rsidRPr="00FD7E34">
        <w:t xml:space="preserve">to inform Commission </w:t>
      </w:r>
      <w:r>
        <w:t xml:space="preserve">strategies </w:t>
      </w:r>
      <w:r w:rsidRPr="00FD7E34">
        <w:t>and agency</w:t>
      </w:r>
      <w:r>
        <w:t xml:space="preserve"> understanding of this diversity group in the workplace.</w:t>
      </w:r>
      <w:r>
        <w:rPr>
          <w:color w:val="7030A0"/>
          <w:sz w:val="32"/>
          <w:szCs w:val="20"/>
        </w:rPr>
        <w:br w:type="page"/>
      </w:r>
    </w:p>
    <w:p w14:paraId="152B7283" w14:textId="77777777" w:rsidR="000D42F1" w:rsidRPr="00D20A39" w:rsidRDefault="000D42F1" w:rsidP="000D42F1">
      <w:pPr>
        <w:pStyle w:val="Heading3"/>
        <w:spacing w:before="0"/>
        <w:rPr>
          <w:sz w:val="44"/>
          <w:szCs w:val="44"/>
        </w:rPr>
      </w:pPr>
      <w:bookmarkStart w:id="87" w:name="_Toc151900182"/>
      <w:r w:rsidRPr="00D20A39">
        <w:rPr>
          <w:b/>
          <w:bCs/>
          <w:sz w:val="44"/>
          <w:szCs w:val="44"/>
        </w:rPr>
        <w:lastRenderedPageBreak/>
        <w:t xml:space="preserve">Commissioner’s </w:t>
      </w:r>
      <w:r w:rsidRPr="00D20A39">
        <w:rPr>
          <w:sz w:val="44"/>
          <w:szCs w:val="44"/>
        </w:rPr>
        <w:t>observations</w:t>
      </w:r>
      <w:bookmarkEnd w:id="87"/>
    </w:p>
    <w:p w14:paraId="3ED4CF8D" w14:textId="77777777" w:rsidR="000D42F1" w:rsidRDefault="000D42F1" w:rsidP="000D42F1">
      <w:pPr>
        <w:keepNext/>
        <w:rPr>
          <w:rFonts w:ascii="Century Gothic" w:hAnsi="Century Gothic"/>
          <w:b/>
          <w:bCs/>
          <w:color w:val="2E74B5" w:themeColor="accent1" w:themeShade="BF"/>
          <w:sz w:val="24"/>
          <w:szCs w:val="24"/>
        </w:rPr>
      </w:pPr>
      <w:r w:rsidRPr="0005220F">
        <w:rPr>
          <w:rFonts w:ascii="Century Gothic" w:hAnsi="Century Gothic"/>
          <w:b/>
          <w:bCs/>
          <w:color w:val="2E74B5" w:themeColor="accent1" w:themeShade="BF"/>
          <w:sz w:val="24"/>
          <w:szCs w:val="24"/>
        </w:rPr>
        <w:t xml:space="preserve">Diversity continues to be a story of mixed results with progress in some </w:t>
      </w:r>
      <w:r>
        <w:rPr>
          <w:rFonts w:ascii="Century Gothic" w:hAnsi="Century Gothic"/>
          <w:b/>
          <w:bCs/>
          <w:color w:val="2E74B5" w:themeColor="accent1" w:themeShade="BF"/>
          <w:sz w:val="24"/>
          <w:szCs w:val="24"/>
        </w:rPr>
        <w:t>but not all areas.</w:t>
      </w:r>
    </w:p>
    <w:p w14:paraId="052B2466" w14:textId="77777777" w:rsidR="000D42F1" w:rsidRPr="008758A5" w:rsidRDefault="000D42F1" w:rsidP="000D42F1">
      <w:pPr>
        <w:rPr>
          <w:rFonts w:ascii="Century Gothic" w:hAnsi="Century Gothic"/>
        </w:rPr>
      </w:pPr>
      <w:r w:rsidRPr="008758A5">
        <w:rPr>
          <w:rFonts w:ascii="Century Gothic" w:hAnsi="Century Gothic"/>
        </w:rPr>
        <w:t xml:space="preserve">Increasing the representation of employees with disability and of Aboriginal and Torres Strait Islander employees continues to be a challenge. In both cases, other government entities this year increased representation slightly while public sector agencies continued to flatline. </w:t>
      </w:r>
    </w:p>
    <w:p w14:paraId="63201E2A" w14:textId="6574DA0D" w:rsidR="000D42F1" w:rsidRPr="008758A5" w:rsidRDefault="000D42F1" w:rsidP="000D42F1">
      <w:pPr>
        <w:keepNext/>
        <w:rPr>
          <w:rFonts w:ascii="Century Gothic" w:hAnsi="Century Gothic"/>
        </w:rPr>
      </w:pPr>
      <w:r w:rsidRPr="008758A5">
        <w:rPr>
          <w:rFonts w:ascii="Century Gothic" w:hAnsi="Century Gothic"/>
        </w:rPr>
        <w:t xml:space="preserve">The </w:t>
      </w:r>
      <w:r w:rsidR="001B6ECB">
        <w:rPr>
          <w:rFonts w:ascii="Century Gothic" w:hAnsi="Century Gothic"/>
        </w:rPr>
        <w:t>percentage</w:t>
      </w:r>
      <w:r w:rsidRPr="008758A5">
        <w:rPr>
          <w:rFonts w:ascii="Century Gothic" w:hAnsi="Century Gothic"/>
        </w:rPr>
        <w:t xml:space="preserve"> of youth and culturally and linguistically diverse employees in the government sector increased again this year.</w:t>
      </w:r>
    </w:p>
    <w:p w14:paraId="62322B8A" w14:textId="4FD2347A" w:rsidR="000D42F1" w:rsidRPr="008758A5" w:rsidRDefault="000D42F1" w:rsidP="000D42F1">
      <w:pPr>
        <w:keepNext/>
        <w:rPr>
          <w:rFonts w:ascii="Century Gothic" w:hAnsi="Century Gothic"/>
        </w:rPr>
      </w:pPr>
      <w:r w:rsidRPr="008758A5">
        <w:rPr>
          <w:rFonts w:ascii="Century Gothic" w:hAnsi="Century Gothic"/>
        </w:rPr>
        <w:t xml:space="preserve">In terms of the aspirational targets set for employment representation in the public sector, progress was made towards the targets for both women in the Senior Executive Service and youth. The public sector continued to exceed the aspirational target for the representation of culturally and linguistically diverse employees. No progress was made towards the aspirational targets for Aboriginal and Torres Strait Islander employees and </w:t>
      </w:r>
      <w:r w:rsidR="00434214" w:rsidRPr="008758A5">
        <w:rPr>
          <w:rFonts w:ascii="Century Gothic" w:hAnsi="Century Gothic"/>
        </w:rPr>
        <w:t xml:space="preserve">minimal progress for </w:t>
      </w:r>
      <w:r w:rsidRPr="008758A5">
        <w:rPr>
          <w:rFonts w:ascii="Century Gothic" w:hAnsi="Century Gothic"/>
        </w:rPr>
        <w:t>employees with disability.</w:t>
      </w:r>
    </w:p>
    <w:p w14:paraId="7C4479B4" w14:textId="77777777" w:rsidR="00831CEC" w:rsidRPr="008758A5" w:rsidRDefault="000D42F1" w:rsidP="000D42F1">
      <w:pPr>
        <w:keepNext/>
        <w:rPr>
          <w:rFonts w:ascii="Century Gothic" w:hAnsi="Century Gothic"/>
        </w:rPr>
      </w:pPr>
      <w:r w:rsidRPr="008758A5">
        <w:rPr>
          <w:rFonts w:ascii="Century Gothic" w:hAnsi="Century Gothic"/>
        </w:rPr>
        <w:t xml:space="preserve">To remove barriers to employment for diverse groups I issued Commissioner’s Instruction 39 that allows the public sector to make employment decisions on the grounds of race, sex, sexual orientation, disability and age to achieve equity and improve representation in employment. </w:t>
      </w:r>
    </w:p>
    <w:p w14:paraId="39BD37C2" w14:textId="0705957C" w:rsidR="000D42F1" w:rsidRPr="008758A5" w:rsidRDefault="000D42F1" w:rsidP="000D42F1">
      <w:pPr>
        <w:keepNext/>
        <w:rPr>
          <w:rFonts w:ascii="Century Gothic" w:hAnsi="Century Gothic"/>
          <w:strike/>
        </w:rPr>
      </w:pPr>
      <w:r w:rsidRPr="008758A5">
        <w:rPr>
          <w:rFonts w:ascii="Century Gothic" w:hAnsi="Century Gothic"/>
        </w:rPr>
        <w:t xml:space="preserve">I also removed the upper age restriction on Solid Futures, </w:t>
      </w:r>
      <w:r w:rsidR="005D778B" w:rsidRPr="008758A5">
        <w:rPr>
          <w:rFonts w:ascii="Century Gothic" w:hAnsi="Century Gothic"/>
        </w:rPr>
        <w:t>the</w:t>
      </w:r>
      <w:r w:rsidRPr="008758A5">
        <w:rPr>
          <w:rFonts w:ascii="Century Gothic" w:hAnsi="Century Gothic"/>
        </w:rPr>
        <w:t xml:space="preserve"> sectorwide traineeship program for Aboriginal and Torres Strait Islander people that can lead to entry level employment. I expect to see some results from these changes </w:t>
      </w:r>
      <w:r w:rsidR="005D778B" w:rsidRPr="008758A5">
        <w:rPr>
          <w:rFonts w:ascii="Century Gothic" w:hAnsi="Century Gothic"/>
        </w:rPr>
        <w:t xml:space="preserve">in </w:t>
      </w:r>
      <w:r w:rsidRPr="008758A5">
        <w:rPr>
          <w:rFonts w:ascii="Century Gothic" w:hAnsi="Century Gothic"/>
        </w:rPr>
        <w:t>the next reporting period.</w:t>
      </w:r>
    </w:p>
    <w:p w14:paraId="2B10D329" w14:textId="56D690A7" w:rsidR="000D42F1" w:rsidRPr="008758A5" w:rsidRDefault="000D42F1" w:rsidP="000D42F1">
      <w:pPr>
        <w:keepNext/>
        <w:rPr>
          <w:rFonts w:ascii="Century Gothic" w:hAnsi="Century Gothic"/>
        </w:rPr>
      </w:pPr>
      <w:r w:rsidRPr="008758A5">
        <w:rPr>
          <w:rFonts w:ascii="Century Gothic" w:hAnsi="Century Gothic"/>
        </w:rPr>
        <w:t xml:space="preserve">During the year the Commission focused on identifying the underlying drivers of the gender pay gap, particularly around certain occupational groups. While </w:t>
      </w:r>
      <w:r w:rsidR="00F86DB9" w:rsidRPr="008758A5">
        <w:rPr>
          <w:rFonts w:ascii="Century Gothic" w:hAnsi="Century Gothic"/>
        </w:rPr>
        <w:t xml:space="preserve">there is </w:t>
      </w:r>
      <w:r w:rsidRPr="008758A5">
        <w:rPr>
          <w:rFonts w:ascii="Century Gothic" w:hAnsi="Century Gothic"/>
        </w:rPr>
        <w:t xml:space="preserve">equal pay for equal work in the government sector, in the public sector far more women than men work part time and overtime payments favour men. Both these factors affect take home pay. I intend to examine whether there are any inherent policy biases driving these differences and, if so, take action to address them. </w:t>
      </w:r>
    </w:p>
    <w:p w14:paraId="3F81A2E3" w14:textId="7A24C9ED" w:rsidR="000D42F1" w:rsidRPr="008758A5" w:rsidRDefault="000D42F1" w:rsidP="000D42F1">
      <w:pPr>
        <w:rPr>
          <w:rFonts w:ascii="Century Gothic" w:eastAsiaTheme="majorEastAsia" w:hAnsi="Century Gothic"/>
          <w:sz w:val="44"/>
          <w:szCs w:val="44"/>
        </w:rPr>
      </w:pPr>
      <w:r w:rsidRPr="008758A5">
        <w:rPr>
          <w:rFonts w:ascii="Century Gothic" w:hAnsi="Century Gothic"/>
        </w:rPr>
        <w:t xml:space="preserve">The first ever </w:t>
      </w:r>
      <w:r w:rsidR="00F86DB9" w:rsidRPr="008758A5">
        <w:rPr>
          <w:rFonts w:ascii="Century Gothic" w:hAnsi="Century Gothic"/>
        </w:rPr>
        <w:t>p</w:t>
      </w:r>
      <w:r w:rsidRPr="008758A5">
        <w:rPr>
          <w:rFonts w:ascii="Century Gothic" w:hAnsi="Century Gothic"/>
        </w:rPr>
        <w:t xml:space="preserve">ublic </w:t>
      </w:r>
      <w:r w:rsidR="00F86DB9" w:rsidRPr="008758A5">
        <w:rPr>
          <w:rFonts w:ascii="Century Gothic" w:hAnsi="Century Gothic"/>
        </w:rPr>
        <w:t>s</w:t>
      </w:r>
      <w:r w:rsidRPr="008758A5">
        <w:rPr>
          <w:rFonts w:ascii="Century Gothic" w:hAnsi="Century Gothic"/>
        </w:rPr>
        <w:t xml:space="preserve">ector </w:t>
      </w:r>
      <w:r w:rsidR="00F86DB9" w:rsidRPr="008758A5">
        <w:rPr>
          <w:rFonts w:ascii="Century Gothic" w:hAnsi="Century Gothic"/>
        </w:rPr>
        <w:t>c</w:t>
      </w:r>
      <w:r w:rsidRPr="008758A5">
        <w:rPr>
          <w:rFonts w:ascii="Century Gothic" w:hAnsi="Century Gothic"/>
        </w:rPr>
        <w:t>ensus was developed and implemented by the Commission this year as a trial, collecting diversity information directly from employees. It sought to capture a broader range of information than is currently available to help agencies understand the diversity profile</w:t>
      </w:r>
      <w:r w:rsidR="00F86DB9" w:rsidRPr="008758A5">
        <w:rPr>
          <w:rFonts w:ascii="Century Gothic" w:hAnsi="Century Gothic"/>
        </w:rPr>
        <w:t>s</w:t>
      </w:r>
      <w:r w:rsidRPr="008758A5">
        <w:rPr>
          <w:rFonts w:ascii="Century Gothic" w:hAnsi="Century Gothic"/>
        </w:rPr>
        <w:t xml:space="preserve"> of their workforces, whether employees feel comfortable sharing diversity information and if there are any psychological drivers for not sharing. I expect all public sector agencies to use the new and valuable insights to make sure their workplaces are inclusive and attractive to diverse people.</w:t>
      </w:r>
    </w:p>
    <w:p w14:paraId="2A588038" w14:textId="3CB647F2" w:rsidR="000D42F1" w:rsidRDefault="000D42F1">
      <w:r>
        <w:br w:type="page"/>
      </w:r>
    </w:p>
    <w:p w14:paraId="02DAF468" w14:textId="77777777" w:rsidR="000D42F1" w:rsidRPr="009C7967" w:rsidRDefault="000D42F1" w:rsidP="000D42F1">
      <w:pPr>
        <w:pStyle w:val="Heading2"/>
        <w:spacing w:line="240" w:lineRule="auto"/>
        <w:rPr>
          <w:b/>
        </w:rPr>
      </w:pPr>
      <w:bookmarkStart w:id="88" w:name="_Toc151900183"/>
      <w:r w:rsidRPr="009C7967">
        <w:lastRenderedPageBreak/>
        <w:t xml:space="preserve">Section 4: </w:t>
      </w:r>
      <w:r w:rsidRPr="00560FE2">
        <w:rPr>
          <w:b/>
          <w:bCs/>
        </w:rPr>
        <w:t>Leadership</w:t>
      </w:r>
      <w:bookmarkEnd w:id="88"/>
    </w:p>
    <w:p w14:paraId="24DEE41E" w14:textId="46279FA8" w:rsidR="000D42F1" w:rsidRPr="00A5015A" w:rsidRDefault="000D42F1" w:rsidP="000D42F1">
      <w:pPr>
        <w:spacing w:after="240"/>
        <w:rPr>
          <w:rFonts w:ascii="Century Gothic" w:hAnsi="Century Gothic"/>
          <w:b/>
          <w:bCs/>
          <w:color w:val="2E74B5" w:themeColor="accent1" w:themeShade="BF"/>
          <w:sz w:val="24"/>
          <w:szCs w:val="24"/>
        </w:rPr>
      </w:pPr>
      <w:r w:rsidRPr="00A5015A">
        <w:rPr>
          <w:rFonts w:ascii="Century Gothic" w:hAnsi="Century Gothic"/>
          <w:b/>
          <w:bCs/>
          <w:color w:val="2E74B5" w:themeColor="accent1" w:themeShade="BF"/>
          <w:sz w:val="24"/>
          <w:szCs w:val="24"/>
        </w:rPr>
        <w:t xml:space="preserve">This </w:t>
      </w:r>
      <w:r>
        <w:rPr>
          <w:rFonts w:ascii="Century Gothic" w:hAnsi="Century Gothic"/>
          <w:b/>
          <w:bCs/>
          <w:color w:val="2E74B5" w:themeColor="accent1" w:themeShade="BF"/>
          <w:sz w:val="24"/>
          <w:szCs w:val="24"/>
        </w:rPr>
        <w:t>section of the report focuses on the leadership landscape across the government sector including the diversity, development and profile of leaders.</w:t>
      </w:r>
      <w:r w:rsidRPr="00A5015A">
        <w:rPr>
          <w:rFonts w:ascii="Century Gothic" w:hAnsi="Century Gothic"/>
          <w:b/>
          <w:bCs/>
          <w:color w:val="2E74B5" w:themeColor="accent1" w:themeShade="BF"/>
          <w:sz w:val="24"/>
          <w:szCs w:val="24"/>
        </w:rPr>
        <w:t xml:space="preserve"> </w:t>
      </w:r>
      <w:r w:rsidR="00434214" w:rsidRPr="00434214">
        <w:rPr>
          <w:rFonts w:ascii="Century Gothic" w:hAnsi="Century Gothic"/>
          <w:b/>
          <w:bCs/>
          <w:color w:val="2E74B5" w:themeColor="accent1" w:themeShade="BF"/>
          <w:sz w:val="24"/>
          <w:szCs w:val="24"/>
        </w:rPr>
        <w:t xml:space="preserve">In line with information in the </w:t>
      </w:r>
      <w:hyperlink w:anchor="_Section_3:_Workforce" w:history="1">
        <w:r w:rsidR="00434214" w:rsidRPr="00434214">
          <w:rPr>
            <w:rFonts w:ascii="Century Gothic" w:hAnsi="Century Gothic"/>
            <w:b/>
            <w:bCs/>
            <w:color w:val="2E74B5" w:themeColor="accent1" w:themeShade="BF"/>
            <w:sz w:val="24"/>
            <w:szCs w:val="24"/>
          </w:rPr>
          <w:t>Diversity</w:t>
        </w:r>
      </w:hyperlink>
      <w:r w:rsidR="00434214" w:rsidRPr="00434214">
        <w:rPr>
          <w:rFonts w:ascii="Century Gothic" w:hAnsi="Century Gothic"/>
          <w:b/>
          <w:bCs/>
          <w:color w:val="2E74B5" w:themeColor="accent1" w:themeShade="BF"/>
          <w:sz w:val="24"/>
          <w:szCs w:val="24"/>
        </w:rPr>
        <w:t xml:space="preserve"> section, the following information references March point in time data.</w:t>
      </w:r>
    </w:p>
    <w:p w14:paraId="15E21E6E" w14:textId="77777777" w:rsidR="000D42F1" w:rsidRPr="00A317BC" w:rsidRDefault="000D42F1" w:rsidP="000D42F1">
      <w:pPr>
        <w:pStyle w:val="Heading3"/>
        <w:spacing w:before="0" w:line="240" w:lineRule="auto"/>
      </w:pPr>
      <w:bookmarkStart w:id="89" w:name="_Toc151900184"/>
      <w:r w:rsidRPr="00A317BC">
        <w:t>Diversity in leadership</w:t>
      </w:r>
      <w:bookmarkEnd w:id="89"/>
    </w:p>
    <w:p w14:paraId="1EB6300A" w14:textId="56C4D574" w:rsidR="000D42F1" w:rsidRPr="00521230" w:rsidRDefault="000D42F1" w:rsidP="000D42F1">
      <w:pPr>
        <w:spacing w:line="240" w:lineRule="auto"/>
      </w:pPr>
      <w:r w:rsidRPr="00521230">
        <w:t xml:space="preserve">As a group, leaders across the government sector tend to be less diverse than the workforce as a whole. However, some slight gains in management </w:t>
      </w:r>
      <w:r>
        <w:t xml:space="preserve">diversity </w:t>
      </w:r>
      <w:r w:rsidRPr="00521230">
        <w:t>were reported this year (</w:t>
      </w:r>
      <w:fldSimple w:instr=" REF _Ref84254871  \* MERGEFORMAT ">
        <w:r w:rsidR="0048418F" w:rsidRPr="0048418F">
          <w:t>Table 18</w:t>
        </w:r>
      </w:fldSimple>
      <w:r w:rsidRPr="00521230">
        <w:t xml:space="preserve">). </w:t>
      </w:r>
    </w:p>
    <w:p w14:paraId="4E5DAD73" w14:textId="65A0066E" w:rsidR="000D42F1" w:rsidRPr="00360EC4" w:rsidRDefault="000D42F1" w:rsidP="000D42F1">
      <w:pPr>
        <w:spacing w:line="240" w:lineRule="auto"/>
      </w:pPr>
      <w:r>
        <w:t xml:space="preserve">Representation of Aboriginal and Torres Strait Islander employees in management roles </w:t>
      </w:r>
      <w:r w:rsidDel="1CD61A63">
        <w:t xml:space="preserve">increased </w:t>
      </w:r>
      <w:r>
        <w:t>slightly between March 2022 and March 2023 from 1.9% to 2.1% of public sector leaders in management tiers 1 to 3</w:t>
      </w:r>
      <w:r w:rsidR="00831CEC">
        <w:t>;</w:t>
      </w:r>
      <w:r>
        <w:t xml:space="preserve"> and 2.1% of management tiers 1 to 3 in other government entities. In March 2023, Aboriginal and Torres Strait Islander employees comprised 2.8% of Senior Executive Service (SES) officers in the public sector </w:t>
      </w:r>
      <w:r w:rsidR="000C20FD">
        <w:t>(</w:t>
      </w:r>
      <w:r>
        <w:t>up from 1.7% in March 2022</w:t>
      </w:r>
      <w:r w:rsidR="000C20FD">
        <w:t>)</w:t>
      </w:r>
      <w:r>
        <w:t xml:space="preserve">. </w:t>
      </w:r>
    </w:p>
    <w:p w14:paraId="7AD3E8FE" w14:textId="0DDB5203" w:rsidR="000D42F1" w:rsidRPr="00360EC4" w:rsidRDefault="000D42F1" w:rsidP="000D42F1">
      <w:pPr>
        <w:spacing w:line="240" w:lineRule="auto"/>
      </w:pPr>
      <w:r w:rsidRPr="00360EC4">
        <w:t xml:space="preserve">Representation of employees with disability in management roles increased. In March 2023, people with disability </w:t>
      </w:r>
      <w:r>
        <w:t>comprised</w:t>
      </w:r>
      <w:r w:rsidRPr="00360EC4">
        <w:t xml:space="preserve"> 1.7% of SES officers in the public sector (</w:t>
      </w:r>
      <w:r>
        <w:t>up</w:t>
      </w:r>
      <w:r w:rsidRPr="00360EC4">
        <w:t xml:space="preserve"> from 1.5% in March 2022) and </w:t>
      </w:r>
      <w:r>
        <w:t>2.0</w:t>
      </w:r>
      <w:r w:rsidRPr="00360EC4">
        <w:t>% of public sector leaders in management tiers 1 to 3 (</w:t>
      </w:r>
      <w:r w:rsidRPr="00360EC4" w:rsidDel="00E67C53">
        <w:t xml:space="preserve">up </w:t>
      </w:r>
      <w:r w:rsidRPr="00360EC4">
        <w:t xml:space="preserve">from 1.7% in March 2022). </w:t>
      </w:r>
      <w:r>
        <w:t>Employees</w:t>
      </w:r>
      <w:r w:rsidRPr="00360EC4">
        <w:t xml:space="preserve"> with disability accounted for 1.6% of employees in management tiers 1 to 3 in other government entities </w:t>
      </w:r>
      <w:r w:rsidR="000C20FD">
        <w:t>(</w:t>
      </w:r>
      <w:r w:rsidRPr="00360EC4">
        <w:t>up from 0.7% in March 2022</w:t>
      </w:r>
      <w:r w:rsidR="000C20FD">
        <w:t>)</w:t>
      </w:r>
      <w:r w:rsidRPr="00360EC4">
        <w:t xml:space="preserve">. </w:t>
      </w:r>
    </w:p>
    <w:p w14:paraId="2E9E5EC5" w14:textId="77777777" w:rsidR="000D42F1" w:rsidRDefault="000D42F1" w:rsidP="000D42F1">
      <w:pPr>
        <w:spacing w:after="240" w:line="240" w:lineRule="auto"/>
        <w:rPr>
          <w:color w:val="2E74B5" w:themeColor="accent1" w:themeShade="BF"/>
          <w:sz w:val="20"/>
          <w:szCs w:val="20"/>
        </w:rPr>
      </w:pPr>
      <w:r>
        <w:t xml:space="preserve">In March 2023 culturally and linguistically diverse employees made up 8.4% of SES officers (up from 8.3% in March 2022), </w:t>
      </w:r>
      <w:r w:rsidDel="5D028307">
        <w:t>12.</w:t>
      </w:r>
      <w:r w:rsidDel="3A26B7CA">
        <w:t>8</w:t>
      </w:r>
      <w:r>
        <w:t>% in management tiers 1 to 3 in the public sector (up from 12.1%</w:t>
      </w:r>
      <w:r w:rsidDel="1CD61A63">
        <w:t xml:space="preserve"> </w:t>
      </w:r>
      <w:r>
        <w:t>in March 2022) and 12.5% in management tiers 1 to 3 in other government entities (up from 11.2% last year).</w:t>
      </w:r>
    </w:p>
    <w:p w14:paraId="0CA68735" w14:textId="0E50BF78" w:rsidR="000D42F1" w:rsidRPr="00357E62" w:rsidRDefault="000D42F1" w:rsidP="000D42F1">
      <w:pPr>
        <w:pStyle w:val="Caption"/>
        <w:rPr>
          <w:b/>
          <w:bCs/>
        </w:rPr>
      </w:pPr>
      <w:bookmarkStart w:id="90" w:name="_Ref84254871"/>
      <w:r w:rsidRPr="00357E62">
        <w:rPr>
          <w:b/>
          <w:bCs/>
        </w:rPr>
        <w:t xml:space="preserve">Table </w:t>
      </w:r>
      <w:r w:rsidRPr="00357E62">
        <w:rPr>
          <w:b/>
          <w:bCs/>
        </w:rPr>
        <w:fldChar w:fldCharType="begin"/>
      </w:r>
      <w:r w:rsidRPr="00357E62">
        <w:rPr>
          <w:b/>
          <w:bCs/>
        </w:rPr>
        <w:instrText>SEQ Table \* ARABIC</w:instrText>
      </w:r>
      <w:r w:rsidRPr="00357E62">
        <w:rPr>
          <w:b/>
          <w:bCs/>
        </w:rPr>
        <w:fldChar w:fldCharType="separate"/>
      </w:r>
      <w:r w:rsidR="0048418F">
        <w:rPr>
          <w:b/>
          <w:bCs/>
          <w:noProof/>
        </w:rPr>
        <w:t>18</w:t>
      </w:r>
      <w:r w:rsidRPr="00357E62">
        <w:rPr>
          <w:b/>
          <w:bCs/>
        </w:rPr>
        <w:fldChar w:fldCharType="end"/>
      </w:r>
      <w:bookmarkEnd w:id="90"/>
      <w:r w:rsidRPr="00357E62">
        <w:rPr>
          <w:b/>
          <w:bCs/>
          <w:noProof/>
        </w:rPr>
        <w:t>:</w:t>
      </w:r>
      <w:r w:rsidRPr="00357E62">
        <w:rPr>
          <w:b/>
          <w:bCs/>
        </w:rPr>
        <w:t xml:space="preserve"> Diversity representation (percent of employees whose diversity status is known), total WA government sector March 20</w:t>
      </w:r>
      <w:r>
        <w:rPr>
          <w:b/>
          <w:bCs/>
        </w:rPr>
        <w:t>23</w:t>
      </w:r>
    </w:p>
    <w:tbl>
      <w:tblPr>
        <w:tblW w:w="9664"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18: Diversity representation (percent of employees whose diversity status is known), total WA government sector March 2023"/>
      </w:tblPr>
      <w:tblGrid>
        <w:gridCol w:w="2967"/>
        <w:gridCol w:w="1606"/>
        <w:gridCol w:w="1701"/>
        <w:gridCol w:w="1701"/>
        <w:gridCol w:w="1689"/>
      </w:tblGrid>
      <w:tr w:rsidR="000D42F1" w:rsidRPr="00094C18" w14:paraId="03CE03E5" w14:textId="77777777">
        <w:trPr>
          <w:trHeight w:val="300"/>
        </w:trPr>
        <w:tc>
          <w:tcPr>
            <w:tcW w:w="2967" w:type="dxa"/>
            <w:shd w:val="clear" w:color="auto" w:fill="auto"/>
            <w:noWrap/>
            <w:hideMark/>
          </w:tcPr>
          <w:p w14:paraId="340B2155" w14:textId="77777777" w:rsidR="000D42F1" w:rsidRPr="00094C18" w:rsidRDefault="000D42F1">
            <w:pPr>
              <w:pStyle w:val="Tables"/>
              <w:jc w:val="left"/>
              <w:rPr>
                <w:b/>
                <w:color w:val="2E74B5" w:themeColor="accent1" w:themeShade="BF"/>
                <w:highlight w:val="yellow"/>
              </w:rPr>
            </w:pPr>
            <w:r w:rsidRPr="00A676A4">
              <w:rPr>
                <w:b/>
                <w:color w:val="2E74B5" w:themeColor="accent1" w:themeShade="BF"/>
              </w:rPr>
              <w:t>Diversity group</w:t>
            </w:r>
          </w:p>
        </w:tc>
        <w:tc>
          <w:tcPr>
            <w:tcW w:w="1606" w:type="dxa"/>
            <w:shd w:val="clear" w:color="auto" w:fill="auto"/>
            <w:noWrap/>
            <w:hideMark/>
          </w:tcPr>
          <w:p w14:paraId="2A0A85EF" w14:textId="77777777" w:rsidR="000D42F1" w:rsidRPr="00094C18" w:rsidRDefault="000D42F1">
            <w:pPr>
              <w:pStyle w:val="Tables"/>
              <w:rPr>
                <w:b/>
                <w:color w:val="2E74B5" w:themeColor="accent1" w:themeShade="BF"/>
                <w:highlight w:val="yellow"/>
              </w:rPr>
            </w:pPr>
            <w:r>
              <w:rPr>
                <w:b/>
                <w:bCs/>
                <w:color w:val="2E74B5"/>
              </w:rPr>
              <w:t>Total representation (management and non-management)</w:t>
            </w:r>
          </w:p>
        </w:tc>
        <w:tc>
          <w:tcPr>
            <w:tcW w:w="1701" w:type="dxa"/>
            <w:shd w:val="clear" w:color="auto" w:fill="auto"/>
            <w:noWrap/>
            <w:hideMark/>
          </w:tcPr>
          <w:p w14:paraId="70C0E34F" w14:textId="77777777" w:rsidR="000D42F1" w:rsidRPr="00094C18" w:rsidRDefault="000D42F1">
            <w:pPr>
              <w:pStyle w:val="Tables"/>
              <w:rPr>
                <w:b/>
                <w:color w:val="2E74B5" w:themeColor="accent1" w:themeShade="BF"/>
                <w:highlight w:val="yellow"/>
              </w:rPr>
            </w:pPr>
            <w:r>
              <w:rPr>
                <w:b/>
                <w:bCs/>
                <w:color w:val="2E74B5"/>
              </w:rPr>
              <w:t>Representation in SES (public sector only)</w:t>
            </w:r>
          </w:p>
        </w:tc>
        <w:tc>
          <w:tcPr>
            <w:tcW w:w="1701" w:type="dxa"/>
            <w:shd w:val="clear" w:color="auto" w:fill="auto"/>
            <w:noWrap/>
            <w:hideMark/>
          </w:tcPr>
          <w:p w14:paraId="32DD4476" w14:textId="77777777" w:rsidR="000D42F1" w:rsidRPr="00094C18" w:rsidRDefault="000D42F1">
            <w:pPr>
              <w:pStyle w:val="Tables"/>
              <w:rPr>
                <w:b/>
                <w:color w:val="2E74B5" w:themeColor="accent1" w:themeShade="BF"/>
                <w:highlight w:val="yellow"/>
              </w:rPr>
            </w:pPr>
            <w:r>
              <w:rPr>
                <w:b/>
                <w:bCs/>
                <w:color w:val="2E74B5"/>
              </w:rPr>
              <w:t>Representation in management tiers* public sector</w:t>
            </w:r>
          </w:p>
        </w:tc>
        <w:tc>
          <w:tcPr>
            <w:tcW w:w="1689" w:type="dxa"/>
            <w:shd w:val="clear" w:color="auto" w:fill="auto"/>
            <w:noWrap/>
            <w:hideMark/>
          </w:tcPr>
          <w:p w14:paraId="6D9838F5" w14:textId="77777777" w:rsidR="000D42F1" w:rsidRPr="00094C18" w:rsidRDefault="000D42F1">
            <w:pPr>
              <w:pStyle w:val="Tables"/>
              <w:rPr>
                <w:b/>
                <w:color w:val="2E74B5" w:themeColor="accent1" w:themeShade="BF"/>
                <w:highlight w:val="yellow"/>
              </w:rPr>
            </w:pPr>
            <w:r>
              <w:rPr>
                <w:b/>
                <w:bCs/>
                <w:color w:val="2E74B5"/>
              </w:rPr>
              <w:t>Representation in management tiers* other government entities</w:t>
            </w:r>
          </w:p>
        </w:tc>
      </w:tr>
      <w:tr w:rsidR="000D42F1" w:rsidRPr="000B1664" w14:paraId="00993D1A" w14:textId="77777777" w:rsidTr="009A39CE">
        <w:trPr>
          <w:trHeight w:val="454"/>
        </w:trPr>
        <w:tc>
          <w:tcPr>
            <w:tcW w:w="2967" w:type="dxa"/>
            <w:shd w:val="clear" w:color="auto" w:fill="auto"/>
            <w:noWrap/>
            <w:vAlign w:val="center"/>
            <w:hideMark/>
          </w:tcPr>
          <w:p w14:paraId="11782975" w14:textId="77777777" w:rsidR="000D42F1" w:rsidRPr="000B1664" w:rsidRDefault="000D42F1" w:rsidP="009A39CE">
            <w:pPr>
              <w:pStyle w:val="Tables"/>
              <w:jc w:val="left"/>
            </w:pPr>
            <w:r w:rsidRPr="000B1664">
              <w:t>Women</w:t>
            </w:r>
          </w:p>
        </w:tc>
        <w:tc>
          <w:tcPr>
            <w:tcW w:w="1606" w:type="dxa"/>
            <w:shd w:val="clear" w:color="auto" w:fill="auto"/>
            <w:noWrap/>
            <w:vAlign w:val="center"/>
          </w:tcPr>
          <w:p w14:paraId="49DB28FF" w14:textId="77777777" w:rsidR="000D42F1" w:rsidRPr="000B1664" w:rsidRDefault="000D42F1" w:rsidP="009A39CE">
            <w:pPr>
              <w:pStyle w:val="Tables"/>
            </w:pPr>
            <w:r>
              <w:t>66.6%</w:t>
            </w:r>
          </w:p>
        </w:tc>
        <w:tc>
          <w:tcPr>
            <w:tcW w:w="1701" w:type="dxa"/>
            <w:shd w:val="clear" w:color="auto" w:fill="auto"/>
            <w:noWrap/>
            <w:vAlign w:val="center"/>
          </w:tcPr>
          <w:p w14:paraId="77C0A104" w14:textId="77777777" w:rsidR="000D42F1" w:rsidRPr="000B1664" w:rsidRDefault="000D42F1" w:rsidP="009A39CE">
            <w:pPr>
              <w:pStyle w:val="Tables"/>
            </w:pPr>
            <w:r>
              <w:t>50.2</w:t>
            </w:r>
            <w:r w:rsidRPr="000B1664">
              <w:t>%</w:t>
            </w:r>
          </w:p>
        </w:tc>
        <w:tc>
          <w:tcPr>
            <w:tcW w:w="1701" w:type="dxa"/>
            <w:shd w:val="clear" w:color="auto" w:fill="auto"/>
            <w:noWrap/>
            <w:vAlign w:val="center"/>
          </w:tcPr>
          <w:p w14:paraId="33EE0340" w14:textId="77777777" w:rsidR="000D42F1" w:rsidRPr="000B1664" w:rsidRDefault="000D42F1" w:rsidP="009A39CE">
            <w:pPr>
              <w:pStyle w:val="Tables"/>
            </w:pPr>
            <w:r>
              <w:t>51.7%</w:t>
            </w:r>
          </w:p>
        </w:tc>
        <w:tc>
          <w:tcPr>
            <w:tcW w:w="1689" w:type="dxa"/>
            <w:shd w:val="clear" w:color="auto" w:fill="auto"/>
            <w:noWrap/>
            <w:vAlign w:val="center"/>
          </w:tcPr>
          <w:p w14:paraId="4CFF7E33" w14:textId="77777777" w:rsidR="000D42F1" w:rsidRPr="000B1664" w:rsidRDefault="000D42F1" w:rsidP="009A39CE">
            <w:pPr>
              <w:pStyle w:val="Tables"/>
            </w:pPr>
            <w:r>
              <w:t>39.0</w:t>
            </w:r>
            <w:r w:rsidRPr="000B1664">
              <w:t>%</w:t>
            </w:r>
          </w:p>
        </w:tc>
      </w:tr>
      <w:tr w:rsidR="000D42F1" w:rsidRPr="000B1664" w14:paraId="46925D9B" w14:textId="77777777" w:rsidTr="009A39CE">
        <w:trPr>
          <w:trHeight w:val="454"/>
        </w:trPr>
        <w:tc>
          <w:tcPr>
            <w:tcW w:w="2967" w:type="dxa"/>
            <w:shd w:val="clear" w:color="auto" w:fill="auto"/>
            <w:noWrap/>
            <w:vAlign w:val="center"/>
            <w:hideMark/>
          </w:tcPr>
          <w:p w14:paraId="11C9C85E" w14:textId="77777777" w:rsidR="000D42F1" w:rsidRPr="000B1664" w:rsidRDefault="000D42F1" w:rsidP="009A39CE">
            <w:pPr>
              <w:pStyle w:val="Tables"/>
              <w:spacing w:before="0"/>
              <w:jc w:val="left"/>
            </w:pPr>
            <w:r w:rsidRPr="000B1664">
              <w:t xml:space="preserve">Aboriginal and Torres Strait Islander </w:t>
            </w:r>
            <w:r>
              <w:t>employees</w:t>
            </w:r>
          </w:p>
        </w:tc>
        <w:tc>
          <w:tcPr>
            <w:tcW w:w="1606" w:type="dxa"/>
            <w:shd w:val="clear" w:color="auto" w:fill="auto"/>
            <w:noWrap/>
            <w:vAlign w:val="center"/>
          </w:tcPr>
          <w:p w14:paraId="0518814A" w14:textId="77777777" w:rsidR="000D42F1" w:rsidRPr="000B1664" w:rsidRDefault="000D42F1" w:rsidP="009A39CE">
            <w:pPr>
              <w:pStyle w:val="Tables"/>
            </w:pPr>
            <w:r w:rsidRPr="000B1664" w:rsidDel="00243B84">
              <w:t>2.8</w:t>
            </w:r>
            <w:r w:rsidRPr="000B1664">
              <w:t>%</w:t>
            </w:r>
          </w:p>
        </w:tc>
        <w:tc>
          <w:tcPr>
            <w:tcW w:w="1701" w:type="dxa"/>
            <w:shd w:val="clear" w:color="auto" w:fill="auto"/>
            <w:noWrap/>
            <w:vAlign w:val="center"/>
          </w:tcPr>
          <w:p w14:paraId="1824A946" w14:textId="77777777" w:rsidR="000D42F1" w:rsidRPr="000B1664" w:rsidRDefault="000D42F1" w:rsidP="009A39CE">
            <w:pPr>
              <w:pStyle w:val="Tables"/>
            </w:pPr>
            <w:r>
              <w:t>2.8</w:t>
            </w:r>
            <w:r w:rsidRPr="000B1664">
              <w:t>%</w:t>
            </w:r>
          </w:p>
        </w:tc>
        <w:tc>
          <w:tcPr>
            <w:tcW w:w="1701" w:type="dxa"/>
            <w:shd w:val="clear" w:color="auto" w:fill="auto"/>
            <w:noWrap/>
            <w:vAlign w:val="center"/>
          </w:tcPr>
          <w:p w14:paraId="517E92CC" w14:textId="77777777" w:rsidR="000D42F1" w:rsidRPr="000B1664" w:rsidRDefault="000D42F1" w:rsidP="009A39CE">
            <w:pPr>
              <w:pStyle w:val="Tables"/>
            </w:pPr>
            <w:r>
              <w:t>2.1</w:t>
            </w:r>
            <w:r w:rsidRPr="000B1664">
              <w:t>%</w:t>
            </w:r>
          </w:p>
        </w:tc>
        <w:tc>
          <w:tcPr>
            <w:tcW w:w="1689" w:type="dxa"/>
            <w:shd w:val="clear" w:color="auto" w:fill="auto"/>
            <w:noWrap/>
            <w:vAlign w:val="center"/>
          </w:tcPr>
          <w:p w14:paraId="7FD26C51" w14:textId="77777777" w:rsidR="000D42F1" w:rsidRPr="000B1664" w:rsidRDefault="000D42F1" w:rsidP="009A39CE">
            <w:pPr>
              <w:pStyle w:val="Tables"/>
            </w:pPr>
            <w:r>
              <w:t>2.1</w:t>
            </w:r>
            <w:r w:rsidRPr="000B1664">
              <w:t>%</w:t>
            </w:r>
          </w:p>
        </w:tc>
      </w:tr>
      <w:tr w:rsidR="000D42F1" w:rsidRPr="000B1664" w14:paraId="03DE8B35" w14:textId="77777777" w:rsidTr="009A39CE">
        <w:trPr>
          <w:trHeight w:val="454"/>
        </w:trPr>
        <w:tc>
          <w:tcPr>
            <w:tcW w:w="2967" w:type="dxa"/>
            <w:shd w:val="clear" w:color="auto" w:fill="auto"/>
            <w:noWrap/>
            <w:vAlign w:val="center"/>
            <w:hideMark/>
          </w:tcPr>
          <w:p w14:paraId="781DD8A6" w14:textId="77777777" w:rsidR="000D42F1" w:rsidRPr="000B1664" w:rsidRDefault="000D42F1" w:rsidP="009A39CE">
            <w:pPr>
              <w:pStyle w:val="Tables"/>
              <w:jc w:val="left"/>
            </w:pPr>
            <w:r>
              <w:t>Employees</w:t>
            </w:r>
            <w:r w:rsidRPr="000B1664">
              <w:t xml:space="preserve"> with disability</w:t>
            </w:r>
          </w:p>
        </w:tc>
        <w:tc>
          <w:tcPr>
            <w:tcW w:w="1606" w:type="dxa"/>
            <w:shd w:val="clear" w:color="auto" w:fill="auto"/>
            <w:noWrap/>
            <w:vAlign w:val="center"/>
          </w:tcPr>
          <w:p w14:paraId="2C0D543D" w14:textId="77777777" w:rsidR="000D42F1" w:rsidRPr="000B1664" w:rsidRDefault="000D42F1" w:rsidP="009A39CE">
            <w:pPr>
              <w:pStyle w:val="Tables"/>
            </w:pPr>
            <w:r>
              <w:t>1.7%</w:t>
            </w:r>
          </w:p>
        </w:tc>
        <w:tc>
          <w:tcPr>
            <w:tcW w:w="1701" w:type="dxa"/>
            <w:shd w:val="clear" w:color="auto" w:fill="auto"/>
            <w:noWrap/>
            <w:vAlign w:val="center"/>
          </w:tcPr>
          <w:p w14:paraId="16656C6C" w14:textId="77777777" w:rsidR="000D42F1" w:rsidRPr="000B1664" w:rsidRDefault="000D42F1" w:rsidP="009A39CE">
            <w:pPr>
              <w:pStyle w:val="Tables"/>
            </w:pPr>
            <w:r w:rsidRPr="000B1664">
              <w:t>1.</w:t>
            </w:r>
            <w:r>
              <w:t>7</w:t>
            </w:r>
            <w:r w:rsidRPr="000B1664">
              <w:t>%</w:t>
            </w:r>
          </w:p>
        </w:tc>
        <w:tc>
          <w:tcPr>
            <w:tcW w:w="1701" w:type="dxa"/>
            <w:shd w:val="clear" w:color="auto" w:fill="auto"/>
            <w:noWrap/>
            <w:vAlign w:val="center"/>
          </w:tcPr>
          <w:p w14:paraId="4BFD30EB" w14:textId="77777777" w:rsidR="000D42F1" w:rsidRPr="000B1664" w:rsidRDefault="000D42F1" w:rsidP="009A39CE">
            <w:pPr>
              <w:pStyle w:val="Tables"/>
            </w:pPr>
            <w:r>
              <w:t>2.0</w:t>
            </w:r>
            <w:r w:rsidRPr="000B1664">
              <w:t>%</w:t>
            </w:r>
          </w:p>
        </w:tc>
        <w:tc>
          <w:tcPr>
            <w:tcW w:w="1689" w:type="dxa"/>
            <w:shd w:val="clear" w:color="auto" w:fill="auto"/>
            <w:noWrap/>
            <w:vAlign w:val="center"/>
          </w:tcPr>
          <w:p w14:paraId="4B4A7E5D" w14:textId="77777777" w:rsidR="000D42F1" w:rsidRPr="000B1664" w:rsidRDefault="000D42F1" w:rsidP="009A39CE">
            <w:pPr>
              <w:pStyle w:val="Tables"/>
            </w:pPr>
            <w:r>
              <w:t>1.6</w:t>
            </w:r>
            <w:r w:rsidRPr="000B1664">
              <w:t>%</w:t>
            </w:r>
          </w:p>
        </w:tc>
      </w:tr>
      <w:tr w:rsidR="000D42F1" w:rsidRPr="000B1664" w14:paraId="2198C5C3" w14:textId="77777777" w:rsidTr="009A39CE">
        <w:trPr>
          <w:trHeight w:val="454"/>
        </w:trPr>
        <w:tc>
          <w:tcPr>
            <w:tcW w:w="2967" w:type="dxa"/>
            <w:shd w:val="clear" w:color="auto" w:fill="auto"/>
            <w:noWrap/>
            <w:vAlign w:val="center"/>
            <w:hideMark/>
          </w:tcPr>
          <w:p w14:paraId="0B8F266E" w14:textId="77777777" w:rsidR="000D42F1" w:rsidRPr="000B1664" w:rsidRDefault="000D42F1" w:rsidP="009A39CE">
            <w:pPr>
              <w:pStyle w:val="Tables"/>
              <w:jc w:val="left"/>
            </w:pPr>
            <w:r w:rsidRPr="000B1664">
              <w:t xml:space="preserve">Culturally and linguistically diverse </w:t>
            </w:r>
            <w:r>
              <w:t>employees</w:t>
            </w:r>
          </w:p>
        </w:tc>
        <w:tc>
          <w:tcPr>
            <w:tcW w:w="1606" w:type="dxa"/>
            <w:shd w:val="clear" w:color="auto" w:fill="auto"/>
            <w:noWrap/>
            <w:vAlign w:val="center"/>
          </w:tcPr>
          <w:p w14:paraId="0DC209F4" w14:textId="71927094" w:rsidR="000D42F1" w:rsidRPr="000B1664" w:rsidRDefault="000D42F1" w:rsidP="009A39CE">
            <w:pPr>
              <w:pStyle w:val="Tables"/>
            </w:pPr>
            <w:r>
              <w:t>18.4</w:t>
            </w:r>
            <w:r w:rsidR="00AF4393">
              <w:t>%</w:t>
            </w:r>
          </w:p>
        </w:tc>
        <w:tc>
          <w:tcPr>
            <w:tcW w:w="1701" w:type="dxa"/>
            <w:shd w:val="clear" w:color="auto" w:fill="auto"/>
            <w:noWrap/>
            <w:vAlign w:val="center"/>
          </w:tcPr>
          <w:p w14:paraId="68048DC3" w14:textId="77777777" w:rsidR="000D42F1" w:rsidRPr="000B1664" w:rsidRDefault="000D42F1" w:rsidP="009A39CE">
            <w:pPr>
              <w:pStyle w:val="Tables"/>
            </w:pPr>
            <w:r>
              <w:t>8.4</w:t>
            </w:r>
            <w:r w:rsidRPr="000B1664">
              <w:t>%</w:t>
            </w:r>
          </w:p>
        </w:tc>
        <w:tc>
          <w:tcPr>
            <w:tcW w:w="1701" w:type="dxa"/>
            <w:shd w:val="clear" w:color="auto" w:fill="auto"/>
            <w:noWrap/>
            <w:vAlign w:val="center"/>
          </w:tcPr>
          <w:p w14:paraId="11BF4D8E" w14:textId="77777777" w:rsidR="000D42F1" w:rsidRPr="000B1664" w:rsidRDefault="000D42F1" w:rsidP="009A39CE">
            <w:pPr>
              <w:pStyle w:val="Tables"/>
            </w:pPr>
            <w:r w:rsidRPr="000B1664" w:rsidDel="00D83A9D">
              <w:t>12</w:t>
            </w:r>
            <w:r>
              <w:t>.8</w:t>
            </w:r>
            <w:r w:rsidRPr="000B1664">
              <w:t>%</w:t>
            </w:r>
          </w:p>
        </w:tc>
        <w:tc>
          <w:tcPr>
            <w:tcW w:w="1689" w:type="dxa"/>
            <w:shd w:val="clear" w:color="auto" w:fill="auto"/>
            <w:noWrap/>
            <w:vAlign w:val="center"/>
          </w:tcPr>
          <w:p w14:paraId="730F00A6" w14:textId="77777777" w:rsidR="000D42F1" w:rsidRPr="000B1664" w:rsidRDefault="000D42F1" w:rsidP="009A39CE">
            <w:pPr>
              <w:pStyle w:val="Tables"/>
            </w:pPr>
            <w:r>
              <w:t>12.5</w:t>
            </w:r>
            <w:r w:rsidRPr="000B1664">
              <w:t>%</w:t>
            </w:r>
          </w:p>
        </w:tc>
      </w:tr>
    </w:tbl>
    <w:p w14:paraId="7CE77B37" w14:textId="721B40CE" w:rsidR="000D42F1" w:rsidRPr="000B1664" w:rsidRDefault="000D42F1" w:rsidP="000D42F1">
      <w:pPr>
        <w:pStyle w:val="Tables"/>
        <w:spacing w:before="120" w:after="0"/>
        <w:jc w:val="left"/>
        <w:rPr>
          <w:sz w:val="18"/>
          <w:szCs w:val="18"/>
        </w:rPr>
      </w:pPr>
      <w:r w:rsidRPr="000B1664">
        <w:rPr>
          <w:sz w:val="18"/>
          <w:szCs w:val="18"/>
        </w:rPr>
        <w:t xml:space="preserve">* Management tiers refer to </w:t>
      </w:r>
      <w:r>
        <w:rPr>
          <w:sz w:val="18"/>
          <w:szCs w:val="18"/>
        </w:rPr>
        <w:t>employees</w:t>
      </w:r>
      <w:r w:rsidRPr="000B1664">
        <w:rPr>
          <w:sz w:val="18"/>
          <w:szCs w:val="18"/>
        </w:rPr>
        <w:t xml:space="preserve"> in top 3 tiers of </w:t>
      </w:r>
      <w:r w:rsidR="004E2061">
        <w:rPr>
          <w:sz w:val="18"/>
          <w:szCs w:val="18"/>
        </w:rPr>
        <w:t>authorities</w:t>
      </w:r>
      <w:r w:rsidR="004E2061" w:rsidRPr="000B1664">
        <w:rPr>
          <w:sz w:val="18"/>
          <w:szCs w:val="18"/>
        </w:rPr>
        <w:t xml:space="preserve"> </w:t>
      </w:r>
      <w:r w:rsidRPr="000B1664">
        <w:rPr>
          <w:sz w:val="18"/>
          <w:szCs w:val="18"/>
        </w:rPr>
        <w:t>relating to management and decision</w:t>
      </w:r>
      <w:r>
        <w:rPr>
          <w:sz w:val="18"/>
          <w:szCs w:val="18"/>
        </w:rPr>
        <w:t xml:space="preserve"> </w:t>
      </w:r>
      <w:r w:rsidRPr="000B1664">
        <w:rPr>
          <w:sz w:val="18"/>
          <w:szCs w:val="18"/>
        </w:rPr>
        <w:t>making responsibilities rather than salary (</w:t>
      </w:r>
      <w:hyperlink r:id="rId71" w:history="1">
        <w:r w:rsidRPr="000B1664">
          <w:rPr>
            <w:rStyle w:val="Hyperlink"/>
            <w:sz w:val="18"/>
            <w:szCs w:val="18"/>
          </w:rPr>
          <w:t>more information</w:t>
        </w:r>
      </w:hyperlink>
      <w:r w:rsidRPr="000B1664">
        <w:rPr>
          <w:sz w:val="18"/>
          <w:szCs w:val="18"/>
        </w:rPr>
        <w:t>).</w:t>
      </w:r>
    </w:p>
    <w:p w14:paraId="53A1C349" w14:textId="77777777" w:rsidR="00B533B0" w:rsidRDefault="00B533B0" w:rsidP="000D42F1">
      <w:pPr>
        <w:pStyle w:val="Heading3"/>
        <w:spacing w:line="240" w:lineRule="auto"/>
        <w:rPr>
          <w:rFonts w:ascii="Arial" w:eastAsia="Times New Roman" w:hAnsi="Arial"/>
          <w:color w:val="auto"/>
          <w:sz w:val="22"/>
          <w:szCs w:val="22"/>
        </w:rPr>
      </w:pPr>
      <w:r>
        <w:rPr>
          <w:rFonts w:ascii="Arial" w:eastAsia="Times New Roman" w:hAnsi="Arial"/>
          <w:color w:val="auto"/>
          <w:sz w:val="22"/>
          <w:szCs w:val="22"/>
        </w:rPr>
        <w:br w:type="page"/>
      </w:r>
    </w:p>
    <w:p w14:paraId="576EE1B8" w14:textId="559BC357" w:rsidR="000D42F1" w:rsidRPr="00C77AB2" w:rsidRDefault="000D42F1" w:rsidP="000D42F1">
      <w:pPr>
        <w:pStyle w:val="Heading3"/>
        <w:spacing w:line="240" w:lineRule="auto"/>
      </w:pPr>
      <w:bookmarkStart w:id="91" w:name="_Toc151900185"/>
      <w:r w:rsidRPr="00C77AB2">
        <w:lastRenderedPageBreak/>
        <w:t>Public sector leaders</w:t>
      </w:r>
      <w:r>
        <w:t>hip</w:t>
      </w:r>
      <w:bookmarkEnd w:id="91"/>
    </w:p>
    <w:p w14:paraId="53D629AF" w14:textId="7DCD6B89" w:rsidR="000D42F1" w:rsidRDefault="000D42F1" w:rsidP="000D42F1">
      <w:pPr>
        <w:pStyle w:val="ListBullet"/>
        <w:numPr>
          <w:ilvl w:val="0"/>
          <w:numId w:val="0"/>
        </w:numPr>
        <w:spacing w:line="240" w:lineRule="auto"/>
      </w:pPr>
      <w:r>
        <w:t>In 2022-2023, the Public Sector Commission facilitated the appointment of 4 new</w:t>
      </w:r>
      <w:r w:rsidR="000531F2">
        <w:t xml:space="preserve"> chief executive officers</w:t>
      </w:r>
      <w:r>
        <w:t xml:space="preserve"> </w:t>
      </w:r>
      <w:r w:rsidR="000531F2">
        <w:t>(</w:t>
      </w:r>
      <w:r>
        <w:t>CEO</w:t>
      </w:r>
      <w:r w:rsidR="000531F2">
        <w:t>)</w:t>
      </w:r>
      <w:r>
        <w:t>, reappointment of one CEO and transfer of one CEO. The Commissioner directed 13 people to act in 12 CEO offices and assisted in 4 statutory office appointments and one reappointment.</w:t>
      </w:r>
    </w:p>
    <w:p w14:paraId="738130F2" w14:textId="77777777" w:rsidR="00434214" w:rsidRDefault="000D42F1" w:rsidP="000D42F1">
      <w:pPr>
        <w:spacing w:line="240" w:lineRule="auto"/>
      </w:pPr>
      <w:r>
        <w:t>The Public Sector Leadership Council – comprising the heads of the 20 largest public sector agencies and chaired by the Public Sector Commissioner – met regularly throughout the year, collaborating and problem solving on cross cutting issues and driving reform and innovation.</w:t>
      </w:r>
      <w:r w:rsidR="002862E1">
        <w:t xml:space="preserve"> </w:t>
      </w:r>
    </w:p>
    <w:p w14:paraId="4A527A47" w14:textId="5956D6F4" w:rsidR="000D42F1" w:rsidRDefault="000D42F1" w:rsidP="000D42F1">
      <w:pPr>
        <w:spacing w:line="240" w:lineRule="auto"/>
      </w:pPr>
      <w:r>
        <w:t xml:space="preserve">It developed a strategic narrative entitled </w:t>
      </w:r>
      <w:hyperlink r:id="rId72" w:history="1">
        <w:r w:rsidR="00C34CA6" w:rsidRPr="009122AC">
          <w:rPr>
            <w:rStyle w:val="Hyperlink"/>
          </w:rPr>
          <w:t>Future Enabled</w:t>
        </w:r>
      </w:hyperlink>
      <w:r>
        <w:t xml:space="preserve"> to drive a common direction and purpose for a higher performing sector; reviewed progress and provided assurance on whole of government objectives and commitments; and explored policy positions for increased collaboration. </w:t>
      </w:r>
    </w:p>
    <w:p w14:paraId="5929C404" w14:textId="77777777" w:rsidR="000D42F1" w:rsidRDefault="000D42F1" w:rsidP="000D42F1">
      <w:pPr>
        <w:spacing w:line="240" w:lineRule="auto"/>
      </w:pPr>
      <w:r>
        <w:t>In recognition of the need to strengthen the identity and shared purpose of the SES, during the year a new SES Spotlight initiative was created to align SES members more closely with government and public sector priorities and directions.</w:t>
      </w:r>
    </w:p>
    <w:p w14:paraId="3251BF92" w14:textId="4EAEA2B8" w:rsidR="000D42F1" w:rsidRDefault="000D42F1" w:rsidP="000D42F1">
      <w:pPr>
        <w:spacing w:line="240" w:lineRule="auto"/>
      </w:pPr>
      <w:r>
        <w:t>Established in legislation, the SES is the backbone of management, strategy and policy talent in the public service. Members occupy the most senior positions across the sector. Strengthening the SES also supports the government target of 50% of women in the SES.</w:t>
      </w:r>
    </w:p>
    <w:p w14:paraId="052F1005" w14:textId="1E1D9DFB" w:rsidR="000D42F1" w:rsidRDefault="000D42F1" w:rsidP="000D42F1">
      <w:pPr>
        <w:spacing w:line="240" w:lineRule="auto"/>
      </w:pPr>
      <w:r>
        <w:t xml:space="preserve">An initial series of 4 Spotlight events over 2 years are planned. The theme of the first Spotlight in October 2023 was ‘Directions’, with deep discussion on </w:t>
      </w:r>
      <w:hyperlink r:id="rId73" w:history="1">
        <w:r w:rsidRPr="009122AC">
          <w:rPr>
            <w:rStyle w:val="Hyperlink"/>
          </w:rPr>
          <w:t>Future Enabled</w:t>
        </w:r>
      </w:hyperlink>
      <w:r>
        <w:t xml:space="preserve"> and </w:t>
      </w:r>
      <w:hyperlink r:id="rId74" w:history="1">
        <w:r w:rsidRPr="009122AC">
          <w:rPr>
            <w:rStyle w:val="Hyperlink"/>
          </w:rPr>
          <w:t>Building Leadership Impact</w:t>
        </w:r>
      </w:hyperlink>
      <w:r w:rsidRPr="00D53723">
        <w:t xml:space="preserve">, </w:t>
      </w:r>
      <w:r>
        <w:t xml:space="preserve">and consideration of what these mean for SES members and their agencies. A second Spotlight on the theme of ‘Innovation’ was held in September 2023. </w:t>
      </w:r>
    </w:p>
    <w:p w14:paraId="79864A55" w14:textId="00E9EB62" w:rsidR="000D42F1" w:rsidRDefault="000D42F1" w:rsidP="000D42F1">
      <w:pPr>
        <w:spacing w:line="240" w:lineRule="auto"/>
      </w:pPr>
      <w:r>
        <w:t xml:space="preserve">Following the establishment of the </w:t>
      </w:r>
      <w:hyperlink r:id="rId75" w:anchor=":~:text=The%20Executive%20Salary%20Expenditure%20Limit,strengthens%20accountability%20and%20enhances%20responsiveness." w:history="1">
        <w:r w:rsidRPr="00D8516C">
          <w:rPr>
            <w:rStyle w:val="Hyperlink"/>
          </w:rPr>
          <w:t>Executive Salary Expenditure Limit</w:t>
        </w:r>
      </w:hyperlink>
      <w:r>
        <w:t xml:space="preserve"> that came into effect from 1 July 2021, the first reconciliation was completed in June 2022</w:t>
      </w:r>
      <w:r w:rsidRPr="00D53723">
        <w:t xml:space="preserve"> </w:t>
      </w:r>
      <w:r>
        <w:t>and confirmed the sector was operating within the limit. A second reconciliation was undertaken in June 2023 with results to be available in the next reporting year.</w:t>
      </w:r>
    </w:p>
    <w:p w14:paraId="2FDE99C3" w14:textId="77777777" w:rsidR="000D42F1" w:rsidRDefault="000D42F1" w:rsidP="000D42F1">
      <w:pPr>
        <w:spacing w:line="240" w:lineRule="auto"/>
      </w:pPr>
      <w:r>
        <w:t>The limit applies to positions (including SES positions) with a focus on strategic policy, management, governance, and specialist skills and knowledge required at the senior executive level. It provides additional oversight and governance of executive positions while giving chief executives flexibility to create additional executive positions to respond to government policies and priorities. The Commission and Department of Treasury are jointly responsible for tracking and administering the Executive Salary Expenditure Limit.</w:t>
      </w:r>
    </w:p>
    <w:p w14:paraId="09BDA37D" w14:textId="77777777" w:rsidR="000D42F1" w:rsidRDefault="000D42F1" w:rsidP="000D42F1">
      <w:pPr>
        <w:pStyle w:val="Heading3"/>
        <w:spacing w:line="240" w:lineRule="auto"/>
      </w:pPr>
      <w:bookmarkStart w:id="92" w:name="_Toc151900186"/>
      <w:r>
        <w:t>L</w:t>
      </w:r>
      <w:r w:rsidRPr="00C77AB2">
        <w:t>eadership</w:t>
      </w:r>
      <w:r>
        <w:t xml:space="preserve"> development</w:t>
      </w:r>
      <w:bookmarkEnd w:id="92"/>
    </w:p>
    <w:p w14:paraId="4B359720" w14:textId="3D27A1D7" w:rsidR="000D42F1" w:rsidRDefault="000D42F1" w:rsidP="000D42F1">
      <w:pPr>
        <w:pStyle w:val="ListBullet"/>
        <w:numPr>
          <w:ilvl w:val="0"/>
          <w:numId w:val="0"/>
        </w:numPr>
        <w:spacing w:line="240" w:lineRule="auto"/>
      </w:pPr>
      <w:r>
        <w:t xml:space="preserve">In 2023 the Public Sector Commission released </w:t>
      </w:r>
      <w:hyperlink r:id="rId76" w:history="1">
        <w:r w:rsidR="008F43D1" w:rsidRPr="009122AC">
          <w:rPr>
            <w:rStyle w:val="Hyperlink"/>
          </w:rPr>
          <w:t>Building Leadership Impact</w:t>
        </w:r>
      </w:hyperlink>
      <w:r>
        <w:t>, establishing for the first time an agreed approach to strengthening leadership across the public sector. Every public sector chief executive officer</w:t>
      </w:r>
      <w:r w:rsidR="004E2061">
        <w:t xml:space="preserve"> has</w:t>
      </w:r>
      <w:r>
        <w:t xml:space="preserve"> committed to implementing the 6 identified conditions for positive leadership change. </w:t>
      </w:r>
    </w:p>
    <w:p w14:paraId="61F3809D" w14:textId="732A2C79" w:rsidR="000D42F1" w:rsidRDefault="000D42F1" w:rsidP="000D42F1">
      <w:pPr>
        <w:spacing w:line="240" w:lineRule="auto"/>
      </w:pPr>
      <w:r>
        <w:t xml:space="preserve">Alongside this the Commission released </w:t>
      </w:r>
      <w:hyperlink r:id="rId77" w:history="1">
        <w:r w:rsidRPr="009122AC">
          <w:rPr>
            <w:rStyle w:val="Hyperlink"/>
          </w:rPr>
          <w:t>Leadership Expectations</w:t>
        </w:r>
      </w:hyperlink>
      <w:r>
        <w:t xml:space="preserve"> as the foundation for putting Building Leadership Impact into practice. Leadership Expectations details expected behaviours and associated mindsets across 7 leadership contexts from Personal Leadership through to Statewide Leader. Every position in the public sector aligns to one of these contexts. </w:t>
      </w:r>
    </w:p>
    <w:p w14:paraId="5599E6A5" w14:textId="77777777" w:rsidR="000D42F1" w:rsidRDefault="000D42F1" w:rsidP="000D42F1">
      <w:pPr>
        <w:spacing w:line="240" w:lineRule="auto"/>
      </w:pPr>
      <w:r>
        <w:t>An extensive array of support including online guides, tools and resources was provided to help agencies plan for and manage implementation of the 6 conditions according to their specific operating contexts and priorities.</w:t>
      </w:r>
    </w:p>
    <w:p w14:paraId="0C321918" w14:textId="0B6A7BA7" w:rsidR="000D42F1" w:rsidRDefault="000D42F1" w:rsidP="000D42F1">
      <w:pPr>
        <w:spacing w:line="240" w:lineRule="auto"/>
      </w:pPr>
      <w:r>
        <w:t xml:space="preserve">To support development aligned to the expected behaviours, the Commission released </w:t>
      </w:r>
      <w:hyperlink r:id="rId78" w:history="1">
        <w:r w:rsidRPr="00CD6532">
          <w:rPr>
            <w:rStyle w:val="Hyperlink"/>
          </w:rPr>
          <w:t>Development Maps</w:t>
        </w:r>
      </w:hyperlink>
      <w:r>
        <w:t xml:space="preserve"> (online learning resources comprising over 250 pieces of curated learning) </w:t>
      </w:r>
      <w:r>
        <w:lastRenderedPageBreak/>
        <w:t xml:space="preserve">and 2 e-learning modules in a package called the </w:t>
      </w:r>
      <w:hyperlink r:id="rId79" w:history="1">
        <w:r w:rsidRPr="00CD6532">
          <w:rPr>
            <w:rStyle w:val="Hyperlink"/>
          </w:rPr>
          <w:t>Personal Leadership Suite</w:t>
        </w:r>
      </w:hyperlink>
      <w:r>
        <w:t xml:space="preserve">. This suite also includes 7 in-person workshops that the Commission will roll out to agencies through train the trainer sessions for agency staff to deliver these workshops. </w:t>
      </w:r>
    </w:p>
    <w:p w14:paraId="78F95654" w14:textId="7373BDCB" w:rsidR="000D42F1" w:rsidRDefault="000D42F1" w:rsidP="000D42F1">
      <w:pPr>
        <w:spacing w:line="240" w:lineRule="auto"/>
      </w:pPr>
      <w:r>
        <w:t xml:space="preserve">Complementing this initiative, the Commission continued its tailored approach to individual development through a bespoke set of offerings for employees at all levels and in all leadership contexts including </w:t>
      </w:r>
      <w:hyperlink r:id="rId80" w:history="1">
        <w:r w:rsidRPr="00241AC4">
          <w:rPr>
            <w:rStyle w:val="Hyperlink"/>
          </w:rPr>
          <w:t>Launch</w:t>
        </w:r>
      </w:hyperlink>
      <w:r>
        <w:t xml:space="preserve">, </w:t>
      </w:r>
      <w:hyperlink r:id="rId81" w:history="1">
        <w:r w:rsidRPr="00FD5AD2">
          <w:rPr>
            <w:rStyle w:val="Hyperlink"/>
          </w:rPr>
          <w:t>Propel</w:t>
        </w:r>
      </w:hyperlink>
      <w:r>
        <w:t xml:space="preserve">, </w:t>
      </w:r>
      <w:hyperlink r:id="rId82" w:history="1">
        <w:r w:rsidRPr="00C33406">
          <w:rPr>
            <w:rStyle w:val="Hyperlink"/>
          </w:rPr>
          <w:t>Elev8</w:t>
        </w:r>
      </w:hyperlink>
      <w:r>
        <w:t xml:space="preserve"> and </w:t>
      </w:r>
      <w:hyperlink r:id="rId83" w:history="1">
        <w:r w:rsidRPr="00E93213">
          <w:rPr>
            <w:rStyle w:val="Hyperlink"/>
          </w:rPr>
          <w:t>Leadership Conversations</w:t>
        </w:r>
      </w:hyperlink>
      <w:r>
        <w:t xml:space="preserve">. Demand for places was high and feedback from participants showed high satisfaction with the learning. </w:t>
      </w:r>
    </w:p>
    <w:p w14:paraId="1071BF97" w14:textId="13013A09" w:rsidR="000D42F1" w:rsidRDefault="000D42F1" w:rsidP="000D42F1">
      <w:pPr>
        <w:pStyle w:val="NoSpacing"/>
        <w:spacing w:after="120"/>
      </w:pPr>
      <w:r>
        <w:t xml:space="preserve">All offerings were brought together in a </w:t>
      </w:r>
      <w:hyperlink r:id="rId84" w:history="1">
        <w:r w:rsidRPr="00CD6532">
          <w:rPr>
            <w:rStyle w:val="Hyperlink"/>
          </w:rPr>
          <w:t>Learning and Development Prospectus</w:t>
        </w:r>
      </w:hyperlink>
      <w:r>
        <w:t xml:space="preserve"> with details of each program, audience, learning outcomes and availability. It included the new learning through Development Maps and the Personal Leadership Suite, with all programs aligned with </w:t>
      </w:r>
      <w:hyperlink r:id="rId85" w:history="1">
        <w:r w:rsidR="00C80619" w:rsidRPr="009122AC">
          <w:rPr>
            <w:rStyle w:val="Hyperlink"/>
          </w:rPr>
          <w:t>Building Leadership Impact</w:t>
        </w:r>
      </w:hyperlink>
      <w:r>
        <w:t>.</w:t>
      </w:r>
    </w:p>
    <w:p w14:paraId="76CFCD0F" w14:textId="5CFD2731" w:rsidR="000D42F1" w:rsidRDefault="000D42F1" w:rsidP="000D42F1">
      <w:pPr>
        <w:pStyle w:val="Caption"/>
        <w:spacing w:after="240"/>
        <w:rPr>
          <w:color w:val="auto"/>
          <w:sz w:val="22"/>
          <w:szCs w:val="22"/>
        </w:rPr>
      </w:pPr>
      <w:r w:rsidRPr="00313B3F">
        <w:rPr>
          <w:color w:val="auto"/>
          <w:sz w:val="22"/>
          <w:szCs w:val="22"/>
        </w:rPr>
        <w:t>In March 2023, representation of women in the SES reached 50.2% (</w:t>
      </w:r>
      <w:r w:rsidRPr="00313B3F">
        <w:rPr>
          <w:color w:val="auto"/>
          <w:sz w:val="22"/>
          <w:szCs w:val="22"/>
        </w:rPr>
        <w:fldChar w:fldCharType="begin"/>
      </w:r>
      <w:r w:rsidRPr="00313B3F">
        <w:rPr>
          <w:color w:val="auto"/>
          <w:sz w:val="22"/>
          <w:szCs w:val="22"/>
        </w:rPr>
        <w:instrText xml:space="preserve">REF _Ref84254891 \* MERGEFORMAT </w:instrText>
      </w:r>
      <w:r w:rsidRPr="00313B3F">
        <w:rPr>
          <w:color w:val="auto"/>
          <w:sz w:val="22"/>
          <w:szCs w:val="22"/>
        </w:rPr>
        <w:fldChar w:fldCharType="separate"/>
      </w:r>
      <w:r w:rsidR="0048418F" w:rsidRPr="0048418F">
        <w:rPr>
          <w:color w:val="auto"/>
          <w:sz w:val="22"/>
          <w:szCs w:val="22"/>
        </w:rPr>
        <w:t xml:space="preserve">Figure </w:t>
      </w:r>
      <w:r w:rsidR="0048418F" w:rsidRPr="0048418F">
        <w:rPr>
          <w:noProof/>
          <w:color w:val="auto"/>
          <w:sz w:val="22"/>
          <w:szCs w:val="22"/>
        </w:rPr>
        <w:t>20</w:t>
      </w:r>
      <w:r w:rsidRPr="00313B3F">
        <w:rPr>
          <w:color w:val="auto"/>
          <w:sz w:val="22"/>
          <w:szCs w:val="22"/>
        </w:rPr>
        <w:fldChar w:fldCharType="end"/>
      </w:r>
      <w:r w:rsidRPr="00313B3F">
        <w:rPr>
          <w:color w:val="auto"/>
          <w:sz w:val="22"/>
          <w:szCs w:val="22"/>
        </w:rPr>
        <w:t xml:space="preserve">), achieving the target of 50% set in the </w:t>
      </w:r>
      <w:hyperlink r:id="rId86" w:history="1">
        <w:r w:rsidRPr="00E21AF8">
          <w:rPr>
            <w:rStyle w:val="Hyperlink"/>
            <w:sz w:val="22"/>
            <w:szCs w:val="22"/>
          </w:rPr>
          <w:t>Workforce Diversification and Inclusion Strategy for WA Public Sector Employment 2020–2025</w:t>
        </w:r>
      </w:hyperlink>
      <w:r w:rsidRPr="00313B3F">
        <w:rPr>
          <w:color w:val="auto"/>
          <w:sz w:val="22"/>
          <w:szCs w:val="22"/>
        </w:rPr>
        <w:t xml:space="preserve">. This was a significant achievement as just 5 years ago that figure was only 33% and parity was not expected to be reached until 2035. </w:t>
      </w:r>
    </w:p>
    <w:p w14:paraId="1CFAA40C" w14:textId="64ABD83B" w:rsidR="000D42F1" w:rsidRPr="00357E62" w:rsidRDefault="000D42F1" w:rsidP="000D42F1">
      <w:pPr>
        <w:pStyle w:val="Caption"/>
        <w:rPr>
          <w:b/>
          <w:bCs/>
        </w:rPr>
      </w:pPr>
      <w:bookmarkStart w:id="93" w:name="_Ref84254891"/>
      <w:r w:rsidRPr="00357E62">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20</w:t>
      </w:r>
      <w:r>
        <w:rPr>
          <w:b/>
          <w:bCs/>
        </w:rPr>
        <w:fldChar w:fldCharType="end"/>
      </w:r>
      <w:bookmarkEnd w:id="93"/>
      <w:r>
        <w:rPr>
          <w:b/>
          <w:bCs/>
        </w:rPr>
        <w:t>:</w:t>
      </w:r>
      <w:r w:rsidRPr="00357E62">
        <w:rPr>
          <w:b/>
          <w:bCs/>
        </w:rPr>
        <w:t xml:space="preserve"> Women in the SES 20</w:t>
      </w:r>
      <w:r>
        <w:rPr>
          <w:b/>
          <w:bCs/>
        </w:rPr>
        <w:t>18-19</w:t>
      </w:r>
      <w:r w:rsidRPr="00357E62">
        <w:rPr>
          <w:b/>
          <w:bCs/>
        </w:rPr>
        <w:t xml:space="preserve"> to 20</w:t>
      </w:r>
      <w:r>
        <w:rPr>
          <w:b/>
          <w:bCs/>
        </w:rPr>
        <w:t>22-23</w:t>
      </w:r>
      <w:r w:rsidRPr="00357E62">
        <w:rPr>
          <w:b/>
          <w:bCs/>
        </w:rPr>
        <w:t xml:space="preserve"> (March data </w:t>
      </w:r>
      <w:r w:rsidR="00B44989">
        <w:rPr>
          <w:b/>
          <w:bCs/>
        </w:rPr>
        <w:t>labelled</w:t>
      </w:r>
      <w:r w:rsidRPr="00357E62">
        <w:rPr>
          <w:b/>
          <w:bCs/>
        </w:rPr>
        <w:t>)</w:t>
      </w:r>
    </w:p>
    <w:p w14:paraId="567433E7" w14:textId="77777777" w:rsidR="000D42F1" w:rsidRDefault="000D42F1" w:rsidP="000D42F1">
      <w:pPr>
        <w:keepNext/>
        <w:spacing w:after="240" w:line="240" w:lineRule="auto"/>
      </w:pPr>
      <w:r>
        <w:rPr>
          <w:noProof/>
        </w:rPr>
        <w:drawing>
          <wp:inline distT="0" distB="0" distL="0" distR="0" wp14:anchorId="4EF25652" wp14:editId="044D813B">
            <wp:extent cx="5836920" cy="3801745"/>
            <wp:effectExtent l="0" t="0" r="11430" b="8255"/>
            <wp:docPr id="1143764345" name="Chart 1" descr="A line graph showing percentage of women in the SES between 2018-19 and 2022-23. This shows an increasing trend of percentage of women in the SES over time.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EC7892E" w14:textId="77777777" w:rsidR="00B533B0" w:rsidRDefault="00B533B0" w:rsidP="000D42F1">
      <w:pPr>
        <w:spacing w:line="240" w:lineRule="auto"/>
      </w:pPr>
      <w:r>
        <w:br w:type="page"/>
      </w:r>
    </w:p>
    <w:p w14:paraId="42F81310" w14:textId="15D9B438" w:rsidR="000D42F1" w:rsidRPr="00521230" w:rsidRDefault="000D42F1" w:rsidP="000D42F1">
      <w:pPr>
        <w:spacing w:line="240" w:lineRule="auto"/>
      </w:pPr>
      <w:r w:rsidRPr="00521230">
        <w:lastRenderedPageBreak/>
        <w:t>As the SES only exists in the public service, a</w:t>
      </w:r>
      <w:r>
        <w:t xml:space="preserve"> similar</w:t>
      </w:r>
      <w:r w:rsidRPr="00521230">
        <w:t xml:space="preserve"> indicator for the government sector is women in management</w:t>
      </w:r>
      <w:r>
        <w:t xml:space="preserve"> tiers</w:t>
      </w:r>
      <w:r w:rsidRPr="00521230">
        <w:t xml:space="preserve">. This measure also </w:t>
      </w:r>
      <w:r w:rsidRPr="000B1664">
        <w:t xml:space="preserve">demonstrates consistent increases in the </w:t>
      </w:r>
      <w:r w:rsidR="001B6ECB">
        <w:t>percentage</w:t>
      </w:r>
      <w:r w:rsidRPr="000B1664">
        <w:t xml:space="preserve"> of leaders who are women. Representation of women in leadership in other government entities remains lower than in the public sector but has increased over t</w:t>
      </w:r>
      <w:r>
        <w:t>ime</w:t>
      </w:r>
      <w:r w:rsidRPr="000B1664">
        <w:t xml:space="preserve"> from </w:t>
      </w:r>
      <w:r>
        <w:t>35.6</w:t>
      </w:r>
      <w:r w:rsidRPr="000B1664">
        <w:t>% of management tiers 1 to 3 combined in March 20</w:t>
      </w:r>
      <w:r>
        <w:t>19</w:t>
      </w:r>
      <w:r w:rsidRPr="000B1664">
        <w:t xml:space="preserve"> to </w:t>
      </w:r>
      <w:r>
        <w:t>39.0</w:t>
      </w:r>
      <w:r w:rsidRPr="000B1664">
        <w:t>% in March 202</w:t>
      </w:r>
      <w:r>
        <w:t>3</w:t>
      </w:r>
      <w:r w:rsidRPr="000B1664">
        <w:t xml:space="preserve"> </w:t>
      </w:r>
      <w:r w:rsidR="00B533B0">
        <w:br/>
      </w:r>
      <w:r w:rsidRPr="000B1664">
        <w:t>(</w:t>
      </w:r>
      <w:r w:rsidR="00774A83">
        <w:fldChar w:fldCharType="begin"/>
      </w:r>
      <w:r w:rsidR="00774A83">
        <w:instrText xml:space="preserve"> REF _Ref84256407 \h  \* MERGEFORMAT </w:instrText>
      </w:r>
      <w:r w:rsidR="00774A83">
        <w:fldChar w:fldCharType="separate"/>
      </w:r>
      <w:r w:rsidR="0048418F" w:rsidRPr="0048418F">
        <w:t>Figure 21</w:t>
      </w:r>
      <w:r w:rsidR="00774A83">
        <w:fldChar w:fldCharType="end"/>
      </w:r>
      <w:r w:rsidRPr="000B1664">
        <w:t>).</w:t>
      </w:r>
    </w:p>
    <w:p w14:paraId="4200271A" w14:textId="3C414CFD" w:rsidR="000D42F1" w:rsidRPr="00671B4C" w:rsidRDefault="000D42F1" w:rsidP="000D42F1">
      <w:pPr>
        <w:keepNext/>
        <w:spacing w:line="240" w:lineRule="auto"/>
        <w:rPr>
          <w:b/>
          <w:bCs/>
        </w:rPr>
      </w:pPr>
      <w:bookmarkStart w:id="94" w:name="_Ref84256407"/>
      <w:r w:rsidRPr="00671B4C">
        <w:rPr>
          <w:b/>
          <w:bCs/>
          <w:color w:val="2E74B5" w:themeColor="accent1" w:themeShade="BF"/>
          <w:sz w:val="20"/>
          <w:szCs w:val="20"/>
        </w:rPr>
        <w:t xml:space="preserve">Figure </w:t>
      </w:r>
      <w:r>
        <w:rPr>
          <w:b/>
          <w:bCs/>
          <w:color w:val="2E74B5" w:themeColor="accent1" w:themeShade="BF"/>
          <w:sz w:val="20"/>
          <w:szCs w:val="20"/>
        </w:rPr>
        <w:fldChar w:fldCharType="begin"/>
      </w:r>
      <w:r>
        <w:rPr>
          <w:b/>
          <w:bCs/>
          <w:color w:val="2E74B5" w:themeColor="accent1" w:themeShade="BF"/>
          <w:sz w:val="20"/>
          <w:szCs w:val="20"/>
        </w:rPr>
        <w:instrText xml:space="preserve"> SEQ Figure \* ARABIC </w:instrText>
      </w:r>
      <w:r>
        <w:rPr>
          <w:b/>
          <w:bCs/>
          <w:color w:val="2E74B5" w:themeColor="accent1" w:themeShade="BF"/>
          <w:sz w:val="20"/>
          <w:szCs w:val="20"/>
        </w:rPr>
        <w:fldChar w:fldCharType="separate"/>
      </w:r>
      <w:r w:rsidR="0048418F">
        <w:rPr>
          <w:b/>
          <w:bCs/>
          <w:noProof/>
          <w:color w:val="2E74B5" w:themeColor="accent1" w:themeShade="BF"/>
          <w:sz w:val="20"/>
          <w:szCs w:val="20"/>
        </w:rPr>
        <w:t>21</w:t>
      </w:r>
      <w:r>
        <w:rPr>
          <w:b/>
          <w:bCs/>
          <w:color w:val="2E74B5" w:themeColor="accent1" w:themeShade="BF"/>
          <w:sz w:val="20"/>
          <w:szCs w:val="20"/>
        </w:rPr>
        <w:fldChar w:fldCharType="end"/>
      </w:r>
      <w:bookmarkEnd w:id="94"/>
      <w:r w:rsidRPr="00671B4C">
        <w:rPr>
          <w:b/>
          <w:bCs/>
          <w:color w:val="2E74B5" w:themeColor="accent1" w:themeShade="BF"/>
          <w:sz w:val="20"/>
          <w:szCs w:val="20"/>
        </w:rPr>
        <w:t>: Women in management tiers 1 to 3 combined, WA government sector 20</w:t>
      </w:r>
      <w:r>
        <w:rPr>
          <w:b/>
          <w:bCs/>
          <w:color w:val="2E74B5" w:themeColor="accent1" w:themeShade="BF"/>
          <w:sz w:val="20"/>
          <w:szCs w:val="20"/>
        </w:rPr>
        <w:t>18-19</w:t>
      </w:r>
      <w:r>
        <w:rPr>
          <w:b/>
          <w:bCs/>
          <w:color w:val="2E74B5" w:themeColor="accent1" w:themeShade="BF"/>
          <w:sz w:val="20"/>
          <w:szCs w:val="20"/>
        </w:rPr>
        <w:br/>
      </w:r>
      <w:r w:rsidRPr="00671B4C">
        <w:rPr>
          <w:b/>
          <w:bCs/>
          <w:color w:val="2E74B5" w:themeColor="accent1" w:themeShade="BF"/>
          <w:sz w:val="20"/>
          <w:szCs w:val="20"/>
        </w:rPr>
        <w:t>to 20</w:t>
      </w:r>
      <w:r>
        <w:rPr>
          <w:b/>
          <w:bCs/>
          <w:color w:val="2E74B5" w:themeColor="accent1" w:themeShade="BF"/>
          <w:sz w:val="20"/>
          <w:szCs w:val="20"/>
        </w:rPr>
        <w:t>22-23</w:t>
      </w:r>
      <w:r w:rsidRPr="00671B4C">
        <w:rPr>
          <w:b/>
          <w:bCs/>
          <w:color w:val="2E74B5" w:themeColor="accent1" w:themeShade="BF"/>
          <w:sz w:val="20"/>
          <w:szCs w:val="20"/>
        </w:rPr>
        <w:t xml:space="preserve"> (March data </w:t>
      </w:r>
      <w:r w:rsidR="00B44989">
        <w:rPr>
          <w:b/>
          <w:bCs/>
          <w:color w:val="2E74B5" w:themeColor="accent1" w:themeShade="BF"/>
          <w:sz w:val="20"/>
          <w:szCs w:val="20"/>
        </w:rPr>
        <w:t>labelled</w:t>
      </w:r>
      <w:r w:rsidRPr="00671B4C">
        <w:rPr>
          <w:b/>
          <w:bCs/>
          <w:color w:val="2E74B5" w:themeColor="accent1" w:themeShade="BF"/>
          <w:sz w:val="20"/>
          <w:szCs w:val="20"/>
        </w:rPr>
        <w:t>)</w:t>
      </w:r>
      <w:r w:rsidRPr="00A317BC">
        <w:rPr>
          <w:noProof/>
        </w:rPr>
        <w:t xml:space="preserve"> </w:t>
      </w:r>
      <w:r>
        <w:rPr>
          <w:noProof/>
        </w:rPr>
        <w:drawing>
          <wp:inline distT="0" distB="0" distL="0" distR="0" wp14:anchorId="47D9E616" wp14:editId="5E25E871">
            <wp:extent cx="5835600" cy="3801600"/>
            <wp:effectExtent l="0" t="0" r="13335" b="8890"/>
            <wp:docPr id="842066509" name="Chart 1" descr="A line graph showing percentage of women in management tiers 1 to 3 combined between 2018-19 and 2022-23. There is a generally increasing trend of percentage of women in in management tiers in both the public sector and other government entities.">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EEB652C" w14:textId="77777777" w:rsidR="00B533B0" w:rsidRDefault="00B533B0" w:rsidP="000D42F1">
      <w:pPr>
        <w:spacing w:line="240" w:lineRule="auto"/>
      </w:pPr>
      <w:r>
        <w:br w:type="page"/>
      </w:r>
    </w:p>
    <w:p w14:paraId="1AE8E591" w14:textId="43051A7F" w:rsidR="000D42F1" w:rsidRPr="00B26DA4" w:rsidRDefault="000D42F1" w:rsidP="000D42F1">
      <w:pPr>
        <w:spacing w:line="240" w:lineRule="auto"/>
        <w:rPr>
          <w:strike/>
        </w:rPr>
      </w:pPr>
      <w:r>
        <w:lastRenderedPageBreak/>
        <w:t xml:space="preserve">The </w:t>
      </w:r>
      <w:r w:rsidR="001B6ECB">
        <w:t>percentage</w:t>
      </w:r>
      <w:r>
        <w:t xml:space="preserve"> of women in tier 1 in the public sector, based on the moving average, continue</w:t>
      </w:r>
      <w:r w:rsidR="004E2061">
        <w:t>d</w:t>
      </w:r>
      <w:r>
        <w:t xml:space="preserve"> to trend upwards in 2022-23. </w:t>
      </w:r>
      <w:r w:rsidRPr="00521230">
        <w:t xml:space="preserve">Meanwhile, the representation of women in management tier 3 in the public sector </w:t>
      </w:r>
      <w:r>
        <w:t xml:space="preserve">has </w:t>
      </w:r>
      <w:r w:rsidRPr="00521230">
        <w:t xml:space="preserve">remained above 50% </w:t>
      </w:r>
      <w:r w:rsidRPr="008747AE">
        <w:t xml:space="preserve">since </w:t>
      </w:r>
      <w:r>
        <w:t>June 2019</w:t>
      </w:r>
      <w:r w:rsidRPr="008747AE">
        <w:t xml:space="preserve"> (</w:t>
      </w:r>
      <w:r w:rsidR="00774A83">
        <w:fldChar w:fldCharType="begin"/>
      </w:r>
      <w:r w:rsidR="00774A83">
        <w:instrText xml:space="preserve"> REF _Ref84256591 \h  \* MERGEFORMAT </w:instrText>
      </w:r>
      <w:r w:rsidR="00774A83">
        <w:fldChar w:fldCharType="separate"/>
      </w:r>
      <w:r w:rsidR="0048418F" w:rsidRPr="0048418F">
        <w:t>Figure 22</w:t>
      </w:r>
      <w:r w:rsidR="00774A83">
        <w:fldChar w:fldCharType="end"/>
      </w:r>
      <w:r w:rsidRPr="008747AE">
        <w:t>).</w:t>
      </w:r>
      <w:r>
        <w:t xml:space="preserve"> </w:t>
      </w:r>
    </w:p>
    <w:p w14:paraId="73BBAC56" w14:textId="0F9709AF" w:rsidR="000D42F1" w:rsidRDefault="000D42F1" w:rsidP="000D42F1">
      <w:pPr>
        <w:spacing w:line="240" w:lineRule="auto"/>
      </w:pPr>
      <w:bookmarkStart w:id="95" w:name="_Ref84256591"/>
      <w:r w:rsidRPr="00671B4C">
        <w:rPr>
          <w:b/>
          <w:bCs/>
          <w:iCs/>
          <w:color w:val="2E74B5" w:themeColor="accent1" w:themeShade="BF"/>
          <w:sz w:val="20"/>
          <w:szCs w:val="20"/>
        </w:rPr>
        <w:t xml:space="preserve">Figure </w:t>
      </w:r>
      <w:r>
        <w:rPr>
          <w:b/>
          <w:bCs/>
          <w:iCs/>
          <w:color w:val="2E74B5" w:themeColor="accent1" w:themeShade="BF"/>
          <w:sz w:val="20"/>
          <w:szCs w:val="20"/>
        </w:rPr>
        <w:fldChar w:fldCharType="begin"/>
      </w:r>
      <w:r>
        <w:rPr>
          <w:b/>
          <w:bCs/>
          <w:iCs/>
          <w:color w:val="2E74B5" w:themeColor="accent1" w:themeShade="BF"/>
          <w:sz w:val="20"/>
          <w:szCs w:val="20"/>
        </w:rPr>
        <w:instrText xml:space="preserve"> SEQ Figure \* ARABIC </w:instrText>
      </w:r>
      <w:r>
        <w:rPr>
          <w:b/>
          <w:bCs/>
          <w:iCs/>
          <w:color w:val="2E74B5" w:themeColor="accent1" w:themeShade="BF"/>
          <w:sz w:val="20"/>
          <w:szCs w:val="20"/>
        </w:rPr>
        <w:fldChar w:fldCharType="separate"/>
      </w:r>
      <w:r w:rsidR="0048418F">
        <w:rPr>
          <w:b/>
          <w:bCs/>
          <w:iCs/>
          <w:noProof/>
          <w:color w:val="2E74B5" w:themeColor="accent1" w:themeShade="BF"/>
          <w:sz w:val="20"/>
          <w:szCs w:val="20"/>
        </w:rPr>
        <w:t>22</w:t>
      </w:r>
      <w:r>
        <w:rPr>
          <w:b/>
          <w:bCs/>
          <w:iCs/>
          <w:color w:val="2E74B5" w:themeColor="accent1" w:themeShade="BF"/>
          <w:sz w:val="20"/>
          <w:szCs w:val="20"/>
        </w:rPr>
        <w:fldChar w:fldCharType="end"/>
      </w:r>
      <w:bookmarkEnd w:id="95"/>
      <w:r w:rsidRPr="00671B4C">
        <w:rPr>
          <w:b/>
          <w:bCs/>
          <w:iCs/>
          <w:color w:val="2E74B5" w:themeColor="accent1" w:themeShade="BF"/>
          <w:sz w:val="20"/>
          <w:szCs w:val="20"/>
        </w:rPr>
        <w:t>: Representation of women in management tiers (MT) 1 to 3, WA public sector 20</w:t>
      </w:r>
      <w:r>
        <w:rPr>
          <w:b/>
          <w:bCs/>
          <w:iCs/>
          <w:color w:val="2E74B5" w:themeColor="accent1" w:themeShade="BF"/>
          <w:sz w:val="20"/>
          <w:szCs w:val="20"/>
        </w:rPr>
        <w:t>18-19</w:t>
      </w:r>
      <w:r w:rsidRPr="00671B4C">
        <w:rPr>
          <w:b/>
          <w:bCs/>
          <w:iCs/>
          <w:color w:val="2E74B5" w:themeColor="accent1" w:themeShade="BF"/>
          <w:sz w:val="20"/>
          <w:szCs w:val="20"/>
        </w:rPr>
        <w:t xml:space="preserve"> to 20</w:t>
      </w:r>
      <w:r>
        <w:rPr>
          <w:b/>
          <w:bCs/>
          <w:iCs/>
          <w:color w:val="2E74B5" w:themeColor="accent1" w:themeShade="BF"/>
          <w:sz w:val="20"/>
          <w:szCs w:val="20"/>
        </w:rPr>
        <w:t>22-23</w:t>
      </w:r>
      <w:r>
        <w:rPr>
          <w:noProof/>
        </w:rPr>
        <w:drawing>
          <wp:inline distT="0" distB="0" distL="0" distR="0" wp14:anchorId="3823E749" wp14:editId="51D81902">
            <wp:extent cx="5836920" cy="3743325"/>
            <wp:effectExtent l="0" t="0" r="11430" b="9525"/>
            <wp:docPr id="163179796" name="Chart 1" descr="A line graph showing women in management tiers 1 to 3 separately in the WA public sector between 2018-19 and 2022-23. The proportion of women in each tier trends upward over the years. In March 2023 the percentage of women in management tier 1 was 45.3%, management tier 2 was 49.4% and management tier 3 was 52.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1CF5615" w14:textId="664ECC07" w:rsidR="000D42F1" w:rsidRDefault="000D42F1" w:rsidP="000D42F1">
      <w:pPr>
        <w:spacing w:line="240" w:lineRule="auto"/>
      </w:pPr>
      <w:r>
        <w:t xml:space="preserve">Towards the end of 2022, the Commission began conversations with senior female leaders, showing a new take on data and insights in relation to the leadership aspirations and trajectory of women in the public sector. This was followed </w:t>
      </w:r>
      <w:r w:rsidR="004E2061">
        <w:t xml:space="preserve">by </w:t>
      </w:r>
      <w:r>
        <w:t xml:space="preserve">a conversation with senior male leaders as the issue of women – or lack of women – in leadership and their aspirations for leadership cannot be the sole responsibility of women. </w:t>
      </w:r>
    </w:p>
    <w:p w14:paraId="0A261A68" w14:textId="69DE6890" w:rsidR="000D42F1" w:rsidRDefault="000D42F1" w:rsidP="000D42F1">
      <w:pPr>
        <w:spacing w:line="240" w:lineRule="auto"/>
      </w:pPr>
      <w:r>
        <w:t xml:space="preserve">These conversations led to the development of the Women in Executive Leadership Development Experience Initiative, announced by the Public Sector Commissioner in March 2023 at an International Women’s Day event for the sector ‘Changing the workplace, not the women’. This initiative was specifically created to allow each department and SES organisation to establish a temporary </w:t>
      </w:r>
      <w:r w:rsidR="00E64BDD">
        <w:t>L</w:t>
      </w:r>
      <w:r>
        <w:t xml:space="preserve">evel 9 position as a leadership development opportunity for a currently employed accomplished woman. </w:t>
      </w:r>
    </w:p>
    <w:p w14:paraId="72CFB2CA" w14:textId="6BB9351B" w:rsidR="000D42F1" w:rsidRDefault="000D42F1" w:rsidP="000D42F1">
      <w:pPr>
        <w:spacing w:line="240" w:lineRule="auto"/>
      </w:pPr>
      <w:r>
        <w:t xml:space="preserve">The Commission developed a position description aligned to </w:t>
      </w:r>
      <w:r w:rsidR="00E64BDD">
        <w:t>L</w:t>
      </w:r>
      <w:r>
        <w:t>evel 9 work value for agencies to use and formed a series of events to support participants. Twenty four departments and SES organisations opted to be part of this initiative</w:t>
      </w:r>
      <w:r w:rsidR="001A4DD5">
        <w:t>. They</w:t>
      </w:r>
      <w:r>
        <w:t xml:space="preserve"> identif</w:t>
      </w:r>
      <w:r w:rsidR="00DC17A0">
        <w:t>ied</w:t>
      </w:r>
      <w:r>
        <w:t xml:space="preserve"> women to be part of corporate executive decision making and governance </w:t>
      </w:r>
      <w:r w:rsidR="00CD6532">
        <w:t xml:space="preserve">to </w:t>
      </w:r>
      <w:r>
        <w:t xml:space="preserve">increase their strategy, policy and public administration capabilities while gaining exposure to the accountabilities and requirements of the Executive Leader context of </w:t>
      </w:r>
      <w:hyperlink r:id="rId90" w:history="1">
        <w:r w:rsidRPr="0080119A">
          <w:rPr>
            <w:rStyle w:val="Hyperlink"/>
          </w:rPr>
          <w:t>Building Leadership Impact</w:t>
        </w:r>
      </w:hyperlink>
      <w:r>
        <w:t xml:space="preserve">. These positions commenced from 1 July 2023 for 12 months. </w:t>
      </w:r>
    </w:p>
    <w:p w14:paraId="3C5DAD3E" w14:textId="77777777" w:rsidR="00B533B0" w:rsidRDefault="00B533B0" w:rsidP="000D42F1">
      <w:pPr>
        <w:spacing w:line="240" w:lineRule="auto"/>
      </w:pPr>
    </w:p>
    <w:p w14:paraId="250AEA42" w14:textId="77777777" w:rsidR="000D42F1" w:rsidRDefault="000D42F1" w:rsidP="000D42F1">
      <w:pPr>
        <w:pStyle w:val="Heading3"/>
        <w:spacing w:line="240" w:lineRule="auto"/>
      </w:pPr>
      <w:bookmarkStart w:id="96" w:name="_Toc151900187"/>
      <w:r>
        <w:lastRenderedPageBreak/>
        <w:t>Leadership age profile</w:t>
      </w:r>
      <w:bookmarkEnd w:id="96"/>
    </w:p>
    <w:p w14:paraId="2EC9AC7C" w14:textId="39A2F8F6" w:rsidR="000D42F1" w:rsidRPr="00521230" w:rsidRDefault="000D42F1" w:rsidP="000D42F1">
      <w:pPr>
        <w:spacing w:line="240" w:lineRule="auto"/>
      </w:pPr>
      <w:r w:rsidRPr="00521230">
        <w:t xml:space="preserve">Between </w:t>
      </w:r>
      <w:r>
        <w:t>2018-19</w:t>
      </w:r>
      <w:r w:rsidRPr="00521230">
        <w:t xml:space="preserve"> and </w:t>
      </w:r>
      <w:r>
        <w:t>2022-23</w:t>
      </w:r>
      <w:r w:rsidRPr="00521230">
        <w:t>, on an annual average basis</w:t>
      </w:r>
      <w:r>
        <w:t>,</w:t>
      </w:r>
      <w:r w:rsidRPr="00521230">
        <w:t xml:space="preserve"> representation of </w:t>
      </w:r>
      <w:r>
        <w:t>employees</w:t>
      </w:r>
      <w:r w:rsidRPr="00521230">
        <w:t xml:space="preserve"> aged 44 and under in the SES </w:t>
      </w:r>
      <w:r>
        <w:t xml:space="preserve">marginally </w:t>
      </w:r>
      <w:r w:rsidRPr="00521230">
        <w:t>decreased (</w:t>
      </w:r>
      <w:r w:rsidRPr="001E468C">
        <w:fldChar w:fldCharType="begin"/>
      </w:r>
      <w:r w:rsidRPr="001E468C">
        <w:instrText xml:space="preserve"> REF _Ref84256345 </w:instrText>
      </w:r>
      <w:r>
        <w:instrText xml:space="preserve"> \* MERGEFORMAT </w:instrText>
      </w:r>
      <w:r w:rsidRPr="001E468C">
        <w:fldChar w:fldCharType="separate"/>
      </w:r>
      <w:r w:rsidR="0048418F" w:rsidRPr="0048418F">
        <w:t>Figure 23</w:t>
      </w:r>
      <w:r w:rsidRPr="001E468C">
        <w:fldChar w:fldCharType="end"/>
      </w:r>
      <w:r w:rsidRPr="00521230">
        <w:t>). The overall age profile of the SES remains older than the public sector</w:t>
      </w:r>
      <w:r>
        <w:t xml:space="preserve"> in general</w:t>
      </w:r>
      <w:r w:rsidRPr="00521230">
        <w:t>.</w:t>
      </w:r>
    </w:p>
    <w:p w14:paraId="09EAE7F8" w14:textId="1FAE8F1C" w:rsidR="000D42F1" w:rsidRPr="00671B4C" w:rsidRDefault="000D42F1" w:rsidP="000D42F1">
      <w:pPr>
        <w:pStyle w:val="Caption"/>
        <w:rPr>
          <w:b/>
          <w:bCs/>
        </w:rPr>
      </w:pPr>
      <w:bookmarkStart w:id="97" w:name="_Ref84256345"/>
      <w:r w:rsidRPr="00671B4C">
        <w:rPr>
          <w:b/>
          <w:bCs/>
        </w:rPr>
        <w:t xml:space="preserve">Figure </w:t>
      </w:r>
      <w:r>
        <w:rPr>
          <w:b/>
          <w:bCs/>
        </w:rPr>
        <w:fldChar w:fldCharType="begin"/>
      </w:r>
      <w:r>
        <w:rPr>
          <w:b/>
          <w:bCs/>
        </w:rPr>
        <w:instrText xml:space="preserve"> SEQ Figure \* ARABIC </w:instrText>
      </w:r>
      <w:r>
        <w:rPr>
          <w:b/>
          <w:bCs/>
        </w:rPr>
        <w:fldChar w:fldCharType="separate"/>
      </w:r>
      <w:r w:rsidR="0048418F">
        <w:rPr>
          <w:b/>
          <w:bCs/>
          <w:noProof/>
        </w:rPr>
        <w:t>23</w:t>
      </w:r>
      <w:r>
        <w:rPr>
          <w:b/>
          <w:bCs/>
        </w:rPr>
        <w:fldChar w:fldCharType="end"/>
      </w:r>
      <w:bookmarkEnd w:id="97"/>
      <w:r w:rsidRPr="00671B4C">
        <w:rPr>
          <w:b/>
          <w:bCs/>
        </w:rPr>
        <w:t>: Age profile of SES 20</w:t>
      </w:r>
      <w:r>
        <w:rPr>
          <w:b/>
          <w:bCs/>
        </w:rPr>
        <w:t>18-19</w:t>
      </w:r>
      <w:r w:rsidRPr="00671B4C">
        <w:rPr>
          <w:b/>
          <w:bCs/>
        </w:rPr>
        <w:t xml:space="preserve"> and 20</w:t>
      </w:r>
      <w:r>
        <w:rPr>
          <w:b/>
          <w:bCs/>
        </w:rPr>
        <w:t>22-23</w:t>
      </w:r>
      <w:r w:rsidRPr="00671B4C">
        <w:rPr>
          <w:b/>
          <w:bCs/>
        </w:rPr>
        <w:t xml:space="preserve"> (annual average)</w:t>
      </w:r>
    </w:p>
    <w:p w14:paraId="13D1BD2F" w14:textId="77777777" w:rsidR="000D42F1" w:rsidRDefault="000D42F1" w:rsidP="000D42F1">
      <w:pPr>
        <w:spacing w:after="240" w:line="240" w:lineRule="auto"/>
      </w:pPr>
      <w:r>
        <w:rPr>
          <w:noProof/>
        </w:rPr>
        <w:drawing>
          <wp:inline distT="0" distB="0" distL="0" distR="0" wp14:anchorId="679651B0" wp14:editId="34AB4C68">
            <wp:extent cx="5836920" cy="3801745"/>
            <wp:effectExtent l="0" t="0" r="11430" b="8255"/>
            <wp:docPr id="2117995393" name="Chart 1" descr="A line and bar graph showing the age profile of SES compared to the total public sector in 2018-19 and 2022-23. Compared to 2018-19 representation of employees in the SES decreased in the following age groups – 30 to 34, 35 to 39, 45 to 49, 55 to 59, 65 to 69. There were no employees in the SES aged 29 and under, and all other age groups increased.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0536E5E" w14:textId="77777777" w:rsidR="000D42F1" w:rsidRDefault="000D42F1" w:rsidP="000D42F1">
      <w:r>
        <w:br w:type="page"/>
      </w:r>
    </w:p>
    <w:p w14:paraId="4BBDF220" w14:textId="77777777" w:rsidR="000D42F1" w:rsidRDefault="000D42F1" w:rsidP="000D42F1">
      <w:pPr>
        <w:spacing w:after="240" w:line="240" w:lineRule="auto"/>
      </w:pPr>
    </w:p>
    <w:p w14:paraId="50FE97B5" w14:textId="77777777" w:rsidR="000D42F1" w:rsidRPr="005A4B92" w:rsidRDefault="000D42F1" w:rsidP="000D42F1">
      <w:pPr>
        <w:pStyle w:val="Heading3"/>
        <w:spacing w:before="0" w:line="240" w:lineRule="auto"/>
        <w:rPr>
          <w:sz w:val="44"/>
          <w:szCs w:val="44"/>
        </w:rPr>
      </w:pPr>
      <w:bookmarkStart w:id="98" w:name="_Leadership_through_the"/>
      <w:bookmarkStart w:id="99" w:name="_Toc151900188"/>
      <w:bookmarkEnd w:id="98"/>
      <w:r w:rsidRPr="005A4B92">
        <w:rPr>
          <w:b/>
          <w:bCs/>
          <w:sz w:val="44"/>
          <w:szCs w:val="44"/>
        </w:rPr>
        <w:t>Commissioner’s</w:t>
      </w:r>
      <w:r w:rsidRPr="005A4B92">
        <w:rPr>
          <w:sz w:val="44"/>
          <w:szCs w:val="44"/>
        </w:rPr>
        <w:t xml:space="preserve"> observations</w:t>
      </w:r>
      <w:bookmarkEnd w:id="99"/>
    </w:p>
    <w:p w14:paraId="520ECBAD" w14:textId="77777777" w:rsidR="000D42F1" w:rsidRDefault="000D42F1" w:rsidP="000D42F1">
      <w:pPr>
        <w:spacing w:line="240" w:lineRule="auto"/>
        <w:rPr>
          <w:rFonts w:ascii="Century Gothic" w:hAnsi="Century Gothic"/>
          <w:b/>
          <w:bCs/>
          <w:color w:val="2E74B5" w:themeColor="accent1" w:themeShade="BF"/>
          <w:sz w:val="24"/>
          <w:szCs w:val="24"/>
        </w:rPr>
      </w:pPr>
      <w:r>
        <w:rPr>
          <w:rFonts w:ascii="Century Gothic" w:hAnsi="Century Gothic"/>
          <w:b/>
          <w:bCs/>
          <w:color w:val="2E74B5" w:themeColor="accent1" w:themeShade="BF"/>
          <w:sz w:val="24"/>
          <w:szCs w:val="24"/>
        </w:rPr>
        <w:t>Considerable progress has been made in the leadership space in the public sector with more indepth analysis of data and evidence resulting in new initiatives and insights.</w:t>
      </w:r>
    </w:p>
    <w:p w14:paraId="1CA88C48" w14:textId="69537E37" w:rsidR="000D42F1" w:rsidRPr="008758A5" w:rsidRDefault="000D42F1" w:rsidP="000D42F1">
      <w:pPr>
        <w:pStyle w:val="ListBullet"/>
        <w:numPr>
          <w:ilvl w:val="0"/>
          <w:numId w:val="0"/>
        </w:numPr>
        <w:spacing w:line="240" w:lineRule="auto"/>
        <w:rPr>
          <w:rFonts w:ascii="Century Gothic" w:hAnsi="Century Gothic"/>
        </w:rPr>
      </w:pPr>
      <w:r w:rsidRPr="008758A5">
        <w:rPr>
          <w:rFonts w:ascii="Century Gothic" w:hAnsi="Century Gothic"/>
        </w:rPr>
        <w:t xml:space="preserve">For the first time </w:t>
      </w:r>
      <w:r w:rsidR="00F86DB9" w:rsidRPr="008758A5">
        <w:rPr>
          <w:rFonts w:ascii="Century Gothic" w:hAnsi="Century Gothic"/>
        </w:rPr>
        <w:t>there is</w:t>
      </w:r>
      <w:r w:rsidRPr="008758A5">
        <w:rPr>
          <w:rFonts w:ascii="Century Gothic" w:hAnsi="Century Gothic"/>
        </w:rPr>
        <w:t xml:space="preserve"> a narrative for the public sector in </w:t>
      </w:r>
      <w:r w:rsidRPr="008758A5">
        <w:rPr>
          <w:rFonts w:ascii="Century Gothic" w:hAnsi="Century Gothic"/>
          <w:u w:val="single"/>
        </w:rPr>
        <w:t>Future Enabled</w:t>
      </w:r>
      <w:r w:rsidRPr="008758A5">
        <w:rPr>
          <w:rFonts w:ascii="Century Gothic" w:hAnsi="Century Gothic"/>
        </w:rPr>
        <w:t xml:space="preserve"> that describes the role of the sector in making a difference in the lives of Western Australians. It identifies the challenges and changes needed as the sector looks to find solutions for increasingly complex problems in a rapidly changing world. All members of the Public Sector Leadership Council are committed to this narrative as the impetus for focused planning, leadership, capability and delivery in their own agencies and across the sector.</w:t>
      </w:r>
    </w:p>
    <w:p w14:paraId="091A773B" w14:textId="0350EEDB" w:rsidR="000D42F1" w:rsidRPr="008758A5" w:rsidRDefault="000D42F1" w:rsidP="000D42F1">
      <w:pPr>
        <w:spacing w:line="240" w:lineRule="auto"/>
        <w:rPr>
          <w:rFonts w:ascii="Century Gothic" w:hAnsi="Century Gothic"/>
        </w:rPr>
      </w:pPr>
      <w:r w:rsidRPr="008758A5">
        <w:rPr>
          <w:rFonts w:ascii="Century Gothic" w:hAnsi="Century Gothic"/>
        </w:rPr>
        <w:t xml:space="preserve">For the first time </w:t>
      </w:r>
      <w:r w:rsidR="00F86DB9" w:rsidRPr="008758A5">
        <w:rPr>
          <w:rFonts w:ascii="Century Gothic" w:hAnsi="Century Gothic"/>
        </w:rPr>
        <w:t xml:space="preserve">there is </w:t>
      </w:r>
      <w:r w:rsidRPr="008758A5">
        <w:rPr>
          <w:rFonts w:ascii="Century Gothic" w:hAnsi="Century Gothic"/>
        </w:rPr>
        <w:t xml:space="preserve">a sectorwide approach to leadership development. </w:t>
      </w:r>
      <w:hyperlink r:id="rId92" w:history="1">
        <w:r w:rsidRPr="008758A5">
          <w:rPr>
            <w:rStyle w:val="Hyperlink"/>
            <w:rFonts w:ascii="Century Gothic" w:hAnsi="Century Gothic"/>
            <w:color w:val="auto"/>
          </w:rPr>
          <w:t>Building Leadership Impact</w:t>
        </w:r>
      </w:hyperlink>
      <w:r w:rsidRPr="008758A5">
        <w:rPr>
          <w:rFonts w:ascii="Century Gothic" w:hAnsi="Century Gothic"/>
        </w:rPr>
        <w:t xml:space="preserve"> assists each leader to make deliberate incremental positive changes to aspects of their leadership behaviours, bringing about significant gains in the overall impact of leadership for a high performing sector. I know true behaviour change is not easy and takes time – and leadership behaviour change is no different. So I am really pleased that all public sector heads have committed to putting in place the conditions to best support everyone in their agencies to embark on a process of positive improvement</w:t>
      </w:r>
      <w:r w:rsidR="005D778B" w:rsidRPr="008758A5">
        <w:rPr>
          <w:rFonts w:ascii="Century Gothic" w:hAnsi="Century Gothic"/>
        </w:rPr>
        <w:t>.</w:t>
      </w:r>
    </w:p>
    <w:p w14:paraId="575CDA70" w14:textId="6A9B832D" w:rsidR="000D42F1" w:rsidRPr="008758A5" w:rsidRDefault="000D42F1" w:rsidP="000D42F1">
      <w:pPr>
        <w:pStyle w:val="paragraph"/>
        <w:spacing w:before="0" w:beforeAutospacing="0" w:after="120" w:afterAutospacing="0"/>
        <w:textAlignment w:val="baseline"/>
        <w:rPr>
          <w:rFonts w:ascii="Century Gothic" w:hAnsi="Century Gothic" w:cs="Arial"/>
          <w:sz w:val="22"/>
          <w:szCs w:val="22"/>
        </w:rPr>
      </w:pPr>
      <w:r w:rsidRPr="008758A5">
        <w:rPr>
          <w:rFonts w:ascii="Century Gothic" w:hAnsi="Century Gothic" w:cs="Arial"/>
          <w:sz w:val="22"/>
          <w:szCs w:val="22"/>
        </w:rPr>
        <w:t xml:space="preserve">For the first time </w:t>
      </w:r>
      <w:r w:rsidR="00F86DB9" w:rsidRPr="008758A5">
        <w:rPr>
          <w:rFonts w:ascii="Century Gothic" w:hAnsi="Century Gothic" w:cs="Arial"/>
          <w:sz w:val="22"/>
          <w:szCs w:val="22"/>
        </w:rPr>
        <w:t xml:space="preserve">the </w:t>
      </w:r>
      <w:r w:rsidRPr="008758A5">
        <w:rPr>
          <w:rFonts w:ascii="Century Gothic" w:hAnsi="Century Gothic" w:cs="Arial"/>
          <w:sz w:val="22"/>
          <w:szCs w:val="22"/>
        </w:rPr>
        <w:t>50% target for women in the SES</w:t>
      </w:r>
      <w:r w:rsidR="00F86DB9" w:rsidRPr="008758A5">
        <w:rPr>
          <w:rFonts w:ascii="Century Gothic" w:hAnsi="Century Gothic" w:cs="Arial"/>
          <w:sz w:val="22"/>
          <w:szCs w:val="22"/>
        </w:rPr>
        <w:t xml:space="preserve"> was achieved</w:t>
      </w:r>
      <w:r w:rsidRPr="008758A5">
        <w:rPr>
          <w:rFonts w:ascii="Century Gothic" w:hAnsi="Century Gothic" w:cs="Arial"/>
          <w:sz w:val="22"/>
          <w:szCs w:val="22"/>
        </w:rPr>
        <w:t>. More broadly women in management tiers increased across the public sector again this year with tiers 1 and 2 nearing parity. There was progress in other government entities as well, now at 39.0% women in tiers 1</w:t>
      </w:r>
      <w:r w:rsidR="00A8561C" w:rsidRPr="008758A5">
        <w:rPr>
          <w:rFonts w:ascii="Century Gothic" w:hAnsi="Century Gothic" w:cs="Arial"/>
          <w:sz w:val="22"/>
          <w:szCs w:val="22"/>
        </w:rPr>
        <w:t xml:space="preserve"> to </w:t>
      </w:r>
      <w:r w:rsidRPr="008758A5">
        <w:rPr>
          <w:rFonts w:ascii="Century Gothic" w:hAnsi="Century Gothic" w:cs="Arial"/>
          <w:sz w:val="22"/>
          <w:szCs w:val="22"/>
        </w:rPr>
        <w:t xml:space="preserve">3. </w:t>
      </w:r>
    </w:p>
    <w:p w14:paraId="2034E9E2" w14:textId="5DF00E81" w:rsidR="000D42F1" w:rsidRPr="008758A5" w:rsidRDefault="000D42F1" w:rsidP="000D42F1">
      <w:pPr>
        <w:pStyle w:val="paragraph"/>
        <w:spacing w:before="0" w:beforeAutospacing="0" w:after="120" w:afterAutospacing="0"/>
        <w:textAlignment w:val="baseline"/>
        <w:rPr>
          <w:rFonts w:ascii="Century Gothic" w:hAnsi="Century Gothic" w:cs="Arial"/>
          <w:sz w:val="22"/>
          <w:szCs w:val="22"/>
        </w:rPr>
      </w:pPr>
      <w:r w:rsidRPr="008758A5">
        <w:rPr>
          <w:rFonts w:ascii="Century Gothic" w:hAnsi="Century Gothic" w:cs="Arial"/>
          <w:sz w:val="22"/>
          <w:szCs w:val="22"/>
        </w:rPr>
        <w:t xml:space="preserve">But I know that even small movements in numbers can quickly change the percentages so my focus is on developing a pipeline </w:t>
      </w:r>
      <w:r w:rsidR="00F86DB9" w:rsidRPr="008758A5">
        <w:rPr>
          <w:rFonts w:ascii="Century Gothic" w:hAnsi="Century Gothic" w:cs="Arial"/>
          <w:sz w:val="22"/>
          <w:szCs w:val="22"/>
        </w:rPr>
        <w:t>of</w:t>
      </w:r>
      <w:r w:rsidRPr="008758A5">
        <w:rPr>
          <w:rFonts w:ascii="Century Gothic" w:hAnsi="Century Gothic" w:cs="Arial"/>
          <w:sz w:val="22"/>
          <w:szCs w:val="22"/>
        </w:rPr>
        <w:t xml:space="preserve"> talented women to sustain the achievements and move forward.</w:t>
      </w:r>
    </w:p>
    <w:p w14:paraId="28FD4BDC" w14:textId="77777777" w:rsidR="000D42F1" w:rsidRPr="008758A5" w:rsidRDefault="000D42F1" w:rsidP="000D42F1">
      <w:pPr>
        <w:pStyle w:val="paragraph"/>
        <w:spacing w:before="0" w:beforeAutospacing="0" w:after="120" w:afterAutospacing="0"/>
        <w:textAlignment w:val="baseline"/>
        <w:rPr>
          <w:rFonts w:ascii="Century Gothic" w:hAnsi="Century Gothic" w:cs="Arial"/>
          <w:sz w:val="22"/>
          <w:szCs w:val="22"/>
        </w:rPr>
      </w:pPr>
      <w:r w:rsidRPr="008758A5">
        <w:rPr>
          <w:rFonts w:ascii="Century Gothic" w:hAnsi="Century Gothic" w:cs="Arial"/>
          <w:sz w:val="22"/>
          <w:szCs w:val="22"/>
        </w:rPr>
        <w:t>I started conversations with senior female and male leaders, showing a new take on data and insights in relation to the leadership aspirations and trajectory of women in the public sector, and the barriers in the workplace that so often thwart those aspirations.</w:t>
      </w:r>
    </w:p>
    <w:p w14:paraId="1853F8B6" w14:textId="6B043C72" w:rsidR="000D42F1" w:rsidRPr="008758A5" w:rsidRDefault="000D42F1" w:rsidP="000D42F1">
      <w:pPr>
        <w:pStyle w:val="paragraph"/>
        <w:spacing w:before="0" w:beforeAutospacing="0" w:after="120" w:afterAutospacing="0"/>
        <w:textAlignment w:val="baseline"/>
        <w:rPr>
          <w:rFonts w:ascii="Century Gothic" w:hAnsi="Century Gothic"/>
          <w:sz w:val="22"/>
          <w:szCs w:val="22"/>
        </w:rPr>
      </w:pPr>
      <w:r w:rsidRPr="008758A5">
        <w:rPr>
          <w:rFonts w:ascii="Century Gothic" w:hAnsi="Century Gothic"/>
          <w:sz w:val="22"/>
          <w:szCs w:val="22"/>
        </w:rPr>
        <w:t xml:space="preserve">From these conversations I developed the Women in Executive Leadership Development Experience Initiative, allowing each department and SES organisation to establish a temporary </w:t>
      </w:r>
      <w:r w:rsidR="00791C27" w:rsidRPr="008758A5">
        <w:rPr>
          <w:rFonts w:ascii="Century Gothic" w:hAnsi="Century Gothic"/>
          <w:sz w:val="22"/>
          <w:szCs w:val="22"/>
        </w:rPr>
        <w:t>L</w:t>
      </w:r>
      <w:r w:rsidRPr="008758A5">
        <w:rPr>
          <w:rFonts w:ascii="Century Gothic" w:hAnsi="Century Gothic"/>
          <w:sz w:val="22"/>
          <w:szCs w:val="22"/>
        </w:rPr>
        <w:t xml:space="preserve">evel 9 position as a development opportunity for a currently employed accomplished woman. Now 24 women are part of corporate executive decision making and governance in their agencies, giving them the opportunity to increase their strategy, policy and public administration capabilities. </w:t>
      </w:r>
    </w:p>
    <w:p w14:paraId="68792406" w14:textId="087622DC" w:rsidR="000D42F1" w:rsidRPr="008758A5" w:rsidRDefault="000D42F1" w:rsidP="000D42F1">
      <w:pPr>
        <w:pStyle w:val="paragraph"/>
        <w:spacing w:before="0" w:beforeAutospacing="0" w:after="120" w:afterAutospacing="0"/>
        <w:textAlignment w:val="baseline"/>
        <w:rPr>
          <w:rFonts w:ascii="Century Gothic" w:hAnsi="Century Gothic" w:cs="Arial"/>
          <w:sz w:val="22"/>
          <w:szCs w:val="22"/>
        </w:rPr>
      </w:pPr>
      <w:r w:rsidRPr="008758A5">
        <w:rPr>
          <w:rFonts w:ascii="Century Gothic" w:hAnsi="Century Gothic" w:cs="Arial"/>
          <w:sz w:val="22"/>
          <w:szCs w:val="22"/>
        </w:rPr>
        <w:t>I am also pleased to see that representation of Aboriginal and Torres Strait Islander leaders has increased across the government sector, as has representation of culturally and linguistically diverse leaders</w:t>
      </w:r>
      <w:r w:rsidR="00A8561C" w:rsidRPr="008758A5">
        <w:rPr>
          <w:rFonts w:ascii="Century Gothic" w:hAnsi="Century Gothic" w:cs="Arial"/>
          <w:sz w:val="22"/>
          <w:szCs w:val="22"/>
        </w:rPr>
        <w:t>,</w:t>
      </w:r>
      <w:r w:rsidRPr="008758A5">
        <w:rPr>
          <w:rFonts w:ascii="Century Gothic" w:hAnsi="Century Gothic" w:cs="Arial"/>
          <w:sz w:val="22"/>
          <w:szCs w:val="22"/>
        </w:rPr>
        <w:t xml:space="preserve"> and leaders with disability. </w:t>
      </w:r>
      <w:r w:rsidR="00F86DB9" w:rsidRPr="008758A5">
        <w:rPr>
          <w:rFonts w:ascii="Century Gothic" w:hAnsi="Century Gothic" w:cs="Arial"/>
          <w:sz w:val="22"/>
          <w:szCs w:val="22"/>
        </w:rPr>
        <w:t>L</w:t>
      </w:r>
      <w:r w:rsidRPr="008758A5">
        <w:rPr>
          <w:rFonts w:ascii="Century Gothic" w:hAnsi="Century Gothic" w:cs="Arial"/>
          <w:sz w:val="22"/>
          <w:szCs w:val="22"/>
        </w:rPr>
        <w:t>eaders</w:t>
      </w:r>
      <w:r w:rsidR="00F86DB9" w:rsidRPr="008758A5">
        <w:rPr>
          <w:rFonts w:ascii="Century Gothic" w:hAnsi="Century Gothic" w:cs="Arial"/>
          <w:sz w:val="22"/>
          <w:szCs w:val="22"/>
        </w:rPr>
        <w:t xml:space="preserve">hip diversity is </w:t>
      </w:r>
      <w:r w:rsidRPr="008758A5">
        <w:rPr>
          <w:rFonts w:ascii="Century Gothic" w:hAnsi="Century Gothic" w:cs="Arial"/>
          <w:sz w:val="22"/>
          <w:szCs w:val="22"/>
        </w:rPr>
        <w:t xml:space="preserve">a key agent for change and </w:t>
      </w:r>
      <w:r w:rsidR="00F86DB9" w:rsidRPr="008758A5">
        <w:rPr>
          <w:rFonts w:ascii="Century Gothic" w:hAnsi="Century Gothic" w:cs="Arial"/>
          <w:sz w:val="22"/>
          <w:szCs w:val="22"/>
        </w:rPr>
        <w:t>can</w:t>
      </w:r>
      <w:r w:rsidRPr="008758A5">
        <w:rPr>
          <w:rFonts w:ascii="Century Gothic" w:hAnsi="Century Gothic" w:cs="Arial"/>
          <w:sz w:val="22"/>
          <w:szCs w:val="22"/>
        </w:rPr>
        <w:t xml:space="preserve"> optimise the value of Building Leadership Impact to develop </w:t>
      </w:r>
      <w:r w:rsidR="00F86DB9" w:rsidRPr="008758A5">
        <w:rPr>
          <w:rFonts w:ascii="Century Gothic" w:hAnsi="Century Gothic" w:cs="Arial"/>
          <w:sz w:val="22"/>
          <w:szCs w:val="22"/>
        </w:rPr>
        <w:t>the</w:t>
      </w:r>
      <w:r w:rsidRPr="008758A5">
        <w:rPr>
          <w:rFonts w:ascii="Century Gothic" w:hAnsi="Century Gothic" w:cs="Arial"/>
          <w:sz w:val="22"/>
          <w:szCs w:val="22"/>
        </w:rPr>
        <w:t xml:space="preserve"> next generation of leaders. </w:t>
      </w:r>
    </w:p>
    <w:p w14:paraId="37F2F0C5" w14:textId="7B1A230D" w:rsidR="000D42F1" w:rsidRDefault="000D42F1">
      <w:r>
        <w:br w:type="page"/>
      </w:r>
    </w:p>
    <w:p w14:paraId="09734955" w14:textId="77777777" w:rsidR="000D42F1" w:rsidRPr="00564B68" w:rsidRDefault="000D42F1" w:rsidP="00012702">
      <w:pPr>
        <w:pStyle w:val="Heading2"/>
        <w:spacing w:after="240"/>
        <w:rPr>
          <w:b/>
        </w:rPr>
      </w:pPr>
      <w:bookmarkStart w:id="100" w:name="_Toc151900189"/>
      <w:r w:rsidRPr="00564B68">
        <w:lastRenderedPageBreak/>
        <w:t xml:space="preserve">Section 5: </w:t>
      </w:r>
      <w:r w:rsidRPr="00564B68">
        <w:rPr>
          <w:b/>
          <w:bCs/>
        </w:rPr>
        <w:t>Conduct</w:t>
      </w:r>
      <w:bookmarkEnd w:id="100"/>
    </w:p>
    <w:p w14:paraId="1DA46913" w14:textId="566C544D" w:rsidR="00AA450A" w:rsidRPr="00AA450A" w:rsidRDefault="00AA450A" w:rsidP="00AA450A">
      <w:pPr>
        <w:spacing w:after="240"/>
        <w:rPr>
          <w:rFonts w:ascii="Century Gothic" w:hAnsi="Century Gothic"/>
          <w:b/>
          <w:bCs/>
          <w:color w:val="2E74B5" w:themeColor="accent1" w:themeShade="BF"/>
          <w:sz w:val="24"/>
          <w:szCs w:val="24"/>
        </w:rPr>
      </w:pPr>
      <w:r w:rsidRPr="00AA450A">
        <w:rPr>
          <w:rFonts w:ascii="Century Gothic" w:hAnsi="Century Gothic"/>
          <w:b/>
          <w:bCs/>
          <w:color w:val="2E74B5" w:themeColor="accent1" w:themeShade="BF"/>
          <w:sz w:val="24"/>
          <w:szCs w:val="24"/>
        </w:rPr>
        <w:t>This section of the report focuses on the integrity related activities of public authorities and conduct of employees in those authorities.</w:t>
      </w:r>
    </w:p>
    <w:p w14:paraId="26D0EFA9" w14:textId="0AB35A85" w:rsidR="000D42F1" w:rsidRPr="00564B68" w:rsidRDefault="000D42F1" w:rsidP="00140700">
      <w:pPr>
        <w:pStyle w:val="Heading3"/>
      </w:pPr>
      <w:bookmarkStart w:id="101" w:name="_Toc151900190"/>
      <w:r w:rsidRPr="00564B68">
        <w:t>Integrity strategy</w:t>
      </w:r>
      <w:bookmarkEnd w:id="101"/>
    </w:p>
    <w:p w14:paraId="3886FF8F" w14:textId="53AE13F9" w:rsidR="000D42F1" w:rsidRDefault="000D42F1">
      <w:pPr>
        <w:spacing w:line="240" w:lineRule="auto"/>
      </w:pPr>
      <w:r>
        <w:t xml:space="preserve">The Commission continued to implement actions </w:t>
      </w:r>
      <w:r w:rsidR="00185BAA">
        <w:t xml:space="preserve">from the </w:t>
      </w:r>
      <w:hyperlink r:id="rId93" w:history="1">
        <w:r w:rsidR="00185BAA" w:rsidRPr="005A4B92">
          <w:rPr>
            <w:rStyle w:val="Hyperlink"/>
          </w:rPr>
          <w:t>Integrity Strategy for WA Public Authorities 2020-2023</w:t>
        </w:r>
      </w:hyperlink>
      <w:r>
        <w:t xml:space="preserve"> to promote integrity and prevent misconduct. Since its release, 91.2% of public authorities </w:t>
      </w:r>
      <w:r w:rsidR="00A8561C">
        <w:t xml:space="preserve">have </w:t>
      </w:r>
      <w:r>
        <w:t>reported using the strategy to inform their approaches to managing and improving integrity.</w:t>
      </w:r>
    </w:p>
    <w:p w14:paraId="2E06F0A2" w14:textId="0FFC1DFE" w:rsidR="000D42F1" w:rsidRDefault="000D42F1">
      <w:pPr>
        <w:spacing w:line="240" w:lineRule="auto"/>
      </w:pPr>
      <w:r>
        <w:t xml:space="preserve">Under this strategy, key resources have been released to support authorities including the </w:t>
      </w:r>
      <w:bookmarkStart w:id="102" w:name="_Hlk118989063"/>
      <w:r>
        <w:fldChar w:fldCharType="begin"/>
      </w:r>
      <w:r>
        <w:instrText>HYPERLINK "https://www.wa.gov.au/organisation/public-sector-commission/integrity-framework-resources"</w:instrText>
      </w:r>
      <w:r>
        <w:fldChar w:fldCharType="separate"/>
      </w:r>
      <w:r w:rsidRPr="00D60011">
        <w:rPr>
          <w:rStyle w:val="Hyperlink"/>
        </w:rPr>
        <w:t xml:space="preserve">Integrity Framework Template and </w:t>
      </w:r>
      <w:r>
        <w:rPr>
          <w:rStyle w:val="Hyperlink"/>
        </w:rPr>
        <w:t>Integrity Framework G</w:t>
      </w:r>
      <w:r w:rsidRPr="00D60011">
        <w:rPr>
          <w:rStyle w:val="Hyperlink"/>
        </w:rPr>
        <w:t>uide</w:t>
      </w:r>
      <w:r>
        <w:rPr>
          <w:rStyle w:val="Hyperlink"/>
        </w:rPr>
        <w:fldChar w:fldCharType="end"/>
      </w:r>
      <w:r w:rsidRPr="539EB2FF">
        <w:t xml:space="preserve"> </w:t>
      </w:r>
      <w:r>
        <w:t xml:space="preserve">and </w:t>
      </w:r>
      <w:hyperlink r:id="rId94" w:history="1">
        <w:r w:rsidRPr="00D17C52">
          <w:rPr>
            <w:rStyle w:val="Hyperlink"/>
          </w:rPr>
          <w:t>Governance e</w:t>
        </w:r>
        <w:r>
          <w:rPr>
            <w:rStyle w:val="Hyperlink"/>
          </w:rPr>
          <w:t>-</w:t>
        </w:r>
        <w:r w:rsidRPr="00D17C52">
          <w:rPr>
            <w:rStyle w:val="Hyperlink"/>
          </w:rPr>
          <w:t xml:space="preserve">Learning for </w:t>
        </w:r>
        <w:r>
          <w:rPr>
            <w:rStyle w:val="Hyperlink"/>
          </w:rPr>
          <w:t>WA Government B</w:t>
        </w:r>
        <w:r w:rsidRPr="00D17C52">
          <w:rPr>
            <w:rStyle w:val="Hyperlink"/>
          </w:rPr>
          <w:t>oard</w:t>
        </w:r>
        <w:r>
          <w:rPr>
            <w:rStyle w:val="Hyperlink"/>
          </w:rPr>
          <w:t>s</w:t>
        </w:r>
        <w:r w:rsidRPr="00D17C52">
          <w:rPr>
            <w:rStyle w:val="Hyperlink"/>
          </w:rPr>
          <w:t xml:space="preserve"> and </w:t>
        </w:r>
        <w:r>
          <w:rPr>
            <w:rStyle w:val="Hyperlink"/>
          </w:rPr>
          <w:t>C</w:t>
        </w:r>
        <w:r w:rsidRPr="00D17C52">
          <w:rPr>
            <w:rStyle w:val="Hyperlink"/>
          </w:rPr>
          <w:t>ommittees</w:t>
        </w:r>
      </w:hyperlink>
      <w:r>
        <w:t xml:space="preserve">. </w:t>
      </w:r>
      <w:r w:rsidR="00A8561C">
        <w:t>Since its release a</w:t>
      </w:r>
      <w:r>
        <w:t xml:space="preserve"> total of </w:t>
      </w:r>
      <w:r w:rsidRPr="00EA7F8E">
        <w:t xml:space="preserve">76.5% of authorities reported </w:t>
      </w:r>
      <w:r>
        <w:t>using</w:t>
      </w:r>
      <w:r w:rsidRPr="00EA7F8E">
        <w:t xml:space="preserve"> the integrity framework </w:t>
      </w:r>
      <w:r>
        <w:t>resources</w:t>
      </w:r>
      <w:r w:rsidRPr="00EA7F8E">
        <w:t xml:space="preserve">, up </w:t>
      </w:r>
      <w:r>
        <w:t xml:space="preserve">from 66.4% in </w:t>
      </w:r>
      <w:r w:rsidRPr="00EA7F8E">
        <w:t>2021-22</w:t>
      </w:r>
      <w:r>
        <w:t>. A t</w:t>
      </w:r>
      <w:r w:rsidRPr="00391F9C">
        <w:t>otal of 38.</w:t>
      </w:r>
      <w:r>
        <w:t>5</w:t>
      </w:r>
      <w:r w:rsidRPr="00391F9C">
        <w:t xml:space="preserve">% of boards and committees reported </w:t>
      </w:r>
      <w:r>
        <w:t>using</w:t>
      </w:r>
      <w:r w:rsidRPr="00391F9C">
        <w:t xml:space="preserve"> the e</w:t>
      </w:r>
      <w:r>
        <w:t>-l</w:t>
      </w:r>
      <w:r w:rsidRPr="00391F9C">
        <w:t>earning since its rele</w:t>
      </w:r>
      <w:r>
        <w:t>a</w:t>
      </w:r>
      <w:r w:rsidRPr="00391F9C">
        <w:t xml:space="preserve">se, up </w:t>
      </w:r>
      <w:r>
        <w:t>from 30.5</w:t>
      </w:r>
      <w:r w:rsidRPr="00391F9C">
        <w:t xml:space="preserve">% </w:t>
      </w:r>
      <w:r>
        <w:t>in</w:t>
      </w:r>
      <w:r w:rsidRPr="00391F9C">
        <w:t xml:space="preserve"> 2021-22</w:t>
      </w:r>
      <w:r>
        <w:t>.</w:t>
      </w:r>
      <w:bookmarkEnd w:id="102"/>
    </w:p>
    <w:p w14:paraId="5B4A4EF7" w14:textId="77777777" w:rsidR="000D42F1" w:rsidRDefault="000D42F1" w:rsidP="00B533B0">
      <w:pPr>
        <w:spacing w:line="240" w:lineRule="auto"/>
        <w:contextualSpacing/>
      </w:pPr>
      <w:r>
        <w:t>The most common approaches by authorities to assess their integrity environment included:</w:t>
      </w:r>
    </w:p>
    <w:p w14:paraId="4CC44AF2" w14:textId="77777777" w:rsidR="000D42F1" w:rsidRDefault="000D42F1">
      <w:pPr>
        <w:pStyle w:val="ListParagraph"/>
        <w:numPr>
          <w:ilvl w:val="0"/>
          <w:numId w:val="23"/>
        </w:numPr>
        <w:spacing w:line="240" w:lineRule="auto"/>
        <w:ind w:left="426" w:hanging="426"/>
      </w:pPr>
      <w:r>
        <w:t>evaluating policies, procedures and systems in line with the recommendations of integrity agencies (60.9% of respondents)</w:t>
      </w:r>
    </w:p>
    <w:p w14:paraId="217C115D" w14:textId="77777777" w:rsidR="000D42F1" w:rsidRDefault="000D42F1">
      <w:pPr>
        <w:pStyle w:val="ListParagraph"/>
        <w:numPr>
          <w:ilvl w:val="0"/>
          <w:numId w:val="23"/>
        </w:numPr>
        <w:spacing w:line="240" w:lineRule="auto"/>
        <w:ind w:left="426" w:hanging="426"/>
      </w:pPr>
      <w:r>
        <w:t>reviewing completed actions from reviews and internal and external audits (54.3% of respondents)</w:t>
      </w:r>
    </w:p>
    <w:p w14:paraId="2FB2E265" w14:textId="77777777" w:rsidR="000D42F1" w:rsidRDefault="000D42F1">
      <w:pPr>
        <w:pStyle w:val="ListParagraph"/>
        <w:numPr>
          <w:ilvl w:val="0"/>
          <w:numId w:val="23"/>
        </w:numPr>
        <w:spacing w:line="240" w:lineRule="auto"/>
        <w:ind w:left="426" w:hanging="426"/>
      </w:pPr>
      <w:r>
        <w:t>assessing completion rates of integrity training and information sessions (38.5% of respondents).</w:t>
      </w:r>
    </w:p>
    <w:p w14:paraId="7CA40CB6" w14:textId="77777777" w:rsidR="000D42F1" w:rsidRPr="00140700" w:rsidRDefault="000D42F1" w:rsidP="00140700">
      <w:pPr>
        <w:pStyle w:val="Heading3"/>
      </w:pPr>
      <w:bookmarkStart w:id="103" w:name="_Toc151900191"/>
      <w:r w:rsidRPr="00140700">
        <w:t>Codes of conduct and integrity training</w:t>
      </w:r>
      <w:bookmarkEnd w:id="103"/>
    </w:p>
    <w:p w14:paraId="3C88A205" w14:textId="77777777" w:rsidR="000D42F1" w:rsidRPr="00521230" w:rsidRDefault="000D42F1" w:rsidP="14D8E870">
      <w:r>
        <w:t>This year, 98.2% of authorities reported having c</w:t>
      </w:r>
      <w:r w:rsidRPr="00521230">
        <w:t xml:space="preserve">odes of conduct </w:t>
      </w:r>
      <w:r>
        <w:t xml:space="preserve">which </w:t>
      </w:r>
      <w:r w:rsidRPr="00521230">
        <w:t xml:space="preserve">set the standards of conduct and integrity to be complied with by </w:t>
      </w:r>
      <w:r>
        <w:t xml:space="preserve">their </w:t>
      </w:r>
      <w:r w:rsidRPr="00521230">
        <w:t>employees.</w:t>
      </w:r>
    </w:p>
    <w:p w14:paraId="60BC760D" w14:textId="56174375" w:rsidR="000D42F1" w:rsidRDefault="000D42F1" w:rsidP="12CEBDFB">
      <w:r>
        <w:t>They also</w:t>
      </w:r>
      <w:r w:rsidRPr="00D3242B">
        <w:t xml:space="preserve"> reported an overall increase in measures to promote their codes, up from 1,555</w:t>
      </w:r>
      <w:r>
        <w:t xml:space="preserve"> measures</w:t>
      </w:r>
      <w:r w:rsidRPr="00D3242B">
        <w:t xml:space="preserve"> in 2021-22 to 1,664 </w:t>
      </w:r>
      <w:r>
        <w:t xml:space="preserve">measures </w:t>
      </w:r>
      <w:r w:rsidRPr="00D3242B">
        <w:t>in 2022-23</w:t>
      </w:r>
      <w:r>
        <w:t xml:space="preserve"> (7.0% increase)</w:t>
      </w:r>
      <w:r w:rsidRPr="00D3242B">
        <w:t>. The most common measures were includ</w:t>
      </w:r>
      <w:r>
        <w:t>ing</w:t>
      </w:r>
      <w:r w:rsidRPr="00D3242B">
        <w:t xml:space="preserve"> </w:t>
      </w:r>
      <w:r>
        <w:t xml:space="preserve">the code’s </w:t>
      </w:r>
      <w:r w:rsidRPr="00D3242B">
        <w:t xml:space="preserve">requirements </w:t>
      </w:r>
      <w:r>
        <w:t xml:space="preserve">in </w:t>
      </w:r>
      <w:r w:rsidRPr="00D3242B">
        <w:t>induction programs (94.8% of respondents), hav</w:t>
      </w:r>
      <w:r>
        <w:t>ing</w:t>
      </w:r>
      <w:r w:rsidRPr="00D3242B">
        <w:t xml:space="preserve"> employees</w:t>
      </w:r>
      <w:r w:rsidR="00791C27">
        <w:t xml:space="preserve"> or </w:t>
      </w:r>
      <w:r w:rsidRPr="00D3242B">
        <w:t xml:space="preserve">members acknowledge in writing that they understand and commit to the code (79.3% of respondents) and </w:t>
      </w:r>
      <w:r>
        <w:t xml:space="preserve">adding </w:t>
      </w:r>
      <w:r w:rsidRPr="00D3242B">
        <w:t>compl</w:t>
      </w:r>
      <w:r>
        <w:t>iance</w:t>
      </w:r>
      <w:r w:rsidRPr="00D3242B">
        <w:t xml:space="preserve"> with the code </w:t>
      </w:r>
      <w:r>
        <w:t>to</w:t>
      </w:r>
      <w:r w:rsidRPr="00D3242B">
        <w:t xml:space="preserve"> </w:t>
      </w:r>
      <w:r>
        <w:t>position</w:t>
      </w:r>
      <w:r w:rsidRPr="00D3242B">
        <w:t xml:space="preserve"> descriptions (67.9% of respondents).</w:t>
      </w:r>
    </w:p>
    <w:p w14:paraId="3909C191" w14:textId="5583C375" w:rsidR="000D42F1" w:rsidRDefault="000D42F1" w:rsidP="12CEBDFB">
      <w:r>
        <w:t xml:space="preserve">An increase in </w:t>
      </w:r>
      <w:r w:rsidRPr="006E4A57">
        <w:t>approaches to monitor compliance</w:t>
      </w:r>
      <w:r>
        <w:t xml:space="preserve"> in authorities was also reported, </w:t>
      </w:r>
      <w:r w:rsidRPr="00491949">
        <w:t>up from 985 in 2021-22 to 1,050 in 2022-23</w:t>
      </w:r>
      <w:r>
        <w:t xml:space="preserve"> (6.6% increase). </w:t>
      </w:r>
      <w:r w:rsidRPr="007433E6">
        <w:t xml:space="preserve">The most common approaches </w:t>
      </w:r>
      <w:r>
        <w:t>this year</w:t>
      </w:r>
      <w:r w:rsidRPr="007433E6">
        <w:t xml:space="preserve"> were through internal reviews </w:t>
      </w:r>
      <w:r>
        <w:t>and</w:t>
      </w:r>
      <w:r w:rsidRPr="007433E6">
        <w:t xml:space="preserve"> audits (71.4% of respondents), feedback </w:t>
      </w:r>
      <w:r>
        <w:t xml:space="preserve">from </w:t>
      </w:r>
      <w:r w:rsidRPr="007433E6">
        <w:t>exit interview</w:t>
      </w:r>
      <w:r>
        <w:t>s</w:t>
      </w:r>
      <w:r w:rsidR="00791C27">
        <w:t xml:space="preserve"> or </w:t>
      </w:r>
      <w:r w:rsidRPr="007433E6">
        <w:t>survey</w:t>
      </w:r>
      <w:r>
        <w:t>s</w:t>
      </w:r>
      <w:r w:rsidRPr="007433E6">
        <w:t xml:space="preserve"> (58.1% of respondents) and</w:t>
      </w:r>
      <w:r>
        <w:t xml:space="preserve"> compliance </w:t>
      </w:r>
      <w:r w:rsidRPr="007433E6">
        <w:t>monitoring</w:t>
      </w:r>
      <w:r>
        <w:t xml:space="preserve"> by an authority’s leadership team </w:t>
      </w:r>
      <w:r w:rsidRPr="007433E6">
        <w:t>(47.1% of respondents)</w:t>
      </w:r>
      <w:r>
        <w:t>.</w:t>
      </w:r>
    </w:p>
    <w:p w14:paraId="4653A048" w14:textId="3AEE452F" w:rsidR="00B533B0" w:rsidRDefault="000D42F1">
      <w:r w:rsidRPr="003428B3">
        <w:t xml:space="preserve">This year </w:t>
      </w:r>
      <w:r>
        <w:t>it was reported that</w:t>
      </w:r>
      <w:r w:rsidRPr="003428B3">
        <w:t xml:space="preserve"> 95,</w:t>
      </w:r>
      <w:r>
        <w:t>562</w:t>
      </w:r>
      <w:r w:rsidRPr="003428B3">
        <w:t xml:space="preserve"> public sector employees and </w:t>
      </w:r>
      <w:r>
        <w:t>427</w:t>
      </w:r>
      <w:r w:rsidRPr="003428B3">
        <w:t xml:space="preserve"> government board and committee</w:t>
      </w:r>
      <w:r>
        <w:t xml:space="preserve"> member</w:t>
      </w:r>
      <w:r w:rsidRPr="003428B3">
        <w:t xml:space="preserve">s </w:t>
      </w:r>
      <w:r>
        <w:t xml:space="preserve">had </w:t>
      </w:r>
      <w:r w:rsidRPr="003428B3">
        <w:t>completed</w:t>
      </w:r>
      <w:r>
        <w:t xml:space="preserve"> accountable and ethical decision making </w:t>
      </w:r>
      <w:r w:rsidRPr="003428B3">
        <w:t xml:space="preserve">training in the last 5 years. </w:t>
      </w:r>
      <w:r>
        <w:t xml:space="preserve">This training </w:t>
      </w:r>
      <w:r w:rsidR="00A8561C">
        <w:t xml:space="preserve">is </w:t>
      </w:r>
      <w:r>
        <w:t>mandated for public sector bodies by Commissioner’s Instruction 8: Codes of Conduct and Integrity Training.</w:t>
      </w:r>
      <w:r w:rsidR="00B533B0">
        <w:br w:type="page"/>
      </w:r>
    </w:p>
    <w:p w14:paraId="1138C460" w14:textId="77777777" w:rsidR="000D42F1" w:rsidRPr="00AD49F3" w:rsidRDefault="000D42F1" w:rsidP="00140700">
      <w:pPr>
        <w:pStyle w:val="Heading3"/>
      </w:pPr>
      <w:bookmarkStart w:id="104" w:name="_Toc151900192"/>
      <w:r>
        <w:lastRenderedPageBreak/>
        <w:t>Government boards and committees</w:t>
      </w:r>
      <w:bookmarkEnd w:id="104"/>
    </w:p>
    <w:p w14:paraId="49D23EA9" w14:textId="77777777" w:rsidR="000D42F1" w:rsidRPr="00521230" w:rsidRDefault="000D42F1" w:rsidP="001164EB">
      <w:pPr>
        <w:spacing w:after="0"/>
      </w:pPr>
      <w:r>
        <w:t>Information collected in relation to government boards and committees showed:</w:t>
      </w:r>
    </w:p>
    <w:p w14:paraId="21BAC48B" w14:textId="77777777" w:rsidR="000D42F1" w:rsidRDefault="000D42F1">
      <w:pPr>
        <w:pStyle w:val="ListParagraph"/>
        <w:numPr>
          <w:ilvl w:val="0"/>
          <w:numId w:val="9"/>
        </w:numPr>
        <w:ind w:left="426" w:hanging="426"/>
      </w:pPr>
      <w:r w:rsidRPr="005C3CC5">
        <w:t xml:space="preserve">71.9% of </w:t>
      </w:r>
      <w:r>
        <w:t>responding</w:t>
      </w:r>
      <w:r w:rsidRPr="005C3CC5">
        <w:t xml:space="preserve"> boards and committees reported conduct</w:t>
      </w:r>
      <w:r>
        <w:t>ing</w:t>
      </w:r>
      <w:r w:rsidRPr="005C3CC5">
        <w:t xml:space="preserve"> </w:t>
      </w:r>
      <w:r>
        <w:t>ethical</w:t>
      </w:r>
      <w:r w:rsidRPr="005C3CC5">
        <w:t xml:space="preserve"> training in the last 5 years</w:t>
      </w:r>
    </w:p>
    <w:p w14:paraId="1512D899" w14:textId="77777777" w:rsidR="000D42F1" w:rsidRDefault="000D42F1">
      <w:pPr>
        <w:pStyle w:val="ListParagraph"/>
        <w:numPr>
          <w:ilvl w:val="0"/>
          <w:numId w:val="9"/>
        </w:numPr>
        <w:ind w:left="426" w:hanging="426"/>
      </w:pPr>
      <w:r>
        <w:t xml:space="preserve">51.0% of responding </w:t>
      </w:r>
      <w:r w:rsidRPr="00533216">
        <w:t xml:space="preserve">boards and committees reported their members complete </w:t>
      </w:r>
      <w:r>
        <w:t>integrity</w:t>
      </w:r>
      <w:r w:rsidRPr="00533216">
        <w:t xml:space="preserve"> training on appointment, up from 42.1% in 2021-22</w:t>
      </w:r>
    </w:p>
    <w:p w14:paraId="0F0C1FBB" w14:textId="636E522E" w:rsidR="000D42F1" w:rsidRDefault="000D42F1">
      <w:pPr>
        <w:pStyle w:val="ListParagraph"/>
        <w:numPr>
          <w:ilvl w:val="0"/>
          <w:numId w:val="9"/>
        </w:numPr>
        <w:ind w:left="426" w:hanging="426"/>
      </w:pPr>
      <w:r w:rsidRPr="004B179A">
        <w:t xml:space="preserve">50.0% of </w:t>
      </w:r>
      <w:r>
        <w:t>responding</w:t>
      </w:r>
      <w:r w:rsidRPr="004B179A">
        <w:t xml:space="preserve"> boards and committees reported they conduct refresher </w:t>
      </w:r>
      <w:r>
        <w:t>integrity</w:t>
      </w:r>
      <w:r w:rsidRPr="004B179A">
        <w:t xml:space="preserve"> training for members, up from 41.1% in 2021-22</w:t>
      </w:r>
      <w:r w:rsidR="00C32ADC">
        <w:t>.</w:t>
      </w:r>
    </w:p>
    <w:p w14:paraId="5F29FA9C" w14:textId="60BA2B0C" w:rsidR="000D42F1" w:rsidRPr="00521230" w:rsidRDefault="000D42F1">
      <w:pPr>
        <w:spacing w:after="240"/>
      </w:pPr>
      <w:r>
        <w:t xml:space="preserve">Under </w:t>
      </w:r>
      <w:hyperlink r:id="rId95" w:history="1">
        <w:r w:rsidRPr="001055A1">
          <w:rPr>
            <w:rStyle w:val="Hyperlink"/>
          </w:rPr>
          <w:t>Commissioner’s Instruction 40: Ethical Foundations</w:t>
        </w:r>
      </w:hyperlink>
      <w:r>
        <w:t xml:space="preserve"> </w:t>
      </w:r>
      <w:r w:rsidR="00A8561C">
        <w:t xml:space="preserve">(which was released in March 2023 and came into force on 2 October 2023) </w:t>
      </w:r>
      <w:r>
        <w:t>some government boards and committees are required to have a code of conduct that aligns with the new code of ethics in a meaningful way. Building on a commitment to training on the code, meeting the requirements to conduct refresher training on the code and having an integrity framework will further strengthen integrity across government boards and committees</w:t>
      </w:r>
      <w:r w:rsidR="00A8561C">
        <w:t xml:space="preserve"> going forward</w:t>
      </w:r>
      <w:r>
        <w:t>.  </w:t>
      </w:r>
    </w:p>
    <w:p w14:paraId="68801CEB" w14:textId="77777777" w:rsidR="000D42F1" w:rsidRPr="00140700" w:rsidRDefault="000D42F1" w:rsidP="00140700">
      <w:pPr>
        <w:pStyle w:val="Heading3"/>
      </w:pPr>
      <w:bookmarkStart w:id="105" w:name="_Toc151900193"/>
      <w:r w:rsidRPr="00140700">
        <w:t>Discipline</w:t>
      </w:r>
      <w:bookmarkStart w:id="106" w:name="_Hlk118987941"/>
      <w:bookmarkEnd w:id="105"/>
    </w:p>
    <w:p w14:paraId="15E252F1" w14:textId="6A911374" w:rsidR="000D42F1" w:rsidRDefault="00A8561C">
      <w:r>
        <w:t>[</w:t>
      </w:r>
      <w:r w:rsidR="000D42F1">
        <w:t>Note: Employers took actions against employees who did not comply with the government’s COVID-19 mandatory vaccination requirements. Although these requirements were removed for most workplaces in June 2022, processes may have been finalised in 2022-23 and included in the data below.</w:t>
      </w:r>
      <w:r>
        <w:t>]</w:t>
      </w:r>
    </w:p>
    <w:p w14:paraId="2694ACC9" w14:textId="77777777" w:rsidR="000D42F1" w:rsidRDefault="000D42F1">
      <w:pPr>
        <w:rPr>
          <w:rFonts w:eastAsiaTheme="minorEastAsia"/>
          <w:lang w:eastAsia="en-US"/>
        </w:rPr>
      </w:pPr>
      <w:r w:rsidRPr="0B9E2B58">
        <w:rPr>
          <w:rFonts w:eastAsiaTheme="minorEastAsia"/>
          <w:lang w:eastAsia="en-US"/>
        </w:rPr>
        <w:t xml:space="preserve">In 2022-23, </w:t>
      </w:r>
      <w:r>
        <w:rPr>
          <w:rFonts w:eastAsiaTheme="minorEastAsia"/>
          <w:lang w:eastAsia="en-US"/>
        </w:rPr>
        <w:t xml:space="preserve">public authorities </w:t>
      </w:r>
      <w:r w:rsidRPr="0B9E2B58">
        <w:rPr>
          <w:rFonts w:eastAsiaTheme="minorEastAsia"/>
          <w:lang w:eastAsia="en-US"/>
        </w:rPr>
        <w:t xml:space="preserve">reported they completed 2,151 discipline processes, </w:t>
      </w:r>
      <w:r>
        <w:rPr>
          <w:rFonts w:eastAsiaTheme="minorEastAsia"/>
          <w:lang w:eastAsia="en-US"/>
        </w:rPr>
        <w:t>up</w:t>
      </w:r>
      <w:r w:rsidRPr="0B9E2B58">
        <w:rPr>
          <w:rFonts w:eastAsiaTheme="minorEastAsia"/>
          <w:lang w:eastAsia="en-US"/>
        </w:rPr>
        <w:t xml:space="preserve"> from 1,974 in 2021-22.</w:t>
      </w:r>
      <w:bookmarkEnd w:id="106"/>
      <w:r>
        <w:rPr>
          <w:rFonts w:eastAsiaTheme="minorEastAsia"/>
          <w:lang w:eastAsia="en-US"/>
        </w:rPr>
        <w:t xml:space="preserve"> </w:t>
      </w:r>
    </w:p>
    <w:p w14:paraId="30B56E91" w14:textId="77777777" w:rsidR="000D42F1" w:rsidRDefault="000D42F1">
      <w:pPr>
        <w:rPr>
          <w:rFonts w:eastAsiaTheme="minorEastAsia"/>
          <w:lang w:eastAsia="en-US"/>
        </w:rPr>
      </w:pPr>
      <w:r>
        <w:rPr>
          <w:rFonts w:eastAsiaTheme="minorEastAsia"/>
          <w:lang w:eastAsia="en-US"/>
        </w:rPr>
        <w:t>Fewer</w:t>
      </w:r>
      <w:r w:rsidRPr="007F53E0">
        <w:rPr>
          <w:rFonts w:eastAsiaTheme="minorEastAsia"/>
          <w:lang w:eastAsia="en-US"/>
        </w:rPr>
        <w:t xml:space="preserve"> authorities reported completing disciplinary process </w:t>
      </w:r>
      <w:r w:rsidRPr="00323D86">
        <w:rPr>
          <w:rFonts w:eastAsiaTheme="minorEastAsia"/>
          <w:lang w:eastAsia="en-US"/>
        </w:rPr>
        <w:t>this year</w:t>
      </w:r>
      <w:r w:rsidRPr="007F53E0">
        <w:rPr>
          <w:rFonts w:eastAsiaTheme="minorEastAsia"/>
          <w:lang w:eastAsia="en-US"/>
        </w:rPr>
        <w:t xml:space="preserve">, </w:t>
      </w:r>
      <w:r w:rsidRPr="00B76D22">
        <w:rPr>
          <w:rFonts w:eastAsiaTheme="minorEastAsia"/>
          <w:lang w:eastAsia="en-US"/>
        </w:rPr>
        <w:t xml:space="preserve">with 50.9% of authorities reporting having completed at least one disciplinary process in 2022-23 compared to 54.0% </w:t>
      </w:r>
      <w:r w:rsidRPr="00323D86">
        <w:rPr>
          <w:rFonts w:eastAsiaTheme="minorEastAsia"/>
          <w:lang w:eastAsia="en-US"/>
        </w:rPr>
        <w:t>in 2021-22.</w:t>
      </w:r>
    </w:p>
    <w:p w14:paraId="3B5F7875" w14:textId="6384C56E" w:rsidR="000D42F1" w:rsidRDefault="000D42F1">
      <w:pPr>
        <w:rPr>
          <w:rFonts w:eastAsiaTheme="minorEastAsia"/>
          <w:lang w:eastAsia="en-US"/>
        </w:rPr>
      </w:pPr>
      <w:r w:rsidRPr="00323D86">
        <w:rPr>
          <w:rFonts w:eastAsiaTheme="minorEastAsia"/>
          <w:lang w:eastAsia="en-US"/>
        </w:rPr>
        <w:t>The number of allegations arising from these processes increased to 3,075 this year, compared to 2,818 in 2021-22</w:t>
      </w:r>
      <w:r>
        <w:rPr>
          <w:rFonts w:eastAsiaTheme="minorEastAsia"/>
          <w:lang w:eastAsia="en-US"/>
        </w:rPr>
        <w:t xml:space="preserve"> (</w:t>
      </w:r>
      <w:r w:rsidR="00594B19">
        <w:rPr>
          <w:rFonts w:eastAsiaTheme="minorEastAsia"/>
          <w:lang w:eastAsia="en-US"/>
        </w:rPr>
        <w:fldChar w:fldCharType="begin"/>
      </w:r>
      <w:r w:rsidR="00594B19">
        <w:rPr>
          <w:rFonts w:eastAsiaTheme="minorEastAsia"/>
          <w:lang w:eastAsia="en-US"/>
        </w:rPr>
        <w:instrText xml:space="preserve"> REF _Ref84257331 \h </w:instrText>
      </w:r>
      <w:r w:rsidR="005D273F">
        <w:rPr>
          <w:rFonts w:eastAsiaTheme="minorEastAsia"/>
          <w:lang w:eastAsia="en-US"/>
        </w:rPr>
        <w:instrText xml:space="preserve"> \* MERGEFORMAT </w:instrText>
      </w:r>
      <w:r w:rsidR="00594B19">
        <w:rPr>
          <w:rFonts w:eastAsiaTheme="minorEastAsia"/>
          <w:lang w:eastAsia="en-US"/>
        </w:rPr>
      </w:r>
      <w:r w:rsidR="00594B19">
        <w:rPr>
          <w:rFonts w:eastAsiaTheme="minorEastAsia"/>
          <w:lang w:eastAsia="en-US"/>
        </w:rPr>
        <w:fldChar w:fldCharType="separate"/>
      </w:r>
      <w:r w:rsidR="0048418F" w:rsidRPr="0048418F">
        <w:rPr>
          <w:rFonts w:eastAsiaTheme="minorEastAsia"/>
          <w:lang w:eastAsia="en-US"/>
        </w:rPr>
        <w:t>Table 19</w:t>
      </w:r>
      <w:r w:rsidR="00594B19">
        <w:rPr>
          <w:rFonts w:eastAsiaTheme="minorEastAsia"/>
          <w:lang w:eastAsia="en-US"/>
        </w:rPr>
        <w:fldChar w:fldCharType="end"/>
      </w:r>
      <w:r>
        <w:rPr>
          <w:rFonts w:eastAsiaTheme="minorEastAsia"/>
          <w:lang w:eastAsia="en-US"/>
        </w:rPr>
        <w:t>)</w:t>
      </w:r>
      <w:r w:rsidRPr="00323D86">
        <w:rPr>
          <w:rFonts w:eastAsiaTheme="minorEastAsia"/>
          <w:lang w:eastAsia="en-US"/>
        </w:rPr>
        <w:t xml:space="preserve">. </w:t>
      </w:r>
    </w:p>
    <w:p w14:paraId="589CFACB" w14:textId="77777777" w:rsidR="000D42F1" w:rsidRDefault="000D42F1" w:rsidP="00594B19">
      <w:pPr>
        <w:rPr>
          <w:rFonts w:eastAsiaTheme="minorEastAsia"/>
          <w:lang w:eastAsia="en-US"/>
        </w:rPr>
      </w:pPr>
      <w:r w:rsidRPr="00E129E1">
        <w:rPr>
          <w:rFonts w:eastAsiaTheme="minorEastAsia"/>
          <w:lang w:eastAsia="en-US"/>
        </w:rPr>
        <w:t>The increase in total allegations</w:t>
      </w:r>
      <w:r>
        <w:rPr>
          <w:rFonts w:eastAsiaTheme="minorEastAsia"/>
          <w:lang w:eastAsia="en-US"/>
        </w:rPr>
        <w:t xml:space="preserve"> largely comprises:</w:t>
      </w:r>
      <w:r w:rsidRPr="00E129E1">
        <w:rPr>
          <w:rFonts w:eastAsiaTheme="minorEastAsia"/>
          <w:lang w:eastAsia="en-US"/>
        </w:rPr>
        <w:t xml:space="preserve"> </w:t>
      </w:r>
    </w:p>
    <w:p w14:paraId="194E12DE" w14:textId="77777777" w:rsidR="000D42F1" w:rsidRDefault="000D42F1">
      <w:pPr>
        <w:pStyle w:val="ListParagraph"/>
        <w:numPr>
          <w:ilvl w:val="0"/>
          <w:numId w:val="22"/>
        </w:numPr>
        <w:ind w:left="426" w:hanging="426"/>
        <w:rPr>
          <w:rFonts w:eastAsiaTheme="minorEastAsia"/>
          <w:lang w:eastAsia="en-US"/>
        </w:rPr>
      </w:pPr>
      <w:r w:rsidRPr="00013E9A">
        <w:rPr>
          <w:rFonts w:eastAsiaTheme="minorEastAsia"/>
          <w:lang w:eastAsia="en-US"/>
        </w:rPr>
        <w:t xml:space="preserve">638 allegations of offensive or inappropriate personal behaviour (increase of 162 allegations from 2021-22) </w:t>
      </w:r>
    </w:p>
    <w:p w14:paraId="63368F4F" w14:textId="77777777" w:rsidR="000D42F1" w:rsidRDefault="000D42F1">
      <w:pPr>
        <w:pStyle w:val="ListParagraph"/>
        <w:numPr>
          <w:ilvl w:val="0"/>
          <w:numId w:val="22"/>
        </w:numPr>
        <w:ind w:left="426" w:hanging="426"/>
        <w:rPr>
          <w:rFonts w:eastAsiaTheme="minorEastAsia"/>
          <w:lang w:eastAsia="en-US"/>
        </w:rPr>
      </w:pPr>
      <w:r w:rsidRPr="00013E9A">
        <w:rPr>
          <w:rFonts w:eastAsiaTheme="minorEastAsia"/>
          <w:lang w:eastAsia="en-US"/>
        </w:rPr>
        <w:t>582 allegations of disobeying or disregarding a direction or lawful order (increase of 52 allegations from 2021-22 primarily related to employees who did not comply with COVID-19 vaccination requirements)</w:t>
      </w:r>
    </w:p>
    <w:p w14:paraId="3F24C089" w14:textId="77777777" w:rsidR="000D42F1" w:rsidRPr="00013E9A" w:rsidRDefault="000D42F1">
      <w:pPr>
        <w:pStyle w:val="ListParagraph"/>
        <w:numPr>
          <w:ilvl w:val="0"/>
          <w:numId w:val="22"/>
        </w:numPr>
        <w:ind w:left="426" w:hanging="426"/>
        <w:rPr>
          <w:rFonts w:eastAsiaTheme="minorEastAsia"/>
          <w:lang w:eastAsia="en-US"/>
        </w:rPr>
      </w:pPr>
      <w:r>
        <w:rPr>
          <w:rFonts w:eastAsiaTheme="minorEastAsia"/>
          <w:lang w:eastAsia="en-US"/>
        </w:rPr>
        <w:t>263 allegations of neglect of duty (increase of 43 allegations from 2021-22).</w:t>
      </w:r>
    </w:p>
    <w:p w14:paraId="7FFB24C1" w14:textId="77777777" w:rsidR="000D42F1" w:rsidRPr="00323D86" w:rsidRDefault="000D42F1" w:rsidP="00B533B0">
      <w:pPr>
        <w:spacing w:line="240" w:lineRule="auto"/>
        <w:contextualSpacing/>
        <w:rPr>
          <w:rFonts w:eastAsiaTheme="minorEastAsia"/>
          <w:lang w:eastAsia="en-US"/>
        </w:rPr>
      </w:pPr>
      <w:r>
        <w:t>Of the remaining types of unethical conduct:</w:t>
      </w:r>
    </w:p>
    <w:p w14:paraId="60BDE9E9" w14:textId="77777777" w:rsidR="000D42F1" w:rsidRDefault="000D42F1">
      <w:pPr>
        <w:pStyle w:val="ListParagraph"/>
        <w:numPr>
          <w:ilvl w:val="0"/>
          <w:numId w:val="11"/>
        </w:numPr>
        <w:spacing w:line="240" w:lineRule="auto"/>
        <w:ind w:left="426" w:hanging="426"/>
      </w:pPr>
      <w:r w:rsidRPr="00F53312">
        <w:t>workplace bribes</w:t>
      </w:r>
      <w:r>
        <w:t xml:space="preserve"> or </w:t>
      </w:r>
      <w:r w:rsidRPr="00F53312">
        <w:t>theft increase</w:t>
      </w:r>
      <w:r>
        <w:t>d to 52 allegations, up</w:t>
      </w:r>
      <w:r w:rsidRPr="00F53312">
        <w:t xml:space="preserve"> from 14 in 2021-22</w:t>
      </w:r>
    </w:p>
    <w:p w14:paraId="70C37BC3" w14:textId="77777777" w:rsidR="000D42F1" w:rsidRPr="00521230" w:rsidRDefault="000D42F1">
      <w:pPr>
        <w:pStyle w:val="ListParagraph"/>
        <w:numPr>
          <w:ilvl w:val="0"/>
          <w:numId w:val="11"/>
        </w:numPr>
        <w:spacing w:line="240" w:lineRule="auto"/>
        <w:ind w:left="426" w:hanging="426"/>
      </w:pPr>
      <w:r w:rsidRPr="00D4280A">
        <w:t>unauthorised secondary employment outside work</w:t>
      </w:r>
      <w:r>
        <w:t xml:space="preserve"> </w:t>
      </w:r>
      <w:r w:rsidRPr="00D4280A">
        <w:t>increase</w:t>
      </w:r>
      <w:r>
        <w:t>d to 37 allegations, up</w:t>
      </w:r>
      <w:r w:rsidRPr="00D4280A">
        <w:t xml:space="preserve"> from 12 in 202</w:t>
      </w:r>
      <w:r>
        <w:t>1</w:t>
      </w:r>
      <w:r w:rsidRPr="00D4280A">
        <w:t>-2</w:t>
      </w:r>
      <w:r>
        <w:t>2</w:t>
      </w:r>
    </w:p>
    <w:p w14:paraId="166FEC2B" w14:textId="77777777" w:rsidR="000D42F1" w:rsidRDefault="000D42F1">
      <w:pPr>
        <w:pStyle w:val="ListParagraph"/>
        <w:numPr>
          <w:ilvl w:val="0"/>
          <w:numId w:val="11"/>
        </w:numPr>
        <w:spacing w:line="240" w:lineRule="auto"/>
        <w:ind w:left="426" w:hanging="426"/>
      </w:pPr>
      <w:r>
        <w:t>f</w:t>
      </w:r>
      <w:r w:rsidRPr="000419AD">
        <w:t>ailing to act with integrity</w:t>
      </w:r>
      <w:r>
        <w:t xml:space="preserve"> decreased to 80 allegations, down from 119 in 2021-22</w:t>
      </w:r>
    </w:p>
    <w:p w14:paraId="5EC3D8B4" w14:textId="77777777" w:rsidR="000D42F1" w:rsidRDefault="000D42F1">
      <w:pPr>
        <w:pStyle w:val="ListParagraph"/>
        <w:numPr>
          <w:ilvl w:val="0"/>
          <w:numId w:val="11"/>
        </w:numPr>
        <w:spacing w:line="240" w:lineRule="auto"/>
        <w:ind w:left="426" w:hanging="426"/>
      </w:pPr>
      <w:r>
        <w:t>f</w:t>
      </w:r>
      <w:r w:rsidRPr="000419AD">
        <w:t>raudulent behaviour</w:t>
      </w:r>
      <w:r>
        <w:t xml:space="preserve"> or </w:t>
      </w:r>
      <w:r w:rsidRPr="000419AD">
        <w:t>falsification of information</w:t>
      </w:r>
      <w:r>
        <w:t xml:space="preserve"> or </w:t>
      </w:r>
      <w:r w:rsidRPr="000419AD">
        <w:t>records</w:t>
      </w:r>
      <w:r>
        <w:t xml:space="preserve"> decreased to 173 allegations, down from 196 in 2021-22.</w:t>
      </w:r>
    </w:p>
    <w:p w14:paraId="1A5D5C3E" w14:textId="77777777" w:rsidR="000D42F1" w:rsidRDefault="000D42F1">
      <w:r>
        <w:rPr>
          <w:rFonts w:eastAsiaTheme="minorEastAsia"/>
          <w:lang w:eastAsia="en-US"/>
        </w:rPr>
        <w:t>T</w:t>
      </w:r>
      <w:r w:rsidRPr="00323D86">
        <w:rPr>
          <w:rFonts w:eastAsiaTheme="minorEastAsia"/>
          <w:lang w:eastAsia="en-US"/>
        </w:rPr>
        <w:t>he number of substantiated allegations</w:t>
      </w:r>
      <w:r>
        <w:rPr>
          <w:rFonts w:eastAsiaTheme="minorEastAsia"/>
          <w:lang w:eastAsia="en-US"/>
        </w:rPr>
        <w:t xml:space="preserve"> </w:t>
      </w:r>
      <w:r w:rsidRPr="00323D86">
        <w:rPr>
          <w:rFonts w:eastAsiaTheme="minorEastAsia"/>
          <w:lang w:eastAsia="en-US"/>
        </w:rPr>
        <w:t>increased from 2,254 in 2021-22 to 2,505 this year while the total percentage of allegations substantiated increased slightly from 80.0% in 2021-22 to 81.5% this year.</w:t>
      </w:r>
      <w:r>
        <w:rPr>
          <w:rFonts w:eastAsiaTheme="minorEastAsia"/>
          <w:lang w:eastAsia="en-US"/>
        </w:rPr>
        <w:t xml:space="preserve"> </w:t>
      </w:r>
      <w:r>
        <w:t xml:space="preserve">While there were more allegations of discrimination, harassment, </w:t>
      </w:r>
      <w:r>
        <w:lastRenderedPageBreak/>
        <w:t>sexual assault or other discriminatory or indecent behaviour, these types of conduct were the least likely to be substantiated (55.7% substantiated).</w:t>
      </w:r>
    </w:p>
    <w:p w14:paraId="0AA86AC1" w14:textId="6D2024A3" w:rsidR="000D42F1" w:rsidRPr="00671B4C" w:rsidRDefault="000D42F1">
      <w:pPr>
        <w:pStyle w:val="Caption"/>
        <w:spacing w:before="240"/>
        <w:rPr>
          <w:b/>
          <w:bCs/>
        </w:rPr>
      </w:pPr>
      <w:bookmarkStart w:id="107" w:name="_Ref84257331"/>
      <w:r w:rsidRPr="00671B4C">
        <w:rPr>
          <w:b/>
          <w:bCs/>
        </w:rPr>
        <w:t xml:space="preserve">Table </w:t>
      </w:r>
      <w:r w:rsidRPr="00671B4C">
        <w:rPr>
          <w:b/>
          <w:bCs/>
        </w:rPr>
        <w:fldChar w:fldCharType="begin"/>
      </w:r>
      <w:r w:rsidRPr="00671B4C">
        <w:rPr>
          <w:b/>
          <w:bCs/>
        </w:rPr>
        <w:instrText>SEQ Table \* ARABIC</w:instrText>
      </w:r>
      <w:r w:rsidRPr="00671B4C">
        <w:rPr>
          <w:b/>
          <w:bCs/>
        </w:rPr>
        <w:fldChar w:fldCharType="separate"/>
      </w:r>
      <w:r w:rsidR="0048418F">
        <w:rPr>
          <w:b/>
          <w:bCs/>
          <w:noProof/>
        </w:rPr>
        <w:t>19</w:t>
      </w:r>
      <w:r w:rsidRPr="00671B4C">
        <w:rPr>
          <w:b/>
          <w:bCs/>
        </w:rPr>
        <w:fldChar w:fldCharType="end"/>
      </w:r>
      <w:bookmarkEnd w:id="107"/>
      <w:r w:rsidRPr="00671B4C">
        <w:rPr>
          <w:b/>
          <w:bCs/>
        </w:rPr>
        <w:t xml:space="preserve">: Allegations of unethical </w:t>
      </w:r>
      <w:r w:rsidRPr="00046516">
        <w:rPr>
          <w:b/>
          <w:bCs/>
        </w:rPr>
        <w:t xml:space="preserve">conduct </w:t>
      </w:r>
      <w:r w:rsidRPr="00671B4C">
        <w:rPr>
          <w:b/>
          <w:bCs/>
        </w:rPr>
        <w:t>by type and number, WA government sector 202</w:t>
      </w:r>
      <w:r>
        <w:rPr>
          <w:b/>
          <w:bCs/>
        </w:rPr>
        <w:t>1</w:t>
      </w:r>
      <w:r w:rsidRPr="00671B4C">
        <w:rPr>
          <w:b/>
          <w:bCs/>
        </w:rPr>
        <w:t>-2</w:t>
      </w:r>
      <w:r>
        <w:rPr>
          <w:b/>
          <w:bCs/>
        </w:rPr>
        <w:t>2</w:t>
      </w:r>
      <w:r w:rsidRPr="00671B4C">
        <w:rPr>
          <w:b/>
          <w:bCs/>
        </w:rPr>
        <w:t xml:space="preserve"> and 202</w:t>
      </w:r>
      <w:r>
        <w:rPr>
          <w:b/>
          <w:bCs/>
        </w:rPr>
        <w:t>2</w:t>
      </w:r>
      <w:r w:rsidRPr="00671B4C">
        <w:rPr>
          <w:b/>
          <w:bCs/>
        </w:rPr>
        <w:t>-2</w:t>
      </w:r>
      <w:r>
        <w:rPr>
          <w:b/>
          <w:bCs/>
        </w:rPr>
        <w:t>3</w:t>
      </w:r>
    </w:p>
    <w:tbl>
      <w:tblPr>
        <w:tblW w:w="9738" w:type="dxa"/>
        <w:tblInd w:w="-1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19: Allegations of unethical conduct by type and number, WA government sector 2021-22 and 2022-23"/>
      </w:tblPr>
      <w:tblGrid>
        <w:gridCol w:w="3360"/>
        <w:gridCol w:w="1458"/>
        <w:gridCol w:w="1583"/>
        <w:gridCol w:w="1590"/>
        <w:gridCol w:w="1747"/>
      </w:tblGrid>
      <w:tr w:rsidR="003A5529" w:rsidRPr="00BD1818" w14:paraId="1EFAE5DE" w14:textId="77777777" w:rsidTr="0039634E">
        <w:trPr>
          <w:trHeight w:val="1273"/>
          <w:tblHeader/>
        </w:trPr>
        <w:tc>
          <w:tcPr>
            <w:tcW w:w="3360" w:type="dxa"/>
            <w:shd w:val="clear" w:color="auto" w:fill="auto"/>
            <w:hideMark/>
          </w:tcPr>
          <w:p w14:paraId="3765FDD5" w14:textId="33FCDAFA" w:rsidR="000D42F1" w:rsidRPr="00BD1818" w:rsidRDefault="0039634E" w:rsidP="0039634E">
            <w:pPr>
              <w:pStyle w:val="Tables"/>
              <w:spacing w:before="0" w:after="0"/>
              <w:jc w:val="left"/>
              <w:rPr>
                <w:b/>
                <w:color w:val="2E74B5" w:themeColor="accent1" w:themeShade="BF"/>
              </w:rPr>
            </w:pPr>
            <w:r w:rsidRPr="00BD1818">
              <w:rPr>
                <w:rFonts w:eastAsia="Calibri"/>
                <w:b/>
                <w:color w:val="2E74B5" w:themeColor="accent1" w:themeShade="BF"/>
              </w:rPr>
              <w:t>Type of unethical conduct</w:t>
            </w:r>
          </w:p>
        </w:tc>
        <w:tc>
          <w:tcPr>
            <w:tcW w:w="1458" w:type="dxa"/>
          </w:tcPr>
          <w:p w14:paraId="1C423ADD" w14:textId="77777777" w:rsidR="0039634E" w:rsidRDefault="004D34E4" w:rsidP="004D34E4">
            <w:pPr>
              <w:pStyle w:val="Tables"/>
              <w:spacing w:before="0" w:after="0"/>
              <w:rPr>
                <w:b/>
                <w:bCs/>
                <w:color w:val="2E74B5" w:themeColor="accent1" w:themeShade="BF"/>
              </w:rPr>
            </w:pPr>
            <w:r w:rsidRPr="516942E8">
              <w:rPr>
                <w:b/>
                <w:bCs/>
                <w:color w:val="2E74B5" w:themeColor="accent1" w:themeShade="BF"/>
              </w:rPr>
              <w:t>2021-22</w:t>
            </w:r>
          </w:p>
          <w:p w14:paraId="5EC79DE2" w14:textId="373235AF" w:rsidR="000D42F1" w:rsidRPr="00BD1818" w:rsidRDefault="000D42F1" w:rsidP="004D34E4">
            <w:pPr>
              <w:pStyle w:val="Tables"/>
              <w:spacing w:before="0" w:after="0"/>
              <w:rPr>
                <w:b/>
                <w:color w:val="2E74B5" w:themeColor="accent1" w:themeShade="BF"/>
              </w:rPr>
            </w:pPr>
            <w:r w:rsidRPr="00BD1818">
              <w:rPr>
                <w:b/>
                <w:color w:val="2E74B5" w:themeColor="accent1" w:themeShade="BF"/>
              </w:rPr>
              <w:t>Number of allegations</w:t>
            </w:r>
          </w:p>
          <w:p w14:paraId="2B00C836" w14:textId="77777777" w:rsidR="000D42F1" w:rsidRPr="00BD1818" w:rsidRDefault="000D42F1" w:rsidP="004D34E4">
            <w:pPr>
              <w:pStyle w:val="Tables"/>
              <w:spacing w:before="0" w:after="0"/>
              <w:rPr>
                <w:b/>
                <w:color w:val="2E74B5" w:themeColor="accent1" w:themeShade="BF"/>
              </w:rPr>
            </w:pPr>
            <w:r w:rsidRPr="00BD1818">
              <w:rPr>
                <w:b/>
                <w:color w:val="2E74B5" w:themeColor="accent1" w:themeShade="BF"/>
              </w:rPr>
              <w:t>(% of total)</w:t>
            </w:r>
          </w:p>
        </w:tc>
        <w:tc>
          <w:tcPr>
            <w:tcW w:w="1583" w:type="dxa"/>
          </w:tcPr>
          <w:p w14:paraId="568C7952" w14:textId="77777777" w:rsidR="0039634E" w:rsidRDefault="004D34E4" w:rsidP="004D34E4">
            <w:pPr>
              <w:pStyle w:val="Tables"/>
              <w:spacing w:before="0" w:after="0"/>
              <w:rPr>
                <w:b/>
                <w:bCs/>
                <w:color w:val="2E74B5" w:themeColor="accent1" w:themeShade="BF"/>
              </w:rPr>
            </w:pPr>
            <w:r w:rsidRPr="516942E8">
              <w:rPr>
                <w:b/>
                <w:bCs/>
                <w:color w:val="2E74B5" w:themeColor="accent1" w:themeShade="BF"/>
              </w:rPr>
              <w:t>2021-22</w:t>
            </w:r>
          </w:p>
          <w:p w14:paraId="580D82AD" w14:textId="335171EE" w:rsidR="000D42F1" w:rsidRPr="00BD1818" w:rsidRDefault="000D42F1" w:rsidP="004D34E4">
            <w:pPr>
              <w:pStyle w:val="Tables"/>
              <w:spacing w:before="0" w:after="0"/>
              <w:rPr>
                <w:b/>
                <w:color w:val="2E74B5" w:themeColor="accent1" w:themeShade="BF"/>
              </w:rPr>
            </w:pPr>
            <w:r w:rsidRPr="00BD1818">
              <w:rPr>
                <w:b/>
                <w:color w:val="2E74B5" w:themeColor="accent1" w:themeShade="BF"/>
              </w:rPr>
              <w:t>Number of substantiated allegations</w:t>
            </w:r>
          </w:p>
          <w:p w14:paraId="195B167E" w14:textId="77777777" w:rsidR="000D42F1" w:rsidRPr="00BD1818" w:rsidRDefault="000D42F1" w:rsidP="004D34E4">
            <w:pPr>
              <w:pStyle w:val="Tables"/>
              <w:spacing w:before="0" w:after="0"/>
              <w:rPr>
                <w:b/>
                <w:color w:val="2E74B5" w:themeColor="accent1" w:themeShade="BF"/>
              </w:rPr>
            </w:pPr>
            <w:r w:rsidRPr="00BD1818">
              <w:rPr>
                <w:b/>
                <w:color w:val="2E74B5" w:themeColor="accent1" w:themeShade="BF"/>
              </w:rPr>
              <w:t xml:space="preserve">(% of </w:t>
            </w:r>
            <w:r>
              <w:rPr>
                <w:b/>
                <w:color w:val="2E74B5" w:themeColor="accent1" w:themeShade="BF"/>
              </w:rPr>
              <w:t>substantiated</w:t>
            </w:r>
            <w:r w:rsidRPr="00BD1818">
              <w:rPr>
                <w:b/>
                <w:color w:val="2E74B5" w:themeColor="accent1" w:themeShade="BF"/>
              </w:rPr>
              <w:t>)</w:t>
            </w:r>
          </w:p>
        </w:tc>
        <w:tc>
          <w:tcPr>
            <w:tcW w:w="1590" w:type="dxa"/>
            <w:shd w:val="clear" w:color="auto" w:fill="auto"/>
          </w:tcPr>
          <w:p w14:paraId="7C36B453" w14:textId="1E092BF1" w:rsidR="0039634E" w:rsidRDefault="004D34E4" w:rsidP="004D34E4">
            <w:pPr>
              <w:pStyle w:val="Tables"/>
              <w:spacing w:before="0" w:after="0"/>
              <w:rPr>
                <w:b/>
                <w:bCs/>
                <w:color w:val="2E74B5" w:themeColor="accent1" w:themeShade="BF"/>
              </w:rPr>
            </w:pPr>
            <w:r w:rsidRPr="516942E8">
              <w:rPr>
                <w:b/>
                <w:bCs/>
                <w:color w:val="2E74B5" w:themeColor="accent1" w:themeShade="BF"/>
              </w:rPr>
              <w:t>202</w:t>
            </w:r>
            <w:r w:rsidR="0039634E">
              <w:rPr>
                <w:b/>
                <w:bCs/>
                <w:color w:val="2E74B5" w:themeColor="accent1" w:themeShade="BF"/>
              </w:rPr>
              <w:t>2-23</w:t>
            </w:r>
          </w:p>
          <w:p w14:paraId="567AABF9" w14:textId="54AC9756" w:rsidR="000D42F1" w:rsidRPr="00BD1818" w:rsidRDefault="000D42F1" w:rsidP="004D34E4">
            <w:pPr>
              <w:pStyle w:val="Tables"/>
              <w:spacing w:before="0" w:after="0"/>
              <w:rPr>
                <w:b/>
                <w:color w:val="2E74B5" w:themeColor="accent1" w:themeShade="BF"/>
              </w:rPr>
            </w:pPr>
            <w:r w:rsidRPr="00BD1818">
              <w:rPr>
                <w:b/>
                <w:color w:val="2E74B5" w:themeColor="accent1" w:themeShade="BF"/>
              </w:rPr>
              <w:t>Number of allegations</w:t>
            </w:r>
          </w:p>
          <w:p w14:paraId="3B24653F" w14:textId="77777777" w:rsidR="000D42F1" w:rsidRPr="00BD1818" w:rsidRDefault="000D42F1" w:rsidP="004D34E4">
            <w:pPr>
              <w:pStyle w:val="Tables"/>
              <w:spacing w:before="0" w:after="0"/>
              <w:rPr>
                <w:b/>
                <w:color w:val="2E74B5" w:themeColor="accent1" w:themeShade="BF"/>
              </w:rPr>
            </w:pPr>
            <w:r w:rsidRPr="00BD1818">
              <w:rPr>
                <w:b/>
                <w:color w:val="2E74B5" w:themeColor="accent1" w:themeShade="BF"/>
              </w:rPr>
              <w:t>(% of total)</w:t>
            </w:r>
          </w:p>
        </w:tc>
        <w:tc>
          <w:tcPr>
            <w:tcW w:w="1747" w:type="dxa"/>
            <w:shd w:val="clear" w:color="auto" w:fill="auto"/>
          </w:tcPr>
          <w:p w14:paraId="23EDAD74" w14:textId="4B1DAF1D" w:rsidR="0039634E" w:rsidRDefault="004D34E4" w:rsidP="004D34E4">
            <w:pPr>
              <w:pStyle w:val="Tables"/>
              <w:spacing w:before="0" w:after="0"/>
              <w:rPr>
                <w:b/>
                <w:bCs/>
                <w:color w:val="2E74B5" w:themeColor="accent1" w:themeShade="BF"/>
              </w:rPr>
            </w:pPr>
            <w:r w:rsidRPr="516942E8">
              <w:rPr>
                <w:b/>
                <w:bCs/>
                <w:color w:val="2E74B5" w:themeColor="accent1" w:themeShade="BF"/>
              </w:rPr>
              <w:t>202</w:t>
            </w:r>
            <w:r w:rsidR="0039634E">
              <w:rPr>
                <w:b/>
                <w:bCs/>
                <w:color w:val="2E74B5" w:themeColor="accent1" w:themeShade="BF"/>
              </w:rPr>
              <w:t>2-23</w:t>
            </w:r>
          </w:p>
          <w:p w14:paraId="7E4CEA0A" w14:textId="0C5E97AE" w:rsidR="000D42F1" w:rsidRPr="00BD1818" w:rsidRDefault="000D42F1" w:rsidP="004D34E4">
            <w:pPr>
              <w:pStyle w:val="Tables"/>
              <w:spacing w:before="0" w:after="0"/>
              <w:rPr>
                <w:b/>
                <w:color w:val="2E74B5" w:themeColor="accent1" w:themeShade="BF"/>
              </w:rPr>
            </w:pPr>
            <w:r w:rsidRPr="00BD1818">
              <w:rPr>
                <w:b/>
                <w:color w:val="2E74B5" w:themeColor="accent1" w:themeShade="BF"/>
              </w:rPr>
              <w:t>Number of substantiated allegations</w:t>
            </w:r>
          </w:p>
          <w:p w14:paraId="67BB7EC3" w14:textId="77777777" w:rsidR="000D42F1" w:rsidRPr="00BD1818" w:rsidRDefault="000D42F1" w:rsidP="004D34E4">
            <w:pPr>
              <w:pStyle w:val="Tables"/>
              <w:spacing w:before="0" w:after="0"/>
              <w:rPr>
                <w:b/>
                <w:color w:val="2E74B5" w:themeColor="accent1" w:themeShade="BF"/>
              </w:rPr>
            </w:pPr>
            <w:r w:rsidRPr="00BD1818">
              <w:rPr>
                <w:b/>
                <w:color w:val="2E74B5" w:themeColor="accent1" w:themeShade="BF"/>
              </w:rPr>
              <w:t xml:space="preserve">(% of </w:t>
            </w:r>
            <w:r>
              <w:rPr>
                <w:b/>
                <w:color w:val="2E74B5" w:themeColor="accent1" w:themeShade="BF"/>
              </w:rPr>
              <w:t>substantiated</w:t>
            </w:r>
            <w:r w:rsidRPr="00BD1818">
              <w:rPr>
                <w:b/>
                <w:color w:val="2E74B5" w:themeColor="accent1" w:themeShade="BF"/>
              </w:rPr>
              <w:t>)</w:t>
            </w:r>
          </w:p>
        </w:tc>
      </w:tr>
      <w:tr w:rsidR="003A5529" w:rsidRPr="007162D4" w14:paraId="5B0C8C4B" w14:textId="77777777" w:rsidTr="007D4CFC">
        <w:trPr>
          <w:trHeight w:val="454"/>
        </w:trPr>
        <w:tc>
          <w:tcPr>
            <w:tcW w:w="3360" w:type="dxa"/>
            <w:shd w:val="clear" w:color="auto" w:fill="auto"/>
            <w:noWrap/>
            <w:vAlign w:val="bottom"/>
            <w:hideMark/>
          </w:tcPr>
          <w:p w14:paraId="1A514620" w14:textId="662F78A8" w:rsidR="000D42F1" w:rsidRPr="007162D4" w:rsidRDefault="000D42F1" w:rsidP="00ED1AB5">
            <w:pPr>
              <w:pStyle w:val="Tables"/>
              <w:jc w:val="left"/>
            </w:pPr>
            <w:r>
              <w:t>Offensive or inappropriate personal behaviour (e.g. threatening or abusive language</w:t>
            </w:r>
            <w:r w:rsidR="004D1E49">
              <w:t xml:space="preserve"> or </w:t>
            </w:r>
            <w:r>
              <w:t>conduct)</w:t>
            </w:r>
          </w:p>
        </w:tc>
        <w:tc>
          <w:tcPr>
            <w:tcW w:w="1458" w:type="dxa"/>
            <w:vAlign w:val="center"/>
          </w:tcPr>
          <w:p w14:paraId="3AFBF040" w14:textId="77777777" w:rsidR="000D42F1" w:rsidRPr="007162D4" w:rsidRDefault="000D42F1" w:rsidP="00ED1AB5">
            <w:pPr>
              <w:pStyle w:val="Tables"/>
            </w:pPr>
            <w:r>
              <w:t>476 (16.9%)</w:t>
            </w:r>
          </w:p>
        </w:tc>
        <w:tc>
          <w:tcPr>
            <w:tcW w:w="1583" w:type="dxa"/>
            <w:vAlign w:val="center"/>
          </w:tcPr>
          <w:p w14:paraId="6E3C8AAF" w14:textId="77777777" w:rsidR="000D42F1" w:rsidRPr="007162D4" w:rsidRDefault="000D42F1" w:rsidP="00ED1AB5">
            <w:pPr>
              <w:pStyle w:val="Tables"/>
            </w:pPr>
            <w:r>
              <w:t>335 (14.9%)</w:t>
            </w:r>
          </w:p>
        </w:tc>
        <w:tc>
          <w:tcPr>
            <w:tcW w:w="1590" w:type="dxa"/>
            <w:shd w:val="clear" w:color="auto" w:fill="auto"/>
            <w:noWrap/>
            <w:vAlign w:val="center"/>
          </w:tcPr>
          <w:p w14:paraId="23A147B3" w14:textId="77777777" w:rsidR="000D42F1" w:rsidRPr="007162D4" w:rsidRDefault="000D42F1" w:rsidP="00ED1AB5">
            <w:pPr>
              <w:pStyle w:val="Tables"/>
            </w:pPr>
            <w:r w:rsidRPr="004D75A2">
              <w:t>638 (20.7%)</w:t>
            </w:r>
          </w:p>
        </w:tc>
        <w:tc>
          <w:tcPr>
            <w:tcW w:w="1747" w:type="dxa"/>
            <w:shd w:val="clear" w:color="auto" w:fill="auto"/>
            <w:noWrap/>
            <w:vAlign w:val="center"/>
          </w:tcPr>
          <w:p w14:paraId="7D4855B2" w14:textId="77777777" w:rsidR="000D42F1" w:rsidRPr="007162D4" w:rsidRDefault="000D42F1" w:rsidP="00ED1AB5">
            <w:pPr>
              <w:pStyle w:val="Tables"/>
            </w:pPr>
            <w:r w:rsidRPr="004D75A2">
              <w:t>493 (19.7%)</w:t>
            </w:r>
          </w:p>
        </w:tc>
      </w:tr>
      <w:tr w:rsidR="003A5529" w:rsidRPr="007162D4" w14:paraId="57C00591" w14:textId="77777777" w:rsidTr="007D4CFC">
        <w:trPr>
          <w:trHeight w:val="454"/>
        </w:trPr>
        <w:tc>
          <w:tcPr>
            <w:tcW w:w="3360" w:type="dxa"/>
            <w:shd w:val="clear" w:color="auto" w:fill="auto"/>
            <w:noWrap/>
            <w:vAlign w:val="bottom"/>
            <w:hideMark/>
          </w:tcPr>
          <w:p w14:paraId="0B6EF231" w14:textId="77777777" w:rsidR="000D42F1" w:rsidRPr="007162D4" w:rsidRDefault="000D42F1" w:rsidP="00ED1AB5">
            <w:pPr>
              <w:pStyle w:val="Tables"/>
              <w:jc w:val="left"/>
            </w:pPr>
            <w:r>
              <w:t>Repeated unreasonable or inappropriate behaviour directed towards a worker, or group of workers, that creates a risk to health and safety (e.g. bullying)</w:t>
            </w:r>
          </w:p>
        </w:tc>
        <w:tc>
          <w:tcPr>
            <w:tcW w:w="1458" w:type="dxa"/>
            <w:vAlign w:val="center"/>
          </w:tcPr>
          <w:p w14:paraId="3A4DE637" w14:textId="77777777" w:rsidR="000D42F1" w:rsidRPr="007162D4" w:rsidRDefault="000D42F1" w:rsidP="00ED1AB5">
            <w:pPr>
              <w:pStyle w:val="Tables"/>
            </w:pPr>
            <w:r>
              <w:t>209 (7.4%)</w:t>
            </w:r>
          </w:p>
        </w:tc>
        <w:tc>
          <w:tcPr>
            <w:tcW w:w="1583" w:type="dxa"/>
            <w:vAlign w:val="center"/>
          </w:tcPr>
          <w:p w14:paraId="5985B075" w14:textId="77777777" w:rsidR="000D42F1" w:rsidRPr="007162D4" w:rsidRDefault="000D42F1" w:rsidP="00ED1AB5">
            <w:pPr>
              <w:pStyle w:val="Tables"/>
            </w:pPr>
            <w:r>
              <w:t>117 (5.2%)</w:t>
            </w:r>
          </w:p>
        </w:tc>
        <w:tc>
          <w:tcPr>
            <w:tcW w:w="1590" w:type="dxa"/>
            <w:shd w:val="clear" w:color="auto" w:fill="auto"/>
            <w:noWrap/>
            <w:vAlign w:val="center"/>
          </w:tcPr>
          <w:p w14:paraId="78CF6898" w14:textId="77777777" w:rsidR="000D42F1" w:rsidRPr="007162D4" w:rsidRDefault="000D42F1" w:rsidP="00ED1AB5">
            <w:pPr>
              <w:pStyle w:val="Tables"/>
            </w:pPr>
            <w:r w:rsidRPr="004D75A2">
              <w:t>198 (6</w:t>
            </w:r>
            <w:r>
              <w:t>.4%)</w:t>
            </w:r>
          </w:p>
        </w:tc>
        <w:tc>
          <w:tcPr>
            <w:tcW w:w="1747" w:type="dxa"/>
            <w:shd w:val="clear" w:color="auto" w:fill="auto"/>
            <w:noWrap/>
            <w:vAlign w:val="center"/>
          </w:tcPr>
          <w:p w14:paraId="47EC853B" w14:textId="77777777" w:rsidR="000D42F1" w:rsidRPr="007162D4" w:rsidRDefault="000D42F1" w:rsidP="00ED1AB5">
            <w:pPr>
              <w:pStyle w:val="Tables"/>
              <w:rPr>
                <w:rFonts w:eastAsia="Arial"/>
                <w:color w:val="000000" w:themeColor="text1"/>
                <w:sz w:val="22"/>
                <w:szCs w:val="22"/>
              </w:rPr>
            </w:pPr>
            <w:r w:rsidRPr="004D75A2">
              <w:t>116 (4.6%)</w:t>
            </w:r>
          </w:p>
        </w:tc>
      </w:tr>
      <w:tr w:rsidR="003A5529" w:rsidRPr="007162D4" w14:paraId="625F444B" w14:textId="77777777" w:rsidTr="007D4CFC">
        <w:trPr>
          <w:trHeight w:val="454"/>
        </w:trPr>
        <w:tc>
          <w:tcPr>
            <w:tcW w:w="3360" w:type="dxa"/>
            <w:shd w:val="clear" w:color="auto" w:fill="auto"/>
            <w:noWrap/>
            <w:vAlign w:val="bottom"/>
            <w:hideMark/>
          </w:tcPr>
          <w:p w14:paraId="7CA28368" w14:textId="77777777" w:rsidR="000D42F1" w:rsidRPr="007162D4" w:rsidRDefault="000D42F1" w:rsidP="00ED1AB5">
            <w:pPr>
              <w:pStyle w:val="Tables"/>
              <w:jc w:val="left"/>
            </w:pPr>
            <w:r>
              <w:t>Failure to manage conflict of interest (public role vs personal interests)</w:t>
            </w:r>
          </w:p>
        </w:tc>
        <w:tc>
          <w:tcPr>
            <w:tcW w:w="1458" w:type="dxa"/>
            <w:vAlign w:val="center"/>
          </w:tcPr>
          <w:p w14:paraId="01983707" w14:textId="77777777" w:rsidR="000D42F1" w:rsidRPr="007162D4" w:rsidRDefault="000D42F1" w:rsidP="00ED1AB5">
            <w:pPr>
              <w:pStyle w:val="Tables"/>
            </w:pPr>
            <w:r>
              <w:t>62 (2.2%)</w:t>
            </w:r>
          </w:p>
        </w:tc>
        <w:tc>
          <w:tcPr>
            <w:tcW w:w="1583" w:type="dxa"/>
            <w:vAlign w:val="center"/>
          </w:tcPr>
          <w:p w14:paraId="4783BFF7" w14:textId="77777777" w:rsidR="000D42F1" w:rsidRPr="007162D4" w:rsidRDefault="000D42F1" w:rsidP="00ED1AB5">
            <w:pPr>
              <w:pStyle w:val="Tables"/>
            </w:pPr>
            <w:r>
              <w:t>48 (2.1%)</w:t>
            </w:r>
          </w:p>
        </w:tc>
        <w:tc>
          <w:tcPr>
            <w:tcW w:w="1590" w:type="dxa"/>
            <w:shd w:val="clear" w:color="auto" w:fill="auto"/>
            <w:noWrap/>
            <w:vAlign w:val="center"/>
          </w:tcPr>
          <w:p w14:paraId="246837F5" w14:textId="77777777" w:rsidR="000D42F1" w:rsidRPr="007162D4" w:rsidRDefault="000D42F1" w:rsidP="00ED1AB5">
            <w:pPr>
              <w:pStyle w:val="Tables"/>
              <w:rPr>
                <w:rFonts w:eastAsia="Arial"/>
                <w:color w:val="000000" w:themeColor="text1"/>
                <w:sz w:val="22"/>
                <w:szCs w:val="22"/>
              </w:rPr>
            </w:pPr>
            <w:r w:rsidRPr="004D75A2">
              <w:t>68</w:t>
            </w:r>
            <w:r>
              <w:t xml:space="preserve"> (2.2%)</w:t>
            </w:r>
          </w:p>
        </w:tc>
        <w:tc>
          <w:tcPr>
            <w:tcW w:w="1747" w:type="dxa"/>
            <w:shd w:val="clear" w:color="auto" w:fill="auto"/>
            <w:noWrap/>
            <w:vAlign w:val="center"/>
          </w:tcPr>
          <w:p w14:paraId="4D376D0C" w14:textId="77777777" w:rsidR="000D42F1" w:rsidRPr="007162D4" w:rsidRDefault="000D42F1" w:rsidP="00ED1AB5">
            <w:pPr>
              <w:pStyle w:val="Tables"/>
            </w:pPr>
            <w:r>
              <w:t>48 (1</w:t>
            </w:r>
            <w:r w:rsidRPr="004D75A2">
              <w:t>.9</w:t>
            </w:r>
            <w:r>
              <w:t>%)</w:t>
            </w:r>
          </w:p>
        </w:tc>
      </w:tr>
      <w:tr w:rsidR="003A5529" w:rsidRPr="007162D4" w14:paraId="58C7FEEE" w14:textId="77777777" w:rsidTr="007D4CFC">
        <w:trPr>
          <w:trHeight w:val="454"/>
        </w:trPr>
        <w:tc>
          <w:tcPr>
            <w:tcW w:w="3360" w:type="dxa"/>
            <w:shd w:val="clear" w:color="auto" w:fill="auto"/>
            <w:noWrap/>
            <w:vAlign w:val="bottom"/>
            <w:hideMark/>
          </w:tcPr>
          <w:p w14:paraId="7BCBD067" w14:textId="2273507F" w:rsidR="000D42F1" w:rsidRPr="007162D4" w:rsidRDefault="000D42F1" w:rsidP="00ED1AB5">
            <w:pPr>
              <w:pStyle w:val="Tables"/>
              <w:jc w:val="left"/>
            </w:pPr>
            <w:r>
              <w:t>Inappropriate acceptance</w:t>
            </w:r>
            <w:r w:rsidR="004D1E49">
              <w:t xml:space="preserve"> or </w:t>
            </w:r>
            <w:r>
              <w:t>provision of gift</w:t>
            </w:r>
            <w:r w:rsidR="004D1E49">
              <w:t xml:space="preserve"> or </w:t>
            </w:r>
            <w:r>
              <w:t>benefit</w:t>
            </w:r>
          </w:p>
        </w:tc>
        <w:tc>
          <w:tcPr>
            <w:tcW w:w="1458" w:type="dxa"/>
            <w:vAlign w:val="center"/>
          </w:tcPr>
          <w:p w14:paraId="5506F37B" w14:textId="77777777" w:rsidR="000D42F1" w:rsidRPr="007162D4" w:rsidRDefault="000D42F1" w:rsidP="00ED1AB5">
            <w:pPr>
              <w:pStyle w:val="Tables"/>
            </w:pPr>
            <w:r>
              <w:t>18 (0.6%)</w:t>
            </w:r>
          </w:p>
        </w:tc>
        <w:tc>
          <w:tcPr>
            <w:tcW w:w="1583" w:type="dxa"/>
            <w:vAlign w:val="center"/>
          </w:tcPr>
          <w:p w14:paraId="06B79D77" w14:textId="77777777" w:rsidR="000D42F1" w:rsidRPr="007162D4" w:rsidRDefault="000D42F1" w:rsidP="00ED1AB5">
            <w:pPr>
              <w:pStyle w:val="Tables"/>
            </w:pPr>
            <w:r>
              <w:t>17 (0.8%)</w:t>
            </w:r>
          </w:p>
        </w:tc>
        <w:tc>
          <w:tcPr>
            <w:tcW w:w="1590" w:type="dxa"/>
            <w:shd w:val="clear" w:color="auto" w:fill="auto"/>
            <w:noWrap/>
            <w:vAlign w:val="center"/>
          </w:tcPr>
          <w:p w14:paraId="4D20814C" w14:textId="77777777" w:rsidR="000D42F1" w:rsidRPr="007162D4" w:rsidRDefault="000D42F1" w:rsidP="00ED1AB5">
            <w:pPr>
              <w:pStyle w:val="Tables"/>
              <w:rPr>
                <w:rFonts w:eastAsia="Arial"/>
                <w:color w:val="000000" w:themeColor="text1"/>
                <w:sz w:val="22"/>
                <w:szCs w:val="22"/>
              </w:rPr>
            </w:pPr>
            <w:r w:rsidRPr="004D75A2">
              <w:t>2</w:t>
            </w:r>
            <w:r>
              <w:t xml:space="preserve"> (0.</w:t>
            </w:r>
            <w:r w:rsidRPr="004D75A2">
              <w:t>1</w:t>
            </w:r>
            <w:r>
              <w:t>%)</w:t>
            </w:r>
          </w:p>
        </w:tc>
        <w:tc>
          <w:tcPr>
            <w:tcW w:w="1747" w:type="dxa"/>
            <w:shd w:val="clear" w:color="auto" w:fill="auto"/>
            <w:noWrap/>
            <w:vAlign w:val="center"/>
          </w:tcPr>
          <w:p w14:paraId="730D1ABF" w14:textId="77777777" w:rsidR="000D42F1" w:rsidRPr="007162D4" w:rsidRDefault="000D42F1" w:rsidP="00ED1AB5">
            <w:pPr>
              <w:pStyle w:val="Tables"/>
              <w:rPr>
                <w:rFonts w:eastAsia="Arial"/>
                <w:color w:val="000000" w:themeColor="text1"/>
                <w:sz w:val="22"/>
                <w:szCs w:val="22"/>
              </w:rPr>
            </w:pPr>
            <w:r w:rsidRPr="004D75A2">
              <w:t>2</w:t>
            </w:r>
            <w:r>
              <w:t xml:space="preserve"> (0.</w:t>
            </w:r>
            <w:r w:rsidRPr="004D75A2">
              <w:t>1</w:t>
            </w:r>
            <w:r>
              <w:t>%)</w:t>
            </w:r>
          </w:p>
        </w:tc>
      </w:tr>
      <w:tr w:rsidR="003A5529" w:rsidRPr="007162D4" w14:paraId="36B80F58" w14:textId="77777777" w:rsidTr="007D4CFC">
        <w:trPr>
          <w:trHeight w:val="454"/>
        </w:trPr>
        <w:tc>
          <w:tcPr>
            <w:tcW w:w="3360" w:type="dxa"/>
            <w:shd w:val="clear" w:color="auto" w:fill="auto"/>
            <w:noWrap/>
            <w:vAlign w:val="bottom"/>
            <w:hideMark/>
          </w:tcPr>
          <w:p w14:paraId="0B8BDFE2" w14:textId="19E63EDA" w:rsidR="000D42F1" w:rsidRPr="007162D4" w:rsidRDefault="000D42F1" w:rsidP="00ED1AB5">
            <w:pPr>
              <w:pStyle w:val="Tables"/>
              <w:jc w:val="left"/>
            </w:pPr>
            <w:r>
              <w:t>Corrupt behaviour (e.g. misusing position for benefit for self</w:t>
            </w:r>
            <w:r w:rsidR="004D1E49">
              <w:t xml:space="preserve"> or </w:t>
            </w:r>
            <w:r>
              <w:t>detriment to others)</w:t>
            </w:r>
          </w:p>
        </w:tc>
        <w:tc>
          <w:tcPr>
            <w:tcW w:w="1458" w:type="dxa"/>
            <w:vAlign w:val="center"/>
          </w:tcPr>
          <w:p w14:paraId="10189867" w14:textId="77777777" w:rsidR="000D42F1" w:rsidRPr="007162D4" w:rsidRDefault="000D42F1" w:rsidP="00ED1AB5">
            <w:pPr>
              <w:pStyle w:val="Tables"/>
            </w:pPr>
            <w:r>
              <w:t>54 (1.9%)</w:t>
            </w:r>
          </w:p>
        </w:tc>
        <w:tc>
          <w:tcPr>
            <w:tcW w:w="1583" w:type="dxa"/>
            <w:vAlign w:val="center"/>
          </w:tcPr>
          <w:p w14:paraId="1A9B5CD8" w14:textId="77777777" w:rsidR="000D42F1" w:rsidRPr="007162D4" w:rsidRDefault="000D42F1" w:rsidP="00ED1AB5">
            <w:pPr>
              <w:pStyle w:val="Tables"/>
            </w:pPr>
            <w:r>
              <w:t>37 (1.6%)</w:t>
            </w:r>
          </w:p>
        </w:tc>
        <w:tc>
          <w:tcPr>
            <w:tcW w:w="1590" w:type="dxa"/>
            <w:shd w:val="clear" w:color="auto" w:fill="auto"/>
            <w:noWrap/>
            <w:vAlign w:val="center"/>
          </w:tcPr>
          <w:p w14:paraId="55459180" w14:textId="77777777" w:rsidR="000D42F1" w:rsidRPr="007162D4" w:rsidRDefault="000D42F1" w:rsidP="00ED1AB5">
            <w:pPr>
              <w:pStyle w:val="Tables"/>
            </w:pPr>
            <w:r w:rsidRPr="004D75A2">
              <w:t>69 (2.2%)</w:t>
            </w:r>
          </w:p>
        </w:tc>
        <w:tc>
          <w:tcPr>
            <w:tcW w:w="1747" w:type="dxa"/>
            <w:shd w:val="clear" w:color="auto" w:fill="auto"/>
            <w:noWrap/>
            <w:vAlign w:val="center"/>
          </w:tcPr>
          <w:p w14:paraId="68EBBCD4" w14:textId="77777777" w:rsidR="000D42F1" w:rsidRPr="007162D4" w:rsidRDefault="000D42F1" w:rsidP="00ED1AB5">
            <w:pPr>
              <w:pStyle w:val="Tables"/>
            </w:pPr>
            <w:r w:rsidRPr="004D75A2">
              <w:t>58 (2.3%)</w:t>
            </w:r>
          </w:p>
        </w:tc>
      </w:tr>
      <w:tr w:rsidR="003A5529" w:rsidRPr="007162D4" w14:paraId="1EDB72DB" w14:textId="77777777" w:rsidTr="007D4CFC">
        <w:trPr>
          <w:trHeight w:val="454"/>
        </w:trPr>
        <w:tc>
          <w:tcPr>
            <w:tcW w:w="3360" w:type="dxa"/>
            <w:shd w:val="clear" w:color="auto" w:fill="auto"/>
            <w:noWrap/>
            <w:vAlign w:val="bottom"/>
            <w:hideMark/>
          </w:tcPr>
          <w:p w14:paraId="4E318640" w14:textId="545C0D94" w:rsidR="000D42F1" w:rsidRPr="007162D4" w:rsidRDefault="000D42F1" w:rsidP="00ED1AB5">
            <w:pPr>
              <w:pStyle w:val="Tables"/>
              <w:jc w:val="left"/>
            </w:pPr>
            <w:r>
              <w:t>Misuse of computer</w:t>
            </w:r>
            <w:r w:rsidR="004D1E49">
              <w:t xml:space="preserve"> or </w:t>
            </w:r>
            <w:r>
              <w:t>internet</w:t>
            </w:r>
            <w:r w:rsidR="004D1E49">
              <w:t xml:space="preserve"> or </w:t>
            </w:r>
            <w:r>
              <w:t>email (e.g. illegal content)</w:t>
            </w:r>
          </w:p>
        </w:tc>
        <w:tc>
          <w:tcPr>
            <w:tcW w:w="1458" w:type="dxa"/>
            <w:vAlign w:val="center"/>
          </w:tcPr>
          <w:p w14:paraId="5CF81293" w14:textId="77777777" w:rsidR="000D42F1" w:rsidRPr="007162D4" w:rsidRDefault="000D42F1" w:rsidP="00ED1AB5">
            <w:pPr>
              <w:pStyle w:val="Tables"/>
            </w:pPr>
            <w:r>
              <w:t>43 (1.5%)</w:t>
            </w:r>
          </w:p>
        </w:tc>
        <w:tc>
          <w:tcPr>
            <w:tcW w:w="1583" w:type="dxa"/>
            <w:vAlign w:val="center"/>
          </w:tcPr>
          <w:p w14:paraId="33ED7CA0" w14:textId="77777777" w:rsidR="000D42F1" w:rsidRPr="007162D4" w:rsidRDefault="000D42F1" w:rsidP="00ED1AB5">
            <w:pPr>
              <w:pStyle w:val="Tables"/>
            </w:pPr>
            <w:r>
              <w:t>32 (1.4%)</w:t>
            </w:r>
          </w:p>
        </w:tc>
        <w:tc>
          <w:tcPr>
            <w:tcW w:w="1590" w:type="dxa"/>
            <w:shd w:val="clear" w:color="auto" w:fill="auto"/>
            <w:noWrap/>
            <w:vAlign w:val="center"/>
          </w:tcPr>
          <w:p w14:paraId="38D2DD31" w14:textId="77777777" w:rsidR="000D42F1" w:rsidRPr="007162D4" w:rsidRDefault="000D42F1" w:rsidP="00ED1AB5">
            <w:pPr>
              <w:pStyle w:val="Tables"/>
              <w:rPr>
                <w:rFonts w:eastAsia="Arial"/>
                <w:color w:val="000000" w:themeColor="text1"/>
                <w:sz w:val="22"/>
                <w:szCs w:val="22"/>
              </w:rPr>
            </w:pPr>
            <w:r w:rsidRPr="004D75A2">
              <w:t>39</w:t>
            </w:r>
            <w:r>
              <w:t xml:space="preserve"> (1.</w:t>
            </w:r>
            <w:r w:rsidRPr="004D75A2">
              <w:t>3</w:t>
            </w:r>
            <w:r>
              <w:t>%)</w:t>
            </w:r>
          </w:p>
        </w:tc>
        <w:tc>
          <w:tcPr>
            <w:tcW w:w="1747" w:type="dxa"/>
            <w:shd w:val="clear" w:color="auto" w:fill="auto"/>
            <w:noWrap/>
            <w:vAlign w:val="center"/>
          </w:tcPr>
          <w:p w14:paraId="0C7C7D31" w14:textId="77777777" w:rsidR="000D42F1" w:rsidRPr="007162D4" w:rsidRDefault="000D42F1" w:rsidP="00ED1AB5">
            <w:pPr>
              <w:pStyle w:val="Tables"/>
              <w:rPr>
                <w:rFonts w:eastAsia="Arial"/>
                <w:color w:val="000000" w:themeColor="text1"/>
                <w:sz w:val="22"/>
                <w:szCs w:val="22"/>
              </w:rPr>
            </w:pPr>
            <w:r>
              <w:t>32 (1.</w:t>
            </w:r>
            <w:r w:rsidRPr="004D75A2">
              <w:t>3</w:t>
            </w:r>
            <w:r>
              <w:t>%)</w:t>
            </w:r>
          </w:p>
        </w:tc>
      </w:tr>
      <w:tr w:rsidR="003A5529" w:rsidRPr="007162D4" w14:paraId="5813D051" w14:textId="77777777" w:rsidTr="007D4CFC">
        <w:trPr>
          <w:trHeight w:val="454"/>
        </w:trPr>
        <w:tc>
          <w:tcPr>
            <w:tcW w:w="3360" w:type="dxa"/>
            <w:shd w:val="clear" w:color="auto" w:fill="auto"/>
            <w:noWrap/>
            <w:vAlign w:val="bottom"/>
            <w:hideMark/>
          </w:tcPr>
          <w:p w14:paraId="63D1FBEC" w14:textId="634DCCF1" w:rsidR="000D42F1" w:rsidRPr="007162D4" w:rsidRDefault="000D42F1" w:rsidP="00ED1AB5">
            <w:pPr>
              <w:pStyle w:val="Tables"/>
              <w:jc w:val="left"/>
            </w:pPr>
            <w:r>
              <w:t>Discrimination, harassment, sexual assault or other discriminatory</w:t>
            </w:r>
            <w:r w:rsidR="004D1E49">
              <w:t xml:space="preserve"> or </w:t>
            </w:r>
            <w:r>
              <w:t>indecent behaviour</w:t>
            </w:r>
          </w:p>
        </w:tc>
        <w:tc>
          <w:tcPr>
            <w:tcW w:w="1458" w:type="dxa"/>
            <w:vAlign w:val="center"/>
          </w:tcPr>
          <w:p w14:paraId="09BA67B3" w14:textId="77777777" w:rsidR="000D42F1" w:rsidRPr="007162D4" w:rsidRDefault="000D42F1" w:rsidP="00ED1AB5">
            <w:pPr>
              <w:pStyle w:val="Tables"/>
            </w:pPr>
            <w:r>
              <w:t>118 (4.2%)</w:t>
            </w:r>
          </w:p>
        </w:tc>
        <w:tc>
          <w:tcPr>
            <w:tcW w:w="1583" w:type="dxa"/>
            <w:vAlign w:val="center"/>
          </w:tcPr>
          <w:p w14:paraId="4F290522" w14:textId="77777777" w:rsidR="000D42F1" w:rsidRPr="007162D4" w:rsidRDefault="000D42F1" w:rsidP="00ED1AB5">
            <w:pPr>
              <w:pStyle w:val="Tables"/>
            </w:pPr>
            <w:r>
              <w:t>76 (3.4%)</w:t>
            </w:r>
          </w:p>
        </w:tc>
        <w:tc>
          <w:tcPr>
            <w:tcW w:w="1590" w:type="dxa"/>
            <w:shd w:val="clear" w:color="auto" w:fill="auto"/>
            <w:noWrap/>
            <w:vAlign w:val="center"/>
          </w:tcPr>
          <w:p w14:paraId="73B6D1A6" w14:textId="77777777" w:rsidR="000D42F1" w:rsidRPr="007162D4" w:rsidRDefault="000D42F1" w:rsidP="00ED1AB5">
            <w:pPr>
              <w:pStyle w:val="Tables"/>
            </w:pPr>
            <w:r w:rsidRPr="004D75A2">
              <w:t>149</w:t>
            </w:r>
            <w:r>
              <w:t xml:space="preserve"> (4.</w:t>
            </w:r>
            <w:r w:rsidRPr="004D75A2">
              <w:t>8</w:t>
            </w:r>
            <w:r>
              <w:t>%)</w:t>
            </w:r>
          </w:p>
        </w:tc>
        <w:tc>
          <w:tcPr>
            <w:tcW w:w="1747" w:type="dxa"/>
            <w:shd w:val="clear" w:color="auto" w:fill="auto"/>
            <w:noWrap/>
            <w:vAlign w:val="center"/>
          </w:tcPr>
          <w:p w14:paraId="4795C783" w14:textId="77777777" w:rsidR="000D42F1" w:rsidRPr="007162D4" w:rsidRDefault="000D42F1" w:rsidP="00ED1AB5">
            <w:pPr>
              <w:pStyle w:val="Tables"/>
              <w:rPr>
                <w:rFonts w:eastAsia="Arial"/>
                <w:color w:val="000000" w:themeColor="text1"/>
                <w:sz w:val="22"/>
                <w:szCs w:val="22"/>
              </w:rPr>
            </w:pPr>
            <w:r w:rsidRPr="004D75A2">
              <w:t>83</w:t>
            </w:r>
            <w:r>
              <w:t xml:space="preserve"> (3.</w:t>
            </w:r>
            <w:r w:rsidRPr="004D75A2">
              <w:t>3</w:t>
            </w:r>
            <w:r>
              <w:t>%)</w:t>
            </w:r>
          </w:p>
        </w:tc>
      </w:tr>
      <w:tr w:rsidR="003A5529" w:rsidRPr="007162D4" w14:paraId="0CD3DD61" w14:textId="77777777" w:rsidTr="007D4CFC">
        <w:trPr>
          <w:trHeight w:val="454"/>
        </w:trPr>
        <w:tc>
          <w:tcPr>
            <w:tcW w:w="3360" w:type="dxa"/>
            <w:shd w:val="clear" w:color="auto" w:fill="auto"/>
            <w:noWrap/>
            <w:vAlign w:val="bottom"/>
            <w:hideMark/>
          </w:tcPr>
          <w:p w14:paraId="0B2BAA91" w14:textId="3ABC213E" w:rsidR="000D42F1" w:rsidRPr="007162D4" w:rsidRDefault="000D42F1" w:rsidP="00ED1AB5">
            <w:pPr>
              <w:pStyle w:val="Tables"/>
              <w:jc w:val="left"/>
            </w:pPr>
            <w:r>
              <w:t>Illicit drug use</w:t>
            </w:r>
            <w:r w:rsidR="004D1E49">
              <w:t xml:space="preserve"> or </w:t>
            </w:r>
            <w:r>
              <w:t>alcohol intoxication</w:t>
            </w:r>
          </w:p>
        </w:tc>
        <w:tc>
          <w:tcPr>
            <w:tcW w:w="1458" w:type="dxa"/>
            <w:vAlign w:val="center"/>
          </w:tcPr>
          <w:p w14:paraId="253B28CF" w14:textId="77777777" w:rsidR="000D42F1" w:rsidRPr="007162D4" w:rsidRDefault="000D42F1" w:rsidP="00ED1AB5">
            <w:pPr>
              <w:pStyle w:val="Tables"/>
            </w:pPr>
            <w:r>
              <w:t>63 (2.2%)</w:t>
            </w:r>
          </w:p>
        </w:tc>
        <w:tc>
          <w:tcPr>
            <w:tcW w:w="1583" w:type="dxa"/>
            <w:vAlign w:val="center"/>
          </w:tcPr>
          <w:p w14:paraId="69996683" w14:textId="77777777" w:rsidR="000D42F1" w:rsidRPr="007162D4" w:rsidRDefault="000D42F1" w:rsidP="00ED1AB5">
            <w:pPr>
              <w:pStyle w:val="Tables"/>
            </w:pPr>
            <w:r>
              <w:t>53 (2.4%)</w:t>
            </w:r>
          </w:p>
        </w:tc>
        <w:tc>
          <w:tcPr>
            <w:tcW w:w="1590" w:type="dxa"/>
            <w:shd w:val="clear" w:color="auto" w:fill="auto"/>
            <w:noWrap/>
            <w:vAlign w:val="center"/>
          </w:tcPr>
          <w:p w14:paraId="3CFE9D36" w14:textId="77777777" w:rsidR="000D42F1" w:rsidRPr="007162D4" w:rsidRDefault="000D42F1" w:rsidP="00ED1AB5">
            <w:pPr>
              <w:pStyle w:val="Tables"/>
              <w:rPr>
                <w:rFonts w:eastAsia="Arial"/>
                <w:color w:val="000000" w:themeColor="text1"/>
                <w:sz w:val="22"/>
                <w:szCs w:val="22"/>
              </w:rPr>
            </w:pPr>
            <w:r w:rsidRPr="004D75A2">
              <w:t>90</w:t>
            </w:r>
            <w:r>
              <w:t xml:space="preserve"> (2.</w:t>
            </w:r>
            <w:r w:rsidRPr="004D75A2">
              <w:t>9</w:t>
            </w:r>
            <w:r>
              <w:t>%)</w:t>
            </w:r>
          </w:p>
        </w:tc>
        <w:tc>
          <w:tcPr>
            <w:tcW w:w="1747" w:type="dxa"/>
            <w:shd w:val="clear" w:color="auto" w:fill="auto"/>
            <w:noWrap/>
            <w:vAlign w:val="center"/>
          </w:tcPr>
          <w:p w14:paraId="0EE1F07E" w14:textId="77777777" w:rsidR="000D42F1" w:rsidRPr="007162D4" w:rsidRDefault="000D42F1" w:rsidP="00ED1AB5">
            <w:pPr>
              <w:pStyle w:val="Tables"/>
              <w:rPr>
                <w:rFonts w:eastAsia="Arial"/>
                <w:color w:val="000000" w:themeColor="text1"/>
                <w:sz w:val="22"/>
                <w:szCs w:val="22"/>
              </w:rPr>
            </w:pPr>
            <w:r w:rsidRPr="004D75A2">
              <w:t>84 (3</w:t>
            </w:r>
            <w:r>
              <w:t>.4%)</w:t>
            </w:r>
          </w:p>
        </w:tc>
      </w:tr>
      <w:tr w:rsidR="003A5529" w:rsidRPr="007162D4" w14:paraId="471EFD3B" w14:textId="77777777" w:rsidTr="007D4CFC">
        <w:trPr>
          <w:trHeight w:val="454"/>
        </w:trPr>
        <w:tc>
          <w:tcPr>
            <w:tcW w:w="3360" w:type="dxa"/>
            <w:shd w:val="clear" w:color="auto" w:fill="auto"/>
            <w:noWrap/>
            <w:vAlign w:val="bottom"/>
            <w:hideMark/>
          </w:tcPr>
          <w:p w14:paraId="36E09048" w14:textId="77777777" w:rsidR="000D42F1" w:rsidRPr="007162D4" w:rsidRDefault="000D42F1" w:rsidP="00ED1AB5">
            <w:pPr>
              <w:pStyle w:val="Tables"/>
              <w:jc w:val="left"/>
            </w:pPr>
            <w:r>
              <w:t>Inappropriate physical behaviour (e.g. assault)</w:t>
            </w:r>
          </w:p>
        </w:tc>
        <w:tc>
          <w:tcPr>
            <w:tcW w:w="1458" w:type="dxa"/>
            <w:vAlign w:val="center"/>
          </w:tcPr>
          <w:p w14:paraId="600BDCEA" w14:textId="77777777" w:rsidR="000D42F1" w:rsidRPr="007162D4" w:rsidRDefault="000D42F1" w:rsidP="00ED1AB5">
            <w:pPr>
              <w:pStyle w:val="Tables"/>
            </w:pPr>
            <w:r>
              <w:t>66 (2.3%)</w:t>
            </w:r>
          </w:p>
        </w:tc>
        <w:tc>
          <w:tcPr>
            <w:tcW w:w="1583" w:type="dxa"/>
            <w:vAlign w:val="center"/>
          </w:tcPr>
          <w:p w14:paraId="4226F724" w14:textId="77777777" w:rsidR="000D42F1" w:rsidRPr="007162D4" w:rsidRDefault="000D42F1" w:rsidP="00ED1AB5">
            <w:pPr>
              <w:pStyle w:val="Tables"/>
            </w:pPr>
            <w:r>
              <w:t>44 (2.0%)</w:t>
            </w:r>
          </w:p>
        </w:tc>
        <w:tc>
          <w:tcPr>
            <w:tcW w:w="1590" w:type="dxa"/>
            <w:shd w:val="clear" w:color="auto" w:fill="auto"/>
            <w:noWrap/>
            <w:vAlign w:val="center"/>
          </w:tcPr>
          <w:p w14:paraId="6BE3FCC3" w14:textId="77777777" w:rsidR="000D42F1" w:rsidRPr="007162D4" w:rsidRDefault="000D42F1" w:rsidP="00ED1AB5">
            <w:pPr>
              <w:pStyle w:val="Tables"/>
            </w:pPr>
            <w:r w:rsidRPr="004D75A2">
              <w:t>88</w:t>
            </w:r>
            <w:r>
              <w:t xml:space="preserve"> (2.</w:t>
            </w:r>
            <w:r w:rsidRPr="004D75A2">
              <w:t>9</w:t>
            </w:r>
            <w:r>
              <w:t>%)</w:t>
            </w:r>
          </w:p>
        </w:tc>
        <w:tc>
          <w:tcPr>
            <w:tcW w:w="1747" w:type="dxa"/>
            <w:shd w:val="clear" w:color="auto" w:fill="auto"/>
            <w:noWrap/>
            <w:vAlign w:val="center"/>
          </w:tcPr>
          <w:p w14:paraId="2464B921" w14:textId="77777777" w:rsidR="000D42F1" w:rsidRPr="007162D4" w:rsidRDefault="000D42F1" w:rsidP="00ED1AB5">
            <w:pPr>
              <w:pStyle w:val="Tables"/>
              <w:rPr>
                <w:rFonts w:eastAsia="Arial"/>
                <w:color w:val="000000" w:themeColor="text1"/>
                <w:sz w:val="22"/>
                <w:szCs w:val="22"/>
              </w:rPr>
            </w:pPr>
            <w:r w:rsidRPr="004D75A2">
              <w:t>63</w:t>
            </w:r>
            <w:r>
              <w:t xml:space="preserve"> (2.</w:t>
            </w:r>
            <w:r w:rsidRPr="004D75A2">
              <w:t>5</w:t>
            </w:r>
            <w:r>
              <w:t>%)</w:t>
            </w:r>
          </w:p>
        </w:tc>
      </w:tr>
      <w:tr w:rsidR="003A5529" w:rsidRPr="007162D4" w14:paraId="18C93568" w14:textId="77777777" w:rsidTr="007D4CFC">
        <w:trPr>
          <w:trHeight w:val="454"/>
        </w:trPr>
        <w:tc>
          <w:tcPr>
            <w:tcW w:w="3360" w:type="dxa"/>
            <w:shd w:val="clear" w:color="auto" w:fill="auto"/>
            <w:noWrap/>
            <w:vAlign w:val="bottom"/>
            <w:hideMark/>
          </w:tcPr>
          <w:p w14:paraId="0AE59CE6" w14:textId="0785E3CD" w:rsidR="000D42F1" w:rsidRPr="007162D4" w:rsidRDefault="000D42F1" w:rsidP="00ED1AB5">
            <w:pPr>
              <w:pStyle w:val="Tables"/>
              <w:jc w:val="left"/>
            </w:pPr>
            <w:r>
              <w:t>Inappropriate access</w:t>
            </w:r>
            <w:r w:rsidR="004D1E49">
              <w:t xml:space="preserve"> or </w:t>
            </w:r>
            <w:r>
              <w:t>use</w:t>
            </w:r>
            <w:r w:rsidR="004D1E49">
              <w:t xml:space="preserve"> or </w:t>
            </w:r>
            <w:r>
              <w:t>disclosure of information</w:t>
            </w:r>
          </w:p>
        </w:tc>
        <w:tc>
          <w:tcPr>
            <w:tcW w:w="1458" w:type="dxa"/>
            <w:vAlign w:val="center"/>
          </w:tcPr>
          <w:p w14:paraId="25C0DC94" w14:textId="77777777" w:rsidR="000D42F1" w:rsidRPr="007162D4" w:rsidRDefault="000D42F1" w:rsidP="00ED1AB5">
            <w:pPr>
              <w:pStyle w:val="Tables"/>
            </w:pPr>
            <w:r>
              <w:t>171 (6.1%)</w:t>
            </w:r>
          </w:p>
        </w:tc>
        <w:tc>
          <w:tcPr>
            <w:tcW w:w="1583" w:type="dxa"/>
            <w:vAlign w:val="center"/>
          </w:tcPr>
          <w:p w14:paraId="72DAD601" w14:textId="77777777" w:rsidR="000D42F1" w:rsidRPr="007162D4" w:rsidRDefault="000D42F1" w:rsidP="00ED1AB5">
            <w:pPr>
              <w:pStyle w:val="Tables"/>
            </w:pPr>
            <w:r>
              <w:t>132 (5.9%)</w:t>
            </w:r>
          </w:p>
        </w:tc>
        <w:tc>
          <w:tcPr>
            <w:tcW w:w="1590" w:type="dxa"/>
            <w:shd w:val="clear" w:color="auto" w:fill="auto"/>
            <w:noWrap/>
            <w:vAlign w:val="center"/>
          </w:tcPr>
          <w:p w14:paraId="5050E610" w14:textId="77777777" w:rsidR="000D42F1" w:rsidRPr="007162D4" w:rsidRDefault="000D42F1" w:rsidP="00ED1AB5">
            <w:pPr>
              <w:pStyle w:val="Tables"/>
              <w:rPr>
                <w:rFonts w:eastAsia="Arial"/>
                <w:color w:val="000000" w:themeColor="text1"/>
                <w:sz w:val="22"/>
                <w:szCs w:val="22"/>
              </w:rPr>
            </w:pPr>
            <w:r w:rsidRPr="004D75A2">
              <w:t>184</w:t>
            </w:r>
            <w:r>
              <w:t xml:space="preserve"> (6.</w:t>
            </w:r>
            <w:r w:rsidRPr="004D75A2">
              <w:t>0</w:t>
            </w:r>
            <w:r>
              <w:t>%)</w:t>
            </w:r>
          </w:p>
        </w:tc>
        <w:tc>
          <w:tcPr>
            <w:tcW w:w="1747" w:type="dxa"/>
            <w:shd w:val="clear" w:color="auto" w:fill="auto"/>
            <w:noWrap/>
            <w:vAlign w:val="center"/>
          </w:tcPr>
          <w:p w14:paraId="4A96DDD6" w14:textId="77777777" w:rsidR="000D42F1" w:rsidRPr="007162D4" w:rsidRDefault="000D42F1" w:rsidP="00ED1AB5">
            <w:pPr>
              <w:pStyle w:val="Tables"/>
              <w:rPr>
                <w:rFonts w:eastAsia="Arial"/>
                <w:color w:val="000000" w:themeColor="text1"/>
                <w:sz w:val="22"/>
                <w:szCs w:val="22"/>
              </w:rPr>
            </w:pPr>
            <w:r w:rsidRPr="004D75A2">
              <w:t>153 (6.1%)</w:t>
            </w:r>
          </w:p>
        </w:tc>
      </w:tr>
      <w:tr w:rsidR="003A5529" w:rsidRPr="007162D4" w14:paraId="69853C4F" w14:textId="77777777" w:rsidTr="007D4CFC">
        <w:trPr>
          <w:trHeight w:val="454"/>
        </w:trPr>
        <w:tc>
          <w:tcPr>
            <w:tcW w:w="3360" w:type="dxa"/>
            <w:shd w:val="clear" w:color="auto" w:fill="auto"/>
            <w:noWrap/>
            <w:vAlign w:val="bottom"/>
            <w:hideMark/>
          </w:tcPr>
          <w:p w14:paraId="7A12A860" w14:textId="4F3866D9" w:rsidR="000D42F1" w:rsidRPr="007162D4" w:rsidRDefault="000D42F1" w:rsidP="00ED1AB5">
            <w:pPr>
              <w:pStyle w:val="Tables"/>
              <w:jc w:val="left"/>
            </w:pPr>
            <w:r>
              <w:t>Workplace bribes</w:t>
            </w:r>
            <w:r w:rsidR="004D1E49">
              <w:t xml:space="preserve"> or </w:t>
            </w:r>
            <w:r>
              <w:t>theft (e.g. cash</w:t>
            </w:r>
            <w:r w:rsidR="004D1E49">
              <w:t xml:space="preserve"> or </w:t>
            </w:r>
            <w:r>
              <w:t>workplace equipment)</w:t>
            </w:r>
          </w:p>
        </w:tc>
        <w:tc>
          <w:tcPr>
            <w:tcW w:w="1458" w:type="dxa"/>
            <w:vAlign w:val="center"/>
          </w:tcPr>
          <w:p w14:paraId="38D263A9" w14:textId="77777777" w:rsidR="000D42F1" w:rsidRPr="007162D4" w:rsidRDefault="000D42F1" w:rsidP="00ED1AB5">
            <w:pPr>
              <w:pStyle w:val="Tables"/>
            </w:pPr>
            <w:r>
              <w:t>14 (0.5%)</w:t>
            </w:r>
          </w:p>
        </w:tc>
        <w:tc>
          <w:tcPr>
            <w:tcW w:w="1583" w:type="dxa"/>
            <w:vAlign w:val="center"/>
          </w:tcPr>
          <w:p w14:paraId="7A461CBD" w14:textId="77777777" w:rsidR="000D42F1" w:rsidRPr="007162D4" w:rsidRDefault="000D42F1" w:rsidP="00ED1AB5">
            <w:pPr>
              <w:pStyle w:val="Tables"/>
            </w:pPr>
            <w:r>
              <w:t>11 (0.5%)</w:t>
            </w:r>
          </w:p>
        </w:tc>
        <w:tc>
          <w:tcPr>
            <w:tcW w:w="1590" w:type="dxa"/>
            <w:shd w:val="clear" w:color="auto" w:fill="auto"/>
            <w:noWrap/>
            <w:vAlign w:val="center"/>
          </w:tcPr>
          <w:p w14:paraId="6EC97066" w14:textId="77777777" w:rsidR="000D42F1" w:rsidRPr="007162D4" w:rsidRDefault="000D42F1" w:rsidP="00ED1AB5">
            <w:pPr>
              <w:pStyle w:val="Tables"/>
            </w:pPr>
            <w:r w:rsidRPr="004D75A2">
              <w:t>52 (1.7%)</w:t>
            </w:r>
          </w:p>
        </w:tc>
        <w:tc>
          <w:tcPr>
            <w:tcW w:w="1747" w:type="dxa"/>
            <w:shd w:val="clear" w:color="auto" w:fill="auto"/>
            <w:noWrap/>
            <w:vAlign w:val="center"/>
          </w:tcPr>
          <w:p w14:paraId="40E9EF11" w14:textId="77777777" w:rsidR="000D42F1" w:rsidRPr="007162D4" w:rsidRDefault="000D42F1" w:rsidP="00ED1AB5">
            <w:pPr>
              <w:pStyle w:val="Tables"/>
              <w:rPr>
                <w:rFonts w:eastAsia="Arial"/>
                <w:color w:val="000000" w:themeColor="text1"/>
                <w:sz w:val="22"/>
                <w:szCs w:val="22"/>
              </w:rPr>
            </w:pPr>
            <w:r w:rsidRPr="004D75A2">
              <w:t>49 (2.</w:t>
            </w:r>
            <w:r>
              <w:t>0%)</w:t>
            </w:r>
          </w:p>
        </w:tc>
      </w:tr>
      <w:tr w:rsidR="003A5529" w:rsidRPr="007162D4" w14:paraId="2ECDE06F" w14:textId="77777777" w:rsidTr="007D4CFC">
        <w:trPr>
          <w:trHeight w:val="454"/>
        </w:trPr>
        <w:tc>
          <w:tcPr>
            <w:tcW w:w="3360" w:type="dxa"/>
            <w:shd w:val="clear" w:color="auto" w:fill="auto"/>
            <w:noWrap/>
            <w:vAlign w:val="bottom"/>
            <w:hideMark/>
          </w:tcPr>
          <w:p w14:paraId="37679A6F" w14:textId="77777777" w:rsidR="000D42F1" w:rsidRPr="007162D4" w:rsidRDefault="000D42F1" w:rsidP="00ED1AB5">
            <w:pPr>
              <w:pStyle w:val="Tables"/>
              <w:jc w:val="left"/>
            </w:pPr>
            <w:r>
              <w:t>Misuse of public resources (e.g. vehicles, credit card)</w:t>
            </w:r>
          </w:p>
        </w:tc>
        <w:tc>
          <w:tcPr>
            <w:tcW w:w="1458" w:type="dxa"/>
            <w:vAlign w:val="center"/>
          </w:tcPr>
          <w:p w14:paraId="1C9C7835" w14:textId="77777777" w:rsidR="000D42F1" w:rsidRPr="007162D4" w:rsidRDefault="000D42F1" w:rsidP="00ED1AB5">
            <w:pPr>
              <w:pStyle w:val="Tables"/>
            </w:pPr>
            <w:r>
              <w:t>211 (7.5%)</w:t>
            </w:r>
          </w:p>
        </w:tc>
        <w:tc>
          <w:tcPr>
            <w:tcW w:w="1583" w:type="dxa"/>
            <w:vAlign w:val="center"/>
          </w:tcPr>
          <w:p w14:paraId="39BC419A" w14:textId="77777777" w:rsidR="000D42F1" w:rsidRPr="007162D4" w:rsidRDefault="000D42F1" w:rsidP="00ED1AB5">
            <w:pPr>
              <w:pStyle w:val="Tables"/>
            </w:pPr>
            <w:r>
              <w:t>202 (9.0%)</w:t>
            </w:r>
          </w:p>
        </w:tc>
        <w:tc>
          <w:tcPr>
            <w:tcW w:w="1590" w:type="dxa"/>
            <w:shd w:val="clear" w:color="auto" w:fill="auto"/>
            <w:noWrap/>
            <w:vAlign w:val="center"/>
          </w:tcPr>
          <w:p w14:paraId="062D7B34" w14:textId="77777777" w:rsidR="000D42F1" w:rsidRPr="007162D4" w:rsidRDefault="000D42F1" w:rsidP="00ED1AB5">
            <w:pPr>
              <w:pStyle w:val="Tables"/>
              <w:rPr>
                <w:rFonts w:eastAsia="Arial"/>
                <w:color w:val="000000" w:themeColor="text1"/>
                <w:sz w:val="22"/>
                <w:szCs w:val="22"/>
              </w:rPr>
            </w:pPr>
            <w:r w:rsidRPr="004D75A2">
              <w:t>220</w:t>
            </w:r>
            <w:r>
              <w:t xml:space="preserve"> (7.</w:t>
            </w:r>
            <w:r w:rsidRPr="004D75A2">
              <w:t>2</w:t>
            </w:r>
            <w:r>
              <w:t>%)</w:t>
            </w:r>
          </w:p>
        </w:tc>
        <w:tc>
          <w:tcPr>
            <w:tcW w:w="1747" w:type="dxa"/>
            <w:shd w:val="clear" w:color="auto" w:fill="auto"/>
            <w:noWrap/>
            <w:vAlign w:val="center"/>
          </w:tcPr>
          <w:p w14:paraId="19DC2D98" w14:textId="77777777" w:rsidR="000D42F1" w:rsidRPr="007162D4" w:rsidRDefault="000D42F1" w:rsidP="00ED1AB5">
            <w:pPr>
              <w:pStyle w:val="Tables"/>
            </w:pPr>
            <w:r w:rsidRPr="004D75A2">
              <w:t>197 (7.9%)</w:t>
            </w:r>
          </w:p>
        </w:tc>
      </w:tr>
      <w:tr w:rsidR="003A5529" w:rsidRPr="007162D4" w14:paraId="092EEEE4" w14:textId="77777777" w:rsidTr="007D4CFC">
        <w:trPr>
          <w:trHeight w:val="454"/>
        </w:trPr>
        <w:tc>
          <w:tcPr>
            <w:tcW w:w="3360" w:type="dxa"/>
            <w:shd w:val="clear" w:color="auto" w:fill="auto"/>
            <w:noWrap/>
            <w:vAlign w:val="bottom"/>
            <w:hideMark/>
          </w:tcPr>
          <w:p w14:paraId="2B27CF5A" w14:textId="73F707C1" w:rsidR="000D42F1" w:rsidRPr="007162D4" w:rsidRDefault="000D42F1" w:rsidP="00ED1AB5">
            <w:pPr>
              <w:pStyle w:val="Tables"/>
              <w:jc w:val="left"/>
            </w:pPr>
            <w:r>
              <w:t>Fraudulent behaviour</w:t>
            </w:r>
            <w:r w:rsidR="004D1E49">
              <w:t xml:space="preserve"> or </w:t>
            </w:r>
            <w:r>
              <w:t>falsification of information</w:t>
            </w:r>
            <w:r w:rsidR="004D1E49">
              <w:t xml:space="preserve"> or </w:t>
            </w:r>
            <w:r>
              <w:t>records</w:t>
            </w:r>
          </w:p>
        </w:tc>
        <w:tc>
          <w:tcPr>
            <w:tcW w:w="1458" w:type="dxa"/>
            <w:vAlign w:val="center"/>
          </w:tcPr>
          <w:p w14:paraId="314A7F0C" w14:textId="77777777" w:rsidR="000D42F1" w:rsidRPr="007162D4" w:rsidRDefault="000D42F1" w:rsidP="00ED1AB5">
            <w:pPr>
              <w:pStyle w:val="Tables"/>
            </w:pPr>
            <w:r>
              <w:t>196 (7.0%)</w:t>
            </w:r>
          </w:p>
        </w:tc>
        <w:tc>
          <w:tcPr>
            <w:tcW w:w="1583" w:type="dxa"/>
            <w:vAlign w:val="center"/>
          </w:tcPr>
          <w:p w14:paraId="11F8B08D" w14:textId="77777777" w:rsidR="000D42F1" w:rsidRPr="007162D4" w:rsidRDefault="000D42F1" w:rsidP="00ED1AB5">
            <w:pPr>
              <w:pStyle w:val="Tables"/>
            </w:pPr>
            <w:r>
              <w:t>170 (7.5%)</w:t>
            </w:r>
          </w:p>
        </w:tc>
        <w:tc>
          <w:tcPr>
            <w:tcW w:w="1590" w:type="dxa"/>
            <w:shd w:val="clear" w:color="auto" w:fill="auto"/>
            <w:noWrap/>
            <w:vAlign w:val="center"/>
          </w:tcPr>
          <w:p w14:paraId="0C99C5C0" w14:textId="77777777" w:rsidR="000D42F1" w:rsidRPr="007162D4" w:rsidRDefault="000D42F1" w:rsidP="00ED1AB5">
            <w:pPr>
              <w:pStyle w:val="Tables"/>
              <w:rPr>
                <w:rFonts w:eastAsia="Arial"/>
                <w:color w:val="000000" w:themeColor="text1"/>
                <w:sz w:val="22"/>
                <w:szCs w:val="22"/>
              </w:rPr>
            </w:pPr>
            <w:r w:rsidRPr="004D75A2">
              <w:t>173 (5.6%)</w:t>
            </w:r>
          </w:p>
        </w:tc>
        <w:tc>
          <w:tcPr>
            <w:tcW w:w="1747" w:type="dxa"/>
            <w:shd w:val="clear" w:color="auto" w:fill="auto"/>
            <w:noWrap/>
            <w:vAlign w:val="center"/>
          </w:tcPr>
          <w:p w14:paraId="024416E5" w14:textId="77777777" w:rsidR="000D42F1" w:rsidRPr="007162D4" w:rsidRDefault="000D42F1" w:rsidP="00ED1AB5">
            <w:pPr>
              <w:pStyle w:val="Tables"/>
            </w:pPr>
            <w:r w:rsidRPr="004D75A2">
              <w:t>154 (6.2%)</w:t>
            </w:r>
          </w:p>
        </w:tc>
      </w:tr>
    </w:tbl>
    <w:p w14:paraId="1845A4E6" w14:textId="77777777" w:rsidR="00B533B0" w:rsidRDefault="00B533B0"/>
    <w:p w14:paraId="1907D395" w14:textId="10AB4275" w:rsidR="00B533B0" w:rsidRPr="00671B4C" w:rsidRDefault="00B533B0" w:rsidP="00B533B0">
      <w:pPr>
        <w:pStyle w:val="Caption"/>
        <w:spacing w:before="240"/>
        <w:rPr>
          <w:b/>
          <w:bCs/>
        </w:rPr>
      </w:pPr>
      <w:r w:rsidRPr="00671B4C">
        <w:rPr>
          <w:b/>
          <w:bCs/>
        </w:rPr>
        <w:lastRenderedPageBreak/>
        <w:t>Table</w:t>
      </w:r>
      <w:r>
        <w:rPr>
          <w:b/>
          <w:bCs/>
        </w:rPr>
        <w:t xml:space="preserve"> 19 (continued)</w:t>
      </w:r>
      <w:r w:rsidRPr="00671B4C">
        <w:rPr>
          <w:b/>
          <w:bCs/>
        </w:rPr>
        <w:t xml:space="preserve">: Allegations of unethical </w:t>
      </w:r>
      <w:r w:rsidRPr="00046516">
        <w:rPr>
          <w:b/>
          <w:bCs/>
        </w:rPr>
        <w:t xml:space="preserve">conduct </w:t>
      </w:r>
      <w:r w:rsidRPr="00671B4C">
        <w:rPr>
          <w:b/>
          <w:bCs/>
        </w:rPr>
        <w:t>by type and number, WA government sector 202</w:t>
      </w:r>
      <w:r>
        <w:rPr>
          <w:b/>
          <w:bCs/>
        </w:rPr>
        <w:t>1</w:t>
      </w:r>
      <w:r w:rsidRPr="00671B4C">
        <w:rPr>
          <w:b/>
          <w:bCs/>
        </w:rPr>
        <w:t>-2</w:t>
      </w:r>
      <w:r>
        <w:rPr>
          <w:b/>
          <w:bCs/>
        </w:rPr>
        <w:t>2</w:t>
      </w:r>
      <w:r w:rsidRPr="00671B4C">
        <w:rPr>
          <w:b/>
          <w:bCs/>
        </w:rPr>
        <w:t xml:space="preserve"> and 202</w:t>
      </w:r>
      <w:r>
        <w:rPr>
          <w:b/>
          <w:bCs/>
        </w:rPr>
        <w:t>2</w:t>
      </w:r>
      <w:r w:rsidRPr="00671B4C">
        <w:rPr>
          <w:b/>
          <w:bCs/>
        </w:rPr>
        <w:t>-2</w:t>
      </w:r>
      <w:r>
        <w:rPr>
          <w:b/>
          <w:bCs/>
        </w:rPr>
        <w:t>3</w:t>
      </w:r>
    </w:p>
    <w:tbl>
      <w:tblPr>
        <w:tblW w:w="9738" w:type="dxa"/>
        <w:tblInd w:w="-1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19 (continued): Allegations of unethical conduct by type and number, WA government sector 2021-22 and 2022-23"/>
      </w:tblPr>
      <w:tblGrid>
        <w:gridCol w:w="3360"/>
        <w:gridCol w:w="1458"/>
        <w:gridCol w:w="1583"/>
        <w:gridCol w:w="1590"/>
        <w:gridCol w:w="1747"/>
      </w:tblGrid>
      <w:tr w:rsidR="003A5529" w:rsidRPr="00BD1818" w14:paraId="54AC48F5" w14:textId="77777777" w:rsidTr="0039634E">
        <w:trPr>
          <w:trHeight w:val="1273"/>
          <w:tblHeader/>
        </w:trPr>
        <w:tc>
          <w:tcPr>
            <w:tcW w:w="3360" w:type="dxa"/>
            <w:shd w:val="clear" w:color="auto" w:fill="auto"/>
            <w:hideMark/>
          </w:tcPr>
          <w:p w14:paraId="4D202D1B" w14:textId="074A9A24" w:rsidR="00B533B0" w:rsidRPr="00BD1818" w:rsidRDefault="0039634E" w:rsidP="0039634E">
            <w:pPr>
              <w:pStyle w:val="Tables"/>
              <w:spacing w:before="0" w:after="0"/>
              <w:jc w:val="left"/>
              <w:rPr>
                <w:b/>
                <w:color w:val="2E74B5" w:themeColor="accent1" w:themeShade="BF"/>
              </w:rPr>
            </w:pPr>
            <w:r w:rsidRPr="0039634E">
              <w:rPr>
                <w:b/>
                <w:color w:val="2E74B5" w:themeColor="accent1" w:themeShade="BF"/>
              </w:rPr>
              <w:t>Type of unethical conduct</w:t>
            </w:r>
          </w:p>
        </w:tc>
        <w:tc>
          <w:tcPr>
            <w:tcW w:w="1458" w:type="dxa"/>
          </w:tcPr>
          <w:p w14:paraId="1A51BF66" w14:textId="77777777" w:rsidR="0039634E" w:rsidRDefault="0039634E" w:rsidP="0039634E">
            <w:pPr>
              <w:pStyle w:val="Tables"/>
              <w:spacing w:before="0" w:after="0"/>
              <w:rPr>
                <w:b/>
                <w:bCs/>
                <w:color w:val="2E74B5" w:themeColor="accent1" w:themeShade="BF"/>
              </w:rPr>
            </w:pPr>
            <w:r w:rsidRPr="516942E8">
              <w:rPr>
                <w:b/>
                <w:bCs/>
                <w:color w:val="2E74B5" w:themeColor="accent1" w:themeShade="BF"/>
              </w:rPr>
              <w:t>2021-22</w:t>
            </w:r>
          </w:p>
          <w:p w14:paraId="666F4670" w14:textId="35FBDCC8" w:rsidR="00B533B0" w:rsidRPr="00BD1818" w:rsidRDefault="00B533B0" w:rsidP="0039634E">
            <w:pPr>
              <w:pStyle w:val="Tables"/>
              <w:spacing w:before="0" w:after="0"/>
              <w:rPr>
                <w:b/>
                <w:color w:val="2E74B5" w:themeColor="accent1" w:themeShade="BF"/>
              </w:rPr>
            </w:pPr>
            <w:r w:rsidRPr="00BD1818">
              <w:rPr>
                <w:b/>
                <w:color w:val="2E74B5" w:themeColor="accent1" w:themeShade="BF"/>
              </w:rPr>
              <w:t>Number of allegations</w:t>
            </w:r>
          </w:p>
          <w:p w14:paraId="55EE2A87" w14:textId="77777777" w:rsidR="00B533B0" w:rsidRPr="00BD1818" w:rsidRDefault="00B533B0" w:rsidP="0039634E">
            <w:pPr>
              <w:pStyle w:val="Tables"/>
              <w:spacing w:before="0" w:after="0"/>
              <w:rPr>
                <w:b/>
                <w:color w:val="2E74B5" w:themeColor="accent1" w:themeShade="BF"/>
              </w:rPr>
            </w:pPr>
            <w:r w:rsidRPr="00BD1818">
              <w:rPr>
                <w:b/>
                <w:color w:val="2E74B5" w:themeColor="accent1" w:themeShade="BF"/>
              </w:rPr>
              <w:t>(% of total)</w:t>
            </w:r>
          </w:p>
        </w:tc>
        <w:tc>
          <w:tcPr>
            <w:tcW w:w="1583" w:type="dxa"/>
          </w:tcPr>
          <w:p w14:paraId="31474CA0" w14:textId="77777777" w:rsidR="0039634E" w:rsidRDefault="0039634E" w:rsidP="0039634E">
            <w:pPr>
              <w:pStyle w:val="Tables"/>
              <w:spacing w:before="0" w:after="0"/>
              <w:rPr>
                <w:b/>
                <w:bCs/>
                <w:color w:val="2E74B5" w:themeColor="accent1" w:themeShade="BF"/>
              </w:rPr>
            </w:pPr>
            <w:r w:rsidRPr="516942E8">
              <w:rPr>
                <w:b/>
                <w:bCs/>
                <w:color w:val="2E74B5" w:themeColor="accent1" w:themeShade="BF"/>
              </w:rPr>
              <w:t>2021-22</w:t>
            </w:r>
          </w:p>
          <w:p w14:paraId="2CE24FD7" w14:textId="2853C8B3" w:rsidR="00B533B0" w:rsidRPr="00BD1818" w:rsidRDefault="00B533B0" w:rsidP="0039634E">
            <w:pPr>
              <w:pStyle w:val="Tables"/>
              <w:spacing w:before="0" w:after="0"/>
              <w:rPr>
                <w:b/>
                <w:color w:val="2E74B5" w:themeColor="accent1" w:themeShade="BF"/>
              </w:rPr>
            </w:pPr>
            <w:r w:rsidRPr="00BD1818">
              <w:rPr>
                <w:b/>
                <w:color w:val="2E74B5" w:themeColor="accent1" w:themeShade="BF"/>
              </w:rPr>
              <w:t>Number of substantiated allegations</w:t>
            </w:r>
          </w:p>
          <w:p w14:paraId="011DB9EF" w14:textId="77777777" w:rsidR="00B533B0" w:rsidRPr="00BD1818" w:rsidRDefault="00B533B0" w:rsidP="0039634E">
            <w:pPr>
              <w:pStyle w:val="Tables"/>
              <w:spacing w:before="0" w:after="0"/>
              <w:rPr>
                <w:b/>
                <w:color w:val="2E74B5" w:themeColor="accent1" w:themeShade="BF"/>
              </w:rPr>
            </w:pPr>
            <w:r w:rsidRPr="00BD1818">
              <w:rPr>
                <w:b/>
                <w:color w:val="2E74B5" w:themeColor="accent1" w:themeShade="BF"/>
              </w:rPr>
              <w:t xml:space="preserve">(% of </w:t>
            </w:r>
            <w:r>
              <w:rPr>
                <w:b/>
                <w:color w:val="2E74B5" w:themeColor="accent1" w:themeShade="BF"/>
              </w:rPr>
              <w:t>substantiated</w:t>
            </w:r>
            <w:r w:rsidRPr="00BD1818">
              <w:rPr>
                <w:b/>
                <w:color w:val="2E74B5" w:themeColor="accent1" w:themeShade="BF"/>
              </w:rPr>
              <w:t>)</w:t>
            </w:r>
          </w:p>
        </w:tc>
        <w:tc>
          <w:tcPr>
            <w:tcW w:w="1590" w:type="dxa"/>
            <w:shd w:val="clear" w:color="auto" w:fill="auto"/>
          </w:tcPr>
          <w:p w14:paraId="348620FE" w14:textId="77777777" w:rsidR="0039634E" w:rsidRDefault="0039634E" w:rsidP="0039634E">
            <w:pPr>
              <w:pStyle w:val="Tables"/>
              <w:spacing w:before="0" w:after="0"/>
              <w:rPr>
                <w:b/>
                <w:bCs/>
                <w:color w:val="2E74B5" w:themeColor="accent1" w:themeShade="BF"/>
              </w:rPr>
            </w:pPr>
            <w:r w:rsidRPr="516942E8">
              <w:rPr>
                <w:b/>
                <w:bCs/>
                <w:color w:val="2E74B5" w:themeColor="accent1" w:themeShade="BF"/>
              </w:rPr>
              <w:t>202</w:t>
            </w:r>
            <w:r>
              <w:rPr>
                <w:b/>
                <w:bCs/>
                <w:color w:val="2E74B5" w:themeColor="accent1" w:themeShade="BF"/>
              </w:rPr>
              <w:t>2</w:t>
            </w:r>
            <w:r w:rsidRPr="516942E8">
              <w:rPr>
                <w:b/>
                <w:bCs/>
                <w:color w:val="2E74B5" w:themeColor="accent1" w:themeShade="BF"/>
              </w:rPr>
              <w:t>-2</w:t>
            </w:r>
            <w:r>
              <w:rPr>
                <w:b/>
                <w:bCs/>
                <w:color w:val="2E74B5" w:themeColor="accent1" w:themeShade="BF"/>
              </w:rPr>
              <w:t>3</w:t>
            </w:r>
          </w:p>
          <w:p w14:paraId="6C72BC98" w14:textId="60AEFF54" w:rsidR="00B533B0" w:rsidRPr="00BD1818" w:rsidRDefault="00B533B0" w:rsidP="0039634E">
            <w:pPr>
              <w:pStyle w:val="Tables"/>
              <w:spacing w:before="0" w:after="0"/>
              <w:rPr>
                <w:b/>
                <w:color w:val="2E74B5" w:themeColor="accent1" w:themeShade="BF"/>
              </w:rPr>
            </w:pPr>
            <w:r w:rsidRPr="00BD1818">
              <w:rPr>
                <w:b/>
                <w:color w:val="2E74B5" w:themeColor="accent1" w:themeShade="BF"/>
              </w:rPr>
              <w:t>Number of allegations</w:t>
            </w:r>
          </w:p>
          <w:p w14:paraId="08BA0AF6" w14:textId="77777777" w:rsidR="00B533B0" w:rsidRPr="00BD1818" w:rsidRDefault="00B533B0" w:rsidP="0039634E">
            <w:pPr>
              <w:pStyle w:val="Tables"/>
              <w:spacing w:before="0" w:after="0"/>
              <w:rPr>
                <w:b/>
                <w:color w:val="2E74B5" w:themeColor="accent1" w:themeShade="BF"/>
              </w:rPr>
            </w:pPr>
            <w:r w:rsidRPr="00BD1818">
              <w:rPr>
                <w:b/>
                <w:color w:val="2E74B5" w:themeColor="accent1" w:themeShade="BF"/>
              </w:rPr>
              <w:t>(% of total)</w:t>
            </w:r>
          </w:p>
        </w:tc>
        <w:tc>
          <w:tcPr>
            <w:tcW w:w="1747" w:type="dxa"/>
            <w:shd w:val="clear" w:color="auto" w:fill="auto"/>
          </w:tcPr>
          <w:p w14:paraId="4B6B2231" w14:textId="77777777" w:rsidR="0039634E" w:rsidRDefault="0039634E" w:rsidP="0039634E">
            <w:pPr>
              <w:pStyle w:val="Tables"/>
              <w:spacing w:before="0" w:after="0"/>
              <w:rPr>
                <w:b/>
                <w:bCs/>
                <w:color w:val="2E74B5" w:themeColor="accent1" w:themeShade="BF"/>
              </w:rPr>
            </w:pPr>
            <w:r w:rsidRPr="516942E8">
              <w:rPr>
                <w:b/>
                <w:bCs/>
                <w:color w:val="2E74B5" w:themeColor="accent1" w:themeShade="BF"/>
              </w:rPr>
              <w:t>202</w:t>
            </w:r>
            <w:r>
              <w:rPr>
                <w:b/>
                <w:bCs/>
                <w:color w:val="2E74B5" w:themeColor="accent1" w:themeShade="BF"/>
              </w:rPr>
              <w:t>2</w:t>
            </w:r>
            <w:r w:rsidRPr="516942E8">
              <w:rPr>
                <w:b/>
                <w:bCs/>
                <w:color w:val="2E74B5" w:themeColor="accent1" w:themeShade="BF"/>
              </w:rPr>
              <w:t>-2</w:t>
            </w:r>
            <w:r>
              <w:rPr>
                <w:b/>
                <w:bCs/>
                <w:color w:val="2E74B5" w:themeColor="accent1" w:themeShade="BF"/>
              </w:rPr>
              <w:t>3</w:t>
            </w:r>
          </w:p>
          <w:p w14:paraId="6443220F" w14:textId="5B90571F" w:rsidR="00B533B0" w:rsidRPr="00BD1818" w:rsidRDefault="00B533B0" w:rsidP="0039634E">
            <w:pPr>
              <w:pStyle w:val="Tables"/>
              <w:spacing w:before="0" w:after="0"/>
              <w:rPr>
                <w:b/>
                <w:color w:val="2E74B5" w:themeColor="accent1" w:themeShade="BF"/>
              </w:rPr>
            </w:pPr>
            <w:r w:rsidRPr="00BD1818">
              <w:rPr>
                <w:b/>
                <w:color w:val="2E74B5" w:themeColor="accent1" w:themeShade="BF"/>
              </w:rPr>
              <w:t>Number of substantiated allegations</w:t>
            </w:r>
          </w:p>
          <w:p w14:paraId="7E7E771B" w14:textId="77777777" w:rsidR="00B533B0" w:rsidRPr="00BD1818" w:rsidRDefault="00B533B0" w:rsidP="0039634E">
            <w:pPr>
              <w:pStyle w:val="Tables"/>
              <w:spacing w:before="0" w:after="0"/>
              <w:rPr>
                <w:b/>
                <w:color w:val="2E74B5" w:themeColor="accent1" w:themeShade="BF"/>
              </w:rPr>
            </w:pPr>
            <w:r w:rsidRPr="00BD1818">
              <w:rPr>
                <w:b/>
                <w:color w:val="2E74B5" w:themeColor="accent1" w:themeShade="BF"/>
              </w:rPr>
              <w:t xml:space="preserve">(% of </w:t>
            </w:r>
            <w:r>
              <w:rPr>
                <w:b/>
                <w:color w:val="2E74B5" w:themeColor="accent1" w:themeShade="BF"/>
              </w:rPr>
              <w:t>substantiated</w:t>
            </w:r>
            <w:r w:rsidRPr="00BD1818">
              <w:rPr>
                <w:b/>
                <w:color w:val="2E74B5" w:themeColor="accent1" w:themeShade="BF"/>
              </w:rPr>
              <w:t>)</w:t>
            </w:r>
          </w:p>
        </w:tc>
      </w:tr>
      <w:tr w:rsidR="007D4CFC" w:rsidRPr="00BD1818" w14:paraId="3E7C352D" w14:textId="77777777" w:rsidTr="007D4CFC">
        <w:trPr>
          <w:trHeight w:val="454"/>
          <w:tblHeader/>
        </w:trPr>
        <w:tc>
          <w:tcPr>
            <w:tcW w:w="3360" w:type="dxa"/>
            <w:shd w:val="clear" w:color="auto" w:fill="auto"/>
            <w:vAlign w:val="bottom"/>
          </w:tcPr>
          <w:p w14:paraId="77D44018" w14:textId="04289F54" w:rsidR="007D4CFC" w:rsidRPr="0039634E" w:rsidRDefault="007D4CFC" w:rsidP="007D4CFC">
            <w:pPr>
              <w:pStyle w:val="Tables"/>
              <w:spacing w:before="0" w:after="0"/>
              <w:jc w:val="left"/>
              <w:rPr>
                <w:b/>
                <w:color w:val="2E74B5" w:themeColor="accent1" w:themeShade="BF"/>
              </w:rPr>
            </w:pPr>
            <w:r>
              <w:t>Neglect of duty (e.g. careless or negligent behaviour in performance of duties)</w:t>
            </w:r>
          </w:p>
        </w:tc>
        <w:tc>
          <w:tcPr>
            <w:tcW w:w="1458" w:type="dxa"/>
            <w:vAlign w:val="center"/>
          </w:tcPr>
          <w:p w14:paraId="24ABCE49" w14:textId="25750739" w:rsidR="007D4CFC" w:rsidRPr="516942E8" w:rsidRDefault="007D4CFC" w:rsidP="007D4CFC">
            <w:pPr>
              <w:pStyle w:val="Tables"/>
              <w:spacing w:before="0" w:after="0"/>
              <w:rPr>
                <w:b/>
                <w:bCs/>
                <w:color w:val="2E74B5" w:themeColor="accent1" w:themeShade="BF"/>
              </w:rPr>
            </w:pPr>
            <w:r>
              <w:t>220 (7.8%)</w:t>
            </w:r>
          </w:p>
        </w:tc>
        <w:tc>
          <w:tcPr>
            <w:tcW w:w="1583" w:type="dxa"/>
            <w:vAlign w:val="center"/>
          </w:tcPr>
          <w:p w14:paraId="6E1579D8" w14:textId="15A2E7E8" w:rsidR="007D4CFC" w:rsidRPr="516942E8" w:rsidRDefault="007D4CFC" w:rsidP="007D4CFC">
            <w:pPr>
              <w:pStyle w:val="Tables"/>
              <w:spacing w:before="0" w:after="0"/>
              <w:rPr>
                <w:b/>
                <w:bCs/>
                <w:color w:val="2E74B5" w:themeColor="accent1" w:themeShade="BF"/>
              </w:rPr>
            </w:pPr>
            <w:r>
              <w:t>181 (8.0%)</w:t>
            </w:r>
          </w:p>
        </w:tc>
        <w:tc>
          <w:tcPr>
            <w:tcW w:w="1590" w:type="dxa"/>
            <w:shd w:val="clear" w:color="auto" w:fill="auto"/>
            <w:vAlign w:val="center"/>
          </w:tcPr>
          <w:p w14:paraId="48F03D91" w14:textId="25A76CB9" w:rsidR="007D4CFC" w:rsidRPr="516942E8" w:rsidRDefault="007D4CFC" w:rsidP="007D4CFC">
            <w:pPr>
              <w:pStyle w:val="Tables"/>
              <w:spacing w:before="0" w:after="0"/>
              <w:rPr>
                <w:b/>
                <w:bCs/>
                <w:color w:val="2E74B5" w:themeColor="accent1" w:themeShade="BF"/>
              </w:rPr>
            </w:pPr>
            <w:r w:rsidRPr="004D75A2">
              <w:t>263 (8.6%)</w:t>
            </w:r>
          </w:p>
        </w:tc>
        <w:tc>
          <w:tcPr>
            <w:tcW w:w="1747" w:type="dxa"/>
            <w:shd w:val="clear" w:color="auto" w:fill="auto"/>
            <w:vAlign w:val="center"/>
          </w:tcPr>
          <w:p w14:paraId="4376C54F" w14:textId="2302CCF3" w:rsidR="007D4CFC" w:rsidRPr="516942E8" w:rsidRDefault="007D4CFC" w:rsidP="007D4CFC">
            <w:pPr>
              <w:pStyle w:val="Tables"/>
              <w:spacing w:before="0" w:after="0"/>
              <w:rPr>
                <w:b/>
                <w:bCs/>
                <w:color w:val="2E74B5" w:themeColor="accent1" w:themeShade="BF"/>
              </w:rPr>
            </w:pPr>
            <w:r w:rsidRPr="004D75A2">
              <w:t>209</w:t>
            </w:r>
            <w:r>
              <w:t xml:space="preserve"> (8.</w:t>
            </w:r>
            <w:r w:rsidRPr="004D75A2">
              <w:t>3</w:t>
            </w:r>
            <w:r>
              <w:t>%)</w:t>
            </w:r>
          </w:p>
        </w:tc>
      </w:tr>
      <w:tr w:rsidR="007D4CFC" w:rsidRPr="00BD1818" w14:paraId="03C3BDF5" w14:textId="77777777" w:rsidTr="007D4CFC">
        <w:trPr>
          <w:trHeight w:val="454"/>
          <w:tblHeader/>
        </w:trPr>
        <w:tc>
          <w:tcPr>
            <w:tcW w:w="3360" w:type="dxa"/>
            <w:shd w:val="clear" w:color="auto" w:fill="auto"/>
            <w:vAlign w:val="center"/>
          </w:tcPr>
          <w:p w14:paraId="46571866" w14:textId="3D7D54A7" w:rsidR="007D4CFC" w:rsidRPr="0039634E" w:rsidRDefault="007D4CFC" w:rsidP="007D4CFC">
            <w:pPr>
              <w:pStyle w:val="Tables"/>
              <w:spacing w:before="0" w:after="0"/>
              <w:jc w:val="left"/>
              <w:rPr>
                <w:b/>
                <w:color w:val="2E74B5" w:themeColor="accent1" w:themeShade="BF"/>
              </w:rPr>
            </w:pPr>
            <w:r>
              <w:t>Criminal behaviour outside work</w:t>
            </w:r>
          </w:p>
        </w:tc>
        <w:tc>
          <w:tcPr>
            <w:tcW w:w="1458" w:type="dxa"/>
            <w:vAlign w:val="center"/>
          </w:tcPr>
          <w:p w14:paraId="164FED07" w14:textId="0C25645C" w:rsidR="007D4CFC" w:rsidRPr="516942E8" w:rsidRDefault="007D4CFC" w:rsidP="007D4CFC">
            <w:pPr>
              <w:pStyle w:val="Tables"/>
              <w:spacing w:before="0" w:after="0"/>
              <w:rPr>
                <w:b/>
                <w:bCs/>
                <w:color w:val="2E74B5" w:themeColor="accent1" w:themeShade="BF"/>
              </w:rPr>
            </w:pPr>
            <w:r>
              <w:t>14 (0.5%)</w:t>
            </w:r>
          </w:p>
        </w:tc>
        <w:tc>
          <w:tcPr>
            <w:tcW w:w="1583" w:type="dxa"/>
            <w:vAlign w:val="center"/>
          </w:tcPr>
          <w:p w14:paraId="1344F592" w14:textId="1187E129" w:rsidR="007D4CFC" w:rsidRPr="516942E8" w:rsidRDefault="007D4CFC" w:rsidP="007D4CFC">
            <w:pPr>
              <w:pStyle w:val="Tables"/>
              <w:spacing w:before="0" w:after="0"/>
              <w:rPr>
                <w:b/>
                <w:bCs/>
                <w:color w:val="2E74B5" w:themeColor="accent1" w:themeShade="BF"/>
              </w:rPr>
            </w:pPr>
            <w:r>
              <w:t>10 (0.4%)</w:t>
            </w:r>
          </w:p>
        </w:tc>
        <w:tc>
          <w:tcPr>
            <w:tcW w:w="1590" w:type="dxa"/>
            <w:shd w:val="clear" w:color="auto" w:fill="auto"/>
            <w:vAlign w:val="center"/>
          </w:tcPr>
          <w:p w14:paraId="578D9537" w14:textId="24D59D2A" w:rsidR="007D4CFC" w:rsidRPr="516942E8" w:rsidRDefault="007D4CFC" w:rsidP="007D4CFC">
            <w:pPr>
              <w:pStyle w:val="Tables"/>
              <w:spacing w:before="0" w:after="0"/>
              <w:rPr>
                <w:b/>
                <w:bCs/>
                <w:color w:val="2E74B5" w:themeColor="accent1" w:themeShade="BF"/>
              </w:rPr>
            </w:pPr>
            <w:r w:rsidRPr="004D75A2">
              <w:t>22</w:t>
            </w:r>
            <w:r>
              <w:t xml:space="preserve"> (0.</w:t>
            </w:r>
            <w:r w:rsidRPr="004D75A2">
              <w:t>7</w:t>
            </w:r>
            <w:r>
              <w:t>%)</w:t>
            </w:r>
          </w:p>
        </w:tc>
        <w:tc>
          <w:tcPr>
            <w:tcW w:w="1747" w:type="dxa"/>
            <w:shd w:val="clear" w:color="auto" w:fill="auto"/>
            <w:vAlign w:val="center"/>
          </w:tcPr>
          <w:p w14:paraId="6DA23B24" w14:textId="31FB21BC" w:rsidR="007D4CFC" w:rsidRPr="516942E8" w:rsidRDefault="007D4CFC" w:rsidP="007D4CFC">
            <w:pPr>
              <w:pStyle w:val="Tables"/>
              <w:spacing w:before="0" w:after="0"/>
              <w:rPr>
                <w:b/>
                <w:bCs/>
                <w:color w:val="2E74B5" w:themeColor="accent1" w:themeShade="BF"/>
              </w:rPr>
            </w:pPr>
            <w:r w:rsidRPr="004D75A2">
              <w:t>17</w:t>
            </w:r>
            <w:r>
              <w:t xml:space="preserve"> (0.</w:t>
            </w:r>
            <w:r w:rsidRPr="004D75A2">
              <w:t>7</w:t>
            </w:r>
            <w:r>
              <w:t>%)</w:t>
            </w:r>
          </w:p>
        </w:tc>
      </w:tr>
      <w:tr w:rsidR="007D4CFC" w:rsidRPr="00BD1818" w14:paraId="2DA06A17" w14:textId="77777777" w:rsidTr="007D4CFC">
        <w:trPr>
          <w:trHeight w:val="454"/>
          <w:tblHeader/>
        </w:trPr>
        <w:tc>
          <w:tcPr>
            <w:tcW w:w="3360" w:type="dxa"/>
            <w:shd w:val="clear" w:color="auto" w:fill="auto"/>
            <w:vAlign w:val="bottom"/>
          </w:tcPr>
          <w:p w14:paraId="5213D827" w14:textId="0A49FC19" w:rsidR="007D4CFC" w:rsidRPr="0039634E" w:rsidRDefault="007D4CFC" w:rsidP="007D4CFC">
            <w:pPr>
              <w:pStyle w:val="Tables"/>
              <w:spacing w:before="0" w:after="0"/>
              <w:jc w:val="left"/>
              <w:rPr>
                <w:b/>
                <w:color w:val="2E74B5" w:themeColor="accent1" w:themeShade="BF"/>
              </w:rPr>
            </w:pPr>
            <w:r>
              <w:t>Unauthorised secondary employment outside work</w:t>
            </w:r>
          </w:p>
        </w:tc>
        <w:tc>
          <w:tcPr>
            <w:tcW w:w="1458" w:type="dxa"/>
            <w:vAlign w:val="center"/>
          </w:tcPr>
          <w:p w14:paraId="5E584461" w14:textId="5358F38B" w:rsidR="007D4CFC" w:rsidRPr="516942E8" w:rsidRDefault="007D4CFC" w:rsidP="007D4CFC">
            <w:pPr>
              <w:pStyle w:val="Tables"/>
              <w:spacing w:before="0" w:after="0"/>
              <w:rPr>
                <w:b/>
                <w:bCs/>
                <w:color w:val="2E74B5" w:themeColor="accent1" w:themeShade="BF"/>
              </w:rPr>
            </w:pPr>
            <w:r>
              <w:t>12 (0.4%)</w:t>
            </w:r>
          </w:p>
        </w:tc>
        <w:tc>
          <w:tcPr>
            <w:tcW w:w="1583" w:type="dxa"/>
            <w:vAlign w:val="center"/>
          </w:tcPr>
          <w:p w14:paraId="7B4432DF" w14:textId="1683F8A3" w:rsidR="007D4CFC" w:rsidRPr="516942E8" w:rsidRDefault="007D4CFC" w:rsidP="007D4CFC">
            <w:pPr>
              <w:pStyle w:val="Tables"/>
              <w:spacing w:before="0" w:after="0"/>
              <w:rPr>
                <w:b/>
                <w:bCs/>
                <w:color w:val="2E74B5" w:themeColor="accent1" w:themeShade="BF"/>
              </w:rPr>
            </w:pPr>
            <w:r>
              <w:t>12 (0.5%)</w:t>
            </w:r>
          </w:p>
        </w:tc>
        <w:tc>
          <w:tcPr>
            <w:tcW w:w="1590" w:type="dxa"/>
            <w:shd w:val="clear" w:color="auto" w:fill="auto"/>
            <w:vAlign w:val="center"/>
          </w:tcPr>
          <w:p w14:paraId="02609BF6" w14:textId="5FE63039" w:rsidR="007D4CFC" w:rsidRPr="516942E8" w:rsidRDefault="007D4CFC" w:rsidP="007D4CFC">
            <w:pPr>
              <w:pStyle w:val="Tables"/>
              <w:spacing w:before="0" w:after="0"/>
              <w:rPr>
                <w:b/>
                <w:bCs/>
                <w:color w:val="2E74B5" w:themeColor="accent1" w:themeShade="BF"/>
              </w:rPr>
            </w:pPr>
            <w:r w:rsidRPr="004D75A2">
              <w:t>37 (1.2%)</w:t>
            </w:r>
          </w:p>
        </w:tc>
        <w:tc>
          <w:tcPr>
            <w:tcW w:w="1747" w:type="dxa"/>
            <w:shd w:val="clear" w:color="auto" w:fill="auto"/>
            <w:vAlign w:val="center"/>
          </w:tcPr>
          <w:p w14:paraId="4F4BE516" w14:textId="1CD4DE97" w:rsidR="007D4CFC" w:rsidRPr="516942E8" w:rsidRDefault="007D4CFC" w:rsidP="007D4CFC">
            <w:pPr>
              <w:pStyle w:val="Tables"/>
              <w:spacing w:before="0" w:after="0"/>
              <w:rPr>
                <w:b/>
                <w:bCs/>
                <w:color w:val="2E74B5" w:themeColor="accent1" w:themeShade="BF"/>
              </w:rPr>
            </w:pPr>
            <w:r w:rsidRPr="004D75A2">
              <w:t>31 (1.2%)</w:t>
            </w:r>
          </w:p>
        </w:tc>
      </w:tr>
      <w:tr w:rsidR="007D4CFC" w:rsidRPr="00BD1818" w14:paraId="7BE5792D" w14:textId="77777777" w:rsidTr="007D4CFC">
        <w:trPr>
          <w:trHeight w:val="454"/>
          <w:tblHeader/>
        </w:trPr>
        <w:tc>
          <w:tcPr>
            <w:tcW w:w="3360" w:type="dxa"/>
            <w:shd w:val="clear" w:color="auto" w:fill="auto"/>
            <w:vAlign w:val="bottom"/>
          </w:tcPr>
          <w:p w14:paraId="073ADB14" w14:textId="0D242F86" w:rsidR="007D4CFC" w:rsidRPr="0039634E" w:rsidRDefault="007D4CFC" w:rsidP="007D4CFC">
            <w:pPr>
              <w:pStyle w:val="Tables"/>
              <w:spacing w:before="0"/>
              <w:jc w:val="left"/>
              <w:rPr>
                <w:b/>
                <w:color w:val="2E74B5" w:themeColor="accent1" w:themeShade="BF"/>
              </w:rPr>
            </w:pPr>
            <w:r>
              <w:t>Disobeying or disregarding a direction or lawful order</w:t>
            </w:r>
          </w:p>
        </w:tc>
        <w:tc>
          <w:tcPr>
            <w:tcW w:w="1458" w:type="dxa"/>
            <w:vAlign w:val="center"/>
          </w:tcPr>
          <w:p w14:paraId="77F34230" w14:textId="403FE0DA" w:rsidR="007D4CFC" w:rsidRPr="516942E8" w:rsidRDefault="007D4CFC" w:rsidP="007D4CFC">
            <w:pPr>
              <w:pStyle w:val="Tables"/>
              <w:spacing w:before="0" w:after="0"/>
              <w:rPr>
                <w:b/>
                <w:bCs/>
                <w:color w:val="2E74B5" w:themeColor="accent1" w:themeShade="BF"/>
              </w:rPr>
            </w:pPr>
            <w:r>
              <w:t>530 (18.8%)</w:t>
            </w:r>
          </w:p>
        </w:tc>
        <w:tc>
          <w:tcPr>
            <w:tcW w:w="1583" w:type="dxa"/>
            <w:vAlign w:val="center"/>
          </w:tcPr>
          <w:p w14:paraId="4A3F26EB" w14:textId="6DA1D55F" w:rsidR="007D4CFC" w:rsidRPr="516942E8" w:rsidRDefault="007D4CFC" w:rsidP="007D4CFC">
            <w:pPr>
              <w:pStyle w:val="Tables"/>
              <w:spacing w:before="0" w:after="0"/>
              <w:rPr>
                <w:b/>
                <w:bCs/>
                <w:color w:val="2E74B5" w:themeColor="accent1" w:themeShade="BF"/>
              </w:rPr>
            </w:pPr>
            <w:r>
              <w:t>500 (22.2%)</w:t>
            </w:r>
          </w:p>
        </w:tc>
        <w:tc>
          <w:tcPr>
            <w:tcW w:w="1590" w:type="dxa"/>
            <w:shd w:val="clear" w:color="auto" w:fill="auto"/>
            <w:vAlign w:val="center"/>
          </w:tcPr>
          <w:p w14:paraId="73C4EC65" w14:textId="748396F8" w:rsidR="007D4CFC" w:rsidRPr="516942E8" w:rsidRDefault="007D4CFC" w:rsidP="007D4CFC">
            <w:pPr>
              <w:pStyle w:val="Tables"/>
              <w:spacing w:before="0" w:after="0"/>
              <w:rPr>
                <w:b/>
                <w:bCs/>
                <w:color w:val="2E74B5" w:themeColor="accent1" w:themeShade="BF"/>
              </w:rPr>
            </w:pPr>
            <w:r w:rsidRPr="004D75A2">
              <w:t>582</w:t>
            </w:r>
            <w:r>
              <w:t xml:space="preserve"> (18.</w:t>
            </w:r>
            <w:r w:rsidRPr="004D75A2">
              <w:t>9</w:t>
            </w:r>
            <w:r>
              <w:t>%)</w:t>
            </w:r>
          </w:p>
        </w:tc>
        <w:tc>
          <w:tcPr>
            <w:tcW w:w="1747" w:type="dxa"/>
            <w:shd w:val="clear" w:color="auto" w:fill="auto"/>
            <w:vAlign w:val="center"/>
          </w:tcPr>
          <w:p w14:paraId="64ADD587" w14:textId="774392DD" w:rsidR="007D4CFC" w:rsidRPr="516942E8" w:rsidRDefault="007D4CFC" w:rsidP="007D4CFC">
            <w:pPr>
              <w:pStyle w:val="Tables"/>
              <w:spacing w:before="0" w:after="0"/>
              <w:rPr>
                <w:b/>
                <w:bCs/>
                <w:color w:val="2E74B5" w:themeColor="accent1" w:themeShade="BF"/>
              </w:rPr>
            </w:pPr>
            <w:r w:rsidRPr="004D75A2">
              <w:t>545 (21.8%)</w:t>
            </w:r>
          </w:p>
        </w:tc>
      </w:tr>
      <w:tr w:rsidR="007D4CFC" w:rsidRPr="007162D4" w14:paraId="1F364B6C" w14:textId="77777777" w:rsidTr="007D4CFC">
        <w:trPr>
          <w:trHeight w:val="454"/>
        </w:trPr>
        <w:tc>
          <w:tcPr>
            <w:tcW w:w="3360" w:type="dxa"/>
            <w:shd w:val="clear" w:color="auto" w:fill="auto"/>
            <w:noWrap/>
            <w:vAlign w:val="bottom"/>
          </w:tcPr>
          <w:p w14:paraId="1EB7D13A" w14:textId="77777777" w:rsidR="007D4CFC" w:rsidRDefault="007D4CFC" w:rsidP="007D4CFC">
            <w:pPr>
              <w:pStyle w:val="Tables"/>
              <w:jc w:val="left"/>
            </w:pPr>
            <w:r>
              <w:t>Failing to act with integrity (e.g. intentionally failing to perform or acting in a dishonest way)</w:t>
            </w:r>
          </w:p>
        </w:tc>
        <w:tc>
          <w:tcPr>
            <w:tcW w:w="1458" w:type="dxa"/>
            <w:vAlign w:val="center"/>
          </w:tcPr>
          <w:p w14:paraId="0CE266C1" w14:textId="77777777" w:rsidR="007D4CFC" w:rsidRDefault="007D4CFC" w:rsidP="007D4CFC">
            <w:pPr>
              <w:pStyle w:val="Tables"/>
            </w:pPr>
            <w:r>
              <w:t>119 (4.2%)</w:t>
            </w:r>
          </w:p>
        </w:tc>
        <w:tc>
          <w:tcPr>
            <w:tcW w:w="1583" w:type="dxa"/>
            <w:vAlign w:val="center"/>
          </w:tcPr>
          <w:p w14:paraId="648CB4EE" w14:textId="77777777" w:rsidR="007D4CFC" w:rsidRDefault="007D4CFC" w:rsidP="007D4CFC">
            <w:pPr>
              <w:pStyle w:val="Tables"/>
            </w:pPr>
            <w:r>
              <w:t>89 (3.9%)</w:t>
            </w:r>
          </w:p>
        </w:tc>
        <w:tc>
          <w:tcPr>
            <w:tcW w:w="1590" w:type="dxa"/>
            <w:shd w:val="clear" w:color="auto" w:fill="auto"/>
            <w:noWrap/>
            <w:vAlign w:val="center"/>
          </w:tcPr>
          <w:p w14:paraId="0505FEDB" w14:textId="77777777" w:rsidR="007D4CFC" w:rsidRPr="004D75A2" w:rsidRDefault="007D4CFC" w:rsidP="007D4CFC">
            <w:pPr>
              <w:pStyle w:val="Tables"/>
            </w:pPr>
            <w:r w:rsidRPr="004D75A2">
              <w:t>80 (2.6%)</w:t>
            </w:r>
          </w:p>
        </w:tc>
        <w:tc>
          <w:tcPr>
            <w:tcW w:w="1747" w:type="dxa"/>
            <w:shd w:val="clear" w:color="auto" w:fill="auto"/>
            <w:noWrap/>
            <w:vAlign w:val="center"/>
          </w:tcPr>
          <w:p w14:paraId="520EDCB7" w14:textId="77777777" w:rsidR="007D4CFC" w:rsidRPr="004D75A2" w:rsidRDefault="007D4CFC" w:rsidP="007D4CFC">
            <w:pPr>
              <w:pStyle w:val="Tables"/>
            </w:pPr>
            <w:r w:rsidRPr="004D75A2">
              <w:t>64 (2.6%)</w:t>
            </w:r>
          </w:p>
        </w:tc>
      </w:tr>
      <w:tr w:rsidR="007D4CFC" w:rsidRPr="007162D4" w14:paraId="35DA2F24" w14:textId="77777777" w:rsidTr="007D4CFC">
        <w:trPr>
          <w:trHeight w:val="454"/>
        </w:trPr>
        <w:tc>
          <w:tcPr>
            <w:tcW w:w="3360" w:type="dxa"/>
            <w:shd w:val="clear" w:color="auto" w:fill="auto"/>
            <w:noWrap/>
            <w:vAlign w:val="bottom"/>
          </w:tcPr>
          <w:p w14:paraId="00F83A24" w14:textId="77777777" w:rsidR="007D4CFC" w:rsidRDefault="007D4CFC" w:rsidP="007D4CFC">
            <w:pPr>
              <w:pStyle w:val="Tables"/>
              <w:jc w:val="left"/>
            </w:pPr>
            <w:r>
              <w:t xml:space="preserve">Committing an act of victimisation within the meaning of section 15 of the </w:t>
            </w:r>
            <w:r w:rsidRPr="005A639A">
              <w:rPr>
                <w:i/>
              </w:rPr>
              <w:t>Public Interest Disclosure Act</w:t>
            </w:r>
            <w:r>
              <w:rPr>
                <w:i/>
              </w:rPr>
              <w:t> </w:t>
            </w:r>
            <w:r w:rsidRPr="005A639A">
              <w:rPr>
                <w:i/>
              </w:rPr>
              <w:t>2003</w:t>
            </w:r>
          </w:p>
        </w:tc>
        <w:tc>
          <w:tcPr>
            <w:tcW w:w="1458" w:type="dxa"/>
            <w:vAlign w:val="center"/>
          </w:tcPr>
          <w:p w14:paraId="4DDB2AA1" w14:textId="77777777" w:rsidR="007D4CFC" w:rsidRDefault="007D4CFC" w:rsidP="007D4CFC">
            <w:pPr>
              <w:pStyle w:val="Tables"/>
            </w:pPr>
            <w:r>
              <w:t>2 (0.1%)</w:t>
            </w:r>
          </w:p>
        </w:tc>
        <w:tc>
          <w:tcPr>
            <w:tcW w:w="1583" w:type="dxa"/>
            <w:vAlign w:val="center"/>
          </w:tcPr>
          <w:p w14:paraId="6BFF3B21" w14:textId="77777777" w:rsidR="007D4CFC" w:rsidRDefault="007D4CFC" w:rsidP="007D4CFC">
            <w:pPr>
              <w:pStyle w:val="Tables"/>
            </w:pPr>
            <w:r>
              <w:t>2 (0.1%)</w:t>
            </w:r>
          </w:p>
        </w:tc>
        <w:tc>
          <w:tcPr>
            <w:tcW w:w="1590" w:type="dxa"/>
            <w:shd w:val="clear" w:color="auto" w:fill="auto"/>
            <w:noWrap/>
            <w:vAlign w:val="center"/>
          </w:tcPr>
          <w:p w14:paraId="398C41B9" w14:textId="77777777" w:rsidR="007D4CFC" w:rsidRPr="004D75A2" w:rsidRDefault="007D4CFC" w:rsidP="007D4CFC">
            <w:pPr>
              <w:pStyle w:val="Tables"/>
            </w:pPr>
            <w:r w:rsidRPr="004D75A2">
              <w:t>0 (0.0%)</w:t>
            </w:r>
          </w:p>
        </w:tc>
        <w:tc>
          <w:tcPr>
            <w:tcW w:w="1747" w:type="dxa"/>
            <w:shd w:val="clear" w:color="auto" w:fill="auto"/>
            <w:noWrap/>
            <w:vAlign w:val="center"/>
          </w:tcPr>
          <w:p w14:paraId="54C21CDD" w14:textId="77777777" w:rsidR="007D4CFC" w:rsidRPr="004D75A2" w:rsidRDefault="007D4CFC" w:rsidP="007D4CFC">
            <w:pPr>
              <w:pStyle w:val="Tables"/>
            </w:pPr>
            <w:r w:rsidRPr="004D75A2">
              <w:t>0 (0.0%)</w:t>
            </w:r>
          </w:p>
        </w:tc>
      </w:tr>
      <w:tr w:rsidR="007D4CFC" w:rsidRPr="007162D4" w14:paraId="1D0AA5D2" w14:textId="77777777" w:rsidTr="007D4CFC">
        <w:trPr>
          <w:trHeight w:val="454"/>
        </w:trPr>
        <w:tc>
          <w:tcPr>
            <w:tcW w:w="3360" w:type="dxa"/>
            <w:shd w:val="clear" w:color="auto" w:fill="auto"/>
            <w:noWrap/>
            <w:vAlign w:val="center"/>
          </w:tcPr>
          <w:p w14:paraId="0E4F3E4A" w14:textId="77777777" w:rsidR="007D4CFC" w:rsidRDefault="007D4CFC" w:rsidP="007D4CFC">
            <w:pPr>
              <w:pStyle w:val="Tables"/>
              <w:jc w:val="left"/>
            </w:pPr>
            <w:r>
              <w:t>Other</w:t>
            </w:r>
          </w:p>
        </w:tc>
        <w:tc>
          <w:tcPr>
            <w:tcW w:w="1458" w:type="dxa"/>
            <w:vAlign w:val="center"/>
          </w:tcPr>
          <w:p w14:paraId="111557EE" w14:textId="77777777" w:rsidR="007D4CFC" w:rsidRDefault="007D4CFC" w:rsidP="007D4CFC">
            <w:pPr>
              <w:pStyle w:val="Tables"/>
            </w:pPr>
            <w:r>
              <w:t>220 (7.8%)</w:t>
            </w:r>
          </w:p>
        </w:tc>
        <w:tc>
          <w:tcPr>
            <w:tcW w:w="1583" w:type="dxa"/>
            <w:vAlign w:val="center"/>
          </w:tcPr>
          <w:p w14:paraId="7ADAFE07" w14:textId="77777777" w:rsidR="007D4CFC" w:rsidRDefault="007D4CFC" w:rsidP="007D4CFC">
            <w:pPr>
              <w:pStyle w:val="Tables"/>
            </w:pPr>
            <w:r>
              <w:t>186 (8.3%)</w:t>
            </w:r>
          </w:p>
        </w:tc>
        <w:tc>
          <w:tcPr>
            <w:tcW w:w="1590" w:type="dxa"/>
            <w:shd w:val="clear" w:color="auto" w:fill="auto"/>
            <w:noWrap/>
            <w:vAlign w:val="center"/>
          </w:tcPr>
          <w:p w14:paraId="3E505811" w14:textId="77777777" w:rsidR="007D4CFC" w:rsidRPr="004D75A2" w:rsidRDefault="007D4CFC" w:rsidP="007D4CFC">
            <w:pPr>
              <w:pStyle w:val="Tables"/>
            </w:pPr>
            <w:r w:rsidRPr="004D75A2">
              <w:t>121 (3.9%)</w:t>
            </w:r>
          </w:p>
        </w:tc>
        <w:tc>
          <w:tcPr>
            <w:tcW w:w="1747" w:type="dxa"/>
            <w:shd w:val="clear" w:color="auto" w:fill="auto"/>
            <w:noWrap/>
            <w:vAlign w:val="center"/>
          </w:tcPr>
          <w:p w14:paraId="2B4F5207" w14:textId="77777777" w:rsidR="007D4CFC" w:rsidRPr="004D75A2" w:rsidRDefault="007D4CFC" w:rsidP="007D4CFC">
            <w:pPr>
              <w:pStyle w:val="Tables"/>
            </w:pPr>
            <w:r w:rsidRPr="004D75A2">
              <w:t>107 (4.3%)</w:t>
            </w:r>
          </w:p>
        </w:tc>
      </w:tr>
      <w:tr w:rsidR="007D4CFC" w:rsidRPr="007162D4" w14:paraId="21AA0C0A" w14:textId="77777777" w:rsidTr="007D4CFC">
        <w:trPr>
          <w:trHeight w:val="454"/>
        </w:trPr>
        <w:tc>
          <w:tcPr>
            <w:tcW w:w="3360" w:type="dxa"/>
            <w:shd w:val="clear" w:color="auto" w:fill="auto"/>
            <w:noWrap/>
            <w:vAlign w:val="center"/>
          </w:tcPr>
          <w:p w14:paraId="3C882382" w14:textId="77777777" w:rsidR="007D4CFC" w:rsidRDefault="007D4CFC" w:rsidP="007D4CFC">
            <w:pPr>
              <w:pStyle w:val="Tables"/>
              <w:jc w:val="left"/>
            </w:pPr>
            <w:r w:rsidRPr="00F9306F">
              <w:rPr>
                <w:rFonts w:eastAsia="Calibri"/>
                <w:b/>
              </w:rPr>
              <w:t>Total</w:t>
            </w:r>
          </w:p>
        </w:tc>
        <w:tc>
          <w:tcPr>
            <w:tcW w:w="1458" w:type="dxa"/>
            <w:vAlign w:val="center"/>
          </w:tcPr>
          <w:p w14:paraId="4DC7113C" w14:textId="77777777" w:rsidR="007D4CFC" w:rsidRDefault="007D4CFC" w:rsidP="007D4CFC">
            <w:pPr>
              <w:pStyle w:val="Tables"/>
            </w:pPr>
            <w:r w:rsidRPr="2EE9826F">
              <w:rPr>
                <w:b/>
                <w:bCs/>
              </w:rPr>
              <w:t>2</w:t>
            </w:r>
            <w:r>
              <w:rPr>
                <w:b/>
                <w:bCs/>
              </w:rPr>
              <w:t>,</w:t>
            </w:r>
            <w:r w:rsidRPr="2EE9826F">
              <w:rPr>
                <w:b/>
                <w:bCs/>
              </w:rPr>
              <w:t>818 (100%)</w:t>
            </w:r>
          </w:p>
        </w:tc>
        <w:tc>
          <w:tcPr>
            <w:tcW w:w="1583" w:type="dxa"/>
            <w:vAlign w:val="center"/>
          </w:tcPr>
          <w:p w14:paraId="68ED10EC" w14:textId="77777777" w:rsidR="007D4CFC" w:rsidRDefault="007D4CFC" w:rsidP="007D4CFC">
            <w:pPr>
              <w:pStyle w:val="Tables"/>
            </w:pPr>
            <w:r w:rsidRPr="003428B3">
              <w:rPr>
                <w:b/>
                <w:bCs/>
              </w:rPr>
              <w:t>2</w:t>
            </w:r>
            <w:r>
              <w:rPr>
                <w:b/>
                <w:bCs/>
              </w:rPr>
              <w:t>,</w:t>
            </w:r>
            <w:r w:rsidRPr="003428B3">
              <w:rPr>
                <w:b/>
                <w:bCs/>
              </w:rPr>
              <w:t>254</w:t>
            </w:r>
            <w:r w:rsidRPr="2EE9826F">
              <w:rPr>
                <w:b/>
                <w:bCs/>
              </w:rPr>
              <w:t xml:space="preserve"> (100%)</w:t>
            </w:r>
          </w:p>
        </w:tc>
        <w:tc>
          <w:tcPr>
            <w:tcW w:w="1590" w:type="dxa"/>
            <w:shd w:val="clear" w:color="auto" w:fill="auto"/>
            <w:noWrap/>
            <w:vAlign w:val="center"/>
          </w:tcPr>
          <w:p w14:paraId="69AF1DAD" w14:textId="2505075A" w:rsidR="007D4CFC" w:rsidRPr="004D75A2" w:rsidRDefault="007D4CFC" w:rsidP="007D4CFC">
            <w:pPr>
              <w:pStyle w:val="Tables"/>
            </w:pPr>
            <w:r w:rsidRPr="004D75A2">
              <w:rPr>
                <w:b/>
                <w:bCs/>
              </w:rPr>
              <w:t>3</w:t>
            </w:r>
            <w:r>
              <w:rPr>
                <w:b/>
                <w:bCs/>
              </w:rPr>
              <w:t>,</w:t>
            </w:r>
            <w:r w:rsidRPr="004D75A2">
              <w:rPr>
                <w:b/>
                <w:bCs/>
              </w:rPr>
              <w:t>075 (100%)</w:t>
            </w:r>
          </w:p>
        </w:tc>
        <w:tc>
          <w:tcPr>
            <w:tcW w:w="1747" w:type="dxa"/>
            <w:shd w:val="clear" w:color="auto" w:fill="auto"/>
            <w:noWrap/>
            <w:vAlign w:val="center"/>
          </w:tcPr>
          <w:p w14:paraId="7E125DEB" w14:textId="25E836D8" w:rsidR="007D4CFC" w:rsidRPr="004D75A2" w:rsidRDefault="007D4CFC" w:rsidP="007D4CFC">
            <w:pPr>
              <w:pStyle w:val="Tables"/>
            </w:pPr>
            <w:r w:rsidRPr="004D75A2">
              <w:rPr>
                <w:b/>
                <w:bCs/>
              </w:rPr>
              <w:t>2</w:t>
            </w:r>
            <w:r>
              <w:rPr>
                <w:b/>
                <w:bCs/>
              </w:rPr>
              <w:t>,</w:t>
            </w:r>
            <w:r w:rsidRPr="004D75A2">
              <w:rPr>
                <w:b/>
                <w:bCs/>
              </w:rPr>
              <w:t>505 (100%)</w:t>
            </w:r>
          </w:p>
        </w:tc>
      </w:tr>
    </w:tbl>
    <w:p w14:paraId="7D0F1302" w14:textId="77777777" w:rsidR="007D4CFC" w:rsidRPr="007D4CFC" w:rsidRDefault="007D4CFC" w:rsidP="00902AEC">
      <w:pPr>
        <w:spacing w:after="80" w:line="240" w:lineRule="auto"/>
        <w:rPr>
          <w:rFonts w:eastAsiaTheme="minorEastAsia"/>
          <w:sz w:val="8"/>
          <w:szCs w:val="8"/>
          <w:lang w:eastAsia="en-US"/>
        </w:rPr>
      </w:pPr>
    </w:p>
    <w:p w14:paraId="1F81F384" w14:textId="77777777" w:rsidR="004C5F01" w:rsidRDefault="004C5F01" w:rsidP="00902AEC">
      <w:pPr>
        <w:spacing w:after="80" w:line="240" w:lineRule="auto"/>
        <w:rPr>
          <w:rFonts w:eastAsiaTheme="minorEastAsia"/>
          <w:lang w:eastAsia="en-US"/>
        </w:rPr>
      </w:pPr>
      <w:r>
        <w:rPr>
          <w:rFonts w:eastAsiaTheme="minorEastAsia"/>
          <w:lang w:eastAsia="en-US"/>
        </w:rPr>
        <w:br w:type="page"/>
      </w:r>
    </w:p>
    <w:p w14:paraId="139CA54A" w14:textId="1430643B" w:rsidR="000D42F1" w:rsidRPr="00521230" w:rsidRDefault="000D42F1" w:rsidP="00902AEC">
      <w:pPr>
        <w:spacing w:after="80" w:line="240" w:lineRule="auto"/>
        <w:rPr>
          <w:rFonts w:eastAsiaTheme="minorEastAsia"/>
          <w:lang w:eastAsia="en-US"/>
        </w:rPr>
      </w:pPr>
      <w:r w:rsidRPr="00521230">
        <w:rPr>
          <w:rFonts w:eastAsiaTheme="minorEastAsia"/>
          <w:lang w:eastAsia="en-US"/>
        </w:rPr>
        <w:lastRenderedPageBreak/>
        <w:t xml:space="preserve">Of all </w:t>
      </w:r>
      <w:r>
        <w:rPr>
          <w:rFonts w:eastAsiaTheme="minorEastAsia"/>
          <w:lang w:eastAsia="en-US"/>
        </w:rPr>
        <w:t>public authorities</w:t>
      </w:r>
      <w:r w:rsidRPr="00521230">
        <w:rPr>
          <w:rFonts w:eastAsiaTheme="minorEastAsia"/>
          <w:lang w:eastAsia="en-US"/>
        </w:rPr>
        <w:t xml:space="preserve">, </w:t>
      </w:r>
      <w:r>
        <w:rPr>
          <w:rFonts w:eastAsiaTheme="minorEastAsia"/>
          <w:lang w:eastAsia="en-US"/>
        </w:rPr>
        <w:t>80</w:t>
      </w:r>
      <w:r w:rsidRPr="00521230">
        <w:rPr>
          <w:rFonts w:eastAsiaTheme="minorEastAsia"/>
          <w:lang w:eastAsia="en-US"/>
        </w:rPr>
        <w:t xml:space="preserve"> reported they had discontinued one or more discipline processes during 202</w:t>
      </w:r>
      <w:r>
        <w:rPr>
          <w:rFonts w:eastAsiaTheme="minorEastAsia"/>
          <w:lang w:eastAsia="en-US"/>
        </w:rPr>
        <w:t>2</w:t>
      </w:r>
      <w:r w:rsidRPr="2EE9826F">
        <w:rPr>
          <w:rFonts w:eastAsiaTheme="minorEastAsia"/>
          <w:lang w:eastAsia="en-US"/>
        </w:rPr>
        <w:t>-2</w:t>
      </w:r>
      <w:r>
        <w:rPr>
          <w:rFonts w:eastAsiaTheme="minorEastAsia"/>
          <w:lang w:eastAsia="en-US"/>
        </w:rPr>
        <w:t>3</w:t>
      </w:r>
      <w:r w:rsidRPr="00521230">
        <w:rPr>
          <w:rFonts w:eastAsiaTheme="minorEastAsia"/>
          <w:lang w:eastAsia="en-US"/>
        </w:rPr>
        <w:t xml:space="preserve"> compared to </w:t>
      </w:r>
      <w:r>
        <w:rPr>
          <w:rFonts w:eastAsiaTheme="minorEastAsia"/>
          <w:lang w:eastAsia="en-US"/>
        </w:rPr>
        <w:t>79 reported</w:t>
      </w:r>
      <w:r w:rsidRPr="00521230">
        <w:rPr>
          <w:rFonts w:eastAsiaTheme="minorEastAsia"/>
          <w:lang w:eastAsia="en-US"/>
        </w:rPr>
        <w:t xml:space="preserve"> last year. </w:t>
      </w:r>
      <w:r w:rsidRPr="00024CEE">
        <w:rPr>
          <w:rFonts w:eastAsiaTheme="minorEastAsia"/>
          <w:lang w:eastAsia="en-US"/>
        </w:rPr>
        <w:t>For processes that were discontinued, the leading cause was employees ceasing employment, accounting for 44.4% in 2022-23 (up from 42.4% in 2021-22).</w:t>
      </w:r>
    </w:p>
    <w:p w14:paraId="7B7DD08F" w14:textId="0E1B53AC" w:rsidR="000D42F1" w:rsidRDefault="000D42F1" w:rsidP="00902AEC">
      <w:pPr>
        <w:spacing w:after="80" w:line="240" w:lineRule="auto"/>
        <w:rPr>
          <w:rFonts w:eastAsiaTheme="minorEastAsia"/>
          <w:lang w:eastAsia="en-US"/>
        </w:rPr>
      </w:pPr>
      <w:r w:rsidRPr="003428B3">
        <w:rPr>
          <w:rFonts w:eastAsiaTheme="minorEastAsia"/>
          <w:lang w:eastAsia="en-US"/>
        </w:rPr>
        <w:t>Individual processes may include a number of allegations to which a range of outcomes may be applied when finalised.</w:t>
      </w:r>
      <w:r w:rsidRPr="14D8E870">
        <w:rPr>
          <w:rFonts w:eastAsiaTheme="minorEastAsia"/>
          <w:lang w:eastAsia="en-US"/>
        </w:rPr>
        <w:t xml:space="preserve"> </w:t>
      </w:r>
      <w:r w:rsidRPr="36D5143C">
        <w:rPr>
          <w:rFonts w:eastAsiaTheme="minorEastAsia"/>
          <w:lang w:eastAsia="en-US"/>
        </w:rPr>
        <w:t xml:space="preserve">Of the </w:t>
      </w:r>
      <w:r>
        <w:rPr>
          <w:rFonts w:eastAsiaTheme="minorEastAsia"/>
          <w:lang w:eastAsia="en-US"/>
        </w:rPr>
        <w:t>2,151</w:t>
      </w:r>
      <w:r w:rsidRPr="36D5143C">
        <w:rPr>
          <w:rFonts w:eastAsiaTheme="minorEastAsia"/>
          <w:lang w:eastAsia="en-US"/>
        </w:rPr>
        <w:t xml:space="preserve"> discipline processes completed by </w:t>
      </w:r>
      <w:r>
        <w:rPr>
          <w:rFonts w:eastAsiaTheme="minorEastAsia"/>
          <w:lang w:eastAsia="en-US"/>
        </w:rPr>
        <w:t>public authorities</w:t>
      </w:r>
      <w:r w:rsidRPr="36D5143C">
        <w:rPr>
          <w:rFonts w:eastAsiaTheme="minorEastAsia"/>
          <w:lang w:eastAsia="en-US"/>
        </w:rPr>
        <w:t xml:space="preserve"> this year, 1,</w:t>
      </w:r>
      <w:r>
        <w:rPr>
          <w:rFonts w:eastAsiaTheme="minorEastAsia"/>
          <w:lang w:eastAsia="en-US"/>
        </w:rPr>
        <w:t>768</w:t>
      </w:r>
      <w:r w:rsidRPr="36D5143C">
        <w:rPr>
          <w:rFonts w:eastAsiaTheme="minorEastAsia"/>
          <w:lang w:eastAsia="en-US"/>
        </w:rPr>
        <w:t xml:space="preserve"> contained substantiated allegations. These allegations resulted in 2,</w:t>
      </w:r>
      <w:r>
        <w:rPr>
          <w:rFonts w:eastAsiaTheme="minorEastAsia"/>
          <w:lang w:eastAsia="en-US"/>
        </w:rPr>
        <w:t>416</w:t>
      </w:r>
      <w:r w:rsidRPr="36D5143C">
        <w:rPr>
          <w:rFonts w:eastAsiaTheme="minorEastAsia"/>
          <w:lang w:eastAsia="en-US"/>
        </w:rPr>
        <w:t xml:space="preserve"> actions taken</w:t>
      </w:r>
      <w:r>
        <w:rPr>
          <w:rFonts w:eastAsiaTheme="minorEastAsia"/>
          <w:lang w:eastAsia="en-US"/>
        </w:rPr>
        <w:t>, an increase of 292 from 2,124 in 2021-22</w:t>
      </w:r>
      <w:r w:rsidRPr="36D5143C">
        <w:rPr>
          <w:rFonts w:eastAsiaTheme="minorEastAsia"/>
          <w:lang w:eastAsia="en-US"/>
        </w:rPr>
        <w:t xml:space="preserve"> (</w:t>
      </w:r>
      <w:r>
        <w:rPr>
          <w:rFonts w:eastAsiaTheme="minorEastAsia"/>
          <w:lang w:eastAsia="en-US"/>
        </w:rPr>
        <w:t xml:space="preserve">see </w:t>
      </w:r>
      <w:r w:rsidRPr="36D5143C">
        <w:rPr>
          <w:rFonts w:eastAsiaTheme="minorEastAsia"/>
          <w:lang w:eastAsia="en-US"/>
        </w:rPr>
        <w:fldChar w:fldCharType="begin"/>
      </w:r>
      <w:r w:rsidRPr="36D5143C">
        <w:rPr>
          <w:rFonts w:eastAsiaTheme="minorEastAsia"/>
          <w:lang w:eastAsia="en-US"/>
        </w:rPr>
        <w:instrText xml:space="preserve"> REF _Ref84256736  \* MERGEFORMAT </w:instrText>
      </w:r>
      <w:r w:rsidRPr="36D5143C">
        <w:rPr>
          <w:rFonts w:eastAsiaTheme="minorEastAsia"/>
          <w:lang w:eastAsia="en-US"/>
        </w:rPr>
        <w:fldChar w:fldCharType="separate"/>
      </w:r>
      <w:r w:rsidR="0048418F" w:rsidRPr="0048418F">
        <w:t xml:space="preserve">Table </w:t>
      </w:r>
      <w:r w:rsidR="0048418F" w:rsidRPr="0048418F">
        <w:rPr>
          <w:noProof/>
        </w:rPr>
        <w:t>20</w:t>
      </w:r>
      <w:r w:rsidRPr="36D5143C">
        <w:rPr>
          <w:rFonts w:eastAsiaTheme="minorEastAsia"/>
          <w:lang w:eastAsia="en-US"/>
        </w:rPr>
        <w:fldChar w:fldCharType="end"/>
      </w:r>
      <w:r w:rsidRPr="36D5143C">
        <w:rPr>
          <w:rFonts w:eastAsiaTheme="minorEastAsia"/>
          <w:lang w:eastAsia="en-US"/>
        </w:rPr>
        <w:t xml:space="preserve">). </w:t>
      </w:r>
      <w:bookmarkStart w:id="108" w:name="_Hlk118988273"/>
    </w:p>
    <w:bookmarkEnd w:id="108"/>
    <w:p w14:paraId="25B8BD82" w14:textId="46D956BF" w:rsidR="000D42F1" w:rsidRPr="003428B3" w:rsidRDefault="000D42F1" w:rsidP="00902AEC">
      <w:pPr>
        <w:spacing w:after="80" w:line="240" w:lineRule="auto"/>
        <w:rPr>
          <w:rFonts w:eastAsiaTheme="minorEastAsia"/>
          <w:lang w:eastAsia="en-US"/>
        </w:rPr>
      </w:pPr>
      <w:r>
        <w:rPr>
          <w:rFonts w:eastAsiaTheme="minorEastAsia"/>
          <w:lang w:eastAsia="en-US"/>
        </w:rPr>
        <w:t xml:space="preserve">Warnings or reprimands </w:t>
      </w:r>
      <w:r w:rsidRPr="00FE26AB">
        <w:rPr>
          <w:rFonts w:eastAsiaTheme="minorEastAsia"/>
          <w:lang w:eastAsia="en-US"/>
        </w:rPr>
        <w:t xml:space="preserve">increased </w:t>
      </w:r>
      <w:r>
        <w:rPr>
          <w:rFonts w:eastAsiaTheme="minorEastAsia"/>
          <w:lang w:eastAsia="en-US"/>
        </w:rPr>
        <w:t xml:space="preserve">to 1,076, </w:t>
      </w:r>
      <w:r w:rsidRPr="00FE26AB">
        <w:rPr>
          <w:rFonts w:eastAsiaTheme="minorEastAsia"/>
          <w:lang w:eastAsia="en-US"/>
        </w:rPr>
        <w:t>from 849 in 2021-22</w:t>
      </w:r>
      <w:r>
        <w:rPr>
          <w:rFonts w:eastAsiaTheme="minorEastAsia"/>
          <w:lang w:eastAsia="en-US"/>
        </w:rPr>
        <w:t xml:space="preserve"> and were t</w:t>
      </w:r>
      <w:r w:rsidRPr="004E6A8F">
        <w:rPr>
          <w:rFonts w:eastAsiaTheme="minorEastAsia"/>
          <w:lang w:eastAsia="en-US"/>
        </w:rPr>
        <w:t>he most common action</w:t>
      </w:r>
      <w:r>
        <w:rPr>
          <w:rFonts w:eastAsiaTheme="minorEastAsia"/>
          <w:lang w:eastAsia="en-US"/>
        </w:rPr>
        <w:t>s</w:t>
      </w:r>
      <w:r w:rsidRPr="004E6A8F">
        <w:rPr>
          <w:rFonts w:eastAsiaTheme="minorEastAsia"/>
          <w:lang w:eastAsia="en-US"/>
        </w:rPr>
        <w:t xml:space="preserve"> taken (44.5% of all actions)</w:t>
      </w:r>
      <w:r>
        <w:rPr>
          <w:rFonts w:eastAsiaTheme="minorEastAsia"/>
          <w:lang w:eastAsia="en-US"/>
        </w:rPr>
        <w:t>. T</w:t>
      </w:r>
      <w:r w:rsidRPr="00FE26AB">
        <w:rPr>
          <w:rFonts w:eastAsiaTheme="minorEastAsia"/>
          <w:lang w:eastAsia="en-US"/>
        </w:rPr>
        <w:t xml:space="preserve">ermination </w:t>
      </w:r>
      <w:r>
        <w:rPr>
          <w:rFonts w:eastAsiaTheme="minorEastAsia"/>
          <w:lang w:eastAsia="en-US"/>
        </w:rPr>
        <w:t xml:space="preserve">actions </w:t>
      </w:r>
      <w:r w:rsidRPr="00FE26AB">
        <w:rPr>
          <w:rFonts w:eastAsiaTheme="minorEastAsia"/>
          <w:lang w:eastAsia="en-US"/>
        </w:rPr>
        <w:t xml:space="preserve">reduced </w:t>
      </w:r>
      <w:r>
        <w:rPr>
          <w:rFonts w:eastAsiaTheme="minorEastAsia"/>
          <w:lang w:eastAsia="en-US"/>
        </w:rPr>
        <w:t xml:space="preserve">to 265, </w:t>
      </w:r>
      <w:r w:rsidRPr="00FE26AB">
        <w:rPr>
          <w:rFonts w:eastAsiaTheme="minorEastAsia"/>
          <w:lang w:eastAsia="en-US"/>
        </w:rPr>
        <w:t>from 527 in 2021-22</w:t>
      </w:r>
      <w:r>
        <w:rPr>
          <w:rFonts w:eastAsiaTheme="minorEastAsia"/>
          <w:lang w:eastAsia="en-US"/>
        </w:rPr>
        <w:t>.</w:t>
      </w:r>
    </w:p>
    <w:p w14:paraId="1C5AA33E" w14:textId="6DA5F07E" w:rsidR="000D42F1" w:rsidRPr="00383001" w:rsidRDefault="000D42F1">
      <w:pPr>
        <w:pStyle w:val="Tables"/>
        <w:spacing w:before="240" w:after="120"/>
        <w:jc w:val="left"/>
        <w:rPr>
          <w:rFonts w:eastAsiaTheme="minorEastAsia"/>
          <w:b/>
          <w:bCs/>
          <w:color w:val="2E74B5" w:themeColor="accent1" w:themeShade="BF"/>
          <w:lang w:eastAsia="en-US"/>
        </w:rPr>
      </w:pPr>
      <w:bookmarkStart w:id="109" w:name="_Ref84256736"/>
      <w:r w:rsidRPr="05CAD0CF">
        <w:rPr>
          <w:b/>
          <w:bCs/>
          <w:color w:val="2E74B5" w:themeColor="accent1" w:themeShade="BF"/>
        </w:rPr>
        <w:t xml:space="preserve">Table </w:t>
      </w:r>
      <w:r w:rsidRPr="05CAD0CF">
        <w:rPr>
          <w:b/>
          <w:bCs/>
          <w:color w:val="2E74B5" w:themeColor="accent1" w:themeShade="BF"/>
        </w:rPr>
        <w:fldChar w:fldCharType="begin"/>
      </w:r>
      <w:r w:rsidRPr="05CAD0CF">
        <w:rPr>
          <w:b/>
          <w:bCs/>
          <w:color w:val="2E74B5" w:themeColor="accent1" w:themeShade="BF"/>
        </w:rPr>
        <w:instrText xml:space="preserve"> SEQ Table \* ARABIC </w:instrText>
      </w:r>
      <w:r w:rsidRPr="05CAD0CF">
        <w:rPr>
          <w:b/>
          <w:bCs/>
          <w:color w:val="2E74B5" w:themeColor="accent1" w:themeShade="BF"/>
        </w:rPr>
        <w:fldChar w:fldCharType="separate"/>
      </w:r>
      <w:r w:rsidR="0048418F">
        <w:rPr>
          <w:b/>
          <w:bCs/>
          <w:noProof/>
          <w:color w:val="2E74B5" w:themeColor="accent1" w:themeShade="BF"/>
        </w:rPr>
        <w:t>20</w:t>
      </w:r>
      <w:r w:rsidRPr="05CAD0CF">
        <w:rPr>
          <w:b/>
          <w:bCs/>
          <w:noProof/>
          <w:color w:val="2E74B5" w:themeColor="accent1" w:themeShade="BF"/>
        </w:rPr>
        <w:fldChar w:fldCharType="end"/>
      </w:r>
      <w:bookmarkEnd w:id="109"/>
      <w:r w:rsidRPr="05CAD0CF">
        <w:rPr>
          <w:b/>
          <w:bCs/>
          <w:color w:val="2E74B5" w:themeColor="accent1" w:themeShade="BF"/>
        </w:rPr>
        <w:t xml:space="preserve">: Number of actions taken as a result of completed discipline processes where a breach of discipline was found to have occurred 2021-22 and 2022-23 </w:t>
      </w:r>
    </w:p>
    <w:tbl>
      <w:tblPr>
        <w:tblW w:w="9214"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20: Number of actions taken as a result of completed discipline processes where a breach of discipline was found to have occurred 2021-22 and 2022-23"/>
      </w:tblPr>
      <w:tblGrid>
        <w:gridCol w:w="4952"/>
        <w:gridCol w:w="2126"/>
        <w:gridCol w:w="2136"/>
      </w:tblGrid>
      <w:tr w:rsidR="000D42F1" w:rsidRPr="00ED1AB5" w14:paraId="20B25750" w14:textId="77777777" w:rsidTr="00383001">
        <w:trPr>
          <w:trHeight w:val="397"/>
          <w:tblHeader/>
        </w:trPr>
        <w:tc>
          <w:tcPr>
            <w:tcW w:w="4952" w:type="dxa"/>
            <w:shd w:val="clear" w:color="auto" w:fill="auto"/>
            <w:noWrap/>
            <w:vAlign w:val="center"/>
            <w:hideMark/>
          </w:tcPr>
          <w:p w14:paraId="5C354DA6" w14:textId="77777777" w:rsidR="000D42F1" w:rsidRPr="00ED1AB5" w:rsidRDefault="000D42F1" w:rsidP="00ED1AB5">
            <w:pPr>
              <w:spacing w:after="0" w:line="240" w:lineRule="auto"/>
              <w:rPr>
                <w:b/>
                <w:bCs/>
                <w:color w:val="2E74B5"/>
                <w:sz w:val="20"/>
                <w:szCs w:val="20"/>
              </w:rPr>
            </w:pPr>
            <w:r w:rsidRPr="00ED1AB5">
              <w:rPr>
                <w:b/>
                <w:bCs/>
                <w:color w:val="2E74B5" w:themeColor="accent1" w:themeShade="BF"/>
                <w:sz w:val="20"/>
                <w:szCs w:val="20"/>
              </w:rPr>
              <w:t>Action taken</w:t>
            </w:r>
            <w:r>
              <w:rPr>
                <w:b/>
                <w:bCs/>
                <w:color w:val="2E74B5" w:themeColor="accent1" w:themeShade="BF"/>
                <w:sz w:val="20"/>
                <w:szCs w:val="20"/>
              </w:rPr>
              <w:t>*</w:t>
            </w:r>
          </w:p>
        </w:tc>
        <w:tc>
          <w:tcPr>
            <w:tcW w:w="2126" w:type="dxa"/>
            <w:shd w:val="clear" w:color="auto" w:fill="auto"/>
            <w:vAlign w:val="center"/>
            <w:hideMark/>
          </w:tcPr>
          <w:p w14:paraId="03F0C821" w14:textId="77777777" w:rsidR="000D42F1" w:rsidRPr="008D326F" w:rsidRDefault="000D42F1" w:rsidP="00ED1AB5">
            <w:pPr>
              <w:spacing w:after="0" w:line="240" w:lineRule="auto"/>
              <w:jc w:val="right"/>
              <w:rPr>
                <w:b/>
                <w:bCs/>
                <w:color w:val="2E74B5"/>
                <w:sz w:val="20"/>
                <w:szCs w:val="20"/>
              </w:rPr>
            </w:pPr>
            <w:r w:rsidRPr="00ED1AB5">
              <w:rPr>
                <w:b/>
                <w:bCs/>
                <w:color w:val="2E74B5" w:themeColor="accent1" w:themeShade="BF"/>
                <w:sz w:val="20"/>
                <w:szCs w:val="20"/>
              </w:rPr>
              <w:t>202</w:t>
            </w:r>
            <w:r w:rsidRPr="2EE9826F">
              <w:rPr>
                <w:b/>
                <w:bCs/>
                <w:color w:val="2E74B5" w:themeColor="accent1" w:themeShade="BF"/>
                <w:sz w:val="20"/>
                <w:szCs w:val="20"/>
              </w:rPr>
              <w:t>1-22 (% of total)</w:t>
            </w:r>
          </w:p>
        </w:tc>
        <w:tc>
          <w:tcPr>
            <w:tcW w:w="2136" w:type="dxa"/>
            <w:shd w:val="clear" w:color="auto" w:fill="auto"/>
            <w:vAlign w:val="center"/>
            <w:hideMark/>
          </w:tcPr>
          <w:p w14:paraId="473A3FE7" w14:textId="77777777" w:rsidR="000D42F1" w:rsidRPr="00ED1AB5" w:rsidRDefault="000D42F1" w:rsidP="00ED1AB5">
            <w:pPr>
              <w:spacing w:after="0" w:line="240" w:lineRule="auto"/>
              <w:jc w:val="right"/>
              <w:rPr>
                <w:b/>
                <w:bCs/>
                <w:color w:val="2E74B5"/>
                <w:sz w:val="20"/>
                <w:szCs w:val="20"/>
              </w:rPr>
            </w:pPr>
            <w:r w:rsidRPr="00ED1AB5">
              <w:rPr>
                <w:b/>
                <w:bCs/>
                <w:color w:val="2E74B5" w:themeColor="accent1" w:themeShade="BF"/>
                <w:sz w:val="20"/>
                <w:szCs w:val="20"/>
              </w:rPr>
              <w:t>202</w:t>
            </w:r>
            <w:r>
              <w:rPr>
                <w:b/>
                <w:bCs/>
                <w:color w:val="2E74B5" w:themeColor="accent1" w:themeShade="BF"/>
                <w:sz w:val="20"/>
                <w:szCs w:val="20"/>
              </w:rPr>
              <w:t>2</w:t>
            </w:r>
            <w:r w:rsidRPr="2EE9826F">
              <w:rPr>
                <w:b/>
                <w:bCs/>
                <w:color w:val="2E74B5" w:themeColor="accent1" w:themeShade="BF"/>
                <w:sz w:val="20"/>
                <w:szCs w:val="20"/>
              </w:rPr>
              <w:t>-2</w:t>
            </w:r>
            <w:r>
              <w:rPr>
                <w:b/>
                <w:bCs/>
                <w:color w:val="2E74B5" w:themeColor="accent1" w:themeShade="BF"/>
                <w:sz w:val="20"/>
                <w:szCs w:val="20"/>
              </w:rPr>
              <w:t>3</w:t>
            </w:r>
            <w:r w:rsidRPr="00ED1AB5">
              <w:rPr>
                <w:b/>
                <w:bCs/>
                <w:color w:val="2E74B5" w:themeColor="accent1" w:themeShade="BF"/>
                <w:sz w:val="20"/>
                <w:szCs w:val="20"/>
              </w:rPr>
              <w:t xml:space="preserve"> (% of total)</w:t>
            </w:r>
          </w:p>
        </w:tc>
      </w:tr>
      <w:tr w:rsidR="000D42F1" w:rsidRPr="00ED1AB5" w14:paraId="4CD0A1FA" w14:textId="77777777" w:rsidTr="00383001">
        <w:trPr>
          <w:trHeight w:val="397"/>
        </w:trPr>
        <w:tc>
          <w:tcPr>
            <w:tcW w:w="4952" w:type="dxa"/>
            <w:shd w:val="clear" w:color="auto" w:fill="auto"/>
            <w:noWrap/>
            <w:vAlign w:val="center"/>
            <w:hideMark/>
          </w:tcPr>
          <w:p w14:paraId="74CC5C18" w14:textId="77777777" w:rsidR="000D42F1" w:rsidRPr="00ED1AB5" w:rsidRDefault="000D42F1" w:rsidP="00ED1AB5">
            <w:pPr>
              <w:spacing w:after="0" w:line="240" w:lineRule="auto"/>
              <w:rPr>
                <w:color w:val="000000"/>
                <w:sz w:val="20"/>
                <w:szCs w:val="20"/>
              </w:rPr>
            </w:pPr>
            <w:r w:rsidRPr="2EE9826F">
              <w:rPr>
                <w:color w:val="000000" w:themeColor="text1"/>
                <w:sz w:val="20"/>
                <w:szCs w:val="20"/>
              </w:rPr>
              <w:t>Termination</w:t>
            </w:r>
          </w:p>
        </w:tc>
        <w:tc>
          <w:tcPr>
            <w:tcW w:w="2126" w:type="dxa"/>
            <w:shd w:val="clear" w:color="auto" w:fill="auto"/>
            <w:vAlign w:val="center"/>
            <w:hideMark/>
          </w:tcPr>
          <w:p w14:paraId="5EF60239" w14:textId="77777777" w:rsidR="000D42F1" w:rsidRPr="008D326F" w:rsidRDefault="000D42F1" w:rsidP="00ED1AB5">
            <w:pPr>
              <w:spacing w:after="0" w:line="240" w:lineRule="auto"/>
              <w:jc w:val="right"/>
              <w:rPr>
                <w:color w:val="000000"/>
                <w:sz w:val="20"/>
                <w:szCs w:val="20"/>
              </w:rPr>
            </w:pPr>
            <w:r w:rsidRPr="2EE9826F">
              <w:rPr>
                <w:color w:val="000000" w:themeColor="text1"/>
                <w:sz w:val="20"/>
                <w:szCs w:val="20"/>
              </w:rPr>
              <w:t>527 (24.8%)</w:t>
            </w:r>
          </w:p>
        </w:tc>
        <w:tc>
          <w:tcPr>
            <w:tcW w:w="2136" w:type="dxa"/>
            <w:shd w:val="clear" w:color="auto" w:fill="auto"/>
            <w:vAlign w:val="center"/>
            <w:hideMark/>
          </w:tcPr>
          <w:p w14:paraId="1EC02824"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265 (11</w:t>
            </w:r>
            <w:r w:rsidRPr="2EE9826F">
              <w:rPr>
                <w:color w:val="000000" w:themeColor="text1"/>
                <w:sz w:val="20"/>
                <w:szCs w:val="20"/>
              </w:rPr>
              <w:t>.0%)</w:t>
            </w:r>
          </w:p>
        </w:tc>
      </w:tr>
      <w:tr w:rsidR="000D42F1" w:rsidRPr="00ED1AB5" w14:paraId="6DF080B6" w14:textId="77777777" w:rsidTr="00383001">
        <w:trPr>
          <w:trHeight w:val="397"/>
        </w:trPr>
        <w:tc>
          <w:tcPr>
            <w:tcW w:w="4952" w:type="dxa"/>
            <w:shd w:val="clear" w:color="auto" w:fill="auto"/>
            <w:noWrap/>
            <w:vAlign w:val="center"/>
            <w:hideMark/>
          </w:tcPr>
          <w:p w14:paraId="7AE2D6CC" w14:textId="77777777" w:rsidR="000D42F1" w:rsidRPr="00ED1AB5" w:rsidRDefault="000D42F1" w:rsidP="00ED1AB5">
            <w:pPr>
              <w:spacing w:after="0" w:line="240" w:lineRule="auto"/>
              <w:rPr>
                <w:color w:val="000000"/>
                <w:sz w:val="20"/>
                <w:szCs w:val="20"/>
              </w:rPr>
            </w:pPr>
            <w:r w:rsidRPr="2EE9826F">
              <w:rPr>
                <w:color w:val="000000" w:themeColor="text1"/>
                <w:sz w:val="20"/>
                <w:szCs w:val="20"/>
              </w:rPr>
              <w:t>Training and development</w:t>
            </w:r>
          </w:p>
        </w:tc>
        <w:tc>
          <w:tcPr>
            <w:tcW w:w="2126" w:type="dxa"/>
            <w:shd w:val="clear" w:color="auto" w:fill="auto"/>
            <w:vAlign w:val="center"/>
            <w:hideMark/>
          </w:tcPr>
          <w:p w14:paraId="6B574E49" w14:textId="77777777" w:rsidR="000D42F1" w:rsidRPr="008D326F" w:rsidRDefault="000D42F1" w:rsidP="00ED1AB5">
            <w:pPr>
              <w:spacing w:after="0" w:line="240" w:lineRule="auto"/>
              <w:jc w:val="right"/>
              <w:rPr>
                <w:color w:val="000000"/>
                <w:sz w:val="20"/>
                <w:szCs w:val="20"/>
              </w:rPr>
            </w:pPr>
            <w:r w:rsidRPr="2EE9826F">
              <w:rPr>
                <w:color w:val="000000" w:themeColor="text1"/>
                <w:sz w:val="20"/>
                <w:szCs w:val="20"/>
              </w:rPr>
              <w:t>179 (8.4%)</w:t>
            </w:r>
          </w:p>
        </w:tc>
        <w:tc>
          <w:tcPr>
            <w:tcW w:w="2136" w:type="dxa"/>
            <w:shd w:val="clear" w:color="auto" w:fill="auto"/>
            <w:vAlign w:val="center"/>
            <w:hideMark/>
          </w:tcPr>
          <w:p w14:paraId="0F63423B"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225 (9.3%)</w:t>
            </w:r>
          </w:p>
        </w:tc>
      </w:tr>
      <w:tr w:rsidR="000D42F1" w:rsidRPr="00ED1AB5" w14:paraId="7A284709" w14:textId="77777777" w:rsidTr="00383001">
        <w:trPr>
          <w:trHeight w:val="397"/>
        </w:trPr>
        <w:tc>
          <w:tcPr>
            <w:tcW w:w="4952" w:type="dxa"/>
            <w:shd w:val="clear" w:color="auto" w:fill="auto"/>
            <w:noWrap/>
            <w:vAlign w:val="center"/>
            <w:hideMark/>
          </w:tcPr>
          <w:p w14:paraId="3E86B78F" w14:textId="77777777" w:rsidR="000D42F1" w:rsidRPr="00ED1AB5" w:rsidRDefault="000D42F1" w:rsidP="00ED1AB5">
            <w:pPr>
              <w:spacing w:after="0" w:line="240" w:lineRule="auto"/>
              <w:rPr>
                <w:color w:val="000000"/>
                <w:sz w:val="20"/>
                <w:szCs w:val="20"/>
              </w:rPr>
            </w:pPr>
            <w:r w:rsidRPr="2EE9826F">
              <w:rPr>
                <w:color w:val="000000" w:themeColor="text1"/>
                <w:sz w:val="20"/>
                <w:szCs w:val="20"/>
              </w:rPr>
              <w:t>Counselling</w:t>
            </w:r>
          </w:p>
        </w:tc>
        <w:tc>
          <w:tcPr>
            <w:tcW w:w="2126" w:type="dxa"/>
            <w:shd w:val="clear" w:color="auto" w:fill="auto"/>
            <w:vAlign w:val="center"/>
            <w:hideMark/>
          </w:tcPr>
          <w:p w14:paraId="513CC316" w14:textId="77777777" w:rsidR="000D42F1" w:rsidRPr="008D326F" w:rsidRDefault="000D42F1" w:rsidP="00ED1AB5">
            <w:pPr>
              <w:spacing w:after="0" w:line="240" w:lineRule="auto"/>
              <w:jc w:val="right"/>
              <w:rPr>
                <w:color w:val="000000"/>
                <w:sz w:val="20"/>
                <w:szCs w:val="20"/>
              </w:rPr>
            </w:pPr>
            <w:r w:rsidRPr="2EE9826F">
              <w:rPr>
                <w:color w:val="000000" w:themeColor="text1"/>
                <w:sz w:val="20"/>
                <w:szCs w:val="20"/>
              </w:rPr>
              <w:t>310</w:t>
            </w:r>
            <w:r w:rsidRPr="003428B3">
              <w:rPr>
                <w:color w:val="000000" w:themeColor="text1"/>
                <w:sz w:val="20"/>
                <w:szCs w:val="20"/>
              </w:rPr>
              <w:t xml:space="preserve"> (14.</w:t>
            </w:r>
            <w:r w:rsidRPr="2EE9826F">
              <w:rPr>
                <w:color w:val="000000" w:themeColor="text1"/>
                <w:sz w:val="20"/>
                <w:szCs w:val="20"/>
              </w:rPr>
              <w:t>6</w:t>
            </w:r>
            <w:r w:rsidRPr="003428B3">
              <w:rPr>
                <w:color w:val="000000" w:themeColor="text1"/>
                <w:sz w:val="20"/>
                <w:szCs w:val="20"/>
              </w:rPr>
              <w:t>%)</w:t>
            </w:r>
          </w:p>
        </w:tc>
        <w:tc>
          <w:tcPr>
            <w:tcW w:w="2136" w:type="dxa"/>
            <w:shd w:val="clear" w:color="auto" w:fill="auto"/>
            <w:vAlign w:val="center"/>
            <w:hideMark/>
          </w:tcPr>
          <w:p w14:paraId="2315108A"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375 (15.5%)</w:t>
            </w:r>
          </w:p>
        </w:tc>
      </w:tr>
      <w:tr w:rsidR="000D42F1" w:rsidRPr="00ED1AB5" w14:paraId="104E0E77" w14:textId="77777777" w:rsidTr="00383001">
        <w:trPr>
          <w:trHeight w:val="397"/>
        </w:trPr>
        <w:tc>
          <w:tcPr>
            <w:tcW w:w="4952" w:type="dxa"/>
            <w:shd w:val="clear" w:color="auto" w:fill="auto"/>
            <w:noWrap/>
            <w:vAlign w:val="center"/>
            <w:hideMark/>
          </w:tcPr>
          <w:p w14:paraId="763A1A5B" w14:textId="7F132EAE" w:rsidR="000D42F1" w:rsidRPr="00ED1AB5" w:rsidRDefault="000D42F1" w:rsidP="00ED1AB5">
            <w:pPr>
              <w:spacing w:after="0" w:line="240" w:lineRule="auto"/>
              <w:rPr>
                <w:color w:val="000000"/>
                <w:sz w:val="20"/>
                <w:szCs w:val="20"/>
              </w:rPr>
            </w:pPr>
            <w:r w:rsidRPr="004D75A2">
              <w:rPr>
                <w:color w:val="000000"/>
                <w:sz w:val="20"/>
                <w:szCs w:val="20"/>
              </w:rPr>
              <w:t>Warning</w:t>
            </w:r>
            <w:r w:rsidR="00DD5302">
              <w:rPr>
                <w:color w:val="000000"/>
                <w:sz w:val="20"/>
                <w:szCs w:val="20"/>
              </w:rPr>
              <w:t xml:space="preserve"> or </w:t>
            </w:r>
            <w:r w:rsidRPr="004D75A2">
              <w:rPr>
                <w:color w:val="000000"/>
                <w:sz w:val="20"/>
                <w:szCs w:val="20"/>
              </w:rPr>
              <w:t>reprimand</w:t>
            </w:r>
          </w:p>
        </w:tc>
        <w:tc>
          <w:tcPr>
            <w:tcW w:w="2126" w:type="dxa"/>
            <w:shd w:val="clear" w:color="auto" w:fill="auto"/>
            <w:vAlign w:val="center"/>
            <w:hideMark/>
          </w:tcPr>
          <w:p w14:paraId="2E11F917" w14:textId="77777777" w:rsidR="000D42F1" w:rsidRPr="008D326F" w:rsidRDefault="000D42F1" w:rsidP="00ED1AB5">
            <w:pPr>
              <w:spacing w:after="0" w:line="240" w:lineRule="auto"/>
              <w:jc w:val="right"/>
              <w:rPr>
                <w:color w:val="000000"/>
                <w:sz w:val="20"/>
                <w:szCs w:val="20"/>
              </w:rPr>
            </w:pPr>
            <w:r w:rsidRPr="004D75A2">
              <w:rPr>
                <w:color w:val="000000"/>
                <w:sz w:val="20"/>
                <w:szCs w:val="20"/>
              </w:rPr>
              <w:t>849 (40.0%)</w:t>
            </w:r>
          </w:p>
        </w:tc>
        <w:tc>
          <w:tcPr>
            <w:tcW w:w="2136" w:type="dxa"/>
            <w:shd w:val="clear" w:color="auto" w:fill="auto"/>
            <w:vAlign w:val="center"/>
            <w:hideMark/>
          </w:tcPr>
          <w:p w14:paraId="028DADB8"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1</w:t>
            </w:r>
            <w:r>
              <w:rPr>
                <w:color w:val="000000" w:themeColor="text1"/>
                <w:sz w:val="20"/>
                <w:szCs w:val="20"/>
              </w:rPr>
              <w:t>,</w:t>
            </w:r>
            <w:r w:rsidRPr="00914446">
              <w:rPr>
                <w:color w:val="000000" w:themeColor="text1"/>
                <w:sz w:val="20"/>
                <w:szCs w:val="20"/>
              </w:rPr>
              <w:t>076 (44.5%)</w:t>
            </w:r>
          </w:p>
        </w:tc>
      </w:tr>
      <w:tr w:rsidR="000D42F1" w:rsidRPr="00ED1AB5" w14:paraId="0D09910E" w14:textId="77777777" w:rsidTr="00383001">
        <w:trPr>
          <w:trHeight w:val="397"/>
        </w:trPr>
        <w:tc>
          <w:tcPr>
            <w:tcW w:w="4952" w:type="dxa"/>
            <w:shd w:val="clear" w:color="auto" w:fill="auto"/>
            <w:noWrap/>
            <w:vAlign w:val="center"/>
            <w:hideMark/>
          </w:tcPr>
          <w:p w14:paraId="1D8D9B90" w14:textId="77777777" w:rsidR="000D42F1" w:rsidRPr="00ED1AB5" w:rsidRDefault="000D42F1" w:rsidP="00ED1AB5">
            <w:pPr>
              <w:spacing w:after="0" w:line="240" w:lineRule="auto"/>
              <w:rPr>
                <w:color w:val="000000"/>
                <w:sz w:val="20"/>
                <w:szCs w:val="20"/>
              </w:rPr>
            </w:pPr>
            <w:r w:rsidRPr="2EE9826F">
              <w:rPr>
                <w:color w:val="000000" w:themeColor="text1"/>
                <w:sz w:val="20"/>
                <w:szCs w:val="20"/>
              </w:rPr>
              <w:t>Reduction in level of classification</w:t>
            </w:r>
          </w:p>
        </w:tc>
        <w:tc>
          <w:tcPr>
            <w:tcW w:w="2126" w:type="dxa"/>
            <w:shd w:val="clear" w:color="auto" w:fill="auto"/>
            <w:vAlign w:val="center"/>
            <w:hideMark/>
          </w:tcPr>
          <w:p w14:paraId="5C95B3DC" w14:textId="77777777" w:rsidR="000D42F1" w:rsidRPr="008D326F" w:rsidRDefault="000D42F1" w:rsidP="00ED1AB5">
            <w:pPr>
              <w:spacing w:after="0" w:line="240" w:lineRule="auto"/>
              <w:jc w:val="right"/>
              <w:rPr>
                <w:color w:val="000000"/>
                <w:sz w:val="20"/>
                <w:szCs w:val="20"/>
              </w:rPr>
            </w:pPr>
            <w:r w:rsidRPr="2EE9826F">
              <w:rPr>
                <w:color w:val="000000" w:themeColor="text1"/>
                <w:sz w:val="20"/>
                <w:szCs w:val="20"/>
              </w:rPr>
              <w:t>28 (1.3%)</w:t>
            </w:r>
          </w:p>
        </w:tc>
        <w:tc>
          <w:tcPr>
            <w:tcW w:w="2136" w:type="dxa"/>
            <w:shd w:val="clear" w:color="auto" w:fill="auto"/>
            <w:vAlign w:val="center"/>
            <w:hideMark/>
          </w:tcPr>
          <w:p w14:paraId="7621E2E0"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31 (1.</w:t>
            </w:r>
            <w:r w:rsidRPr="2EE9826F">
              <w:rPr>
                <w:color w:val="000000" w:themeColor="text1"/>
                <w:sz w:val="20"/>
                <w:szCs w:val="20"/>
              </w:rPr>
              <w:t>3%)</w:t>
            </w:r>
          </w:p>
        </w:tc>
      </w:tr>
      <w:tr w:rsidR="000D42F1" w:rsidRPr="00ED1AB5" w14:paraId="1EA46E1B" w14:textId="77777777" w:rsidTr="00383001">
        <w:trPr>
          <w:trHeight w:val="397"/>
        </w:trPr>
        <w:tc>
          <w:tcPr>
            <w:tcW w:w="4952" w:type="dxa"/>
            <w:shd w:val="clear" w:color="auto" w:fill="auto"/>
            <w:noWrap/>
            <w:vAlign w:val="center"/>
            <w:hideMark/>
          </w:tcPr>
          <w:p w14:paraId="430E8C4B" w14:textId="77777777" w:rsidR="000D42F1" w:rsidRPr="00ED1AB5" w:rsidRDefault="000D42F1" w:rsidP="00ED1AB5">
            <w:pPr>
              <w:spacing w:after="0" w:line="240" w:lineRule="auto"/>
              <w:rPr>
                <w:color w:val="000000"/>
                <w:sz w:val="20"/>
                <w:szCs w:val="20"/>
              </w:rPr>
            </w:pPr>
            <w:r w:rsidRPr="2EE9826F">
              <w:rPr>
                <w:color w:val="000000" w:themeColor="text1"/>
                <w:sz w:val="20"/>
                <w:szCs w:val="20"/>
              </w:rPr>
              <w:t>Reduction in monetary remuneration of employee</w:t>
            </w:r>
          </w:p>
        </w:tc>
        <w:tc>
          <w:tcPr>
            <w:tcW w:w="2126" w:type="dxa"/>
            <w:shd w:val="clear" w:color="auto" w:fill="auto"/>
            <w:vAlign w:val="center"/>
            <w:hideMark/>
          </w:tcPr>
          <w:p w14:paraId="2028FAA8" w14:textId="77777777" w:rsidR="000D42F1" w:rsidRPr="008D326F" w:rsidRDefault="000D42F1" w:rsidP="00ED1AB5">
            <w:pPr>
              <w:spacing w:after="0" w:line="240" w:lineRule="auto"/>
              <w:jc w:val="right"/>
              <w:rPr>
                <w:color w:val="000000"/>
                <w:sz w:val="20"/>
                <w:szCs w:val="20"/>
              </w:rPr>
            </w:pPr>
            <w:r w:rsidRPr="2EE9826F">
              <w:rPr>
                <w:color w:val="000000" w:themeColor="text1"/>
                <w:sz w:val="20"/>
                <w:szCs w:val="20"/>
              </w:rPr>
              <w:t>7 (0.3%)</w:t>
            </w:r>
          </w:p>
        </w:tc>
        <w:tc>
          <w:tcPr>
            <w:tcW w:w="2136" w:type="dxa"/>
            <w:shd w:val="clear" w:color="auto" w:fill="auto"/>
            <w:vAlign w:val="center"/>
            <w:hideMark/>
          </w:tcPr>
          <w:p w14:paraId="5F24B79A"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8 (0</w:t>
            </w:r>
            <w:r w:rsidRPr="2EE9826F">
              <w:rPr>
                <w:color w:val="000000" w:themeColor="text1"/>
                <w:sz w:val="20"/>
                <w:szCs w:val="20"/>
              </w:rPr>
              <w:t>.3%)</w:t>
            </w:r>
          </w:p>
        </w:tc>
      </w:tr>
      <w:tr w:rsidR="000D42F1" w:rsidRPr="00ED1AB5" w14:paraId="76F27511" w14:textId="77777777" w:rsidTr="00383001">
        <w:trPr>
          <w:trHeight w:val="397"/>
        </w:trPr>
        <w:tc>
          <w:tcPr>
            <w:tcW w:w="4952" w:type="dxa"/>
            <w:shd w:val="clear" w:color="auto" w:fill="auto"/>
            <w:noWrap/>
            <w:vAlign w:val="center"/>
            <w:hideMark/>
          </w:tcPr>
          <w:p w14:paraId="2520CF83" w14:textId="77777777" w:rsidR="000D42F1" w:rsidRPr="00ED1AB5" w:rsidRDefault="000D42F1" w:rsidP="00ED1AB5">
            <w:pPr>
              <w:spacing w:after="0" w:line="240" w:lineRule="auto"/>
              <w:rPr>
                <w:color w:val="000000"/>
                <w:sz w:val="20"/>
                <w:szCs w:val="20"/>
              </w:rPr>
            </w:pPr>
            <w:r w:rsidRPr="2EE9826F">
              <w:rPr>
                <w:color w:val="000000" w:themeColor="text1"/>
                <w:sz w:val="20"/>
                <w:szCs w:val="20"/>
              </w:rPr>
              <w:t>Imposition of fine (e.g. financial penalty)</w:t>
            </w:r>
          </w:p>
        </w:tc>
        <w:tc>
          <w:tcPr>
            <w:tcW w:w="2126" w:type="dxa"/>
            <w:shd w:val="clear" w:color="auto" w:fill="auto"/>
            <w:vAlign w:val="center"/>
            <w:hideMark/>
          </w:tcPr>
          <w:p w14:paraId="76C595ED" w14:textId="77777777" w:rsidR="000D42F1" w:rsidRPr="008D326F" w:rsidRDefault="000D42F1" w:rsidP="00ED1AB5">
            <w:pPr>
              <w:spacing w:after="0" w:line="240" w:lineRule="auto"/>
              <w:jc w:val="right"/>
              <w:rPr>
                <w:color w:val="000000"/>
                <w:sz w:val="20"/>
                <w:szCs w:val="20"/>
              </w:rPr>
            </w:pPr>
            <w:r w:rsidRPr="2EE9826F">
              <w:rPr>
                <w:color w:val="000000" w:themeColor="text1"/>
                <w:sz w:val="20"/>
                <w:szCs w:val="20"/>
              </w:rPr>
              <w:t>33</w:t>
            </w:r>
            <w:r w:rsidRPr="003428B3">
              <w:rPr>
                <w:color w:val="000000" w:themeColor="text1"/>
                <w:sz w:val="20"/>
                <w:szCs w:val="20"/>
              </w:rPr>
              <w:t xml:space="preserve"> (1.</w:t>
            </w:r>
            <w:r w:rsidRPr="2EE9826F">
              <w:rPr>
                <w:color w:val="000000" w:themeColor="text1"/>
                <w:sz w:val="20"/>
                <w:szCs w:val="20"/>
              </w:rPr>
              <w:t>6</w:t>
            </w:r>
            <w:r w:rsidRPr="003428B3">
              <w:rPr>
                <w:color w:val="000000" w:themeColor="text1"/>
                <w:sz w:val="20"/>
                <w:szCs w:val="20"/>
              </w:rPr>
              <w:t>%)</w:t>
            </w:r>
          </w:p>
        </w:tc>
        <w:tc>
          <w:tcPr>
            <w:tcW w:w="2136" w:type="dxa"/>
            <w:shd w:val="clear" w:color="auto" w:fill="auto"/>
            <w:vAlign w:val="center"/>
            <w:hideMark/>
          </w:tcPr>
          <w:p w14:paraId="15158DED"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22 (0.9%)</w:t>
            </w:r>
          </w:p>
        </w:tc>
      </w:tr>
      <w:tr w:rsidR="000D42F1" w:rsidRPr="00ED1AB5" w14:paraId="55ACA9C8" w14:textId="77777777" w:rsidTr="00383001">
        <w:trPr>
          <w:trHeight w:val="397"/>
        </w:trPr>
        <w:tc>
          <w:tcPr>
            <w:tcW w:w="4952" w:type="dxa"/>
            <w:shd w:val="clear" w:color="auto" w:fill="auto"/>
            <w:noWrap/>
            <w:vAlign w:val="center"/>
            <w:hideMark/>
          </w:tcPr>
          <w:p w14:paraId="4E820150" w14:textId="77777777" w:rsidR="000D42F1" w:rsidRPr="00ED1AB5" w:rsidRDefault="000D42F1" w:rsidP="00ED1AB5">
            <w:pPr>
              <w:spacing w:after="0" w:line="240" w:lineRule="auto"/>
              <w:rPr>
                <w:color w:val="000000"/>
                <w:sz w:val="20"/>
                <w:szCs w:val="20"/>
              </w:rPr>
            </w:pPr>
            <w:r w:rsidRPr="2EE9826F">
              <w:rPr>
                <w:color w:val="000000" w:themeColor="text1"/>
                <w:sz w:val="20"/>
                <w:szCs w:val="20"/>
              </w:rPr>
              <w:t>Transfer</w:t>
            </w:r>
          </w:p>
        </w:tc>
        <w:tc>
          <w:tcPr>
            <w:tcW w:w="2126" w:type="dxa"/>
            <w:shd w:val="clear" w:color="auto" w:fill="auto"/>
            <w:vAlign w:val="center"/>
            <w:hideMark/>
          </w:tcPr>
          <w:p w14:paraId="6C7948E1" w14:textId="77777777" w:rsidR="000D42F1" w:rsidRPr="008D326F" w:rsidRDefault="000D42F1" w:rsidP="00ED1AB5">
            <w:pPr>
              <w:spacing w:after="0" w:line="240" w:lineRule="auto"/>
              <w:jc w:val="right"/>
              <w:rPr>
                <w:color w:val="000000"/>
                <w:sz w:val="20"/>
                <w:szCs w:val="20"/>
              </w:rPr>
            </w:pPr>
            <w:r w:rsidRPr="2EE9826F">
              <w:rPr>
                <w:color w:val="000000" w:themeColor="text1"/>
                <w:sz w:val="20"/>
                <w:szCs w:val="20"/>
              </w:rPr>
              <w:t>19</w:t>
            </w:r>
            <w:r w:rsidRPr="003428B3">
              <w:rPr>
                <w:color w:val="000000" w:themeColor="text1"/>
                <w:sz w:val="20"/>
                <w:szCs w:val="20"/>
              </w:rPr>
              <w:t xml:space="preserve"> (0.</w:t>
            </w:r>
            <w:r w:rsidRPr="2EE9826F">
              <w:rPr>
                <w:color w:val="000000" w:themeColor="text1"/>
                <w:sz w:val="20"/>
                <w:szCs w:val="20"/>
              </w:rPr>
              <w:t>9</w:t>
            </w:r>
            <w:r w:rsidRPr="003428B3">
              <w:rPr>
                <w:color w:val="000000" w:themeColor="text1"/>
                <w:sz w:val="20"/>
                <w:szCs w:val="20"/>
              </w:rPr>
              <w:t>%)</w:t>
            </w:r>
          </w:p>
        </w:tc>
        <w:tc>
          <w:tcPr>
            <w:tcW w:w="2136" w:type="dxa"/>
            <w:shd w:val="clear" w:color="auto" w:fill="auto"/>
            <w:vAlign w:val="center"/>
            <w:hideMark/>
          </w:tcPr>
          <w:p w14:paraId="03EDD262"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11</w:t>
            </w:r>
            <w:r w:rsidRPr="2EE9826F">
              <w:rPr>
                <w:color w:val="000000" w:themeColor="text1"/>
                <w:sz w:val="20"/>
                <w:szCs w:val="20"/>
              </w:rPr>
              <w:t xml:space="preserve"> (0.</w:t>
            </w:r>
            <w:r w:rsidRPr="00914446">
              <w:rPr>
                <w:color w:val="000000" w:themeColor="text1"/>
                <w:sz w:val="20"/>
                <w:szCs w:val="20"/>
              </w:rPr>
              <w:t>5</w:t>
            </w:r>
            <w:r w:rsidRPr="2EE9826F">
              <w:rPr>
                <w:color w:val="000000" w:themeColor="text1"/>
                <w:sz w:val="20"/>
                <w:szCs w:val="20"/>
              </w:rPr>
              <w:t>%)</w:t>
            </w:r>
          </w:p>
        </w:tc>
      </w:tr>
      <w:tr w:rsidR="000D42F1" w:rsidRPr="00ED1AB5" w14:paraId="74CBA3CA" w14:textId="77777777" w:rsidTr="00383001">
        <w:trPr>
          <w:trHeight w:val="397"/>
        </w:trPr>
        <w:tc>
          <w:tcPr>
            <w:tcW w:w="4952" w:type="dxa"/>
            <w:shd w:val="clear" w:color="auto" w:fill="auto"/>
            <w:noWrap/>
            <w:vAlign w:val="center"/>
            <w:hideMark/>
          </w:tcPr>
          <w:p w14:paraId="5BFA2FA0" w14:textId="77777777" w:rsidR="000D42F1" w:rsidRPr="00ED1AB5" w:rsidRDefault="000D42F1" w:rsidP="00ED1AB5">
            <w:pPr>
              <w:spacing w:after="0" w:line="240" w:lineRule="auto"/>
              <w:rPr>
                <w:color w:val="000000"/>
                <w:sz w:val="20"/>
                <w:szCs w:val="20"/>
              </w:rPr>
            </w:pPr>
            <w:r>
              <w:rPr>
                <w:color w:val="000000" w:themeColor="text1"/>
                <w:sz w:val="20"/>
                <w:szCs w:val="20"/>
              </w:rPr>
              <w:t>No sanction (i.e. no further action was taken)</w:t>
            </w:r>
          </w:p>
        </w:tc>
        <w:tc>
          <w:tcPr>
            <w:tcW w:w="2126" w:type="dxa"/>
            <w:shd w:val="clear" w:color="auto" w:fill="auto"/>
            <w:vAlign w:val="center"/>
            <w:hideMark/>
          </w:tcPr>
          <w:p w14:paraId="28020264" w14:textId="77777777" w:rsidR="000D42F1" w:rsidRPr="008D326F" w:rsidRDefault="000D42F1" w:rsidP="00ED1AB5">
            <w:pPr>
              <w:spacing w:after="0" w:line="240" w:lineRule="auto"/>
              <w:jc w:val="right"/>
              <w:rPr>
                <w:color w:val="000000"/>
                <w:sz w:val="20"/>
                <w:szCs w:val="20"/>
              </w:rPr>
            </w:pPr>
            <w:r>
              <w:rPr>
                <w:color w:val="000000" w:themeColor="text1"/>
                <w:sz w:val="20"/>
                <w:szCs w:val="20"/>
              </w:rPr>
              <w:t>68 (3.2%)</w:t>
            </w:r>
          </w:p>
        </w:tc>
        <w:tc>
          <w:tcPr>
            <w:tcW w:w="2136" w:type="dxa"/>
            <w:shd w:val="clear" w:color="auto" w:fill="auto"/>
            <w:vAlign w:val="center"/>
            <w:hideMark/>
          </w:tcPr>
          <w:p w14:paraId="70227411" w14:textId="77777777" w:rsidR="000D42F1" w:rsidRPr="008D326F" w:rsidRDefault="000D42F1" w:rsidP="00ED1AB5">
            <w:pPr>
              <w:spacing w:after="0" w:line="240" w:lineRule="auto"/>
              <w:jc w:val="right"/>
              <w:rPr>
                <w:color w:val="000000"/>
                <w:sz w:val="20"/>
                <w:szCs w:val="20"/>
              </w:rPr>
            </w:pPr>
            <w:r w:rsidRPr="00914446">
              <w:rPr>
                <w:color w:val="000000" w:themeColor="text1"/>
                <w:sz w:val="20"/>
                <w:szCs w:val="20"/>
              </w:rPr>
              <w:t>166 (6</w:t>
            </w:r>
            <w:r w:rsidRPr="2EE9826F">
              <w:rPr>
                <w:color w:val="000000" w:themeColor="text1"/>
                <w:sz w:val="20"/>
                <w:szCs w:val="20"/>
              </w:rPr>
              <w:t>.9%)</w:t>
            </w:r>
          </w:p>
        </w:tc>
      </w:tr>
      <w:tr w:rsidR="000D42F1" w:rsidRPr="00ED1AB5" w14:paraId="5B3BB8FD" w14:textId="77777777" w:rsidTr="00383001">
        <w:trPr>
          <w:trHeight w:val="397"/>
        </w:trPr>
        <w:tc>
          <w:tcPr>
            <w:tcW w:w="4952" w:type="dxa"/>
            <w:shd w:val="clear" w:color="auto" w:fill="auto"/>
            <w:noWrap/>
            <w:vAlign w:val="center"/>
            <w:hideMark/>
          </w:tcPr>
          <w:p w14:paraId="435760B6" w14:textId="2D59D13E" w:rsidR="000D42F1" w:rsidRPr="00ED1AB5" w:rsidRDefault="000D42F1" w:rsidP="00187047">
            <w:pPr>
              <w:spacing w:after="0" w:line="240" w:lineRule="auto"/>
              <w:rPr>
                <w:color w:val="000000"/>
                <w:sz w:val="20"/>
                <w:szCs w:val="20"/>
              </w:rPr>
            </w:pPr>
            <w:r w:rsidRPr="2EE9826F">
              <w:rPr>
                <w:color w:val="000000" w:themeColor="text1"/>
                <w:sz w:val="20"/>
                <w:szCs w:val="20"/>
              </w:rPr>
              <w:t>Other</w:t>
            </w:r>
            <w:r w:rsidR="00A8561C">
              <w:rPr>
                <w:color w:val="000000" w:themeColor="text1"/>
                <w:sz w:val="20"/>
                <w:szCs w:val="20"/>
              </w:rPr>
              <w:t>**</w:t>
            </w:r>
          </w:p>
        </w:tc>
        <w:tc>
          <w:tcPr>
            <w:tcW w:w="2126" w:type="dxa"/>
            <w:shd w:val="clear" w:color="auto" w:fill="auto"/>
            <w:vAlign w:val="center"/>
            <w:hideMark/>
          </w:tcPr>
          <w:p w14:paraId="0A26085A" w14:textId="77777777" w:rsidR="000D42F1" w:rsidRPr="008D326F" w:rsidRDefault="000D42F1" w:rsidP="00187047">
            <w:pPr>
              <w:spacing w:after="0" w:line="240" w:lineRule="auto"/>
              <w:jc w:val="right"/>
              <w:rPr>
                <w:color w:val="000000"/>
                <w:sz w:val="20"/>
                <w:szCs w:val="20"/>
              </w:rPr>
            </w:pPr>
            <w:r w:rsidRPr="2EE9826F">
              <w:rPr>
                <w:color w:val="000000" w:themeColor="text1"/>
                <w:sz w:val="20"/>
                <w:szCs w:val="20"/>
              </w:rPr>
              <w:t>104 (4.9%)</w:t>
            </w:r>
          </w:p>
        </w:tc>
        <w:tc>
          <w:tcPr>
            <w:tcW w:w="2136" w:type="dxa"/>
            <w:shd w:val="clear" w:color="auto" w:fill="auto"/>
            <w:vAlign w:val="center"/>
            <w:hideMark/>
          </w:tcPr>
          <w:p w14:paraId="701B1D30" w14:textId="77777777" w:rsidR="000D42F1" w:rsidRPr="008D326F" w:rsidRDefault="000D42F1" w:rsidP="00187047">
            <w:pPr>
              <w:spacing w:after="0" w:line="240" w:lineRule="auto"/>
              <w:jc w:val="right"/>
              <w:rPr>
                <w:color w:val="000000"/>
                <w:sz w:val="20"/>
                <w:szCs w:val="20"/>
              </w:rPr>
            </w:pPr>
            <w:r w:rsidRPr="00914446">
              <w:rPr>
                <w:color w:val="000000" w:themeColor="text1"/>
                <w:sz w:val="20"/>
                <w:szCs w:val="20"/>
              </w:rPr>
              <w:t>237 (9.8%)</w:t>
            </w:r>
          </w:p>
        </w:tc>
      </w:tr>
      <w:tr w:rsidR="000D42F1" w:rsidRPr="00D2444B" w14:paraId="1C2978AD" w14:textId="77777777" w:rsidTr="00383001">
        <w:trPr>
          <w:trHeight w:val="397"/>
        </w:trPr>
        <w:tc>
          <w:tcPr>
            <w:tcW w:w="4952" w:type="dxa"/>
            <w:shd w:val="clear" w:color="auto" w:fill="auto"/>
            <w:noWrap/>
            <w:vAlign w:val="center"/>
            <w:hideMark/>
          </w:tcPr>
          <w:p w14:paraId="1D34BA2C" w14:textId="77777777" w:rsidR="000D42F1" w:rsidRPr="00D2444B" w:rsidRDefault="000D42F1" w:rsidP="00ED1AB5">
            <w:pPr>
              <w:spacing w:after="0" w:line="240" w:lineRule="auto"/>
              <w:rPr>
                <w:b/>
                <w:bCs/>
                <w:color w:val="000000"/>
                <w:sz w:val="20"/>
                <w:szCs w:val="20"/>
              </w:rPr>
            </w:pPr>
            <w:r w:rsidRPr="00D2444B">
              <w:rPr>
                <w:b/>
                <w:bCs/>
                <w:color w:val="000000" w:themeColor="text1"/>
                <w:sz w:val="20"/>
                <w:szCs w:val="20"/>
              </w:rPr>
              <w:t>Total</w:t>
            </w:r>
          </w:p>
        </w:tc>
        <w:tc>
          <w:tcPr>
            <w:tcW w:w="2126" w:type="dxa"/>
            <w:shd w:val="clear" w:color="auto" w:fill="auto"/>
            <w:vAlign w:val="center"/>
            <w:hideMark/>
          </w:tcPr>
          <w:p w14:paraId="0AD6F1EB" w14:textId="77777777" w:rsidR="000D42F1" w:rsidRPr="00D2444B" w:rsidRDefault="000D42F1" w:rsidP="00ED1AB5">
            <w:pPr>
              <w:spacing w:after="0" w:line="240" w:lineRule="auto"/>
              <w:jc w:val="right"/>
              <w:rPr>
                <w:b/>
                <w:bCs/>
                <w:color w:val="000000"/>
                <w:sz w:val="20"/>
                <w:szCs w:val="20"/>
              </w:rPr>
            </w:pPr>
            <w:r w:rsidRPr="00D2444B">
              <w:rPr>
                <w:b/>
                <w:bCs/>
                <w:color w:val="000000" w:themeColor="text1"/>
                <w:sz w:val="20"/>
                <w:szCs w:val="20"/>
              </w:rPr>
              <w:t>2,124 (100%)</w:t>
            </w:r>
          </w:p>
        </w:tc>
        <w:tc>
          <w:tcPr>
            <w:tcW w:w="2136" w:type="dxa"/>
            <w:shd w:val="clear" w:color="auto" w:fill="auto"/>
            <w:vAlign w:val="center"/>
            <w:hideMark/>
          </w:tcPr>
          <w:p w14:paraId="730B863B" w14:textId="0324E92F" w:rsidR="000D42F1" w:rsidRPr="00D2444B" w:rsidRDefault="000D42F1" w:rsidP="00ED1AB5">
            <w:pPr>
              <w:spacing w:after="0" w:line="240" w:lineRule="auto"/>
              <w:jc w:val="right"/>
              <w:rPr>
                <w:b/>
                <w:bCs/>
                <w:color w:val="000000"/>
                <w:sz w:val="20"/>
                <w:szCs w:val="20"/>
              </w:rPr>
            </w:pPr>
            <w:r w:rsidRPr="003559B3">
              <w:rPr>
                <w:b/>
                <w:bCs/>
                <w:color w:val="000000"/>
                <w:sz w:val="20"/>
                <w:szCs w:val="20"/>
              </w:rPr>
              <w:t>2,416 (100%)</w:t>
            </w:r>
          </w:p>
        </w:tc>
      </w:tr>
    </w:tbl>
    <w:p w14:paraId="7E074668" w14:textId="77777777" w:rsidR="000D42F1" w:rsidRPr="00383001" w:rsidRDefault="000D42F1" w:rsidP="00D60011">
      <w:pPr>
        <w:spacing w:before="120" w:after="0" w:line="240" w:lineRule="auto"/>
        <w:rPr>
          <w:sz w:val="16"/>
          <w:szCs w:val="16"/>
        </w:rPr>
      </w:pPr>
      <w:r w:rsidRPr="00383001">
        <w:rPr>
          <w:sz w:val="16"/>
          <w:szCs w:val="16"/>
        </w:rPr>
        <w:t>* Individual processes may be counted against more than one row where multiple actions were taken.</w:t>
      </w:r>
    </w:p>
    <w:p w14:paraId="432A9014" w14:textId="77777777" w:rsidR="007D4CFC" w:rsidRDefault="00A8561C">
      <w:pPr>
        <w:spacing w:after="240" w:line="240" w:lineRule="auto"/>
        <w:rPr>
          <w:sz w:val="16"/>
          <w:szCs w:val="16"/>
        </w:rPr>
      </w:pPr>
      <w:r>
        <w:rPr>
          <w:sz w:val="16"/>
          <w:szCs w:val="16"/>
        </w:rPr>
        <w:t>**</w:t>
      </w:r>
      <w:r w:rsidR="000D42F1" w:rsidRPr="00383001">
        <w:rPr>
          <w:sz w:val="16"/>
          <w:szCs w:val="16"/>
        </w:rPr>
        <w:t>’Other’ outcomes included other improvement actions and instances where employees subject to completed process resigned before action was taken.</w:t>
      </w:r>
    </w:p>
    <w:p w14:paraId="3C86D961" w14:textId="77777777" w:rsidR="007D4CFC" w:rsidRDefault="007D4CFC">
      <w:pPr>
        <w:spacing w:after="240" w:line="240" w:lineRule="auto"/>
        <w:rPr>
          <w:sz w:val="16"/>
          <w:szCs w:val="16"/>
        </w:rPr>
      </w:pPr>
      <w:r>
        <w:rPr>
          <w:sz w:val="16"/>
          <w:szCs w:val="16"/>
        </w:rPr>
        <w:br w:type="page"/>
      </w:r>
    </w:p>
    <w:p w14:paraId="3EB7D0A3" w14:textId="77777777" w:rsidR="000D42F1" w:rsidRDefault="000D42F1" w:rsidP="00975781">
      <w:pPr>
        <w:pStyle w:val="Heading3"/>
      </w:pPr>
      <w:bookmarkStart w:id="110" w:name="_Toc151900194"/>
      <w:r>
        <w:lastRenderedPageBreak/>
        <w:t>Mandatory vaccination outcomes</w:t>
      </w:r>
      <w:bookmarkEnd w:id="110"/>
    </w:p>
    <w:p w14:paraId="2CCBD329" w14:textId="77777777" w:rsidR="000D42F1" w:rsidRPr="00EB5994" w:rsidRDefault="000D42F1" w:rsidP="00CA4DAE">
      <w:pPr>
        <w:spacing w:after="0"/>
        <w:rPr>
          <w:rFonts w:eastAsia="Arial"/>
        </w:rPr>
      </w:pPr>
      <w:r>
        <w:rPr>
          <w:rFonts w:eastAsia="Arial"/>
        </w:rPr>
        <w:t>P</w:t>
      </w:r>
      <w:r w:rsidRPr="00EB5994">
        <w:rPr>
          <w:rFonts w:eastAsia="Arial"/>
        </w:rPr>
        <w:t xml:space="preserve">ublic sector agencies and government trading enterprises </w:t>
      </w:r>
      <w:r>
        <w:rPr>
          <w:rFonts w:eastAsia="Arial"/>
        </w:rPr>
        <w:t>reported outcomes of employee non-compliance with the government’s mandatory COVID-19 vaccination requirements. B</w:t>
      </w:r>
      <w:r w:rsidRPr="00EB5994">
        <w:rPr>
          <w:rFonts w:eastAsia="Arial"/>
        </w:rPr>
        <w:t>etween 1</w:t>
      </w:r>
      <w:r>
        <w:rPr>
          <w:rFonts w:eastAsia="Arial"/>
        </w:rPr>
        <w:t> </w:t>
      </w:r>
      <w:r w:rsidRPr="00EB5994">
        <w:rPr>
          <w:rFonts w:eastAsia="Arial"/>
        </w:rPr>
        <w:t xml:space="preserve">December 2021 and </w:t>
      </w:r>
      <w:r>
        <w:rPr>
          <w:rFonts w:eastAsia="Arial"/>
        </w:rPr>
        <w:t>19 May 2023</w:t>
      </w:r>
      <w:r w:rsidRPr="00EB5994">
        <w:rPr>
          <w:rFonts w:eastAsia="Arial"/>
        </w:rPr>
        <w:t>:</w:t>
      </w:r>
    </w:p>
    <w:p w14:paraId="22708C7C" w14:textId="77777777" w:rsidR="000D42F1" w:rsidRPr="00EB5994" w:rsidRDefault="000D42F1">
      <w:pPr>
        <w:pStyle w:val="ListParagraph"/>
        <w:numPr>
          <w:ilvl w:val="0"/>
          <w:numId w:val="10"/>
        </w:numPr>
        <w:ind w:left="426" w:hanging="426"/>
        <w:rPr>
          <w:rFonts w:eastAsia="Arial"/>
        </w:rPr>
      </w:pPr>
      <w:r>
        <w:rPr>
          <w:rFonts w:eastAsia="Arial"/>
        </w:rPr>
        <w:t>482</w:t>
      </w:r>
      <w:r w:rsidRPr="00EB5994">
        <w:rPr>
          <w:rFonts w:eastAsia="Arial"/>
        </w:rPr>
        <w:t xml:space="preserve"> employees were terminated</w:t>
      </w:r>
    </w:p>
    <w:p w14:paraId="52CA3A8D" w14:textId="77777777" w:rsidR="000D42F1" w:rsidRPr="00EB5994" w:rsidRDefault="000D42F1">
      <w:pPr>
        <w:pStyle w:val="ListParagraph"/>
        <w:numPr>
          <w:ilvl w:val="0"/>
          <w:numId w:val="10"/>
        </w:numPr>
        <w:ind w:left="426" w:hanging="426"/>
        <w:rPr>
          <w:rFonts w:eastAsia="Arial"/>
        </w:rPr>
      </w:pPr>
      <w:r>
        <w:rPr>
          <w:rFonts w:eastAsia="Arial"/>
        </w:rPr>
        <w:t>613</w:t>
      </w:r>
      <w:r w:rsidRPr="00EB5994">
        <w:rPr>
          <w:rFonts w:eastAsia="Arial"/>
        </w:rPr>
        <w:t xml:space="preserve"> employees received sanction</w:t>
      </w:r>
      <w:r>
        <w:rPr>
          <w:rFonts w:eastAsia="Arial"/>
        </w:rPr>
        <w:t>s</w:t>
      </w:r>
      <w:r w:rsidRPr="00EB5994">
        <w:rPr>
          <w:rFonts w:eastAsia="Arial"/>
        </w:rPr>
        <w:t xml:space="preserve"> such as reprimand</w:t>
      </w:r>
      <w:r>
        <w:rPr>
          <w:rFonts w:eastAsia="Arial"/>
        </w:rPr>
        <w:t>s</w:t>
      </w:r>
      <w:r w:rsidRPr="00EB5994">
        <w:rPr>
          <w:rFonts w:eastAsia="Arial"/>
        </w:rPr>
        <w:t>, financial penalt</w:t>
      </w:r>
      <w:r>
        <w:rPr>
          <w:rFonts w:eastAsia="Arial"/>
        </w:rPr>
        <w:t>ies</w:t>
      </w:r>
      <w:r w:rsidRPr="00EB5994">
        <w:rPr>
          <w:rFonts w:eastAsia="Arial"/>
        </w:rPr>
        <w:t>,</w:t>
      </w:r>
      <w:r>
        <w:rPr>
          <w:rFonts w:eastAsia="Arial"/>
        </w:rPr>
        <w:t xml:space="preserve"> ceasing of contracts and </w:t>
      </w:r>
      <w:r w:rsidRPr="00EB5994">
        <w:rPr>
          <w:rFonts w:eastAsia="Arial"/>
        </w:rPr>
        <w:t>warning</w:t>
      </w:r>
      <w:r>
        <w:rPr>
          <w:rFonts w:eastAsia="Arial"/>
        </w:rPr>
        <w:t>s</w:t>
      </w:r>
    </w:p>
    <w:p w14:paraId="33351455" w14:textId="77777777" w:rsidR="000D42F1" w:rsidRPr="000560BD" w:rsidRDefault="000D42F1">
      <w:pPr>
        <w:pStyle w:val="ListParagraph"/>
        <w:numPr>
          <w:ilvl w:val="0"/>
          <w:numId w:val="10"/>
        </w:numPr>
        <w:ind w:left="426" w:hanging="426"/>
        <w:rPr>
          <w:rFonts w:eastAsia="Arial"/>
        </w:rPr>
      </w:pPr>
      <w:r>
        <w:rPr>
          <w:rFonts w:eastAsia="Arial"/>
        </w:rPr>
        <w:t>368</w:t>
      </w:r>
      <w:r w:rsidRPr="00EB5994">
        <w:rPr>
          <w:rFonts w:eastAsia="Arial"/>
        </w:rPr>
        <w:t xml:space="preserve"> employees resigned</w:t>
      </w:r>
      <w:r w:rsidRPr="000560BD">
        <w:rPr>
          <w:rFonts w:eastAsia="Arial"/>
        </w:rPr>
        <w:t>.</w:t>
      </w:r>
    </w:p>
    <w:p w14:paraId="1659C3F1" w14:textId="29BB8956" w:rsidR="000D42F1" w:rsidRPr="00D2444B" w:rsidRDefault="000D42F1">
      <w:pPr>
        <w:rPr>
          <w:sz w:val="20"/>
          <w:szCs w:val="20"/>
        </w:rPr>
      </w:pPr>
      <w:r>
        <w:t>At</w:t>
      </w:r>
      <w:r w:rsidRPr="00EB5994">
        <w:t xml:space="preserve"> </w:t>
      </w:r>
      <w:r w:rsidR="001D7332">
        <w:t>19 May 2023</w:t>
      </w:r>
      <w:r>
        <w:t xml:space="preserve">, 34 processes were discontinued and 14 processes at WA Police remained underway pending </w:t>
      </w:r>
      <w:r w:rsidRPr="001C2E06">
        <w:t>the outcome of a Supreme Court case</w:t>
      </w:r>
      <w:r w:rsidRPr="00EB5994">
        <w:t>.</w:t>
      </w:r>
    </w:p>
    <w:p w14:paraId="0CBEBDD6" w14:textId="77777777" w:rsidR="000D42F1" w:rsidRPr="00B22FEE" w:rsidRDefault="000D42F1">
      <w:pPr>
        <w:pStyle w:val="Heading3"/>
      </w:pPr>
      <w:bookmarkStart w:id="111" w:name="_Toc151900195"/>
      <w:r>
        <w:t>Misconduct reporting</w:t>
      </w:r>
      <w:bookmarkEnd w:id="111"/>
    </w:p>
    <w:p w14:paraId="0C856096" w14:textId="77777777" w:rsidR="000D42F1" w:rsidRPr="002D75A0" w:rsidRDefault="000D42F1" w:rsidP="00513D36">
      <w:pPr>
        <w:pStyle w:val="Heading4"/>
        <w:rPr>
          <w:sz w:val="28"/>
          <w:szCs w:val="28"/>
        </w:rPr>
      </w:pPr>
      <w:r w:rsidRPr="002D75A0">
        <w:rPr>
          <w:sz w:val="28"/>
          <w:szCs w:val="28"/>
        </w:rPr>
        <w:t>Minor misconduct</w:t>
      </w:r>
    </w:p>
    <w:p w14:paraId="73D7038D" w14:textId="77777777" w:rsidR="000D42F1" w:rsidRPr="003428B3" w:rsidRDefault="000D42F1" w:rsidP="00513D36">
      <w:pPr>
        <w:rPr>
          <w:color w:val="C45911" w:themeColor="accent2" w:themeShade="BF"/>
        </w:rPr>
      </w:pPr>
      <w:r w:rsidRPr="003428B3">
        <w:t xml:space="preserve">Minor misconduct is defined in the </w:t>
      </w:r>
      <w:r w:rsidRPr="003428B3">
        <w:rPr>
          <w:rFonts w:eastAsiaTheme="minorEastAsia"/>
          <w:i/>
          <w:iCs/>
        </w:rPr>
        <w:t>Corruption, Crime and Misconduct Act 2003</w:t>
      </w:r>
      <w:r w:rsidRPr="003428B3">
        <w:rPr>
          <w:rFonts w:eastAsiaTheme="minorEastAsia"/>
        </w:rPr>
        <w:t xml:space="preserve"> (</w:t>
      </w:r>
      <w:r w:rsidRPr="003428B3">
        <w:t>CCM Act) and includes behaviours that could constitute reasonable grounds for termination of employment. Principal officers (generally chief executive officers and directors general) are obligated under the CCM Act to notify the Public Sector Commission of allegations of minor misconduct and the Corruption and Crime Commission of allegations of serious misconduct.</w:t>
      </w:r>
      <w:r>
        <w:t xml:space="preserve"> </w:t>
      </w:r>
    </w:p>
    <w:p w14:paraId="1AB026BF" w14:textId="77777777" w:rsidR="000D42F1" w:rsidRPr="003428B3" w:rsidRDefault="000D42F1" w:rsidP="00513D36">
      <w:r>
        <w:t xml:space="preserve">In this year’s integrity and conduct annual collection, 28.7% of public authorities reported managing at least one conduct matter that could constitute suspected minor misconduct, up from 27.2% in 2021-22. </w:t>
      </w:r>
    </w:p>
    <w:p w14:paraId="72CB1DDD" w14:textId="229611C3" w:rsidR="000D42F1" w:rsidRPr="00C3003D" w:rsidRDefault="000D42F1" w:rsidP="00513D36">
      <w:r>
        <w:t>Total minor misconduct matters received by the Public Sector Commission in 2022-23 increased by 14.8% from last year</w:t>
      </w:r>
      <w:r w:rsidR="003113EC">
        <w:t>,</w:t>
      </w:r>
      <w:r>
        <w:t xml:space="preserve"> from 454</w:t>
      </w:r>
      <w:r>
        <w:rPr>
          <w:rStyle w:val="FootnoteReference"/>
        </w:rPr>
        <w:footnoteReference w:id="12"/>
      </w:r>
      <w:r>
        <w:t xml:space="preserve"> to 521 (</w:t>
      </w:r>
      <w:fldSimple w:instr="REF _Ref84256672  \* MERGEFORMAT">
        <w:r w:rsidR="0048418F" w:rsidRPr="0048418F">
          <w:t>Table 21</w:t>
        </w:r>
      </w:fldSimple>
      <w:r>
        <w:t>).</w:t>
      </w:r>
    </w:p>
    <w:p w14:paraId="75459521" w14:textId="4157561F" w:rsidR="000D42F1" w:rsidRPr="00383001" w:rsidRDefault="000D42F1">
      <w:pPr>
        <w:pStyle w:val="Caption"/>
        <w:spacing w:before="240"/>
        <w:rPr>
          <w:b/>
          <w:bCs/>
        </w:rPr>
      </w:pPr>
      <w:bookmarkStart w:id="112" w:name="_Ref84256672"/>
      <w:r w:rsidRPr="00383001">
        <w:rPr>
          <w:b/>
          <w:bCs/>
        </w:rPr>
        <w:t xml:space="preserve">Table </w:t>
      </w:r>
      <w:r w:rsidRPr="00383001">
        <w:rPr>
          <w:b/>
          <w:bCs/>
        </w:rPr>
        <w:fldChar w:fldCharType="begin"/>
      </w:r>
      <w:r w:rsidRPr="00383001">
        <w:rPr>
          <w:b/>
          <w:bCs/>
        </w:rPr>
        <w:instrText>SEQ Table \* ARABIC</w:instrText>
      </w:r>
      <w:r w:rsidRPr="00383001">
        <w:rPr>
          <w:b/>
          <w:bCs/>
        </w:rPr>
        <w:fldChar w:fldCharType="separate"/>
      </w:r>
      <w:r w:rsidR="0048418F">
        <w:rPr>
          <w:b/>
          <w:bCs/>
          <w:noProof/>
        </w:rPr>
        <w:t>21</w:t>
      </w:r>
      <w:r w:rsidRPr="00383001">
        <w:rPr>
          <w:b/>
          <w:bCs/>
        </w:rPr>
        <w:fldChar w:fldCharType="end"/>
      </w:r>
      <w:bookmarkEnd w:id="112"/>
      <w:r w:rsidRPr="00383001">
        <w:rPr>
          <w:b/>
          <w:bCs/>
        </w:rPr>
        <w:t xml:space="preserve">: Minor misconduct notifications (received from principal officers of </w:t>
      </w:r>
      <w:r w:rsidR="00DD5302">
        <w:rPr>
          <w:b/>
          <w:bCs/>
        </w:rPr>
        <w:t>public authorities</w:t>
      </w:r>
      <w:r w:rsidRPr="00383001">
        <w:rPr>
          <w:b/>
          <w:bCs/>
        </w:rPr>
        <w:t>) and reports (received from individuals) relating to WA government sector,</w:t>
      </w:r>
      <w:r w:rsidRPr="00383001">
        <w:rPr>
          <w:b/>
          <w:bCs/>
          <w:noProof/>
        </w:rPr>
        <w:t xml:space="preserve"> received in 202</w:t>
      </w:r>
      <w:r>
        <w:rPr>
          <w:b/>
          <w:bCs/>
          <w:noProof/>
        </w:rPr>
        <w:t>1</w:t>
      </w:r>
      <w:r w:rsidRPr="00383001">
        <w:rPr>
          <w:b/>
          <w:bCs/>
          <w:noProof/>
        </w:rPr>
        <w:t>-2</w:t>
      </w:r>
      <w:r>
        <w:rPr>
          <w:b/>
          <w:bCs/>
          <w:noProof/>
        </w:rPr>
        <w:t>2</w:t>
      </w:r>
      <w:r w:rsidRPr="00383001">
        <w:rPr>
          <w:b/>
          <w:bCs/>
          <w:noProof/>
        </w:rPr>
        <w:t xml:space="preserve"> (at 30 June 202</w:t>
      </w:r>
      <w:r>
        <w:rPr>
          <w:b/>
          <w:bCs/>
          <w:noProof/>
        </w:rPr>
        <w:t>2</w:t>
      </w:r>
      <w:r w:rsidRPr="00383001">
        <w:rPr>
          <w:b/>
          <w:bCs/>
          <w:noProof/>
        </w:rPr>
        <w:t>) and 202</w:t>
      </w:r>
      <w:r>
        <w:rPr>
          <w:b/>
          <w:bCs/>
          <w:noProof/>
        </w:rPr>
        <w:t>2</w:t>
      </w:r>
      <w:r w:rsidRPr="00383001">
        <w:rPr>
          <w:b/>
          <w:bCs/>
          <w:noProof/>
        </w:rPr>
        <w:t>-2</w:t>
      </w:r>
      <w:r>
        <w:rPr>
          <w:b/>
          <w:bCs/>
          <w:noProof/>
        </w:rPr>
        <w:t>3</w:t>
      </w:r>
      <w:r w:rsidRPr="00383001">
        <w:rPr>
          <w:b/>
          <w:bCs/>
          <w:noProof/>
        </w:rPr>
        <w:t xml:space="preserve"> (at 30 June 202</w:t>
      </w:r>
      <w:r>
        <w:rPr>
          <w:b/>
          <w:bCs/>
          <w:noProof/>
        </w:rPr>
        <w:t>3</w:t>
      </w:r>
      <w:r w:rsidRPr="00383001">
        <w:rPr>
          <w:b/>
          <w:bCs/>
          <w:noProof/>
        </w:rPr>
        <w:t>)</w:t>
      </w:r>
    </w:p>
    <w:tbl>
      <w:tblPr>
        <w:tblStyle w:val="TableGrid1"/>
        <w:tblW w:w="9062"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21: Minor misconduct notifications (received from principal officers of public authorities) and reports (received from individuals) relating to WA government sector, received in 2021-22 (at 30 June 2022) and 2022-23 (at 30 June 2023)"/>
      </w:tblPr>
      <w:tblGrid>
        <w:gridCol w:w="5235"/>
        <w:gridCol w:w="1843"/>
        <w:gridCol w:w="1984"/>
      </w:tblGrid>
      <w:tr w:rsidR="000D42F1" w:rsidRPr="008C084E" w14:paraId="67A643A4" w14:textId="77777777">
        <w:trPr>
          <w:trHeight w:val="276"/>
        </w:trPr>
        <w:tc>
          <w:tcPr>
            <w:tcW w:w="5235" w:type="dxa"/>
            <w:vAlign w:val="center"/>
          </w:tcPr>
          <w:p w14:paraId="0976F7EC" w14:textId="6142C976" w:rsidR="000D42F1" w:rsidRPr="003428B3" w:rsidRDefault="000D42F1" w:rsidP="00157D19">
            <w:pPr>
              <w:pStyle w:val="Tables"/>
              <w:jc w:val="left"/>
              <w:rPr>
                <w:rFonts w:eastAsiaTheme="minorEastAsia"/>
                <w:b/>
                <w:bCs/>
                <w:color w:val="2E74B5" w:themeColor="accent1" w:themeShade="BF"/>
                <w:lang w:eastAsia="en-US"/>
              </w:rPr>
            </w:pPr>
            <w:r w:rsidRPr="003428B3">
              <w:rPr>
                <w:rFonts w:eastAsiaTheme="minorEastAsia"/>
                <w:b/>
                <w:bCs/>
                <w:color w:val="2E74B5" w:themeColor="accent1" w:themeShade="BF"/>
                <w:lang w:eastAsia="en-US"/>
              </w:rPr>
              <w:t>Sector subject of notification</w:t>
            </w:r>
            <w:r w:rsidR="00DD5302">
              <w:rPr>
                <w:rFonts w:eastAsiaTheme="minorEastAsia"/>
                <w:b/>
                <w:bCs/>
                <w:color w:val="2E74B5" w:themeColor="accent1" w:themeShade="BF"/>
                <w:lang w:eastAsia="en-US"/>
              </w:rPr>
              <w:t xml:space="preserve"> or </w:t>
            </w:r>
            <w:r w:rsidRPr="003428B3">
              <w:rPr>
                <w:rFonts w:eastAsiaTheme="minorEastAsia"/>
                <w:b/>
                <w:bCs/>
                <w:color w:val="2E74B5" w:themeColor="accent1" w:themeShade="BF"/>
                <w:lang w:eastAsia="en-US"/>
              </w:rPr>
              <w:t>report</w:t>
            </w:r>
          </w:p>
        </w:tc>
        <w:tc>
          <w:tcPr>
            <w:tcW w:w="1843" w:type="dxa"/>
            <w:vAlign w:val="bottom"/>
          </w:tcPr>
          <w:p w14:paraId="3411BFA0" w14:textId="77777777" w:rsidR="000D42F1" w:rsidRPr="003428B3" w:rsidRDefault="000D42F1">
            <w:pPr>
              <w:pStyle w:val="Tables"/>
              <w:rPr>
                <w:rFonts w:eastAsiaTheme="minorEastAsia"/>
                <w:b/>
                <w:bCs/>
                <w:color w:val="2E74B5" w:themeColor="accent1" w:themeShade="BF"/>
                <w:lang w:eastAsia="en-US"/>
              </w:rPr>
            </w:pPr>
            <w:r w:rsidRPr="039582E1">
              <w:rPr>
                <w:rFonts w:eastAsiaTheme="minorEastAsia"/>
                <w:b/>
                <w:bCs/>
                <w:color w:val="2E74B5" w:themeColor="accent1" w:themeShade="BF"/>
                <w:lang w:eastAsia="en-US"/>
              </w:rPr>
              <w:t>2021-22</w:t>
            </w:r>
          </w:p>
        </w:tc>
        <w:tc>
          <w:tcPr>
            <w:tcW w:w="1984" w:type="dxa"/>
            <w:vAlign w:val="bottom"/>
          </w:tcPr>
          <w:p w14:paraId="27F11B04" w14:textId="77777777" w:rsidR="000D42F1" w:rsidRPr="003428B3" w:rsidRDefault="000D42F1">
            <w:pPr>
              <w:pStyle w:val="Tables"/>
              <w:rPr>
                <w:rFonts w:eastAsiaTheme="minorEastAsia"/>
                <w:b/>
                <w:bCs/>
                <w:color w:val="2E74B5" w:themeColor="accent1" w:themeShade="BF"/>
                <w:lang w:eastAsia="en-US"/>
              </w:rPr>
            </w:pPr>
            <w:r w:rsidRPr="039582E1">
              <w:rPr>
                <w:rFonts w:eastAsiaTheme="minorEastAsia"/>
                <w:b/>
                <w:bCs/>
                <w:color w:val="2E74B5" w:themeColor="accent1" w:themeShade="BF"/>
                <w:lang w:eastAsia="en-US"/>
              </w:rPr>
              <w:t>2022-23</w:t>
            </w:r>
          </w:p>
        </w:tc>
      </w:tr>
      <w:tr w:rsidR="000D42F1" w:rsidRPr="00F36D29" w14:paraId="11EE9F72" w14:textId="77777777">
        <w:trPr>
          <w:trHeight w:val="276"/>
        </w:trPr>
        <w:tc>
          <w:tcPr>
            <w:tcW w:w="5235" w:type="dxa"/>
          </w:tcPr>
          <w:p w14:paraId="707DC696" w14:textId="77777777" w:rsidR="000D42F1" w:rsidRPr="003428B3" w:rsidRDefault="000D42F1" w:rsidP="00157D19">
            <w:pPr>
              <w:pStyle w:val="Tables"/>
              <w:jc w:val="left"/>
              <w:rPr>
                <w:rFonts w:eastAsiaTheme="minorEastAsia"/>
                <w:lang w:eastAsia="en-US"/>
              </w:rPr>
            </w:pPr>
            <w:r w:rsidRPr="003428B3">
              <w:rPr>
                <w:rFonts w:eastAsiaTheme="minorEastAsia"/>
                <w:lang w:eastAsia="en-US"/>
              </w:rPr>
              <w:t>Public sector</w:t>
            </w:r>
          </w:p>
        </w:tc>
        <w:tc>
          <w:tcPr>
            <w:tcW w:w="1843" w:type="dxa"/>
            <w:vAlign w:val="bottom"/>
          </w:tcPr>
          <w:p w14:paraId="24386ACB" w14:textId="7B4A7CB1" w:rsidR="000D42F1" w:rsidRPr="003428B3" w:rsidRDefault="000D42F1">
            <w:pPr>
              <w:pStyle w:val="Tables"/>
              <w:rPr>
                <w:rFonts w:eastAsiaTheme="minorEastAsia"/>
                <w:lang w:eastAsia="en-US"/>
              </w:rPr>
            </w:pPr>
            <w:r>
              <w:t>361</w:t>
            </w:r>
            <w:r w:rsidR="007C523F">
              <w:t xml:space="preserve"> </w:t>
            </w:r>
            <w:r>
              <w:t>(79.</w:t>
            </w:r>
            <w:r w:rsidRPr="00066129">
              <w:t>5</w:t>
            </w:r>
            <w:r>
              <w:t>%)</w:t>
            </w:r>
          </w:p>
        </w:tc>
        <w:tc>
          <w:tcPr>
            <w:tcW w:w="1984" w:type="dxa"/>
            <w:vAlign w:val="bottom"/>
          </w:tcPr>
          <w:p w14:paraId="2365C2CB" w14:textId="77777777" w:rsidR="000D42F1" w:rsidRPr="003428B3" w:rsidRDefault="000D42F1" w:rsidP="4D31276A">
            <w:pPr>
              <w:pStyle w:val="Tables"/>
              <w:rPr>
                <w:lang w:eastAsia="en-US"/>
              </w:rPr>
            </w:pPr>
            <w:r>
              <w:t>403 (77.4%)</w:t>
            </w:r>
          </w:p>
        </w:tc>
      </w:tr>
      <w:tr w:rsidR="000D42F1" w:rsidRPr="00F36D29" w14:paraId="058B28DD" w14:textId="77777777">
        <w:trPr>
          <w:trHeight w:val="276"/>
        </w:trPr>
        <w:tc>
          <w:tcPr>
            <w:tcW w:w="5235" w:type="dxa"/>
          </w:tcPr>
          <w:p w14:paraId="0A6786A6" w14:textId="77777777" w:rsidR="000D42F1" w:rsidRPr="003428B3" w:rsidRDefault="000D42F1" w:rsidP="00157D19">
            <w:pPr>
              <w:pStyle w:val="Tables"/>
              <w:jc w:val="left"/>
              <w:rPr>
                <w:rFonts w:eastAsiaTheme="minorEastAsia"/>
                <w:lang w:eastAsia="en-US"/>
              </w:rPr>
            </w:pPr>
            <w:r w:rsidRPr="003428B3">
              <w:rPr>
                <w:rFonts w:eastAsiaTheme="minorEastAsia"/>
                <w:lang w:eastAsia="en-US"/>
              </w:rPr>
              <w:t xml:space="preserve">Other government </w:t>
            </w:r>
            <w:r w:rsidRPr="003428B3">
              <w:t>entities</w:t>
            </w:r>
          </w:p>
        </w:tc>
        <w:tc>
          <w:tcPr>
            <w:tcW w:w="1843" w:type="dxa"/>
            <w:vAlign w:val="bottom"/>
          </w:tcPr>
          <w:p w14:paraId="40A5448E" w14:textId="77777777" w:rsidR="000D42F1" w:rsidRPr="003428B3" w:rsidRDefault="000D42F1">
            <w:pPr>
              <w:pStyle w:val="Tables"/>
              <w:rPr>
                <w:rFonts w:eastAsiaTheme="minorEastAsia"/>
                <w:lang w:eastAsia="en-US"/>
              </w:rPr>
            </w:pPr>
            <w:r>
              <w:t>90 (19.8%)</w:t>
            </w:r>
          </w:p>
        </w:tc>
        <w:tc>
          <w:tcPr>
            <w:tcW w:w="1984" w:type="dxa"/>
            <w:vAlign w:val="bottom"/>
          </w:tcPr>
          <w:p w14:paraId="1F43C28C" w14:textId="77777777" w:rsidR="000D42F1" w:rsidRPr="003428B3" w:rsidRDefault="000D42F1">
            <w:pPr>
              <w:pStyle w:val="Tables"/>
              <w:rPr>
                <w:rFonts w:eastAsiaTheme="minorEastAsia"/>
                <w:lang w:eastAsia="en-US"/>
              </w:rPr>
            </w:pPr>
            <w:r>
              <w:t>115 (22.1%)</w:t>
            </w:r>
          </w:p>
        </w:tc>
      </w:tr>
      <w:tr w:rsidR="000D42F1" w:rsidRPr="00F36D29" w14:paraId="1850BA7F" w14:textId="77777777">
        <w:trPr>
          <w:trHeight w:val="276"/>
        </w:trPr>
        <w:tc>
          <w:tcPr>
            <w:tcW w:w="5235" w:type="dxa"/>
          </w:tcPr>
          <w:p w14:paraId="46AB5C02" w14:textId="77777777" w:rsidR="000D42F1" w:rsidRPr="003428B3" w:rsidRDefault="000D42F1" w:rsidP="00157D19">
            <w:pPr>
              <w:pStyle w:val="Tables"/>
              <w:jc w:val="left"/>
              <w:rPr>
                <w:rFonts w:eastAsiaTheme="minorEastAsia"/>
                <w:lang w:eastAsia="en-US"/>
              </w:rPr>
            </w:pPr>
            <w:r w:rsidRPr="003428B3">
              <w:rPr>
                <w:rFonts w:eastAsiaTheme="minorEastAsia"/>
                <w:lang w:eastAsia="en-US"/>
              </w:rPr>
              <w:t>Out of jurisdiction of CCM Act</w:t>
            </w:r>
          </w:p>
        </w:tc>
        <w:tc>
          <w:tcPr>
            <w:tcW w:w="1843" w:type="dxa"/>
            <w:vAlign w:val="bottom"/>
          </w:tcPr>
          <w:p w14:paraId="36F59BA2" w14:textId="77777777" w:rsidR="000D42F1" w:rsidRPr="003428B3" w:rsidRDefault="000D42F1">
            <w:pPr>
              <w:pStyle w:val="Tables"/>
              <w:rPr>
                <w:rFonts w:eastAsiaTheme="minorEastAsia"/>
                <w:lang w:eastAsia="en-US"/>
              </w:rPr>
            </w:pPr>
            <w:r>
              <w:t>3 (0.7%)</w:t>
            </w:r>
          </w:p>
        </w:tc>
        <w:tc>
          <w:tcPr>
            <w:tcW w:w="1984" w:type="dxa"/>
            <w:vAlign w:val="bottom"/>
          </w:tcPr>
          <w:p w14:paraId="076066B4" w14:textId="77777777" w:rsidR="000D42F1" w:rsidRPr="003428B3" w:rsidRDefault="000D42F1">
            <w:pPr>
              <w:pStyle w:val="Tables"/>
              <w:rPr>
                <w:lang w:eastAsia="en-US"/>
              </w:rPr>
            </w:pPr>
            <w:r>
              <w:t>3 (0.6%)</w:t>
            </w:r>
          </w:p>
        </w:tc>
      </w:tr>
      <w:tr w:rsidR="000D42F1" w:rsidRPr="00C91F44" w14:paraId="6F07FB18" w14:textId="77777777">
        <w:trPr>
          <w:trHeight w:val="276"/>
        </w:trPr>
        <w:tc>
          <w:tcPr>
            <w:tcW w:w="5235" w:type="dxa"/>
          </w:tcPr>
          <w:p w14:paraId="6C0F48F7" w14:textId="77777777" w:rsidR="000D42F1" w:rsidRPr="003428B3" w:rsidRDefault="000D42F1" w:rsidP="00157D19">
            <w:pPr>
              <w:pStyle w:val="Tables"/>
              <w:jc w:val="left"/>
              <w:rPr>
                <w:rFonts w:eastAsiaTheme="minorEastAsia"/>
                <w:b/>
                <w:bCs/>
                <w:lang w:eastAsia="en-US"/>
              </w:rPr>
            </w:pPr>
            <w:r w:rsidRPr="003428B3">
              <w:rPr>
                <w:rFonts w:eastAsiaTheme="minorEastAsia"/>
                <w:b/>
                <w:bCs/>
                <w:lang w:eastAsia="en-US"/>
              </w:rPr>
              <w:t>Total</w:t>
            </w:r>
          </w:p>
        </w:tc>
        <w:tc>
          <w:tcPr>
            <w:tcW w:w="1843" w:type="dxa"/>
            <w:vAlign w:val="bottom"/>
          </w:tcPr>
          <w:p w14:paraId="216F19BA" w14:textId="77777777" w:rsidR="000D42F1" w:rsidRPr="003428B3" w:rsidRDefault="000D42F1">
            <w:pPr>
              <w:pStyle w:val="Tables"/>
              <w:rPr>
                <w:rFonts w:eastAsiaTheme="minorEastAsia"/>
                <w:b/>
                <w:bCs/>
                <w:lang w:eastAsia="en-US"/>
              </w:rPr>
            </w:pPr>
            <w:r w:rsidRPr="15CB0BF6">
              <w:rPr>
                <w:b/>
                <w:bCs/>
              </w:rPr>
              <w:t>454 (100%)</w:t>
            </w:r>
          </w:p>
        </w:tc>
        <w:tc>
          <w:tcPr>
            <w:tcW w:w="1984" w:type="dxa"/>
            <w:vAlign w:val="bottom"/>
          </w:tcPr>
          <w:p w14:paraId="3E3AC0EC" w14:textId="77777777" w:rsidR="000D42F1" w:rsidRPr="003428B3" w:rsidRDefault="000D42F1">
            <w:pPr>
              <w:pStyle w:val="Tables"/>
              <w:rPr>
                <w:rFonts w:eastAsiaTheme="minorEastAsia"/>
                <w:b/>
                <w:bCs/>
                <w:lang w:eastAsia="en-US"/>
              </w:rPr>
            </w:pPr>
            <w:r w:rsidRPr="15CB0BF6">
              <w:rPr>
                <w:b/>
                <w:bCs/>
              </w:rPr>
              <w:t>521 (100%)</w:t>
            </w:r>
          </w:p>
        </w:tc>
      </w:tr>
    </w:tbl>
    <w:p w14:paraId="5560E642" w14:textId="77777777" w:rsidR="007D4CFC" w:rsidRDefault="007D4CFC">
      <w:pPr>
        <w:spacing w:before="120"/>
      </w:pPr>
      <w:r>
        <w:br w:type="page"/>
      </w:r>
    </w:p>
    <w:p w14:paraId="2038AE00" w14:textId="560D4019" w:rsidR="000D42F1" w:rsidRPr="003428B3" w:rsidRDefault="000D42F1">
      <w:pPr>
        <w:spacing w:before="120"/>
      </w:pPr>
      <w:r w:rsidRPr="003428B3">
        <w:lastRenderedPageBreak/>
        <w:t xml:space="preserve">A </w:t>
      </w:r>
      <w:r>
        <w:t xml:space="preserve">minor misconduct </w:t>
      </w:r>
      <w:r w:rsidRPr="003428B3">
        <w:t xml:space="preserve">matter is the individual notification made by a </w:t>
      </w:r>
      <w:r>
        <w:t>public authority</w:t>
      </w:r>
      <w:r w:rsidRPr="003428B3">
        <w:t xml:space="preserve"> or a report made by an individual. Within each matter there may be one or more allegations about the conduct of one or more public officers. Each allegation is assessed as to whether it meets the definition of minor misconduct under the CCM Act.</w:t>
      </w:r>
    </w:p>
    <w:p w14:paraId="3977E73B" w14:textId="025B0A3A" w:rsidR="000D42F1" w:rsidRDefault="000D42F1">
      <w:r w:rsidRPr="003428B3">
        <w:t xml:space="preserve">The total number of allegations received by the Public Sector Commission </w:t>
      </w:r>
      <w:r>
        <w:t xml:space="preserve">increased </w:t>
      </w:r>
      <w:r w:rsidRPr="003428B3">
        <w:t xml:space="preserve">this year from </w:t>
      </w:r>
      <w:r>
        <w:t>676 to 972</w:t>
      </w:r>
      <w:r w:rsidRPr="003428B3">
        <w:t xml:space="preserve"> (</w:t>
      </w:r>
      <w:fldSimple w:instr="REF _Ref84256839  \* MERGEFORMAT">
        <w:r w:rsidR="0048418F" w:rsidRPr="0048418F">
          <w:t xml:space="preserve">Table </w:t>
        </w:r>
        <w:r w:rsidR="0048418F" w:rsidRPr="0048418F">
          <w:rPr>
            <w:noProof/>
          </w:rPr>
          <w:t>22</w:t>
        </w:r>
      </w:fldSimple>
      <w:r w:rsidRPr="003428B3">
        <w:t xml:space="preserve">). Allegations relating to </w:t>
      </w:r>
      <w:r>
        <w:t>the personal behaviour of public officers</w:t>
      </w:r>
      <w:r w:rsidRPr="003428B3">
        <w:t xml:space="preserve"> increased from </w:t>
      </w:r>
      <w:r>
        <w:t>522</w:t>
      </w:r>
      <w:r w:rsidRPr="003428B3">
        <w:t xml:space="preserve"> in </w:t>
      </w:r>
      <w:r>
        <w:t>2021-22</w:t>
      </w:r>
      <w:r w:rsidRPr="003428B3">
        <w:t xml:space="preserve"> to </w:t>
      </w:r>
      <w:r>
        <w:t>786</w:t>
      </w:r>
      <w:r w:rsidRPr="003428B3">
        <w:t xml:space="preserve"> this year. Allegations across all other categories of behaviour </w:t>
      </w:r>
      <w:r>
        <w:t xml:space="preserve">increased </w:t>
      </w:r>
      <w:r w:rsidRPr="003428B3">
        <w:t xml:space="preserve">between </w:t>
      </w:r>
      <w:r>
        <w:t>2021-22</w:t>
      </w:r>
      <w:r w:rsidRPr="003428B3">
        <w:t xml:space="preserve"> and </w:t>
      </w:r>
      <w:r>
        <w:t>2022-23 or remained stable</w:t>
      </w:r>
      <w:r w:rsidRPr="003428B3">
        <w:t>.</w:t>
      </w:r>
      <w:r>
        <w:t xml:space="preserve"> </w:t>
      </w:r>
    </w:p>
    <w:p w14:paraId="47EE82DF" w14:textId="79AE3782" w:rsidR="000D42F1" w:rsidRPr="003428B3" w:rsidRDefault="000D42F1">
      <w:r w:rsidRPr="003428B3">
        <w:t xml:space="preserve">The </w:t>
      </w:r>
      <w:r w:rsidR="001B6ECB">
        <w:t>percentage</w:t>
      </w:r>
      <w:r w:rsidRPr="003428B3">
        <w:t xml:space="preserve"> of allegations assessed by the Public Sector Commission as not consistent with the CCM Act declined this year from </w:t>
      </w:r>
      <w:r>
        <w:t>1.8%</w:t>
      </w:r>
      <w:r w:rsidRPr="003428B3">
        <w:t xml:space="preserve"> of allegations in </w:t>
      </w:r>
      <w:r>
        <w:t>2021-22</w:t>
      </w:r>
      <w:r w:rsidRPr="003428B3">
        <w:t xml:space="preserve"> to </w:t>
      </w:r>
      <w:r>
        <w:t>0.4%</w:t>
      </w:r>
      <w:r w:rsidR="00CD2972">
        <w:t xml:space="preserve"> in 2022-23</w:t>
      </w:r>
      <w:r w:rsidRPr="003428B3">
        <w:t>.</w:t>
      </w:r>
    </w:p>
    <w:p w14:paraId="241F86F2" w14:textId="116AFDEE" w:rsidR="000D42F1" w:rsidRPr="00383001" w:rsidRDefault="000D42F1">
      <w:pPr>
        <w:spacing w:before="240"/>
        <w:rPr>
          <w:b/>
          <w:bCs/>
          <w:color w:val="2E74B5" w:themeColor="accent1" w:themeShade="BF"/>
          <w:sz w:val="20"/>
          <w:szCs w:val="20"/>
        </w:rPr>
      </w:pPr>
      <w:bookmarkStart w:id="113" w:name="_Ref84256839"/>
      <w:r w:rsidRPr="73050348">
        <w:rPr>
          <w:b/>
          <w:bCs/>
          <w:color w:val="2E74B5" w:themeColor="accent1" w:themeShade="BF"/>
          <w:sz w:val="20"/>
          <w:szCs w:val="20"/>
        </w:rPr>
        <w:t xml:space="preserve">Table </w:t>
      </w:r>
      <w:r w:rsidRPr="73050348">
        <w:rPr>
          <w:b/>
          <w:bCs/>
          <w:color w:val="2E74B5" w:themeColor="accent1" w:themeShade="BF"/>
          <w:sz w:val="20"/>
          <w:szCs w:val="20"/>
        </w:rPr>
        <w:fldChar w:fldCharType="begin"/>
      </w:r>
      <w:r w:rsidRPr="73050348">
        <w:rPr>
          <w:b/>
          <w:bCs/>
          <w:color w:val="2E74B5" w:themeColor="accent1" w:themeShade="BF"/>
          <w:sz w:val="20"/>
          <w:szCs w:val="20"/>
        </w:rPr>
        <w:instrText xml:space="preserve"> SEQ Table \* ARABIC </w:instrText>
      </w:r>
      <w:r w:rsidRPr="73050348">
        <w:rPr>
          <w:b/>
          <w:bCs/>
          <w:color w:val="2E74B5" w:themeColor="accent1" w:themeShade="BF"/>
          <w:sz w:val="20"/>
          <w:szCs w:val="20"/>
        </w:rPr>
        <w:fldChar w:fldCharType="separate"/>
      </w:r>
      <w:r w:rsidR="0048418F">
        <w:rPr>
          <w:b/>
          <w:bCs/>
          <w:noProof/>
          <w:color w:val="2E74B5" w:themeColor="accent1" w:themeShade="BF"/>
          <w:sz w:val="20"/>
          <w:szCs w:val="20"/>
        </w:rPr>
        <w:t>22</w:t>
      </w:r>
      <w:r w:rsidRPr="73050348">
        <w:rPr>
          <w:b/>
          <w:bCs/>
          <w:noProof/>
          <w:color w:val="2E74B5" w:themeColor="accent1" w:themeShade="BF"/>
          <w:sz w:val="20"/>
          <w:szCs w:val="20"/>
        </w:rPr>
        <w:fldChar w:fldCharType="end"/>
      </w:r>
      <w:bookmarkEnd w:id="113"/>
      <w:r w:rsidRPr="73050348">
        <w:rPr>
          <w:b/>
          <w:bCs/>
          <w:color w:val="2E74B5" w:themeColor="accent1" w:themeShade="BF"/>
          <w:sz w:val="20"/>
          <w:szCs w:val="20"/>
        </w:rPr>
        <w:t>: Allegations of minor misconduct received by the Public Sector Commission in 2021-22 at 30 June 2022) and 2022-23 (at 30 June 2023)</w:t>
      </w:r>
    </w:p>
    <w:tbl>
      <w:tblPr>
        <w:tblW w:w="9062"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22: Allegations of minor misconduct received by the Public Sector Commission in 2021-22 at 30 June 2022) and 2022-23 (at 30 June 2023)"/>
      </w:tblPr>
      <w:tblGrid>
        <w:gridCol w:w="5245"/>
        <w:gridCol w:w="1833"/>
        <w:gridCol w:w="1984"/>
      </w:tblGrid>
      <w:tr w:rsidR="000D42F1" w:rsidRPr="00165065" w14:paraId="0A47CEFD" w14:textId="77777777" w:rsidTr="007D4CFC">
        <w:trPr>
          <w:trHeight w:val="418"/>
        </w:trPr>
        <w:tc>
          <w:tcPr>
            <w:tcW w:w="5245" w:type="dxa"/>
            <w:shd w:val="clear" w:color="auto" w:fill="auto"/>
            <w:noWrap/>
            <w:hideMark/>
          </w:tcPr>
          <w:p w14:paraId="6888B4E6" w14:textId="77777777" w:rsidR="000D42F1" w:rsidRPr="003428B3" w:rsidRDefault="000D42F1" w:rsidP="007D4CFC">
            <w:pPr>
              <w:spacing w:after="0" w:line="240" w:lineRule="auto"/>
              <w:rPr>
                <w:b/>
                <w:bCs/>
                <w:color w:val="2E74B5"/>
                <w:sz w:val="20"/>
                <w:szCs w:val="20"/>
              </w:rPr>
            </w:pPr>
            <w:r w:rsidRPr="003428B3">
              <w:rPr>
                <w:b/>
                <w:bCs/>
                <w:color w:val="2E74B5" w:themeColor="accent1" w:themeShade="BF"/>
                <w:sz w:val="20"/>
                <w:szCs w:val="20"/>
              </w:rPr>
              <w:t>Allegation type</w:t>
            </w:r>
          </w:p>
        </w:tc>
        <w:tc>
          <w:tcPr>
            <w:tcW w:w="1833" w:type="dxa"/>
            <w:shd w:val="clear" w:color="auto" w:fill="auto"/>
            <w:hideMark/>
          </w:tcPr>
          <w:p w14:paraId="5F90C43A" w14:textId="540099A3" w:rsidR="000D42F1" w:rsidRPr="003428B3" w:rsidRDefault="00DD5302" w:rsidP="004D34E4">
            <w:pPr>
              <w:spacing w:after="0" w:line="240" w:lineRule="auto"/>
              <w:jc w:val="right"/>
              <w:rPr>
                <w:b/>
                <w:bCs/>
                <w:color w:val="2E74B5" w:themeColor="accent1" w:themeShade="BF"/>
                <w:sz w:val="20"/>
                <w:szCs w:val="20"/>
              </w:rPr>
            </w:pPr>
            <w:r w:rsidRPr="09792DC0">
              <w:rPr>
                <w:b/>
                <w:bCs/>
                <w:color w:val="2E74B5" w:themeColor="accent1" w:themeShade="BF"/>
                <w:sz w:val="20"/>
                <w:szCs w:val="20"/>
              </w:rPr>
              <w:t>2021-22</w:t>
            </w:r>
            <w:r w:rsidR="004D34E4">
              <w:rPr>
                <w:b/>
                <w:bCs/>
                <w:color w:val="2E74B5" w:themeColor="accent1" w:themeShade="BF"/>
                <w:sz w:val="20"/>
                <w:szCs w:val="20"/>
              </w:rPr>
              <w:t xml:space="preserve"> </w:t>
            </w:r>
            <w:r w:rsidR="000D42F1" w:rsidRPr="09792DC0">
              <w:rPr>
                <w:b/>
                <w:bCs/>
                <w:color w:val="2E74B5" w:themeColor="accent1" w:themeShade="BF"/>
                <w:sz w:val="20"/>
                <w:szCs w:val="20"/>
              </w:rPr>
              <w:t xml:space="preserve">Allegations </w:t>
            </w:r>
          </w:p>
          <w:p w14:paraId="4FC4DBC2" w14:textId="77777777" w:rsidR="000D42F1" w:rsidRPr="003428B3" w:rsidRDefault="000D42F1" w:rsidP="004D34E4">
            <w:pPr>
              <w:spacing w:after="0" w:line="240" w:lineRule="auto"/>
              <w:jc w:val="right"/>
              <w:rPr>
                <w:b/>
                <w:bCs/>
                <w:color w:val="2E74B5"/>
                <w:sz w:val="20"/>
                <w:szCs w:val="20"/>
              </w:rPr>
            </w:pPr>
            <w:r w:rsidRPr="003428B3">
              <w:rPr>
                <w:b/>
                <w:bCs/>
                <w:color w:val="2E74B5" w:themeColor="accent1" w:themeShade="BF"/>
                <w:sz w:val="20"/>
                <w:szCs w:val="20"/>
              </w:rPr>
              <w:t>(% of total)</w:t>
            </w:r>
          </w:p>
        </w:tc>
        <w:tc>
          <w:tcPr>
            <w:tcW w:w="1984" w:type="dxa"/>
            <w:shd w:val="clear" w:color="auto" w:fill="auto"/>
            <w:hideMark/>
          </w:tcPr>
          <w:p w14:paraId="6DD30539" w14:textId="77777777" w:rsidR="00DD5302" w:rsidRPr="003428B3" w:rsidRDefault="00DD5302" w:rsidP="004D34E4">
            <w:pPr>
              <w:spacing w:after="0" w:line="240" w:lineRule="auto"/>
              <w:jc w:val="right"/>
              <w:rPr>
                <w:b/>
                <w:bCs/>
                <w:color w:val="2E74B5"/>
                <w:sz w:val="20"/>
                <w:szCs w:val="20"/>
              </w:rPr>
            </w:pPr>
            <w:r w:rsidRPr="09792DC0">
              <w:rPr>
                <w:b/>
                <w:bCs/>
                <w:color w:val="2E74B5" w:themeColor="accent1" w:themeShade="BF"/>
                <w:sz w:val="20"/>
                <w:szCs w:val="20"/>
              </w:rPr>
              <w:t>2022-23</w:t>
            </w:r>
          </w:p>
          <w:p w14:paraId="4E2F7086" w14:textId="77777777" w:rsidR="000D42F1" w:rsidRDefault="000D42F1" w:rsidP="004D34E4">
            <w:pPr>
              <w:spacing w:after="0" w:line="240" w:lineRule="auto"/>
              <w:jc w:val="right"/>
              <w:rPr>
                <w:b/>
                <w:bCs/>
                <w:color w:val="2E74B5" w:themeColor="accent1" w:themeShade="BF"/>
                <w:sz w:val="20"/>
                <w:szCs w:val="20"/>
              </w:rPr>
            </w:pPr>
            <w:r w:rsidRPr="003428B3">
              <w:rPr>
                <w:b/>
                <w:bCs/>
                <w:color w:val="2E74B5" w:themeColor="accent1" w:themeShade="BF"/>
                <w:sz w:val="20"/>
                <w:szCs w:val="20"/>
              </w:rPr>
              <w:t>Allegations</w:t>
            </w:r>
          </w:p>
          <w:p w14:paraId="55FA9C37" w14:textId="77777777" w:rsidR="000D42F1" w:rsidRPr="003428B3" w:rsidRDefault="000D42F1" w:rsidP="004D34E4">
            <w:pPr>
              <w:spacing w:after="0" w:line="240" w:lineRule="auto"/>
              <w:jc w:val="right"/>
              <w:rPr>
                <w:b/>
                <w:bCs/>
                <w:color w:val="2E74B5"/>
                <w:sz w:val="20"/>
                <w:szCs w:val="20"/>
              </w:rPr>
            </w:pPr>
            <w:r w:rsidRPr="003428B3">
              <w:rPr>
                <w:b/>
                <w:bCs/>
                <w:color w:val="2E74B5" w:themeColor="accent1" w:themeShade="BF"/>
                <w:sz w:val="20"/>
                <w:szCs w:val="20"/>
              </w:rPr>
              <w:t>(% of total)</w:t>
            </w:r>
          </w:p>
        </w:tc>
      </w:tr>
      <w:tr w:rsidR="000D42F1" w:rsidRPr="00165065" w14:paraId="5397C4DD" w14:textId="77777777">
        <w:trPr>
          <w:trHeight w:val="405"/>
        </w:trPr>
        <w:tc>
          <w:tcPr>
            <w:tcW w:w="5245" w:type="dxa"/>
            <w:shd w:val="clear" w:color="auto" w:fill="auto"/>
            <w:noWrap/>
            <w:vAlign w:val="center"/>
            <w:hideMark/>
          </w:tcPr>
          <w:p w14:paraId="7FDC6DB0" w14:textId="77777777" w:rsidR="000D42F1" w:rsidRPr="003428B3" w:rsidRDefault="000D42F1" w:rsidP="0094050E">
            <w:pPr>
              <w:spacing w:after="0" w:line="240" w:lineRule="auto"/>
              <w:rPr>
                <w:color w:val="000000"/>
                <w:sz w:val="20"/>
                <w:szCs w:val="20"/>
              </w:rPr>
            </w:pPr>
            <w:r w:rsidRPr="003428B3">
              <w:rPr>
                <w:color w:val="000000" w:themeColor="text1"/>
                <w:sz w:val="20"/>
                <w:szCs w:val="20"/>
              </w:rPr>
              <w:t>Related to personal behaviour of public officers</w:t>
            </w:r>
          </w:p>
        </w:tc>
        <w:tc>
          <w:tcPr>
            <w:tcW w:w="1833" w:type="dxa"/>
            <w:shd w:val="clear" w:color="auto" w:fill="auto"/>
            <w:vAlign w:val="center"/>
            <w:hideMark/>
          </w:tcPr>
          <w:p w14:paraId="4668F877" w14:textId="77777777" w:rsidR="000D42F1" w:rsidRPr="003428B3" w:rsidRDefault="000D42F1" w:rsidP="0094050E">
            <w:pPr>
              <w:spacing w:after="0" w:line="240" w:lineRule="auto"/>
              <w:jc w:val="right"/>
              <w:rPr>
                <w:color w:val="000000"/>
                <w:sz w:val="20"/>
                <w:szCs w:val="20"/>
              </w:rPr>
            </w:pPr>
            <w:r>
              <w:rPr>
                <w:color w:val="000000" w:themeColor="text1"/>
                <w:sz w:val="20"/>
                <w:szCs w:val="20"/>
              </w:rPr>
              <w:t>522 (77.2%)</w:t>
            </w:r>
          </w:p>
        </w:tc>
        <w:tc>
          <w:tcPr>
            <w:tcW w:w="1984" w:type="dxa"/>
            <w:shd w:val="clear" w:color="auto" w:fill="auto"/>
            <w:vAlign w:val="center"/>
            <w:hideMark/>
          </w:tcPr>
          <w:p w14:paraId="4410CD10" w14:textId="77777777" w:rsidR="000D42F1" w:rsidRPr="003428B3" w:rsidRDefault="000D42F1" w:rsidP="0094050E">
            <w:pPr>
              <w:spacing w:after="0" w:line="240" w:lineRule="auto"/>
              <w:jc w:val="right"/>
              <w:rPr>
                <w:color w:val="000000"/>
                <w:sz w:val="20"/>
                <w:szCs w:val="20"/>
              </w:rPr>
            </w:pPr>
            <w:r>
              <w:rPr>
                <w:color w:val="000000" w:themeColor="text1"/>
                <w:sz w:val="20"/>
                <w:szCs w:val="20"/>
              </w:rPr>
              <w:t>786 (80.9%)</w:t>
            </w:r>
          </w:p>
        </w:tc>
      </w:tr>
      <w:tr w:rsidR="000D42F1" w:rsidRPr="00165065" w14:paraId="33466F92" w14:textId="77777777">
        <w:trPr>
          <w:trHeight w:val="418"/>
        </w:trPr>
        <w:tc>
          <w:tcPr>
            <w:tcW w:w="5245" w:type="dxa"/>
            <w:shd w:val="clear" w:color="auto" w:fill="auto"/>
            <w:noWrap/>
            <w:vAlign w:val="center"/>
            <w:hideMark/>
          </w:tcPr>
          <w:p w14:paraId="00683B44" w14:textId="77777777" w:rsidR="000D42F1" w:rsidRPr="003428B3" w:rsidRDefault="000D42F1" w:rsidP="0094050E">
            <w:pPr>
              <w:spacing w:after="0" w:line="240" w:lineRule="auto"/>
              <w:rPr>
                <w:color w:val="000000"/>
                <w:sz w:val="20"/>
                <w:szCs w:val="20"/>
              </w:rPr>
            </w:pPr>
            <w:r w:rsidRPr="003428B3">
              <w:rPr>
                <w:color w:val="000000" w:themeColor="text1"/>
                <w:sz w:val="20"/>
                <w:szCs w:val="20"/>
              </w:rPr>
              <w:t>Related to fraudulent or corrupt behaviour</w:t>
            </w:r>
          </w:p>
        </w:tc>
        <w:tc>
          <w:tcPr>
            <w:tcW w:w="1833" w:type="dxa"/>
            <w:shd w:val="clear" w:color="auto" w:fill="auto"/>
            <w:vAlign w:val="center"/>
            <w:hideMark/>
          </w:tcPr>
          <w:p w14:paraId="39B63F2C" w14:textId="77777777" w:rsidR="000D42F1" w:rsidRPr="003428B3" w:rsidRDefault="000D42F1" w:rsidP="0094050E">
            <w:pPr>
              <w:spacing w:after="0" w:line="240" w:lineRule="auto"/>
              <w:jc w:val="right"/>
              <w:rPr>
                <w:color w:val="000000"/>
                <w:sz w:val="20"/>
                <w:szCs w:val="20"/>
              </w:rPr>
            </w:pPr>
            <w:r>
              <w:rPr>
                <w:color w:val="000000" w:themeColor="text1"/>
                <w:sz w:val="20"/>
                <w:szCs w:val="20"/>
              </w:rPr>
              <w:t>79</w:t>
            </w:r>
            <w:r w:rsidRPr="003428B3">
              <w:rPr>
                <w:color w:val="000000" w:themeColor="text1"/>
                <w:sz w:val="20"/>
                <w:szCs w:val="20"/>
              </w:rPr>
              <w:t xml:space="preserve"> (</w:t>
            </w:r>
            <w:r>
              <w:rPr>
                <w:color w:val="000000" w:themeColor="text1"/>
                <w:sz w:val="20"/>
                <w:szCs w:val="20"/>
              </w:rPr>
              <w:t>11.7</w:t>
            </w:r>
            <w:r w:rsidRPr="003428B3">
              <w:rPr>
                <w:color w:val="000000" w:themeColor="text1"/>
                <w:sz w:val="20"/>
                <w:szCs w:val="20"/>
              </w:rPr>
              <w:t>%)</w:t>
            </w:r>
          </w:p>
        </w:tc>
        <w:tc>
          <w:tcPr>
            <w:tcW w:w="1984" w:type="dxa"/>
            <w:shd w:val="clear" w:color="auto" w:fill="auto"/>
            <w:vAlign w:val="center"/>
            <w:hideMark/>
          </w:tcPr>
          <w:p w14:paraId="1FA25FEB" w14:textId="77777777" w:rsidR="000D42F1" w:rsidRPr="003428B3" w:rsidRDefault="000D42F1" w:rsidP="0094050E">
            <w:pPr>
              <w:spacing w:after="0" w:line="240" w:lineRule="auto"/>
              <w:jc w:val="right"/>
              <w:rPr>
                <w:color w:val="000000"/>
                <w:sz w:val="20"/>
                <w:szCs w:val="20"/>
              </w:rPr>
            </w:pPr>
            <w:r>
              <w:rPr>
                <w:color w:val="000000" w:themeColor="text1"/>
                <w:sz w:val="20"/>
                <w:szCs w:val="20"/>
              </w:rPr>
              <w:t>115</w:t>
            </w:r>
            <w:r w:rsidRPr="003428B3">
              <w:rPr>
                <w:color w:val="000000" w:themeColor="text1"/>
                <w:sz w:val="20"/>
                <w:szCs w:val="20"/>
              </w:rPr>
              <w:t xml:space="preserve"> (</w:t>
            </w:r>
            <w:r>
              <w:rPr>
                <w:color w:val="000000" w:themeColor="text1"/>
                <w:sz w:val="20"/>
                <w:szCs w:val="20"/>
              </w:rPr>
              <w:t>11.8</w:t>
            </w:r>
            <w:r w:rsidRPr="003428B3">
              <w:rPr>
                <w:color w:val="000000" w:themeColor="text1"/>
                <w:sz w:val="20"/>
                <w:szCs w:val="20"/>
              </w:rPr>
              <w:t>%)</w:t>
            </w:r>
          </w:p>
        </w:tc>
      </w:tr>
      <w:tr w:rsidR="000D42F1" w:rsidRPr="00165065" w14:paraId="6B19A558" w14:textId="77777777">
        <w:trPr>
          <w:trHeight w:val="418"/>
        </w:trPr>
        <w:tc>
          <w:tcPr>
            <w:tcW w:w="5245" w:type="dxa"/>
            <w:shd w:val="clear" w:color="auto" w:fill="auto"/>
            <w:noWrap/>
            <w:vAlign w:val="center"/>
            <w:hideMark/>
          </w:tcPr>
          <w:p w14:paraId="30330C88" w14:textId="47504810" w:rsidR="000D42F1" w:rsidRPr="003428B3" w:rsidRDefault="000D42F1" w:rsidP="0094050E">
            <w:pPr>
              <w:spacing w:after="0" w:line="240" w:lineRule="auto"/>
              <w:rPr>
                <w:color w:val="000000"/>
                <w:sz w:val="20"/>
                <w:szCs w:val="20"/>
              </w:rPr>
            </w:pPr>
            <w:r w:rsidRPr="003428B3">
              <w:rPr>
                <w:color w:val="000000" w:themeColor="text1"/>
                <w:sz w:val="20"/>
                <w:szCs w:val="20"/>
              </w:rPr>
              <w:t>Related to use of information</w:t>
            </w:r>
            <w:r w:rsidR="00DD5302">
              <w:rPr>
                <w:color w:val="000000" w:themeColor="text1"/>
                <w:sz w:val="20"/>
                <w:szCs w:val="20"/>
              </w:rPr>
              <w:t xml:space="preserve"> or </w:t>
            </w:r>
            <w:r w:rsidRPr="003428B3">
              <w:rPr>
                <w:color w:val="000000" w:themeColor="text1"/>
                <w:sz w:val="20"/>
                <w:szCs w:val="20"/>
              </w:rPr>
              <w:t>recordkeeping</w:t>
            </w:r>
          </w:p>
        </w:tc>
        <w:tc>
          <w:tcPr>
            <w:tcW w:w="1833" w:type="dxa"/>
            <w:shd w:val="clear" w:color="auto" w:fill="auto"/>
            <w:vAlign w:val="center"/>
            <w:hideMark/>
          </w:tcPr>
          <w:p w14:paraId="317484BD" w14:textId="77777777" w:rsidR="000D42F1" w:rsidRPr="003428B3" w:rsidRDefault="000D42F1" w:rsidP="0094050E">
            <w:pPr>
              <w:spacing w:after="0" w:line="240" w:lineRule="auto"/>
              <w:jc w:val="right"/>
              <w:rPr>
                <w:color w:val="000000"/>
                <w:sz w:val="20"/>
                <w:szCs w:val="20"/>
              </w:rPr>
            </w:pPr>
            <w:r>
              <w:rPr>
                <w:color w:val="000000" w:themeColor="text1"/>
                <w:sz w:val="20"/>
                <w:szCs w:val="20"/>
              </w:rPr>
              <w:t>14</w:t>
            </w:r>
            <w:r w:rsidRPr="003428B3">
              <w:rPr>
                <w:color w:val="000000" w:themeColor="text1"/>
                <w:sz w:val="20"/>
                <w:szCs w:val="20"/>
              </w:rPr>
              <w:t xml:space="preserve"> (</w:t>
            </w:r>
            <w:r>
              <w:rPr>
                <w:color w:val="000000" w:themeColor="text1"/>
                <w:sz w:val="20"/>
                <w:szCs w:val="20"/>
              </w:rPr>
              <w:t>2.1</w:t>
            </w:r>
            <w:r w:rsidRPr="003428B3">
              <w:rPr>
                <w:color w:val="000000" w:themeColor="text1"/>
                <w:sz w:val="20"/>
                <w:szCs w:val="20"/>
              </w:rPr>
              <w:t>%)</w:t>
            </w:r>
          </w:p>
        </w:tc>
        <w:tc>
          <w:tcPr>
            <w:tcW w:w="1984" w:type="dxa"/>
            <w:shd w:val="clear" w:color="auto" w:fill="auto"/>
            <w:vAlign w:val="center"/>
            <w:hideMark/>
          </w:tcPr>
          <w:p w14:paraId="5E151D80" w14:textId="77777777" w:rsidR="000D42F1" w:rsidRPr="003428B3" w:rsidRDefault="000D42F1" w:rsidP="0094050E">
            <w:pPr>
              <w:spacing w:after="0" w:line="240" w:lineRule="auto"/>
              <w:jc w:val="right"/>
              <w:rPr>
                <w:color w:val="000000"/>
                <w:sz w:val="20"/>
                <w:szCs w:val="20"/>
              </w:rPr>
            </w:pPr>
            <w:r>
              <w:rPr>
                <w:color w:val="000000" w:themeColor="text1"/>
                <w:sz w:val="20"/>
                <w:szCs w:val="20"/>
              </w:rPr>
              <w:t>16</w:t>
            </w:r>
            <w:r w:rsidRPr="003428B3">
              <w:rPr>
                <w:color w:val="000000" w:themeColor="text1"/>
                <w:sz w:val="20"/>
                <w:szCs w:val="20"/>
              </w:rPr>
              <w:t xml:space="preserve"> (</w:t>
            </w:r>
            <w:r>
              <w:rPr>
                <w:color w:val="000000" w:themeColor="text1"/>
                <w:sz w:val="20"/>
                <w:szCs w:val="20"/>
              </w:rPr>
              <w:t>1.6</w:t>
            </w:r>
            <w:r w:rsidRPr="003428B3">
              <w:rPr>
                <w:color w:val="000000" w:themeColor="text1"/>
                <w:sz w:val="20"/>
                <w:szCs w:val="20"/>
              </w:rPr>
              <w:t>%)</w:t>
            </w:r>
          </w:p>
        </w:tc>
      </w:tr>
      <w:tr w:rsidR="000D42F1" w:rsidRPr="00165065" w14:paraId="30150124" w14:textId="77777777">
        <w:trPr>
          <w:trHeight w:val="418"/>
        </w:trPr>
        <w:tc>
          <w:tcPr>
            <w:tcW w:w="5245" w:type="dxa"/>
            <w:shd w:val="clear" w:color="auto" w:fill="auto"/>
            <w:noWrap/>
            <w:vAlign w:val="center"/>
            <w:hideMark/>
          </w:tcPr>
          <w:p w14:paraId="51E905BF" w14:textId="77777777" w:rsidR="000D42F1" w:rsidRPr="003428B3" w:rsidRDefault="000D42F1" w:rsidP="0094050E">
            <w:pPr>
              <w:spacing w:after="0" w:line="240" w:lineRule="auto"/>
              <w:rPr>
                <w:color w:val="000000"/>
                <w:sz w:val="20"/>
                <w:szCs w:val="20"/>
              </w:rPr>
            </w:pPr>
            <w:r w:rsidRPr="003428B3">
              <w:rPr>
                <w:color w:val="000000" w:themeColor="text1"/>
                <w:sz w:val="20"/>
                <w:szCs w:val="20"/>
              </w:rPr>
              <w:t>Related to conflict of interest</w:t>
            </w:r>
          </w:p>
        </w:tc>
        <w:tc>
          <w:tcPr>
            <w:tcW w:w="1833" w:type="dxa"/>
            <w:shd w:val="clear" w:color="auto" w:fill="auto"/>
            <w:vAlign w:val="center"/>
            <w:hideMark/>
          </w:tcPr>
          <w:p w14:paraId="738E5610" w14:textId="77777777" w:rsidR="000D42F1" w:rsidRPr="003428B3" w:rsidRDefault="000D42F1" w:rsidP="0094050E">
            <w:pPr>
              <w:spacing w:after="0" w:line="240" w:lineRule="auto"/>
              <w:jc w:val="right"/>
              <w:rPr>
                <w:color w:val="000000"/>
                <w:sz w:val="20"/>
                <w:szCs w:val="20"/>
              </w:rPr>
            </w:pPr>
            <w:r>
              <w:rPr>
                <w:color w:val="000000" w:themeColor="text1"/>
                <w:sz w:val="20"/>
                <w:szCs w:val="20"/>
              </w:rPr>
              <w:t>28</w:t>
            </w:r>
            <w:r w:rsidRPr="003428B3">
              <w:rPr>
                <w:color w:val="000000" w:themeColor="text1"/>
                <w:sz w:val="20"/>
                <w:szCs w:val="20"/>
              </w:rPr>
              <w:t xml:space="preserve"> (</w:t>
            </w:r>
            <w:r>
              <w:rPr>
                <w:color w:val="000000" w:themeColor="text1"/>
                <w:sz w:val="20"/>
                <w:szCs w:val="20"/>
              </w:rPr>
              <w:t>4.1</w:t>
            </w:r>
            <w:r w:rsidRPr="003428B3">
              <w:rPr>
                <w:color w:val="000000" w:themeColor="text1"/>
                <w:sz w:val="20"/>
                <w:szCs w:val="20"/>
              </w:rPr>
              <w:t>%)</w:t>
            </w:r>
          </w:p>
        </w:tc>
        <w:tc>
          <w:tcPr>
            <w:tcW w:w="1984" w:type="dxa"/>
            <w:shd w:val="clear" w:color="auto" w:fill="auto"/>
            <w:vAlign w:val="center"/>
            <w:hideMark/>
          </w:tcPr>
          <w:p w14:paraId="3688904F" w14:textId="77777777" w:rsidR="000D42F1" w:rsidRPr="003428B3" w:rsidRDefault="000D42F1" w:rsidP="0094050E">
            <w:pPr>
              <w:spacing w:after="0" w:line="240" w:lineRule="auto"/>
              <w:jc w:val="right"/>
              <w:rPr>
                <w:color w:val="000000"/>
                <w:sz w:val="20"/>
                <w:szCs w:val="20"/>
              </w:rPr>
            </w:pPr>
            <w:r>
              <w:rPr>
                <w:color w:val="000000" w:themeColor="text1"/>
                <w:sz w:val="20"/>
                <w:szCs w:val="20"/>
              </w:rPr>
              <w:t>31</w:t>
            </w:r>
            <w:r w:rsidRPr="003428B3">
              <w:rPr>
                <w:color w:val="000000" w:themeColor="text1"/>
                <w:sz w:val="20"/>
                <w:szCs w:val="20"/>
              </w:rPr>
              <w:t xml:space="preserve"> (</w:t>
            </w:r>
            <w:r>
              <w:rPr>
                <w:color w:val="000000" w:themeColor="text1"/>
                <w:sz w:val="20"/>
                <w:szCs w:val="20"/>
              </w:rPr>
              <w:t>3.2</w:t>
            </w:r>
            <w:r w:rsidRPr="003428B3">
              <w:rPr>
                <w:color w:val="000000" w:themeColor="text1"/>
                <w:sz w:val="20"/>
                <w:szCs w:val="20"/>
              </w:rPr>
              <w:t>%)</w:t>
            </w:r>
          </w:p>
        </w:tc>
      </w:tr>
      <w:tr w:rsidR="000D42F1" w:rsidRPr="00165065" w14:paraId="4FF80050" w14:textId="77777777">
        <w:trPr>
          <w:trHeight w:val="418"/>
        </w:trPr>
        <w:tc>
          <w:tcPr>
            <w:tcW w:w="5245" w:type="dxa"/>
            <w:shd w:val="clear" w:color="auto" w:fill="auto"/>
            <w:noWrap/>
            <w:vAlign w:val="center"/>
            <w:hideMark/>
          </w:tcPr>
          <w:p w14:paraId="30D97EC5" w14:textId="77777777" w:rsidR="000D42F1" w:rsidRPr="003428B3" w:rsidRDefault="000D42F1" w:rsidP="0094050E">
            <w:pPr>
              <w:spacing w:after="0" w:line="240" w:lineRule="auto"/>
              <w:rPr>
                <w:color w:val="000000"/>
                <w:sz w:val="20"/>
                <w:szCs w:val="20"/>
              </w:rPr>
            </w:pPr>
            <w:r w:rsidRPr="003428B3">
              <w:rPr>
                <w:color w:val="000000" w:themeColor="text1"/>
                <w:sz w:val="20"/>
                <w:szCs w:val="20"/>
              </w:rPr>
              <w:t>Related to use of public resources</w:t>
            </w:r>
          </w:p>
        </w:tc>
        <w:tc>
          <w:tcPr>
            <w:tcW w:w="1833" w:type="dxa"/>
            <w:shd w:val="clear" w:color="auto" w:fill="auto"/>
            <w:vAlign w:val="center"/>
            <w:hideMark/>
          </w:tcPr>
          <w:p w14:paraId="22E12A5A" w14:textId="77777777" w:rsidR="000D42F1" w:rsidRPr="003428B3" w:rsidRDefault="000D42F1" w:rsidP="0094050E">
            <w:pPr>
              <w:spacing w:after="0" w:line="240" w:lineRule="auto"/>
              <w:jc w:val="right"/>
              <w:rPr>
                <w:color w:val="000000"/>
                <w:sz w:val="20"/>
                <w:szCs w:val="20"/>
              </w:rPr>
            </w:pPr>
            <w:r>
              <w:rPr>
                <w:color w:val="000000" w:themeColor="text1"/>
                <w:sz w:val="20"/>
                <w:szCs w:val="20"/>
              </w:rPr>
              <w:t>15</w:t>
            </w:r>
            <w:r w:rsidRPr="003428B3">
              <w:rPr>
                <w:color w:val="000000" w:themeColor="text1"/>
                <w:sz w:val="20"/>
                <w:szCs w:val="20"/>
              </w:rPr>
              <w:t xml:space="preserve"> (</w:t>
            </w:r>
            <w:r>
              <w:rPr>
                <w:color w:val="000000" w:themeColor="text1"/>
                <w:sz w:val="20"/>
                <w:szCs w:val="20"/>
              </w:rPr>
              <w:t>2.2</w:t>
            </w:r>
            <w:r w:rsidRPr="003428B3">
              <w:rPr>
                <w:color w:val="000000" w:themeColor="text1"/>
                <w:sz w:val="20"/>
                <w:szCs w:val="20"/>
              </w:rPr>
              <w:t>%)</w:t>
            </w:r>
          </w:p>
        </w:tc>
        <w:tc>
          <w:tcPr>
            <w:tcW w:w="1984" w:type="dxa"/>
            <w:shd w:val="clear" w:color="auto" w:fill="auto"/>
            <w:vAlign w:val="center"/>
            <w:hideMark/>
          </w:tcPr>
          <w:p w14:paraId="33228FEB" w14:textId="77777777" w:rsidR="000D42F1" w:rsidRPr="003428B3" w:rsidRDefault="000D42F1" w:rsidP="0094050E">
            <w:pPr>
              <w:spacing w:after="0" w:line="240" w:lineRule="auto"/>
              <w:jc w:val="right"/>
              <w:rPr>
                <w:color w:val="000000"/>
                <w:sz w:val="20"/>
                <w:szCs w:val="20"/>
              </w:rPr>
            </w:pPr>
            <w:r>
              <w:rPr>
                <w:color w:val="000000" w:themeColor="text1"/>
                <w:sz w:val="20"/>
                <w:szCs w:val="20"/>
              </w:rPr>
              <w:t>20</w:t>
            </w:r>
            <w:r w:rsidRPr="003428B3">
              <w:rPr>
                <w:color w:val="000000" w:themeColor="text1"/>
                <w:sz w:val="20"/>
                <w:szCs w:val="20"/>
              </w:rPr>
              <w:t xml:space="preserve"> (</w:t>
            </w:r>
            <w:r>
              <w:rPr>
                <w:color w:val="000000" w:themeColor="text1"/>
                <w:sz w:val="20"/>
                <w:szCs w:val="20"/>
              </w:rPr>
              <w:t>2.1</w:t>
            </w:r>
            <w:r w:rsidRPr="003428B3">
              <w:rPr>
                <w:color w:val="000000" w:themeColor="text1"/>
                <w:sz w:val="20"/>
                <w:szCs w:val="20"/>
              </w:rPr>
              <w:t>%)</w:t>
            </w:r>
          </w:p>
        </w:tc>
      </w:tr>
      <w:tr w:rsidR="000D42F1" w:rsidRPr="00165065" w14:paraId="0C989978" w14:textId="77777777">
        <w:trPr>
          <w:trHeight w:val="418"/>
        </w:trPr>
        <w:tc>
          <w:tcPr>
            <w:tcW w:w="5245" w:type="dxa"/>
            <w:shd w:val="clear" w:color="auto" w:fill="auto"/>
            <w:noWrap/>
            <w:vAlign w:val="center"/>
            <w:hideMark/>
          </w:tcPr>
          <w:p w14:paraId="7830E403" w14:textId="77777777" w:rsidR="000D42F1" w:rsidRPr="003428B3" w:rsidRDefault="000D42F1" w:rsidP="0094050E">
            <w:pPr>
              <w:spacing w:after="0" w:line="240" w:lineRule="auto"/>
              <w:rPr>
                <w:color w:val="000000"/>
                <w:sz w:val="20"/>
                <w:szCs w:val="20"/>
              </w:rPr>
            </w:pPr>
            <w:r w:rsidRPr="003428B3">
              <w:rPr>
                <w:color w:val="000000" w:themeColor="text1"/>
                <w:sz w:val="20"/>
                <w:szCs w:val="20"/>
              </w:rPr>
              <w:t>Related to inappropriate provision of gifts or hospitality</w:t>
            </w:r>
          </w:p>
        </w:tc>
        <w:tc>
          <w:tcPr>
            <w:tcW w:w="1833" w:type="dxa"/>
            <w:shd w:val="clear" w:color="auto" w:fill="auto"/>
            <w:vAlign w:val="center"/>
            <w:hideMark/>
          </w:tcPr>
          <w:p w14:paraId="06A836F6" w14:textId="77777777" w:rsidR="000D42F1" w:rsidRPr="003428B3" w:rsidRDefault="000D42F1" w:rsidP="0094050E">
            <w:pPr>
              <w:spacing w:after="0" w:line="240" w:lineRule="auto"/>
              <w:jc w:val="right"/>
              <w:rPr>
                <w:color w:val="000000"/>
                <w:sz w:val="20"/>
                <w:szCs w:val="20"/>
              </w:rPr>
            </w:pPr>
            <w:r w:rsidRPr="003428B3">
              <w:rPr>
                <w:color w:val="000000" w:themeColor="text1"/>
                <w:sz w:val="20"/>
                <w:szCs w:val="20"/>
              </w:rPr>
              <w:t>1 (0.1%)</w:t>
            </w:r>
          </w:p>
        </w:tc>
        <w:tc>
          <w:tcPr>
            <w:tcW w:w="1984" w:type="dxa"/>
            <w:shd w:val="clear" w:color="auto" w:fill="auto"/>
            <w:vAlign w:val="center"/>
            <w:hideMark/>
          </w:tcPr>
          <w:p w14:paraId="7E51362F" w14:textId="77777777" w:rsidR="000D42F1" w:rsidRPr="003428B3" w:rsidRDefault="000D42F1" w:rsidP="0094050E">
            <w:pPr>
              <w:spacing w:after="0" w:line="240" w:lineRule="auto"/>
              <w:jc w:val="right"/>
              <w:rPr>
                <w:color w:val="000000"/>
                <w:sz w:val="20"/>
                <w:szCs w:val="20"/>
              </w:rPr>
            </w:pPr>
            <w:r>
              <w:rPr>
                <w:color w:val="000000" w:themeColor="text1"/>
                <w:sz w:val="20"/>
                <w:szCs w:val="20"/>
              </w:rPr>
              <w:t>0</w:t>
            </w:r>
            <w:r w:rsidRPr="003428B3">
              <w:rPr>
                <w:color w:val="000000" w:themeColor="text1"/>
                <w:sz w:val="20"/>
                <w:szCs w:val="20"/>
              </w:rPr>
              <w:t xml:space="preserve"> (</w:t>
            </w:r>
            <w:r>
              <w:rPr>
                <w:color w:val="000000" w:themeColor="text1"/>
                <w:sz w:val="20"/>
                <w:szCs w:val="20"/>
              </w:rPr>
              <w:t>0.0</w:t>
            </w:r>
            <w:r w:rsidRPr="003428B3">
              <w:rPr>
                <w:color w:val="000000" w:themeColor="text1"/>
                <w:sz w:val="20"/>
                <w:szCs w:val="20"/>
              </w:rPr>
              <w:t>%)</w:t>
            </w:r>
          </w:p>
        </w:tc>
      </w:tr>
      <w:tr w:rsidR="000D42F1" w:rsidRPr="00165065" w14:paraId="52E08FCE" w14:textId="77777777">
        <w:trPr>
          <w:trHeight w:val="418"/>
        </w:trPr>
        <w:tc>
          <w:tcPr>
            <w:tcW w:w="5245" w:type="dxa"/>
            <w:shd w:val="clear" w:color="auto" w:fill="auto"/>
            <w:noWrap/>
            <w:vAlign w:val="center"/>
            <w:hideMark/>
          </w:tcPr>
          <w:p w14:paraId="554455C0" w14:textId="77777777" w:rsidR="000D42F1" w:rsidRPr="003428B3" w:rsidRDefault="000D42F1" w:rsidP="0094050E">
            <w:pPr>
              <w:spacing w:after="0" w:line="240" w:lineRule="auto"/>
              <w:rPr>
                <w:color w:val="000000"/>
                <w:sz w:val="20"/>
                <w:szCs w:val="20"/>
              </w:rPr>
            </w:pPr>
            <w:r w:rsidRPr="003428B3">
              <w:rPr>
                <w:color w:val="000000" w:themeColor="text1"/>
                <w:sz w:val="20"/>
                <w:szCs w:val="20"/>
              </w:rPr>
              <w:t>Pending assessment at 30 June</w:t>
            </w:r>
          </w:p>
        </w:tc>
        <w:tc>
          <w:tcPr>
            <w:tcW w:w="1833" w:type="dxa"/>
            <w:shd w:val="clear" w:color="auto" w:fill="auto"/>
            <w:vAlign w:val="center"/>
            <w:hideMark/>
          </w:tcPr>
          <w:p w14:paraId="399A99B1" w14:textId="77777777" w:rsidR="000D42F1" w:rsidRPr="003428B3" w:rsidRDefault="000D42F1" w:rsidP="0094050E">
            <w:pPr>
              <w:spacing w:after="0" w:line="240" w:lineRule="auto"/>
              <w:jc w:val="right"/>
              <w:rPr>
                <w:color w:val="000000"/>
                <w:sz w:val="20"/>
                <w:szCs w:val="20"/>
              </w:rPr>
            </w:pPr>
            <w:r>
              <w:rPr>
                <w:color w:val="000000" w:themeColor="text1"/>
                <w:sz w:val="20"/>
                <w:szCs w:val="20"/>
              </w:rPr>
              <w:t>5</w:t>
            </w:r>
            <w:r w:rsidRPr="003428B3">
              <w:rPr>
                <w:color w:val="000000" w:themeColor="text1"/>
                <w:sz w:val="20"/>
                <w:szCs w:val="20"/>
              </w:rPr>
              <w:t xml:space="preserve"> (</w:t>
            </w:r>
            <w:r>
              <w:rPr>
                <w:color w:val="000000" w:themeColor="text1"/>
                <w:sz w:val="20"/>
                <w:szCs w:val="20"/>
              </w:rPr>
              <w:t>0.7</w:t>
            </w:r>
            <w:r w:rsidRPr="003428B3">
              <w:rPr>
                <w:color w:val="000000" w:themeColor="text1"/>
                <w:sz w:val="20"/>
                <w:szCs w:val="20"/>
              </w:rPr>
              <w:t>%)</w:t>
            </w:r>
          </w:p>
        </w:tc>
        <w:tc>
          <w:tcPr>
            <w:tcW w:w="1984" w:type="dxa"/>
            <w:shd w:val="clear" w:color="auto" w:fill="auto"/>
            <w:vAlign w:val="center"/>
            <w:hideMark/>
          </w:tcPr>
          <w:p w14:paraId="7B06E733" w14:textId="77777777" w:rsidR="000D42F1" w:rsidRPr="003428B3" w:rsidRDefault="000D42F1" w:rsidP="0094050E">
            <w:pPr>
              <w:spacing w:after="0" w:line="240" w:lineRule="auto"/>
              <w:jc w:val="right"/>
              <w:rPr>
                <w:color w:val="000000"/>
                <w:sz w:val="20"/>
                <w:szCs w:val="20"/>
              </w:rPr>
            </w:pPr>
            <w:r>
              <w:rPr>
                <w:color w:val="000000" w:themeColor="text1"/>
                <w:sz w:val="20"/>
                <w:szCs w:val="20"/>
              </w:rPr>
              <w:t>0</w:t>
            </w:r>
            <w:r w:rsidRPr="003428B3">
              <w:rPr>
                <w:color w:val="000000" w:themeColor="text1"/>
                <w:sz w:val="20"/>
                <w:szCs w:val="20"/>
              </w:rPr>
              <w:t xml:space="preserve"> (</w:t>
            </w:r>
            <w:r>
              <w:rPr>
                <w:color w:val="000000" w:themeColor="text1"/>
                <w:sz w:val="20"/>
                <w:szCs w:val="20"/>
              </w:rPr>
              <w:t>0.0</w:t>
            </w:r>
            <w:r w:rsidRPr="003428B3">
              <w:rPr>
                <w:color w:val="000000" w:themeColor="text1"/>
                <w:sz w:val="20"/>
                <w:szCs w:val="20"/>
              </w:rPr>
              <w:t>%)</w:t>
            </w:r>
          </w:p>
        </w:tc>
      </w:tr>
      <w:tr w:rsidR="000D42F1" w:rsidRPr="00165065" w14:paraId="754E9C07" w14:textId="77777777">
        <w:trPr>
          <w:trHeight w:val="418"/>
        </w:trPr>
        <w:tc>
          <w:tcPr>
            <w:tcW w:w="5245" w:type="dxa"/>
            <w:shd w:val="clear" w:color="auto" w:fill="auto"/>
            <w:noWrap/>
            <w:vAlign w:val="center"/>
            <w:hideMark/>
          </w:tcPr>
          <w:p w14:paraId="0BF9AA7B" w14:textId="77777777" w:rsidR="000D42F1" w:rsidRPr="003428B3" w:rsidRDefault="000D42F1" w:rsidP="0094050E">
            <w:pPr>
              <w:spacing w:after="0" w:line="240" w:lineRule="auto"/>
              <w:rPr>
                <w:color w:val="000000"/>
                <w:sz w:val="20"/>
                <w:szCs w:val="20"/>
              </w:rPr>
            </w:pPr>
            <w:r>
              <w:rPr>
                <w:color w:val="000000" w:themeColor="text1"/>
                <w:sz w:val="20"/>
                <w:szCs w:val="20"/>
              </w:rPr>
              <w:t>Does not relate to the conduct of a public officer</w:t>
            </w:r>
          </w:p>
        </w:tc>
        <w:tc>
          <w:tcPr>
            <w:tcW w:w="1833" w:type="dxa"/>
            <w:shd w:val="clear" w:color="auto" w:fill="auto"/>
            <w:vAlign w:val="center"/>
            <w:hideMark/>
          </w:tcPr>
          <w:p w14:paraId="040DDF98" w14:textId="77777777" w:rsidR="000D42F1" w:rsidRPr="003428B3" w:rsidRDefault="000D42F1">
            <w:pPr>
              <w:spacing w:after="0" w:line="240" w:lineRule="auto"/>
              <w:jc w:val="right"/>
              <w:rPr>
                <w:color w:val="000000" w:themeColor="text1"/>
                <w:sz w:val="20"/>
                <w:szCs w:val="20"/>
              </w:rPr>
            </w:pPr>
            <w:r w:rsidRPr="0D291BE7">
              <w:rPr>
                <w:color w:val="000000" w:themeColor="text1"/>
                <w:sz w:val="20"/>
                <w:szCs w:val="20"/>
              </w:rPr>
              <w:t xml:space="preserve">12 (1.8%) </w:t>
            </w:r>
          </w:p>
          <w:p w14:paraId="23477275" w14:textId="77777777" w:rsidR="000D42F1" w:rsidRPr="003428B3" w:rsidRDefault="000D42F1" w:rsidP="0094050E">
            <w:pPr>
              <w:spacing w:after="0" w:line="240" w:lineRule="auto"/>
              <w:jc w:val="right"/>
              <w:rPr>
                <w:color w:val="000000"/>
                <w:sz w:val="20"/>
                <w:szCs w:val="20"/>
              </w:rPr>
            </w:pPr>
          </w:p>
        </w:tc>
        <w:tc>
          <w:tcPr>
            <w:tcW w:w="1984" w:type="dxa"/>
            <w:shd w:val="clear" w:color="auto" w:fill="auto"/>
            <w:vAlign w:val="center"/>
            <w:hideMark/>
          </w:tcPr>
          <w:p w14:paraId="06FEBABD" w14:textId="77777777" w:rsidR="000D42F1" w:rsidRPr="003428B3" w:rsidRDefault="000D42F1" w:rsidP="0094050E">
            <w:pPr>
              <w:spacing w:after="0" w:line="240" w:lineRule="auto"/>
              <w:jc w:val="right"/>
              <w:rPr>
                <w:color w:val="000000"/>
                <w:sz w:val="20"/>
                <w:szCs w:val="20"/>
              </w:rPr>
            </w:pPr>
            <w:r>
              <w:rPr>
                <w:color w:val="000000" w:themeColor="text1"/>
                <w:sz w:val="20"/>
                <w:szCs w:val="20"/>
              </w:rPr>
              <w:t>4</w:t>
            </w:r>
            <w:r w:rsidRPr="4D2AAFFB">
              <w:rPr>
                <w:color w:val="000000" w:themeColor="text1"/>
                <w:sz w:val="20"/>
                <w:szCs w:val="20"/>
              </w:rPr>
              <w:t xml:space="preserve"> (0</w:t>
            </w:r>
            <w:r>
              <w:rPr>
                <w:color w:val="000000" w:themeColor="text1"/>
                <w:sz w:val="20"/>
                <w:szCs w:val="20"/>
              </w:rPr>
              <w:t>.4</w:t>
            </w:r>
            <w:r w:rsidRPr="4D2AAFFB">
              <w:rPr>
                <w:color w:val="000000" w:themeColor="text1"/>
                <w:sz w:val="20"/>
                <w:szCs w:val="20"/>
              </w:rPr>
              <w:t>%)</w:t>
            </w:r>
          </w:p>
        </w:tc>
      </w:tr>
      <w:tr w:rsidR="000D42F1" w:rsidRPr="00643DD8" w14:paraId="17CD2B3E" w14:textId="77777777">
        <w:trPr>
          <w:trHeight w:val="418"/>
        </w:trPr>
        <w:tc>
          <w:tcPr>
            <w:tcW w:w="5245" w:type="dxa"/>
            <w:shd w:val="clear" w:color="auto" w:fill="auto"/>
            <w:noWrap/>
            <w:vAlign w:val="center"/>
            <w:hideMark/>
          </w:tcPr>
          <w:p w14:paraId="63C4C1A9" w14:textId="77777777" w:rsidR="000D42F1" w:rsidRPr="003428B3" w:rsidRDefault="000D42F1" w:rsidP="0094050E">
            <w:pPr>
              <w:spacing w:after="0" w:line="240" w:lineRule="auto"/>
              <w:rPr>
                <w:b/>
                <w:bCs/>
                <w:color w:val="000000"/>
                <w:sz w:val="20"/>
                <w:szCs w:val="20"/>
              </w:rPr>
            </w:pPr>
            <w:r w:rsidRPr="003428B3">
              <w:rPr>
                <w:b/>
                <w:bCs/>
                <w:color w:val="000000" w:themeColor="text1"/>
                <w:sz w:val="20"/>
                <w:szCs w:val="20"/>
              </w:rPr>
              <w:t>Total</w:t>
            </w:r>
          </w:p>
        </w:tc>
        <w:tc>
          <w:tcPr>
            <w:tcW w:w="1833" w:type="dxa"/>
            <w:shd w:val="clear" w:color="auto" w:fill="auto"/>
            <w:vAlign w:val="center"/>
            <w:hideMark/>
          </w:tcPr>
          <w:p w14:paraId="0E4659D2" w14:textId="77777777" w:rsidR="000D42F1" w:rsidRPr="003428B3" w:rsidRDefault="000D42F1">
            <w:pPr>
              <w:spacing w:after="0" w:line="240" w:lineRule="auto"/>
              <w:jc w:val="right"/>
              <w:rPr>
                <w:b/>
                <w:bCs/>
                <w:color w:val="000000" w:themeColor="text1"/>
                <w:sz w:val="20"/>
                <w:szCs w:val="20"/>
              </w:rPr>
            </w:pPr>
            <w:r w:rsidRPr="7187B819">
              <w:rPr>
                <w:b/>
                <w:bCs/>
                <w:color w:val="000000" w:themeColor="text1"/>
                <w:sz w:val="20"/>
                <w:szCs w:val="20"/>
              </w:rPr>
              <w:t>676 (100%)</w:t>
            </w:r>
          </w:p>
        </w:tc>
        <w:tc>
          <w:tcPr>
            <w:tcW w:w="1984" w:type="dxa"/>
            <w:shd w:val="clear" w:color="auto" w:fill="auto"/>
            <w:vAlign w:val="center"/>
            <w:hideMark/>
          </w:tcPr>
          <w:p w14:paraId="3BF09692" w14:textId="77777777" w:rsidR="000D42F1" w:rsidRPr="00643DD8" w:rsidRDefault="000D42F1">
            <w:pPr>
              <w:spacing w:after="0" w:line="240" w:lineRule="auto"/>
              <w:jc w:val="right"/>
              <w:rPr>
                <w:b/>
                <w:bCs/>
                <w:color w:val="000000" w:themeColor="text1"/>
                <w:sz w:val="20"/>
                <w:szCs w:val="20"/>
              </w:rPr>
            </w:pPr>
            <w:r w:rsidRPr="7187B819">
              <w:rPr>
                <w:b/>
                <w:bCs/>
                <w:color w:val="000000" w:themeColor="text1"/>
                <w:sz w:val="20"/>
                <w:szCs w:val="20"/>
              </w:rPr>
              <w:t>972 (100%)</w:t>
            </w:r>
          </w:p>
        </w:tc>
      </w:tr>
    </w:tbl>
    <w:p w14:paraId="3500B8F3" w14:textId="778AC2FC" w:rsidR="000D42F1" w:rsidRDefault="000D42F1">
      <w:pPr>
        <w:spacing w:before="240"/>
      </w:pPr>
      <w:r>
        <w:t>Generally</w:t>
      </w:r>
      <w:r w:rsidRPr="003428B3">
        <w:t xml:space="preserve">, the Public Sector Commission refers matters to </w:t>
      </w:r>
      <w:r>
        <w:t>the authority employing the public officer implicated in the allegations</w:t>
      </w:r>
      <w:r w:rsidRPr="003428B3">
        <w:t xml:space="preserve">. The number and </w:t>
      </w:r>
      <w:r w:rsidR="001B6ECB">
        <w:t>percentage</w:t>
      </w:r>
      <w:r w:rsidRPr="003428B3">
        <w:t xml:space="preserve"> of matters referred to the Corruption and Crime Commission </w:t>
      </w:r>
      <w:r>
        <w:t>remained relatively consistent</w:t>
      </w:r>
      <w:r w:rsidRPr="003428B3">
        <w:t xml:space="preserve"> this year (</w:t>
      </w:r>
      <w:r w:rsidRPr="00371CE9">
        <w:fldChar w:fldCharType="begin"/>
      </w:r>
      <w:r w:rsidRPr="00371CE9">
        <w:instrText xml:space="preserve"> REF _Ref84256920 </w:instrText>
      </w:r>
      <w:r>
        <w:instrText xml:space="preserve"> \* MERGEFORMAT </w:instrText>
      </w:r>
      <w:r w:rsidRPr="00371CE9">
        <w:fldChar w:fldCharType="separate"/>
      </w:r>
      <w:r w:rsidR="0048418F" w:rsidRPr="0048418F">
        <w:t>Table 23</w:t>
      </w:r>
      <w:r w:rsidRPr="00371CE9">
        <w:fldChar w:fldCharType="end"/>
      </w:r>
      <w:r w:rsidRPr="003428B3">
        <w:t xml:space="preserve">). The Public Sector Commission regularly liaises with the Corruption and Crime Commission to ensure </w:t>
      </w:r>
      <w:r w:rsidRPr="000B1664">
        <w:t>misconduct matters are managed efficiently and effectively.</w:t>
      </w:r>
      <w:r>
        <w:t xml:space="preserve"> </w:t>
      </w:r>
    </w:p>
    <w:p w14:paraId="1056599D" w14:textId="77777777" w:rsidR="00902AEC" w:rsidRDefault="00902AEC" w:rsidP="003F1298">
      <w:r>
        <w:br w:type="page"/>
      </w:r>
    </w:p>
    <w:p w14:paraId="77C40A6E" w14:textId="3BCBB11C" w:rsidR="000D42F1" w:rsidRPr="000B1664" w:rsidRDefault="000D42F1" w:rsidP="003F1298">
      <w:r>
        <w:lastRenderedPageBreak/>
        <w:t xml:space="preserve">As part of the Public Sector Commission’s role to ensure minor misconduct matters are dealt with appropriately, it reviews how authorities deal with matters. </w:t>
      </w:r>
      <w:r w:rsidRPr="00C815BA">
        <w:t xml:space="preserve">There was a slight </w:t>
      </w:r>
      <w:r>
        <w:t>decrease</w:t>
      </w:r>
      <w:r w:rsidRPr="00C815BA">
        <w:t xml:space="preserve"> in the number of matters reviewed this year compared to 2021-22</w:t>
      </w:r>
      <w:r>
        <w:t>. But</w:t>
      </w:r>
      <w:r w:rsidRPr="00C815BA">
        <w:t xml:space="preserve"> the number of matters where </w:t>
      </w:r>
      <w:r>
        <w:t>the Public Sector Commission</w:t>
      </w:r>
      <w:r w:rsidRPr="00C815BA">
        <w:t xml:space="preserve"> requested advi</w:t>
      </w:r>
      <w:r>
        <w:t>c</w:t>
      </w:r>
      <w:r w:rsidRPr="00C815BA">
        <w:t>e of outcome</w:t>
      </w:r>
      <w:r>
        <w:t>s</w:t>
      </w:r>
      <w:r w:rsidRPr="00C815BA">
        <w:t xml:space="preserve"> only more than doubled.</w:t>
      </w:r>
      <w:r>
        <w:t xml:space="preserve"> Where</w:t>
      </w:r>
      <w:r w:rsidRPr="00C815BA">
        <w:t xml:space="preserve"> </w:t>
      </w:r>
      <w:r>
        <w:t xml:space="preserve">the Public Sector Commission is confident in authorities’ </w:t>
      </w:r>
      <w:r w:rsidRPr="00C815BA">
        <w:t xml:space="preserve">handling of matters, or where conduct is less serious, </w:t>
      </w:r>
      <w:r>
        <w:t xml:space="preserve">it </w:t>
      </w:r>
      <w:r w:rsidRPr="00C815BA">
        <w:t>request</w:t>
      </w:r>
      <w:r>
        <w:t>s</w:t>
      </w:r>
      <w:r w:rsidRPr="00C815BA">
        <w:t xml:space="preserve"> advice of outcome</w:t>
      </w:r>
      <w:r>
        <w:t>s</w:t>
      </w:r>
      <w:r w:rsidRPr="00C815BA">
        <w:t xml:space="preserve"> </w:t>
      </w:r>
      <w:r>
        <w:t>rather than</w:t>
      </w:r>
      <w:r w:rsidRPr="00C815BA">
        <w:t xml:space="preserve"> comprehensive report</w:t>
      </w:r>
      <w:r>
        <w:t>s</w:t>
      </w:r>
      <w:r w:rsidRPr="00C815BA">
        <w:t>.</w:t>
      </w:r>
    </w:p>
    <w:p w14:paraId="36D11B18" w14:textId="578CC307" w:rsidR="000D42F1" w:rsidRPr="00383001" w:rsidRDefault="000D42F1" w:rsidP="008D6023">
      <w:pPr>
        <w:pStyle w:val="Caption"/>
        <w:rPr>
          <w:b/>
          <w:bCs/>
        </w:rPr>
      </w:pPr>
      <w:bookmarkStart w:id="114" w:name="_Ref84256920"/>
      <w:r w:rsidRPr="00383001">
        <w:rPr>
          <w:b/>
          <w:bCs/>
        </w:rPr>
        <w:t xml:space="preserve">Table </w:t>
      </w:r>
      <w:r w:rsidRPr="00383001">
        <w:rPr>
          <w:b/>
          <w:bCs/>
        </w:rPr>
        <w:fldChar w:fldCharType="begin"/>
      </w:r>
      <w:r w:rsidRPr="00383001">
        <w:rPr>
          <w:b/>
          <w:bCs/>
        </w:rPr>
        <w:instrText>SEQ Table \* ARABIC</w:instrText>
      </w:r>
      <w:r w:rsidRPr="00383001">
        <w:rPr>
          <w:b/>
          <w:bCs/>
        </w:rPr>
        <w:fldChar w:fldCharType="separate"/>
      </w:r>
      <w:r w:rsidR="0048418F">
        <w:rPr>
          <w:b/>
          <w:bCs/>
          <w:noProof/>
        </w:rPr>
        <w:t>23</w:t>
      </w:r>
      <w:r w:rsidRPr="00383001">
        <w:rPr>
          <w:b/>
          <w:bCs/>
        </w:rPr>
        <w:fldChar w:fldCharType="end"/>
      </w:r>
      <w:bookmarkEnd w:id="114"/>
      <w:r w:rsidRPr="00383001">
        <w:rPr>
          <w:b/>
          <w:bCs/>
        </w:rPr>
        <w:t>: Actions taken by Public Sector Commission in relation to minor misconduct matters in 2021-22 (at 30 June 2022) and 202</w:t>
      </w:r>
      <w:r>
        <w:rPr>
          <w:b/>
          <w:bCs/>
        </w:rPr>
        <w:t>2</w:t>
      </w:r>
      <w:r w:rsidRPr="00383001">
        <w:rPr>
          <w:b/>
          <w:bCs/>
        </w:rPr>
        <w:t>-2</w:t>
      </w:r>
      <w:r>
        <w:rPr>
          <w:b/>
          <w:bCs/>
        </w:rPr>
        <w:t>3</w:t>
      </w:r>
      <w:r w:rsidRPr="00383001">
        <w:rPr>
          <w:b/>
          <w:bCs/>
        </w:rPr>
        <w:t xml:space="preserve"> (at 30 June 202</w:t>
      </w:r>
      <w:r>
        <w:rPr>
          <w:b/>
          <w:bCs/>
        </w:rPr>
        <w:t>3</w:t>
      </w:r>
      <w:r w:rsidRPr="00383001">
        <w:rPr>
          <w:b/>
          <w:bCs/>
        </w:rPr>
        <w:t>)</w:t>
      </w:r>
    </w:p>
    <w:tbl>
      <w:tblPr>
        <w:tblW w:w="9262"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Caption w:val="Table 23: Actions taken by Public Sector Commission in relation to minor misconduct matters in 2021-22 (at 30 June 2022) and 2022-23 (at 30 June 2023)"/>
      </w:tblPr>
      <w:tblGrid>
        <w:gridCol w:w="6521"/>
        <w:gridCol w:w="1370"/>
        <w:gridCol w:w="1371"/>
      </w:tblGrid>
      <w:tr w:rsidR="000D42F1" w:rsidRPr="00165065" w14:paraId="4546F757" w14:textId="77777777" w:rsidTr="007D4CFC">
        <w:trPr>
          <w:trHeight w:val="525"/>
        </w:trPr>
        <w:tc>
          <w:tcPr>
            <w:tcW w:w="6521" w:type="dxa"/>
            <w:shd w:val="clear" w:color="auto" w:fill="auto"/>
            <w:noWrap/>
            <w:hideMark/>
          </w:tcPr>
          <w:p w14:paraId="0F092863" w14:textId="77777777" w:rsidR="000D42F1" w:rsidRPr="003428B3" w:rsidRDefault="000D42F1" w:rsidP="007D4CFC">
            <w:pPr>
              <w:spacing w:after="0" w:line="240" w:lineRule="auto"/>
              <w:rPr>
                <w:b/>
                <w:bCs/>
                <w:color w:val="2E74B5"/>
                <w:sz w:val="20"/>
                <w:szCs w:val="20"/>
              </w:rPr>
            </w:pPr>
            <w:r w:rsidRPr="00A676A4">
              <w:rPr>
                <w:b/>
                <w:bCs/>
                <w:color w:val="2E74B5"/>
                <w:sz w:val="20"/>
                <w:szCs w:val="20"/>
              </w:rPr>
              <w:t>Action taken</w:t>
            </w:r>
          </w:p>
        </w:tc>
        <w:tc>
          <w:tcPr>
            <w:tcW w:w="1370" w:type="dxa"/>
            <w:shd w:val="clear" w:color="auto" w:fill="auto"/>
            <w:noWrap/>
            <w:vAlign w:val="center"/>
            <w:hideMark/>
          </w:tcPr>
          <w:p w14:paraId="7A2729A7" w14:textId="77777777" w:rsidR="00115FBD" w:rsidRDefault="00115FBD" w:rsidP="00C9023F">
            <w:pPr>
              <w:spacing w:after="0" w:line="240" w:lineRule="auto"/>
              <w:jc w:val="right"/>
              <w:rPr>
                <w:b/>
                <w:bCs/>
                <w:color w:val="2E74B5" w:themeColor="accent1" w:themeShade="BF"/>
                <w:sz w:val="20"/>
                <w:szCs w:val="20"/>
              </w:rPr>
            </w:pPr>
            <w:r w:rsidRPr="003428B3">
              <w:rPr>
                <w:b/>
                <w:bCs/>
                <w:color w:val="2E74B5" w:themeColor="accent1" w:themeShade="BF"/>
                <w:sz w:val="20"/>
                <w:szCs w:val="20"/>
              </w:rPr>
              <w:t>2021-22</w:t>
            </w:r>
          </w:p>
          <w:p w14:paraId="6D5F0812" w14:textId="6DE960E8" w:rsidR="000D42F1" w:rsidRPr="003428B3" w:rsidRDefault="000D42F1" w:rsidP="00C9023F">
            <w:pPr>
              <w:spacing w:after="0" w:line="240" w:lineRule="auto"/>
              <w:jc w:val="right"/>
              <w:rPr>
                <w:b/>
                <w:bCs/>
                <w:color w:val="2E74B5"/>
                <w:sz w:val="20"/>
                <w:szCs w:val="20"/>
              </w:rPr>
            </w:pPr>
            <w:r w:rsidRPr="003428B3">
              <w:rPr>
                <w:b/>
                <w:bCs/>
                <w:color w:val="2E74B5" w:themeColor="accent1" w:themeShade="BF"/>
                <w:sz w:val="20"/>
                <w:szCs w:val="20"/>
              </w:rPr>
              <w:t xml:space="preserve">Matters </w:t>
            </w:r>
          </w:p>
        </w:tc>
        <w:tc>
          <w:tcPr>
            <w:tcW w:w="1371" w:type="dxa"/>
            <w:shd w:val="clear" w:color="auto" w:fill="auto"/>
            <w:noWrap/>
            <w:vAlign w:val="center"/>
            <w:hideMark/>
          </w:tcPr>
          <w:p w14:paraId="588CEB02" w14:textId="77777777" w:rsidR="00115FBD" w:rsidRDefault="00115FBD" w:rsidP="00C9023F">
            <w:pPr>
              <w:spacing w:after="0" w:line="240" w:lineRule="auto"/>
              <w:jc w:val="right"/>
              <w:rPr>
                <w:b/>
                <w:bCs/>
                <w:color w:val="2E74B5" w:themeColor="accent1" w:themeShade="BF"/>
                <w:sz w:val="20"/>
                <w:szCs w:val="20"/>
              </w:rPr>
            </w:pPr>
            <w:r w:rsidRPr="003428B3">
              <w:rPr>
                <w:b/>
                <w:bCs/>
                <w:color w:val="2E74B5" w:themeColor="accent1" w:themeShade="BF"/>
                <w:sz w:val="20"/>
                <w:szCs w:val="20"/>
              </w:rPr>
              <w:t>202</w:t>
            </w:r>
            <w:r>
              <w:rPr>
                <w:b/>
                <w:bCs/>
                <w:color w:val="2E74B5" w:themeColor="accent1" w:themeShade="BF"/>
                <w:sz w:val="20"/>
                <w:szCs w:val="20"/>
              </w:rPr>
              <w:t>2</w:t>
            </w:r>
            <w:r w:rsidRPr="003428B3">
              <w:rPr>
                <w:b/>
                <w:bCs/>
                <w:color w:val="2E74B5" w:themeColor="accent1" w:themeShade="BF"/>
                <w:sz w:val="20"/>
                <w:szCs w:val="20"/>
              </w:rPr>
              <w:t>-2</w:t>
            </w:r>
            <w:r>
              <w:rPr>
                <w:b/>
                <w:bCs/>
                <w:color w:val="2E74B5" w:themeColor="accent1" w:themeShade="BF"/>
                <w:sz w:val="20"/>
                <w:szCs w:val="20"/>
              </w:rPr>
              <w:t>3</w:t>
            </w:r>
          </w:p>
          <w:p w14:paraId="71C59DE3" w14:textId="3A690DCE" w:rsidR="000D42F1" w:rsidRPr="003428B3" w:rsidRDefault="000D42F1" w:rsidP="00C9023F">
            <w:pPr>
              <w:spacing w:after="0" w:line="240" w:lineRule="auto"/>
              <w:jc w:val="right"/>
              <w:rPr>
                <w:b/>
                <w:bCs/>
                <w:color w:val="2E74B5"/>
                <w:sz w:val="20"/>
                <w:szCs w:val="20"/>
              </w:rPr>
            </w:pPr>
            <w:r w:rsidRPr="003428B3">
              <w:rPr>
                <w:b/>
                <w:bCs/>
                <w:color w:val="2E74B5" w:themeColor="accent1" w:themeShade="BF"/>
                <w:sz w:val="20"/>
                <w:szCs w:val="20"/>
              </w:rPr>
              <w:t xml:space="preserve">Matters </w:t>
            </w:r>
          </w:p>
        </w:tc>
      </w:tr>
      <w:tr w:rsidR="000D42F1" w:rsidRPr="00165065" w14:paraId="24C7E08C" w14:textId="77777777" w:rsidTr="00A24762">
        <w:trPr>
          <w:trHeight w:val="450"/>
        </w:trPr>
        <w:tc>
          <w:tcPr>
            <w:tcW w:w="6521" w:type="dxa"/>
            <w:shd w:val="clear" w:color="auto" w:fill="auto"/>
            <w:noWrap/>
            <w:vAlign w:val="center"/>
            <w:hideMark/>
          </w:tcPr>
          <w:p w14:paraId="4E8B9168" w14:textId="77777777" w:rsidR="000D42F1" w:rsidRPr="00E14E8A" w:rsidRDefault="000D42F1" w:rsidP="00C9023F">
            <w:pPr>
              <w:spacing w:after="0" w:line="240" w:lineRule="auto"/>
              <w:rPr>
                <w:rFonts w:eastAsiaTheme="minorEastAsia"/>
                <w:color w:val="000000" w:themeColor="text1"/>
                <w:sz w:val="20"/>
                <w:szCs w:val="20"/>
                <w:lang w:eastAsia="en-US"/>
              </w:rPr>
            </w:pPr>
            <w:r w:rsidRPr="003428B3">
              <w:rPr>
                <w:rFonts w:eastAsiaTheme="minorEastAsia"/>
                <w:color w:val="000000" w:themeColor="text1"/>
                <w:sz w:val="20"/>
                <w:szCs w:val="20"/>
                <w:lang w:eastAsia="en-US"/>
              </w:rPr>
              <w:t>No action: Did not meet definition of minor misconduct or had otherwise been dealt with appropriately at time of receipt</w:t>
            </w:r>
          </w:p>
        </w:tc>
        <w:tc>
          <w:tcPr>
            <w:tcW w:w="1370" w:type="dxa"/>
            <w:shd w:val="clear" w:color="auto" w:fill="auto"/>
            <w:vAlign w:val="center"/>
            <w:hideMark/>
          </w:tcPr>
          <w:p w14:paraId="5B562396" w14:textId="77777777" w:rsidR="000D42F1" w:rsidRPr="003428B3" w:rsidRDefault="000D42F1" w:rsidP="00C9023F">
            <w:pPr>
              <w:spacing w:after="0" w:line="240" w:lineRule="auto"/>
              <w:jc w:val="right"/>
              <w:rPr>
                <w:color w:val="000000"/>
                <w:sz w:val="20"/>
                <w:szCs w:val="20"/>
              </w:rPr>
            </w:pPr>
            <w:r w:rsidRPr="003428B3">
              <w:rPr>
                <w:rFonts w:eastAsiaTheme="minorEastAsia"/>
                <w:color w:val="000000" w:themeColor="text1"/>
                <w:sz w:val="20"/>
                <w:szCs w:val="20"/>
                <w:lang w:eastAsia="en-US"/>
              </w:rPr>
              <w:t>122 (26.9%)</w:t>
            </w:r>
          </w:p>
        </w:tc>
        <w:tc>
          <w:tcPr>
            <w:tcW w:w="1371" w:type="dxa"/>
            <w:shd w:val="clear" w:color="auto" w:fill="auto"/>
            <w:vAlign w:val="center"/>
            <w:hideMark/>
          </w:tcPr>
          <w:p w14:paraId="12A02569" w14:textId="77777777" w:rsidR="000D42F1" w:rsidRPr="003428B3" w:rsidRDefault="000D42F1" w:rsidP="00C9023F">
            <w:pPr>
              <w:spacing w:after="0" w:line="240" w:lineRule="auto"/>
              <w:jc w:val="right"/>
              <w:rPr>
                <w:color w:val="000000"/>
                <w:sz w:val="20"/>
                <w:szCs w:val="20"/>
              </w:rPr>
            </w:pPr>
            <w:r>
              <w:rPr>
                <w:color w:val="000000"/>
                <w:sz w:val="20"/>
                <w:szCs w:val="20"/>
              </w:rPr>
              <w:t>166 (31.9%)</w:t>
            </w:r>
          </w:p>
        </w:tc>
      </w:tr>
      <w:tr w:rsidR="000D42F1" w:rsidRPr="00165065" w14:paraId="57A1D223" w14:textId="77777777" w:rsidTr="00A24762">
        <w:trPr>
          <w:trHeight w:val="525"/>
        </w:trPr>
        <w:tc>
          <w:tcPr>
            <w:tcW w:w="6521" w:type="dxa"/>
            <w:shd w:val="clear" w:color="auto" w:fill="auto"/>
            <w:noWrap/>
            <w:vAlign w:val="center"/>
            <w:hideMark/>
          </w:tcPr>
          <w:p w14:paraId="22FE2591" w14:textId="77777777" w:rsidR="000D42F1" w:rsidRPr="00E14E8A" w:rsidRDefault="000D42F1" w:rsidP="00C9023F">
            <w:pPr>
              <w:spacing w:after="0" w:line="240" w:lineRule="auto"/>
              <w:rPr>
                <w:rFonts w:eastAsiaTheme="minorEastAsia"/>
                <w:color w:val="000000" w:themeColor="text1"/>
                <w:sz w:val="20"/>
                <w:szCs w:val="20"/>
                <w:lang w:eastAsia="en-US"/>
              </w:rPr>
            </w:pPr>
            <w:r w:rsidRPr="003428B3">
              <w:rPr>
                <w:rFonts w:eastAsiaTheme="minorEastAsia"/>
                <w:color w:val="000000" w:themeColor="text1"/>
                <w:sz w:val="20"/>
                <w:szCs w:val="20"/>
                <w:lang w:eastAsia="en-US"/>
              </w:rPr>
              <w:t>Referred to appropriate authority with no obligation to provide any further information to Public Sector Commission</w:t>
            </w:r>
          </w:p>
        </w:tc>
        <w:tc>
          <w:tcPr>
            <w:tcW w:w="1370" w:type="dxa"/>
            <w:shd w:val="clear" w:color="auto" w:fill="auto"/>
            <w:vAlign w:val="center"/>
            <w:hideMark/>
          </w:tcPr>
          <w:p w14:paraId="0AF3E2D4" w14:textId="77777777" w:rsidR="000D42F1" w:rsidRPr="003428B3" w:rsidRDefault="000D42F1" w:rsidP="00C9023F">
            <w:pPr>
              <w:spacing w:after="0" w:line="240" w:lineRule="auto"/>
              <w:jc w:val="right"/>
              <w:rPr>
                <w:color w:val="000000"/>
                <w:sz w:val="20"/>
                <w:szCs w:val="20"/>
              </w:rPr>
            </w:pPr>
            <w:r w:rsidRPr="003428B3">
              <w:rPr>
                <w:rFonts w:eastAsiaTheme="minorEastAsia"/>
                <w:color w:val="000000" w:themeColor="text1"/>
                <w:sz w:val="20"/>
                <w:szCs w:val="20"/>
                <w:lang w:eastAsia="en-US"/>
              </w:rPr>
              <w:t>20 (4.4%)</w:t>
            </w:r>
          </w:p>
        </w:tc>
        <w:tc>
          <w:tcPr>
            <w:tcW w:w="1371" w:type="dxa"/>
            <w:shd w:val="clear" w:color="auto" w:fill="auto"/>
            <w:vAlign w:val="center"/>
            <w:hideMark/>
          </w:tcPr>
          <w:p w14:paraId="49518681" w14:textId="77777777" w:rsidR="000D42F1" w:rsidRPr="003428B3" w:rsidRDefault="000D42F1" w:rsidP="00C9023F">
            <w:pPr>
              <w:spacing w:after="0" w:line="240" w:lineRule="auto"/>
              <w:jc w:val="right"/>
              <w:rPr>
                <w:color w:val="000000"/>
                <w:sz w:val="20"/>
                <w:szCs w:val="20"/>
              </w:rPr>
            </w:pPr>
            <w:r>
              <w:rPr>
                <w:color w:val="000000"/>
                <w:sz w:val="20"/>
                <w:szCs w:val="20"/>
              </w:rPr>
              <w:t>10 (1.9%)</w:t>
            </w:r>
          </w:p>
        </w:tc>
      </w:tr>
      <w:tr w:rsidR="000D42F1" w:rsidRPr="00165065" w14:paraId="752F4A9F" w14:textId="77777777" w:rsidTr="00A24762">
        <w:trPr>
          <w:trHeight w:val="705"/>
        </w:trPr>
        <w:tc>
          <w:tcPr>
            <w:tcW w:w="6521" w:type="dxa"/>
            <w:shd w:val="clear" w:color="auto" w:fill="auto"/>
            <w:noWrap/>
            <w:vAlign w:val="center"/>
            <w:hideMark/>
          </w:tcPr>
          <w:p w14:paraId="7607694B" w14:textId="77777777" w:rsidR="000D42F1" w:rsidRPr="003428B3" w:rsidRDefault="000D42F1" w:rsidP="00C9023F">
            <w:pPr>
              <w:spacing w:after="0" w:line="240" w:lineRule="auto"/>
              <w:rPr>
                <w:color w:val="000000"/>
                <w:sz w:val="20"/>
                <w:szCs w:val="20"/>
              </w:rPr>
            </w:pPr>
            <w:r w:rsidRPr="003428B3">
              <w:rPr>
                <w:rFonts w:eastAsiaTheme="minorEastAsia"/>
                <w:color w:val="000000" w:themeColor="text1"/>
                <w:sz w:val="20"/>
                <w:szCs w:val="20"/>
                <w:lang w:eastAsia="en-US"/>
              </w:rPr>
              <w:t>Referred to appropriate authority with request to advise Public Sector Commission of outcome</w:t>
            </w:r>
          </w:p>
        </w:tc>
        <w:tc>
          <w:tcPr>
            <w:tcW w:w="1370" w:type="dxa"/>
            <w:shd w:val="clear" w:color="auto" w:fill="auto"/>
            <w:vAlign w:val="center"/>
            <w:hideMark/>
          </w:tcPr>
          <w:p w14:paraId="155F679F" w14:textId="77777777" w:rsidR="000D42F1" w:rsidRPr="003428B3" w:rsidRDefault="000D42F1" w:rsidP="00C9023F">
            <w:pPr>
              <w:spacing w:after="0" w:line="240" w:lineRule="auto"/>
              <w:jc w:val="right"/>
              <w:rPr>
                <w:color w:val="000000"/>
                <w:sz w:val="20"/>
                <w:szCs w:val="20"/>
              </w:rPr>
            </w:pPr>
            <w:r w:rsidRPr="003428B3">
              <w:rPr>
                <w:rFonts w:eastAsiaTheme="minorEastAsia"/>
                <w:color w:val="000000" w:themeColor="text1"/>
                <w:sz w:val="20"/>
                <w:szCs w:val="20"/>
                <w:lang w:eastAsia="en-US"/>
              </w:rPr>
              <w:t>51 (11.2%)</w:t>
            </w:r>
          </w:p>
        </w:tc>
        <w:tc>
          <w:tcPr>
            <w:tcW w:w="1371" w:type="dxa"/>
            <w:shd w:val="clear" w:color="auto" w:fill="auto"/>
            <w:vAlign w:val="center"/>
            <w:hideMark/>
          </w:tcPr>
          <w:p w14:paraId="0816FE88" w14:textId="77777777" w:rsidR="000D42F1" w:rsidRPr="003428B3" w:rsidRDefault="000D42F1" w:rsidP="00C9023F">
            <w:pPr>
              <w:spacing w:after="0" w:line="240" w:lineRule="auto"/>
              <w:jc w:val="right"/>
              <w:rPr>
                <w:color w:val="000000"/>
                <w:sz w:val="20"/>
                <w:szCs w:val="20"/>
              </w:rPr>
            </w:pPr>
            <w:r>
              <w:rPr>
                <w:color w:val="000000"/>
                <w:sz w:val="20"/>
                <w:szCs w:val="20"/>
              </w:rPr>
              <w:t>104 (20.0%)</w:t>
            </w:r>
          </w:p>
        </w:tc>
      </w:tr>
      <w:tr w:rsidR="000D42F1" w:rsidRPr="00165065" w14:paraId="26BE4A07" w14:textId="77777777" w:rsidTr="00A24762">
        <w:trPr>
          <w:trHeight w:val="525"/>
        </w:trPr>
        <w:tc>
          <w:tcPr>
            <w:tcW w:w="6521" w:type="dxa"/>
            <w:shd w:val="clear" w:color="auto" w:fill="auto"/>
            <w:noWrap/>
            <w:vAlign w:val="center"/>
            <w:hideMark/>
          </w:tcPr>
          <w:p w14:paraId="324E9DD7" w14:textId="77777777" w:rsidR="000D42F1" w:rsidRPr="003428B3" w:rsidRDefault="000D42F1" w:rsidP="00C9023F">
            <w:pPr>
              <w:spacing w:after="0" w:line="240" w:lineRule="auto"/>
              <w:rPr>
                <w:color w:val="000000"/>
                <w:sz w:val="20"/>
                <w:szCs w:val="20"/>
              </w:rPr>
            </w:pPr>
            <w:r w:rsidRPr="003428B3">
              <w:rPr>
                <w:rFonts w:eastAsiaTheme="minorEastAsia"/>
                <w:color w:val="000000" w:themeColor="text1"/>
                <w:sz w:val="20"/>
                <w:szCs w:val="20"/>
                <w:lang w:eastAsia="en-US"/>
              </w:rPr>
              <w:t>Referred to appropriate authority with request to provide report on action taken to be reviewed by Public Sector Commission</w:t>
            </w:r>
          </w:p>
        </w:tc>
        <w:tc>
          <w:tcPr>
            <w:tcW w:w="1370" w:type="dxa"/>
            <w:shd w:val="clear" w:color="auto" w:fill="auto"/>
            <w:vAlign w:val="center"/>
            <w:hideMark/>
          </w:tcPr>
          <w:p w14:paraId="0D0A0020" w14:textId="77777777" w:rsidR="000D42F1" w:rsidRPr="003428B3" w:rsidRDefault="000D42F1" w:rsidP="00C9023F">
            <w:pPr>
              <w:spacing w:after="0" w:line="240" w:lineRule="auto"/>
              <w:jc w:val="right"/>
              <w:rPr>
                <w:color w:val="000000"/>
                <w:sz w:val="20"/>
                <w:szCs w:val="20"/>
              </w:rPr>
            </w:pPr>
            <w:r w:rsidRPr="003428B3">
              <w:rPr>
                <w:rFonts w:eastAsiaTheme="minorEastAsia"/>
                <w:color w:val="000000" w:themeColor="text1"/>
                <w:sz w:val="20"/>
                <w:szCs w:val="20"/>
                <w:lang w:eastAsia="en-US"/>
              </w:rPr>
              <w:t>171 (37.7%)</w:t>
            </w:r>
          </w:p>
        </w:tc>
        <w:tc>
          <w:tcPr>
            <w:tcW w:w="1371" w:type="dxa"/>
            <w:shd w:val="clear" w:color="auto" w:fill="auto"/>
            <w:vAlign w:val="center"/>
            <w:hideMark/>
          </w:tcPr>
          <w:p w14:paraId="53B375E2" w14:textId="77777777" w:rsidR="000D42F1" w:rsidRPr="003428B3" w:rsidRDefault="000D42F1" w:rsidP="00C9023F">
            <w:pPr>
              <w:spacing w:after="0" w:line="240" w:lineRule="auto"/>
              <w:jc w:val="right"/>
              <w:rPr>
                <w:color w:val="000000"/>
                <w:sz w:val="20"/>
                <w:szCs w:val="20"/>
              </w:rPr>
            </w:pPr>
            <w:r>
              <w:rPr>
                <w:color w:val="000000"/>
                <w:sz w:val="20"/>
                <w:szCs w:val="20"/>
              </w:rPr>
              <w:t>162 (31.1%)</w:t>
            </w:r>
          </w:p>
        </w:tc>
      </w:tr>
      <w:tr w:rsidR="000D42F1" w:rsidRPr="00165065" w14:paraId="606C7274" w14:textId="77777777" w:rsidTr="00A24762">
        <w:trPr>
          <w:trHeight w:val="705"/>
        </w:trPr>
        <w:tc>
          <w:tcPr>
            <w:tcW w:w="6521" w:type="dxa"/>
            <w:shd w:val="clear" w:color="auto" w:fill="auto"/>
            <w:noWrap/>
            <w:vAlign w:val="center"/>
            <w:hideMark/>
          </w:tcPr>
          <w:p w14:paraId="6D2AA9BC" w14:textId="77777777" w:rsidR="000D42F1" w:rsidRPr="003428B3" w:rsidRDefault="000D42F1" w:rsidP="00C9023F">
            <w:pPr>
              <w:spacing w:after="0" w:line="240" w:lineRule="auto"/>
              <w:rPr>
                <w:color w:val="000000"/>
                <w:sz w:val="20"/>
                <w:szCs w:val="20"/>
              </w:rPr>
            </w:pPr>
            <w:r w:rsidRPr="003428B3">
              <w:rPr>
                <w:color w:val="000000" w:themeColor="text1"/>
                <w:sz w:val="20"/>
                <w:szCs w:val="20"/>
              </w:rPr>
              <w:t>Refer</w:t>
            </w:r>
            <w:r>
              <w:rPr>
                <w:color w:val="000000" w:themeColor="text1"/>
                <w:sz w:val="20"/>
                <w:szCs w:val="20"/>
              </w:rPr>
              <w:t>red</w:t>
            </w:r>
            <w:r w:rsidRPr="003428B3">
              <w:rPr>
                <w:color w:val="000000" w:themeColor="text1"/>
                <w:sz w:val="20"/>
                <w:szCs w:val="20"/>
              </w:rPr>
              <w:t xml:space="preserve"> to third party (primarily </w:t>
            </w:r>
            <w:r>
              <w:rPr>
                <w:color w:val="000000" w:themeColor="text1"/>
                <w:sz w:val="20"/>
                <w:szCs w:val="20"/>
              </w:rPr>
              <w:t>Corruption and Crime Commission</w:t>
            </w:r>
            <w:r w:rsidRPr="003428B3">
              <w:rPr>
                <w:color w:val="000000" w:themeColor="text1"/>
                <w:sz w:val="20"/>
                <w:szCs w:val="20"/>
              </w:rPr>
              <w:t xml:space="preserve"> in cases of suspected serious misconduct)</w:t>
            </w:r>
          </w:p>
        </w:tc>
        <w:tc>
          <w:tcPr>
            <w:tcW w:w="1370" w:type="dxa"/>
            <w:shd w:val="clear" w:color="auto" w:fill="auto"/>
            <w:vAlign w:val="center"/>
            <w:hideMark/>
          </w:tcPr>
          <w:p w14:paraId="18BE7E2C" w14:textId="77777777" w:rsidR="000D42F1" w:rsidRPr="003428B3" w:rsidRDefault="000D42F1" w:rsidP="00C9023F">
            <w:pPr>
              <w:spacing w:after="0" w:line="240" w:lineRule="auto"/>
              <w:jc w:val="right"/>
              <w:rPr>
                <w:color w:val="000000"/>
                <w:sz w:val="20"/>
                <w:szCs w:val="20"/>
              </w:rPr>
            </w:pPr>
            <w:r w:rsidRPr="003428B3">
              <w:rPr>
                <w:rFonts w:eastAsiaTheme="minorEastAsia"/>
                <w:color w:val="000000" w:themeColor="text1"/>
                <w:sz w:val="20"/>
                <w:szCs w:val="20"/>
                <w:lang w:eastAsia="en-US"/>
              </w:rPr>
              <w:t>62 (13.7%)</w:t>
            </w:r>
          </w:p>
        </w:tc>
        <w:tc>
          <w:tcPr>
            <w:tcW w:w="1371" w:type="dxa"/>
            <w:shd w:val="clear" w:color="auto" w:fill="auto"/>
            <w:vAlign w:val="center"/>
            <w:hideMark/>
          </w:tcPr>
          <w:p w14:paraId="5EFB0E9C" w14:textId="77777777" w:rsidR="000D42F1" w:rsidRPr="003428B3" w:rsidRDefault="000D42F1" w:rsidP="00C9023F">
            <w:pPr>
              <w:spacing w:after="0" w:line="240" w:lineRule="auto"/>
              <w:jc w:val="right"/>
              <w:rPr>
                <w:color w:val="000000"/>
                <w:sz w:val="20"/>
                <w:szCs w:val="20"/>
              </w:rPr>
            </w:pPr>
            <w:r>
              <w:rPr>
                <w:color w:val="000000"/>
                <w:sz w:val="20"/>
                <w:szCs w:val="20"/>
              </w:rPr>
              <w:t>71 (13.6%)</w:t>
            </w:r>
          </w:p>
        </w:tc>
      </w:tr>
      <w:tr w:rsidR="000D42F1" w:rsidRPr="00165065" w14:paraId="41A3D8CD" w14:textId="77777777" w:rsidTr="00A24762">
        <w:trPr>
          <w:trHeight w:val="525"/>
        </w:trPr>
        <w:tc>
          <w:tcPr>
            <w:tcW w:w="6521" w:type="dxa"/>
            <w:shd w:val="clear" w:color="auto" w:fill="auto"/>
            <w:noWrap/>
            <w:vAlign w:val="center"/>
            <w:hideMark/>
          </w:tcPr>
          <w:p w14:paraId="3B6FA8AD" w14:textId="77777777" w:rsidR="000D42F1" w:rsidRPr="003428B3" w:rsidRDefault="000D42F1" w:rsidP="00C9023F">
            <w:pPr>
              <w:spacing w:after="0" w:line="240" w:lineRule="auto"/>
              <w:rPr>
                <w:color w:val="000000"/>
                <w:sz w:val="20"/>
                <w:szCs w:val="20"/>
              </w:rPr>
            </w:pPr>
            <w:r w:rsidRPr="003428B3">
              <w:rPr>
                <w:rFonts w:eastAsiaTheme="minorEastAsia"/>
                <w:color w:val="000000" w:themeColor="text1"/>
                <w:sz w:val="20"/>
                <w:szCs w:val="20"/>
                <w:lang w:eastAsia="en-US"/>
              </w:rPr>
              <w:t xml:space="preserve">Assessment ongoing at 30 June </w:t>
            </w:r>
          </w:p>
        </w:tc>
        <w:tc>
          <w:tcPr>
            <w:tcW w:w="1370" w:type="dxa"/>
            <w:shd w:val="clear" w:color="auto" w:fill="auto"/>
            <w:vAlign w:val="center"/>
            <w:hideMark/>
          </w:tcPr>
          <w:p w14:paraId="45A6DB33" w14:textId="77777777" w:rsidR="000D42F1" w:rsidRPr="003428B3" w:rsidRDefault="000D42F1" w:rsidP="00C9023F">
            <w:pPr>
              <w:spacing w:after="0" w:line="240" w:lineRule="auto"/>
              <w:jc w:val="right"/>
              <w:rPr>
                <w:color w:val="000000"/>
                <w:sz w:val="20"/>
                <w:szCs w:val="20"/>
              </w:rPr>
            </w:pPr>
            <w:r w:rsidRPr="003428B3">
              <w:rPr>
                <w:rFonts w:eastAsiaTheme="minorEastAsia"/>
                <w:color w:val="000000" w:themeColor="text1"/>
                <w:sz w:val="20"/>
                <w:szCs w:val="20"/>
                <w:lang w:eastAsia="en-US"/>
              </w:rPr>
              <w:t>28 (6.2%)</w:t>
            </w:r>
          </w:p>
        </w:tc>
        <w:tc>
          <w:tcPr>
            <w:tcW w:w="1371" w:type="dxa"/>
            <w:shd w:val="clear" w:color="auto" w:fill="auto"/>
            <w:vAlign w:val="center"/>
            <w:hideMark/>
          </w:tcPr>
          <w:p w14:paraId="2D341203" w14:textId="77777777" w:rsidR="000D42F1" w:rsidRPr="003428B3" w:rsidRDefault="000D42F1" w:rsidP="00C9023F">
            <w:pPr>
              <w:spacing w:after="0" w:line="240" w:lineRule="auto"/>
              <w:jc w:val="right"/>
              <w:rPr>
                <w:color w:val="000000"/>
                <w:sz w:val="20"/>
                <w:szCs w:val="20"/>
              </w:rPr>
            </w:pPr>
            <w:r>
              <w:rPr>
                <w:color w:val="000000"/>
                <w:sz w:val="20"/>
                <w:szCs w:val="20"/>
              </w:rPr>
              <w:t>8 (1.5%)</w:t>
            </w:r>
          </w:p>
        </w:tc>
      </w:tr>
      <w:tr w:rsidR="000D42F1" w:rsidRPr="00C9023F" w14:paraId="6D05913A" w14:textId="77777777" w:rsidTr="00A24762">
        <w:trPr>
          <w:trHeight w:val="450"/>
        </w:trPr>
        <w:tc>
          <w:tcPr>
            <w:tcW w:w="6521" w:type="dxa"/>
            <w:shd w:val="clear" w:color="auto" w:fill="auto"/>
            <w:noWrap/>
            <w:vAlign w:val="center"/>
            <w:hideMark/>
          </w:tcPr>
          <w:p w14:paraId="45C116E6" w14:textId="77777777" w:rsidR="000D42F1" w:rsidRPr="003428B3" w:rsidRDefault="000D42F1" w:rsidP="00C9023F">
            <w:pPr>
              <w:spacing w:after="0" w:line="240" w:lineRule="auto"/>
              <w:rPr>
                <w:b/>
                <w:bCs/>
                <w:color w:val="000000"/>
                <w:sz w:val="20"/>
                <w:szCs w:val="20"/>
              </w:rPr>
            </w:pPr>
            <w:r w:rsidRPr="003428B3">
              <w:rPr>
                <w:rFonts w:eastAsiaTheme="minorEastAsia"/>
                <w:b/>
                <w:bCs/>
                <w:color w:val="000000" w:themeColor="text1"/>
                <w:sz w:val="20"/>
                <w:szCs w:val="20"/>
                <w:lang w:eastAsia="en-US"/>
              </w:rPr>
              <w:t>Total</w:t>
            </w:r>
          </w:p>
        </w:tc>
        <w:tc>
          <w:tcPr>
            <w:tcW w:w="1370" w:type="dxa"/>
            <w:shd w:val="clear" w:color="auto" w:fill="auto"/>
            <w:vAlign w:val="center"/>
            <w:hideMark/>
          </w:tcPr>
          <w:p w14:paraId="1B985B03" w14:textId="77777777" w:rsidR="000D42F1" w:rsidRPr="003428B3" w:rsidRDefault="000D42F1" w:rsidP="00C9023F">
            <w:pPr>
              <w:spacing w:after="0" w:line="240" w:lineRule="auto"/>
              <w:jc w:val="right"/>
              <w:rPr>
                <w:b/>
                <w:bCs/>
                <w:color w:val="000000"/>
                <w:sz w:val="20"/>
                <w:szCs w:val="20"/>
              </w:rPr>
            </w:pPr>
            <w:r w:rsidRPr="003428B3">
              <w:rPr>
                <w:rFonts w:eastAsiaTheme="minorEastAsia"/>
                <w:b/>
                <w:bCs/>
                <w:color w:val="000000" w:themeColor="text1"/>
                <w:sz w:val="20"/>
                <w:szCs w:val="20"/>
                <w:lang w:eastAsia="en-US"/>
              </w:rPr>
              <w:t>454 (100%)</w:t>
            </w:r>
          </w:p>
        </w:tc>
        <w:tc>
          <w:tcPr>
            <w:tcW w:w="1371" w:type="dxa"/>
            <w:shd w:val="clear" w:color="auto" w:fill="auto"/>
            <w:vAlign w:val="center"/>
            <w:hideMark/>
          </w:tcPr>
          <w:p w14:paraId="3EE83351" w14:textId="77777777" w:rsidR="000D42F1" w:rsidRPr="00C9023F" w:rsidRDefault="000D42F1" w:rsidP="00C9023F">
            <w:pPr>
              <w:spacing w:after="0" w:line="240" w:lineRule="auto"/>
              <w:jc w:val="right"/>
              <w:rPr>
                <w:b/>
                <w:bCs/>
                <w:color w:val="000000"/>
                <w:sz w:val="20"/>
                <w:szCs w:val="20"/>
              </w:rPr>
            </w:pPr>
            <w:r>
              <w:rPr>
                <w:b/>
                <w:bCs/>
                <w:color w:val="000000"/>
                <w:sz w:val="20"/>
                <w:szCs w:val="20"/>
              </w:rPr>
              <w:t>521 (100%)</w:t>
            </w:r>
          </w:p>
        </w:tc>
      </w:tr>
    </w:tbl>
    <w:p w14:paraId="1922E2FB" w14:textId="77777777" w:rsidR="00902AEC" w:rsidRDefault="00902AEC">
      <w:pPr>
        <w:pStyle w:val="Heading4"/>
        <w:spacing w:before="240"/>
        <w:rPr>
          <w:rFonts w:ascii="Arial" w:eastAsia="Times New Roman" w:hAnsi="Arial"/>
          <w:iCs w:val="0"/>
          <w:color w:val="auto"/>
          <w:sz w:val="22"/>
          <w:szCs w:val="22"/>
        </w:rPr>
      </w:pPr>
      <w:r>
        <w:rPr>
          <w:rFonts w:ascii="Arial" w:eastAsia="Times New Roman" w:hAnsi="Arial"/>
          <w:iCs w:val="0"/>
          <w:color w:val="auto"/>
          <w:sz w:val="22"/>
          <w:szCs w:val="22"/>
        </w:rPr>
        <w:br w:type="page"/>
      </w:r>
    </w:p>
    <w:p w14:paraId="09A14001" w14:textId="70EB9793" w:rsidR="000D42F1" w:rsidRPr="00A24762" w:rsidRDefault="000D42F1">
      <w:pPr>
        <w:pStyle w:val="Heading4"/>
        <w:spacing w:before="240"/>
        <w:rPr>
          <w:sz w:val="28"/>
          <w:szCs w:val="28"/>
        </w:rPr>
      </w:pPr>
      <w:r w:rsidRPr="00A24762">
        <w:rPr>
          <w:sz w:val="28"/>
          <w:szCs w:val="28"/>
        </w:rPr>
        <w:lastRenderedPageBreak/>
        <w:t>Serious misconduct</w:t>
      </w:r>
    </w:p>
    <w:p w14:paraId="0A21296D" w14:textId="77777777" w:rsidR="000D42F1" w:rsidRDefault="000D42F1">
      <w:pPr>
        <w:rPr>
          <w:rFonts w:asciiTheme="minorHAnsi" w:hAnsiTheme="minorHAnsi" w:cstheme="minorBidi"/>
        </w:rPr>
      </w:pPr>
      <w:r>
        <w:t>Serious misconduct refers to corrupt or criminal conduct as defined in the CCM Act. While minor misconduct is dealt with by the Public Sector Commission, the Corruption and Crime Commission deals with serious misconduct. Additionally, the Corruption and Crime Commission deals with all allegations of misconduct against officers of the WA Police Force.</w:t>
      </w:r>
    </w:p>
    <w:p w14:paraId="353F03E1" w14:textId="77777777" w:rsidR="000D42F1" w:rsidRDefault="000D42F1">
      <w:r w:rsidRPr="004472C4">
        <w:t xml:space="preserve">The following information about serious misconduct is provided by the Corruption and Crime Commission. </w:t>
      </w:r>
    </w:p>
    <w:p w14:paraId="4D849AF1" w14:textId="418F9E53" w:rsidR="000D42F1" w:rsidRDefault="00594B19">
      <w:r>
        <w:fldChar w:fldCharType="begin"/>
      </w:r>
      <w:r>
        <w:instrText xml:space="preserve"> REF _Ref148971216 \h  \* MERGEFORMAT </w:instrText>
      </w:r>
      <w:r>
        <w:fldChar w:fldCharType="separate"/>
      </w:r>
      <w:r w:rsidR="0048418F" w:rsidRPr="0048418F">
        <w:t>Table 24</w:t>
      </w:r>
      <w:r>
        <w:fldChar w:fldCharType="end"/>
      </w:r>
      <w:r>
        <w:t xml:space="preserve"> </w:t>
      </w:r>
      <w:r w:rsidR="000D42F1" w:rsidRPr="00E704D1">
        <w:t xml:space="preserve">shows the source </w:t>
      </w:r>
      <w:r w:rsidR="0012396F">
        <w:t>for</w:t>
      </w:r>
      <w:r w:rsidR="0012396F" w:rsidRPr="00E704D1">
        <w:t xml:space="preserve"> </w:t>
      </w:r>
      <w:r w:rsidR="000D42F1" w:rsidRPr="00E704D1">
        <w:t xml:space="preserve">all allegations assessed in 2022-23 compared to the previous reporting period. Of the 5,895 allegations in 2022-23, 3,487 allegations related to police misconduct, with just over </w:t>
      </w:r>
      <w:r w:rsidR="000D42F1">
        <w:t>60</w:t>
      </w:r>
      <w:r w:rsidR="000D42F1" w:rsidRPr="00E704D1">
        <w:t xml:space="preserve">% of these allegations coming from notifications from the WA Police Force (under section 28 of the CCM Act), just under 40% coming from members of the public (section 25), and less than 1% arising from the Corruption and Crime Commission’s own propositions (section 26). </w:t>
      </w:r>
    </w:p>
    <w:p w14:paraId="7338DEF9" w14:textId="77777777" w:rsidR="000D42F1" w:rsidRDefault="000D42F1">
      <w:r w:rsidRPr="00E704D1">
        <w:t>In comparison, for the remaining 2,408 allegations in 2022-23, just over 50% came from reports from members of the public (section 25), 44% came from notifying authorities (section</w:t>
      </w:r>
      <w:r>
        <w:t> </w:t>
      </w:r>
      <w:r w:rsidRPr="00E704D1">
        <w:t xml:space="preserve">28), approximately 5% related to referrals from the Public Sector Commission (section 45) and less than 1% arose from the Corruption and Crime Commission’s own propositions (section 26). </w:t>
      </w:r>
    </w:p>
    <w:p w14:paraId="67CEE4F9" w14:textId="65863E29" w:rsidR="000D42F1" w:rsidRPr="001514A4" w:rsidRDefault="000D42F1">
      <w:pPr>
        <w:pStyle w:val="Caption"/>
        <w:spacing w:before="240"/>
        <w:rPr>
          <w:b/>
          <w:bCs/>
        </w:rPr>
      </w:pPr>
      <w:bookmarkStart w:id="115" w:name="_Ref148971216"/>
      <w:r w:rsidRPr="001514A4">
        <w:rPr>
          <w:b/>
          <w:bCs/>
        </w:rPr>
        <w:t xml:space="preserve">Table </w:t>
      </w:r>
      <w:r w:rsidRPr="001514A4">
        <w:rPr>
          <w:b/>
          <w:bCs/>
        </w:rPr>
        <w:fldChar w:fldCharType="begin"/>
      </w:r>
      <w:r w:rsidRPr="001514A4">
        <w:rPr>
          <w:b/>
          <w:bCs/>
        </w:rPr>
        <w:instrText xml:space="preserve"> SEQ Table \* ARABIC </w:instrText>
      </w:r>
      <w:r w:rsidRPr="001514A4">
        <w:rPr>
          <w:b/>
          <w:bCs/>
        </w:rPr>
        <w:fldChar w:fldCharType="separate"/>
      </w:r>
      <w:r w:rsidR="0048418F">
        <w:rPr>
          <w:b/>
          <w:bCs/>
          <w:noProof/>
        </w:rPr>
        <w:t>24</w:t>
      </w:r>
      <w:r w:rsidRPr="001514A4">
        <w:rPr>
          <w:b/>
          <w:bCs/>
        </w:rPr>
        <w:fldChar w:fldCharType="end"/>
      </w:r>
      <w:bookmarkEnd w:id="115"/>
      <w:r w:rsidRPr="001514A4">
        <w:rPr>
          <w:b/>
          <w:bCs/>
        </w:rPr>
        <w:t>: Source of allegations of serious misconduct in WA government sector received by Corruption and Crime Commission in 202</w:t>
      </w:r>
      <w:r>
        <w:rPr>
          <w:b/>
          <w:bCs/>
        </w:rPr>
        <w:t>1</w:t>
      </w:r>
      <w:r w:rsidRPr="001514A4">
        <w:rPr>
          <w:b/>
          <w:bCs/>
        </w:rPr>
        <w:t>-2</w:t>
      </w:r>
      <w:r>
        <w:rPr>
          <w:b/>
          <w:bCs/>
        </w:rPr>
        <w:t>2</w:t>
      </w:r>
      <w:r w:rsidRPr="001514A4">
        <w:rPr>
          <w:b/>
          <w:bCs/>
        </w:rPr>
        <w:t xml:space="preserve"> and 202</w:t>
      </w:r>
      <w:r>
        <w:rPr>
          <w:b/>
          <w:bCs/>
        </w:rPr>
        <w:t>2</w:t>
      </w:r>
      <w:r w:rsidRPr="001514A4">
        <w:rPr>
          <w:b/>
          <w:bCs/>
        </w:rPr>
        <w:t>-2</w:t>
      </w:r>
      <w:r>
        <w:rPr>
          <w:b/>
          <w:bCs/>
        </w:rPr>
        <w:t>3</w:t>
      </w:r>
    </w:p>
    <w:tbl>
      <w:tblPr>
        <w:tblStyle w:val="TableGrid"/>
        <w:tblW w:w="9503" w:type="dxa"/>
        <w:tblInd w:w="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24: Source of allegations of serious misconduct in WA government sector received by Corruption and Crime Commission in 2021-22 and 2022-23"/>
      </w:tblPr>
      <w:tblGrid>
        <w:gridCol w:w="2977"/>
        <w:gridCol w:w="1486"/>
        <w:gridCol w:w="1496"/>
        <w:gridCol w:w="992"/>
        <w:gridCol w:w="1559"/>
        <w:gridCol w:w="993"/>
      </w:tblGrid>
      <w:tr w:rsidR="0039634E" w:rsidRPr="00C3003D" w14:paraId="74306615" w14:textId="77777777" w:rsidTr="0039634E">
        <w:trPr>
          <w:trHeight w:val="283"/>
        </w:trPr>
        <w:tc>
          <w:tcPr>
            <w:tcW w:w="2977" w:type="dxa"/>
          </w:tcPr>
          <w:p w14:paraId="1A848D35" w14:textId="0E966EA3" w:rsidR="0039634E" w:rsidRPr="0039634E" w:rsidRDefault="0039634E" w:rsidP="0039634E">
            <w:pPr>
              <w:pStyle w:val="Tables"/>
              <w:jc w:val="left"/>
              <w:rPr>
                <w:bCs/>
                <w:color w:val="2E74B5" w:themeColor="accent1" w:themeShade="BF"/>
              </w:rPr>
            </w:pPr>
            <w:r w:rsidRPr="004472C4">
              <w:rPr>
                <w:b/>
                <w:color w:val="2E74B5" w:themeColor="accent1" w:themeShade="BF"/>
              </w:rPr>
              <w:t>Allegation source</w:t>
            </w:r>
          </w:p>
        </w:tc>
        <w:tc>
          <w:tcPr>
            <w:tcW w:w="1486" w:type="dxa"/>
          </w:tcPr>
          <w:p w14:paraId="6A29E692" w14:textId="3C1F0F7F" w:rsidR="0039634E" w:rsidRPr="004472C4" w:rsidRDefault="0039634E" w:rsidP="0039634E">
            <w:pPr>
              <w:pStyle w:val="Tables"/>
              <w:rPr>
                <w:b/>
                <w:color w:val="2E74B5" w:themeColor="accent1" w:themeShade="BF"/>
              </w:rPr>
            </w:pPr>
            <w:r w:rsidRPr="004472C4">
              <w:rPr>
                <w:b/>
                <w:color w:val="2E74B5" w:themeColor="accent1" w:themeShade="BF"/>
              </w:rPr>
              <w:t>CCM Act</w:t>
            </w:r>
          </w:p>
        </w:tc>
        <w:tc>
          <w:tcPr>
            <w:tcW w:w="1496" w:type="dxa"/>
          </w:tcPr>
          <w:p w14:paraId="5DAF5BA3" w14:textId="77777777" w:rsidR="0039634E" w:rsidRDefault="0039634E" w:rsidP="0039634E">
            <w:pPr>
              <w:pStyle w:val="Tables"/>
              <w:rPr>
                <w:b/>
                <w:bCs/>
                <w:color w:val="2E74B5" w:themeColor="accent1" w:themeShade="BF"/>
              </w:rPr>
            </w:pPr>
            <w:r w:rsidRPr="258887A7">
              <w:rPr>
                <w:b/>
                <w:bCs/>
                <w:color w:val="2E74B5" w:themeColor="accent1" w:themeShade="BF"/>
              </w:rPr>
              <w:t>2021-22</w:t>
            </w:r>
          </w:p>
          <w:p w14:paraId="647F5158" w14:textId="611780A6" w:rsidR="0039634E" w:rsidRPr="004472C4" w:rsidRDefault="0039634E" w:rsidP="0039634E">
            <w:pPr>
              <w:pStyle w:val="Tables"/>
              <w:rPr>
                <w:b/>
                <w:color w:val="2E74B5" w:themeColor="accent1" w:themeShade="BF"/>
              </w:rPr>
            </w:pPr>
            <w:r w:rsidRPr="004472C4">
              <w:rPr>
                <w:b/>
                <w:color w:val="2E74B5" w:themeColor="accent1" w:themeShade="BF"/>
              </w:rPr>
              <w:t>Number</w:t>
            </w:r>
          </w:p>
        </w:tc>
        <w:tc>
          <w:tcPr>
            <w:tcW w:w="992" w:type="dxa"/>
          </w:tcPr>
          <w:p w14:paraId="0D1DD745" w14:textId="77777777" w:rsidR="0039634E" w:rsidRDefault="0039634E" w:rsidP="0039634E">
            <w:pPr>
              <w:pStyle w:val="Tables"/>
              <w:rPr>
                <w:b/>
                <w:bCs/>
                <w:color w:val="2E74B5" w:themeColor="accent1" w:themeShade="BF"/>
              </w:rPr>
            </w:pPr>
            <w:r w:rsidRPr="258887A7">
              <w:rPr>
                <w:b/>
                <w:bCs/>
                <w:color w:val="2E74B5" w:themeColor="accent1" w:themeShade="BF"/>
              </w:rPr>
              <w:t>2021-22</w:t>
            </w:r>
          </w:p>
          <w:p w14:paraId="036082CD" w14:textId="671E3681" w:rsidR="0039634E" w:rsidRPr="004472C4" w:rsidRDefault="0039634E" w:rsidP="0039634E">
            <w:pPr>
              <w:pStyle w:val="Tables"/>
              <w:rPr>
                <w:b/>
                <w:color w:val="2E74B5" w:themeColor="accent1" w:themeShade="BF"/>
              </w:rPr>
            </w:pPr>
            <w:r w:rsidRPr="004472C4">
              <w:rPr>
                <w:b/>
                <w:color w:val="2E74B5" w:themeColor="accent1" w:themeShade="BF"/>
              </w:rPr>
              <w:t>%</w:t>
            </w:r>
          </w:p>
        </w:tc>
        <w:tc>
          <w:tcPr>
            <w:tcW w:w="1559" w:type="dxa"/>
          </w:tcPr>
          <w:p w14:paraId="2308E1BD" w14:textId="77777777" w:rsidR="0039634E" w:rsidRDefault="0039634E" w:rsidP="0039634E">
            <w:pPr>
              <w:pStyle w:val="Tables"/>
              <w:rPr>
                <w:b/>
                <w:bCs/>
                <w:color w:val="2E74B5" w:themeColor="accent1" w:themeShade="BF"/>
              </w:rPr>
            </w:pPr>
            <w:r w:rsidRPr="258887A7">
              <w:rPr>
                <w:b/>
                <w:bCs/>
                <w:color w:val="2E74B5" w:themeColor="accent1" w:themeShade="BF"/>
              </w:rPr>
              <w:t>202</w:t>
            </w:r>
            <w:r>
              <w:rPr>
                <w:b/>
                <w:bCs/>
                <w:color w:val="2E74B5" w:themeColor="accent1" w:themeShade="BF"/>
              </w:rPr>
              <w:t>2</w:t>
            </w:r>
            <w:r w:rsidRPr="258887A7">
              <w:rPr>
                <w:b/>
                <w:bCs/>
                <w:color w:val="2E74B5" w:themeColor="accent1" w:themeShade="BF"/>
              </w:rPr>
              <w:t>-2</w:t>
            </w:r>
            <w:r>
              <w:rPr>
                <w:b/>
                <w:bCs/>
                <w:color w:val="2E74B5" w:themeColor="accent1" w:themeShade="BF"/>
              </w:rPr>
              <w:t>3</w:t>
            </w:r>
          </w:p>
          <w:p w14:paraId="2886A02E" w14:textId="5972C553" w:rsidR="0039634E" w:rsidRPr="004472C4" w:rsidRDefault="0039634E" w:rsidP="0039634E">
            <w:pPr>
              <w:pStyle w:val="Tables"/>
              <w:rPr>
                <w:b/>
                <w:color w:val="2E74B5" w:themeColor="accent1" w:themeShade="BF"/>
              </w:rPr>
            </w:pPr>
            <w:r w:rsidRPr="004472C4">
              <w:rPr>
                <w:b/>
                <w:color w:val="2E74B5" w:themeColor="accent1" w:themeShade="BF"/>
              </w:rPr>
              <w:t>Number</w:t>
            </w:r>
          </w:p>
        </w:tc>
        <w:tc>
          <w:tcPr>
            <w:tcW w:w="993" w:type="dxa"/>
          </w:tcPr>
          <w:p w14:paraId="21DA5A82" w14:textId="77777777" w:rsidR="0039634E" w:rsidRDefault="0039634E" w:rsidP="0039634E">
            <w:pPr>
              <w:pStyle w:val="Tables"/>
              <w:rPr>
                <w:b/>
                <w:bCs/>
                <w:color w:val="2E74B5" w:themeColor="accent1" w:themeShade="BF"/>
              </w:rPr>
            </w:pPr>
            <w:r w:rsidRPr="258887A7">
              <w:rPr>
                <w:b/>
                <w:bCs/>
                <w:color w:val="2E74B5" w:themeColor="accent1" w:themeShade="BF"/>
              </w:rPr>
              <w:t>202</w:t>
            </w:r>
            <w:r>
              <w:rPr>
                <w:b/>
                <w:bCs/>
                <w:color w:val="2E74B5" w:themeColor="accent1" w:themeShade="BF"/>
              </w:rPr>
              <w:t>2</w:t>
            </w:r>
            <w:r w:rsidRPr="258887A7">
              <w:rPr>
                <w:b/>
                <w:bCs/>
                <w:color w:val="2E74B5" w:themeColor="accent1" w:themeShade="BF"/>
              </w:rPr>
              <w:t>-2</w:t>
            </w:r>
            <w:r>
              <w:rPr>
                <w:b/>
                <w:bCs/>
                <w:color w:val="2E74B5" w:themeColor="accent1" w:themeShade="BF"/>
              </w:rPr>
              <w:t>3</w:t>
            </w:r>
          </w:p>
          <w:p w14:paraId="4FBBD6E8" w14:textId="6F6C1E7B" w:rsidR="0039634E" w:rsidRPr="004472C4" w:rsidRDefault="0039634E" w:rsidP="0039634E">
            <w:pPr>
              <w:pStyle w:val="Tables"/>
              <w:rPr>
                <w:b/>
                <w:color w:val="2E74B5" w:themeColor="accent1" w:themeShade="BF"/>
              </w:rPr>
            </w:pPr>
            <w:r w:rsidRPr="004472C4">
              <w:rPr>
                <w:b/>
                <w:color w:val="2E74B5" w:themeColor="accent1" w:themeShade="BF"/>
              </w:rPr>
              <w:t>%</w:t>
            </w:r>
          </w:p>
        </w:tc>
      </w:tr>
      <w:tr w:rsidR="0039634E" w:rsidRPr="00C3003D" w14:paraId="7F8E11ED" w14:textId="77777777">
        <w:trPr>
          <w:trHeight w:val="283"/>
        </w:trPr>
        <w:tc>
          <w:tcPr>
            <w:tcW w:w="2977" w:type="dxa"/>
            <w:vAlign w:val="center"/>
          </w:tcPr>
          <w:p w14:paraId="7FC931BB" w14:textId="77777777" w:rsidR="0039634E" w:rsidRPr="004472C4" w:rsidRDefault="0039634E" w:rsidP="0039634E">
            <w:pPr>
              <w:pStyle w:val="Tables"/>
              <w:jc w:val="left"/>
            </w:pPr>
            <w:r w:rsidRPr="004472C4">
              <w:t>Allegations of serious misconduct notified by public authorities</w:t>
            </w:r>
          </w:p>
        </w:tc>
        <w:tc>
          <w:tcPr>
            <w:tcW w:w="1486" w:type="dxa"/>
            <w:vAlign w:val="center"/>
          </w:tcPr>
          <w:p w14:paraId="6485C7BF" w14:textId="77777777" w:rsidR="0039634E" w:rsidRPr="004472C4" w:rsidRDefault="0039634E" w:rsidP="0039634E">
            <w:pPr>
              <w:pStyle w:val="Tables"/>
            </w:pPr>
            <w:r w:rsidRPr="004472C4">
              <w:t>s 28</w:t>
            </w:r>
          </w:p>
        </w:tc>
        <w:tc>
          <w:tcPr>
            <w:tcW w:w="1496" w:type="dxa"/>
            <w:vAlign w:val="center"/>
          </w:tcPr>
          <w:p w14:paraId="7B4CCB1E" w14:textId="77777777" w:rsidR="0039634E" w:rsidRPr="004472C4" w:rsidRDefault="0039634E" w:rsidP="0039634E">
            <w:pPr>
              <w:pStyle w:val="Tables"/>
            </w:pPr>
            <w:r>
              <w:t>3,332</w:t>
            </w:r>
          </w:p>
        </w:tc>
        <w:tc>
          <w:tcPr>
            <w:tcW w:w="992" w:type="dxa"/>
            <w:vAlign w:val="center"/>
          </w:tcPr>
          <w:p w14:paraId="4C192AD8" w14:textId="77777777" w:rsidR="0039634E" w:rsidRPr="004472C4" w:rsidRDefault="0039634E" w:rsidP="0039634E">
            <w:pPr>
              <w:pStyle w:val="Tables"/>
            </w:pPr>
            <w:r>
              <w:t>47.6%</w:t>
            </w:r>
          </w:p>
        </w:tc>
        <w:tc>
          <w:tcPr>
            <w:tcW w:w="1559" w:type="dxa"/>
            <w:vAlign w:val="center"/>
          </w:tcPr>
          <w:p w14:paraId="7C8D7E80" w14:textId="77777777" w:rsidR="0039634E" w:rsidRPr="004472C4" w:rsidRDefault="0039634E" w:rsidP="0039634E">
            <w:pPr>
              <w:pStyle w:val="Tables"/>
            </w:pPr>
            <w:r>
              <w:t>3,195</w:t>
            </w:r>
          </w:p>
        </w:tc>
        <w:tc>
          <w:tcPr>
            <w:tcW w:w="993" w:type="dxa"/>
            <w:vAlign w:val="center"/>
          </w:tcPr>
          <w:p w14:paraId="5B3AF321" w14:textId="77777777" w:rsidR="0039634E" w:rsidRPr="004472C4" w:rsidRDefault="0039634E" w:rsidP="0039634E">
            <w:pPr>
              <w:pStyle w:val="Tables"/>
            </w:pPr>
            <w:r>
              <w:t>54.2%</w:t>
            </w:r>
          </w:p>
        </w:tc>
      </w:tr>
      <w:tr w:rsidR="0039634E" w:rsidRPr="00C3003D" w14:paraId="12778F89" w14:textId="77777777">
        <w:trPr>
          <w:trHeight w:val="283"/>
        </w:trPr>
        <w:tc>
          <w:tcPr>
            <w:tcW w:w="2977" w:type="dxa"/>
            <w:vAlign w:val="center"/>
          </w:tcPr>
          <w:p w14:paraId="0852A23E" w14:textId="77777777" w:rsidR="0039634E" w:rsidRPr="004472C4" w:rsidRDefault="0039634E" w:rsidP="0039634E">
            <w:pPr>
              <w:pStyle w:val="Tables"/>
              <w:jc w:val="left"/>
            </w:pPr>
            <w:r w:rsidRPr="004472C4">
              <w:t>Allegations of serious misconduct reported by individuals (the public)</w:t>
            </w:r>
          </w:p>
        </w:tc>
        <w:tc>
          <w:tcPr>
            <w:tcW w:w="1486" w:type="dxa"/>
            <w:vAlign w:val="center"/>
          </w:tcPr>
          <w:p w14:paraId="6526E2C9" w14:textId="77777777" w:rsidR="0039634E" w:rsidRPr="004472C4" w:rsidRDefault="0039634E" w:rsidP="0039634E">
            <w:pPr>
              <w:pStyle w:val="Tables"/>
            </w:pPr>
            <w:r w:rsidRPr="004472C4">
              <w:t>s 25</w:t>
            </w:r>
          </w:p>
        </w:tc>
        <w:tc>
          <w:tcPr>
            <w:tcW w:w="1496" w:type="dxa"/>
            <w:vAlign w:val="center"/>
          </w:tcPr>
          <w:p w14:paraId="1FD7370D" w14:textId="77777777" w:rsidR="0039634E" w:rsidRPr="004472C4" w:rsidRDefault="0039634E" w:rsidP="0039634E">
            <w:pPr>
              <w:pStyle w:val="Tables"/>
            </w:pPr>
            <w:r>
              <w:t>3,546</w:t>
            </w:r>
          </w:p>
        </w:tc>
        <w:tc>
          <w:tcPr>
            <w:tcW w:w="992" w:type="dxa"/>
            <w:vAlign w:val="center"/>
          </w:tcPr>
          <w:p w14:paraId="1E67B522" w14:textId="77777777" w:rsidR="0039634E" w:rsidRPr="004472C4" w:rsidRDefault="0039634E" w:rsidP="0039634E">
            <w:pPr>
              <w:pStyle w:val="Tables"/>
            </w:pPr>
            <w:r>
              <w:t>50.6%</w:t>
            </w:r>
          </w:p>
        </w:tc>
        <w:tc>
          <w:tcPr>
            <w:tcW w:w="1559" w:type="dxa"/>
            <w:vAlign w:val="center"/>
          </w:tcPr>
          <w:p w14:paraId="0B9C90CD" w14:textId="77777777" w:rsidR="0039634E" w:rsidRPr="004472C4" w:rsidRDefault="0039634E" w:rsidP="0039634E">
            <w:pPr>
              <w:pStyle w:val="Tables"/>
            </w:pPr>
            <w:r>
              <w:t>2,583</w:t>
            </w:r>
          </w:p>
        </w:tc>
        <w:tc>
          <w:tcPr>
            <w:tcW w:w="993" w:type="dxa"/>
            <w:vAlign w:val="center"/>
          </w:tcPr>
          <w:p w14:paraId="106BCBD6" w14:textId="77777777" w:rsidR="0039634E" w:rsidRPr="004472C4" w:rsidRDefault="0039634E" w:rsidP="0039634E">
            <w:pPr>
              <w:pStyle w:val="Tables"/>
            </w:pPr>
            <w:r>
              <w:t>43.8%</w:t>
            </w:r>
          </w:p>
        </w:tc>
      </w:tr>
      <w:tr w:rsidR="0039634E" w:rsidRPr="00C3003D" w14:paraId="19CA4D64" w14:textId="77777777">
        <w:trPr>
          <w:trHeight w:val="283"/>
        </w:trPr>
        <w:tc>
          <w:tcPr>
            <w:tcW w:w="2977" w:type="dxa"/>
            <w:vAlign w:val="center"/>
          </w:tcPr>
          <w:p w14:paraId="0FCA367E" w14:textId="77777777" w:rsidR="0039634E" w:rsidRPr="004472C4" w:rsidRDefault="0039634E" w:rsidP="0039634E">
            <w:pPr>
              <w:pStyle w:val="Tables"/>
              <w:jc w:val="left"/>
            </w:pPr>
            <w:r w:rsidRPr="004472C4">
              <w:t>Allegations of serious misconduct referred from the Public Sector Commission</w:t>
            </w:r>
          </w:p>
        </w:tc>
        <w:tc>
          <w:tcPr>
            <w:tcW w:w="1486" w:type="dxa"/>
            <w:vAlign w:val="center"/>
          </w:tcPr>
          <w:p w14:paraId="5B992A55" w14:textId="77777777" w:rsidR="0039634E" w:rsidRPr="004472C4" w:rsidRDefault="0039634E" w:rsidP="0039634E">
            <w:pPr>
              <w:pStyle w:val="Tables"/>
            </w:pPr>
            <w:r w:rsidRPr="004472C4">
              <w:t>s 45M(d)</w:t>
            </w:r>
          </w:p>
        </w:tc>
        <w:tc>
          <w:tcPr>
            <w:tcW w:w="1496" w:type="dxa"/>
            <w:vAlign w:val="center"/>
          </w:tcPr>
          <w:p w14:paraId="1DF9DF50" w14:textId="77777777" w:rsidR="0039634E" w:rsidRPr="004472C4" w:rsidRDefault="0039634E" w:rsidP="0039634E">
            <w:pPr>
              <w:pStyle w:val="Tables"/>
            </w:pPr>
            <w:r>
              <w:t>125</w:t>
            </w:r>
          </w:p>
        </w:tc>
        <w:tc>
          <w:tcPr>
            <w:tcW w:w="992" w:type="dxa"/>
            <w:vAlign w:val="center"/>
          </w:tcPr>
          <w:p w14:paraId="15F8D123" w14:textId="77777777" w:rsidR="0039634E" w:rsidRPr="004472C4" w:rsidRDefault="0039634E" w:rsidP="0039634E">
            <w:pPr>
              <w:pStyle w:val="Tables"/>
            </w:pPr>
            <w:r>
              <w:t>1.8%</w:t>
            </w:r>
          </w:p>
        </w:tc>
        <w:tc>
          <w:tcPr>
            <w:tcW w:w="1559" w:type="dxa"/>
            <w:vAlign w:val="center"/>
          </w:tcPr>
          <w:p w14:paraId="057BF3BA" w14:textId="77777777" w:rsidR="0039634E" w:rsidRPr="004472C4" w:rsidRDefault="0039634E" w:rsidP="0039634E">
            <w:pPr>
              <w:pStyle w:val="Tables"/>
            </w:pPr>
            <w:r>
              <w:t>113</w:t>
            </w:r>
          </w:p>
        </w:tc>
        <w:tc>
          <w:tcPr>
            <w:tcW w:w="993" w:type="dxa"/>
            <w:vAlign w:val="center"/>
          </w:tcPr>
          <w:p w14:paraId="7F41C909" w14:textId="77777777" w:rsidR="0039634E" w:rsidRPr="004472C4" w:rsidRDefault="0039634E" w:rsidP="0039634E">
            <w:pPr>
              <w:pStyle w:val="Tables"/>
            </w:pPr>
            <w:r>
              <w:t>1.9%</w:t>
            </w:r>
          </w:p>
        </w:tc>
      </w:tr>
      <w:tr w:rsidR="0039634E" w:rsidRPr="00C3003D" w14:paraId="1AB54E17" w14:textId="77777777">
        <w:trPr>
          <w:trHeight w:val="283"/>
        </w:trPr>
        <w:tc>
          <w:tcPr>
            <w:tcW w:w="2977" w:type="dxa"/>
            <w:vAlign w:val="center"/>
          </w:tcPr>
          <w:p w14:paraId="0107B732" w14:textId="77777777" w:rsidR="0039634E" w:rsidRPr="004472C4" w:rsidRDefault="0039634E" w:rsidP="0039634E">
            <w:pPr>
              <w:pStyle w:val="Tables"/>
              <w:jc w:val="left"/>
            </w:pPr>
            <w:r w:rsidRPr="004472C4">
              <w:t>Corruption and Crime Commission’s propositions of alleged serious misconduct</w:t>
            </w:r>
          </w:p>
        </w:tc>
        <w:tc>
          <w:tcPr>
            <w:tcW w:w="1486" w:type="dxa"/>
            <w:vAlign w:val="center"/>
          </w:tcPr>
          <w:p w14:paraId="200B9FAE" w14:textId="77777777" w:rsidR="0039634E" w:rsidRPr="004472C4" w:rsidRDefault="0039634E" w:rsidP="0039634E">
            <w:pPr>
              <w:pStyle w:val="Tables"/>
            </w:pPr>
            <w:r w:rsidRPr="004472C4">
              <w:t>s 26</w:t>
            </w:r>
          </w:p>
        </w:tc>
        <w:tc>
          <w:tcPr>
            <w:tcW w:w="1496" w:type="dxa"/>
            <w:vAlign w:val="center"/>
          </w:tcPr>
          <w:p w14:paraId="78F9979F" w14:textId="77777777" w:rsidR="0039634E" w:rsidRPr="004472C4" w:rsidRDefault="0039634E" w:rsidP="0039634E">
            <w:pPr>
              <w:pStyle w:val="Tables"/>
            </w:pPr>
            <w:r>
              <w:t>5</w:t>
            </w:r>
          </w:p>
        </w:tc>
        <w:tc>
          <w:tcPr>
            <w:tcW w:w="992" w:type="dxa"/>
            <w:vAlign w:val="center"/>
          </w:tcPr>
          <w:p w14:paraId="1A3AAA0F" w14:textId="77777777" w:rsidR="0039634E" w:rsidRPr="004472C4" w:rsidRDefault="0039634E" w:rsidP="0039634E">
            <w:pPr>
              <w:pStyle w:val="Tables"/>
            </w:pPr>
            <w:r>
              <w:t>0.1%</w:t>
            </w:r>
          </w:p>
        </w:tc>
        <w:tc>
          <w:tcPr>
            <w:tcW w:w="1559" w:type="dxa"/>
            <w:vAlign w:val="center"/>
          </w:tcPr>
          <w:p w14:paraId="579AC3E9" w14:textId="77777777" w:rsidR="0039634E" w:rsidRPr="004472C4" w:rsidRDefault="0039634E" w:rsidP="0039634E">
            <w:pPr>
              <w:pStyle w:val="Tables"/>
            </w:pPr>
            <w:r>
              <w:t>4</w:t>
            </w:r>
          </w:p>
        </w:tc>
        <w:tc>
          <w:tcPr>
            <w:tcW w:w="993" w:type="dxa"/>
            <w:vAlign w:val="center"/>
          </w:tcPr>
          <w:p w14:paraId="675A9FE7" w14:textId="77777777" w:rsidR="0039634E" w:rsidRPr="004472C4" w:rsidRDefault="0039634E" w:rsidP="0039634E">
            <w:pPr>
              <w:pStyle w:val="Tables"/>
            </w:pPr>
            <w:r>
              <w:t>0.1%</w:t>
            </w:r>
          </w:p>
        </w:tc>
      </w:tr>
      <w:tr w:rsidR="0039634E" w:rsidRPr="00C3003D" w14:paraId="10BC237C" w14:textId="77777777">
        <w:trPr>
          <w:trHeight w:val="283"/>
        </w:trPr>
        <w:tc>
          <w:tcPr>
            <w:tcW w:w="2977" w:type="dxa"/>
            <w:vAlign w:val="center"/>
          </w:tcPr>
          <w:p w14:paraId="388194C8" w14:textId="77777777" w:rsidR="0039634E" w:rsidRPr="004472C4" w:rsidRDefault="0039634E" w:rsidP="0039634E">
            <w:pPr>
              <w:pStyle w:val="Tables"/>
              <w:jc w:val="left"/>
              <w:rPr>
                <w:b/>
              </w:rPr>
            </w:pPr>
            <w:r w:rsidRPr="004472C4">
              <w:rPr>
                <w:b/>
              </w:rPr>
              <w:t>Total</w:t>
            </w:r>
          </w:p>
        </w:tc>
        <w:tc>
          <w:tcPr>
            <w:tcW w:w="1486" w:type="dxa"/>
          </w:tcPr>
          <w:p w14:paraId="5E35A0FC" w14:textId="77777777" w:rsidR="0039634E" w:rsidRPr="004472C4" w:rsidRDefault="0039634E" w:rsidP="0039634E">
            <w:pPr>
              <w:pStyle w:val="Tables"/>
              <w:rPr>
                <w:b/>
              </w:rPr>
            </w:pPr>
          </w:p>
        </w:tc>
        <w:tc>
          <w:tcPr>
            <w:tcW w:w="1496" w:type="dxa"/>
            <w:vAlign w:val="center"/>
          </w:tcPr>
          <w:p w14:paraId="4A6DC5B4" w14:textId="77777777" w:rsidR="0039634E" w:rsidRPr="004472C4" w:rsidRDefault="0039634E" w:rsidP="0039634E">
            <w:pPr>
              <w:pStyle w:val="Tables"/>
              <w:rPr>
                <w:b/>
                <w:bCs/>
              </w:rPr>
            </w:pPr>
            <w:r w:rsidRPr="258887A7">
              <w:rPr>
                <w:b/>
                <w:bCs/>
              </w:rPr>
              <w:t>7,008</w:t>
            </w:r>
          </w:p>
        </w:tc>
        <w:tc>
          <w:tcPr>
            <w:tcW w:w="992" w:type="dxa"/>
            <w:vAlign w:val="center"/>
          </w:tcPr>
          <w:p w14:paraId="70466247" w14:textId="77777777" w:rsidR="0039634E" w:rsidRPr="004472C4" w:rsidRDefault="0039634E" w:rsidP="0039634E">
            <w:pPr>
              <w:pStyle w:val="Tables"/>
              <w:rPr>
                <w:b/>
                <w:bCs/>
              </w:rPr>
            </w:pPr>
            <w:r w:rsidRPr="258887A7">
              <w:rPr>
                <w:b/>
                <w:bCs/>
              </w:rPr>
              <w:t>100%</w:t>
            </w:r>
          </w:p>
        </w:tc>
        <w:tc>
          <w:tcPr>
            <w:tcW w:w="1559" w:type="dxa"/>
            <w:vAlign w:val="center"/>
          </w:tcPr>
          <w:p w14:paraId="57354078" w14:textId="77777777" w:rsidR="0039634E" w:rsidRPr="004472C4" w:rsidRDefault="0039634E" w:rsidP="0039634E">
            <w:pPr>
              <w:pStyle w:val="Tables"/>
              <w:rPr>
                <w:b/>
                <w:bCs/>
              </w:rPr>
            </w:pPr>
            <w:r>
              <w:rPr>
                <w:b/>
                <w:bCs/>
              </w:rPr>
              <w:t>5,895</w:t>
            </w:r>
          </w:p>
        </w:tc>
        <w:tc>
          <w:tcPr>
            <w:tcW w:w="993" w:type="dxa"/>
            <w:vAlign w:val="center"/>
          </w:tcPr>
          <w:p w14:paraId="30F70D0B" w14:textId="77777777" w:rsidR="0039634E" w:rsidRPr="004472C4" w:rsidRDefault="0039634E" w:rsidP="0039634E">
            <w:pPr>
              <w:pStyle w:val="Tables"/>
              <w:rPr>
                <w:b/>
                <w:bCs/>
              </w:rPr>
            </w:pPr>
            <w:r>
              <w:rPr>
                <w:b/>
                <w:bCs/>
              </w:rPr>
              <w:t>100%</w:t>
            </w:r>
          </w:p>
        </w:tc>
      </w:tr>
    </w:tbl>
    <w:p w14:paraId="2F2351A5" w14:textId="77777777" w:rsidR="00902AEC" w:rsidRDefault="00902AEC">
      <w:pPr>
        <w:spacing w:before="240"/>
      </w:pPr>
      <w:r>
        <w:br w:type="page"/>
      </w:r>
    </w:p>
    <w:p w14:paraId="1CAA0046" w14:textId="7FB49A18" w:rsidR="000D42F1" w:rsidRDefault="00830398">
      <w:pPr>
        <w:spacing w:before="240"/>
      </w:pPr>
      <w:r>
        <w:lastRenderedPageBreak/>
        <w:fldChar w:fldCharType="begin"/>
      </w:r>
      <w:r>
        <w:instrText xml:space="preserve"> REF _Ref148971508 \h  \* MERGEFORMAT </w:instrText>
      </w:r>
      <w:r>
        <w:fldChar w:fldCharType="separate"/>
      </w:r>
      <w:r w:rsidR="0048418F" w:rsidRPr="0048418F">
        <w:t>Table 25</w:t>
      </w:r>
      <w:r>
        <w:fldChar w:fldCharType="end"/>
      </w:r>
      <w:r>
        <w:t xml:space="preserve"> </w:t>
      </w:r>
      <w:r w:rsidR="000D42F1">
        <w:t>provides an overview of the assessment decisions for allegations assessed during 2022-23 compared with the previous reporting period.</w:t>
      </w:r>
    </w:p>
    <w:p w14:paraId="40D9480F" w14:textId="7F48E225" w:rsidR="000D42F1" w:rsidRPr="00F52182" w:rsidRDefault="000D42F1">
      <w:pPr>
        <w:pStyle w:val="Caption"/>
        <w:spacing w:before="240"/>
        <w:rPr>
          <w:b/>
          <w:bCs/>
        </w:rPr>
      </w:pPr>
      <w:bookmarkStart w:id="116" w:name="_Ref148971508"/>
      <w:r w:rsidRPr="00F52182">
        <w:rPr>
          <w:b/>
          <w:bCs/>
        </w:rPr>
        <w:t xml:space="preserve">Table </w:t>
      </w:r>
      <w:r w:rsidRPr="00F52182">
        <w:rPr>
          <w:b/>
          <w:bCs/>
        </w:rPr>
        <w:fldChar w:fldCharType="begin"/>
      </w:r>
      <w:r w:rsidRPr="00F52182">
        <w:rPr>
          <w:b/>
          <w:bCs/>
        </w:rPr>
        <w:instrText>SEQ Table \* ARABIC</w:instrText>
      </w:r>
      <w:r w:rsidRPr="00F52182">
        <w:rPr>
          <w:b/>
          <w:bCs/>
        </w:rPr>
        <w:fldChar w:fldCharType="separate"/>
      </w:r>
      <w:r w:rsidR="0048418F">
        <w:rPr>
          <w:b/>
          <w:bCs/>
          <w:noProof/>
        </w:rPr>
        <w:t>25</w:t>
      </w:r>
      <w:r w:rsidRPr="00F52182">
        <w:rPr>
          <w:b/>
          <w:bCs/>
        </w:rPr>
        <w:fldChar w:fldCharType="end"/>
      </w:r>
      <w:bookmarkEnd w:id="116"/>
      <w:r w:rsidRPr="00F52182">
        <w:rPr>
          <w:b/>
          <w:bCs/>
        </w:rPr>
        <w:t>: Action taken in relation to allegations of serious misconduct, WA government sector 202</w:t>
      </w:r>
      <w:r>
        <w:rPr>
          <w:b/>
          <w:bCs/>
        </w:rPr>
        <w:t>1</w:t>
      </w:r>
      <w:r w:rsidRPr="00F52182">
        <w:rPr>
          <w:b/>
          <w:bCs/>
        </w:rPr>
        <w:t>-2</w:t>
      </w:r>
      <w:r>
        <w:rPr>
          <w:b/>
          <w:bCs/>
        </w:rPr>
        <w:t>2</w:t>
      </w:r>
      <w:r w:rsidRPr="00F52182">
        <w:rPr>
          <w:b/>
          <w:bCs/>
        </w:rPr>
        <w:t xml:space="preserve"> and 202</w:t>
      </w:r>
      <w:r>
        <w:rPr>
          <w:b/>
          <w:bCs/>
        </w:rPr>
        <w:t>2</w:t>
      </w:r>
      <w:r w:rsidRPr="00F52182">
        <w:rPr>
          <w:b/>
          <w:bCs/>
        </w:rPr>
        <w:t>-2</w:t>
      </w:r>
      <w:r>
        <w:rPr>
          <w:b/>
          <w:bCs/>
        </w:rPr>
        <w:t>3</w:t>
      </w:r>
    </w:p>
    <w:tbl>
      <w:tblPr>
        <w:tblStyle w:val="TableGrid"/>
        <w:tblW w:w="9498" w:type="dxa"/>
        <w:tblInd w:w="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25: Action taken in relation to allegations of serious misconduct, WA government sector 2021-22 and 2022-23"/>
      </w:tblPr>
      <w:tblGrid>
        <w:gridCol w:w="4962"/>
        <w:gridCol w:w="1134"/>
        <w:gridCol w:w="1134"/>
        <w:gridCol w:w="1134"/>
        <w:gridCol w:w="1134"/>
      </w:tblGrid>
      <w:tr w:rsidR="000D42F1" w:rsidRPr="00C3003D" w14:paraId="5877A15F" w14:textId="77777777" w:rsidTr="0039634E">
        <w:trPr>
          <w:trHeight w:val="283"/>
        </w:trPr>
        <w:tc>
          <w:tcPr>
            <w:tcW w:w="4962" w:type="dxa"/>
          </w:tcPr>
          <w:p w14:paraId="6F775DE0" w14:textId="268DBF66" w:rsidR="000D42F1" w:rsidRPr="00DA29F5" w:rsidRDefault="0039634E" w:rsidP="0039634E">
            <w:pPr>
              <w:pStyle w:val="Tables"/>
              <w:jc w:val="left"/>
              <w:rPr>
                <w:b/>
                <w:color w:val="2E74B5" w:themeColor="accent1" w:themeShade="BF"/>
              </w:rPr>
            </w:pPr>
            <w:r w:rsidRPr="00DA29F5">
              <w:rPr>
                <w:b/>
                <w:color w:val="2E74B5" w:themeColor="accent1" w:themeShade="BF"/>
              </w:rPr>
              <w:t>Action taken</w:t>
            </w:r>
          </w:p>
        </w:tc>
        <w:tc>
          <w:tcPr>
            <w:tcW w:w="1134" w:type="dxa"/>
          </w:tcPr>
          <w:p w14:paraId="611127F1" w14:textId="77777777" w:rsidR="0039634E" w:rsidRDefault="0039634E" w:rsidP="0039634E">
            <w:pPr>
              <w:pStyle w:val="Tables"/>
              <w:rPr>
                <w:b/>
                <w:bCs/>
                <w:color w:val="2E74B5" w:themeColor="accent1" w:themeShade="BF"/>
              </w:rPr>
            </w:pPr>
            <w:r w:rsidRPr="258887A7">
              <w:rPr>
                <w:b/>
                <w:bCs/>
                <w:color w:val="2E74B5" w:themeColor="accent1" w:themeShade="BF"/>
              </w:rPr>
              <w:t>2021-22</w:t>
            </w:r>
          </w:p>
          <w:p w14:paraId="51593EA1" w14:textId="722DC5FB" w:rsidR="000D42F1" w:rsidRPr="00DA29F5" w:rsidRDefault="000D42F1" w:rsidP="0039634E">
            <w:pPr>
              <w:pStyle w:val="Tables"/>
              <w:rPr>
                <w:b/>
                <w:color w:val="2E74B5" w:themeColor="accent1" w:themeShade="BF"/>
              </w:rPr>
            </w:pPr>
            <w:r w:rsidRPr="00DA29F5">
              <w:rPr>
                <w:b/>
                <w:color w:val="2E74B5" w:themeColor="accent1" w:themeShade="BF"/>
              </w:rPr>
              <w:t>Number</w:t>
            </w:r>
          </w:p>
        </w:tc>
        <w:tc>
          <w:tcPr>
            <w:tcW w:w="1134" w:type="dxa"/>
          </w:tcPr>
          <w:p w14:paraId="4A151D8D" w14:textId="77777777" w:rsidR="0039634E" w:rsidRDefault="0039634E" w:rsidP="0039634E">
            <w:pPr>
              <w:pStyle w:val="Tables"/>
              <w:rPr>
                <w:b/>
                <w:bCs/>
                <w:color w:val="2E74B5" w:themeColor="accent1" w:themeShade="BF"/>
              </w:rPr>
            </w:pPr>
            <w:r w:rsidRPr="258887A7">
              <w:rPr>
                <w:b/>
                <w:bCs/>
                <w:color w:val="2E74B5" w:themeColor="accent1" w:themeShade="BF"/>
              </w:rPr>
              <w:t>2021-22</w:t>
            </w:r>
          </w:p>
          <w:p w14:paraId="67C481D3" w14:textId="028BD91F" w:rsidR="000D42F1" w:rsidRPr="00DA29F5" w:rsidRDefault="000D42F1" w:rsidP="0039634E">
            <w:pPr>
              <w:pStyle w:val="Tables"/>
              <w:rPr>
                <w:b/>
                <w:color w:val="2E74B5" w:themeColor="accent1" w:themeShade="BF"/>
              </w:rPr>
            </w:pPr>
            <w:r w:rsidRPr="00DA29F5">
              <w:rPr>
                <w:b/>
                <w:color w:val="2E74B5" w:themeColor="accent1" w:themeShade="BF"/>
              </w:rPr>
              <w:t>%</w:t>
            </w:r>
          </w:p>
        </w:tc>
        <w:tc>
          <w:tcPr>
            <w:tcW w:w="1134" w:type="dxa"/>
          </w:tcPr>
          <w:p w14:paraId="6DE2F131" w14:textId="77777777" w:rsidR="0039634E" w:rsidRDefault="0039634E" w:rsidP="0039634E">
            <w:pPr>
              <w:pStyle w:val="Tables"/>
              <w:rPr>
                <w:b/>
                <w:bCs/>
                <w:color w:val="2E74B5" w:themeColor="accent1" w:themeShade="BF"/>
              </w:rPr>
            </w:pPr>
            <w:r w:rsidRPr="258887A7">
              <w:rPr>
                <w:b/>
                <w:bCs/>
                <w:color w:val="2E74B5" w:themeColor="accent1" w:themeShade="BF"/>
              </w:rPr>
              <w:t>202</w:t>
            </w:r>
            <w:r>
              <w:rPr>
                <w:b/>
                <w:bCs/>
                <w:color w:val="2E74B5" w:themeColor="accent1" w:themeShade="BF"/>
              </w:rPr>
              <w:t>2</w:t>
            </w:r>
            <w:r w:rsidRPr="258887A7">
              <w:rPr>
                <w:b/>
                <w:bCs/>
                <w:color w:val="2E74B5" w:themeColor="accent1" w:themeShade="BF"/>
              </w:rPr>
              <w:t>-2</w:t>
            </w:r>
            <w:r>
              <w:rPr>
                <w:b/>
                <w:bCs/>
                <w:color w:val="2E74B5" w:themeColor="accent1" w:themeShade="BF"/>
              </w:rPr>
              <w:t>3</w:t>
            </w:r>
          </w:p>
          <w:p w14:paraId="78B56599" w14:textId="021EAD17" w:rsidR="000D42F1" w:rsidRPr="00DA29F5" w:rsidRDefault="000D42F1" w:rsidP="0039634E">
            <w:pPr>
              <w:pStyle w:val="Tables"/>
              <w:rPr>
                <w:b/>
                <w:color w:val="2E74B5" w:themeColor="accent1" w:themeShade="BF"/>
              </w:rPr>
            </w:pPr>
            <w:r w:rsidRPr="00DA29F5">
              <w:rPr>
                <w:b/>
                <w:color w:val="2E74B5" w:themeColor="accent1" w:themeShade="BF"/>
              </w:rPr>
              <w:t>Number</w:t>
            </w:r>
          </w:p>
        </w:tc>
        <w:tc>
          <w:tcPr>
            <w:tcW w:w="1134" w:type="dxa"/>
          </w:tcPr>
          <w:p w14:paraId="6DEBA432" w14:textId="77777777" w:rsidR="0039634E" w:rsidRDefault="0039634E" w:rsidP="0039634E">
            <w:pPr>
              <w:pStyle w:val="Tables"/>
              <w:rPr>
                <w:b/>
                <w:bCs/>
                <w:color w:val="2E74B5" w:themeColor="accent1" w:themeShade="BF"/>
              </w:rPr>
            </w:pPr>
            <w:r w:rsidRPr="258887A7">
              <w:rPr>
                <w:b/>
                <w:bCs/>
                <w:color w:val="2E74B5" w:themeColor="accent1" w:themeShade="BF"/>
              </w:rPr>
              <w:t>202</w:t>
            </w:r>
            <w:r>
              <w:rPr>
                <w:b/>
                <w:bCs/>
                <w:color w:val="2E74B5" w:themeColor="accent1" w:themeShade="BF"/>
              </w:rPr>
              <w:t>2</w:t>
            </w:r>
            <w:r w:rsidRPr="258887A7">
              <w:rPr>
                <w:b/>
                <w:bCs/>
                <w:color w:val="2E74B5" w:themeColor="accent1" w:themeShade="BF"/>
              </w:rPr>
              <w:t>-2</w:t>
            </w:r>
            <w:r>
              <w:rPr>
                <w:b/>
                <w:bCs/>
                <w:color w:val="2E74B5" w:themeColor="accent1" w:themeShade="BF"/>
              </w:rPr>
              <w:t>3</w:t>
            </w:r>
          </w:p>
          <w:p w14:paraId="620798A3" w14:textId="1AA2ADA0" w:rsidR="000D42F1" w:rsidRPr="00DA29F5" w:rsidRDefault="000D42F1" w:rsidP="0039634E">
            <w:pPr>
              <w:pStyle w:val="Tables"/>
              <w:rPr>
                <w:b/>
                <w:color w:val="2E74B5" w:themeColor="accent1" w:themeShade="BF"/>
              </w:rPr>
            </w:pPr>
            <w:r w:rsidRPr="00DA29F5">
              <w:rPr>
                <w:b/>
                <w:color w:val="2E74B5" w:themeColor="accent1" w:themeShade="BF"/>
              </w:rPr>
              <w:t>%</w:t>
            </w:r>
          </w:p>
        </w:tc>
      </w:tr>
      <w:tr w:rsidR="000D42F1" w:rsidRPr="00C3003D" w14:paraId="2C34E0A1"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00769288" w14:textId="77777777" w:rsidR="000D42F1" w:rsidRPr="00DA29F5" w:rsidRDefault="000D42F1">
            <w:pPr>
              <w:pStyle w:val="Tables"/>
              <w:jc w:val="left"/>
            </w:pPr>
            <w:r>
              <w:t>Out of jurisdiction</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tcPr>
          <w:p w14:paraId="5FE016CA" w14:textId="77777777" w:rsidR="000D42F1" w:rsidRPr="00DA29F5" w:rsidRDefault="000D42F1">
            <w:pPr>
              <w:pStyle w:val="Tables"/>
            </w:pPr>
            <w:r>
              <w:t>1,125</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tcPr>
          <w:p w14:paraId="32D723BE" w14:textId="77777777" w:rsidR="000D42F1" w:rsidRPr="00DA29F5" w:rsidRDefault="000D42F1">
            <w:pPr>
              <w:pStyle w:val="Tables"/>
            </w:pPr>
            <w:r>
              <w:t>16.1%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830598" w14:textId="77777777" w:rsidR="000D42F1" w:rsidRPr="00DA29F5" w:rsidRDefault="000D42F1">
            <w:pPr>
              <w:pStyle w:val="Tables"/>
            </w:pPr>
            <w:r w:rsidRPr="0093708A">
              <w:t>734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7A5C53" w14:textId="0A2896EC" w:rsidR="000D42F1" w:rsidRPr="00DA29F5" w:rsidRDefault="000D42F1">
            <w:pPr>
              <w:pStyle w:val="Tables"/>
            </w:pPr>
            <w:r w:rsidRPr="0093708A">
              <w:t>12.</w:t>
            </w:r>
            <w:r w:rsidR="002C4AA8">
              <w:t>4</w:t>
            </w:r>
            <w:r w:rsidRPr="0093708A">
              <w:t>%</w:t>
            </w:r>
          </w:p>
        </w:tc>
      </w:tr>
      <w:tr w:rsidR="000D42F1" w:rsidRPr="00C3003D" w14:paraId="71F4C51E"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039A5071" w14:textId="77777777" w:rsidR="000D42F1" w:rsidRPr="00DA29F5" w:rsidRDefault="000D42F1">
            <w:pPr>
              <w:pStyle w:val="Tables"/>
              <w:jc w:val="left"/>
            </w:pPr>
            <w:r>
              <w:t>Take no</w:t>
            </w:r>
            <w:r w:rsidRPr="00DA29F5">
              <w:t xml:space="preserve"> further action</w:t>
            </w:r>
            <w:r>
              <w:t xml:space="preserve"> </w:t>
            </w:r>
            <w:r w:rsidRPr="00DA29F5">
              <w:t>– s 33(1)(d)</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tcPr>
          <w:p w14:paraId="520CAB42" w14:textId="77777777" w:rsidR="000D42F1" w:rsidRPr="00DA29F5" w:rsidRDefault="000D42F1">
            <w:pPr>
              <w:pStyle w:val="Tables"/>
            </w:pPr>
            <w:r>
              <w:t>4,488</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tcPr>
          <w:p w14:paraId="4B12E342" w14:textId="77777777" w:rsidR="000D42F1" w:rsidRPr="00DA29F5" w:rsidRDefault="000D42F1">
            <w:pPr>
              <w:pStyle w:val="Tables"/>
            </w:pPr>
            <w:r>
              <w:t>64.0%</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A5447A" w14:textId="76C71224" w:rsidR="000D42F1" w:rsidRPr="00DA29F5" w:rsidRDefault="000D42F1">
            <w:pPr>
              <w:pStyle w:val="Tables"/>
            </w:pPr>
            <w:r w:rsidRPr="0093708A">
              <w:t>4,32</w:t>
            </w:r>
            <w:r w:rsidR="002C4AA8">
              <w:t>5</w:t>
            </w:r>
          </w:p>
        </w:tc>
        <w:tc>
          <w:tcPr>
            <w:tcW w:w="1134" w:type="dxa"/>
            <w:tcBorders>
              <w:top w:val="nil"/>
              <w:left w:val="nil"/>
              <w:bottom w:val="single" w:sz="4" w:space="0" w:color="auto"/>
              <w:right w:val="single" w:sz="4" w:space="0" w:color="auto"/>
            </w:tcBorders>
            <w:shd w:val="clear" w:color="auto" w:fill="auto"/>
            <w:vAlign w:val="center"/>
          </w:tcPr>
          <w:p w14:paraId="1540CC92" w14:textId="77777777" w:rsidR="000D42F1" w:rsidRPr="00DA29F5" w:rsidRDefault="000D42F1">
            <w:pPr>
              <w:pStyle w:val="Tables"/>
            </w:pPr>
            <w:r w:rsidRPr="0093708A">
              <w:t>73.4%</w:t>
            </w:r>
          </w:p>
        </w:tc>
      </w:tr>
      <w:tr w:rsidR="000D42F1" w:rsidRPr="00C3003D" w14:paraId="3EA5A6DA"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563B060F" w14:textId="77777777" w:rsidR="000D42F1" w:rsidRPr="00DA29F5" w:rsidRDefault="000D42F1">
            <w:pPr>
              <w:pStyle w:val="Tables"/>
              <w:jc w:val="left"/>
            </w:pPr>
            <w:r>
              <w:t>R</w:t>
            </w:r>
            <w:r w:rsidRPr="00DA29F5">
              <w:t>eferred to an appropriate authority or independent agency for action – s 33(1)(c)</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31645886" w14:textId="77777777" w:rsidR="000D42F1" w:rsidRPr="002D1AAF" w:rsidRDefault="000D42F1">
            <w:pPr>
              <w:pStyle w:val="Tables"/>
            </w:pPr>
            <w:r w:rsidRPr="002D1AAF">
              <w:t>1,313</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71A4D5CF" w14:textId="77777777" w:rsidR="000D42F1" w:rsidRPr="00DA29F5" w:rsidRDefault="000D42F1">
            <w:pPr>
              <w:pStyle w:val="Tables"/>
            </w:pPr>
            <w:r>
              <w:t>18.7%</w:t>
            </w:r>
          </w:p>
        </w:tc>
        <w:tc>
          <w:tcPr>
            <w:tcW w:w="1134" w:type="dxa"/>
            <w:tcBorders>
              <w:top w:val="nil"/>
              <w:left w:val="single" w:sz="4" w:space="0" w:color="auto"/>
              <w:bottom w:val="single" w:sz="4" w:space="0" w:color="auto"/>
              <w:right w:val="single" w:sz="4" w:space="0" w:color="auto"/>
            </w:tcBorders>
            <w:shd w:val="clear" w:color="auto" w:fill="auto"/>
            <w:vAlign w:val="center"/>
          </w:tcPr>
          <w:p w14:paraId="5BAB4AD4" w14:textId="552D4563" w:rsidR="000D42F1" w:rsidRPr="00DA29F5" w:rsidRDefault="000D42F1">
            <w:pPr>
              <w:pStyle w:val="Tables"/>
            </w:pPr>
            <w:r w:rsidRPr="0093708A">
              <w:t>78</w:t>
            </w:r>
            <w:r w:rsidR="002C4AA8">
              <w:t>6</w:t>
            </w:r>
          </w:p>
        </w:tc>
        <w:tc>
          <w:tcPr>
            <w:tcW w:w="1134" w:type="dxa"/>
            <w:tcBorders>
              <w:top w:val="nil"/>
              <w:left w:val="nil"/>
              <w:bottom w:val="single" w:sz="4" w:space="0" w:color="auto"/>
              <w:right w:val="single" w:sz="4" w:space="0" w:color="auto"/>
            </w:tcBorders>
            <w:shd w:val="clear" w:color="auto" w:fill="auto"/>
            <w:vAlign w:val="center"/>
          </w:tcPr>
          <w:p w14:paraId="55627EC1" w14:textId="588806CF" w:rsidR="000D42F1" w:rsidRPr="00DA29F5" w:rsidRDefault="000D42F1">
            <w:pPr>
              <w:pStyle w:val="Tables"/>
            </w:pPr>
            <w:r w:rsidRPr="0093708A">
              <w:t>13.</w:t>
            </w:r>
            <w:r w:rsidR="002C4AA8">
              <w:t>3</w:t>
            </w:r>
            <w:r w:rsidRPr="0093708A">
              <w:t>%</w:t>
            </w:r>
          </w:p>
        </w:tc>
      </w:tr>
      <w:tr w:rsidR="000D42F1" w:rsidRPr="00C3003D" w14:paraId="0B916A87"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73FED2E2" w14:textId="77777777" w:rsidR="000D42F1" w:rsidRPr="0020264D" w:rsidRDefault="000D42F1" w:rsidP="0039634E">
            <w:pPr>
              <w:pStyle w:val="Tables"/>
              <w:ind w:left="589"/>
              <w:jc w:val="left"/>
              <w:rPr>
                <w:i/>
                <w:iCs/>
              </w:rPr>
            </w:pPr>
            <w:r w:rsidRPr="0020264D">
              <w:rPr>
                <w:i/>
                <w:iCs/>
              </w:rPr>
              <w:t>Referred to appropriate authority – monitor for outcome</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11ED1234" w14:textId="77777777" w:rsidR="000D42F1" w:rsidRPr="00DA29F5" w:rsidRDefault="000D42F1">
            <w:pPr>
              <w:pStyle w:val="Tables"/>
              <w:rPr>
                <w:i/>
                <w:iCs/>
              </w:rPr>
            </w:pPr>
            <w:r w:rsidRPr="258887A7">
              <w:rPr>
                <w:i/>
                <w:iCs/>
              </w:rPr>
              <w:t>1,269</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4EE01029" w14:textId="77777777" w:rsidR="000D42F1" w:rsidRPr="00DA29F5" w:rsidRDefault="000D42F1">
            <w:pPr>
              <w:pStyle w:val="Tables"/>
              <w:rPr>
                <w:i/>
                <w:iCs/>
              </w:rPr>
            </w:pPr>
            <w:r w:rsidRPr="258887A7">
              <w:rPr>
                <w:i/>
                <w:iCs/>
              </w:rPr>
              <w:t>18.1%</w:t>
            </w:r>
          </w:p>
        </w:tc>
        <w:tc>
          <w:tcPr>
            <w:tcW w:w="1134" w:type="dxa"/>
            <w:tcBorders>
              <w:top w:val="nil"/>
              <w:left w:val="single" w:sz="4" w:space="0" w:color="auto"/>
              <w:bottom w:val="single" w:sz="4" w:space="0" w:color="auto"/>
              <w:right w:val="single" w:sz="4" w:space="0" w:color="auto"/>
            </w:tcBorders>
            <w:shd w:val="clear" w:color="auto" w:fill="auto"/>
            <w:vAlign w:val="center"/>
          </w:tcPr>
          <w:p w14:paraId="04D8C260" w14:textId="77777777" w:rsidR="000D42F1" w:rsidRPr="002D1AAF" w:rsidRDefault="000D42F1">
            <w:pPr>
              <w:pStyle w:val="Tables"/>
              <w:rPr>
                <w:i/>
                <w:iCs/>
              </w:rPr>
            </w:pPr>
            <w:r w:rsidRPr="002D1AAF">
              <w:rPr>
                <w:i/>
                <w:iCs/>
              </w:rPr>
              <w:t>721</w:t>
            </w:r>
          </w:p>
        </w:tc>
        <w:tc>
          <w:tcPr>
            <w:tcW w:w="1134" w:type="dxa"/>
            <w:tcBorders>
              <w:top w:val="nil"/>
              <w:left w:val="nil"/>
              <w:bottom w:val="single" w:sz="4" w:space="0" w:color="auto"/>
              <w:right w:val="single" w:sz="4" w:space="0" w:color="auto"/>
            </w:tcBorders>
            <w:shd w:val="clear" w:color="auto" w:fill="auto"/>
            <w:vAlign w:val="center"/>
          </w:tcPr>
          <w:p w14:paraId="0AA58950" w14:textId="77777777" w:rsidR="000D42F1" w:rsidRPr="00A35464" w:rsidRDefault="000D42F1">
            <w:pPr>
              <w:pStyle w:val="Tables"/>
              <w:rPr>
                <w:i/>
                <w:iCs/>
              </w:rPr>
            </w:pPr>
            <w:r w:rsidRPr="00A35464">
              <w:rPr>
                <w:i/>
                <w:iCs/>
              </w:rPr>
              <w:t>12.2%</w:t>
            </w:r>
          </w:p>
        </w:tc>
      </w:tr>
      <w:tr w:rsidR="000D42F1" w:rsidRPr="00C3003D" w14:paraId="584F4C04"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64B073D0" w14:textId="77777777" w:rsidR="000D42F1" w:rsidRPr="0020264D" w:rsidRDefault="000D42F1" w:rsidP="0039634E">
            <w:pPr>
              <w:pStyle w:val="Tables"/>
              <w:ind w:left="589"/>
              <w:jc w:val="left"/>
              <w:rPr>
                <w:i/>
                <w:iCs/>
              </w:rPr>
            </w:pPr>
            <w:r w:rsidRPr="0020264D">
              <w:rPr>
                <w:i/>
                <w:iCs/>
              </w:rPr>
              <w:t>Referred to appropriate authority – monitor for review</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6057EA4C" w14:textId="77777777" w:rsidR="000D42F1" w:rsidRPr="00DA29F5" w:rsidRDefault="000D42F1">
            <w:pPr>
              <w:pStyle w:val="Tables"/>
              <w:rPr>
                <w:i/>
                <w:iCs/>
              </w:rPr>
            </w:pPr>
            <w:r w:rsidRPr="258887A7">
              <w:rPr>
                <w:i/>
                <w:iCs/>
              </w:rPr>
              <w:t>44</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27C4497E" w14:textId="77777777" w:rsidR="000D42F1" w:rsidRPr="00DA29F5" w:rsidRDefault="000D42F1">
            <w:pPr>
              <w:pStyle w:val="Tables"/>
              <w:rPr>
                <w:i/>
                <w:iCs/>
              </w:rPr>
            </w:pPr>
            <w:r w:rsidRPr="258887A7">
              <w:rPr>
                <w:i/>
                <w:iCs/>
              </w:rPr>
              <w:t>0.6%</w:t>
            </w:r>
          </w:p>
        </w:tc>
        <w:tc>
          <w:tcPr>
            <w:tcW w:w="1134" w:type="dxa"/>
            <w:tcBorders>
              <w:top w:val="nil"/>
              <w:left w:val="single" w:sz="4" w:space="0" w:color="auto"/>
              <w:bottom w:val="single" w:sz="4" w:space="0" w:color="auto"/>
              <w:right w:val="single" w:sz="4" w:space="0" w:color="auto"/>
            </w:tcBorders>
            <w:shd w:val="clear" w:color="auto" w:fill="auto"/>
            <w:vAlign w:val="center"/>
          </w:tcPr>
          <w:p w14:paraId="30441F1F" w14:textId="65EE6ED4" w:rsidR="000D42F1" w:rsidRPr="002D1AAF" w:rsidRDefault="000D42F1">
            <w:pPr>
              <w:pStyle w:val="Tables"/>
              <w:rPr>
                <w:i/>
                <w:iCs/>
              </w:rPr>
            </w:pPr>
            <w:r w:rsidRPr="002D1AAF">
              <w:rPr>
                <w:i/>
                <w:iCs/>
              </w:rPr>
              <w:t>6</w:t>
            </w:r>
            <w:r w:rsidR="002C4AA8">
              <w:rPr>
                <w:i/>
                <w:iCs/>
              </w:rPr>
              <w:t>5</w:t>
            </w:r>
          </w:p>
        </w:tc>
        <w:tc>
          <w:tcPr>
            <w:tcW w:w="1134" w:type="dxa"/>
            <w:tcBorders>
              <w:top w:val="nil"/>
              <w:left w:val="nil"/>
              <w:bottom w:val="single" w:sz="4" w:space="0" w:color="auto"/>
              <w:right w:val="single" w:sz="4" w:space="0" w:color="auto"/>
            </w:tcBorders>
            <w:shd w:val="clear" w:color="auto" w:fill="auto"/>
            <w:vAlign w:val="center"/>
          </w:tcPr>
          <w:p w14:paraId="406AB284" w14:textId="77777777" w:rsidR="000D42F1" w:rsidRPr="00A35464" w:rsidRDefault="000D42F1">
            <w:pPr>
              <w:pStyle w:val="Tables"/>
              <w:rPr>
                <w:i/>
                <w:iCs/>
              </w:rPr>
            </w:pPr>
            <w:r w:rsidRPr="00A35464">
              <w:rPr>
                <w:i/>
                <w:iCs/>
              </w:rPr>
              <w:t>1.1%</w:t>
            </w:r>
          </w:p>
        </w:tc>
      </w:tr>
      <w:tr w:rsidR="000D42F1" w:rsidRPr="00C3003D" w14:paraId="4EDB9F88"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75241C07" w14:textId="77777777" w:rsidR="000D42F1" w:rsidRPr="0020264D" w:rsidRDefault="000D42F1" w:rsidP="0039634E">
            <w:pPr>
              <w:pStyle w:val="Tables"/>
              <w:ind w:left="589"/>
              <w:jc w:val="left"/>
              <w:rPr>
                <w:i/>
                <w:iCs/>
              </w:rPr>
            </w:pPr>
            <w:r w:rsidRPr="0020264D">
              <w:rPr>
                <w:i/>
                <w:iCs/>
              </w:rPr>
              <w:t>Referred to independent agency</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05542BF0" w14:textId="77777777" w:rsidR="000D42F1" w:rsidRPr="00DA29F5" w:rsidRDefault="000D42F1">
            <w:pPr>
              <w:pStyle w:val="Tables"/>
              <w:rPr>
                <w:i/>
                <w:iCs/>
              </w:rPr>
            </w:pPr>
            <w:r w:rsidRPr="258887A7">
              <w:rPr>
                <w:i/>
                <w:iCs/>
              </w:rPr>
              <w:t>0</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09263F2D" w14:textId="77777777" w:rsidR="000D42F1" w:rsidRPr="00DA29F5" w:rsidRDefault="000D42F1">
            <w:pPr>
              <w:pStyle w:val="Tables"/>
              <w:rPr>
                <w:i/>
                <w:iCs/>
              </w:rPr>
            </w:pPr>
            <w:r w:rsidRPr="258887A7">
              <w:rPr>
                <w:i/>
                <w:iCs/>
              </w:rPr>
              <w:t>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52628A" w14:textId="77777777" w:rsidR="000D42F1" w:rsidRPr="002D1AAF" w:rsidRDefault="000D42F1">
            <w:pPr>
              <w:pStyle w:val="Tables"/>
              <w:rPr>
                <w:i/>
                <w:iCs/>
              </w:rPr>
            </w:pPr>
            <w:r w:rsidRPr="002D1AAF">
              <w:rPr>
                <w:i/>
                <w:iCs/>
              </w:rPr>
              <w:t>0</w:t>
            </w:r>
          </w:p>
        </w:tc>
        <w:tc>
          <w:tcPr>
            <w:tcW w:w="1134" w:type="dxa"/>
            <w:tcBorders>
              <w:top w:val="nil"/>
              <w:left w:val="nil"/>
              <w:bottom w:val="single" w:sz="4" w:space="0" w:color="auto"/>
              <w:right w:val="single" w:sz="4" w:space="0" w:color="auto"/>
            </w:tcBorders>
            <w:shd w:val="clear" w:color="auto" w:fill="auto"/>
            <w:vAlign w:val="center"/>
          </w:tcPr>
          <w:p w14:paraId="429AFCA8" w14:textId="77777777" w:rsidR="000D42F1" w:rsidRPr="00A35464" w:rsidRDefault="000D42F1">
            <w:pPr>
              <w:pStyle w:val="Tables"/>
              <w:rPr>
                <w:i/>
                <w:iCs/>
              </w:rPr>
            </w:pPr>
            <w:r w:rsidRPr="00A35464">
              <w:rPr>
                <w:i/>
                <w:iCs/>
              </w:rPr>
              <w:t>0.0%</w:t>
            </w:r>
          </w:p>
        </w:tc>
      </w:tr>
      <w:tr w:rsidR="000D42F1" w:rsidRPr="00C3003D" w14:paraId="09276A34"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5A8410D4" w14:textId="77777777" w:rsidR="000D42F1" w:rsidRPr="00DA29F5" w:rsidRDefault="000D42F1">
            <w:pPr>
              <w:pStyle w:val="Tables"/>
              <w:jc w:val="left"/>
            </w:pPr>
            <w:r w:rsidRPr="00DA29F5">
              <w:t xml:space="preserve">Corruption and Crime Commission to investigate </w:t>
            </w:r>
            <w:r>
              <w:t>(</w:t>
            </w:r>
            <w:r w:rsidRPr="00DA29F5">
              <w:t>either independently or in cooperation with a public authority)</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1786687D" w14:textId="77777777" w:rsidR="000D42F1" w:rsidRPr="00DA29F5" w:rsidRDefault="000D42F1">
            <w:pPr>
              <w:pStyle w:val="Tables"/>
            </w:pPr>
            <w:r>
              <w:t>14</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1A63443A" w14:textId="77777777" w:rsidR="000D42F1" w:rsidRPr="00DA29F5" w:rsidRDefault="000D42F1">
            <w:pPr>
              <w:pStyle w:val="Tables"/>
            </w:pPr>
            <w:r>
              <w:t>0.2%</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3D1D1D" w14:textId="3F913592" w:rsidR="000D42F1" w:rsidRPr="00DA29F5" w:rsidRDefault="000D42F1">
            <w:pPr>
              <w:pStyle w:val="Tables"/>
            </w:pPr>
            <w:r w:rsidRPr="00B3620B">
              <w:t>1</w:t>
            </w:r>
            <w:r w:rsidR="002C4AA8">
              <w:t>2</w:t>
            </w:r>
          </w:p>
        </w:tc>
        <w:tc>
          <w:tcPr>
            <w:tcW w:w="1134" w:type="dxa"/>
            <w:tcBorders>
              <w:top w:val="nil"/>
              <w:left w:val="nil"/>
              <w:bottom w:val="single" w:sz="4" w:space="0" w:color="auto"/>
              <w:right w:val="single" w:sz="4" w:space="0" w:color="auto"/>
            </w:tcBorders>
            <w:shd w:val="clear" w:color="auto" w:fill="auto"/>
            <w:vAlign w:val="center"/>
          </w:tcPr>
          <w:p w14:paraId="5C92DCA4" w14:textId="77777777" w:rsidR="000D42F1" w:rsidRPr="00DA29F5" w:rsidRDefault="000D42F1">
            <w:pPr>
              <w:pStyle w:val="Tables"/>
            </w:pPr>
            <w:r w:rsidRPr="0093708A">
              <w:t>0.2%</w:t>
            </w:r>
          </w:p>
        </w:tc>
      </w:tr>
      <w:tr w:rsidR="000D42F1" w:rsidRPr="005C419A" w14:paraId="7410D64A"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48221293" w14:textId="77777777" w:rsidR="000D42F1" w:rsidRPr="0020264D" w:rsidRDefault="000D42F1" w:rsidP="0039634E">
            <w:pPr>
              <w:pStyle w:val="Tables"/>
              <w:ind w:left="589"/>
              <w:jc w:val="left"/>
              <w:rPr>
                <w:i/>
                <w:iCs/>
              </w:rPr>
            </w:pPr>
            <w:r w:rsidRPr="0020264D">
              <w:rPr>
                <w:i/>
                <w:iCs/>
              </w:rPr>
              <w:t>Independently – s 33(1)(a)</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5E2F6864" w14:textId="77777777" w:rsidR="000D42F1" w:rsidRPr="00770EEA" w:rsidRDefault="000D42F1">
            <w:pPr>
              <w:pStyle w:val="Tables"/>
              <w:rPr>
                <w:i/>
                <w:iCs/>
              </w:rPr>
            </w:pPr>
            <w:r w:rsidRPr="00770EEA">
              <w:rPr>
                <w:i/>
                <w:iCs/>
              </w:rPr>
              <w:t>14</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5BC4C01C" w14:textId="77777777" w:rsidR="000D42F1" w:rsidRPr="00770EEA" w:rsidRDefault="000D42F1">
            <w:pPr>
              <w:pStyle w:val="Tables"/>
              <w:rPr>
                <w:i/>
                <w:iCs/>
              </w:rPr>
            </w:pPr>
            <w:r w:rsidRPr="00770EEA">
              <w:rPr>
                <w:i/>
                <w:iCs/>
              </w:rPr>
              <w:t>0.2%</w:t>
            </w:r>
          </w:p>
        </w:tc>
        <w:tc>
          <w:tcPr>
            <w:tcW w:w="1134" w:type="dxa"/>
            <w:tcBorders>
              <w:top w:val="nil"/>
              <w:left w:val="single" w:sz="4" w:space="0" w:color="auto"/>
              <w:bottom w:val="single" w:sz="4" w:space="0" w:color="auto"/>
              <w:right w:val="single" w:sz="4" w:space="0" w:color="auto"/>
            </w:tcBorders>
            <w:shd w:val="clear" w:color="auto" w:fill="auto"/>
            <w:vAlign w:val="center"/>
          </w:tcPr>
          <w:p w14:paraId="260ACEB6" w14:textId="77777777" w:rsidR="000D42F1" w:rsidRPr="002D1AAF" w:rsidRDefault="000D42F1">
            <w:pPr>
              <w:pStyle w:val="Tables"/>
              <w:rPr>
                <w:i/>
                <w:iCs/>
              </w:rPr>
            </w:pPr>
            <w:r w:rsidRPr="002D1AAF">
              <w:rPr>
                <w:i/>
                <w:iCs/>
              </w:rPr>
              <w:t>6</w:t>
            </w:r>
          </w:p>
        </w:tc>
        <w:tc>
          <w:tcPr>
            <w:tcW w:w="1134" w:type="dxa"/>
            <w:tcBorders>
              <w:top w:val="nil"/>
              <w:left w:val="nil"/>
              <w:bottom w:val="single" w:sz="4" w:space="0" w:color="auto"/>
              <w:right w:val="single" w:sz="4" w:space="0" w:color="auto"/>
            </w:tcBorders>
            <w:shd w:val="clear" w:color="auto" w:fill="auto"/>
            <w:vAlign w:val="center"/>
          </w:tcPr>
          <w:p w14:paraId="07A8DC1C" w14:textId="77777777" w:rsidR="000D42F1" w:rsidRPr="00FC1F8B" w:rsidRDefault="000D42F1">
            <w:pPr>
              <w:pStyle w:val="Tables"/>
              <w:rPr>
                <w:i/>
                <w:iCs/>
              </w:rPr>
            </w:pPr>
            <w:r w:rsidRPr="00FC1F8B">
              <w:rPr>
                <w:i/>
                <w:iCs/>
              </w:rPr>
              <w:t>0.1%</w:t>
            </w:r>
          </w:p>
        </w:tc>
      </w:tr>
      <w:tr w:rsidR="000D42F1" w:rsidRPr="005C419A" w14:paraId="2E12EB09"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44F9D6F5" w14:textId="77777777" w:rsidR="000D42F1" w:rsidRPr="0020264D" w:rsidRDefault="000D42F1" w:rsidP="0039634E">
            <w:pPr>
              <w:pStyle w:val="Tables"/>
              <w:ind w:left="589"/>
              <w:jc w:val="left"/>
              <w:rPr>
                <w:i/>
                <w:iCs/>
              </w:rPr>
            </w:pPr>
            <w:r w:rsidRPr="0020264D">
              <w:rPr>
                <w:i/>
                <w:iCs/>
              </w:rPr>
              <w:t>In cooperation with public authority – s 33(1)(b)</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3FB85B6E" w14:textId="77777777" w:rsidR="000D42F1" w:rsidRPr="00770EEA" w:rsidRDefault="000D42F1">
            <w:pPr>
              <w:pStyle w:val="Tables"/>
              <w:rPr>
                <w:i/>
                <w:iCs/>
              </w:rPr>
            </w:pPr>
            <w:r w:rsidRPr="00770EEA">
              <w:rPr>
                <w:i/>
                <w:iCs/>
              </w:rPr>
              <w:t>0</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1E98706B" w14:textId="77777777" w:rsidR="000D42F1" w:rsidRPr="00770EEA" w:rsidRDefault="000D42F1">
            <w:pPr>
              <w:pStyle w:val="Tables"/>
              <w:rPr>
                <w:i/>
                <w:iCs/>
              </w:rPr>
            </w:pPr>
            <w:r w:rsidRPr="00770EEA">
              <w:rPr>
                <w:i/>
                <w:iCs/>
              </w:rPr>
              <w:t>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1D6A19" w14:textId="450A89BD" w:rsidR="000D42F1" w:rsidRPr="002D1AAF" w:rsidRDefault="002C4AA8">
            <w:pPr>
              <w:pStyle w:val="Tables"/>
              <w:rPr>
                <w:i/>
                <w:iCs/>
              </w:rPr>
            </w:pPr>
            <w:r>
              <w:rPr>
                <w:i/>
                <w:iCs/>
              </w:rPr>
              <w:t>6</w:t>
            </w:r>
          </w:p>
        </w:tc>
        <w:tc>
          <w:tcPr>
            <w:tcW w:w="1134" w:type="dxa"/>
            <w:tcBorders>
              <w:top w:val="nil"/>
              <w:left w:val="nil"/>
              <w:bottom w:val="single" w:sz="4" w:space="0" w:color="auto"/>
              <w:right w:val="single" w:sz="4" w:space="0" w:color="auto"/>
            </w:tcBorders>
            <w:shd w:val="clear" w:color="auto" w:fill="auto"/>
            <w:vAlign w:val="center"/>
          </w:tcPr>
          <w:p w14:paraId="587C27E2" w14:textId="77777777" w:rsidR="000D42F1" w:rsidRPr="00FC1F8B" w:rsidRDefault="000D42F1">
            <w:pPr>
              <w:pStyle w:val="Tables"/>
              <w:rPr>
                <w:i/>
                <w:iCs/>
              </w:rPr>
            </w:pPr>
            <w:r w:rsidRPr="00FC1F8B">
              <w:rPr>
                <w:i/>
                <w:iCs/>
              </w:rPr>
              <w:t>0.1%</w:t>
            </w:r>
          </w:p>
        </w:tc>
      </w:tr>
      <w:tr w:rsidR="000D42F1" w:rsidRPr="00C3003D" w14:paraId="65BCDEAC"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26CF7B42" w14:textId="77777777" w:rsidR="000D42F1" w:rsidRPr="00DA29F5" w:rsidRDefault="000D42F1">
            <w:pPr>
              <w:pStyle w:val="Tables"/>
              <w:jc w:val="left"/>
            </w:pPr>
            <w:r>
              <w:t>P</w:t>
            </w:r>
            <w:r w:rsidRPr="00DA29F5">
              <w:t xml:space="preserve">ending </w:t>
            </w:r>
            <w:r>
              <w:t xml:space="preserve">the </w:t>
            </w:r>
            <w:r w:rsidRPr="00DA29F5">
              <w:t>outcome of a preliminary investigation by Corruption and Crime Commission – s 32(2)</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00B8554B" w14:textId="77777777" w:rsidR="000D42F1" w:rsidRPr="00DA29F5" w:rsidRDefault="000D42F1">
            <w:pPr>
              <w:pStyle w:val="Tables"/>
            </w:pPr>
            <w:r>
              <w:t>20</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3AACC835" w14:textId="77777777" w:rsidR="000D42F1" w:rsidRPr="00DA29F5" w:rsidRDefault="000D42F1">
            <w:pPr>
              <w:pStyle w:val="Tables"/>
            </w:pPr>
            <w:r>
              <w:t>0.3%</w:t>
            </w:r>
          </w:p>
        </w:tc>
        <w:tc>
          <w:tcPr>
            <w:tcW w:w="1134" w:type="dxa"/>
            <w:tcBorders>
              <w:top w:val="nil"/>
              <w:left w:val="single" w:sz="4" w:space="0" w:color="auto"/>
              <w:bottom w:val="single" w:sz="4" w:space="0" w:color="auto"/>
              <w:right w:val="single" w:sz="4" w:space="0" w:color="auto"/>
            </w:tcBorders>
            <w:shd w:val="clear" w:color="auto" w:fill="auto"/>
            <w:vAlign w:val="center"/>
          </w:tcPr>
          <w:p w14:paraId="1189684F" w14:textId="77777777" w:rsidR="000D42F1" w:rsidRPr="00DA29F5" w:rsidRDefault="000D42F1">
            <w:pPr>
              <w:pStyle w:val="Tables"/>
            </w:pPr>
            <w:r w:rsidRPr="0093708A">
              <w:t>23</w:t>
            </w:r>
          </w:p>
        </w:tc>
        <w:tc>
          <w:tcPr>
            <w:tcW w:w="1134" w:type="dxa"/>
            <w:tcBorders>
              <w:top w:val="nil"/>
              <w:left w:val="nil"/>
              <w:bottom w:val="single" w:sz="4" w:space="0" w:color="auto"/>
              <w:right w:val="single" w:sz="4" w:space="0" w:color="auto"/>
            </w:tcBorders>
            <w:shd w:val="clear" w:color="auto" w:fill="auto"/>
            <w:vAlign w:val="center"/>
          </w:tcPr>
          <w:p w14:paraId="5F734F7A" w14:textId="77777777" w:rsidR="000D42F1" w:rsidRPr="00DA29F5" w:rsidRDefault="000D42F1">
            <w:pPr>
              <w:pStyle w:val="Tables"/>
            </w:pPr>
            <w:r w:rsidRPr="0093708A">
              <w:t>0.4%</w:t>
            </w:r>
          </w:p>
        </w:tc>
      </w:tr>
      <w:tr w:rsidR="000D42F1" w:rsidRPr="00C3003D" w14:paraId="020D7CDF"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19B76725" w14:textId="77777777" w:rsidR="000D42F1" w:rsidRPr="00DA29F5" w:rsidRDefault="000D42F1">
            <w:pPr>
              <w:pStyle w:val="Tables"/>
              <w:jc w:val="left"/>
            </w:pPr>
            <w:r w:rsidRPr="00DA29F5">
              <w:t>Pending a decision by the Corruption and Crime Commission Operations Committee</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2BFCB72E" w14:textId="77777777" w:rsidR="000D42F1" w:rsidRPr="00DA29F5" w:rsidRDefault="000D42F1">
            <w:pPr>
              <w:pStyle w:val="Tables"/>
            </w:pPr>
            <w:r>
              <w:t>48</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190C3728" w14:textId="77777777" w:rsidR="000D42F1" w:rsidRPr="00DA29F5" w:rsidRDefault="000D42F1">
            <w:pPr>
              <w:pStyle w:val="Tables"/>
            </w:pPr>
            <w:r>
              <w:t>0.7%</w:t>
            </w:r>
          </w:p>
        </w:tc>
        <w:tc>
          <w:tcPr>
            <w:tcW w:w="1134" w:type="dxa"/>
            <w:tcBorders>
              <w:top w:val="nil"/>
              <w:left w:val="single" w:sz="4" w:space="0" w:color="auto"/>
              <w:bottom w:val="single" w:sz="4" w:space="0" w:color="auto"/>
              <w:right w:val="single" w:sz="4" w:space="0" w:color="auto"/>
            </w:tcBorders>
            <w:shd w:val="clear" w:color="auto" w:fill="auto"/>
            <w:vAlign w:val="center"/>
          </w:tcPr>
          <w:p w14:paraId="04ACAC09" w14:textId="4B3AF3D3" w:rsidR="000D42F1" w:rsidRPr="00DA29F5" w:rsidRDefault="000D42F1">
            <w:pPr>
              <w:pStyle w:val="Tables"/>
            </w:pPr>
            <w:r w:rsidRPr="0093708A">
              <w:t>1</w:t>
            </w:r>
            <w:r w:rsidR="002C4AA8">
              <w:t>5</w:t>
            </w:r>
          </w:p>
        </w:tc>
        <w:tc>
          <w:tcPr>
            <w:tcW w:w="1134" w:type="dxa"/>
            <w:tcBorders>
              <w:top w:val="nil"/>
              <w:left w:val="nil"/>
              <w:bottom w:val="single" w:sz="4" w:space="0" w:color="auto"/>
              <w:right w:val="single" w:sz="4" w:space="0" w:color="auto"/>
            </w:tcBorders>
            <w:shd w:val="clear" w:color="auto" w:fill="auto"/>
            <w:vAlign w:val="center"/>
          </w:tcPr>
          <w:p w14:paraId="6F509914" w14:textId="77777777" w:rsidR="000D42F1" w:rsidRPr="00DA29F5" w:rsidRDefault="000D42F1">
            <w:pPr>
              <w:pStyle w:val="Tables"/>
            </w:pPr>
            <w:r w:rsidRPr="0093708A">
              <w:t>0.2%</w:t>
            </w:r>
          </w:p>
        </w:tc>
      </w:tr>
      <w:tr w:rsidR="000D42F1" w:rsidRPr="004E08D3" w14:paraId="2C1EA56F" w14:textId="77777777">
        <w:trPr>
          <w:trHeight w:val="283"/>
        </w:trPr>
        <w:tc>
          <w:tcPr>
            <w:tcW w:w="4962"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5A7C1A00" w14:textId="77777777" w:rsidR="000D42F1" w:rsidRPr="00DA29F5" w:rsidRDefault="000D42F1">
            <w:pPr>
              <w:pStyle w:val="Tables"/>
              <w:jc w:val="left"/>
              <w:rPr>
                <w:b/>
              </w:rPr>
            </w:pPr>
            <w:r w:rsidRPr="00DA29F5">
              <w:rPr>
                <w:b/>
              </w:rPr>
              <w:t>Total</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65FE6B89" w14:textId="77777777" w:rsidR="000D42F1" w:rsidRPr="00DA29F5" w:rsidRDefault="000D42F1">
            <w:pPr>
              <w:pStyle w:val="Tables"/>
              <w:rPr>
                <w:b/>
                <w:bCs/>
              </w:rPr>
            </w:pPr>
            <w:r w:rsidRPr="258887A7">
              <w:rPr>
                <w:b/>
                <w:bCs/>
              </w:rPr>
              <w:t>7,008</w:t>
            </w:r>
          </w:p>
        </w:tc>
        <w:tc>
          <w:tcPr>
            <w:tcW w:w="1134" w:type="dxa"/>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vAlign w:val="center"/>
          </w:tcPr>
          <w:p w14:paraId="6C704913" w14:textId="77777777" w:rsidR="000D42F1" w:rsidRPr="00DA29F5" w:rsidRDefault="000D42F1">
            <w:pPr>
              <w:pStyle w:val="Tables"/>
              <w:rPr>
                <w:b/>
                <w:bCs/>
              </w:rPr>
            </w:pPr>
            <w:r w:rsidRPr="258887A7">
              <w:rPr>
                <w:b/>
                <w:bCs/>
              </w:rPr>
              <w:t>100%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2AB043BB" w14:textId="77777777" w:rsidR="000D42F1" w:rsidRPr="00DA29F5" w:rsidRDefault="000D42F1">
            <w:pPr>
              <w:pStyle w:val="Tables"/>
              <w:rPr>
                <w:b/>
                <w:bCs/>
              </w:rPr>
            </w:pPr>
            <w:r w:rsidRPr="00624EF1">
              <w:rPr>
                <w:b/>
                <w:bCs/>
              </w:rPr>
              <w:t>5,895</w:t>
            </w:r>
          </w:p>
        </w:tc>
        <w:tc>
          <w:tcPr>
            <w:tcW w:w="1134" w:type="dxa"/>
            <w:tcBorders>
              <w:top w:val="nil"/>
              <w:left w:val="nil"/>
              <w:bottom w:val="single" w:sz="4" w:space="0" w:color="auto"/>
              <w:right w:val="single" w:sz="4" w:space="0" w:color="auto"/>
            </w:tcBorders>
            <w:shd w:val="clear" w:color="auto" w:fill="auto"/>
            <w:vAlign w:val="center"/>
          </w:tcPr>
          <w:p w14:paraId="47233114" w14:textId="77777777" w:rsidR="000D42F1" w:rsidRPr="00DA29F5" w:rsidRDefault="000D42F1">
            <w:pPr>
              <w:pStyle w:val="Tables"/>
              <w:rPr>
                <w:b/>
                <w:bCs/>
              </w:rPr>
            </w:pPr>
            <w:r w:rsidRPr="00624EF1">
              <w:rPr>
                <w:b/>
                <w:bCs/>
              </w:rPr>
              <w:t>100%</w:t>
            </w:r>
          </w:p>
        </w:tc>
      </w:tr>
    </w:tbl>
    <w:p w14:paraId="2EBD4CA5" w14:textId="58EB2A4F" w:rsidR="007D4CFC" w:rsidRDefault="000D42F1">
      <w:pPr>
        <w:spacing w:before="240"/>
      </w:pPr>
      <w:r>
        <w:t xml:space="preserve">For more information on serious misconduct, see the </w:t>
      </w:r>
      <w:hyperlink r:id="rId96" w:history="1">
        <w:r w:rsidRPr="0020264D">
          <w:rPr>
            <w:rStyle w:val="Hyperlink"/>
          </w:rPr>
          <w:t xml:space="preserve">Corruption and </w:t>
        </w:r>
        <w:r w:rsidRPr="008758A5">
          <w:rPr>
            <w:rStyle w:val="Hyperlink"/>
            <w:color w:val="0563C1"/>
          </w:rPr>
          <w:t>Crime</w:t>
        </w:r>
        <w:r w:rsidRPr="0020264D">
          <w:rPr>
            <w:rStyle w:val="Hyperlink"/>
          </w:rPr>
          <w:t xml:space="preserve"> Commission Annual Report 2022-23</w:t>
        </w:r>
      </w:hyperlink>
      <w:r>
        <w:t>.</w:t>
      </w:r>
      <w:r w:rsidR="007D4CFC">
        <w:br w:type="page"/>
      </w:r>
    </w:p>
    <w:p w14:paraId="2F322E0F" w14:textId="77777777" w:rsidR="000D42F1" w:rsidRPr="00BD64AC" w:rsidRDefault="000D42F1">
      <w:pPr>
        <w:pStyle w:val="Heading3"/>
      </w:pPr>
      <w:bookmarkStart w:id="117" w:name="_Toc151900196"/>
      <w:bookmarkStart w:id="118" w:name="_Hlk148425172"/>
      <w:r>
        <w:lastRenderedPageBreak/>
        <w:t>Public interest disclosures</w:t>
      </w:r>
      <w:bookmarkEnd w:id="117"/>
    </w:p>
    <w:p w14:paraId="331DC04E" w14:textId="77777777" w:rsidR="000D42F1" w:rsidRPr="0034751B" w:rsidRDefault="000D42F1">
      <w:r w:rsidRPr="0034751B">
        <w:t xml:space="preserve">The </w:t>
      </w:r>
      <w:r w:rsidRPr="004D34E4">
        <w:rPr>
          <w:i/>
          <w:iCs/>
        </w:rPr>
        <w:t>Public Interest Disclosure Act 2003</w:t>
      </w:r>
      <w:r w:rsidRPr="0BA1EAAE">
        <w:rPr>
          <w:i/>
          <w:iCs/>
        </w:rPr>
        <w:t xml:space="preserve"> </w:t>
      </w:r>
      <w:r w:rsidRPr="0034751B">
        <w:t>(PID Act) provides an avenue for disclosure of public interest information across the</w:t>
      </w:r>
      <w:r>
        <w:t xml:space="preserve"> WA</w:t>
      </w:r>
      <w:r w:rsidRPr="0034751B">
        <w:t xml:space="preserve"> government sector and sets requirements in relation to such disclosures. </w:t>
      </w:r>
    </w:p>
    <w:p w14:paraId="1767356C" w14:textId="77777777" w:rsidR="000D42F1" w:rsidRDefault="000D42F1">
      <w:r>
        <w:t>This year 27 authorities reported they did not have at least one PID officer assigned to receive disclosures, down from 30 in 2021-22.</w:t>
      </w:r>
    </w:p>
    <w:p w14:paraId="498CA16D" w14:textId="77777777" w:rsidR="003123DB" w:rsidRDefault="000D42F1" w:rsidP="003123DB">
      <w:pPr>
        <w:spacing w:after="0"/>
      </w:pPr>
      <w:r>
        <w:t>A similar trend can be observed where 60 government sector entities r</w:t>
      </w:r>
      <w:r w:rsidRPr="003428B3">
        <w:t xml:space="preserve">eported they had not published internal procedures in relation to the PID Act (as required under s 23(1)(e) and </w:t>
      </w:r>
    </w:p>
    <w:p w14:paraId="6D7935D7" w14:textId="350D5E24" w:rsidR="000D42F1" w:rsidRDefault="000D42F1" w:rsidP="003123DB">
      <w:pPr>
        <w:spacing w:after="0"/>
      </w:pPr>
      <w:r w:rsidRPr="003428B3">
        <w:t>s 23(1)(2))</w:t>
      </w:r>
      <w:r>
        <w:t xml:space="preserve">. This was a decrease from 67 government </w:t>
      </w:r>
      <w:r w:rsidR="0020264D">
        <w:t xml:space="preserve">sector </w:t>
      </w:r>
      <w:r>
        <w:t>entities in 2021-22. The Commission continues to follow up with authorities.</w:t>
      </w:r>
    </w:p>
    <w:p w14:paraId="0B6AE109" w14:textId="0C828B43" w:rsidR="00902AEC" w:rsidRDefault="000D42F1" w:rsidP="003123DB">
      <w:pPr>
        <w:spacing w:before="120"/>
      </w:pPr>
      <w:r>
        <w:t>The number of disclosures received across the government sector significantly decreased from 100 in 2021</w:t>
      </w:r>
      <w:r>
        <w:noBreakHyphen/>
        <w:t xml:space="preserve">22 to 57 this year (43.0% decrease). Of the 57 received, 8 were still pending assessment by agencies at the time of reporting. The number of </w:t>
      </w:r>
      <w:r w:rsidR="003113EC">
        <w:t xml:space="preserve">disclosures </w:t>
      </w:r>
      <w:r>
        <w:t xml:space="preserve">received that were assessed as appropriate disclosures also decreased from 33 in 2021-22 to 15 in 2022-23. </w:t>
      </w:r>
    </w:p>
    <w:p w14:paraId="5E136F7E" w14:textId="0DE1814B" w:rsidR="000D42F1" w:rsidRDefault="000D42F1">
      <w:r>
        <w:t xml:space="preserve">The </w:t>
      </w:r>
      <w:r w:rsidR="001B6ECB">
        <w:t>percentage</w:t>
      </w:r>
      <w:r>
        <w:t xml:space="preserve"> of finalised disclosures (not including those pending assessment) assessed as appropriate was 30.6%. Each appropriate disclosure is categorised by the type of information received (</w:t>
      </w:r>
      <w:r w:rsidR="00594B19">
        <w:fldChar w:fldCharType="begin"/>
      </w:r>
      <w:r w:rsidR="00594B19">
        <w:instrText xml:space="preserve"> REF _Ref148971278 \h </w:instrText>
      </w:r>
      <w:r w:rsidR="00902AEC">
        <w:instrText xml:space="preserve"> \* MERGEFORMAT </w:instrText>
      </w:r>
      <w:r w:rsidR="00594B19">
        <w:fldChar w:fldCharType="separate"/>
      </w:r>
      <w:r w:rsidR="0048418F" w:rsidRPr="0048418F">
        <w:t xml:space="preserve">Table </w:t>
      </w:r>
      <w:r w:rsidR="0048418F" w:rsidRPr="0048418F">
        <w:rPr>
          <w:noProof/>
        </w:rPr>
        <w:t>26</w:t>
      </w:r>
      <w:r w:rsidR="00594B19">
        <w:fldChar w:fldCharType="end"/>
      </w:r>
      <w:r>
        <w:t xml:space="preserve">). </w:t>
      </w:r>
      <w:r w:rsidRPr="00F52182">
        <w:t>One disclosure may contain more than one type of public interest information.</w:t>
      </w:r>
    </w:p>
    <w:p w14:paraId="2AA90E50" w14:textId="6027C935" w:rsidR="000D42F1" w:rsidRPr="00F52182" w:rsidRDefault="00594B19" w:rsidP="00594B19">
      <w:pPr>
        <w:pStyle w:val="Caption"/>
        <w:rPr>
          <w:b/>
          <w:bCs/>
        </w:rPr>
      </w:pPr>
      <w:bookmarkStart w:id="119" w:name="_Ref148971278"/>
      <w:bookmarkEnd w:id="118"/>
      <w:r w:rsidRPr="00594B19">
        <w:rPr>
          <w:b/>
          <w:bCs/>
        </w:rPr>
        <w:t xml:space="preserve">Table </w:t>
      </w:r>
      <w:r w:rsidRPr="00594B19">
        <w:rPr>
          <w:b/>
          <w:bCs/>
        </w:rPr>
        <w:fldChar w:fldCharType="begin"/>
      </w:r>
      <w:r w:rsidRPr="00594B19">
        <w:rPr>
          <w:b/>
          <w:bCs/>
        </w:rPr>
        <w:instrText xml:space="preserve"> SEQ Table \* ARABIC </w:instrText>
      </w:r>
      <w:r w:rsidRPr="00594B19">
        <w:rPr>
          <w:b/>
          <w:bCs/>
        </w:rPr>
        <w:fldChar w:fldCharType="separate"/>
      </w:r>
      <w:r w:rsidR="0048418F">
        <w:rPr>
          <w:b/>
          <w:bCs/>
          <w:noProof/>
        </w:rPr>
        <w:t>26</w:t>
      </w:r>
      <w:r w:rsidRPr="00594B19">
        <w:rPr>
          <w:b/>
          <w:bCs/>
        </w:rPr>
        <w:fldChar w:fldCharType="end"/>
      </w:r>
      <w:bookmarkEnd w:id="119"/>
      <w:r w:rsidR="000D42F1" w:rsidRPr="00F52182">
        <w:rPr>
          <w:b/>
          <w:bCs/>
        </w:rPr>
        <w:t>: Public interest disclosures, WA government sector, where disclosure assessed as appropriate, by type of information 202</w:t>
      </w:r>
      <w:r w:rsidR="000D42F1">
        <w:rPr>
          <w:b/>
          <w:bCs/>
        </w:rPr>
        <w:t>1</w:t>
      </w:r>
      <w:r w:rsidR="000D42F1" w:rsidRPr="00F52182">
        <w:rPr>
          <w:b/>
          <w:bCs/>
        </w:rPr>
        <w:t>-2</w:t>
      </w:r>
      <w:r w:rsidR="000D42F1">
        <w:rPr>
          <w:b/>
          <w:bCs/>
        </w:rPr>
        <w:t>2</w:t>
      </w:r>
      <w:r w:rsidR="000D42F1" w:rsidRPr="00F52182">
        <w:rPr>
          <w:b/>
          <w:bCs/>
        </w:rPr>
        <w:t xml:space="preserve"> and 202</w:t>
      </w:r>
      <w:r w:rsidR="000D42F1">
        <w:rPr>
          <w:b/>
          <w:bCs/>
        </w:rPr>
        <w:t>2</w:t>
      </w:r>
      <w:r w:rsidR="000D42F1" w:rsidRPr="00F52182">
        <w:rPr>
          <w:b/>
          <w:bCs/>
        </w:rPr>
        <w:t>-2</w:t>
      </w:r>
      <w:r w:rsidR="000D42F1">
        <w:rPr>
          <w:b/>
          <w:bCs/>
        </w:rPr>
        <w:t>3</w:t>
      </w:r>
    </w:p>
    <w:tbl>
      <w:tblPr>
        <w:tblW w:w="919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Caption w:val="Table 26: Public interest disclosures, WA government sector, where disclosure assessed as appropriate, by type of information 2021-22 and 2022-23"/>
      </w:tblPr>
      <w:tblGrid>
        <w:gridCol w:w="6194"/>
        <w:gridCol w:w="236"/>
        <w:gridCol w:w="1357"/>
        <w:gridCol w:w="1403"/>
      </w:tblGrid>
      <w:tr w:rsidR="0020264D" w:rsidRPr="008C084E" w14:paraId="1CD2D5F9" w14:textId="77777777" w:rsidTr="0020264D">
        <w:trPr>
          <w:trHeight w:val="300"/>
        </w:trPr>
        <w:tc>
          <w:tcPr>
            <w:tcW w:w="6194" w:type="dxa"/>
            <w:shd w:val="clear" w:color="auto" w:fill="auto"/>
            <w:noWrap/>
            <w:vAlign w:val="center"/>
            <w:hideMark/>
          </w:tcPr>
          <w:p w14:paraId="38D70A66" w14:textId="473A5849" w:rsidR="0020264D" w:rsidRPr="008C084E" w:rsidRDefault="0020264D" w:rsidP="00C3003D">
            <w:pPr>
              <w:pStyle w:val="Tables"/>
              <w:jc w:val="left"/>
              <w:rPr>
                <w:b/>
                <w:color w:val="2E74B5" w:themeColor="accent1" w:themeShade="BF"/>
              </w:rPr>
            </w:pPr>
            <w:r w:rsidRPr="008C084E">
              <w:rPr>
                <w:b/>
                <w:color w:val="2E74B5" w:themeColor="accent1" w:themeShade="BF"/>
              </w:rPr>
              <w:t>Types of public interest information contained in appropriate public interest disclosures</w:t>
            </w:r>
          </w:p>
        </w:tc>
        <w:tc>
          <w:tcPr>
            <w:tcW w:w="236" w:type="dxa"/>
            <w:tcBorders>
              <w:right w:val="nil"/>
            </w:tcBorders>
            <w:shd w:val="clear" w:color="auto" w:fill="auto"/>
            <w:noWrap/>
            <w:vAlign w:val="center"/>
          </w:tcPr>
          <w:p w14:paraId="2CB6BCBA" w14:textId="77777777" w:rsidR="0020264D" w:rsidRPr="008C084E" w:rsidRDefault="0020264D" w:rsidP="00905C18">
            <w:pPr>
              <w:pStyle w:val="Tables"/>
              <w:jc w:val="center"/>
              <w:rPr>
                <w:b/>
                <w:bCs/>
                <w:color w:val="2E74B5" w:themeColor="accent1" w:themeShade="BF"/>
              </w:rPr>
            </w:pPr>
          </w:p>
        </w:tc>
        <w:tc>
          <w:tcPr>
            <w:tcW w:w="1357" w:type="dxa"/>
            <w:tcBorders>
              <w:left w:val="nil"/>
            </w:tcBorders>
            <w:shd w:val="clear" w:color="auto" w:fill="auto"/>
            <w:noWrap/>
            <w:vAlign w:val="center"/>
          </w:tcPr>
          <w:p w14:paraId="0467712C" w14:textId="77777777" w:rsidR="0020264D" w:rsidRDefault="0020264D" w:rsidP="00CF7A13">
            <w:pPr>
              <w:pStyle w:val="Tables"/>
              <w:rPr>
                <w:b/>
                <w:bCs/>
                <w:color w:val="2E74B5" w:themeColor="accent1" w:themeShade="BF"/>
              </w:rPr>
            </w:pPr>
            <w:r w:rsidRPr="2EE9826F">
              <w:rPr>
                <w:b/>
                <w:bCs/>
                <w:color w:val="2E74B5" w:themeColor="accent1" w:themeShade="BF"/>
              </w:rPr>
              <w:t>2021-22</w:t>
            </w:r>
          </w:p>
          <w:p w14:paraId="797304F5" w14:textId="4F48526E" w:rsidR="0020264D" w:rsidRPr="008C084E" w:rsidRDefault="0020264D" w:rsidP="009752F5">
            <w:pPr>
              <w:pStyle w:val="Tables"/>
              <w:ind w:left="-176"/>
              <w:rPr>
                <w:b/>
                <w:color w:val="2E74B5" w:themeColor="accent1" w:themeShade="BF"/>
              </w:rPr>
            </w:pPr>
            <w:r w:rsidRPr="008C084E">
              <w:rPr>
                <w:b/>
                <w:color w:val="2E74B5" w:themeColor="accent1" w:themeShade="BF"/>
              </w:rPr>
              <w:t xml:space="preserve"> Number of</w:t>
            </w:r>
            <w:r w:rsidR="009752F5">
              <w:rPr>
                <w:b/>
                <w:color w:val="2E74B5" w:themeColor="accent1" w:themeShade="BF"/>
              </w:rPr>
              <w:t xml:space="preserve"> </w:t>
            </w:r>
            <w:r w:rsidRPr="008C084E">
              <w:rPr>
                <w:b/>
                <w:color w:val="2E74B5" w:themeColor="accent1" w:themeShade="BF"/>
              </w:rPr>
              <w:t>times</w:t>
            </w:r>
            <w:r w:rsidR="009752F5">
              <w:rPr>
                <w:b/>
                <w:color w:val="2E74B5" w:themeColor="accent1" w:themeShade="BF"/>
              </w:rPr>
              <w:t xml:space="preserve"> </w:t>
            </w:r>
            <w:r w:rsidRPr="008C084E">
              <w:rPr>
                <w:b/>
                <w:color w:val="2E74B5" w:themeColor="accent1" w:themeShade="BF"/>
              </w:rPr>
              <w:t>raised</w:t>
            </w:r>
          </w:p>
        </w:tc>
        <w:tc>
          <w:tcPr>
            <w:tcW w:w="1403" w:type="dxa"/>
            <w:shd w:val="clear" w:color="auto" w:fill="auto"/>
            <w:vAlign w:val="center"/>
          </w:tcPr>
          <w:p w14:paraId="565759D9" w14:textId="77777777" w:rsidR="0020264D" w:rsidRDefault="0020264D" w:rsidP="00CF7A13">
            <w:pPr>
              <w:pStyle w:val="Tables"/>
              <w:rPr>
                <w:b/>
                <w:bCs/>
                <w:color w:val="2E74B5" w:themeColor="accent1" w:themeShade="BF"/>
              </w:rPr>
            </w:pPr>
            <w:r w:rsidRPr="5234ED11">
              <w:rPr>
                <w:b/>
                <w:bCs/>
                <w:color w:val="2E74B5" w:themeColor="accent1" w:themeShade="BF"/>
              </w:rPr>
              <w:t>2022-23</w:t>
            </w:r>
          </w:p>
          <w:p w14:paraId="4C921F98" w14:textId="4D893B41" w:rsidR="0020264D" w:rsidRPr="2EE9826F" w:rsidRDefault="0020264D" w:rsidP="00CF7A13">
            <w:pPr>
              <w:pStyle w:val="Tables"/>
              <w:rPr>
                <w:b/>
                <w:bCs/>
                <w:color w:val="2E74B5" w:themeColor="accent1" w:themeShade="BF"/>
              </w:rPr>
            </w:pPr>
            <w:r w:rsidRPr="008C084E">
              <w:rPr>
                <w:b/>
                <w:color w:val="2E74B5" w:themeColor="accent1" w:themeShade="BF"/>
              </w:rPr>
              <w:t>Number of times raised</w:t>
            </w:r>
          </w:p>
        </w:tc>
      </w:tr>
      <w:tr w:rsidR="0020264D" w:rsidRPr="001E07A7" w14:paraId="122CF87C" w14:textId="77777777">
        <w:trPr>
          <w:trHeight w:val="300"/>
        </w:trPr>
        <w:tc>
          <w:tcPr>
            <w:tcW w:w="6194" w:type="dxa"/>
            <w:shd w:val="clear" w:color="auto" w:fill="auto"/>
            <w:noWrap/>
            <w:vAlign w:val="center"/>
            <w:hideMark/>
          </w:tcPr>
          <w:p w14:paraId="5F677D6F" w14:textId="77777777" w:rsidR="0020264D" w:rsidRPr="001E07A7" w:rsidRDefault="0020264D" w:rsidP="00C3003D">
            <w:pPr>
              <w:pStyle w:val="Tables"/>
              <w:jc w:val="left"/>
            </w:pPr>
            <w:r w:rsidRPr="001E07A7">
              <w:t>Improper conduct</w:t>
            </w:r>
          </w:p>
        </w:tc>
        <w:tc>
          <w:tcPr>
            <w:tcW w:w="236" w:type="dxa"/>
            <w:tcBorders>
              <w:right w:val="nil"/>
            </w:tcBorders>
            <w:shd w:val="clear" w:color="auto" w:fill="auto"/>
            <w:noWrap/>
            <w:vAlign w:val="center"/>
          </w:tcPr>
          <w:p w14:paraId="2043EC35" w14:textId="77777777" w:rsidR="0020264D" w:rsidRPr="001E07A7" w:rsidRDefault="0020264D" w:rsidP="009F7B37">
            <w:pPr>
              <w:pStyle w:val="Tables"/>
            </w:pPr>
          </w:p>
        </w:tc>
        <w:tc>
          <w:tcPr>
            <w:tcW w:w="1357" w:type="dxa"/>
            <w:tcBorders>
              <w:left w:val="nil"/>
            </w:tcBorders>
            <w:shd w:val="clear" w:color="auto" w:fill="auto"/>
            <w:noWrap/>
            <w:vAlign w:val="center"/>
          </w:tcPr>
          <w:p w14:paraId="68C981C5" w14:textId="77777777" w:rsidR="0020264D" w:rsidRPr="009F7B37" w:rsidRDefault="0020264D">
            <w:pPr>
              <w:pStyle w:val="Tables"/>
            </w:pPr>
            <w:r>
              <w:t>25</w:t>
            </w:r>
          </w:p>
        </w:tc>
        <w:tc>
          <w:tcPr>
            <w:tcW w:w="1403" w:type="dxa"/>
            <w:shd w:val="clear" w:color="auto" w:fill="auto"/>
            <w:vAlign w:val="center"/>
          </w:tcPr>
          <w:p w14:paraId="15845E93" w14:textId="77777777" w:rsidR="0020264D" w:rsidRDefault="0020264D" w:rsidP="00CF7A13">
            <w:pPr>
              <w:pStyle w:val="Tables"/>
            </w:pPr>
            <w:r>
              <w:t>11</w:t>
            </w:r>
          </w:p>
        </w:tc>
      </w:tr>
      <w:tr w:rsidR="0020264D" w:rsidRPr="001E07A7" w14:paraId="35CFB4D6" w14:textId="77777777">
        <w:trPr>
          <w:trHeight w:val="300"/>
        </w:trPr>
        <w:tc>
          <w:tcPr>
            <w:tcW w:w="6194" w:type="dxa"/>
            <w:shd w:val="clear" w:color="auto" w:fill="auto"/>
            <w:noWrap/>
            <w:vAlign w:val="center"/>
            <w:hideMark/>
          </w:tcPr>
          <w:p w14:paraId="624560AC" w14:textId="77777777" w:rsidR="0020264D" w:rsidRPr="001E07A7" w:rsidRDefault="0020264D" w:rsidP="00C3003D">
            <w:pPr>
              <w:pStyle w:val="Tables"/>
              <w:jc w:val="left"/>
            </w:pPr>
            <w:r w:rsidRPr="001E07A7">
              <w:t>Offence under written (State) law</w:t>
            </w:r>
          </w:p>
        </w:tc>
        <w:tc>
          <w:tcPr>
            <w:tcW w:w="236" w:type="dxa"/>
            <w:tcBorders>
              <w:right w:val="nil"/>
            </w:tcBorders>
            <w:shd w:val="clear" w:color="auto" w:fill="auto"/>
            <w:noWrap/>
            <w:vAlign w:val="center"/>
          </w:tcPr>
          <w:p w14:paraId="1A9A8618" w14:textId="77777777" w:rsidR="0020264D" w:rsidRPr="001E07A7" w:rsidRDefault="0020264D" w:rsidP="009F7B37">
            <w:pPr>
              <w:pStyle w:val="Tables"/>
            </w:pPr>
          </w:p>
        </w:tc>
        <w:tc>
          <w:tcPr>
            <w:tcW w:w="1357" w:type="dxa"/>
            <w:tcBorders>
              <w:left w:val="nil"/>
            </w:tcBorders>
            <w:shd w:val="clear" w:color="auto" w:fill="auto"/>
            <w:noWrap/>
            <w:vAlign w:val="center"/>
          </w:tcPr>
          <w:p w14:paraId="351717DE" w14:textId="77777777" w:rsidR="0020264D" w:rsidRPr="009F7B37" w:rsidRDefault="0020264D">
            <w:pPr>
              <w:pStyle w:val="Tables"/>
            </w:pPr>
            <w:r>
              <w:t>15</w:t>
            </w:r>
          </w:p>
        </w:tc>
        <w:tc>
          <w:tcPr>
            <w:tcW w:w="1403" w:type="dxa"/>
            <w:shd w:val="clear" w:color="auto" w:fill="auto"/>
            <w:vAlign w:val="center"/>
          </w:tcPr>
          <w:p w14:paraId="51FB6E9F" w14:textId="77777777" w:rsidR="0020264D" w:rsidRDefault="0020264D" w:rsidP="00CF7A13">
            <w:pPr>
              <w:pStyle w:val="Tables"/>
            </w:pPr>
            <w:r>
              <w:t>3</w:t>
            </w:r>
          </w:p>
        </w:tc>
      </w:tr>
      <w:tr w:rsidR="0020264D" w:rsidRPr="001E07A7" w14:paraId="718E08F2" w14:textId="77777777">
        <w:trPr>
          <w:trHeight w:val="300"/>
        </w:trPr>
        <w:tc>
          <w:tcPr>
            <w:tcW w:w="6194" w:type="dxa"/>
            <w:shd w:val="clear" w:color="auto" w:fill="auto"/>
            <w:noWrap/>
            <w:vAlign w:val="center"/>
            <w:hideMark/>
          </w:tcPr>
          <w:p w14:paraId="7C593EDE" w14:textId="77777777" w:rsidR="0020264D" w:rsidRPr="001E07A7" w:rsidRDefault="0020264D" w:rsidP="00C3003D">
            <w:pPr>
              <w:pStyle w:val="Tables"/>
              <w:jc w:val="left"/>
            </w:pPr>
            <w:r w:rsidRPr="001E07A7">
              <w:t>Substantial irregular or unauthorised use of public resources</w:t>
            </w:r>
          </w:p>
        </w:tc>
        <w:tc>
          <w:tcPr>
            <w:tcW w:w="236" w:type="dxa"/>
            <w:tcBorders>
              <w:right w:val="nil"/>
            </w:tcBorders>
            <w:shd w:val="clear" w:color="auto" w:fill="auto"/>
            <w:noWrap/>
            <w:vAlign w:val="center"/>
          </w:tcPr>
          <w:p w14:paraId="06CDD5A5" w14:textId="77777777" w:rsidR="0020264D" w:rsidRPr="001E07A7" w:rsidRDefault="0020264D" w:rsidP="009F7B37">
            <w:pPr>
              <w:pStyle w:val="Tables"/>
            </w:pPr>
          </w:p>
        </w:tc>
        <w:tc>
          <w:tcPr>
            <w:tcW w:w="1357" w:type="dxa"/>
            <w:tcBorders>
              <w:left w:val="nil"/>
            </w:tcBorders>
            <w:shd w:val="clear" w:color="auto" w:fill="auto"/>
            <w:noWrap/>
            <w:vAlign w:val="center"/>
          </w:tcPr>
          <w:p w14:paraId="2189CC52" w14:textId="77777777" w:rsidR="0020264D" w:rsidRPr="009F7B37" w:rsidRDefault="0020264D">
            <w:pPr>
              <w:pStyle w:val="Tables"/>
            </w:pPr>
            <w:r>
              <w:t>10</w:t>
            </w:r>
          </w:p>
        </w:tc>
        <w:tc>
          <w:tcPr>
            <w:tcW w:w="1403" w:type="dxa"/>
            <w:shd w:val="clear" w:color="auto" w:fill="auto"/>
            <w:vAlign w:val="center"/>
          </w:tcPr>
          <w:p w14:paraId="3E70342A" w14:textId="77777777" w:rsidR="0020264D" w:rsidRDefault="0020264D" w:rsidP="00CF7A13">
            <w:pPr>
              <w:pStyle w:val="Tables"/>
            </w:pPr>
            <w:r>
              <w:t>1</w:t>
            </w:r>
          </w:p>
        </w:tc>
      </w:tr>
      <w:tr w:rsidR="0020264D" w:rsidRPr="001E07A7" w14:paraId="3200A13A" w14:textId="77777777">
        <w:trPr>
          <w:trHeight w:val="300"/>
        </w:trPr>
        <w:tc>
          <w:tcPr>
            <w:tcW w:w="6194" w:type="dxa"/>
            <w:shd w:val="clear" w:color="auto" w:fill="auto"/>
            <w:noWrap/>
            <w:vAlign w:val="center"/>
            <w:hideMark/>
          </w:tcPr>
          <w:p w14:paraId="70FA1603" w14:textId="77777777" w:rsidR="0020264D" w:rsidRPr="001E07A7" w:rsidRDefault="0020264D" w:rsidP="00C3003D">
            <w:pPr>
              <w:pStyle w:val="Tables"/>
              <w:jc w:val="left"/>
            </w:pPr>
            <w:r w:rsidRPr="001E07A7">
              <w:t>Substantial mismanagement of public resources</w:t>
            </w:r>
          </w:p>
        </w:tc>
        <w:tc>
          <w:tcPr>
            <w:tcW w:w="236" w:type="dxa"/>
            <w:tcBorders>
              <w:right w:val="nil"/>
            </w:tcBorders>
            <w:shd w:val="clear" w:color="auto" w:fill="auto"/>
            <w:noWrap/>
            <w:vAlign w:val="center"/>
          </w:tcPr>
          <w:p w14:paraId="452B52B9" w14:textId="77777777" w:rsidR="0020264D" w:rsidRPr="001E07A7" w:rsidRDefault="0020264D" w:rsidP="009F7B37">
            <w:pPr>
              <w:pStyle w:val="Tables"/>
            </w:pPr>
          </w:p>
        </w:tc>
        <w:tc>
          <w:tcPr>
            <w:tcW w:w="1357" w:type="dxa"/>
            <w:tcBorders>
              <w:left w:val="nil"/>
            </w:tcBorders>
            <w:shd w:val="clear" w:color="auto" w:fill="auto"/>
            <w:noWrap/>
            <w:vAlign w:val="center"/>
          </w:tcPr>
          <w:p w14:paraId="2A1150C2" w14:textId="77777777" w:rsidR="0020264D" w:rsidRPr="009F7B37" w:rsidRDefault="0020264D">
            <w:pPr>
              <w:pStyle w:val="Tables"/>
            </w:pPr>
            <w:r>
              <w:t>2</w:t>
            </w:r>
          </w:p>
        </w:tc>
        <w:tc>
          <w:tcPr>
            <w:tcW w:w="1403" w:type="dxa"/>
            <w:shd w:val="clear" w:color="auto" w:fill="auto"/>
            <w:vAlign w:val="center"/>
          </w:tcPr>
          <w:p w14:paraId="7553FC3D" w14:textId="77777777" w:rsidR="0020264D" w:rsidRDefault="0020264D" w:rsidP="00CF7A13">
            <w:pPr>
              <w:pStyle w:val="Tables"/>
            </w:pPr>
            <w:r>
              <w:t>0</w:t>
            </w:r>
          </w:p>
        </w:tc>
      </w:tr>
      <w:tr w:rsidR="0020264D" w:rsidRPr="001E07A7" w14:paraId="0BAC733F" w14:textId="77777777">
        <w:trPr>
          <w:trHeight w:val="300"/>
        </w:trPr>
        <w:tc>
          <w:tcPr>
            <w:tcW w:w="6194" w:type="dxa"/>
            <w:shd w:val="clear" w:color="auto" w:fill="auto"/>
            <w:noWrap/>
            <w:vAlign w:val="center"/>
            <w:hideMark/>
          </w:tcPr>
          <w:p w14:paraId="5D360BA7" w14:textId="77777777" w:rsidR="0020264D" w:rsidRPr="001E07A7" w:rsidRDefault="0020264D" w:rsidP="00C3003D">
            <w:pPr>
              <w:pStyle w:val="Tables"/>
              <w:jc w:val="left"/>
            </w:pPr>
            <w:r w:rsidRPr="001E07A7">
              <w:t>Act or omission that involves a substantial risk of injury to public health</w:t>
            </w:r>
          </w:p>
        </w:tc>
        <w:tc>
          <w:tcPr>
            <w:tcW w:w="236" w:type="dxa"/>
            <w:tcBorders>
              <w:right w:val="nil"/>
            </w:tcBorders>
            <w:shd w:val="clear" w:color="auto" w:fill="auto"/>
            <w:noWrap/>
            <w:vAlign w:val="center"/>
          </w:tcPr>
          <w:p w14:paraId="7D6A00D9" w14:textId="77777777" w:rsidR="0020264D" w:rsidRPr="001E07A7" w:rsidRDefault="0020264D" w:rsidP="009F7B37">
            <w:pPr>
              <w:pStyle w:val="Tables"/>
            </w:pPr>
          </w:p>
        </w:tc>
        <w:tc>
          <w:tcPr>
            <w:tcW w:w="1357" w:type="dxa"/>
            <w:tcBorders>
              <w:left w:val="nil"/>
            </w:tcBorders>
            <w:shd w:val="clear" w:color="auto" w:fill="auto"/>
            <w:noWrap/>
            <w:vAlign w:val="center"/>
          </w:tcPr>
          <w:p w14:paraId="66AF7659" w14:textId="77777777" w:rsidR="0020264D" w:rsidRPr="009F7B37" w:rsidRDefault="0020264D">
            <w:pPr>
              <w:pStyle w:val="Tables"/>
            </w:pPr>
            <w:r>
              <w:t>5</w:t>
            </w:r>
          </w:p>
        </w:tc>
        <w:tc>
          <w:tcPr>
            <w:tcW w:w="1403" w:type="dxa"/>
            <w:shd w:val="clear" w:color="auto" w:fill="auto"/>
            <w:vAlign w:val="center"/>
          </w:tcPr>
          <w:p w14:paraId="745C155C" w14:textId="77777777" w:rsidR="0020264D" w:rsidRDefault="0020264D" w:rsidP="00CF7A13">
            <w:pPr>
              <w:pStyle w:val="Tables"/>
            </w:pPr>
            <w:r>
              <w:t>0</w:t>
            </w:r>
          </w:p>
        </w:tc>
      </w:tr>
      <w:tr w:rsidR="0020264D" w:rsidRPr="001E07A7" w14:paraId="52C6D2F7" w14:textId="77777777">
        <w:trPr>
          <w:trHeight w:val="300"/>
        </w:trPr>
        <w:tc>
          <w:tcPr>
            <w:tcW w:w="6194" w:type="dxa"/>
            <w:shd w:val="clear" w:color="auto" w:fill="auto"/>
            <w:noWrap/>
            <w:vAlign w:val="center"/>
            <w:hideMark/>
          </w:tcPr>
          <w:p w14:paraId="71CDDF12" w14:textId="77777777" w:rsidR="0020264D" w:rsidRPr="001E07A7" w:rsidRDefault="0020264D" w:rsidP="00C3003D">
            <w:pPr>
              <w:pStyle w:val="Tables"/>
              <w:jc w:val="left"/>
            </w:pPr>
            <w:r w:rsidRPr="001E07A7">
              <w:t>Act or omission that involves a substantial risk of prejudice to public safety</w:t>
            </w:r>
          </w:p>
        </w:tc>
        <w:tc>
          <w:tcPr>
            <w:tcW w:w="236" w:type="dxa"/>
            <w:tcBorders>
              <w:right w:val="nil"/>
            </w:tcBorders>
            <w:shd w:val="clear" w:color="auto" w:fill="auto"/>
            <w:noWrap/>
            <w:vAlign w:val="center"/>
          </w:tcPr>
          <w:p w14:paraId="01F3B5AC" w14:textId="77777777" w:rsidR="0020264D" w:rsidRPr="001E07A7" w:rsidRDefault="0020264D" w:rsidP="009F7B37">
            <w:pPr>
              <w:pStyle w:val="Tables"/>
            </w:pPr>
          </w:p>
        </w:tc>
        <w:tc>
          <w:tcPr>
            <w:tcW w:w="1357" w:type="dxa"/>
            <w:tcBorders>
              <w:left w:val="nil"/>
            </w:tcBorders>
            <w:shd w:val="clear" w:color="auto" w:fill="auto"/>
            <w:noWrap/>
            <w:vAlign w:val="center"/>
          </w:tcPr>
          <w:p w14:paraId="7D8D2BF9" w14:textId="77777777" w:rsidR="0020264D" w:rsidRPr="009F7B37" w:rsidRDefault="0020264D">
            <w:pPr>
              <w:pStyle w:val="Tables"/>
            </w:pPr>
            <w:r>
              <w:t>2</w:t>
            </w:r>
          </w:p>
        </w:tc>
        <w:tc>
          <w:tcPr>
            <w:tcW w:w="1403" w:type="dxa"/>
            <w:shd w:val="clear" w:color="auto" w:fill="auto"/>
            <w:vAlign w:val="center"/>
          </w:tcPr>
          <w:p w14:paraId="2BDCDAE8" w14:textId="77777777" w:rsidR="0020264D" w:rsidRDefault="0020264D" w:rsidP="00CF7A13">
            <w:pPr>
              <w:pStyle w:val="Tables"/>
            </w:pPr>
            <w:r>
              <w:t>1</w:t>
            </w:r>
          </w:p>
        </w:tc>
      </w:tr>
      <w:tr w:rsidR="0020264D" w:rsidRPr="001E07A7" w14:paraId="13815427" w14:textId="77777777">
        <w:trPr>
          <w:trHeight w:val="300"/>
        </w:trPr>
        <w:tc>
          <w:tcPr>
            <w:tcW w:w="6194" w:type="dxa"/>
            <w:shd w:val="clear" w:color="auto" w:fill="auto"/>
            <w:noWrap/>
            <w:vAlign w:val="center"/>
            <w:hideMark/>
          </w:tcPr>
          <w:p w14:paraId="30984205" w14:textId="77777777" w:rsidR="0020264D" w:rsidRPr="001E07A7" w:rsidRDefault="0020264D" w:rsidP="00C3003D">
            <w:pPr>
              <w:pStyle w:val="Tables"/>
              <w:jc w:val="left"/>
            </w:pPr>
            <w:r w:rsidRPr="001E07A7">
              <w:t xml:space="preserve">Act or omission that involves a substantial risk of harm to </w:t>
            </w:r>
            <w:r>
              <w:t xml:space="preserve">the </w:t>
            </w:r>
            <w:r w:rsidRPr="001E07A7">
              <w:t>environment</w:t>
            </w:r>
          </w:p>
        </w:tc>
        <w:tc>
          <w:tcPr>
            <w:tcW w:w="236" w:type="dxa"/>
            <w:tcBorders>
              <w:right w:val="nil"/>
            </w:tcBorders>
            <w:shd w:val="clear" w:color="auto" w:fill="auto"/>
            <w:noWrap/>
            <w:vAlign w:val="center"/>
          </w:tcPr>
          <w:p w14:paraId="5C29900F" w14:textId="77777777" w:rsidR="0020264D" w:rsidRPr="001E07A7" w:rsidRDefault="0020264D" w:rsidP="009F7B37">
            <w:pPr>
              <w:pStyle w:val="Tables"/>
            </w:pPr>
          </w:p>
        </w:tc>
        <w:tc>
          <w:tcPr>
            <w:tcW w:w="1357" w:type="dxa"/>
            <w:tcBorders>
              <w:left w:val="nil"/>
            </w:tcBorders>
            <w:shd w:val="clear" w:color="auto" w:fill="auto"/>
            <w:noWrap/>
            <w:vAlign w:val="center"/>
          </w:tcPr>
          <w:p w14:paraId="41886BE9" w14:textId="77777777" w:rsidR="0020264D" w:rsidRPr="009F7B37" w:rsidRDefault="0020264D">
            <w:pPr>
              <w:pStyle w:val="Tables"/>
            </w:pPr>
            <w:r>
              <w:t>0</w:t>
            </w:r>
          </w:p>
        </w:tc>
        <w:tc>
          <w:tcPr>
            <w:tcW w:w="1403" w:type="dxa"/>
            <w:shd w:val="clear" w:color="auto" w:fill="auto"/>
            <w:vAlign w:val="center"/>
          </w:tcPr>
          <w:p w14:paraId="29A0A908" w14:textId="77777777" w:rsidR="0020264D" w:rsidRDefault="0020264D" w:rsidP="00CF7A13">
            <w:pPr>
              <w:pStyle w:val="Tables"/>
            </w:pPr>
            <w:r>
              <w:t>0</w:t>
            </w:r>
          </w:p>
        </w:tc>
      </w:tr>
      <w:tr w:rsidR="0020264D" w:rsidRPr="001E07A7" w14:paraId="14C34ACA" w14:textId="77777777">
        <w:trPr>
          <w:trHeight w:val="300"/>
        </w:trPr>
        <w:tc>
          <w:tcPr>
            <w:tcW w:w="6194" w:type="dxa"/>
            <w:shd w:val="clear" w:color="auto" w:fill="auto"/>
            <w:noWrap/>
            <w:vAlign w:val="center"/>
            <w:hideMark/>
          </w:tcPr>
          <w:p w14:paraId="63861124" w14:textId="77777777" w:rsidR="0020264D" w:rsidRPr="001E07A7" w:rsidRDefault="0020264D" w:rsidP="00C3003D">
            <w:pPr>
              <w:pStyle w:val="Tables"/>
              <w:jc w:val="left"/>
            </w:pPr>
            <w:r w:rsidRPr="001E07A7">
              <w:t>Matters covered by Ombudsman</w:t>
            </w:r>
          </w:p>
        </w:tc>
        <w:tc>
          <w:tcPr>
            <w:tcW w:w="236" w:type="dxa"/>
            <w:tcBorders>
              <w:right w:val="nil"/>
            </w:tcBorders>
            <w:shd w:val="clear" w:color="auto" w:fill="auto"/>
            <w:noWrap/>
            <w:vAlign w:val="center"/>
          </w:tcPr>
          <w:p w14:paraId="294C7C07" w14:textId="77777777" w:rsidR="0020264D" w:rsidRPr="001E07A7" w:rsidRDefault="0020264D" w:rsidP="009F7B37">
            <w:pPr>
              <w:pStyle w:val="Tables"/>
            </w:pPr>
          </w:p>
        </w:tc>
        <w:tc>
          <w:tcPr>
            <w:tcW w:w="1357" w:type="dxa"/>
            <w:tcBorders>
              <w:left w:val="nil"/>
            </w:tcBorders>
            <w:shd w:val="clear" w:color="auto" w:fill="auto"/>
            <w:noWrap/>
            <w:vAlign w:val="center"/>
          </w:tcPr>
          <w:p w14:paraId="763EEC3C" w14:textId="77777777" w:rsidR="0020264D" w:rsidRPr="009F7B37" w:rsidRDefault="0020264D">
            <w:pPr>
              <w:pStyle w:val="Tables"/>
            </w:pPr>
            <w:r>
              <w:t>2</w:t>
            </w:r>
          </w:p>
        </w:tc>
        <w:tc>
          <w:tcPr>
            <w:tcW w:w="1403" w:type="dxa"/>
            <w:shd w:val="clear" w:color="auto" w:fill="auto"/>
            <w:vAlign w:val="center"/>
          </w:tcPr>
          <w:p w14:paraId="66F9B5E0" w14:textId="77777777" w:rsidR="0020264D" w:rsidRDefault="0020264D" w:rsidP="00CF7A13">
            <w:pPr>
              <w:pStyle w:val="Tables"/>
            </w:pPr>
            <w:r>
              <w:t>2</w:t>
            </w:r>
          </w:p>
        </w:tc>
      </w:tr>
      <w:tr w:rsidR="0020264D" w:rsidRPr="00C9023F" w14:paraId="51E0E9D3" w14:textId="77777777">
        <w:trPr>
          <w:trHeight w:val="300"/>
        </w:trPr>
        <w:tc>
          <w:tcPr>
            <w:tcW w:w="6194" w:type="dxa"/>
            <w:shd w:val="clear" w:color="auto" w:fill="auto"/>
            <w:noWrap/>
            <w:vAlign w:val="center"/>
            <w:hideMark/>
          </w:tcPr>
          <w:p w14:paraId="2318D6E4" w14:textId="77777777" w:rsidR="0020264D" w:rsidRPr="00C9023F" w:rsidRDefault="0020264D" w:rsidP="00C3003D">
            <w:pPr>
              <w:pStyle w:val="Tables"/>
              <w:jc w:val="left"/>
              <w:rPr>
                <w:b/>
              </w:rPr>
            </w:pPr>
            <w:r w:rsidRPr="00C9023F">
              <w:rPr>
                <w:b/>
              </w:rPr>
              <w:t>Total</w:t>
            </w:r>
          </w:p>
        </w:tc>
        <w:tc>
          <w:tcPr>
            <w:tcW w:w="236" w:type="dxa"/>
            <w:tcBorders>
              <w:right w:val="nil"/>
            </w:tcBorders>
            <w:shd w:val="clear" w:color="auto" w:fill="auto"/>
            <w:noWrap/>
            <w:vAlign w:val="center"/>
          </w:tcPr>
          <w:p w14:paraId="0AF8A274" w14:textId="77777777" w:rsidR="0020264D" w:rsidRPr="00C9023F" w:rsidRDefault="0020264D" w:rsidP="00905C18">
            <w:pPr>
              <w:pStyle w:val="Tables"/>
              <w:ind w:right="465"/>
              <w:rPr>
                <w:b/>
                <w:bCs/>
              </w:rPr>
            </w:pPr>
          </w:p>
        </w:tc>
        <w:tc>
          <w:tcPr>
            <w:tcW w:w="1357" w:type="dxa"/>
            <w:tcBorders>
              <w:left w:val="nil"/>
            </w:tcBorders>
            <w:shd w:val="clear" w:color="auto" w:fill="auto"/>
            <w:noWrap/>
            <w:vAlign w:val="center"/>
          </w:tcPr>
          <w:p w14:paraId="7F7CE366" w14:textId="0AD75B53" w:rsidR="0020264D" w:rsidRPr="009F7B37" w:rsidRDefault="0020264D" w:rsidP="009F7B37">
            <w:pPr>
              <w:pStyle w:val="Tables"/>
            </w:pPr>
            <w:r w:rsidRPr="00E2326A">
              <w:t>61</w:t>
            </w:r>
          </w:p>
        </w:tc>
        <w:tc>
          <w:tcPr>
            <w:tcW w:w="1403" w:type="dxa"/>
            <w:shd w:val="clear" w:color="auto" w:fill="auto"/>
            <w:vAlign w:val="center"/>
          </w:tcPr>
          <w:p w14:paraId="752CC726" w14:textId="675A3605" w:rsidR="0020264D" w:rsidRPr="2EE9826F" w:rsidRDefault="0020264D" w:rsidP="00CF7A13">
            <w:pPr>
              <w:pStyle w:val="Tables"/>
              <w:rPr>
                <w:b/>
                <w:bCs/>
              </w:rPr>
            </w:pPr>
            <w:r w:rsidRPr="3C2F5E07">
              <w:rPr>
                <w:b/>
                <w:bCs/>
              </w:rPr>
              <w:t>18</w:t>
            </w:r>
          </w:p>
        </w:tc>
      </w:tr>
    </w:tbl>
    <w:p w14:paraId="2B14E768" w14:textId="77777777" w:rsidR="00902AEC" w:rsidRDefault="00902AEC" w:rsidP="00EF4DBB">
      <w:pPr>
        <w:pStyle w:val="Heading3"/>
        <w:rPr>
          <w:rFonts w:ascii="Arial" w:eastAsia="Times New Roman" w:hAnsi="Arial"/>
          <w:color w:val="auto"/>
          <w:sz w:val="22"/>
          <w:szCs w:val="22"/>
        </w:rPr>
      </w:pPr>
      <w:r>
        <w:rPr>
          <w:rFonts w:ascii="Arial" w:eastAsia="Times New Roman" w:hAnsi="Arial"/>
          <w:color w:val="auto"/>
          <w:sz w:val="22"/>
          <w:szCs w:val="22"/>
        </w:rPr>
        <w:br w:type="page"/>
      </w:r>
    </w:p>
    <w:p w14:paraId="3C772895" w14:textId="4E79A0A6" w:rsidR="000D42F1" w:rsidRPr="00BD64AC" w:rsidRDefault="000D42F1" w:rsidP="00EF4DBB">
      <w:pPr>
        <w:pStyle w:val="Heading3"/>
      </w:pPr>
      <w:bookmarkStart w:id="120" w:name="_Toc151900197"/>
      <w:r>
        <w:lastRenderedPageBreak/>
        <w:t>Breaches of public sector standards</w:t>
      </w:r>
      <w:bookmarkEnd w:id="120"/>
    </w:p>
    <w:p w14:paraId="425CA94E" w14:textId="77777777" w:rsidR="000D42F1" w:rsidRDefault="000D42F1" w:rsidP="000D1D38">
      <w:r w:rsidRPr="004D3B95">
        <w:t xml:space="preserve">Breach of </w:t>
      </w:r>
      <w:r>
        <w:t>s</w:t>
      </w:r>
      <w:r w:rsidRPr="004D3B95">
        <w:t>tandard</w:t>
      </w:r>
      <w:r>
        <w:t>s</w:t>
      </w:r>
      <w:r w:rsidRPr="004D3B95">
        <w:t xml:space="preserve"> </w:t>
      </w:r>
      <w:r>
        <w:t>c</w:t>
      </w:r>
      <w:r w:rsidRPr="004D3B95">
        <w:t xml:space="preserve">laims are lodged directly with the public sector </w:t>
      </w:r>
      <w:r>
        <w:t>agency</w:t>
      </w:r>
      <w:r w:rsidRPr="004D3B95">
        <w:t xml:space="preserve"> </w:t>
      </w:r>
      <w:r>
        <w:t>that</w:t>
      </w:r>
      <w:r w:rsidRPr="004D3B95">
        <w:t xml:space="preserve"> made the reviewable decision to which a </w:t>
      </w:r>
      <w:r>
        <w:t>s</w:t>
      </w:r>
      <w:r w:rsidRPr="004D3B95">
        <w:t xml:space="preserve">tandard applies. Public sector </w:t>
      </w:r>
      <w:r>
        <w:t>agencies</w:t>
      </w:r>
      <w:r w:rsidRPr="004D3B95">
        <w:t xml:space="preserve"> must attempt to resolve claims and must forward them to the </w:t>
      </w:r>
      <w:r>
        <w:t xml:space="preserve">Public Sector </w:t>
      </w:r>
      <w:r w:rsidRPr="004D3B95">
        <w:t xml:space="preserve">Commission if they are not resolved within 15 days. </w:t>
      </w:r>
    </w:p>
    <w:p w14:paraId="77D7F29E" w14:textId="64354EE7" w:rsidR="000D42F1" w:rsidRDefault="000D42F1" w:rsidP="0BA1EAAE">
      <w:r>
        <w:t xml:space="preserve">In 2022-23, public sector agencies reported that 106 claims were resolved by the agency without referring them to the Public Sector Commission. This is an increase from 92 in </w:t>
      </w:r>
      <w:r w:rsidR="007D4CFC">
        <w:br/>
      </w:r>
      <w:r>
        <w:t xml:space="preserve">2021-22. </w:t>
      </w:r>
    </w:p>
    <w:p w14:paraId="32839D12" w14:textId="3E1FE43E" w:rsidR="000D42F1" w:rsidRPr="003428B3" w:rsidRDefault="000D42F1" w:rsidP="00E0699F">
      <w:r w:rsidRPr="003428B3">
        <w:t xml:space="preserve">This year the Public Sector Commission finalised </w:t>
      </w:r>
      <w:r>
        <w:t>102</w:t>
      </w:r>
      <w:r w:rsidRPr="003428B3">
        <w:t xml:space="preserve"> claims compared to </w:t>
      </w:r>
      <w:r>
        <w:t>110</w:t>
      </w:r>
      <w:r w:rsidRPr="003428B3">
        <w:t xml:space="preserve"> in </w:t>
      </w:r>
      <w:r>
        <w:t>2021-22</w:t>
      </w:r>
      <w:r w:rsidRPr="003428B3">
        <w:t xml:space="preserve"> (</w:t>
      </w:r>
      <w:r w:rsidR="00594B19" w:rsidRPr="00902AEC">
        <w:rPr>
          <w:noProof/>
        </w:rPr>
        <w:fldChar w:fldCharType="begin"/>
      </w:r>
      <w:r w:rsidR="00594B19" w:rsidRPr="00902AEC">
        <w:instrText xml:space="preserve"> REF _Ref148971311 \h </w:instrText>
      </w:r>
      <w:r w:rsidR="00902AEC" w:rsidRPr="00902AEC">
        <w:rPr>
          <w:noProof/>
        </w:rPr>
        <w:instrText xml:space="preserve"> \* MERGEFORMAT </w:instrText>
      </w:r>
      <w:r w:rsidR="00594B19" w:rsidRPr="00902AEC">
        <w:rPr>
          <w:noProof/>
        </w:rPr>
      </w:r>
      <w:r w:rsidR="00594B19" w:rsidRPr="00902AEC">
        <w:rPr>
          <w:noProof/>
        </w:rPr>
        <w:fldChar w:fldCharType="separate"/>
      </w:r>
      <w:r w:rsidR="0048418F" w:rsidRPr="0048418F">
        <w:t xml:space="preserve">Table </w:t>
      </w:r>
      <w:r w:rsidR="0048418F" w:rsidRPr="0048418F">
        <w:rPr>
          <w:noProof/>
        </w:rPr>
        <w:t>27</w:t>
      </w:r>
      <w:r w:rsidR="00594B19" w:rsidRPr="00902AEC">
        <w:rPr>
          <w:noProof/>
        </w:rPr>
        <w:fldChar w:fldCharType="end"/>
      </w:r>
      <w:r w:rsidRPr="003428B3">
        <w:t xml:space="preserve">). Of all claims finalised by the Public Sector Commission this year, </w:t>
      </w:r>
      <w:r>
        <w:t>none</w:t>
      </w:r>
      <w:r w:rsidRPr="003428B3">
        <w:t xml:space="preserve"> were upheld </w:t>
      </w:r>
      <w:r>
        <w:t>compared with 2</w:t>
      </w:r>
      <w:r w:rsidRPr="003428B3">
        <w:t xml:space="preserve"> upheld in </w:t>
      </w:r>
      <w:r>
        <w:t>2021-22</w:t>
      </w:r>
      <w:r w:rsidRPr="003428B3">
        <w:t>.</w:t>
      </w:r>
      <w:r>
        <w:t xml:space="preserve"> </w:t>
      </w:r>
    </w:p>
    <w:p w14:paraId="7E2D972C" w14:textId="77777777" w:rsidR="000D42F1" w:rsidRPr="007252F2" w:rsidRDefault="000D42F1">
      <w:r w:rsidRPr="003428B3">
        <w:t xml:space="preserve">Claims in regard to breaches of the </w:t>
      </w:r>
      <w:r>
        <w:t>E</w:t>
      </w:r>
      <w:r w:rsidRPr="003428B3">
        <w:t xml:space="preserve">mployment </w:t>
      </w:r>
      <w:r>
        <w:t>S</w:t>
      </w:r>
      <w:r w:rsidRPr="003428B3">
        <w:t>tandard remained the most common type of claims finalised by both public sector agencies and the Public Sector Commission.</w:t>
      </w:r>
      <w:r>
        <w:t xml:space="preserve"> </w:t>
      </w:r>
      <w:bookmarkStart w:id="121" w:name="_Ref84259121"/>
    </w:p>
    <w:p w14:paraId="360D78CF" w14:textId="76267772" w:rsidR="000D42F1" w:rsidRPr="00B476F3" w:rsidRDefault="00594B19" w:rsidP="00594B19">
      <w:pPr>
        <w:pStyle w:val="Caption"/>
        <w:rPr>
          <w:b/>
          <w:bCs/>
        </w:rPr>
      </w:pPr>
      <w:bookmarkStart w:id="122" w:name="_Ref148971311"/>
      <w:bookmarkEnd w:id="121"/>
      <w:r w:rsidRPr="00594B19">
        <w:rPr>
          <w:b/>
          <w:bCs/>
        </w:rPr>
        <w:t xml:space="preserve">Table </w:t>
      </w:r>
      <w:r w:rsidRPr="00594B19">
        <w:rPr>
          <w:b/>
          <w:bCs/>
        </w:rPr>
        <w:fldChar w:fldCharType="begin"/>
      </w:r>
      <w:r w:rsidRPr="00594B19">
        <w:rPr>
          <w:b/>
          <w:bCs/>
        </w:rPr>
        <w:instrText xml:space="preserve"> SEQ Table \* ARABIC </w:instrText>
      </w:r>
      <w:r w:rsidRPr="00594B19">
        <w:rPr>
          <w:b/>
          <w:bCs/>
        </w:rPr>
        <w:fldChar w:fldCharType="separate"/>
      </w:r>
      <w:r w:rsidR="0048418F">
        <w:rPr>
          <w:b/>
          <w:bCs/>
          <w:noProof/>
        </w:rPr>
        <w:t>27</w:t>
      </w:r>
      <w:r w:rsidRPr="00594B19">
        <w:rPr>
          <w:b/>
          <w:bCs/>
        </w:rPr>
        <w:fldChar w:fldCharType="end"/>
      </w:r>
      <w:bookmarkEnd w:id="122"/>
      <w:r w:rsidR="000D42F1" w:rsidRPr="00B476F3">
        <w:rPr>
          <w:b/>
          <w:bCs/>
        </w:rPr>
        <w:t>: Breach of standards claims finalised by public sector agencies and Public Sector Commission 202</w:t>
      </w:r>
      <w:r w:rsidR="000D42F1">
        <w:rPr>
          <w:b/>
          <w:bCs/>
        </w:rPr>
        <w:t>1</w:t>
      </w:r>
      <w:r w:rsidR="000D42F1" w:rsidRPr="00B476F3">
        <w:rPr>
          <w:b/>
          <w:bCs/>
        </w:rPr>
        <w:t>-2</w:t>
      </w:r>
      <w:r w:rsidR="000D42F1">
        <w:rPr>
          <w:b/>
          <w:bCs/>
        </w:rPr>
        <w:t>2</w:t>
      </w:r>
      <w:r w:rsidR="000D42F1" w:rsidRPr="00B476F3">
        <w:rPr>
          <w:b/>
          <w:bCs/>
        </w:rPr>
        <w:t xml:space="preserve"> (at 30 June 202</w:t>
      </w:r>
      <w:r w:rsidR="000D42F1">
        <w:rPr>
          <w:b/>
          <w:bCs/>
        </w:rPr>
        <w:t>2</w:t>
      </w:r>
      <w:r w:rsidR="000D42F1" w:rsidRPr="00B476F3">
        <w:rPr>
          <w:b/>
          <w:bCs/>
        </w:rPr>
        <w:t>) and 202</w:t>
      </w:r>
      <w:r w:rsidR="000D42F1">
        <w:rPr>
          <w:b/>
          <w:bCs/>
        </w:rPr>
        <w:t>2</w:t>
      </w:r>
      <w:r w:rsidR="000D42F1" w:rsidRPr="00B476F3">
        <w:rPr>
          <w:b/>
          <w:bCs/>
        </w:rPr>
        <w:t>-2</w:t>
      </w:r>
      <w:r w:rsidR="000D42F1">
        <w:rPr>
          <w:b/>
          <w:bCs/>
        </w:rPr>
        <w:t>3</w:t>
      </w:r>
      <w:r w:rsidR="000D42F1" w:rsidRPr="00B476F3">
        <w:rPr>
          <w:b/>
          <w:bCs/>
        </w:rPr>
        <w:t xml:space="preserve"> (at 30 June 202</w:t>
      </w:r>
      <w:r w:rsidR="000D42F1">
        <w:rPr>
          <w:b/>
          <w:bCs/>
        </w:rPr>
        <w:t>3</w:t>
      </w:r>
      <w:r w:rsidR="000D42F1" w:rsidRPr="00B476F3">
        <w:rPr>
          <w:b/>
          <w:bCs/>
        </w:rPr>
        <w:t>); number of claims and percent of total</w:t>
      </w:r>
    </w:p>
    <w:tbl>
      <w:tblPr>
        <w:tblW w:w="9640" w:type="dxa"/>
        <w:tblInd w:w="-10"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Caption w:val="Table 27: Breach of standards claims finalised by public sector agencies and Public Sector Commission 2021-22 (at 30 June 2022) and 2022-23 (at 30 June 2023); number of claims and percent of total"/>
      </w:tblPr>
      <w:tblGrid>
        <w:gridCol w:w="2127"/>
        <w:gridCol w:w="1311"/>
        <w:gridCol w:w="1417"/>
        <w:gridCol w:w="958"/>
        <w:gridCol w:w="1418"/>
        <w:gridCol w:w="1417"/>
        <w:gridCol w:w="992"/>
      </w:tblGrid>
      <w:tr w:rsidR="000D42F1" w:rsidRPr="00187047" w14:paraId="7F9EDA9D" w14:textId="77777777" w:rsidTr="009A0F14">
        <w:trPr>
          <w:trHeight w:val="218"/>
        </w:trPr>
        <w:tc>
          <w:tcPr>
            <w:tcW w:w="2127" w:type="dxa"/>
            <w:shd w:val="clear" w:color="auto" w:fill="auto"/>
            <w:hideMark/>
          </w:tcPr>
          <w:p w14:paraId="063E212B" w14:textId="081C2588" w:rsidR="000D42F1" w:rsidRPr="00187047" w:rsidRDefault="009752F5" w:rsidP="0039634E">
            <w:pPr>
              <w:spacing w:after="0" w:line="240" w:lineRule="auto"/>
              <w:rPr>
                <w:b/>
                <w:bCs/>
                <w:color w:val="2E74B5"/>
                <w:sz w:val="20"/>
                <w:szCs w:val="20"/>
              </w:rPr>
            </w:pPr>
            <w:r w:rsidRPr="00187047">
              <w:rPr>
                <w:b/>
                <w:bCs/>
                <w:color w:val="2E74B5"/>
                <w:sz w:val="20"/>
                <w:szCs w:val="20"/>
              </w:rPr>
              <w:t>Type of breach of standard claim</w:t>
            </w:r>
          </w:p>
        </w:tc>
        <w:tc>
          <w:tcPr>
            <w:tcW w:w="1311" w:type="dxa"/>
            <w:shd w:val="clear" w:color="auto" w:fill="auto"/>
            <w:hideMark/>
          </w:tcPr>
          <w:p w14:paraId="4FC4C133" w14:textId="77777777" w:rsidR="009752F5" w:rsidRDefault="009752F5" w:rsidP="009A0F14">
            <w:pPr>
              <w:spacing w:after="0" w:line="240" w:lineRule="auto"/>
              <w:jc w:val="right"/>
              <w:rPr>
                <w:b/>
                <w:bCs/>
                <w:color w:val="2E74B5" w:themeColor="accent1" w:themeShade="BF"/>
                <w:sz w:val="20"/>
                <w:szCs w:val="20"/>
              </w:rPr>
            </w:pPr>
            <w:r w:rsidRPr="0BA1EAAE">
              <w:rPr>
                <w:b/>
                <w:bCs/>
                <w:color w:val="2E74B5" w:themeColor="accent1" w:themeShade="BF"/>
                <w:sz w:val="20"/>
                <w:szCs w:val="20"/>
              </w:rPr>
              <w:t>2021-22</w:t>
            </w:r>
          </w:p>
          <w:p w14:paraId="188B1955" w14:textId="67EB7A6E" w:rsidR="000D42F1" w:rsidRPr="00187047" w:rsidRDefault="000D42F1" w:rsidP="009A0F14">
            <w:pPr>
              <w:spacing w:after="0" w:line="240" w:lineRule="auto"/>
              <w:jc w:val="right"/>
              <w:rPr>
                <w:b/>
                <w:bCs/>
                <w:color w:val="2E74B5"/>
                <w:sz w:val="20"/>
                <w:szCs w:val="20"/>
              </w:rPr>
            </w:pPr>
            <w:r w:rsidRPr="00187047">
              <w:rPr>
                <w:b/>
                <w:bCs/>
                <w:color w:val="2E74B5"/>
                <w:sz w:val="20"/>
                <w:szCs w:val="20"/>
              </w:rPr>
              <w:t>Resolved by public sector agencies</w:t>
            </w:r>
          </w:p>
        </w:tc>
        <w:tc>
          <w:tcPr>
            <w:tcW w:w="1417" w:type="dxa"/>
            <w:shd w:val="clear" w:color="auto" w:fill="auto"/>
            <w:hideMark/>
          </w:tcPr>
          <w:p w14:paraId="6BBA4D94" w14:textId="77777777" w:rsidR="009752F5" w:rsidRDefault="009752F5" w:rsidP="009A0F14">
            <w:pPr>
              <w:spacing w:after="0" w:line="240" w:lineRule="auto"/>
              <w:jc w:val="right"/>
              <w:rPr>
                <w:b/>
                <w:bCs/>
                <w:color w:val="2E74B5" w:themeColor="accent1" w:themeShade="BF"/>
                <w:sz w:val="20"/>
                <w:szCs w:val="20"/>
              </w:rPr>
            </w:pPr>
            <w:r w:rsidRPr="0BA1EAAE">
              <w:rPr>
                <w:b/>
                <w:bCs/>
                <w:color w:val="2E74B5" w:themeColor="accent1" w:themeShade="BF"/>
                <w:sz w:val="20"/>
                <w:szCs w:val="20"/>
              </w:rPr>
              <w:t>2021-22</w:t>
            </w:r>
          </w:p>
          <w:p w14:paraId="2B5799E3" w14:textId="4CE0EB93" w:rsidR="000D42F1" w:rsidRPr="00187047" w:rsidRDefault="000D42F1" w:rsidP="009A0F14">
            <w:pPr>
              <w:spacing w:after="0" w:line="240" w:lineRule="auto"/>
              <w:jc w:val="right"/>
              <w:rPr>
                <w:b/>
                <w:bCs/>
                <w:color w:val="2E74B5"/>
                <w:sz w:val="20"/>
                <w:szCs w:val="20"/>
              </w:rPr>
            </w:pPr>
            <w:r w:rsidRPr="00187047">
              <w:rPr>
                <w:b/>
                <w:bCs/>
                <w:color w:val="2E74B5"/>
                <w:sz w:val="20"/>
                <w:szCs w:val="20"/>
              </w:rPr>
              <w:t>Resolved by Public Sector Commission</w:t>
            </w:r>
          </w:p>
        </w:tc>
        <w:tc>
          <w:tcPr>
            <w:tcW w:w="958" w:type="dxa"/>
            <w:shd w:val="clear" w:color="auto" w:fill="auto"/>
            <w:hideMark/>
          </w:tcPr>
          <w:p w14:paraId="564A2654" w14:textId="77777777" w:rsidR="009752F5" w:rsidRDefault="009752F5" w:rsidP="009A0F14">
            <w:pPr>
              <w:spacing w:after="0" w:line="240" w:lineRule="auto"/>
              <w:jc w:val="right"/>
              <w:rPr>
                <w:b/>
                <w:bCs/>
                <w:color w:val="2E74B5" w:themeColor="accent1" w:themeShade="BF"/>
                <w:sz w:val="20"/>
                <w:szCs w:val="20"/>
              </w:rPr>
            </w:pPr>
            <w:r w:rsidRPr="0BA1EAAE">
              <w:rPr>
                <w:b/>
                <w:bCs/>
                <w:color w:val="2E74B5" w:themeColor="accent1" w:themeShade="BF"/>
                <w:sz w:val="20"/>
                <w:szCs w:val="20"/>
              </w:rPr>
              <w:t>2021-22</w:t>
            </w:r>
          </w:p>
          <w:p w14:paraId="5AB7624B" w14:textId="2698FDB7" w:rsidR="000D42F1" w:rsidRPr="00187047" w:rsidRDefault="000D42F1" w:rsidP="009A0F14">
            <w:pPr>
              <w:spacing w:after="0" w:line="240" w:lineRule="auto"/>
              <w:jc w:val="right"/>
              <w:rPr>
                <w:b/>
                <w:bCs/>
                <w:color w:val="2E74B5"/>
                <w:sz w:val="20"/>
                <w:szCs w:val="20"/>
              </w:rPr>
            </w:pPr>
            <w:r w:rsidRPr="00187047">
              <w:rPr>
                <w:b/>
                <w:bCs/>
                <w:color w:val="2E74B5"/>
                <w:sz w:val="20"/>
                <w:szCs w:val="20"/>
              </w:rPr>
              <w:t>Total</w:t>
            </w:r>
          </w:p>
        </w:tc>
        <w:tc>
          <w:tcPr>
            <w:tcW w:w="1418" w:type="dxa"/>
            <w:shd w:val="clear" w:color="auto" w:fill="auto"/>
            <w:hideMark/>
          </w:tcPr>
          <w:p w14:paraId="673A0BC3" w14:textId="77777777" w:rsidR="009752F5" w:rsidRDefault="009752F5" w:rsidP="009A0F14">
            <w:pPr>
              <w:spacing w:after="0" w:line="240" w:lineRule="auto"/>
              <w:jc w:val="right"/>
              <w:rPr>
                <w:b/>
                <w:bCs/>
                <w:color w:val="2E74B5" w:themeColor="accent1" w:themeShade="BF"/>
                <w:sz w:val="20"/>
                <w:szCs w:val="20"/>
              </w:rPr>
            </w:pPr>
            <w:r w:rsidRPr="0BA1EAAE">
              <w:rPr>
                <w:b/>
                <w:bCs/>
                <w:color w:val="2E74B5" w:themeColor="accent1" w:themeShade="BF"/>
                <w:sz w:val="20"/>
                <w:szCs w:val="20"/>
              </w:rPr>
              <w:t>202</w:t>
            </w:r>
            <w:r>
              <w:rPr>
                <w:b/>
                <w:bCs/>
                <w:color w:val="2E74B5" w:themeColor="accent1" w:themeShade="BF"/>
                <w:sz w:val="20"/>
                <w:szCs w:val="20"/>
              </w:rPr>
              <w:t>2</w:t>
            </w:r>
            <w:r w:rsidRPr="0BA1EAAE">
              <w:rPr>
                <w:b/>
                <w:bCs/>
                <w:color w:val="2E74B5" w:themeColor="accent1" w:themeShade="BF"/>
                <w:sz w:val="20"/>
                <w:szCs w:val="20"/>
              </w:rPr>
              <w:t>-2</w:t>
            </w:r>
            <w:r>
              <w:rPr>
                <w:b/>
                <w:bCs/>
                <w:color w:val="2E74B5" w:themeColor="accent1" w:themeShade="BF"/>
                <w:sz w:val="20"/>
                <w:szCs w:val="20"/>
              </w:rPr>
              <w:t>3</w:t>
            </w:r>
          </w:p>
          <w:p w14:paraId="4842C65D" w14:textId="5FA20F83" w:rsidR="000D42F1" w:rsidRPr="00187047" w:rsidRDefault="000D42F1" w:rsidP="009A0F14">
            <w:pPr>
              <w:spacing w:after="0" w:line="240" w:lineRule="auto"/>
              <w:jc w:val="right"/>
              <w:rPr>
                <w:b/>
                <w:bCs/>
                <w:color w:val="2E74B5"/>
                <w:sz w:val="20"/>
                <w:szCs w:val="20"/>
              </w:rPr>
            </w:pPr>
            <w:r w:rsidRPr="258887A7">
              <w:rPr>
                <w:b/>
                <w:bCs/>
                <w:color w:val="2E74B5" w:themeColor="accent1" w:themeShade="BF"/>
                <w:sz w:val="20"/>
                <w:szCs w:val="20"/>
              </w:rPr>
              <w:t>Resolved by public sector agencies</w:t>
            </w:r>
          </w:p>
        </w:tc>
        <w:tc>
          <w:tcPr>
            <w:tcW w:w="1417" w:type="dxa"/>
            <w:shd w:val="clear" w:color="auto" w:fill="auto"/>
            <w:hideMark/>
          </w:tcPr>
          <w:p w14:paraId="3233DCF7" w14:textId="77777777" w:rsidR="009752F5" w:rsidRDefault="009752F5" w:rsidP="009A0F14">
            <w:pPr>
              <w:spacing w:after="0" w:line="240" w:lineRule="auto"/>
              <w:jc w:val="right"/>
              <w:rPr>
                <w:b/>
                <w:bCs/>
                <w:color w:val="2E74B5" w:themeColor="accent1" w:themeShade="BF"/>
                <w:sz w:val="20"/>
                <w:szCs w:val="20"/>
              </w:rPr>
            </w:pPr>
            <w:r w:rsidRPr="0BA1EAAE">
              <w:rPr>
                <w:b/>
                <w:bCs/>
                <w:color w:val="2E74B5" w:themeColor="accent1" w:themeShade="BF"/>
                <w:sz w:val="20"/>
                <w:szCs w:val="20"/>
              </w:rPr>
              <w:t>202</w:t>
            </w:r>
            <w:r>
              <w:rPr>
                <w:b/>
                <w:bCs/>
                <w:color w:val="2E74B5" w:themeColor="accent1" w:themeShade="BF"/>
                <w:sz w:val="20"/>
                <w:szCs w:val="20"/>
              </w:rPr>
              <w:t>2</w:t>
            </w:r>
            <w:r w:rsidRPr="0BA1EAAE">
              <w:rPr>
                <w:b/>
                <w:bCs/>
                <w:color w:val="2E74B5" w:themeColor="accent1" w:themeShade="BF"/>
                <w:sz w:val="20"/>
                <w:szCs w:val="20"/>
              </w:rPr>
              <w:t>-2</w:t>
            </w:r>
            <w:r>
              <w:rPr>
                <w:b/>
                <w:bCs/>
                <w:color w:val="2E74B5" w:themeColor="accent1" w:themeShade="BF"/>
                <w:sz w:val="20"/>
                <w:szCs w:val="20"/>
              </w:rPr>
              <w:t>3</w:t>
            </w:r>
          </w:p>
          <w:p w14:paraId="44C0C5EF" w14:textId="70D18DA5" w:rsidR="000D42F1" w:rsidRPr="003428B3" w:rsidRDefault="000D42F1" w:rsidP="009A0F14">
            <w:pPr>
              <w:spacing w:after="0" w:line="240" w:lineRule="auto"/>
              <w:jc w:val="right"/>
              <w:rPr>
                <w:b/>
                <w:bCs/>
                <w:color w:val="2E74B5"/>
                <w:sz w:val="20"/>
                <w:szCs w:val="20"/>
              </w:rPr>
            </w:pPr>
            <w:r w:rsidRPr="003428B3">
              <w:rPr>
                <w:b/>
                <w:bCs/>
                <w:color w:val="2E74B5" w:themeColor="accent1" w:themeShade="BF"/>
                <w:sz w:val="20"/>
                <w:szCs w:val="20"/>
              </w:rPr>
              <w:t>Resolved by Public Sector Commission</w:t>
            </w:r>
          </w:p>
        </w:tc>
        <w:tc>
          <w:tcPr>
            <w:tcW w:w="992" w:type="dxa"/>
            <w:shd w:val="clear" w:color="auto" w:fill="auto"/>
            <w:hideMark/>
          </w:tcPr>
          <w:p w14:paraId="0EBF54C1" w14:textId="77777777" w:rsidR="009752F5" w:rsidRDefault="009752F5" w:rsidP="009A0F14">
            <w:pPr>
              <w:spacing w:after="0" w:line="240" w:lineRule="auto"/>
              <w:jc w:val="right"/>
              <w:rPr>
                <w:b/>
                <w:bCs/>
                <w:color w:val="2E74B5" w:themeColor="accent1" w:themeShade="BF"/>
                <w:sz w:val="20"/>
                <w:szCs w:val="20"/>
              </w:rPr>
            </w:pPr>
            <w:r w:rsidRPr="0BA1EAAE">
              <w:rPr>
                <w:b/>
                <w:bCs/>
                <w:color w:val="2E74B5" w:themeColor="accent1" w:themeShade="BF"/>
                <w:sz w:val="20"/>
                <w:szCs w:val="20"/>
              </w:rPr>
              <w:t>202</w:t>
            </w:r>
            <w:r>
              <w:rPr>
                <w:b/>
                <w:bCs/>
                <w:color w:val="2E74B5" w:themeColor="accent1" w:themeShade="BF"/>
                <w:sz w:val="20"/>
                <w:szCs w:val="20"/>
              </w:rPr>
              <w:t>2</w:t>
            </w:r>
            <w:r w:rsidRPr="0BA1EAAE">
              <w:rPr>
                <w:b/>
                <w:bCs/>
                <w:color w:val="2E74B5" w:themeColor="accent1" w:themeShade="BF"/>
                <w:sz w:val="20"/>
                <w:szCs w:val="20"/>
              </w:rPr>
              <w:t>-2</w:t>
            </w:r>
            <w:r>
              <w:rPr>
                <w:b/>
                <w:bCs/>
                <w:color w:val="2E74B5" w:themeColor="accent1" w:themeShade="BF"/>
                <w:sz w:val="20"/>
                <w:szCs w:val="20"/>
              </w:rPr>
              <w:t>3</w:t>
            </w:r>
          </w:p>
          <w:p w14:paraId="32764E19" w14:textId="233A4D97" w:rsidR="000D42F1" w:rsidRPr="00187047" w:rsidRDefault="000D42F1" w:rsidP="009A0F14">
            <w:pPr>
              <w:spacing w:after="0" w:line="240" w:lineRule="auto"/>
              <w:jc w:val="right"/>
              <w:rPr>
                <w:b/>
                <w:bCs/>
                <w:color w:val="2E74B5"/>
                <w:sz w:val="20"/>
                <w:szCs w:val="20"/>
              </w:rPr>
            </w:pPr>
            <w:r w:rsidRPr="2EE9826F">
              <w:rPr>
                <w:b/>
                <w:bCs/>
                <w:color w:val="2E74B5" w:themeColor="accent1" w:themeShade="BF"/>
                <w:sz w:val="20"/>
                <w:szCs w:val="20"/>
              </w:rPr>
              <w:t>Total</w:t>
            </w:r>
          </w:p>
        </w:tc>
      </w:tr>
      <w:tr w:rsidR="000D42F1" w:rsidRPr="00187047" w14:paraId="41533ECA" w14:textId="77777777">
        <w:trPr>
          <w:trHeight w:val="664"/>
        </w:trPr>
        <w:tc>
          <w:tcPr>
            <w:tcW w:w="2127" w:type="dxa"/>
            <w:shd w:val="clear" w:color="auto" w:fill="auto"/>
            <w:hideMark/>
          </w:tcPr>
          <w:p w14:paraId="0C35A875" w14:textId="77777777" w:rsidR="000D42F1" w:rsidRPr="00187047" w:rsidRDefault="000D42F1" w:rsidP="00187047">
            <w:pPr>
              <w:spacing w:after="0" w:line="240" w:lineRule="auto"/>
              <w:rPr>
                <w:color w:val="000000"/>
                <w:sz w:val="20"/>
                <w:szCs w:val="20"/>
              </w:rPr>
            </w:pPr>
            <w:r w:rsidRPr="00187047">
              <w:rPr>
                <w:color w:val="000000"/>
                <w:sz w:val="20"/>
                <w:szCs w:val="20"/>
              </w:rPr>
              <w:t>Related to Employment Standard</w:t>
            </w:r>
          </w:p>
        </w:tc>
        <w:tc>
          <w:tcPr>
            <w:tcW w:w="1311" w:type="dxa"/>
            <w:shd w:val="clear" w:color="auto" w:fill="auto"/>
            <w:hideMark/>
          </w:tcPr>
          <w:p w14:paraId="018C47E1"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 xml:space="preserve">81 </w:t>
            </w:r>
          </w:p>
          <w:p w14:paraId="7DAE3F21"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(88.0%)</w:t>
            </w:r>
          </w:p>
        </w:tc>
        <w:tc>
          <w:tcPr>
            <w:tcW w:w="1417" w:type="dxa"/>
            <w:shd w:val="clear" w:color="auto" w:fill="auto"/>
            <w:hideMark/>
          </w:tcPr>
          <w:p w14:paraId="20B8BE44" w14:textId="77777777" w:rsidR="000D42F1" w:rsidRDefault="000D42F1">
            <w:pPr>
              <w:spacing w:after="0" w:line="240" w:lineRule="auto"/>
              <w:jc w:val="right"/>
              <w:rPr>
                <w:color w:val="000000" w:themeColor="text1"/>
                <w:sz w:val="20"/>
                <w:szCs w:val="20"/>
              </w:rPr>
            </w:pPr>
            <w:r w:rsidRPr="003428B3">
              <w:rPr>
                <w:color w:val="000000" w:themeColor="text1"/>
                <w:sz w:val="20"/>
                <w:szCs w:val="20"/>
              </w:rPr>
              <w:t xml:space="preserve">84 </w:t>
            </w:r>
          </w:p>
          <w:p w14:paraId="6A67FDA8" w14:textId="77777777" w:rsidR="000D42F1" w:rsidRPr="00187047" w:rsidRDefault="000D42F1" w:rsidP="00C06BCC">
            <w:pPr>
              <w:spacing w:after="0" w:line="240" w:lineRule="auto"/>
              <w:jc w:val="right"/>
              <w:rPr>
                <w:color w:val="000000"/>
                <w:sz w:val="20"/>
                <w:szCs w:val="20"/>
              </w:rPr>
            </w:pPr>
            <w:r w:rsidRPr="003428B3">
              <w:rPr>
                <w:color w:val="000000" w:themeColor="text1"/>
                <w:sz w:val="20"/>
                <w:szCs w:val="20"/>
              </w:rPr>
              <w:t>(76.4%)</w:t>
            </w:r>
          </w:p>
        </w:tc>
        <w:tc>
          <w:tcPr>
            <w:tcW w:w="958" w:type="dxa"/>
            <w:shd w:val="clear" w:color="auto" w:fill="auto"/>
            <w:hideMark/>
          </w:tcPr>
          <w:p w14:paraId="327B16C2" w14:textId="77777777" w:rsidR="000D42F1" w:rsidRDefault="000D42F1">
            <w:pPr>
              <w:spacing w:after="0" w:line="240" w:lineRule="auto"/>
              <w:jc w:val="right"/>
              <w:rPr>
                <w:color w:val="000000" w:themeColor="text1"/>
                <w:sz w:val="20"/>
                <w:szCs w:val="20"/>
              </w:rPr>
            </w:pPr>
            <w:r w:rsidRPr="258887A7">
              <w:rPr>
                <w:color w:val="000000" w:themeColor="text1"/>
                <w:sz w:val="20"/>
                <w:szCs w:val="20"/>
              </w:rPr>
              <w:t xml:space="preserve">165 </w:t>
            </w:r>
          </w:p>
          <w:p w14:paraId="3724EC90" w14:textId="77777777" w:rsidR="000D42F1" w:rsidRPr="00187047" w:rsidRDefault="000D42F1" w:rsidP="00C06BCC">
            <w:pPr>
              <w:spacing w:after="0" w:line="240" w:lineRule="auto"/>
              <w:jc w:val="right"/>
              <w:rPr>
                <w:color w:val="000000"/>
                <w:sz w:val="20"/>
                <w:szCs w:val="20"/>
              </w:rPr>
            </w:pPr>
            <w:r w:rsidRPr="258887A7">
              <w:rPr>
                <w:color w:val="000000" w:themeColor="text1"/>
                <w:sz w:val="20"/>
                <w:szCs w:val="20"/>
              </w:rPr>
              <w:t>(81.7%)</w:t>
            </w:r>
          </w:p>
        </w:tc>
        <w:tc>
          <w:tcPr>
            <w:tcW w:w="1418" w:type="dxa"/>
            <w:shd w:val="clear" w:color="auto" w:fill="auto"/>
            <w:hideMark/>
          </w:tcPr>
          <w:p w14:paraId="1E943338" w14:textId="77777777" w:rsidR="000D42F1" w:rsidRDefault="000D42F1">
            <w:pPr>
              <w:spacing w:after="0" w:line="240" w:lineRule="auto"/>
              <w:jc w:val="right"/>
              <w:rPr>
                <w:color w:val="000000"/>
                <w:sz w:val="20"/>
                <w:szCs w:val="20"/>
              </w:rPr>
            </w:pPr>
            <w:r>
              <w:rPr>
                <w:color w:val="000000"/>
                <w:sz w:val="20"/>
                <w:szCs w:val="20"/>
              </w:rPr>
              <w:t xml:space="preserve">97 </w:t>
            </w:r>
          </w:p>
          <w:p w14:paraId="367DBC31" w14:textId="77777777" w:rsidR="000D42F1" w:rsidRPr="00187047" w:rsidRDefault="000D42F1" w:rsidP="00C06BCC">
            <w:pPr>
              <w:spacing w:after="0" w:line="240" w:lineRule="auto"/>
              <w:jc w:val="right"/>
              <w:rPr>
                <w:color w:val="000000"/>
                <w:sz w:val="20"/>
                <w:szCs w:val="20"/>
              </w:rPr>
            </w:pPr>
            <w:r>
              <w:rPr>
                <w:color w:val="000000"/>
                <w:sz w:val="20"/>
                <w:szCs w:val="20"/>
              </w:rPr>
              <w:t>(91.5%)</w:t>
            </w:r>
          </w:p>
        </w:tc>
        <w:tc>
          <w:tcPr>
            <w:tcW w:w="1417" w:type="dxa"/>
            <w:shd w:val="clear" w:color="auto" w:fill="auto"/>
            <w:hideMark/>
          </w:tcPr>
          <w:p w14:paraId="74A6E2E7" w14:textId="77777777" w:rsidR="009752F5" w:rsidRDefault="000D42F1" w:rsidP="00DD2285">
            <w:pPr>
              <w:spacing w:after="0" w:line="240" w:lineRule="auto"/>
              <w:jc w:val="right"/>
              <w:rPr>
                <w:color w:val="000000"/>
                <w:sz w:val="20"/>
                <w:szCs w:val="20"/>
              </w:rPr>
            </w:pPr>
            <w:r>
              <w:rPr>
                <w:color w:val="000000"/>
                <w:sz w:val="20"/>
                <w:szCs w:val="20"/>
              </w:rPr>
              <w:t xml:space="preserve">85 </w:t>
            </w:r>
          </w:p>
          <w:p w14:paraId="10A97D45" w14:textId="096EA46F" w:rsidR="000D42F1" w:rsidRPr="003428B3" w:rsidRDefault="000D42F1" w:rsidP="00DD2285">
            <w:pPr>
              <w:spacing w:after="0" w:line="240" w:lineRule="auto"/>
              <w:jc w:val="right"/>
              <w:rPr>
                <w:color w:val="000000"/>
                <w:sz w:val="20"/>
                <w:szCs w:val="20"/>
              </w:rPr>
            </w:pPr>
            <w:r>
              <w:rPr>
                <w:color w:val="000000"/>
                <w:sz w:val="20"/>
                <w:szCs w:val="20"/>
              </w:rPr>
              <w:t>(83.3%)</w:t>
            </w:r>
          </w:p>
        </w:tc>
        <w:tc>
          <w:tcPr>
            <w:tcW w:w="992" w:type="dxa"/>
            <w:shd w:val="clear" w:color="auto" w:fill="auto"/>
            <w:hideMark/>
          </w:tcPr>
          <w:p w14:paraId="51376EE5" w14:textId="77777777" w:rsidR="000D42F1" w:rsidRDefault="000D42F1" w:rsidP="00192B72">
            <w:pPr>
              <w:spacing w:after="0" w:line="240" w:lineRule="auto"/>
              <w:jc w:val="right"/>
              <w:rPr>
                <w:color w:val="000000"/>
                <w:sz w:val="20"/>
                <w:szCs w:val="20"/>
              </w:rPr>
            </w:pPr>
            <w:r>
              <w:rPr>
                <w:color w:val="000000"/>
                <w:sz w:val="20"/>
                <w:szCs w:val="20"/>
              </w:rPr>
              <w:t>182</w:t>
            </w:r>
          </w:p>
          <w:p w14:paraId="56A6352F" w14:textId="77777777" w:rsidR="000D42F1" w:rsidRPr="00187047" w:rsidRDefault="000D42F1" w:rsidP="00192B72">
            <w:pPr>
              <w:spacing w:after="0" w:line="240" w:lineRule="auto"/>
              <w:jc w:val="right"/>
              <w:rPr>
                <w:color w:val="000000"/>
                <w:sz w:val="20"/>
                <w:szCs w:val="20"/>
              </w:rPr>
            </w:pPr>
            <w:r>
              <w:rPr>
                <w:color w:val="000000"/>
                <w:sz w:val="20"/>
                <w:szCs w:val="20"/>
              </w:rPr>
              <w:t>(87.5%)</w:t>
            </w:r>
          </w:p>
        </w:tc>
      </w:tr>
      <w:tr w:rsidR="000D42F1" w:rsidRPr="00187047" w14:paraId="1F4D871E" w14:textId="77777777">
        <w:trPr>
          <w:trHeight w:val="70"/>
        </w:trPr>
        <w:tc>
          <w:tcPr>
            <w:tcW w:w="2127" w:type="dxa"/>
            <w:shd w:val="clear" w:color="auto" w:fill="auto"/>
            <w:noWrap/>
            <w:hideMark/>
          </w:tcPr>
          <w:p w14:paraId="319CA8BF" w14:textId="77777777" w:rsidR="000D42F1" w:rsidRPr="00187047" w:rsidRDefault="000D42F1" w:rsidP="00187047">
            <w:pPr>
              <w:spacing w:after="0" w:line="240" w:lineRule="auto"/>
              <w:rPr>
                <w:color w:val="000000"/>
                <w:sz w:val="20"/>
                <w:szCs w:val="20"/>
              </w:rPr>
            </w:pPr>
            <w:r w:rsidRPr="00187047">
              <w:rPr>
                <w:color w:val="000000"/>
                <w:sz w:val="20"/>
                <w:szCs w:val="20"/>
              </w:rPr>
              <w:t>Grievance resolution</w:t>
            </w:r>
          </w:p>
        </w:tc>
        <w:tc>
          <w:tcPr>
            <w:tcW w:w="1311" w:type="dxa"/>
            <w:shd w:val="clear" w:color="auto" w:fill="auto"/>
            <w:hideMark/>
          </w:tcPr>
          <w:p w14:paraId="6202674C"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 xml:space="preserve">7 </w:t>
            </w:r>
          </w:p>
          <w:p w14:paraId="1141CC7E"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(7.6%)</w:t>
            </w:r>
          </w:p>
        </w:tc>
        <w:tc>
          <w:tcPr>
            <w:tcW w:w="1417" w:type="dxa"/>
            <w:shd w:val="clear" w:color="auto" w:fill="auto"/>
            <w:hideMark/>
          </w:tcPr>
          <w:p w14:paraId="244EB73F" w14:textId="77777777" w:rsidR="000D42F1" w:rsidRDefault="000D42F1">
            <w:pPr>
              <w:spacing w:after="0" w:line="240" w:lineRule="auto"/>
              <w:jc w:val="right"/>
              <w:rPr>
                <w:color w:val="000000" w:themeColor="text1"/>
                <w:sz w:val="20"/>
                <w:szCs w:val="20"/>
              </w:rPr>
            </w:pPr>
            <w:r w:rsidRPr="003428B3">
              <w:rPr>
                <w:color w:val="000000" w:themeColor="text1"/>
                <w:sz w:val="20"/>
                <w:szCs w:val="20"/>
              </w:rPr>
              <w:t xml:space="preserve">23 </w:t>
            </w:r>
          </w:p>
          <w:p w14:paraId="7AD8AB93" w14:textId="77777777" w:rsidR="000D42F1" w:rsidRPr="00187047" w:rsidRDefault="000D42F1" w:rsidP="00C06BCC">
            <w:pPr>
              <w:spacing w:after="0" w:line="240" w:lineRule="auto"/>
              <w:jc w:val="right"/>
              <w:rPr>
                <w:color w:val="000000"/>
                <w:sz w:val="20"/>
                <w:szCs w:val="20"/>
              </w:rPr>
            </w:pPr>
            <w:r w:rsidRPr="003428B3">
              <w:rPr>
                <w:color w:val="000000" w:themeColor="text1"/>
                <w:sz w:val="20"/>
                <w:szCs w:val="20"/>
              </w:rPr>
              <w:t>(20.9%)</w:t>
            </w:r>
          </w:p>
        </w:tc>
        <w:tc>
          <w:tcPr>
            <w:tcW w:w="958" w:type="dxa"/>
            <w:shd w:val="clear" w:color="auto" w:fill="auto"/>
            <w:hideMark/>
          </w:tcPr>
          <w:p w14:paraId="653B0F60" w14:textId="77777777" w:rsidR="000D42F1" w:rsidRDefault="000D42F1">
            <w:pPr>
              <w:spacing w:after="0" w:line="240" w:lineRule="auto"/>
              <w:jc w:val="right"/>
              <w:rPr>
                <w:color w:val="000000" w:themeColor="text1"/>
                <w:sz w:val="20"/>
                <w:szCs w:val="20"/>
              </w:rPr>
            </w:pPr>
            <w:r w:rsidRPr="258887A7">
              <w:rPr>
                <w:color w:val="000000" w:themeColor="text1"/>
                <w:sz w:val="20"/>
                <w:szCs w:val="20"/>
              </w:rPr>
              <w:t xml:space="preserve">30 </w:t>
            </w:r>
          </w:p>
          <w:p w14:paraId="25C9C226" w14:textId="77777777" w:rsidR="000D42F1" w:rsidRPr="00187047" w:rsidRDefault="000D42F1" w:rsidP="00C06BCC">
            <w:pPr>
              <w:spacing w:after="0" w:line="240" w:lineRule="auto"/>
              <w:jc w:val="right"/>
              <w:rPr>
                <w:color w:val="000000"/>
                <w:sz w:val="20"/>
                <w:szCs w:val="20"/>
              </w:rPr>
            </w:pPr>
            <w:r w:rsidRPr="258887A7">
              <w:rPr>
                <w:color w:val="000000" w:themeColor="text1"/>
                <w:sz w:val="20"/>
                <w:szCs w:val="20"/>
              </w:rPr>
              <w:t>(14.9%)</w:t>
            </w:r>
          </w:p>
        </w:tc>
        <w:tc>
          <w:tcPr>
            <w:tcW w:w="1418" w:type="dxa"/>
            <w:shd w:val="clear" w:color="auto" w:fill="auto"/>
            <w:hideMark/>
          </w:tcPr>
          <w:p w14:paraId="4829F157" w14:textId="77777777" w:rsidR="000D42F1" w:rsidRDefault="000D42F1">
            <w:pPr>
              <w:spacing w:after="0" w:line="240" w:lineRule="auto"/>
              <w:jc w:val="right"/>
              <w:rPr>
                <w:color w:val="000000"/>
                <w:sz w:val="20"/>
                <w:szCs w:val="20"/>
              </w:rPr>
            </w:pPr>
            <w:r>
              <w:rPr>
                <w:color w:val="000000"/>
                <w:sz w:val="20"/>
                <w:szCs w:val="20"/>
              </w:rPr>
              <w:t xml:space="preserve">9 </w:t>
            </w:r>
          </w:p>
          <w:p w14:paraId="0C1C5FAA" w14:textId="77777777" w:rsidR="000D42F1" w:rsidRPr="00187047" w:rsidRDefault="000D42F1" w:rsidP="00C06BCC">
            <w:pPr>
              <w:spacing w:after="0" w:line="240" w:lineRule="auto"/>
              <w:jc w:val="right"/>
              <w:rPr>
                <w:color w:val="000000"/>
                <w:sz w:val="20"/>
                <w:szCs w:val="20"/>
              </w:rPr>
            </w:pPr>
            <w:r>
              <w:rPr>
                <w:color w:val="000000"/>
                <w:sz w:val="20"/>
                <w:szCs w:val="20"/>
              </w:rPr>
              <w:t>(8.5%)</w:t>
            </w:r>
          </w:p>
        </w:tc>
        <w:tc>
          <w:tcPr>
            <w:tcW w:w="1417" w:type="dxa"/>
            <w:shd w:val="clear" w:color="auto" w:fill="auto"/>
            <w:hideMark/>
          </w:tcPr>
          <w:p w14:paraId="470A9F84" w14:textId="77777777" w:rsidR="009752F5" w:rsidRDefault="000D42F1" w:rsidP="00C06BCC">
            <w:pPr>
              <w:spacing w:after="0" w:line="240" w:lineRule="auto"/>
              <w:jc w:val="right"/>
              <w:rPr>
                <w:color w:val="000000"/>
                <w:sz w:val="20"/>
                <w:szCs w:val="20"/>
              </w:rPr>
            </w:pPr>
            <w:r>
              <w:rPr>
                <w:color w:val="000000"/>
                <w:sz w:val="20"/>
                <w:szCs w:val="20"/>
              </w:rPr>
              <w:t xml:space="preserve">15 </w:t>
            </w:r>
          </w:p>
          <w:p w14:paraId="378EB40E" w14:textId="2FF0E193" w:rsidR="000D42F1" w:rsidRPr="003428B3" w:rsidRDefault="000D42F1" w:rsidP="00C06BCC">
            <w:pPr>
              <w:spacing w:after="0" w:line="240" w:lineRule="auto"/>
              <w:jc w:val="right"/>
              <w:rPr>
                <w:color w:val="000000"/>
                <w:sz w:val="20"/>
                <w:szCs w:val="20"/>
              </w:rPr>
            </w:pPr>
            <w:r>
              <w:rPr>
                <w:color w:val="000000"/>
                <w:sz w:val="20"/>
                <w:szCs w:val="20"/>
              </w:rPr>
              <w:t>(14.7%)</w:t>
            </w:r>
          </w:p>
        </w:tc>
        <w:tc>
          <w:tcPr>
            <w:tcW w:w="992" w:type="dxa"/>
            <w:shd w:val="clear" w:color="auto" w:fill="auto"/>
            <w:hideMark/>
          </w:tcPr>
          <w:p w14:paraId="789E58DF" w14:textId="77777777" w:rsidR="000D42F1" w:rsidRDefault="000D42F1" w:rsidP="00C06BCC">
            <w:pPr>
              <w:spacing w:after="0" w:line="240" w:lineRule="auto"/>
              <w:jc w:val="right"/>
              <w:rPr>
                <w:color w:val="000000"/>
                <w:sz w:val="20"/>
                <w:szCs w:val="20"/>
              </w:rPr>
            </w:pPr>
            <w:r>
              <w:rPr>
                <w:color w:val="000000"/>
                <w:sz w:val="20"/>
                <w:szCs w:val="20"/>
              </w:rPr>
              <w:t>24</w:t>
            </w:r>
          </w:p>
          <w:p w14:paraId="6DC45068" w14:textId="77777777" w:rsidR="000D42F1" w:rsidRPr="00187047" w:rsidRDefault="000D42F1" w:rsidP="00C06BCC">
            <w:pPr>
              <w:spacing w:after="0" w:line="240" w:lineRule="auto"/>
              <w:jc w:val="right"/>
              <w:rPr>
                <w:color w:val="000000"/>
                <w:sz w:val="20"/>
                <w:szCs w:val="20"/>
              </w:rPr>
            </w:pPr>
            <w:r>
              <w:rPr>
                <w:color w:val="000000"/>
                <w:sz w:val="20"/>
                <w:szCs w:val="20"/>
              </w:rPr>
              <w:t>(11.5%)</w:t>
            </w:r>
          </w:p>
        </w:tc>
      </w:tr>
      <w:tr w:rsidR="000D42F1" w:rsidRPr="00187047" w14:paraId="1197C5B3" w14:textId="77777777">
        <w:trPr>
          <w:trHeight w:val="106"/>
        </w:trPr>
        <w:tc>
          <w:tcPr>
            <w:tcW w:w="2127" w:type="dxa"/>
            <w:shd w:val="clear" w:color="auto" w:fill="auto"/>
            <w:noWrap/>
            <w:hideMark/>
          </w:tcPr>
          <w:p w14:paraId="7C453B93" w14:textId="77777777" w:rsidR="000D42F1" w:rsidRPr="00187047" w:rsidRDefault="000D42F1" w:rsidP="00187047">
            <w:pPr>
              <w:spacing w:after="0" w:line="240" w:lineRule="auto"/>
              <w:rPr>
                <w:color w:val="000000"/>
                <w:sz w:val="20"/>
                <w:szCs w:val="20"/>
              </w:rPr>
            </w:pPr>
            <w:r w:rsidRPr="00187047">
              <w:rPr>
                <w:color w:val="000000"/>
                <w:sz w:val="20"/>
                <w:szCs w:val="20"/>
              </w:rPr>
              <w:t>Performance management</w:t>
            </w:r>
          </w:p>
        </w:tc>
        <w:tc>
          <w:tcPr>
            <w:tcW w:w="1311" w:type="dxa"/>
            <w:shd w:val="clear" w:color="auto" w:fill="auto"/>
            <w:hideMark/>
          </w:tcPr>
          <w:p w14:paraId="070B60A8" w14:textId="77777777" w:rsidR="000D42F1" w:rsidRDefault="000D42F1" w:rsidP="00C06BCC">
            <w:pPr>
              <w:spacing w:after="0" w:line="240" w:lineRule="auto"/>
              <w:jc w:val="right"/>
              <w:rPr>
                <w:color w:val="000000" w:themeColor="text1"/>
                <w:sz w:val="20"/>
                <w:szCs w:val="20"/>
              </w:rPr>
            </w:pPr>
            <w:r w:rsidRPr="0BA1EAAE">
              <w:rPr>
                <w:color w:val="000000" w:themeColor="text1"/>
                <w:sz w:val="20"/>
                <w:szCs w:val="20"/>
              </w:rPr>
              <w:t xml:space="preserve">3 </w:t>
            </w:r>
          </w:p>
          <w:p w14:paraId="5A87B005"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(3.3%)</w:t>
            </w:r>
          </w:p>
        </w:tc>
        <w:tc>
          <w:tcPr>
            <w:tcW w:w="1417" w:type="dxa"/>
            <w:shd w:val="clear" w:color="auto" w:fill="auto"/>
            <w:hideMark/>
          </w:tcPr>
          <w:p w14:paraId="2278A95A" w14:textId="77777777" w:rsidR="000D42F1" w:rsidRDefault="000D42F1">
            <w:pPr>
              <w:spacing w:after="0" w:line="240" w:lineRule="auto"/>
              <w:jc w:val="right"/>
              <w:rPr>
                <w:color w:val="000000" w:themeColor="text1"/>
                <w:sz w:val="20"/>
                <w:szCs w:val="20"/>
              </w:rPr>
            </w:pPr>
            <w:r w:rsidRPr="003428B3">
              <w:rPr>
                <w:color w:val="000000" w:themeColor="text1"/>
                <w:sz w:val="20"/>
                <w:szCs w:val="20"/>
              </w:rPr>
              <w:t xml:space="preserve">3 </w:t>
            </w:r>
          </w:p>
          <w:p w14:paraId="0A05AD00"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(2.</w:t>
            </w:r>
            <w:r w:rsidRPr="003428B3">
              <w:rPr>
                <w:color w:val="000000" w:themeColor="text1"/>
                <w:sz w:val="20"/>
                <w:szCs w:val="20"/>
              </w:rPr>
              <w:t>7</w:t>
            </w:r>
            <w:r w:rsidRPr="0BA1EAAE">
              <w:rPr>
                <w:color w:val="000000" w:themeColor="text1"/>
                <w:sz w:val="20"/>
                <w:szCs w:val="20"/>
              </w:rPr>
              <w:t>%)</w:t>
            </w:r>
          </w:p>
        </w:tc>
        <w:tc>
          <w:tcPr>
            <w:tcW w:w="958" w:type="dxa"/>
            <w:shd w:val="clear" w:color="auto" w:fill="auto"/>
            <w:hideMark/>
          </w:tcPr>
          <w:p w14:paraId="16CAA189" w14:textId="77777777" w:rsidR="000D42F1" w:rsidRDefault="000D42F1">
            <w:pPr>
              <w:spacing w:after="0" w:line="240" w:lineRule="auto"/>
              <w:jc w:val="right"/>
              <w:rPr>
                <w:color w:val="000000" w:themeColor="text1"/>
                <w:sz w:val="20"/>
                <w:szCs w:val="20"/>
              </w:rPr>
            </w:pPr>
            <w:r w:rsidRPr="258887A7">
              <w:rPr>
                <w:color w:val="000000" w:themeColor="text1"/>
                <w:sz w:val="20"/>
                <w:szCs w:val="20"/>
              </w:rPr>
              <w:t xml:space="preserve">6 </w:t>
            </w:r>
          </w:p>
          <w:p w14:paraId="76A3B1A6" w14:textId="77777777" w:rsidR="000D42F1" w:rsidRPr="00187047" w:rsidRDefault="000D42F1" w:rsidP="00C06BCC">
            <w:pPr>
              <w:spacing w:after="0" w:line="240" w:lineRule="auto"/>
              <w:jc w:val="right"/>
              <w:rPr>
                <w:color w:val="000000"/>
                <w:sz w:val="20"/>
                <w:szCs w:val="20"/>
              </w:rPr>
            </w:pPr>
            <w:r w:rsidRPr="258887A7">
              <w:rPr>
                <w:color w:val="000000" w:themeColor="text1"/>
                <w:sz w:val="20"/>
                <w:szCs w:val="20"/>
              </w:rPr>
              <w:t>(3.0%)</w:t>
            </w:r>
          </w:p>
        </w:tc>
        <w:tc>
          <w:tcPr>
            <w:tcW w:w="1418" w:type="dxa"/>
            <w:shd w:val="clear" w:color="auto" w:fill="auto"/>
            <w:hideMark/>
          </w:tcPr>
          <w:p w14:paraId="00E325F2"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 xml:space="preserve">0 </w:t>
            </w:r>
          </w:p>
          <w:p w14:paraId="2533531D"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(0.0%)</w:t>
            </w:r>
          </w:p>
        </w:tc>
        <w:tc>
          <w:tcPr>
            <w:tcW w:w="1417" w:type="dxa"/>
            <w:shd w:val="clear" w:color="auto" w:fill="auto"/>
            <w:hideMark/>
          </w:tcPr>
          <w:p w14:paraId="0AF074ED" w14:textId="77777777" w:rsidR="009752F5" w:rsidRDefault="000D42F1" w:rsidP="00C06BCC">
            <w:pPr>
              <w:spacing w:after="0" w:line="240" w:lineRule="auto"/>
              <w:jc w:val="right"/>
              <w:rPr>
                <w:color w:val="000000"/>
                <w:sz w:val="20"/>
                <w:szCs w:val="20"/>
              </w:rPr>
            </w:pPr>
            <w:r>
              <w:rPr>
                <w:color w:val="000000"/>
                <w:sz w:val="20"/>
                <w:szCs w:val="20"/>
              </w:rPr>
              <w:t xml:space="preserve">1 </w:t>
            </w:r>
          </w:p>
          <w:p w14:paraId="3D083ABB" w14:textId="0D9E3F56" w:rsidR="000D42F1" w:rsidRPr="003428B3" w:rsidRDefault="000D42F1" w:rsidP="00C06BCC">
            <w:pPr>
              <w:spacing w:after="0" w:line="240" w:lineRule="auto"/>
              <w:jc w:val="right"/>
              <w:rPr>
                <w:color w:val="000000"/>
                <w:sz w:val="20"/>
                <w:szCs w:val="20"/>
              </w:rPr>
            </w:pPr>
            <w:r>
              <w:rPr>
                <w:color w:val="000000"/>
                <w:sz w:val="20"/>
                <w:szCs w:val="20"/>
              </w:rPr>
              <w:t>(1.0%)</w:t>
            </w:r>
          </w:p>
        </w:tc>
        <w:tc>
          <w:tcPr>
            <w:tcW w:w="992" w:type="dxa"/>
            <w:shd w:val="clear" w:color="auto" w:fill="auto"/>
            <w:hideMark/>
          </w:tcPr>
          <w:p w14:paraId="7FC1E9F0" w14:textId="77777777" w:rsidR="000D42F1" w:rsidRDefault="000D42F1" w:rsidP="00C06BCC">
            <w:pPr>
              <w:spacing w:after="0" w:line="240" w:lineRule="auto"/>
              <w:jc w:val="right"/>
              <w:rPr>
                <w:color w:val="000000"/>
                <w:sz w:val="20"/>
                <w:szCs w:val="20"/>
              </w:rPr>
            </w:pPr>
            <w:r>
              <w:rPr>
                <w:color w:val="000000"/>
                <w:sz w:val="20"/>
                <w:szCs w:val="20"/>
              </w:rPr>
              <w:t>1</w:t>
            </w:r>
          </w:p>
          <w:p w14:paraId="4D38A827" w14:textId="77777777" w:rsidR="000D42F1" w:rsidRPr="00187047" w:rsidRDefault="000D42F1" w:rsidP="00C06BCC">
            <w:pPr>
              <w:spacing w:after="0" w:line="240" w:lineRule="auto"/>
              <w:jc w:val="right"/>
              <w:rPr>
                <w:color w:val="000000"/>
                <w:sz w:val="20"/>
                <w:szCs w:val="20"/>
              </w:rPr>
            </w:pPr>
            <w:r>
              <w:rPr>
                <w:color w:val="000000"/>
                <w:sz w:val="20"/>
                <w:szCs w:val="20"/>
              </w:rPr>
              <w:t>(0.5%)</w:t>
            </w:r>
          </w:p>
        </w:tc>
      </w:tr>
      <w:tr w:rsidR="000D42F1" w:rsidRPr="00187047" w14:paraId="21A57EFC" w14:textId="77777777">
        <w:trPr>
          <w:trHeight w:val="600"/>
        </w:trPr>
        <w:tc>
          <w:tcPr>
            <w:tcW w:w="2127" w:type="dxa"/>
            <w:shd w:val="clear" w:color="auto" w:fill="auto"/>
            <w:noWrap/>
            <w:hideMark/>
          </w:tcPr>
          <w:p w14:paraId="06881C3A" w14:textId="77777777" w:rsidR="000D42F1" w:rsidRPr="00187047" w:rsidRDefault="000D42F1" w:rsidP="00187047">
            <w:pPr>
              <w:spacing w:after="0" w:line="240" w:lineRule="auto"/>
              <w:rPr>
                <w:color w:val="000000"/>
                <w:sz w:val="20"/>
                <w:szCs w:val="20"/>
              </w:rPr>
            </w:pPr>
            <w:r w:rsidRPr="00187047">
              <w:rPr>
                <w:color w:val="000000"/>
                <w:sz w:val="20"/>
                <w:szCs w:val="20"/>
              </w:rPr>
              <w:t>Redeployment</w:t>
            </w:r>
          </w:p>
        </w:tc>
        <w:tc>
          <w:tcPr>
            <w:tcW w:w="1311" w:type="dxa"/>
            <w:shd w:val="clear" w:color="auto" w:fill="auto"/>
            <w:hideMark/>
          </w:tcPr>
          <w:p w14:paraId="2EAF9964"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 xml:space="preserve">1 </w:t>
            </w:r>
          </w:p>
          <w:p w14:paraId="219C4D46"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(1.1%)</w:t>
            </w:r>
          </w:p>
        </w:tc>
        <w:tc>
          <w:tcPr>
            <w:tcW w:w="1417" w:type="dxa"/>
            <w:shd w:val="clear" w:color="auto" w:fill="auto"/>
            <w:hideMark/>
          </w:tcPr>
          <w:p w14:paraId="044D35E6"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0</w:t>
            </w:r>
            <w:r w:rsidRPr="003428B3">
              <w:rPr>
                <w:color w:val="000000" w:themeColor="text1"/>
                <w:sz w:val="20"/>
                <w:szCs w:val="20"/>
              </w:rPr>
              <w:t xml:space="preserve"> </w:t>
            </w:r>
          </w:p>
          <w:p w14:paraId="21196643" w14:textId="77777777" w:rsidR="000D42F1" w:rsidRPr="00187047" w:rsidRDefault="000D42F1" w:rsidP="00C06BCC">
            <w:pPr>
              <w:spacing w:after="0" w:line="240" w:lineRule="auto"/>
              <w:jc w:val="right"/>
              <w:rPr>
                <w:color w:val="000000"/>
                <w:sz w:val="20"/>
                <w:szCs w:val="20"/>
              </w:rPr>
            </w:pPr>
            <w:r w:rsidRPr="003428B3">
              <w:rPr>
                <w:color w:val="000000" w:themeColor="text1"/>
                <w:sz w:val="20"/>
                <w:szCs w:val="20"/>
              </w:rPr>
              <w:t>(0.0</w:t>
            </w:r>
            <w:r w:rsidRPr="0BA1EAAE">
              <w:rPr>
                <w:color w:val="000000" w:themeColor="text1"/>
                <w:sz w:val="20"/>
                <w:szCs w:val="20"/>
              </w:rPr>
              <w:t>%)</w:t>
            </w:r>
          </w:p>
        </w:tc>
        <w:tc>
          <w:tcPr>
            <w:tcW w:w="958" w:type="dxa"/>
            <w:shd w:val="clear" w:color="auto" w:fill="auto"/>
            <w:hideMark/>
          </w:tcPr>
          <w:p w14:paraId="6674EA89" w14:textId="77777777" w:rsidR="000D42F1" w:rsidRDefault="000D42F1">
            <w:pPr>
              <w:spacing w:after="0" w:line="240" w:lineRule="auto"/>
              <w:jc w:val="right"/>
              <w:rPr>
                <w:color w:val="000000" w:themeColor="text1"/>
                <w:sz w:val="20"/>
                <w:szCs w:val="20"/>
              </w:rPr>
            </w:pPr>
            <w:r w:rsidRPr="258887A7">
              <w:rPr>
                <w:color w:val="000000" w:themeColor="text1"/>
                <w:sz w:val="20"/>
                <w:szCs w:val="20"/>
              </w:rPr>
              <w:t xml:space="preserve">1 </w:t>
            </w:r>
          </w:p>
          <w:p w14:paraId="2E566D93"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(0.</w:t>
            </w:r>
            <w:r w:rsidRPr="258887A7">
              <w:rPr>
                <w:color w:val="000000" w:themeColor="text1"/>
                <w:sz w:val="20"/>
                <w:szCs w:val="20"/>
              </w:rPr>
              <w:t>5</w:t>
            </w:r>
            <w:r w:rsidRPr="0BA1EAAE">
              <w:rPr>
                <w:color w:val="000000" w:themeColor="text1"/>
                <w:sz w:val="20"/>
                <w:szCs w:val="20"/>
              </w:rPr>
              <w:t>%)</w:t>
            </w:r>
          </w:p>
        </w:tc>
        <w:tc>
          <w:tcPr>
            <w:tcW w:w="1418" w:type="dxa"/>
            <w:shd w:val="clear" w:color="auto" w:fill="auto"/>
            <w:hideMark/>
          </w:tcPr>
          <w:p w14:paraId="44B67825"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 xml:space="preserve">0 </w:t>
            </w:r>
          </w:p>
          <w:p w14:paraId="272BF1D1"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(0.0%)</w:t>
            </w:r>
          </w:p>
        </w:tc>
        <w:tc>
          <w:tcPr>
            <w:tcW w:w="1417" w:type="dxa"/>
            <w:shd w:val="clear" w:color="auto" w:fill="auto"/>
            <w:hideMark/>
          </w:tcPr>
          <w:p w14:paraId="0554763E" w14:textId="77777777" w:rsidR="009752F5" w:rsidRDefault="000D42F1" w:rsidP="00C06BCC">
            <w:pPr>
              <w:spacing w:after="0" w:line="240" w:lineRule="auto"/>
              <w:jc w:val="right"/>
              <w:rPr>
                <w:color w:val="000000"/>
                <w:sz w:val="20"/>
                <w:szCs w:val="20"/>
              </w:rPr>
            </w:pPr>
            <w:r>
              <w:rPr>
                <w:color w:val="000000"/>
                <w:sz w:val="20"/>
                <w:szCs w:val="20"/>
              </w:rPr>
              <w:t xml:space="preserve">0 </w:t>
            </w:r>
          </w:p>
          <w:p w14:paraId="5BE8B89D" w14:textId="379C617B" w:rsidR="000D42F1" w:rsidRPr="003428B3" w:rsidRDefault="000D42F1" w:rsidP="00C06BCC">
            <w:pPr>
              <w:spacing w:after="0" w:line="240" w:lineRule="auto"/>
              <w:jc w:val="right"/>
              <w:rPr>
                <w:color w:val="000000"/>
                <w:sz w:val="20"/>
                <w:szCs w:val="20"/>
              </w:rPr>
            </w:pPr>
            <w:r>
              <w:rPr>
                <w:color w:val="000000"/>
                <w:sz w:val="20"/>
                <w:szCs w:val="20"/>
              </w:rPr>
              <w:t>(0.0%)</w:t>
            </w:r>
          </w:p>
        </w:tc>
        <w:tc>
          <w:tcPr>
            <w:tcW w:w="992" w:type="dxa"/>
            <w:shd w:val="clear" w:color="auto" w:fill="auto"/>
            <w:hideMark/>
          </w:tcPr>
          <w:p w14:paraId="1080DB61" w14:textId="77777777" w:rsidR="000D42F1" w:rsidRDefault="000D42F1" w:rsidP="00C06BCC">
            <w:pPr>
              <w:spacing w:after="0" w:line="240" w:lineRule="auto"/>
              <w:jc w:val="right"/>
              <w:rPr>
                <w:color w:val="000000"/>
                <w:sz w:val="20"/>
                <w:szCs w:val="20"/>
              </w:rPr>
            </w:pPr>
            <w:r>
              <w:rPr>
                <w:color w:val="000000"/>
                <w:sz w:val="20"/>
                <w:szCs w:val="20"/>
              </w:rPr>
              <w:t>0</w:t>
            </w:r>
          </w:p>
          <w:p w14:paraId="09FF4923" w14:textId="554DC822" w:rsidR="009752F5" w:rsidRPr="00187047" w:rsidRDefault="009752F5" w:rsidP="00C06BCC">
            <w:pPr>
              <w:spacing w:after="0" w:line="240" w:lineRule="auto"/>
              <w:jc w:val="right"/>
              <w:rPr>
                <w:color w:val="000000"/>
                <w:sz w:val="20"/>
                <w:szCs w:val="20"/>
              </w:rPr>
            </w:pPr>
            <w:r>
              <w:rPr>
                <w:color w:val="000000"/>
                <w:sz w:val="20"/>
                <w:szCs w:val="20"/>
              </w:rPr>
              <w:t>(0.0%)</w:t>
            </w:r>
          </w:p>
        </w:tc>
      </w:tr>
      <w:tr w:rsidR="000D42F1" w:rsidRPr="00187047" w14:paraId="1664C7EA" w14:textId="77777777">
        <w:trPr>
          <w:trHeight w:val="70"/>
        </w:trPr>
        <w:tc>
          <w:tcPr>
            <w:tcW w:w="2127" w:type="dxa"/>
            <w:shd w:val="clear" w:color="auto" w:fill="auto"/>
            <w:noWrap/>
            <w:hideMark/>
          </w:tcPr>
          <w:p w14:paraId="65055705" w14:textId="77777777" w:rsidR="000D42F1" w:rsidRPr="00187047" w:rsidRDefault="000D42F1" w:rsidP="00187047">
            <w:pPr>
              <w:spacing w:after="0" w:line="240" w:lineRule="auto"/>
              <w:rPr>
                <w:color w:val="000000"/>
                <w:sz w:val="20"/>
                <w:szCs w:val="20"/>
              </w:rPr>
            </w:pPr>
            <w:r w:rsidRPr="00187047">
              <w:rPr>
                <w:color w:val="000000"/>
                <w:sz w:val="20"/>
                <w:szCs w:val="20"/>
              </w:rPr>
              <w:t>Termination</w:t>
            </w:r>
          </w:p>
        </w:tc>
        <w:tc>
          <w:tcPr>
            <w:tcW w:w="1311" w:type="dxa"/>
            <w:shd w:val="clear" w:color="auto" w:fill="auto"/>
            <w:hideMark/>
          </w:tcPr>
          <w:p w14:paraId="18E853FA"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 xml:space="preserve"> 0 </w:t>
            </w:r>
          </w:p>
          <w:p w14:paraId="23EA6CA6"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(0.0%)</w:t>
            </w:r>
          </w:p>
        </w:tc>
        <w:tc>
          <w:tcPr>
            <w:tcW w:w="1417" w:type="dxa"/>
            <w:shd w:val="clear" w:color="auto" w:fill="auto"/>
            <w:hideMark/>
          </w:tcPr>
          <w:p w14:paraId="7356D313"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0</w:t>
            </w:r>
            <w:r w:rsidRPr="003428B3">
              <w:rPr>
                <w:color w:val="000000" w:themeColor="text1"/>
                <w:sz w:val="20"/>
                <w:szCs w:val="20"/>
              </w:rPr>
              <w:t xml:space="preserve"> </w:t>
            </w:r>
          </w:p>
          <w:p w14:paraId="64EC77A3" w14:textId="77777777" w:rsidR="000D42F1" w:rsidRPr="00187047" w:rsidRDefault="000D42F1" w:rsidP="00C06BCC">
            <w:pPr>
              <w:spacing w:after="0" w:line="240" w:lineRule="auto"/>
              <w:jc w:val="right"/>
              <w:rPr>
                <w:color w:val="000000"/>
                <w:sz w:val="20"/>
                <w:szCs w:val="20"/>
              </w:rPr>
            </w:pPr>
            <w:r w:rsidRPr="003428B3">
              <w:rPr>
                <w:color w:val="000000" w:themeColor="text1"/>
                <w:sz w:val="20"/>
                <w:szCs w:val="20"/>
              </w:rPr>
              <w:t>(0.0</w:t>
            </w:r>
            <w:r w:rsidRPr="0BA1EAAE">
              <w:rPr>
                <w:color w:val="000000" w:themeColor="text1"/>
                <w:sz w:val="20"/>
                <w:szCs w:val="20"/>
              </w:rPr>
              <w:t>%)</w:t>
            </w:r>
          </w:p>
        </w:tc>
        <w:tc>
          <w:tcPr>
            <w:tcW w:w="958" w:type="dxa"/>
            <w:shd w:val="clear" w:color="auto" w:fill="auto"/>
            <w:hideMark/>
          </w:tcPr>
          <w:p w14:paraId="5EB68C3E"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0</w:t>
            </w:r>
            <w:r w:rsidRPr="258887A7">
              <w:rPr>
                <w:color w:val="000000" w:themeColor="text1"/>
                <w:sz w:val="20"/>
                <w:szCs w:val="20"/>
              </w:rPr>
              <w:t xml:space="preserve"> </w:t>
            </w:r>
          </w:p>
          <w:p w14:paraId="1C2F132C" w14:textId="77777777" w:rsidR="000D42F1" w:rsidRPr="00187047" w:rsidRDefault="000D42F1" w:rsidP="00C06BCC">
            <w:pPr>
              <w:spacing w:after="0" w:line="240" w:lineRule="auto"/>
              <w:jc w:val="right"/>
              <w:rPr>
                <w:color w:val="000000"/>
                <w:sz w:val="20"/>
                <w:szCs w:val="20"/>
              </w:rPr>
            </w:pPr>
            <w:r w:rsidRPr="258887A7">
              <w:rPr>
                <w:color w:val="000000" w:themeColor="text1"/>
                <w:sz w:val="20"/>
                <w:szCs w:val="20"/>
              </w:rPr>
              <w:t>(0.0</w:t>
            </w:r>
            <w:r w:rsidRPr="0BA1EAAE">
              <w:rPr>
                <w:color w:val="000000" w:themeColor="text1"/>
                <w:sz w:val="20"/>
                <w:szCs w:val="20"/>
              </w:rPr>
              <w:t>%)</w:t>
            </w:r>
          </w:p>
        </w:tc>
        <w:tc>
          <w:tcPr>
            <w:tcW w:w="1418" w:type="dxa"/>
            <w:shd w:val="clear" w:color="auto" w:fill="auto"/>
            <w:hideMark/>
          </w:tcPr>
          <w:p w14:paraId="54FF40FF" w14:textId="77777777" w:rsidR="000D42F1" w:rsidRDefault="000D42F1">
            <w:pPr>
              <w:spacing w:after="0" w:line="240" w:lineRule="auto"/>
              <w:jc w:val="right"/>
              <w:rPr>
                <w:color w:val="000000" w:themeColor="text1"/>
                <w:sz w:val="20"/>
                <w:szCs w:val="20"/>
              </w:rPr>
            </w:pPr>
            <w:r w:rsidRPr="0BA1EAAE">
              <w:rPr>
                <w:color w:val="000000" w:themeColor="text1"/>
                <w:sz w:val="20"/>
                <w:szCs w:val="20"/>
              </w:rPr>
              <w:t xml:space="preserve">0 </w:t>
            </w:r>
          </w:p>
          <w:p w14:paraId="5F6D5173" w14:textId="77777777" w:rsidR="000D42F1" w:rsidRPr="00187047" w:rsidRDefault="000D42F1" w:rsidP="00C06BCC">
            <w:pPr>
              <w:spacing w:after="0" w:line="240" w:lineRule="auto"/>
              <w:jc w:val="right"/>
              <w:rPr>
                <w:color w:val="000000"/>
                <w:sz w:val="20"/>
                <w:szCs w:val="20"/>
              </w:rPr>
            </w:pPr>
            <w:r w:rsidRPr="0BA1EAAE">
              <w:rPr>
                <w:color w:val="000000" w:themeColor="text1"/>
                <w:sz w:val="20"/>
                <w:szCs w:val="20"/>
              </w:rPr>
              <w:t>(0.0%)</w:t>
            </w:r>
          </w:p>
        </w:tc>
        <w:tc>
          <w:tcPr>
            <w:tcW w:w="1417" w:type="dxa"/>
            <w:shd w:val="clear" w:color="auto" w:fill="auto"/>
            <w:hideMark/>
          </w:tcPr>
          <w:p w14:paraId="0F99C37C" w14:textId="77777777" w:rsidR="009752F5" w:rsidRDefault="000D42F1" w:rsidP="00C06BCC">
            <w:pPr>
              <w:spacing w:after="0" w:line="240" w:lineRule="auto"/>
              <w:jc w:val="right"/>
              <w:rPr>
                <w:color w:val="000000"/>
                <w:sz w:val="20"/>
                <w:szCs w:val="20"/>
              </w:rPr>
            </w:pPr>
            <w:r>
              <w:rPr>
                <w:color w:val="000000"/>
                <w:sz w:val="20"/>
                <w:szCs w:val="20"/>
              </w:rPr>
              <w:t xml:space="preserve">1 </w:t>
            </w:r>
          </w:p>
          <w:p w14:paraId="7FDA884F" w14:textId="4A7BEF57" w:rsidR="000D42F1" w:rsidRPr="003428B3" w:rsidRDefault="000D42F1" w:rsidP="00C06BCC">
            <w:pPr>
              <w:spacing w:after="0" w:line="240" w:lineRule="auto"/>
              <w:jc w:val="right"/>
              <w:rPr>
                <w:color w:val="000000"/>
                <w:sz w:val="20"/>
                <w:szCs w:val="20"/>
              </w:rPr>
            </w:pPr>
            <w:r>
              <w:rPr>
                <w:color w:val="000000"/>
                <w:sz w:val="20"/>
                <w:szCs w:val="20"/>
              </w:rPr>
              <w:t>(1.0%)</w:t>
            </w:r>
          </w:p>
        </w:tc>
        <w:tc>
          <w:tcPr>
            <w:tcW w:w="992" w:type="dxa"/>
            <w:shd w:val="clear" w:color="auto" w:fill="auto"/>
            <w:hideMark/>
          </w:tcPr>
          <w:p w14:paraId="7DAC2F3D" w14:textId="77777777" w:rsidR="000D42F1" w:rsidRDefault="000D42F1" w:rsidP="00C06BCC">
            <w:pPr>
              <w:spacing w:after="0" w:line="240" w:lineRule="auto"/>
              <w:jc w:val="right"/>
              <w:rPr>
                <w:color w:val="000000"/>
                <w:sz w:val="20"/>
                <w:szCs w:val="20"/>
              </w:rPr>
            </w:pPr>
            <w:r>
              <w:rPr>
                <w:color w:val="000000"/>
                <w:sz w:val="20"/>
                <w:szCs w:val="20"/>
              </w:rPr>
              <w:t>1</w:t>
            </w:r>
          </w:p>
          <w:p w14:paraId="519D30C5" w14:textId="77777777" w:rsidR="000D42F1" w:rsidRPr="00187047" w:rsidRDefault="000D42F1" w:rsidP="00C06BCC">
            <w:pPr>
              <w:spacing w:after="0" w:line="240" w:lineRule="auto"/>
              <w:jc w:val="right"/>
              <w:rPr>
                <w:color w:val="000000"/>
                <w:sz w:val="20"/>
                <w:szCs w:val="20"/>
              </w:rPr>
            </w:pPr>
            <w:r>
              <w:rPr>
                <w:color w:val="000000"/>
                <w:sz w:val="20"/>
                <w:szCs w:val="20"/>
              </w:rPr>
              <w:t>(0.5%)</w:t>
            </w:r>
          </w:p>
        </w:tc>
      </w:tr>
      <w:tr w:rsidR="000D42F1" w:rsidRPr="00C06BCC" w14:paraId="6453FA95" w14:textId="77777777">
        <w:trPr>
          <w:trHeight w:val="322"/>
        </w:trPr>
        <w:tc>
          <w:tcPr>
            <w:tcW w:w="2127" w:type="dxa"/>
            <w:shd w:val="clear" w:color="auto" w:fill="auto"/>
            <w:noWrap/>
            <w:hideMark/>
          </w:tcPr>
          <w:p w14:paraId="33562763" w14:textId="77777777" w:rsidR="000D42F1" w:rsidRPr="00C06BCC" w:rsidRDefault="000D42F1" w:rsidP="00187047">
            <w:pPr>
              <w:spacing w:after="0" w:line="240" w:lineRule="auto"/>
              <w:rPr>
                <w:b/>
                <w:bCs/>
                <w:color w:val="000000"/>
                <w:sz w:val="20"/>
                <w:szCs w:val="20"/>
              </w:rPr>
            </w:pPr>
            <w:r w:rsidRPr="00C06BCC">
              <w:rPr>
                <w:b/>
                <w:bCs/>
                <w:color w:val="000000"/>
                <w:sz w:val="20"/>
                <w:szCs w:val="20"/>
              </w:rPr>
              <w:t>Total</w:t>
            </w:r>
          </w:p>
        </w:tc>
        <w:tc>
          <w:tcPr>
            <w:tcW w:w="1311" w:type="dxa"/>
            <w:shd w:val="clear" w:color="auto" w:fill="auto"/>
            <w:hideMark/>
          </w:tcPr>
          <w:p w14:paraId="0B31D078" w14:textId="77777777" w:rsidR="000D42F1" w:rsidRDefault="000D42F1" w:rsidP="00C06BCC">
            <w:pPr>
              <w:spacing w:after="0" w:line="240" w:lineRule="auto"/>
              <w:jc w:val="right"/>
              <w:rPr>
                <w:b/>
                <w:bCs/>
                <w:color w:val="000000" w:themeColor="text1"/>
                <w:sz w:val="20"/>
                <w:szCs w:val="20"/>
              </w:rPr>
            </w:pPr>
            <w:r w:rsidRPr="0BA1EAAE">
              <w:rPr>
                <w:b/>
                <w:bCs/>
                <w:color w:val="000000" w:themeColor="text1"/>
                <w:sz w:val="20"/>
                <w:szCs w:val="20"/>
              </w:rPr>
              <w:t xml:space="preserve"> 92 </w:t>
            </w:r>
          </w:p>
          <w:p w14:paraId="1117345C" w14:textId="77777777" w:rsidR="000D42F1" w:rsidRPr="00C06BCC" w:rsidRDefault="000D42F1" w:rsidP="00C06BCC">
            <w:pPr>
              <w:spacing w:after="0" w:line="240" w:lineRule="auto"/>
              <w:jc w:val="right"/>
              <w:rPr>
                <w:b/>
                <w:bCs/>
                <w:color w:val="000000"/>
                <w:sz w:val="20"/>
                <w:szCs w:val="20"/>
              </w:rPr>
            </w:pPr>
            <w:r w:rsidRPr="0BA1EAAE">
              <w:rPr>
                <w:b/>
                <w:bCs/>
                <w:color w:val="000000" w:themeColor="text1"/>
                <w:sz w:val="20"/>
                <w:szCs w:val="20"/>
              </w:rPr>
              <w:t>(100%)</w:t>
            </w:r>
          </w:p>
        </w:tc>
        <w:tc>
          <w:tcPr>
            <w:tcW w:w="1417" w:type="dxa"/>
            <w:shd w:val="clear" w:color="auto" w:fill="auto"/>
            <w:hideMark/>
          </w:tcPr>
          <w:p w14:paraId="424059B4" w14:textId="77777777" w:rsidR="000D42F1" w:rsidRDefault="000D42F1" w:rsidP="00C06BCC">
            <w:pPr>
              <w:spacing w:after="0" w:line="240" w:lineRule="auto"/>
              <w:jc w:val="right"/>
              <w:rPr>
                <w:b/>
                <w:bCs/>
                <w:color w:val="000000" w:themeColor="text1"/>
                <w:sz w:val="20"/>
                <w:szCs w:val="20"/>
              </w:rPr>
            </w:pPr>
            <w:r w:rsidRPr="003428B3">
              <w:rPr>
                <w:b/>
                <w:bCs/>
                <w:color w:val="000000" w:themeColor="text1"/>
                <w:sz w:val="20"/>
                <w:szCs w:val="20"/>
              </w:rPr>
              <w:t>110</w:t>
            </w:r>
            <w:r w:rsidRPr="0BA1EAAE">
              <w:rPr>
                <w:b/>
                <w:bCs/>
                <w:color w:val="000000" w:themeColor="text1"/>
                <w:sz w:val="20"/>
                <w:szCs w:val="20"/>
              </w:rPr>
              <w:t xml:space="preserve"> </w:t>
            </w:r>
          </w:p>
          <w:p w14:paraId="39BE35A4" w14:textId="77777777" w:rsidR="000D42F1" w:rsidRPr="00C06BCC" w:rsidRDefault="000D42F1" w:rsidP="00C06BCC">
            <w:pPr>
              <w:spacing w:after="0" w:line="240" w:lineRule="auto"/>
              <w:jc w:val="right"/>
              <w:rPr>
                <w:b/>
                <w:bCs/>
                <w:color w:val="000000"/>
                <w:sz w:val="20"/>
                <w:szCs w:val="20"/>
              </w:rPr>
            </w:pPr>
            <w:r w:rsidRPr="0BA1EAAE">
              <w:rPr>
                <w:b/>
                <w:bCs/>
                <w:color w:val="000000" w:themeColor="text1"/>
                <w:sz w:val="20"/>
                <w:szCs w:val="20"/>
              </w:rPr>
              <w:t>(100%)</w:t>
            </w:r>
          </w:p>
        </w:tc>
        <w:tc>
          <w:tcPr>
            <w:tcW w:w="958" w:type="dxa"/>
            <w:shd w:val="clear" w:color="auto" w:fill="auto"/>
            <w:hideMark/>
          </w:tcPr>
          <w:p w14:paraId="511CB9F5" w14:textId="77777777" w:rsidR="000D42F1" w:rsidRDefault="000D42F1" w:rsidP="00C06BCC">
            <w:pPr>
              <w:spacing w:after="0" w:line="240" w:lineRule="auto"/>
              <w:jc w:val="right"/>
              <w:rPr>
                <w:b/>
                <w:bCs/>
                <w:color w:val="000000" w:themeColor="text1"/>
                <w:sz w:val="20"/>
                <w:szCs w:val="20"/>
              </w:rPr>
            </w:pPr>
            <w:r w:rsidRPr="258887A7">
              <w:rPr>
                <w:b/>
                <w:bCs/>
                <w:color w:val="000000" w:themeColor="text1"/>
                <w:sz w:val="20"/>
                <w:szCs w:val="20"/>
              </w:rPr>
              <w:t>202</w:t>
            </w:r>
            <w:r w:rsidRPr="0BA1EAAE">
              <w:rPr>
                <w:b/>
                <w:bCs/>
                <w:color w:val="000000" w:themeColor="text1"/>
                <w:sz w:val="20"/>
                <w:szCs w:val="20"/>
              </w:rPr>
              <w:t xml:space="preserve"> </w:t>
            </w:r>
          </w:p>
          <w:p w14:paraId="5616BCA0" w14:textId="77777777" w:rsidR="000D42F1" w:rsidRPr="00C06BCC" w:rsidRDefault="000D42F1" w:rsidP="00C06BCC">
            <w:pPr>
              <w:spacing w:after="0" w:line="240" w:lineRule="auto"/>
              <w:jc w:val="right"/>
              <w:rPr>
                <w:b/>
                <w:bCs/>
                <w:color w:val="000000"/>
                <w:sz w:val="20"/>
                <w:szCs w:val="20"/>
              </w:rPr>
            </w:pPr>
            <w:r w:rsidRPr="0BA1EAAE">
              <w:rPr>
                <w:b/>
                <w:bCs/>
                <w:color w:val="000000" w:themeColor="text1"/>
                <w:sz w:val="20"/>
                <w:szCs w:val="20"/>
              </w:rPr>
              <w:t>(100%)</w:t>
            </w:r>
          </w:p>
        </w:tc>
        <w:tc>
          <w:tcPr>
            <w:tcW w:w="1418" w:type="dxa"/>
            <w:shd w:val="clear" w:color="auto" w:fill="auto"/>
            <w:hideMark/>
          </w:tcPr>
          <w:p w14:paraId="414F310C" w14:textId="77777777" w:rsidR="000D42F1" w:rsidRDefault="000D42F1" w:rsidP="00C06BCC">
            <w:pPr>
              <w:spacing w:after="0" w:line="240" w:lineRule="auto"/>
              <w:jc w:val="right"/>
              <w:rPr>
                <w:b/>
                <w:bCs/>
                <w:color w:val="000000"/>
                <w:sz w:val="20"/>
                <w:szCs w:val="20"/>
              </w:rPr>
            </w:pPr>
            <w:r>
              <w:rPr>
                <w:b/>
                <w:bCs/>
                <w:color w:val="000000"/>
                <w:sz w:val="20"/>
                <w:szCs w:val="20"/>
              </w:rPr>
              <w:t xml:space="preserve">106 </w:t>
            </w:r>
          </w:p>
          <w:p w14:paraId="16197AEB" w14:textId="77777777" w:rsidR="000D42F1" w:rsidRPr="00C06BCC" w:rsidRDefault="000D42F1" w:rsidP="00C06BCC">
            <w:pPr>
              <w:spacing w:after="0" w:line="240" w:lineRule="auto"/>
              <w:jc w:val="right"/>
              <w:rPr>
                <w:b/>
                <w:bCs/>
                <w:color w:val="000000"/>
                <w:sz w:val="20"/>
                <w:szCs w:val="20"/>
              </w:rPr>
            </w:pPr>
            <w:r>
              <w:rPr>
                <w:b/>
                <w:bCs/>
                <w:color w:val="000000"/>
                <w:sz w:val="20"/>
                <w:szCs w:val="20"/>
              </w:rPr>
              <w:t>(100%)</w:t>
            </w:r>
          </w:p>
        </w:tc>
        <w:tc>
          <w:tcPr>
            <w:tcW w:w="1417" w:type="dxa"/>
            <w:shd w:val="clear" w:color="auto" w:fill="auto"/>
            <w:hideMark/>
          </w:tcPr>
          <w:p w14:paraId="6A8D4FE0" w14:textId="77777777" w:rsidR="000D42F1" w:rsidRDefault="000D42F1" w:rsidP="258887A7">
            <w:pPr>
              <w:spacing w:after="0" w:line="240" w:lineRule="auto"/>
              <w:jc w:val="right"/>
              <w:rPr>
                <w:b/>
                <w:bCs/>
                <w:color w:val="000000"/>
                <w:sz w:val="20"/>
                <w:szCs w:val="20"/>
              </w:rPr>
            </w:pPr>
            <w:r>
              <w:rPr>
                <w:b/>
                <w:bCs/>
                <w:color w:val="000000"/>
                <w:sz w:val="20"/>
                <w:szCs w:val="20"/>
              </w:rPr>
              <w:t>102</w:t>
            </w:r>
          </w:p>
          <w:p w14:paraId="4A3E41A8" w14:textId="77777777" w:rsidR="000D42F1" w:rsidRPr="003428B3" w:rsidRDefault="000D42F1" w:rsidP="258887A7">
            <w:pPr>
              <w:spacing w:after="0" w:line="240" w:lineRule="auto"/>
              <w:jc w:val="right"/>
              <w:rPr>
                <w:b/>
                <w:bCs/>
                <w:color w:val="000000"/>
                <w:sz w:val="20"/>
                <w:szCs w:val="20"/>
              </w:rPr>
            </w:pPr>
            <w:r>
              <w:rPr>
                <w:b/>
                <w:bCs/>
                <w:color w:val="000000"/>
                <w:sz w:val="20"/>
                <w:szCs w:val="20"/>
              </w:rPr>
              <w:t>(100%)</w:t>
            </w:r>
          </w:p>
        </w:tc>
        <w:tc>
          <w:tcPr>
            <w:tcW w:w="992" w:type="dxa"/>
            <w:shd w:val="clear" w:color="auto" w:fill="auto"/>
            <w:hideMark/>
          </w:tcPr>
          <w:p w14:paraId="5169987B" w14:textId="77777777" w:rsidR="000D42F1" w:rsidRDefault="000D42F1" w:rsidP="258887A7">
            <w:pPr>
              <w:spacing w:after="0" w:line="240" w:lineRule="auto"/>
              <w:jc w:val="right"/>
              <w:rPr>
                <w:b/>
                <w:bCs/>
                <w:color w:val="000000"/>
                <w:sz w:val="20"/>
                <w:szCs w:val="20"/>
              </w:rPr>
            </w:pPr>
            <w:r>
              <w:rPr>
                <w:b/>
                <w:bCs/>
                <w:color w:val="000000"/>
                <w:sz w:val="20"/>
                <w:szCs w:val="20"/>
              </w:rPr>
              <w:t>208</w:t>
            </w:r>
          </w:p>
          <w:p w14:paraId="5B0B8757" w14:textId="77777777" w:rsidR="000D42F1" w:rsidRPr="00C06BCC" w:rsidRDefault="000D42F1" w:rsidP="258887A7">
            <w:pPr>
              <w:spacing w:after="0" w:line="240" w:lineRule="auto"/>
              <w:jc w:val="right"/>
              <w:rPr>
                <w:b/>
                <w:bCs/>
                <w:color w:val="000000"/>
                <w:sz w:val="20"/>
                <w:szCs w:val="20"/>
              </w:rPr>
            </w:pPr>
            <w:r>
              <w:rPr>
                <w:b/>
                <w:bCs/>
                <w:color w:val="000000"/>
                <w:sz w:val="20"/>
                <w:szCs w:val="20"/>
              </w:rPr>
              <w:t>(100%)</w:t>
            </w:r>
          </w:p>
        </w:tc>
      </w:tr>
    </w:tbl>
    <w:p w14:paraId="04C10824" w14:textId="77777777" w:rsidR="000D42F1" w:rsidRPr="003F1298" w:rsidRDefault="000D42F1" w:rsidP="00D632D2">
      <w:pPr>
        <w:pStyle w:val="Heading3"/>
      </w:pPr>
      <w:bookmarkStart w:id="123" w:name="_Toc151900198"/>
      <w:r w:rsidRPr="003F1298">
        <w:t>Grievances</w:t>
      </w:r>
      <w:bookmarkEnd w:id="123"/>
    </w:p>
    <w:p w14:paraId="7C61F0AA" w14:textId="77777777" w:rsidR="000D42F1" w:rsidRDefault="000D42F1" w:rsidP="00E0699F">
      <w:r>
        <w:t xml:space="preserve">The number of grievances completed by government sector entities increased </w:t>
      </w:r>
      <w:r w:rsidRPr="00D62EFA">
        <w:t>by 132 from 568 in 2021-22 to 700 in 2022-23 (23.2% increase)</w:t>
      </w:r>
      <w:r>
        <w:t xml:space="preserve">. </w:t>
      </w:r>
      <w:r w:rsidRPr="009C7343">
        <w:t>This included an increase for public sector agencies from 403 in 2021-22 to 457 this year (13.4% increase)</w:t>
      </w:r>
      <w:r>
        <w:t xml:space="preserve"> and an increase for </w:t>
      </w:r>
      <w:r w:rsidRPr="00443C48">
        <w:t>other government entities</w:t>
      </w:r>
      <w:r>
        <w:t xml:space="preserve"> from 165 in 2021-22 to 243 this year (47.3% increase). </w:t>
      </w:r>
    </w:p>
    <w:p w14:paraId="545AB4AD" w14:textId="43EB873F" w:rsidR="000D42F1" w:rsidRDefault="000D42F1" w:rsidP="00E0699F">
      <w:r w:rsidRPr="008E333B">
        <w:t xml:space="preserve">The total percent of authorities that completed at least </w:t>
      </w:r>
      <w:r>
        <w:t>one</w:t>
      </w:r>
      <w:r w:rsidRPr="008E333B">
        <w:t xml:space="preserve"> grievance process increased slightly</w:t>
      </w:r>
      <w:r>
        <w:t xml:space="preserve"> from </w:t>
      </w:r>
      <w:r w:rsidRPr="008E333B">
        <w:t>33.2% in 2021-22 to 34.6% in 2022-23</w:t>
      </w:r>
      <w:r>
        <w:t>.</w:t>
      </w:r>
    </w:p>
    <w:p w14:paraId="36D221B2" w14:textId="77777777" w:rsidR="000D42F1" w:rsidRDefault="000D42F1">
      <w:pPr>
        <w:spacing w:after="160"/>
        <w:rPr>
          <w:color w:val="7030A0"/>
          <w:sz w:val="32"/>
          <w:szCs w:val="20"/>
        </w:rPr>
      </w:pPr>
      <w:r>
        <w:rPr>
          <w:color w:val="7030A0"/>
          <w:sz w:val="32"/>
          <w:szCs w:val="20"/>
        </w:rPr>
        <w:br w:type="page"/>
      </w:r>
    </w:p>
    <w:p w14:paraId="36638321" w14:textId="77777777" w:rsidR="000D42F1" w:rsidRPr="00E0699F" w:rsidRDefault="000D42F1" w:rsidP="00A362F1">
      <w:pPr>
        <w:pStyle w:val="Heading3"/>
        <w:spacing w:before="0" w:after="0"/>
        <w:rPr>
          <w:sz w:val="44"/>
          <w:szCs w:val="44"/>
        </w:rPr>
      </w:pPr>
      <w:bookmarkStart w:id="124" w:name="_Toc151900199"/>
      <w:r w:rsidRPr="00E0699F">
        <w:rPr>
          <w:b/>
          <w:bCs/>
          <w:sz w:val="44"/>
          <w:szCs w:val="44"/>
        </w:rPr>
        <w:lastRenderedPageBreak/>
        <w:t>Commissioner’s</w:t>
      </w:r>
      <w:r w:rsidRPr="00E0699F">
        <w:rPr>
          <w:sz w:val="44"/>
          <w:szCs w:val="44"/>
        </w:rPr>
        <w:t xml:space="preserve"> observations</w:t>
      </w:r>
      <w:bookmarkEnd w:id="124"/>
    </w:p>
    <w:p w14:paraId="22AA5E2F" w14:textId="478B5B92" w:rsidR="000D42F1" w:rsidRPr="007C40A4" w:rsidRDefault="000D42F1" w:rsidP="00A362F1">
      <w:pPr>
        <w:spacing w:after="80" w:line="240" w:lineRule="auto"/>
        <w:rPr>
          <w:rFonts w:ascii="Century Gothic" w:hAnsi="Century Gothic"/>
          <w:b/>
          <w:bCs/>
          <w:color w:val="2E74B5" w:themeColor="accent1" w:themeShade="BF"/>
          <w:sz w:val="24"/>
          <w:szCs w:val="24"/>
        </w:rPr>
      </w:pPr>
      <w:r w:rsidRPr="007C40A4">
        <w:rPr>
          <w:rFonts w:ascii="Century Gothic" w:hAnsi="Century Gothic"/>
          <w:b/>
          <w:bCs/>
          <w:color w:val="2E74B5" w:themeColor="accent1" w:themeShade="BF"/>
          <w:sz w:val="24"/>
          <w:szCs w:val="24"/>
        </w:rPr>
        <w:t xml:space="preserve">I am concerned but also somewhat optimistic when I look at the data in this section and see most numbers going up. </w:t>
      </w:r>
    </w:p>
    <w:p w14:paraId="4A32C129" w14:textId="30A4475D" w:rsidR="005D778B" w:rsidRPr="008758A5" w:rsidRDefault="005D778B" w:rsidP="00A362F1">
      <w:pPr>
        <w:spacing w:after="60" w:line="240" w:lineRule="auto"/>
        <w:rPr>
          <w:rFonts w:ascii="Century Gothic" w:hAnsi="Century Gothic"/>
        </w:rPr>
      </w:pPr>
      <w:bookmarkStart w:id="125" w:name="_Hlk150260044"/>
      <w:r w:rsidRPr="008758A5">
        <w:rPr>
          <w:rFonts w:ascii="Century Gothic" w:hAnsi="Century Gothic"/>
        </w:rPr>
        <w:t xml:space="preserve">The data shows the government sector is still facing some </w:t>
      </w:r>
      <w:r w:rsidR="003F6691" w:rsidRPr="008758A5">
        <w:rPr>
          <w:rFonts w:ascii="Century Gothic" w:hAnsi="Century Gothic"/>
        </w:rPr>
        <w:t xml:space="preserve">challenges </w:t>
      </w:r>
      <w:r w:rsidRPr="008758A5">
        <w:rPr>
          <w:rFonts w:ascii="Century Gothic" w:hAnsi="Century Gothic"/>
        </w:rPr>
        <w:t xml:space="preserve">in regard to the conduct of its employees but optimistic as it appears more people – internally and externally – may be reporting actions and behaviours they think are not right. </w:t>
      </w:r>
      <w:bookmarkEnd w:id="125"/>
      <w:r w:rsidRPr="008758A5">
        <w:rPr>
          <w:rFonts w:ascii="Century Gothic" w:hAnsi="Century Gothic"/>
        </w:rPr>
        <w:t>However this is offset somewhat by results of the public sector census that showed a level of non-reporting by public sector employees even though they observed issues of concern.</w:t>
      </w:r>
    </w:p>
    <w:p w14:paraId="18290C14" w14:textId="3108D4BF" w:rsidR="005D778B" w:rsidRPr="008758A5" w:rsidRDefault="005D778B" w:rsidP="00A362F1">
      <w:pPr>
        <w:spacing w:after="60" w:line="240" w:lineRule="auto"/>
        <w:rPr>
          <w:rFonts w:ascii="Century Gothic" w:hAnsi="Century Gothic"/>
        </w:rPr>
      </w:pPr>
      <w:r w:rsidRPr="008758A5">
        <w:rPr>
          <w:rFonts w:ascii="Century Gothic" w:hAnsi="Century Gothic"/>
        </w:rPr>
        <w:t xml:space="preserve">Reporting </w:t>
      </w:r>
      <w:r w:rsidR="00E678E2" w:rsidRPr="008758A5">
        <w:rPr>
          <w:rFonts w:ascii="Century Gothic" w:hAnsi="Century Gothic"/>
        </w:rPr>
        <w:t xml:space="preserve">and taking appropriate action </w:t>
      </w:r>
      <w:r w:rsidRPr="008758A5">
        <w:rPr>
          <w:rFonts w:ascii="Century Gothic" w:hAnsi="Century Gothic"/>
        </w:rPr>
        <w:t xml:space="preserve">are key to understanding where </w:t>
      </w:r>
      <w:r w:rsidR="00E678E2" w:rsidRPr="008758A5">
        <w:rPr>
          <w:rFonts w:ascii="Century Gothic" w:hAnsi="Century Gothic"/>
        </w:rPr>
        <w:t>improvements</w:t>
      </w:r>
      <w:r w:rsidRPr="008758A5">
        <w:rPr>
          <w:rFonts w:ascii="Century Gothic" w:hAnsi="Century Gothic"/>
        </w:rPr>
        <w:t xml:space="preserve"> can be made to strengthen controls, systems, policies and processes. I expect the government sector to be rigorous in promoting a speak up culture; and for public sector agencies I expect them to take a close look at their census results and take practical actions to address non-reporting. This is a matter of culture that must be proactively pursued.</w:t>
      </w:r>
    </w:p>
    <w:p w14:paraId="38F75D3F" w14:textId="28F645C6" w:rsidR="000D42F1" w:rsidRPr="008758A5" w:rsidRDefault="000D42F1" w:rsidP="00A362F1">
      <w:pPr>
        <w:spacing w:after="60" w:line="240" w:lineRule="auto"/>
        <w:rPr>
          <w:rFonts w:ascii="Century Gothic" w:hAnsi="Century Gothic"/>
        </w:rPr>
      </w:pPr>
      <w:r w:rsidRPr="008758A5">
        <w:rPr>
          <w:rFonts w:ascii="Century Gothic" w:hAnsi="Century Gothic"/>
        </w:rPr>
        <w:t>This year the Public Sector Commission released the Integrity Framework Maturity Self Assessment Tool for public authorities to identify the strengths and weaknesses of their current approaches to integrity. This tool stems from the Integrity Strategy for WA Public Authorities 2020-2023 and complements the integrated suite of resources released over the last few years to drive the practical application of this strategy. When releasing the strategy I made it clear that I expect every public authority to commit to its implementation.</w:t>
      </w:r>
    </w:p>
    <w:p w14:paraId="7B4758F5" w14:textId="07271819" w:rsidR="000D42F1" w:rsidRPr="008758A5" w:rsidRDefault="000D42F1" w:rsidP="00A362F1">
      <w:pPr>
        <w:spacing w:after="60" w:line="240" w:lineRule="auto"/>
        <w:rPr>
          <w:rFonts w:ascii="Century Gothic" w:hAnsi="Century Gothic"/>
        </w:rPr>
      </w:pPr>
      <w:r w:rsidRPr="008758A5">
        <w:rPr>
          <w:rFonts w:ascii="Century Gothic" w:hAnsi="Century Gothic"/>
        </w:rPr>
        <w:t xml:space="preserve">In terms of my expectations of the public sector where I have powers to direct compliance, I have set higher standards and increased requirements. </w:t>
      </w:r>
    </w:p>
    <w:p w14:paraId="7D3EAAEE" w14:textId="4D0B0379" w:rsidR="000D42F1" w:rsidRPr="008758A5" w:rsidRDefault="000D42F1" w:rsidP="00A362F1">
      <w:pPr>
        <w:spacing w:after="60" w:line="240" w:lineRule="auto"/>
        <w:rPr>
          <w:rFonts w:ascii="Century Gothic" w:hAnsi="Century Gothic"/>
        </w:rPr>
      </w:pPr>
      <w:r w:rsidRPr="008758A5">
        <w:rPr>
          <w:rFonts w:ascii="Century Gothic" w:hAnsi="Century Gothic"/>
        </w:rPr>
        <w:t xml:space="preserve">Following this reporting year and the information presented in this report, 2 October 2023 marked the commencement of Commissioner’s Instruction 40: Ethical Foundations. I released this instruction in March 2023 to give the public sector time to comply with the mandates by the effective date. </w:t>
      </w:r>
    </w:p>
    <w:p w14:paraId="68306744" w14:textId="0ADF804B" w:rsidR="000D42F1" w:rsidRPr="008758A5" w:rsidRDefault="000D42F1" w:rsidP="00A362F1">
      <w:pPr>
        <w:spacing w:after="60" w:line="240" w:lineRule="auto"/>
        <w:rPr>
          <w:rFonts w:ascii="Century Gothic" w:hAnsi="Century Gothic"/>
        </w:rPr>
      </w:pPr>
      <w:r w:rsidRPr="008758A5">
        <w:rPr>
          <w:rFonts w:ascii="Century Gothic" w:hAnsi="Century Gothic"/>
        </w:rPr>
        <w:t xml:space="preserve">The instruction includes a new Public Sector Code of Ethics that clearly describes the workplace behaviours expected of all public sector employees under 4 core standards of conduct and integrity. These are aligned to key integrity risks arising from the unique powers, functions and resources of public sector employees. </w:t>
      </w:r>
    </w:p>
    <w:p w14:paraId="47B9FCA2" w14:textId="5EF7F96D" w:rsidR="000D42F1" w:rsidRPr="008758A5" w:rsidRDefault="000D42F1" w:rsidP="00A362F1">
      <w:pPr>
        <w:spacing w:after="60" w:line="240" w:lineRule="auto"/>
        <w:rPr>
          <w:rFonts w:ascii="Century Gothic" w:hAnsi="Century Gothic"/>
        </w:rPr>
      </w:pPr>
      <w:r w:rsidRPr="008758A5">
        <w:rPr>
          <w:rFonts w:ascii="Century Gothic" w:hAnsi="Century Gothic"/>
        </w:rPr>
        <w:t>The instruction requires each public sector agency to augment the Code of Ethics by developing and implementing a code of conduct tailored to its specific functions and risks</w:t>
      </w:r>
      <w:r w:rsidR="000965B2" w:rsidRPr="008758A5">
        <w:rPr>
          <w:rFonts w:ascii="Century Gothic" w:hAnsi="Century Gothic"/>
        </w:rPr>
        <w:t>.</w:t>
      </w:r>
      <w:r w:rsidRPr="008758A5">
        <w:rPr>
          <w:rFonts w:ascii="Century Gothic" w:hAnsi="Century Gothic"/>
        </w:rPr>
        <w:t xml:space="preserve"> </w:t>
      </w:r>
      <w:r w:rsidR="003F6691" w:rsidRPr="008758A5">
        <w:rPr>
          <w:rFonts w:ascii="Century Gothic" w:hAnsi="Century Gothic"/>
        </w:rPr>
        <w:t xml:space="preserve">Each agency is </w:t>
      </w:r>
      <w:r w:rsidR="000965B2" w:rsidRPr="008758A5">
        <w:rPr>
          <w:rFonts w:ascii="Century Gothic" w:hAnsi="Century Gothic"/>
        </w:rPr>
        <w:t>also required to</w:t>
      </w:r>
      <w:r w:rsidR="00DD6813" w:rsidRPr="008758A5">
        <w:rPr>
          <w:rFonts w:ascii="Century Gothic" w:hAnsi="Century Gothic"/>
        </w:rPr>
        <w:t xml:space="preserve"> </w:t>
      </w:r>
      <w:r w:rsidRPr="008758A5">
        <w:rPr>
          <w:rFonts w:ascii="Century Gothic" w:hAnsi="Century Gothic"/>
        </w:rPr>
        <w:t>deliver formal and planned training on its code to all employees and board members</w:t>
      </w:r>
      <w:r w:rsidR="000965B2" w:rsidRPr="008758A5">
        <w:rPr>
          <w:rFonts w:ascii="Century Gothic" w:hAnsi="Century Gothic"/>
        </w:rPr>
        <w:t xml:space="preserve"> initially followed by</w:t>
      </w:r>
      <w:r w:rsidR="00DD6813" w:rsidRPr="008758A5">
        <w:rPr>
          <w:rFonts w:ascii="Century Gothic" w:hAnsi="Century Gothic"/>
        </w:rPr>
        <w:t xml:space="preserve"> </w:t>
      </w:r>
      <w:r w:rsidRPr="008758A5">
        <w:rPr>
          <w:rFonts w:ascii="Century Gothic" w:hAnsi="Century Gothic"/>
        </w:rPr>
        <w:t>refresher training no less than every 3 years. While information about training completion rates is already collected and included in this report, the new instruction mandates this requirement and extends it to refresher training.</w:t>
      </w:r>
    </w:p>
    <w:p w14:paraId="451DAB0B" w14:textId="79D67384" w:rsidR="000D42F1" w:rsidRPr="008758A5" w:rsidRDefault="000D42F1" w:rsidP="00A362F1">
      <w:pPr>
        <w:spacing w:after="60" w:line="240" w:lineRule="auto"/>
        <w:rPr>
          <w:rFonts w:ascii="Century Gothic" w:hAnsi="Century Gothic"/>
        </w:rPr>
      </w:pPr>
      <w:r w:rsidRPr="008758A5">
        <w:rPr>
          <w:rFonts w:ascii="Century Gothic" w:hAnsi="Century Gothic"/>
        </w:rPr>
        <w:t>Another new requirement under the instruction is for each public sector agency to have an integrity framework as a documented and coordinated approach to integrity.</w:t>
      </w:r>
    </w:p>
    <w:p w14:paraId="1E3796D2" w14:textId="331A8D35" w:rsidR="000D42F1" w:rsidRPr="008758A5" w:rsidRDefault="000D42F1" w:rsidP="00A362F1">
      <w:pPr>
        <w:spacing w:after="60" w:line="240" w:lineRule="auto"/>
        <w:rPr>
          <w:rFonts w:ascii="Century Gothic" w:hAnsi="Century Gothic"/>
        </w:rPr>
      </w:pPr>
      <w:r w:rsidRPr="008758A5">
        <w:rPr>
          <w:rFonts w:ascii="Century Gothic" w:hAnsi="Century Gothic"/>
        </w:rPr>
        <w:t xml:space="preserve">Together, the new Code of Ethics and related integrity measures each agency is required to implement under the instruction aim to reinforce a culture built on integrity across the public sector. </w:t>
      </w:r>
    </w:p>
    <w:p w14:paraId="55A1B740" w14:textId="205E01B4" w:rsidR="000D42F1" w:rsidRPr="008758A5" w:rsidRDefault="000D42F1" w:rsidP="00A362F1">
      <w:pPr>
        <w:spacing w:after="60" w:line="240" w:lineRule="auto"/>
        <w:rPr>
          <w:rFonts w:ascii="Century Gothic" w:eastAsiaTheme="majorEastAsia" w:hAnsi="Century Gothic"/>
          <w:sz w:val="44"/>
          <w:szCs w:val="44"/>
        </w:rPr>
      </w:pPr>
      <w:r w:rsidRPr="008758A5">
        <w:rPr>
          <w:rFonts w:ascii="Century Gothic" w:hAnsi="Century Gothic"/>
        </w:rPr>
        <w:t xml:space="preserve">All of these resources are on </w:t>
      </w:r>
      <w:hyperlink r:id="rId97" w:history="1">
        <w:r w:rsidRPr="008758A5">
          <w:rPr>
            <w:rStyle w:val="Hyperlink"/>
            <w:rFonts w:ascii="Century Gothic" w:hAnsi="Century Gothic"/>
            <w:color w:val="0563C1"/>
          </w:rPr>
          <w:t>WA.gov.au</w:t>
        </w:r>
      </w:hyperlink>
      <w:r w:rsidRPr="008758A5">
        <w:rPr>
          <w:rFonts w:ascii="Century Gothic" w:hAnsi="Century Gothic"/>
        </w:rPr>
        <w:t xml:space="preserve"> and are freely available for other government entities to use or adapt as part of their efforts to promote integrity and prevent misconduct.</w:t>
      </w:r>
    </w:p>
    <w:p w14:paraId="10107E13" w14:textId="77777777" w:rsidR="00785D75" w:rsidRPr="00F64D25" w:rsidRDefault="00785D75" w:rsidP="00785D75">
      <w:pPr>
        <w:pStyle w:val="Heading2"/>
        <w:spacing w:after="240"/>
      </w:pPr>
      <w:bookmarkStart w:id="126" w:name="_APPENDIX_1_-"/>
      <w:bookmarkStart w:id="127" w:name="_Toc80091710"/>
      <w:bookmarkStart w:id="128" w:name="_Toc143855927"/>
      <w:bookmarkStart w:id="129" w:name="_Toc151900200"/>
      <w:bookmarkEnd w:id="126"/>
      <w:r w:rsidRPr="00F64D25">
        <w:lastRenderedPageBreak/>
        <w:t xml:space="preserve">Appendix 1: </w:t>
      </w:r>
      <w:r w:rsidRPr="00EA3019">
        <w:rPr>
          <w:b/>
          <w:bCs/>
        </w:rPr>
        <w:t>Public Sector Commission data quality statement</w:t>
      </w:r>
      <w:bookmarkEnd w:id="127"/>
      <w:bookmarkEnd w:id="128"/>
      <w:bookmarkEnd w:id="129"/>
    </w:p>
    <w:p w14:paraId="63C16974" w14:textId="77777777" w:rsidR="00785D75" w:rsidRPr="00EF4DBB" w:rsidRDefault="00785D75" w:rsidP="00902AEC">
      <w:pPr>
        <w:spacing w:line="240" w:lineRule="auto"/>
      </w:pPr>
      <w:r w:rsidRPr="00EF4DBB">
        <w:t>This report contains information from a range of sources including:</w:t>
      </w:r>
    </w:p>
    <w:p w14:paraId="0DF77D15" w14:textId="77777777" w:rsidR="00785D75" w:rsidRPr="00EF4DBB" w:rsidRDefault="00785D75" w:rsidP="003836BC">
      <w:pPr>
        <w:numPr>
          <w:ilvl w:val="0"/>
          <w:numId w:val="2"/>
        </w:numPr>
        <w:spacing w:after="240"/>
        <w:ind w:left="426" w:hanging="426"/>
        <w:contextualSpacing/>
      </w:pPr>
      <w:r>
        <w:t>q</w:t>
      </w:r>
      <w:r w:rsidRPr="00EF4DBB">
        <w:t>uarterly workforce data reported to the Public Sector Commission through the Human Resource Minimum Obligatory Information Requirement</w:t>
      </w:r>
      <w:r>
        <w:t>s</w:t>
      </w:r>
      <w:r w:rsidRPr="00EF4DBB">
        <w:t xml:space="preserve"> (HR MOIR) </w:t>
      </w:r>
    </w:p>
    <w:p w14:paraId="6A863E5B" w14:textId="77777777" w:rsidR="00785D75" w:rsidRPr="00EF4DBB" w:rsidRDefault="00785D75" w:rsidP="003836BC">
      <w:pPr>
        <w:numPr>
          <w:ilvl w:val="0"/>
          <w:numId w:val="2"/>
        </w:numPr>
        <w:spacing w:after="240"/>
        <w:ind w:left="426" w:hanging="426"/>
        <w:contextualSpacing/>
      </w:pPr>
      <w:r w:rsidRPr="00EF4DBB">
        <w:t>data collected as part of the Commission’s annual collection program –</w:t>
      </w:r>
      <w:r>
        <w:t xml:space="preserve"> </w:t>
      </w:r>
      <w:r w:rsidRPr="00EF4DBB">
        <w:t>equal employment opportunity annual collection, integrity and conduct annual collection, public interest disclosure annual collection</w:t>
      </w:r>
      <w:r>
        <w:t>,</w:t>
      </w:r>
      <w:r w:rsidRPr="00EF4DBB">
        <w:t xml:space="preserve"> and government boards and committees annual collection</w:t>
      </w:r>
    </w:p>
    <w:p w14:paraId="3B131DF3" w14:textId="77777777" w:rsidR="00785D75" w:rsidRPr="00EF4DBB" w:rsidRDefault="00785D75" w:rsidP="003836BC">
      <w:pPr>
        <w:numPr>
          <w:ilvl w:val="0"/>
          <w:numId w:val="2"/>
        </w:numPr>
        <w:spacing w:after="240"/>
        <w:ind w:left="426" w:hanging="426"/>
        <w:contextualSpacing/>
      </w:pPr>
      <w:r w:rsidRPr="00EF4DBB">
        <w:t xml:space="preserve">data sourced through other Commission initiatives and projects </w:t>
      </w:r>
    </w:p>
    <w:p w14:paraId="6770B48A" w14:textId="77777777" w:rsidR="00785D75" w:rsidRPr="00EF4DBB" w:rsidRDefault="00785D75" w:rsidP="003836BC">
      <w:pPr>
        <w:numPr>
          <w:ilvl w:val="0"/>
          <w:numId w:val="2"/>
        </w:numPr>
        <w:spacing w:after="240"/>
        <w:ind w:left="425" w:hanging="425"/>
      </w:pPr>
      <w:r w:rsidRPr="00EF4DBB">
        <w:t xml:space="preserve">data provided by other government sector entities including </w:t>
      </w:r>
      <w:r>
        <w:t>s</w:t>
      </w:r>
      <w:r w:rsidRPr="00EF4DBB">
        <w:t>tate finances, serious misconduct data and expenditure on common use arrangements.</w:t>
      </w:r>
    </w:p>
    <w:p w14:paraId="69CAF3FD" w14:textId="1B15ADC2" w:rsidR="00785D75" w:rsidRPr="00EF4DBB" w:rsidRDefault="00000000" w:rsidP="00785D75">
      <w:pPr>
        <w:spacing w:after="240"/>
      </w:pPr>
      <w:hyperlink r:id="rId98" w:history="1">
        <w:r w:rsidR="00785D75" w:rsidRPr="00140700">
          <w:rPr>
            <w:color w:val="0563C1"/>
            <w:u w:val="single"/>
          </w:rPr>
          <w:t>About our workforce data</w:t>
        </w:r>
      </w:hyperlink>
      <w:r w:rsidR="00785D75" w:rsidRPr="00EF4DBB">
        <w:t xml:space="preserve"> has more information on definitions and </w:t>
      </w:r>
      <w:r w:rsidR="00785D75">
        <w:t xml:space="preserve">the </w:t>
      </w:r>
      <w:r w:rsidR="00785D75" w:rsidRPr="00EF4DBB">
        <w:t>methodologies applied.</w:t>
      </w:r>
    </w:p>
    <w:p w14:paraId="29FF134B" w14:textId="77777777" w:rsidR="00785D75" w:rsidRPr="00EF4DBB" w:rsidRDefault="00785D75" w:rsidP="00785D75">
      <w:pPr>
        <w:pStyle w:val="Heading3"/>
      </w:pPr>
      <w:bookmarkStart w:id="130" w:name="_Toc80091711"/>
      <w:bookmarkStart w:id="131" w:name="_Toc143855928"/>
      <w:bookmarkStart w:id="132" w:name="_Toc151900201"/>
      <w:r w:rsidRPr="00EF4DBB">
        <w:t>Human Resource Minimum Obligatory Information Requirement</w:t>
      </w:r>
      <w:bookmarkEnd w:id="130"/>
      <w:r>
        <w:t>s</w:t>
      </w:r>
      <w:bookmarkEnd w:id="131"/>
      <w:bookmarkEnd w:id="132"/>
      <w:r w:rsidRPr="00EF4DBB">
        <w:t xml:space="preserve"> </w:t>
      </w:r>
    </w:p>
    <w:p w14:paraId="3993EAAE" w14:textId="77777777" w:rsidR="00785D75" w:rsidRPr="00EF4DBB" w:rsidRDefault="00785D75" w:rsidP="00785D75">
      <w:r w:rsidRPr="00EF4DBB">
        <w:t>The Commission collects and reports workforce data from public sector agencies quarterly to support evidence</w:t>
      </w:r>
      <w:r>
        <w:t xml:space="preserve"> </w:t>
      </w:r>
      <w:r w:rsidRPr="00EF4DBB">
        <w:t>based policy form</w:t>
      </w:r>
      <w:r>
        <w:t>ul</w:t>
      </w:r>
      <w:r w:rsidRPr="00EF4DBB">
        <w:t xml:space="preserve">ation and </w:t>
      </w:r>
      <w:r>
        <w:t xml:space="preserve">for </w:t>
      </w:r>
      <w:r w:rsidRPr="00EF4DBB">
        <w:t xml:space="preserve">other public sector workforce related purposes. The data includes demographic information about </w:t>
      </w:r>
      <w:r>
        <w:t>employees</w:t>
      </w:r>
      <w:r w:rsidRPr="00EF4DBB">
        <w:t xml:space="preserve"> such as age, gender, diversity status and occupation. This HR MOIR data has been used to derive information </w:t>
      </w:r>
      <w:r>
        <w:t>about</w:t>
      </w:r>
      <w:r w:rsidRPr="00EF4DBB">
        <w:t xml:space="preserve"> the workforce profile and diversity of the public sector.</w:t>
      </w:r>
      <w:r>
        <w:t xml:space="preserve"> Data is supplied by agencies according to the </w:t>
      </w:r>
      <w:hyperlink r:id="rId99" w:history="1">
        <w:r w:rsidRPr="003B18F5">
          <w:rPr>
            <w:rStyle w:val="Hyperlink"/>
          </w:rPr>
          <w:t xml:space="preserve">HR MOIR Data </w:t>
        </w:r>
        <w:r w:rsidRPr="00140700">
          <w:rPr>
            <w:rStyle w:val="Hyperlink"/>
            <w:color w:val="0563C1"/>
          </w:rPr>
          <w:t>Definitions</w:t>
        </w:r>
        <w:r w:rsidRPr="003B18F5">
          <w:rPr>
            <w:rStyle w:val="Hyperlink"/>
          </w:rPr>
          <w:t xml:space="preserve"> 1.5.1</w:t>
        </w:r>
      </w:hyperlink>
      <w:r>
        <w:t>.</w:t>
      </w:r>
    </w:p>
    <w:p w14:paraId="7A9EE528" w14:textId="77777777" w:rsidR="00785D75" w:rsidRPr="00EF4DBB" w:rsidRDefault="00785D75" w:rsidP="00785D75">
      <w:pPr>
        <w:rPr>
          <w:color w:val="000000" w:themeColor="text1"/>
        </w:rPr>
      </w:pPr>
      <w:r w:rsidRPr="00EF4DBB">
        <w:t>Point</w:t>
      </w:r>
      <w:r>
        <w:t xml:space="preserve"> </w:t>
      </w:r>
      <w:r w:rsidRPr="00EF4DBB">
        <w:t>in</w:t>
      </w:r>
      <w:r>
        <w:t xml:space="preserve"> </w:t>
      </w:r>
      <w:r w:rsidRPr="00EF4DBB">
        <w:t xml:space="preserve">time information on the public sector is published quarterly in the Commission’s </w:t>
      </w:r>
      <w:hyperlink r:id="rId100" w:history="1">
        <w:r w:rsidRPr="00EF4DBB">
          <w:rPr>
            <w:color w:val="0563C1" w:themeColor="hyperlink"/>
            <w:u w:val="single"/>
          </w:rPr>
          <w:t>Quarterly Workforce Reports</w:t>
        </w:r>
      </w:hyperlink>
      <w:r w:rsidRPr="00EF4DBB">
        <w:rPr>
          <w:color w:val="000000" w:themeColor="text1"/>
        </w:rPr>
        <w:t>.</w:t>
      </w:r>
    </w:p>
    <w:p w14:paraId="3CCA2877" w14:textId="51671961" w:rsidR="00785D75" w:rsidRPr="00EE37D0" w:rsidRDefault="00785D75" w:rsidP="00785D75">
      <w:pPr>
        <w:spacing w:after="240"/>
        <w:rPr>
          <w:color w:val="000000" w:themeColor="text1"/>
        </w:rPr>
      </w:pPr>
      <w:r>
        <w:t>Data on occupations is reported by public sector agencies following the Australian and New Zealand Standard Classification of Occupations (</w:t>
      </w:r>
      <w:r w:rsidRPr="00D66A56">
        <w:t xml:space="preserve">ANZSCO). Occupational groups referred to in this report consist of aggregated groups of related ANZSCO codes. Details of the composition of the various occupational groups are in the </w:t>
      </w:r>
      <w:hyperlink r:id="rId101" w:history="1">
        <w:r w:rsidR="000065B7" w:rsidRPr="00EF4DBB">
          <w:rPr>
            <w:color w:val="0563C1" w:themeColor="hyperlink"/>
            <w:u w:val="single"/>
          </w:rPr>
          <w:t>State of the Western Australian Government Sector Workforce statistical bulletins</w:t>
        </w:r>
      </w:hyperlink>
      <w:r w:rsidRPr="00EE37D0">
        <w:rPr>
          <w:color w:val="000000" w:themeColor="text1"/>
        </w:rPr>
        <w:t>.</w:t>
      </w:r>
    </w:p>
    <w:p w14:paraId="327F3DAA" w14:textId="77777777" w:rsidR="00785D75" w:rsidRPr="00EF4DBB" w:rsidRDefault="00785D75" w:rsidP="00785D75">
      <w:pPr>
        <w:pStyle w:val="Heading4"/>
      </w:pPr>
      <w:bookmarkStart w:id="133" w:name="_Toc80091712"/>
      <w:r w:rsidRPr="00EF4DBB">
        <w:t>Annual average figures</w:t>
      </w:r>
      <w:bookmarkEnd w:id="133"/>
    </w:p>
    <w:p w14:paraId="566D73D4" w14:textId="77777777" w:rsidR="00785D75" w:rsidRPr="00EF4DBB" w:rsidRDefault="00785D75" w:rsidP="00785D75">
      <w:r>
        <w:t xml:space="preserve">Quarterly HR MOIR reporting reflects agency holdings at the last pay period for that month. This is referred to as point in time data. Before 2019-20, the size of the public sector and other workforce trends were estimated based on June quarter point in time data. However, the size of the sector fluctuates throughout each year, exhibiting regular seasonal variation such as growth and shrinkage of the workforces in the Department of Education and TAFE colleges in line with academic terms. Since the </w:t>
      </w:r>
      <w:r w:rsidRPr="2EE9826F">
        <w:t>2020-21 report</w:t>
      </w:r>
      <w:r>
        <w:t>, year on year analysis is based on an annual average of figures reported in the 4 quarters of each financial year. Averaged figures for the financial year provide a more reliable estimate of the size and composition of the public sector over the long term.</w:t>
      </w:r>
    </w:p>
    <w:p w14:paraId="40017A63" w14:textId="77777777" w:rsidR="00785D75" w:rsidRPr="00EF4DBB" w:rsidRDefault="00785D75" w:rsidP="00785D75">
      <w:pPr>
        <w:spacing w:after="240"/>
      </w:pPr>
      <w:r w:rsidRPr="00EF4DBB">
        <w:t>Data for local governments, public universities and government trading enterprises is collected only once each year in March (see below). As such, no average figures can be provided and March point</w:t>
      </w:r>
      <w:r>
        <w:t xml:space="preserve"> </w:t>
      </w:r>
      <w:r w:rsidRPr="00EF4DBB">
        <w:t>in</w:t>
      </w:r>
      <w:r>
        <w:t xml:space="preserve"> </w:t>
      </w:r>
      <w:r w:rsidRPr="00EF4DBB">
        <w:t>time data is reported.</w:t>
      </w:r>
    </w:p>
    <w:p w14:paraId="13C0F0CC" w14:textId="77777777" w:rsidR="00785D75" w:rsidRPr="00EF4DBB" w:rsidRDefault="00785D75" w:rsidP="00785D75">
      <w:pPr>
        <w:pStyle w:val="Heading3"/>
      </w:pPr>
      <w:bookmarkStart w:id="134" w:name="_Toc143855929"/>
      <w:bookmarkStart w:id="135" w:name="_Toc151900202"/>
      <w:r w:rsidRPr="00EF4DBB">
        <w:lastRenderedPageBreak/>
        <w:t xml:space="preserve">Annual </w:t>
      </w:r>
      <w:r>
        <w:t>c</w:t>
      </w:r>
      <w:r w:rsidRPr="00EF4DBB">
        <w:t>ollections</w:t>
      </w:r>
      <w:bookmarkEnd w:id="134"/>
      <w:bookmarkEnd w:id="135"/>
    </w:p>
    <w:p w14:paraId="6BE28ADD" w14:textId="77777777" w:rsidR="00785D75" w:rsidRPr="00EF4DBB" w:rsidRDefault="00785D75" w:rsidP="00785D75">
      <w:r>
        <w:t xml:space="preserve">Public sector agencies, local governments, public universities and government trading enterprises all responded to the equal employment opportunity annual collection in March-April, and the integrity and conduct annual collection in June-July.  Government boards and committees completed a tailored version of the integrity and conduct annual collection, which is the government boards and committees annual collection. </w:t>
      </w:r>
    </w:p>
    <w:p w14:paraId="6CF6286F" w14:textId="77777777" w:rsidR="00785D75" w:rsidRPr="005E0AE5" w:rsidRDefault="00785D75" w:rsidP="00785D75">
      <w:pPr>
        <w:pStyle w:val="Heading4"/>
      </w:pPr>
      <w:bookmarkStart w:id="136" w:name="_Toc80091715"/>
      <w:r w:rsidRPr="005E0AE5">
        <w:t xml:space="preserve">Equal </w:t>
      </w:r>
      <w:r>
        <w:t>e</w:t>
      </w:r>
      <w:r w:rsidRPr="005E0AE5">
        <w:t xml:space="preserve">mployment </w:t>
      </w:r>
      <w:r>
        <w:t>o</w:t>
      </w:r>
      <w:r w:rsidRPr="005E0AE5">
        <w:t>pportunity</w:t>
      </w:r>
      <w:bookmarkEnd w:id="136"/>
    </w:p>
    <w:p w14:paraId="3A7A16BF" w14:textId="77777777" w:rsidR="00785D75" w:rsidRPr="00EF4DBB" w:rsidRDefault="00785D75" w:rsidP="00785D75">
      <w:r>
        <w:t>This collection is used to gather information on workforce diversification from public sector agencies, local governments, public universities and government trading enterprises. In addition, local governments, public universities and government trading enterprises provide employee data, including demographics and employment information, through this collection.</w:t>
      </w:r>
    </w:p>
    <w:p w14:paraId="78C770EE" w14:textId="77777777" w:rsidR="00785D75" w:rsidRPr="00EF4DBB" w:rsidRDefault="00785D75" w:rsidP="00785D75">
      <w:r>
        <w:t xml:space="preserve">Figures in this report relate only to entities that reported on their own behalf or on behalf of themselves and other entities – that is, entities whose data was provided by another are not included. </w:t>
      </w:r>
    </w:p>
    <w:p w14:paraId="1644489C" w14:textId="77777777" w:rsidR="00785D75" w:rsidRPr="00EF4DBB" w:rsidRDefault="00785D75" w:rsidP="00785D75">
      <w:pPr>
        <w:spacing w:after="0"/>
        <w:rPr>
          <w:color w:val="C45911" w:themeColor="accent2" w:themeShade="BF"/>
        </w:rPr>
      </w:pPr>
      <w:r>
        <w:t>The equal employment opportunity annual collection sample frame comprised 234 entities:</w:t>
      </w:r>
    </w:p>
    <w:p w14:paraId="54A23CBF" w14:textId="77777777" w:rsidR="00785D75" w:rsidRPr="00D66A56" w:rsidRDefault="00785D75">
      <w:pPr>
        <w:numPr>
          <w:ilvl w:val="0"/>
          <w:numId w:val="7"/>
        </w:numPr>
        <w:spacing w:after="240"/>
        <w:ind w:left="426" w:hanging="426"/>
        <w:contextualSpacing/>
      </w:pPr>
      <w:r>
        <w:t>69 public sector agencies reporting on behalf of 120 agencies in total</w:t>
      </w:r>
    </w:p>
    <w:p w14:paraId="6F014E70" w14:textId="77777777" w:rsidR="00785D75" w:rsidRPr="00D66A56" w:rsidRDefault="00785D75">
      <w:pPr>
        <w:numPr>
          <w:ilvl w:val="0"/>
          <w:numId w:val="7"/>
        </w:numPr>
        <w:spacing w:after="240"/>
        <w:ind w:left="426" w:hanging="426"/>
        <w:contextualSpacing/>
      </w:pPr>
      <w:r w:rsidRPr="00D66A56">
        <w:t>145 local governments</w:t>
      </w:r>
    </w:p>
    <w:p w14:paraId="202B23D6" w14:textId="77777777" w:rsidR="00785D75" w:rsidRPr="00D66A56" w:rsidRDefault="00785D75">
      <w:pPr>
        <w:numPr>
          <w:ilvl w:val="0"/>
          <w:numId w:val="7"/>
        </w:numPr>
        <w:spacing w:after="240"/>
        <w:ind w:left="426" w:hanging="426"/>
        <w:contextualSpacing/>
      </w:pPr>
      <w:r w:rsidRPr="00D66A56">
        <w:t>16 government trading enterprises</w:t>
      </w:r>
    </w:p>
    <w:p w14:paraId="320A9A0A" w14:textId="77777777" w:rsidR="00785D75" w:rsidRPr="00D66A56" w:rsidRDefault="00785D75">
      <w:pPr>
        <w:numPr>
          <w:ilvl w:val="0"/>
          <w:numId w:val="7"/>
        </w:numPr>
        <w:spacing w:after="240"/>
        <w:ind w:left="426" w:hanging="426"/>
        <w:contextualSpacing/>
      </w:pPr>
      <w:r w:rsidRPr="00D66A56">
        <w:t>4 public universities.</w:t>
      </w:r>
    </w:p>
    <w:p w14:paraId="5BC44E8B" w14:textId="77777777" w:rsidR="00785D75" w:rsidRPr="00EF4DBB" w:rsidRDefault="00785D75" w:rsidP="00785D75">
      <w:pPr>
        <w:spacing w:after="240" w:line="240" w:lineRule="auto"/>
        <w:contextualSpacing/>
        <w:rPr>
          <w:rFonts w:eastAsiaTheme="minorHAnsi"/>
          <w:color w:val="C45911" w:themeColor="accent2" w:themeShade="BF"/>
          <w:lang w:eastAsia="en-US"/>
        </w:rPr>
      </w:pPr>
    </w:p>
    <w:p w14:paraId="15060D54" w14:textId="77777777" w:rsidR="00785D75" w:rsidRPr="00EF4DBB" w:rsidRDefault="00785D75" w:rsidP="00785D75">
      <w:pPr>
        <w:rPr>
          <w:rFonts w:eastAsia="Arial"/>
        </w:rPr>
      </w:pPr>
      <w:r w:rsidRPr="4F899E72">
        <w:rPr>
          <w:rFonts w:eastAsia="Arial"/>
        </w:rPr>
        <w:t>All data collected relates to the period 1 April 2022 to 31 March 2023. Workforce data provided by respondents comprised information on all employees paid in the last pay period of March 2023, and information on all casual employees employed at any time between 1 April 2022 and 31 March 2023 whether paid or not in the last pay period of March 2023. This is consistent with the approach and data definitions of previous years.</w:t>
      </w:r>
    </w:p>
    <w:p w14:paraId="243A1966" w14:textId="77777777" w:rsidR="00785D75" w:rsidRPr="00EF4DBB" w:rsidRDefault="00785D75" w:rsidP="00785D75">
      <w:r w:rsidRPr="2EE9826F">
        <w:rPr>
          <w:rFonts w:eastAsia="Arial"/>
        </w:rPr>
        <w:t xml:space="preserve">A workforce data spreadsheet was received from all 165 of the entities required to provide one. Each spreadsheet underwent a documented quality assurance process to ensure issues were minimised and consistency maintained between different entities’ data. </w:t>
      </w:r>
    </w:p>
    <w:p w14:paraId="63ED1546" w14:textId="77777777" w:rsidR="00785D75" w:rsidRPr="00EF4DBB" w:rsidRDefault="00785D75" w:rsidP="00785D75">
      <w:pPr>
        <w:spacing w:after="240"/>
      </w:pPr>
      <w:r w:rsidRPr="4F899E72">
        <w:rPr>
          <w:rFonts w:eastAsia="Arial"/>
        </w:rPr>
        <w:t>Workforce diversity data for public sector agencies, sworn officers of the WA Police Force and parliamentary electorate offices was acquired through March 2023 quarterly HR MOIR reporting.</w:t>
      </w:r>
    </w:p>
    <w:p w14:paraId="1956199D" w14:textId="77777777" w:rsidR="00785D75" w:rsidRPr="00EF4DBB" w:rsidRDefault="00785D75" w:rsidP="00785D75">
      <w:pPr>
        <w:pStyle w:val="Heading4"/>
        <w:rPr>
          <w:color w:val="ED7D31" w:themeColor="accent2"/>
        </w:rPr>
      </w:pPr>
      <w:bookmarkStart w:id="137" w:name="_Toc80091714"/>
      <w:r>
        <w:t>Integrity and conduct</w:t>
      </w:r>
      <w:bookmarkEnd w:id="137"/>
    </w:p>
    <w:p w14:paraId="17216731" w14:textId="77777777" w:rsidR="00785D75" w:rsidRPr="00EF4DBB" w:rsidRDefault="00785D75" w:rsidP="00785D75">
      <w:r w:rsidRPr="00EF4DBB">
        <w:t>This collection is used to gather information on integrity and conduct matters in public sector agencies, local governments, public universities and government trading enterprises.</w:t>
      </w:r>
    </w:p>
    <w:p w14:paraId="77807D64" w14:textId="77777777" w:rsidR="00785D75" w:rsidRPr="00EF4DBB" w:rsidRDefault="00785D75" w:rsidP="00785D75">
      <w:r>
        <w:t xml:space="preserve">Figures provided in this report relate only to entities that reported on their own behalf or on behalf of themselves and other entities – that is, entities whose data was provided by another are not included. </w:t>
      </w:r>
    </w:p>
    <w:p w14:paraId="1757672F" w14:textId="77777777" w:rsidR="00785D75" w:rsidRPr="00D66A56" w:rsidRDefault="00785D75" w:rsidP="00785D75">
      <w:r>
        <w:t>The integrity and conduct annual collection sample frame comprised 234 entities:</w:t>
      </w:r>
    </w:p>
    <w:p w14:paraId="0F1E2150" w14:textId="29B7B62F" w:rsidR="00785D75" w:rsidRPr="00D66A56" w:rsidRDefault="00785D75">
      <w:pPr>
        <w:pStyle w:val="ListParagraph"/>
        <w:numPr>
          <w:ilvl w:val="0"/>
          <w:numId w:val="14"/>
        </w:numPr>
      </w:pPr>
      <w:r>
        <w:t>70 public sector agencies reporting on behalf of 11</w:t>
      </w:r>
      <w:r w:rsidR="0088286A">
        <w:t>8</w:t>
      </w:r>
      <w:r>
        <w:t xml:space="preserve"> agencies in total</w:t>
      </w:r>
    </w:p>
    <w:p w14:paraId="11F0A620" w14:textId="77777777" w:rsidR="00785D75" w:rsidRPr="00D66A56" w:rsidRDefault="00785D75">
      <w:pPr>
        <w:pStyle w:val="ListParagraph"/>
        <w:numPr>
          <w:ilvl w:val="0"/>
          <w:numId w:val="14"/>
        </w:numPr>
      </w:pPr>
      <w:r w:rsidRPr="00D66A56">
        <w:t>145 local governments</w:t>
      </w:r>
    </w:p>
    <w:p w14:paraId="5821C59B" w14:textId="77777777" w:rsidR="00785D75" w:rsidRPr="00D66A56" w:rsidRDefault="00785D75">
      <w:pPr>
        <w:pStyle w:val="ListParagraph"/>
        <w:numPr>
          <w:ilvl w:val="0"/>
          <w:numId w:val="14"/>
        </w:numPr>
      </w:pPr>
      <w:r w:rsidRPr="00D66A56">
        <w:t>15 government trading enterprises</w:t>
      </w:r>
    </w:p>
    <w:p w14:paraId="22A6BD0D" w14:textId="77777777" w:rsidR="00785D75" w:rsidRPr="00B476F3" w:rsidRDefault="00785D75">
      <w:pPr>
        <w:pStyle w:val="ListParagraph"/>
        <w:numPr>
          <w:ilvl w:val="0"/>
          <w:numId w:val="14"/>
        </w:numPr>
      </w:pPr>
      <w:r w:rsidRPr="00D66A56">
        <w:t>4 public universities.</w:t>
      </w:r>
    </w:p>
    <w:p w14:paraId="71AF6B38" w14:textId="77777777" w:rsidR="00785D75" w:rsidRPr="00EF4DBB" w:rsidRDefault="00785D75" w:rsidP="00785D75">
      <w:pPr>
        <w:spacing w:line="240" w:lineRule="auto"/>
        <w:rPr>
          <w:color w:val="C45911" w:themeColor="accent2" w:themeShade="BF"/>
        </w:rPr>
      </w:pPr>
      <w:r>
        <w:t xml:space="preserve">All data collected relates to the period 1 July 2022 to 30 June 2023. </w:t>
      </w:r>
    </w:p>
    <w:p w14:paraId="71B138D4" w14:textId="377EE9A5" w:rsidR="00785D75" w:rsidRPr="00EF4DBB" w:rsidRDefault="00785D75" w:rsidP="00785D75">
      <w:pPr>
        <w:spacing w:after="240"/>
        <w:rPr>
          <w:color w:val="000000" w:themeColor="text1"/>
        </w:rPr>
      </w:pPr>
      <w:r w:rsidRPr="00EF4DBB">
        <w:rPr>
          <w:color w:val="000000" w:themeColor="text1"/>
        </w:rPr>
        <w:lastRenderedPageBreak/>
        <w:t xml:space="preserve">Detailed information as reported by responding entities is in </w:t>
      </w:r>
      <w:hyperlink r:id="rId102" w:history="1">
        <w:r w:rsidRPr="009A0F14">
          <w:rPr>
            <w:color w:val="0563C1" w:themeColor="hyperlink"/>
            <w:u w:val="single"/>
          </w:rPr>
          <w:t>State of the Western Australian Government Sector Workforce statistical bulletins</w:t>
        </w:r>
      </w:hyperlink>
      <w:r w:rsidRPr="009A0F14">
        <w:rPr>
          <w:color w:val="000000" w:themeColor="text1"/>
        </w:rPr>
        <w:t>.</w:t>
      </w:r>
    </w:p>
    <w:p w14:paraId="36DE1607" w14:textId="77777777" w:rsidR="00785D75" w:rsidRPr="00EF4DBB" w:rsidRDefault="00785D75" w:rsidP="00785D75">
      <w:pPr>
        <w:pStyle w:val="Heading4"/>
      </w:pPr>
      <w:bookmarkStart w:id="138" w:name="_Toc80091716"/>
      <w:r w:rsidRPr="00EF4DBB">
        <w:t xml:space="preserve">Government </w:t>
      </w:r>
      <w:r>
        <w:t>b</w:t>
      </w:r>
      <w:r w:rsidRPr="00EF4DBB">
        <w:t xml:space="preserve">oards and </w:t>
      </w:r>
      <w:r>
        <w:t>c</w:t>
      </w:r>
      <w:r w:rsidRPr="00EF4DBB">
        <w:t xml:space="preserve">ommittees </w:t>
      </w:r>
    </w:p>
    <w:p w14:paraId="00FFCB83" w14:textId="77777777" w:rsidR="00785D75" w:rsidRPr="00D66A56" w:rsidRDefault="00785D75" w:rsidP="00785D75">
      <w:r w:rsidRPr="00EF4DBB">
        <w:t xml:space="preserve">This collection is similar in subject matter to the </w:t>
      </w:r>
      <w:r>
        <w:t>i</w:t>
      </w:r>
      <w:r w:rsidRPr="00EF4DBB">
        <w:t xml:space="preserve">ntegrity and </w:t>
      </w:r>
      <w:r>
        <w:t>c</w:t>
      </w:r>
      <w:r w:rsidRPr="00EF4DBB">
        <w:t xml:space="preserve">onduct annual collection but </w:t>
      </w:r>
      <w:r w:rsidRPr="00D66A56">
        <w:t>excludes questions that are not relevant to government boards and committees.</w:t>
      </w:r>
    </w:p>
    <w:p w14:paraId="702F0035" w14:textId="77777777" w:rsidR="00785D75" w:rsidRPr="00D66A56" w:rsidRDefault="00785D75" w:rsidP="00785D75">
      <w:r>
        <w:t>The government boards and committees annual collection sample frame comprised 96 boards and committees:</w:t>
      </w:r>
    </w:p>
    <w:p w14:paraId="5627E41E" w14:textId="77777777" w:rsidR="00785D75" w:rsidRPr="00D66A56" w:rsidRDefault="00785D75">
      <w:pPr>
        <w:numPr>
          <w:ilvl w:val="0"/>
          <w:numId w:val="8"/>
        </w:numPr>
        <w:ind w:left="426" w:hanging="426"/>
        <w:contextualSpacing/>
      </w:pPr>
      <w:r>
        <w:t>81 public sector boards and committees</w:t>
      </w:r>
    </w:p>
    <w:p w14:paraId="536749CF" w14:textId="77777777" w:rsidR="00785D75" w:rsidRPr="00D66A56" w:rsidRDefault="00785D75">
      <w:pPr>
        <w:numPr>
          <w:ilvl w:val="0"/>
          <w:numId w:val="8"/>
        </w:numPr>
        <w:ind w:left="425" w:hanging="425"/>
      </w:pPr>
      <w:r w:rsidRPr="00D66A56">
        <w:t>15 non-public sector boards and committees.</w:t>
      </w:r>
    </w:p>
    <w:p w14:paraId="3C876E27" w14:textId="77777777" w:rsidR="00785D75" w:rsidRPr="00D66A56" w:rsidRDefault="00785D75" w:rsidP="00785D75">
      <w:r>
        <w:t>All data collected relates to the period 1 July 2022 to 30 June 2023. Data related to boards and committees is only relevant to Section 5: Conduct in this report.</w:t>
      </w:r>
    </w:p>
    <w:p w14:paraId="3299B3D9" w14:textId="77777777" w:rsidR="00785D75" w:rsidRPr="00EF4DBB" w:rsidRDefault="00785D75" w:rsidP="00785D75">
      <w:pPr>
        <w:pStyle w:val="Heading3"/>
      </w:pPr>
      <w:bookmarkStart w:id="139" w:name="_Toc143855930"/>
      <w:bookmarkStart w:id="140" w:name="_Toc151900203"/>
      <w:r w:rsidRPr="00EF4DBB">
        <w:t>Additional data sources</w:t>
      </w:r>
      <w:bookmarkEnd w:id="138"/>
      <w:bookmarkEnd w:id="139"/>
      <w:bookmarkEnd w:id="140"/>
    </w:p>
    <w:p w14:paraId="4D9551F7" w14:textId="77777777" w:rsidR="00785D75" w:rsidRPr="00EF4DBB" w:rsidRDefault="00785D75" w:rsidP="00785D75">
      <w:pPr>
        <w:pStyle w:val="Heading4"/>
      </w:pPr>
      <w:r w:rsidRPr="00EF4DBB">
        <w:t>State finances</w:t>
      </w:r>
    </w:p>
    <w:p w14:paraId="74764B2B" w14:textId="77777777" w:rsidR="00785D75" w:rsidRPr="00EF4DBB" w:rsidRDefault="00785D75" w:rsidP="00785D75">
      <w:pPr>
        <w:spacing w:after="240"/>
      </w:pPr>
      <w:r w:rsidRPr="00EF4DBB">
        <w:t>Data relating to salaries expenditure and growth reflects information reported by the Department of Treasury.</w:t>
      </w:r>
    </w:p>
    <w:p w14:paraId="792E93AC" w14:textId="77777777" w:rsidR="00785D75" w:rsidRPr="00EF4DBB" w:rsidRDefault="00785D75" w:rsidP="00785D75">
      <w:pPr>
        <w:pStyle w:val="Heading4"/>
      </w:pPr>
      <w:r w:rsidRPr="00EF4DBB">
        <w:t>Recruitment</w:t>
      </w:r>
    </w:p>
    <w:p w14:paraId="0AE432C9" w14:textId="6AA1EAA8" w:rsidR="00785D75" w:rsidRPr="00EF4DBB" w:rsidRDefault="00785D75" w:rsidP="00785D75">
      <w:pPr>
        <w:spacing w:after="240"/>
      </w:pPr>
      <w:r>
        <w:t xml:space="preserve">Data relating to advertisements posted on jobs.wa.gov.au has been drawn from the Recruitment Advertising Management System (RAMS). Data extracted comprised all advertisements created with a posting date in the </w:t>
      </w:r>
      <w:r w:rsidRPr="2EE9826F">
        <w:t>20</w:t>
      </w:r>
      <w:r w:rsidR="006337E3">
        <w:t>18-19</w:t>
      </w:r>
      <w:r w:rsidRPr="2EE9826F">
        <w:t xml:space="preserve"> to 202</w:t>
      </w:r>
      <w:r>
        <w:t>2</w:t>
      </w:r>
      <w:r w:rsidRPr="2EE9826F">
        <w:t>-2</w:t>
      </w:r>
      <w:r>
        <w:t>3 financial years. Reported advertisement numbers should not be taken to reflect the number of advertisements publicly posted on jobs.wa.gov.au as some advertisements are created in anticipation or for administrative purposes and never posted. Data should not be taken to reflect the number of public sector vacancies, or the number of applicants appointed to public sector roles, as a single advertisement may be used to fill multiple vacancies (for example, pool recruitments) or may result in no appointment being made.</w:t>
      </w:r>
    </w:p>
    <w:p w14:paraId="6F7D01E3" w14:textId="77777777" w:rsidR="00785D75" w:rsidRPr="00EF4DBB" w:rsidRDefault="00785D75" w:rsidP="00785D75">
      <w:pPr>
        <w:pStyle w:val="Heading4"/>
      </w:pPr>
      <w:bookmarkStart w:id="141" w:name="_Toc114522020"/>
      <w:r w:rsidRPr="00EF4DBB">
        <w:t>Redeployment, redundancy, severances, and separation payments</w:t>
      </w:r>
      <w:bookmarkEnd w:id="141"/>
    </w:p>
    <w:p w14:paraId="29BE5C80" w14:textId="55D37449" w:rsidR="00785D75" w:rsidRPr="00EF4DBB" w:rsidRDefault="00785D75" w:rsidP="00785D75">
      <w:pPr>
        <w:spacing w:after="240"/>
        <w:rPr>
          <w:rFonts w:eastAsiaTheme="majorEastAsia"/>
        </w:rPr>
      </w:pPr>
      <w:r w:rsidRPr="00EF4DBB">
        <w:rPr>
          <w:rFonts w:eastAsiaTheme="majorEastAsia"/>
        </w:rPr>
        <w:t xml:space="preserve">Data relating to redeployment, severances and separation payments is extracted from </w:t>
      </w:r>
      <w:r w:rsidR="00EF5123">
        <w:rPr>
          <w:rFonts w:eastAsiaTheme="majorEastAsia"/>
        </w:rPr>
        <w:t xml:space="preserve">the </w:t>
      </w:r>
      <w:r w:rsidRPr="00B476F3">
        <w:rPr>
          <w:rFonts w:eastAsiaTheme="majorEastAsia"/>
        </w:rPr>
        <w:t>Recruitment Advertising Management System</w:t>
      </w:r>
      <w:r>
        <w:rPr>
          <w:rFonts w:eastAsiaTheme="majorEastAsia"/>
        </w:rPr>
        <w:t xml:space="preserve"> </w:t>
      </w:r>
      <w:r w:rsidRPr="00EF4DBB">
        <w:rPr>
          <w:rFonts w:eastAsiaTheme="majorEastAsia"/>
        </w:rPr>
        <w:t xml:space="preserve">and the Agency Executive Management System (AEMS). </w:t>
      </w:r>
    </w:p>
    <w:p w14:paraId="06EF57DF" w14:textId="77777777" w:rsidR="00785D75" w:rsidRPr="00EF4DBB" w:rsidRDefault="00785D75" w:rsidP="00785D75">
      <w:pPr>
        <w:pStyle w:val="Heading4"/>
      </w:pPr>
      <w:bookmarkStart w:id="142" w:name="_Toc114522021"/>
      <w:r w:rsidRPr="00EF4DBB">
        <w:t>Temporary personnel</w:t>
      </w:r>
      <w:bookmarkEnd w:id="142"/>
    </w:p>
    <w:p w14:paraId="270AB06C" w14:textId="77777777" w:rsidR="00785D75" w:rsidRPr="00EF4DBB" w:rsidRDefault="00785D75" w:rsidP="00785D75">
      <w:pPr>
        <w:spacing w:after="240"/>
      </w:pPr>
      <w:r w:rsidRPr="00EF4DBB">
        <w:t>Data relating to temporary personnel engagements and related expenditure are provided by the Department of Finance based on data provided by reporting entities and temporary personnel providers under the Temporary Personnel Services Common Use Arrangemen</w:t>
      </w:r>
      <w:r w:rsidRPr="00F326AA">
        <w:t>t.</w:t>
      </w:r>
    </w:p>
    <w:p w14:paraId="601EF1BB" w14:textId="77777777" w:rsidR="00785D75" w:rsidRPr="00EF4DBB" w:rsidRDefault="00785D75" w:rsidP="00785D75">
      <w:pPr>
        <w:pStyle w:val="Heading4"/>
      </w:pPr>
      <w:bookmarkStart w:id="143" w:name="_Toc114522022"/>
      <w:r w:rsidRPr="00EF4DBB">
        <w:t xml:space="preserve">Senior Executive Service </w:t>
      </w:r>
      <w:r>
        <w:t>(SES)</w:t>
      </w:r>
      <w:bookmarkEnd w:id="143"/>
    </w:p>
    <w:p w14:paraId="1E2C6C40" w14:textId="77777777" w:rsidR="00785D75" w:rsidRDefault="00785D75" w:rsidP="00785D75">
      <w:pPr>
        <w:spacing w:after="240"/>
      </w:pPr>
      <w:r w:rsidRPr="00EF4DBB">
        <w:t xml:space="preserve">The Public Sector Commissioner manages SES positions under the PSM Act. Data relating to the number of SES officers in the public sector is based on snapshots of active contracts recorded </w:t>
      </w:r>
      <w:r w:rsidRPr="00B476F3">
        <w:t>in AEMS extracted at the end of each quarter. Diversity information for SES officers is derived by matching AEMS information</w:t>
      </w:r>
      <w:r w:rsidRPr="00EF4DBB">
        <w:t xml:space="preserve"> with HR MOIR data reported by public sector agencies in the relevant quarter.</w:t>
      </w:r>
    </w:p>
    <w:p w14:paraId="29419A82" w14:textId="77777777" w:rsidR="00785D75" w:rsidRDefault="00785D75" w:rsidP="00785D75">
      <w:pPr>
        <w:pStyle w:val="Heading4"/>
      </w:pPr>
      <w:bookmarkStart w:id="144" w:name="_Toc114522023"/>
      <w:r>
        <w:lastRenderedPageBreak/>
        <w:t>Serious misconduct</w:t>
      </w:r>
      <w:bookmarkEnd w:id="144"/>
    </w:p>
    <w:p w14:paraId="54D13D19" w14:textId="77777777" w:rsidR="00785D75" w:rsidRPr="00EF4DBB" w:rsidRDefault="00785D75" w:rsidP="00785D75">
      <w:pPr>
        <w:spacing w:after="240"/>
      </w:pPr>
      <w:r>
        <w:t>All data related to serious misconduct is provided by the Corruption and Crime Commission.</w:t>
      </w:r>
    </w:p>
    <w:p w14:paraId="7A21DA0B" w14:textId="77777777" w:rsidR="00785D75" w:rsidRPr="00EF4DBB" w:rsidRDefault="00785D75" w:rsidP="00785D75">
      <w:pPr>
        <w:pStyle w:val="Heading3"/>
        <w:spacing w:before="0"/>
      </w:pPr>
      <w:bookmarkStart w:id="145" w:name="_Toc80091717"/>
      <w:bookmarkStart w:id="146" w:name="_Toc114522024"/>
      <w:bookmarkStart w:id="147" w:name="_Toc143855931"/>
      <w:bookmarkStart w:id="148" w:name="_Toc151900204"/>
      <w:r w:rsidRPr="00EF4DBB">
        <w:t>Other relevant definitions and notes</w:t>
      </w:r>
      <w:bookmarkEnd w:id="145"/>
      <w:bookmarkEnd w:id="146"/>
      <w:bookmarkEnd w:id="147"/>
      <w:bookmarkEnd w:id="148"/>
    </w:p>
    <w:p w14:paraId="7FB6E2C2" w14:textId="77777777" w:rsidR="00785D75" w:rsidRDefault="00785D75" w:rsidP="00785D75">
      <w:r w:rsidRPr="00EF4DBB">
        <w:t>All data is accurate as reported to the Commission by contributing entities.</w:t>
      </w:r>
      <w:r>
        <w:t xml:space="preserve"> The information provided reflects the Commission’s holdings at the date of release. Workforce data is occasionally revised for quality, and corrections applied may result in figures being adjusted over time. </w:t>
      </w:r>
    </w:p>
    <w:p w14:paraId="26263BF7" w14:textId="77777777" w:rsidR="00785D75" w:rsidRPr="00EF4DBB" w:rsidRDefault="00785D75" w:rsidP="00785D75">
      <w:r>
        <w:t>As some figures have been rounded, discrepancies may occur between sums of the component items and totals.</w:t>
      </w:r>
    </w:p>
    <w:p w14:paraId="23D74694" w14:textId="77777777" w:rsidR="00785D75" w:rsidRPr="00EF4DBB" w:rsidRDefault="00785D75" w:rsidP="00785D75">
      <w:r w:rsidRPr="00EF4DBB">
        <w:t>Gender pay gap calculations are based on the median salary of all active contracts based on gender (</w:t>
      </w:r>
      <w:r>
        <w:t>men or women</w:t>
      </w:r>
      <w:r w:rsidRPr="00EF4DBB">
        <w:t xml:space="preserve">) of </w:t>
      </w:r>
      <w:r>
        <w:t>employees</w:t>
      </w:r>
      <w:r w:rsidRPr="00EF4DBB">
        <w:t xml:space="preserve"> holding the contracts. </w:t>
      </w:r>
      <w:r w:rsidRPr="00620198">
        <w:t>The pay gap is the difference between the median equivalent annual salary of women and men, expressed as a percentage of men’s median equivalent annual salary.</w:t>
      </w:r>
    </w:p>
    <w:p w14:paraId="14BB590F" w14:textId="24D100D5" w:rsidR="00785D75" w:rsidRPr="00EF4DBB" w:rsidRDefault="00785D75" w:rsidP="00785D75">
      <w:r w:rsidRPr="00EF4DBB">
        <w:t>Information reported on the representation of Aboriginal and Torres Strait Islander people, people with disability, and culturally and linguistically diverse people is based on self</w:t>
      </w:r>
      <w:r>
        <w:t xml:space="preserve"> </w:t>
      </w:r>
      <w:r w:rsidRPr="00EF4DBB">
        <w:t xml:space="preserve">disclosure questionnaires generally provided to </w:t>
      </w:r>
      <w:r>
        <w:t>employees</w:t>
      </w:r>
      <w:r w:rsidRPr="00EF4DBB">
        <w:t xml:space="preserve"> as part of their engagement or induction package, or as updated throughout their tenure in their entity. It is not compulsory for </w:t>
      </w:r>
      <w:r>
        <w:t>employees</w:t>
      </w:r>
      <w:r w:rsidRPr="00EF4DBB">
        <w:t xml:space="preserve"> to disclose their diversity status. As such, representation is reported as a </w:t>
      </w:r>
      <w:r w:rsidR="001B6ECB">
        <w:t>percentage</w:t>
      </w:r>
      <w:r w:rsidRPr="00EF4DBB">
        <w:t xml:space="preserve"> of the headcount of valid responses rather than the total headcount of an agency or sector. </w:t>
      </w:r>
    </w:p>
    <w:p w14:paraId="72545E40" w14:textId="77777777" w:rsidR="00785D75" w:rsidRPr="00EF4DBB" w:rsidRDefault="00785D75" w:rsidP="00785D75">
      <w:pPr>
        <w:rPr>
          <w:color w:val="000000" w:themeColor="text1"/>
        </w:rPr>
      </w:pPr>
      <w:r w:rsidRPr="00EF4DBB">
        <w:rPr>
          <w:color w:val="000000" w:themeColor="text1"/>
        </w:rPr>
        <w:t xml:space="preserve">Data is provided for the last </w:t>
      </w:r>
      <w:r>
        <w:rPr>
          <w:color w:val="000000" w:themeColor="text1"/>
        </w:rPr>
        <w:t>5</w:t>
      </w:r>
      <w:r w:rsidRPr="00EF4DBB">
        <w:rPr>
          <w:color w:val="000000" w:themeColor="text1"/>
        </w:rPr>
        <w:t xml:space="preserve"> financial years. Previous years’ reports are </w:t>
      </w:r>
      <w:hyperlink r:id="rId103" w:history="1">
        <w:r w:rsidRPr="00EF4DBB">
          <w:rPr>
            <w:color w:val="0563C1" w:themeColor="hyperlink"/>
            <w:u w:val="single"/>
          </w:rPr>
          <w:t>online</w:t>
        </w:r>
      </w:hyperlink>
      <w:r>
        <w:rPr>
          <w:color w:val="000000" w:themeColor="text1"/>
        </w:rPr>
        <w:t xml:space="preserve">. </w:t>
      </w:r>
      <w:r w:rsidRPr="00EF4DBB">
        <w:rPr>
          <w:color w:val="000000" w:themeColor="text1"/>
        </w:rPr>
        <w:t xml:space="preserve">Additional data is published annually in </w:t>
      </w:r>
      <w:hyperlink r:id="rId104" w:history="1">
        <w:r w:rsidRPr="00EF4DBB">
          <w:rPr>
            <w:color w:val="0563C1" w:themeColor="hyperlink"/>
            <w:u w:val="single"/>
          </w:rPr>
          <w:t>State of the Western Australian Government Sector Workforce statistical bulletins</w:t>
        </w:r>
      </w:hyperlink>
      <w:r w:rsidRPr="00EF4DBB">
        <w:rPr>
          <w:color w:val="000000" w:themeColor="text1"/>
        </w:rPr>
        <w:t>.</w:t>
      </w:r>
    </w:p>
    <w:p w14:paraId="29B0BA3B" w14:textId="77777777" w:rsidR="00785D75" w:rsidRPr="00EF4DBB" w:rsidRDefault="00785D75" w:rsidP="00785D75">
      <w:pPr>
        <w:spacing w:after="240"/>
      </w:pPr>
      <w:r w:rsidRPr="00EF4DBB">
        <w:t>Data reported here may vary from data reported in other Commission publications which may draw on quarterly point</w:t>
      </w:r>
      <w:r>
        <w:t xml:space="preserve"> </w:t>
      </w:r>
      <w:r w:rsidRPr="00EF4DBB">
        <w:t>in</w:t>
      </w:r>
      <w:r>
        <w:t xml:space="preserve"> </w:t>
      </w:r>
      <w:r w:rsidRPr="00EF4DBB">
        <w:t>time figures.</w:t>
      </w:r>
      <w:r w:rsidRPr="00DA098D">
        <w:br w:type="page"/>
      </w:r>
    </w:p>
    <w:p w14:paraId="7BE5425F" w14:textId="77777777" w:rsidR="00785D75" w:rsidRPr="001B5491" w:rsidRDefault="00785D75" w:rsidP="00785D75">
      <w:pPr>
        <w:pStyle w:val="Heading2"/>
        <w:spacing w:after="240"/>
      </w:pPr>
      <w:bookmarkStart w:id="149" w:name="_Toc114522025"/>
      <w:bookmarkStart w:id="150" w:name="_Toc143855932"/>
      <w:bookmarkStart w:id="151" w:name="_Toc151900205"/>
      <w:r>
        <w:lastRenderedPageBreak/>
        <w:t>Appendix</w:t>
      </w:r>
      <w:r w:rsidRPr="001B5491">
        <w:t xml:space="preserve"> 2</w:t>
      </w:r>
      <w:r>
        <w:t xml:space="preserve">: </w:t>
      </w:r>
      <w:r w:rsidRPr="00E34FCB">
        <w:rPr>
          <w:b/>
          <w:bCs/>
        </w:rPr>
        <w:t>Compliance statements</w:t>
      </w:r>
      <w:bookmarkEnd w:id="149"/>
      <w:bookmarkEnd w:id="150"/>
      <w:bookmarkEnd w:id="151"/>
    </w:p>
    <w:p w14:paraId="253027A8" w14:textId="77777777" w:rsidR="00785D75" w:rsidRPr="00DA098D" w:rsidRDefault="00785D75" w:rsidP="00785D75">
      <w:pPr>
        <w:spacing w:after="240"/>
        <w:rPr>
          <w:rFonts w:eastAsiaTheme="minorHAnsi"/>
          <w:lang w:eastAsia="en-US"/>
        </w:rPr>
      </w:pPr>
      <w:r w:rsidRPr="00DA098D">
        <w:rPr>
          <w:rFonts w:eastAsiaTheme="minorHAnsi"/>
          <w:lang w:eastAsia="en-US"/>
        </w:rPr>
        <w:t xml:space="preserve">In accordance with </w:t>
      </w:r>
      <w:r>
        <w:rPr>
          <w:rFonts w:eastAsiaTheme="minorHAnsi"/>
          <w:lang w:eastAsia="en-US"/>
        </w:rPr>
        <w:t>s</w:t>
      </w:r>
      <w:r w:rsidRPr="00DA098D">
        <w:rPr>
          <w:rFonts w:eastAsiaTheme="minorHAnsi"/>
          <w:lang w:eastAsia="en-US"/>
        </w:rPr>
        <w:t xml:space="preserve">ection 31(2) of the PSM Act, organisations not listed in Schedule 1 of the </w:t>
      </w:r>
      <w:r w:rsidRPr="00DA098D">
        <w:rPr>
          <w:rFonts w:eastAsiaTheme="minorHAnsi"/>
          <w:i/>
          <w:lang w:eastAsia="en-US"/>
        </w:rPr>
        <w:t>Financial Management Act 2006</w:t>
      </w:r>
      <w:r w:rsidRPr="00DA098D">
        <w:rPr>
          <w:rFonts w:eastAsiaTheme="minorHAnsi"/>
          <w:lang w:eastAsia="en-US"/>
        </w:rPr>
        <w:t xml:space="preserve"> are required to provide a statement to the </w:t>
      </w:r>
      <w:r>
        <w:rPr>
          <w:rFonts w:eastAsiaTheme="minorHAnsi"/>
          <w:lang w:eastAsia="en-US"/>
        </w:rPr>
        <w:t xml:space="preserve">Public Sector </w:t>
      </w:r>
      <w:r w:rsidRPr="00DA098D">
        <w:rPr>
          <w:rFonts w:eastAsiaTheme="minorHAnsi"/>
          <w:lang w:eastAsia="en-US"/>
        </w:rPr>
        <w:t xml:space="preserve">Commissioner each year on the extent to which they have complied with public sector standards, codes of ethics and any relevant code of conduct. </w:t>
      </w:r>
    </w:p>
    <w:tbl>
      <w:tblPr>
        <w:tblW w:w="9356"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2825"/>
        <w:gridCol w:w="6531"/>
      </w:tblGrid>
      <w:tr w:rsidR="00785D75" w:rsidRPr="00C325D6" w14:paraId="2D542033" w14:textId="77777777">
        <w:trPr>
          <w:trHeight w:val="300"/>
        </w:trPr>
        <w:tc>
          <w:tcPr>
            <w:tcW w:w="2825" w:type="dxa"/>
            <w:tcBorders>
              <w:bottom w:val="single" w:sz="8" w:space="0" w:color="FFFFFF" w:themeColor="background1"/>
            </w:tcBorders>
            <w:shd w:val="clear" w:color="auto" w:fill="2E74B5" w:themeFill="accent1" w:themeFillShade="BF"/>
            <w:noWrap/>
            <w:hideMark/>
          </w:tcPr>
          <w:p w14:paraId="436E164C" w14:textId="77777777" w:rsidR="00785D75" w:rsidRPr="00C325D6" w:rsidRDefault="00785D75">
            <w:pPr>
              <w:pStyle w:val="Tables"/>
              <w:spacing w:before="100" w:after="100"/>
              <w:jc w:val="left"/>
              <w:rPr>
                <w:color w:val="FFFFFF" w:themeColor="background1"/>
              </w:rPr>
            </w:pPr>
            <w:r w:rsidRPr="00C325D6">
              <w:rPr>
                <w:color w:val="FFFFFF" w:themeColor="background1"/>
              </w:rPr>
              <w:t>Architects Board of WA</w:t>
            </w:r>
          </w:p>
        </w:tc>
        <w:tc>
          <w:tcPr>
            <w:tcW w:w="6531" w:type="dxa"/>
            <w:shd w:val="clear" w:color="auto" w:fill="auto"/>
            <w:noWrap/>
            <w:hideMark/>
          </w:tcPr>
          <w:p w14:paraId="715A3946" w14:textId="77777777" w:rsidR="00785D75" w:rsidRPr="00C325D6" w:rsidRDefault="00785D75">
            <w:pPr>
              <w:pStyle w:val="Tables"/>
              <w:spacing w:before="100" w:after="100"/>
              <w:jc w:val="left"/>
              <w:rPr>
                <w:color w:val="auto"/>
                <w:highlight w:val="yellow"/>
              </w:rPr>
            </w:pPr>
            <w:r w:rsidRPr="00C325D6">
              <w:rPr>
                <w:color w:val="auto"/>
              </w:rPr>
              <w:t>No compliance issues concerning the public sector standards, the Public Sector Commission's Code of Ethics or the Board's Code of Conduct arose during the period 1 July 2022 to 30 June 2023.</w:t>
            </w:r>
          </w:p>
        </w:tc>
      </w:tr>
      <w:tr w:rsidR="00785D75" w:rsidRPr="00C325D6" w14:paraId="16D820C7" w14:textId="77777777">
        <w:trPr>
          <w:trHeight w:val="300"/>
        </w:trPr>
        <w:tc>
          <w:tcPr>
            <w:tcW w:w="2825" w:type="dxa"/>
            <w:tcBorders>
              <w:top w:val="single" w:sz="8" w:space="0" w:color="FFFFFF" w:themeColor="background1"/>
              <w:bottom w:val="single" w:sz="8" w:space="0" w:color="FFFFFF" w:themeColor="background1"/>
            </w:tcBorders>
            <w:shd w:val="clear" w:color="auto" w:fill="2E74B5" w:themeFill="accent1" w:themeFillShade="BF"/>
            <w:noWrap/>
            <w:hideMark/>
          </w:tcPr>
          <w:p w14:paraId="0F64226A" w14:textId="77777777" w:rsidR="00785D75" w:rsidRPr="00C325D6" w:rsidRDefault="00785D75">
            <w:pPr>
              <w:pStyle w:val="Tables"/>
              <w:spacing w:before="100" w:after="100"/>
              <w:jc w:val="left"/>
              <w:rPr>
                <w:color w:val="FFFFFF" w:themeColor="background1"/>
              </w:rPr>
            </w:pPr>
            <w:r w:rsidRPr="00C325D6">
              <w:rPr>
                <w:color w:val="FFFFFF" w:themeColor="background1"/>
              </w:rPr>
              <w:t>Commissioner for Children and Young People</w:t>
            </w:r>
          </w:p>
        </w:tc>
        <w:tc>
          <w:tcPr>
            <w:tcW w:w="6531" w:type="dxa"/>
            <w:shd w:val="clear" w:color="auto" w:fill="auto"/>
            <w:noWrap/>
            <w:hideMark/>
          </w:tcPr>
          <w:p w14:paraId="0F8906D7" w14:textId="77777777" w:rsidR="00785D75" w:rsidRPr="00C325D6" w:rsidRDefault="00785D75">
            <w:pPr>
              <w:pStyle w:val="Tables"/>
              <w:spacing w:before="100" w:after="100"/>
              <w:jc w:val="left"/>
              <w:rPr>
                <w:color w:val="auto"/>
                <w:highlight w:val="yellow"/>
              </w:rPr>
            </w:pPr>
            <w:r w:rsidRPr="00C325D6">
              <w:rPr>
                <w:color w:val="auto"/>
              </w:rPr>
              <w:t>The Commissioner for Children and Young People operates under an established code of conduct that references the WA Public Sector Code of Ethics (the Code). The CCYP has an employee grievance resolution policy which is regularly reviewed and updated to ensure compliance with Public Sector Commissioner instructions, policies and guidelines. All staff, as part of orientation and induction, are provided with these documents on commencement and they are also available for review on the Content Manager document management system.  All staff regularly receive training and updates in relation to accountable and ethical decision making.</w:t>
            </w:r>
          </w:p>
        </w:tc>
      </w:tr>
      <w:tr w:rsidR="00785D75" w:rsidRPr="00C325D6" w14:paraId="6ACF370C" w14:textId="77777777">
        <w:trPr>
          <w:trHeight w:val="300"/>
        </w:trPr>
        <w:tc>
          <w:tcPr>
            <w:tcW w:w="2825" w:type="dxa"/>
            <w:tcBorders>
              <w:top w:val="single" w:sz="8" w:space="0" w:color="FFFFFF" w:themeColor="background1"/>
              <w:bottom w:val="single" w:sz="8" w:space="0" w:color="FFFFFF" w:themeColor="background1"/>
            </w:tcBorders>
            <w:shd w:val="clear" w:color="auto" w:fill="2E74B5" w:themeFill="accent1" w:themeFillShade="BF"/>
            <w:noWrap/>
          </w:tcPr>
          <w:p w14:paraId="7C6E2E62" w14:textId="77777777" w:rsidR="00785D75" w:rsidRPr="00C325D6" w:rsidRDefault="00785D75">
            <w:pPr>
              <w:pStyle w:val="Tables"/>
              <w:spacing w:before="100" w:after="100"/>
              <w:jc w:val="left"/>
              <w:rPr>
                <w:color w:val="FFFFFF" w:themeColor="background1"/>
              </w:rPr>
            </w:pPr>
            <w:r w:rsidRPr="00C325D6">
              <w:rPr>
                <w:color w:val="FFFFFF" w:themeColor="background1"/>
              </w:rPr>
              <w:t>Conservation and Parks Commission</w:t>
            </w:r>
          </w:p>
        </w:tc>
        <w:tc>
          <w:tcPr>
            <w:tcW w:w="6531" w:type="dxa"/>
            <w:shd w:val="clear" w:color="auto" w:fill="auto"/>
            <w:noWrap/>
          </w:tcPr>
          <w:p w14:paraId="29F6595E" w14:textId="75CF7A79" w:rsidR="00785D75" w:rsidRPr="00C325D6" w:rsidRDefault="00785D75">
            <w:pPr>
              <w:pStyle w:val="Tables"/>
              <w:spacing w:before="100" w:after="100"/>
              <w:jc w:val="left"/>
              <w:rPr>
                <w:color w:val="auto"/>
                <w:highlight w:val="yellow"/>
              </w:rPr>
            </w:pPr>
            <w:r w:rsidRPr="00C325D6">
              <w:rPr>
                <w:color w:val="auto"/>
              </w:rPr>
              <w:t>DBCA has fully complied with relevant Public Sector Standards, codes of ethics and its code of conduct for the 2022-2023 financial year</w:t>
            </w:r>
            <w:r w:rsidR="00C32ADC">
              <w:rPr>
                <w:color w:val="auto"/>
              </w:rPr>
              <w:t>.</w:t>
            </w:r>
          </w:p>
        </w:tc>
      </w:tr>
      <w:tr w:rsidR="00785D75" w:rsidRPr="00C325D6" w14:paraId="2D33F6D4" w14:textId="77777777">
        <w:trPr>
          <w:trHeight w:val="300"/>
        </w:trPr>
        <w:tc>
          <w:tcPr>
            <w:tcW w:w="2825" w:type="dxa"/>
            <w:tcBorders>
              <w:top w:val="single" w:sz="8" w:space="0" w:color="FFFFFF" w:themeColor="background1"/>
              <w:bottom w:val="single" w:sz="8" w:space="0" w:color="FFFFFF" w:themeColor="background1"/>
            </w:tcBorders>
            <w:shd w:val="clear" w:color="auto" w:fill="2E74B5" w:themeFill="accent1" w:themeFillShade="BF"/>
            <w:noWrap/>
          </w:tcPr>
          <w:p w14:paraId="2A7FC7A3" w14:textId="77777777" w:rsidR="00785D75" w:rsidRPr="00C325D6" w:rsidRDefault="00785D75">
            <w:pPr>
              <w:pStyle w:val="Tables"/>
              <w:spacing w:before="100" w:after="100"/>
              <w:jc w:val="left"/>
              <w:rPr>
                <w:color w:val="FFFFFF" w:themeColor="background1"/>
              </w:rPr>
            </w:pPr>
            <w:r w:rsidRPr="00C325D6">
              <w:rPr>
                <w:color w:val="FFFFFF" w:themeColor="background1"/>
              </w:rPr>
              <w:t>Equal Opportunity Commission</w:t>
            </w:r>
          </w:p>
        </w:tc>
        <w:tc>
          <w:tcPr>
            <w:tcW w:w="6531" w:type="dxa"/>
            <w:shd w:val="clear" w:color="auto" w:fill="auto"/>
            <w:noWrap/>
          </w:tcPr>
          <w:p w14:paraId="031A90DC" w14:textId="77777777" w:rsidR="00785D75" w:rsidRPr="00C325D6" w:rsidRDefault="00785D75">
            <w:pPr>
              <w:pStyle w:val="Tables"/>
              <w:spacing w:before="100" w:after="100"/>
              <w:jc w:val="left"/>
              <w:rPr>
                <w:color w:val="auto"/>
              </w:rPr>
            </w:pPr>
            <w:r w:rsidRPr="00C325D6">
              <w:rPr>
                <w:color w:val="auto"/>
              </w:rPr>
              <w:t>In accordance with section 31(2) of the Public Sector Management Act 1994, the Equal Opportunity Commission has fully complied with the Public Sector Standards, and Public Sector Commissioner's instructions, including Commissioner's instruction No.7 Code of Ethics.</w:t>
            </w:r>
          </w:p>
        </w:tc>
      </w:tr>
      <w:tr w:rsidR="00785D75" w:rsidRPr="00C325D6" w14:paraId="0BEE3086" w14:textId="77777777">
        <w:trPr>
          <w:trHeight w:val="300"/>
        </w:trPr>
        <w:tc>
          <w:tcPr>
            <w:tcW w:w="2825" w:type="dxa"/>
            <w:tcBorders>
              <w:top w:val="single" w:sz="8" w:space="0" w:color="FFFFFF" w:themeColor="background1"/>
              <w:bottom w:val="single" w:sz="8" w:space="0" w:color="FFFFFF" w:themeColor="background1"/>
            </w:tcBorders>
            <w:shd w:val="clear" w:color="auto" w:fill="2E74B5" w:themeFill="accent1" w:themeFillShade="BF"/>
            <w:noWrap/>
            <w:hideMark/>
          </w:tcPr>
          <w:p w14:paraId="3D90F19E" w14:textId="77777777" w:rsidR="00785D75" w:rsidRPr="00C325D6" w:rsidRDefault="00785D75">
            <w:pPr>
              <w:pStyle w:val="Tables"/>
              <w:spacing w:before="100" w:after="100"/>
              <w:jc w:val="left"/>
              <w:rPr>
                <w:color w:val="FFFFFF" w:themeColor="background1"/>
              </w:rPr>
            </w:pPr>
            <w:r w:rsidRPr="00C325D6">
              <w:rPr>
                <w:color w:val="FFFFFF" w:themeColor="background1"/>
              </w:rPr>
              <w:t>Legal Practice Board</w:t>
            </w:r>
          </w:p>
        </w:tc>
        <w:tc>
          <w:tcPr>
            <w:tcW w:w="6531" w:type="dxa"/>
            <w:shd w:val="clear" w:color="auto" w:fill="auto"/>
            <w:noWrap/>
          </w:tcPr>
          <w:p w14:paraId="7C9219A1" w14:textId="77777777" w:rsidR="00785D75" w:rsidRPr="00C325D6" w:rsidRDefault="00785D75">
            <w:pPr>
              <w:pStyle w:val="Tables"/>
              <w:spacing w:before="100" w:after="100"/>
              <w:jc w:val="left"/>
              <w:rPr>
                <w:color w:val="auto"/>
                <w:highlight w:val="yellow"/>
              </w:rPr>
            </w:pPr>
            <w:r w:rsidRPr="00C325D6">
              <w:rPr>
                <w:color w:val="auto"/>
              </w:rPr>
              <w:t>The Legal Practice Board complies with the Public Sector Standards, Codes of Ethics and with the Code of Conduct.</w:t>
            </w:r>
          </w:p>
        </w:tc>
      </w:tr>
      <w:tr w:rsidR="00785D75" w:rsidRPr="00C325D6" w14:paraId="31A4C5D9" w14:textId="77777777">
        <w:trPr>
          <w:trHeight w:val="300"/>
        </w:trPr>
        <w:tc>
          <w:tcPr>
            <w:tcW w:w="2825" w:type="dxa"/>
            <w:tcBorders>
              <w:top w:val="single" w:sz="8" w:space="0" w:color="FFFFFF" w:themeColor="background1"/>
              <w:bottom w:val="single" w:sz="8" w:space="0" w:color="FFFFFF" w:themeColor="background1"/>
            </w:tcBorders>
            <w:shd w:val="clear" w:color="auto" w:fill="2E74B5" w:themeFill="accent1" w:themeFillShade="BF"/>
            <w:noWrap/>
            <w:hideMark/>
          </w:tcPr>
          <w:p w14:paraId="4BC8420C" w14:textId="77777777" w:rsidR="00785D75" w:rsidRPr="00C325D6" w:rsidRDefault="00785D75">
            <w:pPr>
              <w:pStyle w:val="Tables"/>
              <w:spacing w:before="100" w:after="100"/>
              <w:jc w:val="left"/>
              <w:rPr>
                <w:color w:val="FFFFFF" w:themeColor="background1"/>
              </w:rPr>
            </w:pPr>
            <w:r w:rsidRPr="00C325D6">
              <w:rPr>
                <w:color w:val="FFFFFF" w:themeColor="background1"/>
              </w:rPr>
              <w:t>Office of the Information Commissioner</w:t>
            </w:r>
          </w:p>
        </w:tc>
        <w:tc>
          <w:tcPr>
            <w:tcW w:w="6531" w:type="dxa"/>
            <w:shd w:val="clear" w:color="auto" w:fill="auto"/>
            <w:noWrap/>
          </w:tcPr>
          <w:p w14:paraId="5C9A9721" w14:textId="77777777" w:rsidR="00785D75" w:rsidRPr="00C325D6" w:rsidRDefault="00785D75">
            <w:pPr>
              <w:pStyle w:val="Tables"/>
              <w:spacing w:before="100" w:after="100"/>
              <w:jc w:val="left"/>
            </w:pPr>
            <w:r w:rsidRPr="00C325D6">
              <w:rPr>
                <w:color w:val="auto"/>
              </w:rPr>
              <w:t>The OIC has a code of conduct which has been distributed to staff and is available on our intranet and knowledge management system. New staff members are provided a copy as part of their induction. The OIC's gift decisions register and all purchasing card transactions are published on our website. The OIC is guided by the Public Sector Standards in our employment processes. No staff were redeployed or disciplined, and no grievances lodged. The OIC has nominated an Integrity Officer to monitor integrity issues in addition to a PID Officer.</w:t>
            </w:r>
          </w:p>
        </w:tc>
      </w:tr>
      <w:tr w:rsidR="00785D75" w:rsidRPr="00C325D6" w14:paraId="36DFD1B0" w14:textId="77777777">
        <w:trPr>
          <w:trHeight w:val="300"/>
        </w:trPr>
        <w:tc>
          <w:tcPr>
            <w:tcW w:w="2825" w:type="dxa"/>
            <w:tcBorders>
              <w:top w:val="single" w:sz="8" w:space="0" w:color="FFFFFF" w:themeColor="background1"/>
              <w:bottom w:val="single" w:sz="8" w:space="0" w:color="FFFFFF" w:themeColor="background1"/>
            </w:tcBorders>
            <w:shd w:val="clear" w:color="auto" w:fill="2E74B5" w:themeFill="accent1" w:themeFillShade="BF"/>
            <w:noWrap/>
            <w:hideMark/>
          </w:tcPr>
          <w:p w14:paraId="1946EF26" w14:textId="77777777" w:rsidR="00785D75" w:rsidRPr="00C325D6" w:rsidRDefault="00785D75">
            <w:pPr>
              <w:pStyle w:val="Tables"/>
              <w:spacing w:before="100" w:after="100"/>
              <w:jc w:val="left"/>
              <w:rPr>
                <w:color w:val="FFFFFF" w:themeColor="background1"/>
              </w:rPr>
            </w:pPr>
            <w:r w:rsidRPr="00C325D6">
              <w:rPr>
                <w:color w:val="FFFFFF" w:themeColor="background1"/>
              </w:rPr>
              <w:t>Parliamentary Commissioner for Administrative Investigations (Ombudsman WA)</w:t>
            </w:r>
          </w:p>
        </w:tc>
        <w:tc>
          <w:tcPr>
            <w:tcW w:w="6531" w:type="dxa"/>
            <w:shd w:val="clear" w:color="auto" w:fill="auto"/>
            <w:noWrap/>
          </w:tcPr>
          <w:p w14:paraId="51514C10" w14:textId="77777777" w:rsidR="00785D75" w:rsidRPr="00C325D6" w:rsidRDefault="00785D75">
            <w:pPr>
              <w:pStyle w:val="Tables"/>
              <w:spacing w:before="100" w:after="100"/>
              <w:jc w:val="left"/>
              <w:rPr>
                <w:color w:val="auto"/>
                <w:highlight w:val="yellow"/>
              </w:rPr>
            </w:pPr>
            <w:r w:rsidRPr="00C325D6">
              <w:rPr>
                <w:color w:val="auto"/>
              </w:rPr>
              <w:t>In the administration of the office of the Parliamentary Commissioner for Administrative Investigations, I have complied with the public sector standards in human resource management, the Code of Ethics and the office's code of conduct. I have put in place procedures designed to ensure such compliance and conducted appropriate internal assessments to satisfy myself that the above statement is correct.</w:t>
            </w:r>
          </w:p>
        </w:tc>
      </w:tr>
      <w:tr w:rsidR="00785D75" w:rsidRPr="00C325D6" w14:paraId="742652E4" w14:textId="77777777">
        <w:trPr>
          <w:trHeight w:val="300"/>
        </w:trPr>
        <w:tc>
          <w:tcPr>
            <w:tcW w:w="2825" w:type="dxa"/>
            <w:tcBorders>
              <w:top w:val="single" w:sz="8" w:space="0" w:color="FFFFFF" w:themeColor="background1"/>
            </w:tcBorders>
            <w:shd w:val="clear" w:color="auto" w:fill="2E74B5" w:themeFill="accent1" w:themeFillShade="BF"/>
            <w:noWrap/>
            <w:hideMark/>
          </w:tcPr>
          <w:p w14:paraId="437C188A" w14:textId="77777777" w:rsidR="00785D75" w:rsidRPr="00C325D6" w:rsidRDefault="00785D75">
            <w:pPr>
              <w:pStyle w:val="Tables"/>
              <w:spacing w:before="100" w:after="100"/>
              <w:jc w:val="left"/>
              <w:rPr>
                <w:color w:val="FFFFFF" w:themeColor="background1"/>
              </w:rPr>
            </w:pPr>
            <w:r w:rsidRPr="00C325D6">
              <w:rPr>
                <w:color w:val="FFFFFF" w:themeColor="background1"/>
              </w:rPr>
              <w:t>Veterinary Practice Board</w:t>
            </w:r>
          </w:p>
        </w:tc>
        <w:tc>
          <w:tcPr>
            <w:tcW w:w="6531" w:type="dxa"/>
            <w:shd w:val="clear" w:color="auto" w:fill="auto"/>
            <w:noWrap/>
          </w:tcPr>
          <w:p w14:paraId="0AC64A8A" w14:textId="77777777" w:rsidR="00785D75" w:rsidRPr="00C325D6" w:rsidRDefault="00785D75">
            <w:pPr>
              <w:pStyle w:val="Tables"/>
              <w:spacing w:before="100" w:after="100"/>
              <w:jc w:val="left"/>
              <w:rPr>
                <w:color w:val="auto"/>
                <w:highlight w:val="yellow"/>
              </w:rPr>
            </w:pPr>
            <w:r w:rsidRPr="00C325D6">
              <w:rPr>
                <w:color w:val="auto"/>
              </w:rPr>
              <w:t>The Public Sector standards and ethical codes have been complied with.</w:t>
            </w:r>
          </w:p>
        </w:tc>
      </w:tr>
    </w:tbl>
    <w:p w14:paraId="7D46EEF5" w14:textId="77777777" w:rsidR="00785D75" w:rsidRPr="007228E9" w:rsidRDefault="00785D75" w:rsidP="00785D75"/>
    <w:p w14:paraId="4BF240BB" w14:textId="77777777" w:rsidR="00911B78" w:rsidRDefault="00911B78" w:rsidP="00E56434">
      <w:pPr>
        <w:rPr>
          <w:b/>
          <w:bCs/>
        </w:rPr>
      </w:pPr>
    </w:p>
    <w:p w14:paraId="1FCB2AC2" w14:textId="77777777" w:rsidR="00911B78" w:rsidRDefault="00911B78" w:rsidP="00E56434">
      <w:pPr>
        <w:rPr>
          <w:b/>
          <w:bCs/>
        </w:rPr>
      </w:pPr>
    </w:p>
    <w:p w14:paraId="263C5809" w14:textId="77777777" w:rsidR="00911B78" w:rsidRDefault="00911B78" w:rsidP="00E56434">
      <w:pPr>
        <w:rPr>
          <w:b/>
          <w:bCs/>
        </w:rPr>
      </w:pPr>
    </w:p>
    <w:p w14:paraId="4E60BB59" w14:textId="77777777" w:rsidR="00A362F1" w:rsidRDefault="00A362F1" w:rsidP="00911B78"/>
    <w:p w14:paraId="521CF11C" w14:textId="77777777" w:rsidR="00A362F1" w:rsidRDefault="00A362F1" w:rsidP="00911B78"/>
    <w:p w14:paraId="1E4DD286" w14:textId="77777777" w:rsidR="00A362F1" w:rsidRDefault="00A362F1" w:rsidP="00911B78"/>
    <w:p w14:paraId="40A71C04" w14:textId="77777777" w:rsidR="00A362F1" w:rsidRDefault="00A362F1" w:rsidP="00911B78"/>
    <w:p w14:paraId="7202738A" w14:textId="77777777" w:rsidR="00A362F1" w:rsidRDefault="00A362F1" w:rsidP="00911B78"/>
    <w:p w14:paraId="15847B6C" w14:textId="77777777" w:rsidR="00A362F1" w:rsidRDefault="00A362F1" w:rsidP="00911B78"/>
    <w:p w14:paraId="3AF0F7A8" w14:textId="77777777" w:rsidR="00A362F1" w:rsidRDefault="00A362F1" w:rsidP="00911B78"/>
    <w:p w14:paraId="108C9AEC" w14:textId="77777777" w:rsidR="00A362F1" w:rsidRDefault="00A362F1" w:rsidP="00911B78"/>
    <w:p w14:paraId="5394B8D8" w14:textId="77777777" w:rsidR="00A362F1" w:rsidRDefault="00A362F1" w:rsidP="00911B78"/>
    <w:p w14:paraId="65BFE95E" w14:textId="77777777" w:rsidR="00A362F1" w:rsidRDefault="00A362F1" w:rsidP="00911B78"/>
    <w:p w14:paraId="60309CAA" w14:textId="77777777" w:rsidR="00A362F1" w:rsidRDefault="00A362F1" w:rsidP="00911B78"/>
    <w:p w14:paraId="75A16349" w14:textId="77777777" w:rsidR="00A362F1" w:rsidRDefault="00A362F1" w:rsidP="00911B78"/>
    <w:p w14:paraId="5E68400A" w14:textId="77777777" w:rsidR="00A362F1" w:rsidRDefault="00A362F1" w:rsidP="00911B78"/>
    <w:p w14:paraId="6ACD4449" w14:textId="77777777" w:rsidR="00A362F1" w:rsidRDefault="00A362F1" w:rsidP="00911B78"/>
    <w:p w14:paraId="21B6CC18" w14:textId="77777777" w:rsidR="00A362F1" w:rsidRDefault="00A362F1" w:rsidP="00911B78"/>
    <w:p w14:paraId="7D922A83" w14:textId="77777777" w:rsidR="00A362F1" w:rsidRDefault="00A362F1" w:rsidP="00911B78"/>
    <w:p w14:paraId="24437969" w14:textId="77777777" w:rsidR="00A362F1" w:rsidRDefault="00A362F1" w:rsidP="00911B78"/>
    <w:p w14:paraId="3EB7A89F" w14:textId="77777777" w:rsidR="00A362F1" w:rsidRDefault="00A362F1" w:rsidP="00911B78"/>
    <w:p w14:paraId="16822511" w14:textId="77777777" w:rsidR="00A362F1" w:rsidRDefault="00A362F1" w:rsidP="00911B78"/>
    <w:p w14:paraId="138EDA0B" w14:textId="77777777" w:rsidR="00A362F1" w:rsidRDefault="00A362F1" w:rsidP="00911B78"/>
    <w:p w14:paraId="0BB44F75" w14:textId="77777777" w:rsidR="00A362F1" w:rsidRDefault="00A362F1" w:rsidP="00911B78"/>
    <w:p w14:paraId="3081B41E" w14:textId="77777777" w:rsidR="00A362F1" w:rsidRDefault="00A362F1" w:rsidP="00911B78"/>
    <w:p w14:paraId="25520694" w14:textId="77777777" w:rsidR="00A362F1" w:rsidRDefault="00A362F1" w:rsidP="00911B78"/>
    <w:p w14:paraId="7CAE7027" w14:textId="77777777" w:rsidR="00A362F1" w:rsidRDefault="00A362F1" w:rsidP="00911B78"/>
    <w:p w14:paraId="3EF52D46" w14:textId="56D32139" w:rsidR="00911B78" w:rsidRDefault="00911B78" w:rsidP="00911B78">
      <w:r>
        <w:t xml:space="preserve">© State of Western Australia 2023 </w:t>
      </w:r>
    </w:p>
    <w:p w14:paraId="2258B04C" w14:textId="69846903" w:rsidR="00911B78" w:rsidRDefault="00911B78" w:rsidP="00911B78">
      <w:r>
        <w:t xml:space="preserve">The State of Western Australia owns or licenses the copyright in this material. The material may be reproduced or communicated in an unaltered form (retaining this notice) for personal use, non-commercial use in an organisation or as permitted under the </w:t>
      </w:r>
      <w:r w:rsidRPr="00DF6D84">
        <w:rPr>
          <w:i/>
          <w:iCs/>
        </w:rPr>
        <w:t>Copyright Act 1968</w:t>
      </w:r>
      <w:r>
        <w:t xml:space="preserve"> (Cth) (for example, fair dealing). The material must not be reproduced, modified, communicated or used for a commercial purpose without prior written approval of the Public Sector Commission. Requests should be directed</w:t>
      </w:r>
      <w:r w:rsidR="004C5F01">
        <w:t xml:space="preserve"> to</w:t>
      </w:r>
      <w:r>
        <w:t xml:space="preserve"> </w:t>
      </w:r>
      <w:hyperlink r:id="rId105" w:history="1">
        <w:r w:rsidR="004C5F01">
          <w:rPr>
            <w:rStyle w:val="Hyperlink"/>
          </w:rPr>
          <w:t>communications@psc.wa.gov.au</w:t>
        </w:r>
      </w:hyperlink>
      <w:r>
        <w:t>.</w:t>
      </w:r>
    </w:p>
    <w:p w14:paraId="62B0676B" w14:textId="1112FBDD" w:rsidR="00911B78" w:rsidRPr="00911B78" w:rsidRDefault="00911B78" w:rsidP="00911B78">
      <w:r w:rsidRPr="004C5F01">
        <w:t>Copies of this publication are available in different formats on request.</w:t>
      </w:r>
    </w:p>
    <w:p w14:paraId="3113166D" w14:textId="781C56E2" w:rsidR="00E56434" w:rsidRDefault="00E56434" w:rsidP="00911B78"/>
    <w:p w14:paraId="53986B99" w14:textId="5C3896D5" w:rsidR="00E56434" w:rsidRDefault="00E56434" w:rsidP="00E56434">
      <w:r>
        <w:t>Public Sector Commission</w:t>
      </w:r>
      <w:r w:rsidR="00911B78">
        <w:t xml:space="preserve"> | </w:t>
      </w:r>
      <w:r>
        <w:t>2 Havelock Street</w:t>
      </w:r>
      <w:r w:rsidR="00911B78">
        <w:t>, West Perth WA 6005</w:t>
      </w:r>
    </w:p>
    <w:p w14:paraId="470BF414" w14:textId="7BA28984" w:rsidR="00E56434" w:rsidRDefault="00E56434" w:rsidP="00E56434">
      <w:r>
        <w:t>T</w:t>
      </w:r>
      <w:r w:rsidR="00911B78">
        <w:t>el</w:t>
      </w:r>
      <w:r>
        <w:t xml:space="preserve"> 08 6552 8500</w:t>
      </w:r>
      <w:r w:rsidR="00911B78">
        <w:t xml:space="preserve"> | </w:t>
      </w:r>
      <w:r>
        <w:t>E</w:t>
      </w:r>
      <w:r w:rsidR="00911B78">
        <w:t xml:space="preserve">mail </w:t>
      </w:r>
      <w:hyperlink r:id="rId106" w:history="1">
        <w:r w:rsidR="00911B78" w:rsidRPr="00513688">
          <w:rPr>
            <w:rStyle w:val="Hyperlink"/>
          </w:rPr>
          <w:t>admin@psc.wa.gov.au</w:t>
        </w:r>
      </w:hyperlink>
      <w:r w:rsidR="00911B78">
        <w:t xml:space="preserve"> | </w:t>
      </w:r>
      <w:r>
        <w:t xml:space="preserve"> </w:t>
      </w:r>
      <w:hyperlink r:id="rId107" w:history="1">
        <w:r w:rsidRPr="008017C2">
          <w:rPr>
            <w:rStyle w:val="Hyperlink"/>
          </w:rPr>
          <w:t>WA.gov.au</w:t>
        </w:r>
      </w:hyperlink>
    </w:p>
    <w:p w14:paraId="309F8174" w14:textId="6F9D9962" w:rsidR="00E56434" w:rsidRPr="00911B78" w:rsidRDefault="00E56434" w:rsidP="00E56434">
      <w:pPr>
        <w:rPr>
          <w:b/>
          <w:bCs/>
        </w:rPr>
      </w:pPr>
      <w:r w:rsidRPr="00911B78">
        <w:rPr>
          <w:b/>
          <w:bCs/>
        </w:rPr>
        <w:t xml:space="preserve">ISSN </w:t>
      </w:r>
      <w:r w:rsidR="00911B78" w:rsidRPr="00911B78">
        <w:rPr>
          <w:b/>
          <w:bCs/>
        </w:rPr>
        <w:t>1839-7891</w:t>
      </w:r>
    </w:p>
    <w:p w14:paraId="3400EA07" w14:textId="79F5C6B0" w:rsidR="0080181B" w:rsidRDefault="00911B78" w:rsidP="00BD2A50">
      <w:r w:rsidRPr="00911B78">
        <w:rPr>
          <w:b/>
          <w:bCs/>
        </w:rPr>
        <w:t xml:space="preserve">November 2023 | </w:t>
      </w:r>
      <w:r w:rsidR="00E56434" w:rsidRPr="00911B78">
        <w:rPr>
          <w:b/>
          <w:bCs/>
        </w:rPr>
        <w:t>PSC23043267</w:t>
      </w:r>
    </w:p>
    <w:sectPr w:rsidR="0080181B" w:rsidSect="00750F4B">
      <w:headerReference w:type="even" r:id="rId108"/>
      <w:headerReference w:type="default" r:id="rId109"/>
      <w:footerReference w:type="default" r:id="rId110"/>
      <w:headerReference w:type="first" r:id="rId111"/>
      <w:type w:val="continuous"/>
      <w:pgSz w:w="11906" w:h="16838"/>
      <w:pgMar w:top="1440" w:right="1274" w:bottom="1440" w:left="1440" w:header="708"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B572E" w14:textId="77777777" w:rsidR="000414C7" w:rsidRDefault="000414C7" w:rsidP="003C5A8C">
      <w:pPr>
        <w:spacing w:after="0" w:line="240" w:lineRule="auto"/>
      </w:pPr>
      <w:r>
        <w:separator/>
      </w:r>
    </w:p>
  </w:endnote>
  <w:endnote w:type="continuationSeparator" w:id="0">
    <w:p w14:paraId="1B5483F6" w14:textId="77777777" w:rsidR="000414C7" w:rsidRDefault="000414C7" w:rsidP="003C5A8C">
      <w:pPr>
        <w:spacing w:after="0" w:line="240" w:lineRule="auto"/>
      </w:pPr>
      <w:r>
        <w:continuationSeparator/>
      </w:r>
    </w:p>
  </w:endnote>
  <w:endnote w:type="continuationNotice" w:id="1">
    <w:p w14:paraId="7058275A" w14:textId="77777777" w:rsidR="000414C7" w:rsidRDefault="000414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llix">
    <w:altName w:val="Calibri"/>
    <w:panose1 w:val="000005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2E74B5" w:themeColor="accent1" w:themeShade="BF"/>
        <w:sz w:val="18"/>
        <w:szCs w:val="18"/>
      </w:rPr>
      <w:id w:val="-1849862628"/>
      <w:docPartObj>
        <w:docPartGallery w:val="Page Numbers (Bottom of Page)"/>
        <w:docPartUnique/>
      </w:docPartObj>
    </w:sdtPr>
    <w:sdtEndPr>
      <w:rPr>
        <w:color w:val="000000" w:themeColor="text1"/>
        <w:sz w:val="16"/>
        <w:szCs w:val="16"/>
      </w:rPr>
    </w:sdtEndPr>
    <w:sdtContent>
      <w:sdt>
        <w:sdtPr>
          <w:rPr>
            <w:rFonts w:ascii="Century Gothic" w:hAnsi="Century Gothic"/>
            <w:color w:val="7F7F7F" w:themeColor="text1" w:themeTint="80"/>
            <w:sz w:val="16"/>
            <w:szCs w:val="16"/>
          </w:rPr>
          <w:id w:val="-1769616900"/>
          <w:docPartObj>
            <w:docPartGallery w:val="Page Numbers (Top of Page)"/>
            <w:docPartUnique/>
          </w:docPartObj>
        </w:sdtPr>
        <w:sdtEndPr>
          <w:rPr>
            <w:color w:val="000000" w:themeColor="text1"/>
          </w:rPr>
        </w:sdtEndPr>
        <w:sdtContent>
          <w:p w14:paraId="4D0859C7" w14:textId="0B26658A" w:rsidR="009952B3" w:rsidRPr="00EE37D0" w:rsidRDefault="00FA1DC5" w:rsidP="00262703">
            <w:pPr>
              <w:pStyle w:val="Footer"/>
              <w:tabs>
                <w:tab w:val="clear" w:pos="4513"/>
                <w:tab w:val="clear" w:pos="9026"/>
                <w:tab w:val="right" w:pos="9192"/>
              </w:tabs>
              <w:rPr>
                <w:rFonts w:ascii="Century Gothic" w:hAnsi="Century Gothic"/>
                <w:color w:val="000000" w:themeColor="text1"/>
                <w:sz w:val="16"/>
                <w:szCs w:val="16"/>
              </w:rPr>
            </w:pPr>
            <w:r w:rsidRPr="000534A3">
              <w:rPr>
                <w:noProof/>
              </w:rPr>
              <w:drawing>
                <wp:anchor distT="0" distB="0" distL="114300" distR="114300" simplePos="0" relativeHeight="251659264" behindDoc="1" locked="0" layoutInCell="1" allowOverlap="1" wp14:anchorId="5B121634" wp14:editId="70D542C0">
                  <wp:simplePos x="0" y="0"/>
                  <wp:positionH relativeFrom="margin">
                    <wp:posOffset>-53671</wp:posOffset>
                  </wp:positionH>
                  <wp:positionV relativeFrom="paragraph">
                    <wp:posOffset>-125095</wp:posOffset>
                  </wp:positionV>
                  <wp:extent cx="5199550" cy="443865"/>
                  <wp:effectExtent l="0" t="0" r="1270" b="0"/>
                  <wp:wrapNone/>
                  <wp:docPr id="762991217" name="Picture 76299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39942" name="Picture 4188399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10" t="-1479" r="9069" b="50404"/>
                          <a:stretch/>
                        </pic:blipFill>
                        <pic:spPr bwMode="auto">
                          <a:xfrm>
                            <a:off x="0" y="0"/>
                            <a:ext cx="5199550" cy="44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2B3" w:rsidRPr="00EE37D0">
              <w:rPr>
                <w:rFonts w:ascii="Century Gothic" w:hAnsi="Century Gothic"/>
                <w:color w:val="000000" w:themeColor="text1"/>
                <w:sz w:val="16"/>
                <w:szCs w:val="16"/>
              </w:rPr>
              <w:tab/>
            </w:r>
            <w:r w:rsidR="009952B3" w:rsidRPr="00EE37D0">
              <w:rPr>
                <w:color w:val="000000" w:themeColor="text1"/>
                <w:sz w:val="18"/>
                <w:szCs w:val="18"/>
              </w:rPr>
              <w:t xml:space="preserve">Page </w:t>
            </w:r>
            <w:r w:rsidR="009952B3" w:rsidRPr="00EE37D0">
              <w:rPr>
                <w:bCs/>
                <w:color w:val="000000" w:themeColor="text1"/>
                <w:sz w:val="18"/>
                <w:szCs w:val="18"/>
              </w:rPr>
              <w:fldChar w:fldCharType="begin"/>
            </w:r>
            <w:r w:rsidR="009952B3" w:rsidRPr="00EE37D0">
              <w:rPr>
                <w:bCs/>
                <w:color w:val="000000" w:themeColor="text1"/>
                <w:sz w:val="18"/>
                <w:szCs w:val="18"/>
              </w:rPr>
              <w:instrText xml:space="preserve"> PAGE </w:instrText>
            </w:r>
            <w:r w:rsidR="009952B3" w:rsidRPr="00EE37D0">
              <w:rPr>
                <w:bCs/>
                <w:color w:val="000000" w:themeColor="text1"/>
                <w:sz w:val="18"/>
                <w:szCs w:val="18"/>
              </w:rPr>
              <w:fldChar w:fldCharType="separate"/>
            </w:r>
            <w:r w:rsidR="006827E6" w:rsidRPr="00EE37D0">
              <w:rPr>
                <w:bCs/>
                <w:noProof/>
                <w:color w:val="000000" w:themeColor="text1"/>
                <w:sz w:val="18"/>
                <w:szCs w:val="18"/>
              </w:rPr>
              <w:t>1</w:t>
            </w:r>
            <w:r w:rsidR="009952B3" w:rsidRPr="00EE37D0">
              <w:rPr>
                <w:bCs/>
                <w:color w:val="000000" w:themeColor="text1"/>
                <w:sz w:val="18"/>
                <w:szCs w:val="18"/>
              </w:rPr>
              <w:fldChar w:fldCharType="end"/>
            </w:r>
            <w:r w:rsidR="009952B3" w:rsidRPr="00EE37D0">
              <w:rPr>
                <w:color w:val="000000" w:themeColor="text1"/>
                <w:sz w:val="18"/>
                <w:szCs w:val="18"/>
              </w:rPr>
              <w:t xml:space="preserve"> of </w:t>
            </w:r>
            <w:r w:rsidR="009952B3" w:rsidRPr="00EE37D0">
              <w:rPr>
                <w:bCs/>
                <w:color w:val="000000" w:themeColor="text1"/>
                <w:sz w:val="18"/>
                <w:szCs w:val="18"/>
              </w:rPr>
              <w:fldChar w:fldCharType="begin"/>
            </w:r>
            <w:r w:rsidR="009952B3" w:rsidRPr="00EE37D0">
              <w:rPr>
                <w:bCs/>
                <w:color w:val="000000" w:themeColor="text1"/>
                <w:sz w:val="18"/>
                <w:szCs w:val="18"/>
              </w:rPr>
              <w:instrText xml:space="preserve"> NUMPAGES  </w:instrText>
            </w:r>
            <w:r w:rsidR="009952B3" w:rsidRPr="00EE37D0">
              <w:rPr>
                <w:bCs/>
                <w:color w:val="000000" w:themeColor="text1"/>
                <w:sz w:val="18"/>
                <w:szCs w:val="18"/>
              </w:rPr>
              <w:fldChar w:fldCharType="separate"/>
            </w:r>
            <w:r w:rsidR="006827E6" w:rsidRPr="00EE37D0">
              <w:rPr>
                <w:bCs/>
                <w:noProof/>
                <w:color w:val="000000" w:themeColor="text1"/>
                <w:sz w:val="18"/>
                <w:szCs w:val="18"/>
              </w:rPr>
              <w:t>57</w:t>
            </w:r>
            <w:r w:rsidR="009952B3" w:rsidRPr="00EE37D0">
              <w:rPr>
                <w:bCs/>
                <w:color w:val="000000" w:themeColor="text1"/>
                <w:sz w:val="18"/>
                <w:szCs w:val="18"/>
              </w:rPr>
              <w:fldChar w:fldCharType="end"/>
            </w:r>
          </w:p>
        </w:sdtContent>
      </w:sdt>
    </w:sdtContent>
  </w:sdt>
  <w:p w14:paraId="5468FBBC" w14:textId="77777777" w:rsidR="009952B3" w:rsidRDefault="00995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2E74B5" w:themeColor="accent1" w:themeShade="BF"/>
        <w:sz w:val="18"/>
        <w:szCs w:val="18"/>
      </w:rPr>
      <w:id w:val="2000997234"/>
      <w:docPartObj>
        <w:docPartGallery w:val="Page Numbers (Bottom of Page)"/>
        <w:docPartUnique/>
      </w:docPartObj>
    </w:sdtPr>
    <w:sdtEndPr>
      <w:rPr>
        <w:rFonts w:ascii="Arial" w:hAnsi="Arial"/>
        <w:color w:val="000000" w:themeColor="text1"/>
      </w:rPr>
    </w:sdtEndPr>
    <w:sdtContent>
      <w:sdt>
        <w:sdtPr>
          <w:rPr>
            <w:color w:val="7F7F7F" w:themeColor="text1" w:themeTint="80"/>
            <w:sz w:val="18"/>
            <w:szCs w:val="18"/>
          </w:rPr>
          <w:id w:val="939714319"/>
          <w:docPartObj>
            <w:docPartGallery w:val="Page Numbers (Top of Page)"/>
            <w:docPartUnique/>
          </w:docPartObj>
        </w:sdtPr>
        <w:sdtEndPr>
          <w:rPr>
            <w:color w:val="000000" w:themeColor="text1"/>
          </w:rPr>
        </w:sdtEndPr>
        <w:sdtContent>
          <w:p w14:paraId="47F1609F" w14:textId="5666CBD3" w:rsidR="000D42F1" w:rsidRPr="00EE37D0" w:rsidRDefault="00FA1DC5" w:rsidP="00262703">
            <w:pPr>
              <w:pStyle w:val="Footer"/>
              <w:tabs>
                <w:tab w:val="clear" w:pos="4513"/>
                <w:tab w:val="clear" w:pos="9026"/>
                <w:tab w:val="right" w:pos="9192"/>
              </w:tabs>
              <w:rPr>
                <w:color w:val="000000" w:themeColor="text1"/>
                <w:sz w:val="18"/>
                <w:szCs w:val="18"/>
              </w:rPr>
            </w:pPr>
            <w:r w:rsidRPr="000534A3">
              <w:rPr>
                <w:noProof/>
              </w:rPr>
              <w:drawing>
                <wp:anchor distT="0" distB="0" distL="114300" distR="114300" simplePos="0" relativeHeight="251661312" behindDoc="1" locked="0" layoutInCell="1" allowOverlap="1" wp14:anchorId="2BF8A7AB" wp14:editId="62734963">
                  <wp:simplePos x="0" y="0"/>
                  <wp:positionH relativeFrom="margin">
                    <wp:align>left</wp:align>
                  </wp:positionH>
                  <wp:positionV relativeFrom="paragraph">
                    <wp:posOffset>-128789</wp:posOffset>
                  </wp:positionV>
                  <wp:extent cx="5125865" cy="443850"/>
                  <wp:effectExtent l="0" t="0" r="0" b="0"/>
                  <wp:wrapNone/>
                  <wp:docPr id="453961337" name="Picture 453961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61337" name="Picture 45396133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10" t="-1479" r="9069" b="50404"/>
                          <a:stretch/>
                        </pic:blipFill>
                        <pic:spPr bwMode="auto">
                          <a:xfrm>
                            <a:off x="0" y="0"/>
                            <a:ext cx="5227346" cy="452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2F1" w:rsidRPr="00EE37D0">
              <w:rPr>
                <w:color w:val="000000" w:themeColor="text1"/>
                <w:sz w:val="18"/>
                <w:szCs w:val="18"/>
              </w:rPr>
              <w:tab/>
              <w:t xml:space="preserve">Page </w:t>
            </w:r>
            <w:r w:rsidR="000D42F1" w:rsidRPr="00EE37D0">
              <w:rPr>
                <w:bCs/>
                <w:color w:val="000000" w:themeColor="text1"/>
                <w:sz w:val="18"/>
                <w:szCs w:val="18"/>
              </w:rPr>
              <w:fldChar w:fldCharType="begin"/>
            </w:r>
            <w:r w:rsidR="000D42F1" w:rsidRPr="00EE37D0">
              <w:rPr>
                <w:bCs/>
                <w:color w:val="000000" w:themeColor="text1"/>
                <w:sz w:val="18"/>
                <w:szCs w:val="18"/>
              </w:rPr>
              <w:instrText xml:space="preserve"> PAGE </w:instrText>
            </w:r>
            <w:r w:rsidR="000D42F1" w:rsidRPr="00EE37D0">
              <w:rPr>
                <w:bCs/>
                <w:color w:val="000000" w:themeColor="text1"/>
                <w:sz w:val="18"/>
                <w:szCs w:val="18"/>
              </w:rPr>
              <w:fldChar w:fldCharType="separate"/>
            </w:r>
            <w:r w:rsidR="000D42F1" w:rsidRPr="00EE37D0">
              <w:rPr>
                <w:bCs/>
                <w:noProof/>
                <w:color w:val="000000" w:themeColor="text1"/>
                <w:sz w:val="18"/>
                <w:szCs w:val="18"/>
              </w:rPr>
              <w:t>1</w:t>
            </w:r>
            <w:r w:rsidR="000D42F1" w:rsidRPr="00EE37D0">
              <w:rPr>
                <w:bCs/>
                <w:color w:val="000000" w:themeColor="text1"/>
                <w:sz w:val="18"/>
                <w:szCs w:val="18"/>
              </w:rPr>
              <w:fldChar w:fldCharType="end"/>
            </w:r>
            <w:r w:rsidR="000D42F1" w:rsidRPr="00EE37D0">
              <w:rPr>
                <w:color w:val="000000" w:themeColor="text1"/>
                <w:sz w:val="18"/>
                <w:szCs w:val="18"/>
              </w:rPr>
              <w:t xml:space="preserve"> of </w:t>
            </w:r>
            <w:r w:rsidR="000D42F1" w:rsidRPr="00EE37D0">
              <w:rPr>
                <w:bCs/>
                <w:color w:val="000000" w:themeColor="text1"/>
                <w:sz w:val="18"/>
                <w:szCs w:val="18"/>
              </w:rPr>
              <w:fldChar w:fldCharType="begin"/>
            </w:r>
            <w:r w:rsidR="000D42F1" w:rsidRPr="00EE37D0">
              <w:rPr>
                <w:bCs/>
                <w:color w:val="000000" w:themeColor="text1"/>
                <w:sz w:val="18"/>
                <w:szCs w:val="18"/>
              </w:rPr>
              <w:instrText xml:space="preserve"> NUMPAGES  </w:instrText>
            </w:r>
            <w:r w:rsidR="000D42F1" w:rsidRPr="00EE37D0">
              <w:rPr>
                <w:bCs/>
                <w:color w:val="000000" w:themeColor="text1"/>
                <w:sz w:val="18"/>
                <w:szCs w:val="18"/>
              </w:rPr>
              <w:fldChar w:fldCharType="separate"/>
            </w:r>
            <w:r w:rsidR="000D42F1" w:rsidRPr="00EE37D0">
              <w:rPr>
                <w:bCs/>
                <w:noProof/>
                <w:color w:val="000000" w:themeColor="text1"/>
                <w:sz w:val="18"/>
                <w:szCs w:val="18"/>
              </w:rPr>
              <w:t>57</w:t>
            </w:r>
            <w:r w:rsidR="000D42F1" w:rsidRPr="00EE37D0">
              <w:rPr>
                <w:bCs/>
                <w:color w:val="000000" w:themeColor="text1"/>
                <w:sz w:val="18"/>
                <w:szCs w:val="18"/>
              </w:rPr>
              <w:fldChar w:fldCharType="end"/>
            </w:r>
          </w:p>
        </w:sdtContent>
      </w:sdt>
    </w:sdtContent>
  </w:sdt>
  <w:p w14:paraId="121484EA" w14:textId="77777777" w:rsidR="000D42F1" w:rsidRDefault="000D4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2E74B5" w:themeColor="accent1" w:themeShade="BF"/>
        <w:sz w:val="18"/>
        <w:szCs w:val="18"/>
      </w:rPr>
      <w:id w:val="-1714725530"/>
      <w:docPartObj>
        <w:docPartGallery w:val="Page Numbers (Bottom of Page)"/>
        <w:docPartUnique/>
      </w:docPartObj>
    </w:sdtPr>
    <w:sdtEndPr>
      <w:rPr>
        <w:color w:val="000000" w:themeColor="text1"/>
      </w:rPr>
    </w:sdtEndPr>
    <w:sdtContent>
      <w:sdt>
        <w:sdtPr>
          <w:rPr>
            <w:rFonts w:ascii="Century Gothic" w:hAnsi="Century Gothic"/>
            <w:color w:val="7F7F7F" w:themeColor="text1" w:themeTint="80"/>
            <w:sz w:val="18"/>
            <w:szCs w:val="18"/>
          </w:rPr>
          <w:id w:val="2042932395"/>
          <w:docPartObj>
            <w:docPartGallery w:val="Page Numbers (Top of Page)"/>
            <w:docPartUnique/>
          </w:docPartObj>
        </w:sdtPr>
        <w:sdtEndPr>
          <w:rPr>
            <w:color w:val="000000" w:themeColor="text1"/>
          </w:rPr>
        </w:sdtEndPr>
        <w:sdtContent>
          <w:p w14:paraId="64807178" w14:textId="77777777" w:rsidR="000D42F1" w:rsidRPr="00EE37D0" w:rsidRDefault="00F306B5" w:rsidP="00262703">
            <w:pPr>
              <w:pStyle w:val="Footer"/>
              <w:tabs>
                <w:tab w:val="clear" w:pos="4513"/>
                <w:tab w:val="clear" w:pos="9026"/>
                <w:tab w:val="right" w:pos="9192"/>
              </w:tabs>
              <w:rPr>
                <w:rFonts w:ascii="Century Gothic" w:hAnsi="Century Gothic"/>
                <w:color w:val="000000" w:themeColor="text1"/>
                <w:sz w:val="18"/>
                <w:szCs w:val="18"/>
              </w:rPr>
            </w:pPr>
            <w:r w:rsidRPr="00F306B5">
              <w:rPr>
                <w:noProof/>
                <w:color w:val="7F7F7F" w:themeColor="text1" w:themeTint="80"/>
              </w:rPr>
              <w:drawing>
                <wp:anchor distT="0" distB="0" distL="114300" distR="114300" simplePos="0" relativeHeight="251663360" behindDoc="1" locked="0" layoutInCell="1" allowOverlap="1" wp14:anchorId="4C0C523E" wp14:editId="7BD33B9E">
                  <wp:simplePos x="0" y="0"/>
                  <wp:positionH relativeFrom="margin">
                    <wp:posOffset>0</wp:posOffset>
                  </wp:positionH>
                  <wp:positionV relativeFrom="paragraph">
                    <wp:posOffset>-108730</wp:posOffset>
                  </wp:positionV>
                  <wp:extent cx="7795913" cy="443230"/>
                  <wp:effectExtent l="0" t="0" r="0" b="0"/>
                  <wp:wrapNone/>
                  <wp:docPr id="1744608119" name="Picture 1744608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08119" name="Picture 174460811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10" t="-1479" r="9069" b="50404"/>
                          <a:stretch/>
                        </pic:blipFill>
                        <pic:spPr bwMode="auto">
                          <a:xfrm>
                            <a:off x="0" y="0"/>
                            <a:ext cx="7795913" cy="44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 xml:space="preserve">Page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PAGE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1</w:t>
            </w:r>
            <w:r w:rsidR="000D42F1" w:rsidRPr="00EE37D0">
              <w:rPr>
                <w:rFonts w:ascii="Century Gothic" w:hAnsi="Century Gothic"/>
                <w:bCs/>
                <w:color w:val="000000" w:themeColor="text1"/>
                <w:sz w:val="18"/>
                <w:szCs w:val="18"/>
              </w:rPr>
              <w:fldChar w:fldCharType="end"/>
            </w:r>
            <w:r w:rsidR="000D42F1" w:rsidRPr="00EE37D0">
              <w:rPr>
                <w:rFonts w:ascii="Century Gothic" w:hAnsi="Century Gothic"/>
                <w:color w:val="000000" w:themeColor="text1"/>
                <w:sz w:val="18"/>
                <w:szCs w:val="18"/>
              </w:rPr>
              <w:t xml:space="preserve"> of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NUMPAGES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57</w:t>
            </w:r>
            <w:r w:rsidR="000D42F1" w:rsidRPr="00EE37D0">
              <w:rPr>
                <w:rFonts w:ascii="Century Gothic" w:hAnsi="Century Gothic"/>
                <w:bCs/>
                <w:color w:val="000000" w:themeColor="text1"/>
                <w:sz w:val="18"/>
                <w:szCs w:val="18"/>
              </w:rPr>
              <w:fldChar w:fldCharType="end"/>
            </w:r>
          </w:p>
        </w:sdtContent>
      </w:sdt>
    </w:sdtContent>
  </w:sdt>
  <w:p w14:paraId="2E8DF817" w14:textId="77777777" w:rsidR="000D42F1" w:rsidRDefault="000D42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2E74B5" w:themeColor="accent1" w:themeShade="BF"/>
        <w:sz w:val="18"/>
        <w:szCs w:val="18"/>
      </w:rPr>
      <w:id w:val="1620485133"/>
      <w:docPartObj>
        <w:docPartGallery w:val="Page Numbers (Bottom of Page)"/>
        <w:docPartUnique/>
      </w:docPartObj>
    </w:sdtPr>
    <w:sdtContent>
      <w:sdt>
        <w:sdtPr>
          <w:rPr>
            <w:rFonts w:ascii="Century Gothic" w:hAnsi="Century Gothic"/>
            <w:color w:val="2E74B5" w:themeColor="accent1" w:themeShade="BF"/>
            <w:sz w:val="18"/>
            <w:szCs w:val="18"/>
          </w:rPr>
          <w:id w:val="-348106507"/>
          <w:docPartObj>
            <w:docPartGallery w:val="Page Numbers (Top of Page)"/>
            <w:docPartUnique/>
          </w:docPartObj>
        </w:sdtPr>
        <w:sdtContent>
          <w:p w14:paraId="3CB5D36E" w14:textId="581B9CEF" w:rsidR="000D42F1" w:rsidRPr="00A61144" w:rsidRDefault="00F306B5" w:rsidP="00262703">
            <w:pPr>
              <w:pStyle w:val="Footer"/>
              <w:tabs>
                <w:tab w:val="clear" w:pos="4513"/>
                <w:tab w:val="clear" w:pos="9026"/>
                <w:tab w:val="right" w:pos="9192"/>
              </w:tabs>
              <w:rPr>
                <w:rFonts w:ascii="Century Gothic" w:hAnsi="Century Gothic"/>
                <w:color w:val="2E74B5" w:themeColor="accent1" w:themeShade="BF"/>
                <w:sz w:val="18"/>
                <w:szCs w:val="18"/>
              </w:rPr>
            </w:pPr>
            <w:r w:rsidRPr="000534A3">
              <w:rPr>
                <w:noProof/>
              </w:rPr>
              <w:drawing>
                <wp:anchor distT="0" distB="0" distL="114300" distR="114300" simplePos="0" relativeHeight="251665408" behindDoc="1" locked="0" layoutInCell="1" allowOverlap="1" wp14:anchorId="414FB055" wp14:editId="71A328BD">
                  <wp:simplePos x="0" y="0"/>
                  <wp:positionH relativeFrom="margin">
                    <wp:posOffset>0</wp:posOffset>
                  </wp:positionH>
                  <wp:positionV relativeFrom="paragraph">
                    <wp:posOffset>-114445</wp:posOffset>
                  </wp:positionV>
                  <wp:extent cx="7795913" cy="443230"/>
                  <wp:effectExtent l="0" t="0" r="0" b="0"/>
                  <wp:wrapNone/>
                  <wp:docPr id="123885301" name="Picture 123885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5301" name="Picture 12388530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10" t="-1479" r="9069" b="50404"/>
                          <a:stretch/>
                        </pic:blipFill>
                        <pic:spPr bwMode="auto">
                          <a:xfrm>
                            <a:off x="0" y="0"/>
                            <a:ext cx="7795913" cy="44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2F1" w:rsidRPr="00A61144">
              <w:rPr>
                <w:rFonts w:ascii="Century Gothic" w:hAnsi="Century Gothic"/>
                <w:color w:val="2E74B5" w:themeColor="accent1" w:themeShade="BF"/>
                <w:sz w:val="18"/>
                <w:szCs w:val="18"/>
              </w:rPr>
              <w:tab/>
            </w:r>
            <w:r w:rsidR="000D42F1">
              <w:rPr>
                <w:rFonts w:ascii="Century Gothic" w:hAnsi="Century Gothic"/>
                <w:color w:val="2E74B5" w:themeColor="accent1" w:themeShade="BF"/>
                <w:sz w:val="18"/>
                <w:szCs w:val="18"/>
              </w:rPr>
              <w:tab/>
            </w:r>
            <w:r w:rsidR="000D42F1">
              <w:rPr>
                <w:rFonts w:ascii="Century Gothic" w:hAnsi="Century Gothic"/>
                <w:color w:val="2E74B5" w:themeColor="accent1" w:themeShade="BF"/>
                <w:sz w:val="18"/>
                <w:szCs w:val="18"/>
              </w:rPr>
              <w:tab/>
            </w:r>
            <w:r w:rsidR="000D42F1">
              <w:rPr>
                <w:rFonts w:ascii="Century Gothic" w:hAnsi="Century Gothic"/>
                <w:color w:val="2E74B5" w:themeColor="accent1" w:themeShade="BF"/>
                <w:sz w:val="18"/>
                <w:szCs w:val="18"/>
              </w:rPr>
              <w:tab/>
            </w:r>
            <w:r w:rsidR="000D42F1">
              <w:rPr>
                <w:rFonts w:ascii="Century Gothic" w:hAnsi="Century Gothic"/>
                <w:color w:val="2E74B5" w:themeColor="accent1" w:themeShade="BF"/>
                <w:sz w:val="18"/>
                <w:szCs w:val="18"/>
              </w:rPr>
              <w:tab/>
            </w:r>
            <w:r w:rsidR="000D42F1">
              <w:rPr>
                <w:rFonts w:ascii="Century Gothic" w:hAnsi="Century Gothic"/>
                <w:color w:val="2E74B5" w:themeColor="accent1" w:themeShade="BF"/>
                <w:sz w:val="18"/>
                <w:szCs w:val="18"/>
              </w:rPr>
              <w:tab/>
            </w:r>
            <w:r w:rsidR="000D42F1" w:rsidRPr="00EE37D0">
              <w:rPr>
                <w:rFonts w:ascii="Century Gothic" w:hAnsi="Century Gothic"/>
                <w:color w:val="000000" w:themeColor="text1"/>
                <w:sz w:val="18"/>
                <w:szCs w:val="18"/>
              </w:rPr>
              <w:t xml:space="preserve">Page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PAGE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1</w:t>
            </w:r>
            <w:r w:rsidR="000D42F1" w:rsidRPr="00EE37D0">
              <w:rPr>
                <w:rFonts w:ascii="Century Gothic" w:hAnsi="Century Gothic"/>
                <w:bCs/>
                <w:color w:val="000000" w:themeColor="text1"/>
                <w:sz w:val="18"/>
                <w:szCs w:val="18"/>
              </w:rPr>
              <w:fldChar w:fldCharType="end"/>
            </w:r>
            <w:r w:rsidR="000D42F1" w:rsidRPr="00EE37D0">
              <w:rPr>
                <w:rFonts w:ascii="Century Gothic" w:hAnsi="Century Gothic"/>
                <w:color w:val="000000" w:themeColor="text1"/>
                <w:sz w:val="18"/>
                <w:szCs w:val="18"/>
              </w:rPr>
              <w:t xml:space="preserve"> of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NUMPAGES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57</w:t>
            </w:r>
            <w:r w:rsidR="000D42F1" w:rsidRPr="00EE37D0">
              <w:rPr>
                <w:rFonts w:ascii="Century Gothic" w:hAnsi="Century Gothic"/>
                <w:bCs/>
                <w:color w:val="000000" w:themeColor="text1"/>
                <w:sz w:val="18"/>
                <w:szCs w:val="18"/>
              </w:rPr>
              <w:fldChar w:fldCharType="end"/>
            </w:r>
          </w:p>
        </w:sdtContent>
      </w:sdt>
    </w:sdtContent>
  </w:sdt>
  <w:p w14:paraId="267CEA5F" w14:textId="77677C61" w:rsidR="000D42F1" w:rsidRDefault="000D42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2E74B5" w:themeColor="accent1" w:themeShade="BF"/>
        <w:sz w:val="18"/>
        <w:szCs w:val="18"/>
      </w:rPr>
      <w:id w:val="-1665008624"/>
      <w:docPartObj>
        <w:docPartGallery w:val="Page Numbers (Bottom of Page)"/>
        <w:docPartUnique/>
      </w:docPartObj>
    </w:sdtPr>
    <w:sdtEndPr>
      <w:rPr>
        <w:color w:val="000000" w:themeColor="text1"/>
      </w:rPr>
    </w:sdtEndPr>
    <w:sdtContent>
      <w:sdt>
        <w:sdtPr>
          <w:rPr>
            <w:rFonts w:ascii="Century Gothic" w:hAnsi="Century Gothic"/>
            <w:color w:val="7F7F7F" w:themeColor="text1" w:themeTint="80"/>
            <w:sz w:val="18"/>
            <w:szCs w:val="18"/>
          </w:rPr>
          <w:id w:val="1533378770"/>
          <w:docPartObj>
            <w:docPartGallery w:val="Page Numbers (Top of Page)"/>
            <w:docPartUnique/>
          </w:docPartObj>
        </w:sdtPr>
        <w:sdtEndPr>
          <w:rPr>
            <w:color w:val="000000" w:themeColor="text1"/>
          </w:rPr>
        </w:sdtEndPr>
        <w:sdtContent>
          <w:p w14:paraId="7AE3A1B9" w14:textId="34112C44" w:rsidR="000D42F1" w:rsidRPr="00EE37D0" w:rsidRDefault="00F306B5" w:rsidP="00262703">
            <w:pPr>
              <w:pStyle w:val="Footer"/>
              <w:tabs>
                <w:tab w:val="clear" w:pos="4513"/>
                <w:tab w:val="clear" w:pos="9026"/>
                <w:tab w:val="right" w:pos="9192"/>
              </w:tabs>
              <w:rPr>
                <w:rFonts w:ascii="Century Gothic" w:hAnsi="Century Gothic"/>
                <w:color w:val="000000" w:themeColor="text1"/>
                <w:sz w:val="18"/>
                <w:szCs w:val="18"/>
              </w:rPr>
            </w:pPr>
            <w:r w:rsidRPr="000534A3">
              <w:rPr>
                <w:noProof/>
              </w:rPr>
              <w:drawing>
                <wp:anchor distT="0" distB="0" distL="114300" distR="114300" simplePos="0" relativeHeight="251667456" behindDoc="1" locked="0" layoutInCell="1" allowOverlap="1" wp14:anchorId="04C7807B" wp14:editId="1B5EBCBE">
                  <wp:simplePos x="0" y="0"/>
                  <wp:positionH relativeFrom="margin">
                    <wp:posOffset>0</wp:posOffset>
                  </wp:positionH>
                  <wp:positionV relativeFrom="paragraph">
                    <wp:posOffset>-114155</wp:posOffset>
                  </wp:positionV>
                  <wp:extent cx="5125865" cy="443850"/>
                  <wp:effectExtent l="0" t="0" r="0" b="0"/>
                  <wp:wrapNone/>
                  <wp:docPr id="1381334337" name="Picture 1381334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34337" name="Picture 138133433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10" t="-1479" r="9069" b="50404"/>
                          <a:stretch/>
                        </pic:blipFill>
                        <pic:spPr bwMode="auto">
                          <a:xfrm>
                            <a:off x="0" y="0"/>
                            <a:ext cx="5125865" cy="44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2F1" w:rsidRPr="00EE37D0">
              <w:rPr>
                <w:rFonts w:ascii="Century Gothic" w:hAnsi="Century Gothic"/>
                <w:color w:val="000000" w:themeColor="text1"/>
                <w:sz w:val="18"/>
                <w:szCs w:val="18"/>
              </w:rPr>
              <w:tab/>
              <w:t xml:space="preserve">Page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PAGE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1</w:t>
            </w:r>
            <w:r w:rsidR="000D42F1" w:rsidRPr="00EE37D0">
              <w:rPr>
                <w:rFonts w:ascii="Century Gothic" w:hAnsi="Century Gothic"/>
                <w:bCs/>
                <w:color w:val="000000" w:themeColor="text1"/>
                <w:sz w:val="18"/>
                <w:szCs w:val="18"/>
              </w:rPr>
              <w:fldChar w:fldCharType="end"/>
            </w:r>
            <w:r w:rsidR="000D42F1" w:rsidRPr="00EE37D0">
              <w:rPr>
                <w:rFonts w:ascii="Century Gothic" w:hAnsi="Century Gothic"/>
                <w:color w:val="000000" w:themeColor="text1"/>
                <w:sz w:val="18"/>
                <w:szCs w:val="18"/>
              </w:rPr>
              <w:t xml:space="preserve"> of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NUMPAGES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57</w:t>
            </w:r>
            <w:r w:rsidR="000D42F1" w:rsidRPr="00EE37D0">
              <w:rPr>
                <w:rFonts w:ascii="Century Gothic" w:hAnsi="Century Gothic"/>
                <w:bCs/>
                <w:color w:val="000000" w:themeColor="text1"/>
                <w:sz w:val="18"/>
                <w:szCs w:val="18"/>
              </w:rPr>
              <w:fldChar w:fldCharType="end"/>
            </w:r>
          </w:p>
        </w:sdtContent>
      </w:sdt>
    </w:sdtContent>
  </w:sdt>
  <w:p w14:paraId="09C041BA" w14:textId="77777777" w:rsidR="000D42F1" w:rsidRDefault="000D42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2E74B5" w:themeColor="accent1" w:themeShade="BF"/>
        <w:sz w:val="18"/>
        <w:szCs w:val="18"/>
      </w:rPr>
      <w:id w:val="-1721442175"/>
      <w:docPartObj>
        <w:docPartGallery w:val="Page Numbers (Bottom of Page)"/>
        <w:docPartUnique/>
      </w:docPartObj>
    </w:sdtPr>
    <w:sdtEndPr>
      <w:rPr>
        <w:color w:val="000000" w:themeColor="text1"/>
      </w:rPr>
    </w:sdtEndPr>
    <w:sdtContent>
      <w:sdt>
        <w:sdtPr>
          <w:rPr>
            <w:rFonts w:ascii="Century Gothic" w:hAnsi="Century Gothic"/>
            <w:color w:val="7F7F7F" w:themeColor="text1" w:themeTint="80"/>
            <w:sz w:val="18"/>
            <w:szCs w:val="18"/>
          </w:rPr>
          <w:id w:val="343289969"/>
          <w:docPartObj>
            <w:docPartGallery w:val="Page Numbers (Top of Page)"/>
            <w:docPartUnique/>
          </w:docPartObj>
        </w:sdtPr>
        <w:sdtEndPr>
          <w:rPr>
            <w:color w:val="000000" w:themeColor="text1"/>
          </w:rPr>
        </w:sdtEndPr>
        <w:sdtContent>
          <w:p w14:paraId="16CFFF8D" w14:textId="595CBF45" w:rsidR="000D42F1" w:rsidRPr="00EE37D0" w:rsidRDefault="00750F4B" w:rsidP="00262703">
            <w:pPr>
              <w:pStyle w:val="Footer"/>
              <w:tabs>
                <w:tab w:val="clear" w:pos="4513"/>
                <w:tab w:val="clear" w:pos="9026"/>
                <w:tab w:val="right" w:pos="9192"/>
              </w:tabs>
              <w:rPr>
                <w:rFonts w:ascii="Century Gothic" w:hAnsi="Century Gothic"/>
                <w:color w:val="000000" w:themeColor="text1"/>
                <w:sz w:val="18"/>
                <w:szCs w:val="18"/>
              </w:rPr>
            </w:pPr>
            <w:r w:rsidRPr="000534A3">
              <w:rPr>
                <w:noProof/>
              </w:rPr>
              <w:drawing>
                <wp:anchor distT="0" distB="0" distL="114300" distR="114300" simplePos="0" relativeHeight="251671552" behindDoc="1" locked="0" layoutInCell="1" allowOverlap="1" wp14:anchorId="5CF222D8" wp14:editId="1C7B9606">
                  <wp:simplePos x="0" y="0"/>
                  <wp:positionH relativeFrom="margin">
                    <wp:align>left</wp:align>
                  </wp:positionH>
                  <wp:positionV relativeFrom="paragraph">
                    <wp:posOffset>-110472</wp:posOffset>
                  </wp:positionV>
                  <wp:extent cx="7795913" cy="443230"/>
                  <wp:effectExtent l="0" t="0" r="0" b="0"/>
                  <wp:wrapNone/>
                  <wp:docPr id="380052162" name="Picture 38005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2162" name="Picture 38005216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10" t="-1479" r="9069" b="50404"/>
                          <a:stretch/>
                        </pic:blipFill>
                        <pic:spPr bwMode="auto">
                          <a:xfrm>
                            <a:off x="0" y="0"/>
                            <a:ext cx="7795913" cy="44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r>
            <w:r w:rsidR="000D42F1" w:rsidRPr="00EE37D0">
              <w:rPr>
                <w:rFonts w:ascii="Century Gothic" w:hAnsi="Century Gothic"/>
                <w:color w:val="000000" w:themeColor="text1"/>
                <w:sz w:val="18"/>
                <w:szCs w:val="18"/>
              </w:rPr>
              <w:tab/>
              <w:t xml:space="preserve">Page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PAGE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1</w:t>
            </w:r>
            <w:r w:rsidR="000D42F1" w:rsidRPr="00EE37D0">
              <w:rPr>
                <w:rFonts w:ascii="Century Gothic" w:hAnsi="Century Gothic"/>
                <w:bCs/>
                <w:color w:val="000000" w:themeColor="text1"/>
                <w:sz w:val="18"/>
                <w:szCs w:val="18"/>
              </w:rPr>
              <w:fldChar w:fldCharType="end"/>
            </w:r>
            <w:r w:rsidR="000D42F1" w:rsidRPr="00EE37D0">
              <w:rPr>
                <w:rFonts w:ascii="Century Gothic" w:hAnsi="Century Gothic"/>
                <w:color w:val="000000" w:themeColor="text1"/>
                <w:sz w:val="18"/>
                <w:szCs w:val="18"/>
              </w:rPr>
              <w:t xml:space="preserve"> of </w:t>
            </w:r>
            <w:r w:rsidR="000D42F1" w:rsidRPr="00EE37D0">
              <w:rPr>
                <w:rFonts w:ascii="Century Gothic" w:hAnsi="Century Gothic"/>
                <w:bCs/>
                <w:color w:val="000000" w:themeColor="text1"/>
                <w:sz w:val="18"/>
                <w:szCs w:val="18"/>
              </w:rPr>
              <w:fldChar w:fldCharType="begin"/>
            </w:r>
            <w:r w:rsidR="000D42F1" w:rsidRPr="00EE37D0">
              <w:rPr>
                <w:rFonts w:ascii="Century Gothic" w:hAnsi="Century Gothic"/>
                <w:bCs/>
                <w:color w:val="000000" w:themeColor="text1"/>
                <w:sz w:val="18"/>
                <w:szCs w:val="18"/>
              </w:rPr>
              <w:instrText xml:space="preserve"> NUMPAGES  </w:instrText>
            </w:r>
            <w:r w:rsidR="000D42F1" w:rsidRPr="00EE37D0">
              <w:rPr>
                <w:rFonts w:ascii="Century Gothic" w:hAnsi="Century Gothic"/>
                <w:bCs/>
                <w:color w:val="000000" w:themeColor="text1"/>
                <w:sz w:val="18"/>
                <w:szCs w:val="18"/>
              </w:rPr>
              <w:fldChar w:fldCharType="separate"/>
            </w:r>
            <w:r w:rsidR="000D42F1" w:rsidRPr="00EE37D0">
              <w:rPr>
                <w:rFonts w:ascii="Century Gothic" w:hAnsi="Century Gothic"/>
                <w:bCs/>
                <w:noProof/>
                <w:color w:val="000000" w:themeColor="text1"/>
                <w:sz w:val="18"/>
                <w:szCs w:val="18"/>
              </w:rPr>
              <w:t>57</w:t>
            </w:r>
            <w:r w:rsidR="000D42F1" w:rsidRPr="00EE37D0">
              <w:rPr>
                <w:rFonts w:ascii="Century Gothic" w:hAnsi="Century Gothic"/>
                <w:bCs/>
                <w:color w:val="000000" w:themeColor="text1"/>
                <w:sz w:val="18"/>
                <w:szCs w:val="18"/>
              </w:rPr>
              <w:fldChar w:fldCharType="end"/>
            </w:r>
          </w:p>
        </w:sdtContent>
      </w:sdt>
    </w:sdtContent>
  </w:sdt>
  <w:p w14:paraId="448B760D" w14:textId="06F3FDD0" w:rsidR="000D42F1" w:rsidRDefault="000D42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2E74B5" w:themeColor="accent1" w:themeShade="BF"/>
        <w:sz w:val="18"/>
        <w:szCs w:val="18"/>
      </w:rPr>
      <w:id w:val="-535579324"/>
      <w:docPartObj>
        <w:docPartGallery w:val="Page Numbers (Bottom of Page)"/>
        <w:docPartUnique/>
      </w:docPartObj>
    </w:sdtPr>
    <w:sdtContent>
      <w:sdt>
        <w:sdtPr>
          <w:rPr>
            <w:rFonts w:ascii="Century Gothic" w:hAnsi="Century Gothic"/>
            <w:color w:val="2E74B5" w:themeColor="accent1" w:themeShade="BF"/>
            <w:sz w:val="18"/>
            <w:szCs w:val="18"/>
          </w:rPr>
          <w:id w:val="1377811494"/>
          <w:docPartObj>
            <w:docPartGallery w:val="Page Numbers (Top of Page)"/>
            <w:docPartUnique/>
          </w:docPartObj>
        </w:sdtPr>
        <w:sdtContent>
          <w:p w14:paraId="36981581" w14:textId="4A35908E" w:rsidR="00FC3708" w:rsidRPr="00A61144" w:rsidRDefault="00750F4B" w:rsidP="00262703">
            <w:pPr>
              <w:pStyle w:val="Footer"/>
              <w:tabs>
                <w:tab w:val="clear" w:pos="4513"/>
                <w:tab w:val="clear" w:pos="9026"/>
                <w:tab w:val="right" w:pos="9192"/>
              </w:tabs>
              <w:rPr>
                <w:rFonts w:ascii="Century Gothic" w:hAnsi="Century Gothic"/>
                <w:color w:val="2E74B5" w:themeColor="accent1" w:themeShade="BF"/>
                <w:sz w:val="18"/>
                <w:szCs w:val="18"/>
              </w:rPr>
            </w:pPr>
            <w:r w:rsidRPr="000534A3">
              <w:rPr>
                <w:noProof/>
              </w:rPr>
              <w:drawing>
                <wp:anchor distT="0" distB="0" distL="114300" distR="114300" simplePos="0" relativeHeight="251669504" behindDoc="1" locked="0" layoutInCell="1" allowOverlap="1" wp14:anchorId="03F780F0" wp14:editId="4C372538">
                  <wp:simplePos x="0" y="0"/>
                  <wp:positionH relativeFrom="margin">
                    <wp:posOffset>-76200</wp:posOffset>
                  </wp:positionH>
                  <wp:positionV relativeFrom="paragraph">
                    <wp:posOffset>-112064</wp:posOffset>
                  </wp:positionV>
                  <wp:extent cx="5125865" cy="443850"/>
                  <wp:effectExtent l="0" t="0" r="0" b="0"/>
                  <wp:wrapNone/>
                  <wp:docPr id="790587455" name="Picture 790587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87455" name="Picture 79058745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10" t="-1479" r="9069" b="50404"/>
                          <a:stretch/>
                        </pic:blipFill>
                        <pic:spPr bwMode="auto">
                          <a:xfrm>
                            <a:off x="0" y="0"/>
                            <a:ext cx="5125865" cy="44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708" w:rsidRPr="00A61144">
              <w:rPr>
                <w:rFonts w:ascii="Century Gothic" w:hAnsi="Century Gothic"/>
                <w:color w:val="2E74B5" w:themeColor="accent1" w:themeShade="BF"/>
                <w:sz w:val="18"/>
                <w:szCs w:val="18"/>
              </w:rPr>
              <w:tab/>
            </w:r>
            <w:r w:rsidR="00FC3708" w:rsidRPr="00EE37D0">
              <w:rPr>
                <w:rFonts w:ascii="Century Gothic" w:hAnsi="Century Gothic"/>
                <w:color w:val="000000" w:themeColor="text1"/>
                <w:sz w:val="18"/>
                <w:szCs w:val="18"/>
              </w:rPr>
              <w:t xml:space="preserve">Page </w:t>
            </w:r>
            <w:r w:rsidR="00FC3708" w:rsidRPr="00EE37D0">
              <w:rPr>
                <w:rFonts w:ascii="Century Gothic" w:hAnsi="Century Gothic"/>
                <w:bCs/>
                <w:color w:val="000000" w:themeColor="text1"/>
                <w:sz w:val="18"/>
                <w:szCs w:val="18"/>
              </w:rPr>
              <w:fldChar w:fldCharType="begin"/>
            </w:r>
            <w:r w:rsidR="00FC3708" w:rsidRPr="00EE37D0">
              <w:rPr>
                <w:rFonts w:ascii="Century Gothic" w:hAnsi="Century Gothic"/>
                <w:bCs/>
                <w:color w:val="000000" w:themeColor="text1"/>
                <w:sz w:val="18"/>
                <w:szCs w:val="18"/>
              </w:rPr>
              <w:instrText xml:space="preserve"> PAGE </w:instrText>
            </w:r>
            <w:r w:rsidR="00FC3708" w:rsidRPr="00EE37D0">
              <w:rPr>
                <w:rFonts w:ascii="Century Gothic" w:hAnsi="Century Gothic"/>
                <w:bCs/>
                <w:color w:val="000000" w:themeColor="text1"/>
                <w:sz w:val="18"/>
                <w:szCs w:val="18"/>
              </w:rPr>
              <w:fldChar w:fldCharType="separate"/>
            </w:r>
            <w:r w:rsidR="00FC3708" w:rsidRPr="00EE37D0">
              <w:rPr>
                <w:rFonts w:ascii="Century Gothic" w:hAnsi="Century Gothic"/>
                <w:bCs/>
                <w:noProof/>
                <w:color w:val="000000" w:themeColor="text1"/>
                <w:sz w:val="18"/>
                <w:szCs w:val="18"/>
              </w:rPr>
              <w:t>1</w:t>
            </w:r>
            <w:r w:rsidR="00FC3708" w:rsidRPr="00EE37D0">
              <w:rPr>
                <w:rFonts w:ascii="Century Gothic" w:hAnsi="Century Gothic"/>
                <w:bCs/>
                <w:color w:val="000000" w:themeColor="text1"/>
                <w:sz w:val="18"/>
                <w:szCs w:val="18"/>
              </w:rPr>
              <w:fldChar w:fldCharType="end"/>
            </w:r>
            <w:r w:rsidR="00FC3708" w:rsidRPr="00EE37D0">
              <w:rPr>
                <w:rFonts w:ascii="Century Gothic" w:hAnsi="Century Gothic"/>
                <w:color w:val="000000" w:themeColor="text1"/>
                <w:sz w:val="18"/>
                <w:szCs w:val="18"/>
              </w:rPr>
              <w:t xml:space="preserve"> of </w:t>
            </w:r>
            <w:r w:rsidR="00FC3708" w:rsidRPr="00EE37D0">
              <w:rPr>
                <w:rFonts w:ascii="Century Gothic" w:hAnsi="Century Gothic"/>
                <w:bCs/>
                <w:color w:val="000000" w:themeColor="text1"/>
                <w:sz w:val="18"/>
                <w:szCs w:val="18"/>
              </w:rPr>
              <w:fldChar w:fldCharType="begin"/>
            </w:r>
            <w:r w:rsidR="00FC3708" w:rsidRPr="00EE37D0">
              <w:rPr>
                <w:rFonts w:ascii="Century Gothic" w:hAnsi="Century Gothic"/>
                <w:bCs/>
                <w:color w:val="000000" w:themeColor="text1"/>
                <w:sz w:val="18"/>
                <w:szCs w:val="18"/>
              </w:rPr>
              <w:instrText xml:space="preserve"> NUMPAGES  </w:instrText>
            </w:r>
            <w:r w:rsidR="00FC3708" w:rsidRPr="00EE37D0">
              <w:rPr>
                <w:rFonts w:ascii="Century Gothic" w:hAnsi="Century Gothic"/>
                <w:bCs/>
                <w:color w:val="000000" w:themeColor="text1"/>
                <w:sz w:val="18"/>
                <w:szCs w:val="18"/>
              </w:rPr>
              <w:fldChar w:fldCharType="separate"/>
            </w:r>
            <w:r w:rsidR="00FC3708" w:rsidRPr="00EE37D0">
              <w:rPr>
                <w:rFonts w:ascii="Century Gothic" w:hAnsi="Century Gothic"/>
                <w:bCs/>
                <w:noProof/>
                <w:color w:val="000000" w:themeColor="text1"/>
                <w:sz w:val="18"/>
                <w:szCs w:val="18"/>
              </w:rPr>
              <w:t>57</w:t>
            </w:r>
            <w:r w:rsidR="00FC3708" w:rsidRPr="00EE37D0">
              <w:rPr>
                <w:rFonts w:ascii="Century Gothic" w:hAnsi="Century Gothic"/>
                <w:bCs/>
                <w:color w:val="000000" w:themeColor="text1"/>
                <w:sz w:val="18"/>
                <w:szCs w:val="18"/>
              </w:rPr>
              <w:fldChar w:fldCharType="end"/>
            </w:r>
          </w:p>
        </w:sdtContent>
      </w:sdt>
    </w:sdtContent>
  </w:sdt>
  <w:p w14:paraId="037DB867" w14:textId="77777777" w:rsidR="00FC3708" w:rsidRDefault="00FC3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7AC4F" w14:textId="77777777" w:rsidR="000414C7" w:rsidRDefault="000414C7" w:rsidP="003C5A8C">
      <w:pPr>
        <w:spacing w:after="0" w:line="240" w:lineRule="auto"/>
      </w:pPr>
      <w:r>
        <w:separator/>
      </w:r>
    </w:p>
  </w:footnote>
  <w:footnote w:type="continuationSeparator" w:id="0">
    <w:p w14:paraId="3A385578" w14:textId="77777777" w:rsidR="000414C7" w:rsidRDefault="000414C7" w:rsidP="003C5A8C">
      <w:pPr>
        <w:spacing w:after="0" w:line="240" w:lineRule="auto"/>
      </w:pPr>
      <w:r>
        <w:continuationSeparator/>
      </w:r>
    </w:p>
  </w:footnote>
  <w:footnote w:type="continuationNotice" w:id="1">
    <w:p w14:paraId="3F55443B" w14:textId="77777777" w:rsidR="000414C7" w:rsidRDefault="000414C7">
      <w:pPr>
        <w:spacing w:after="0" w:line="240" w:lineRule="auto"/>
      </w:pPr>
    </w:p>
  </w:footnote>
  <w:footnote w:id="2">
    <w:p w14:paraId="607151A0" w14:textId="412BC5FD" w:rsidR="000D42F1" w:rsidRPr="000A4860" w:rsidRDefault="000D42F1" w:rsidP="000D42F1">
      <w:pPr>
        <w:pStyle w:val="FootnoteText"/>
        <w:rPr>
          <w:lang w:val="en-US"/>
        </w:rPr>
      </w:pPr>
      <w:r>
        <w:rPr>
          <w:rStyle w:val="FootnoteReference"/>
        </w:rPr>
        <w:footnoteRef/>
      </w:r>
      <w:r w:rsidR="000A4860">
        <w:t xml:space="preserve"> FTE figures for other government bodies reflect only employees active (paid) in the final March 2023</w:t>
      </w:r>
      <w:r w:rsidR="000A4860">
        <w:br/>
        <w:t>pay period.</w:t>
      </w:r>
    </w:p>
  </w:footnote>
  <w:footnote w:id="3">
    <w:p w14:paraId="67114A79" w14:textId="47017EEC" w:rsidR="00BC7D87" w:rsidRPr="00BC7D87" w:rsidRDefault="00BC7D87">
      <w:pPr>
        <w:pStyle w:val="FootnoteText"/>
        <w:rPr>
          <w:lang w:val="en-US"/>
        </w:rPr>
      </w:pPr>
      <w:r>
        <w:rPr>
          <w:rStyle w:val="FootnoteReference"/>
        </w:rPr>
        <w:footnoteRef/>
      </w:r>
      <w:r>
        <w:t xml:space="preserve"> WA Health portfolio comprises Department of Health and health service providers.</w:t>
      </w:r>
    </w:p>
  </w:footnote>
  <w:footnote w:id="4">
    <w:p w14:paraId="14D23E16" w14:textId="77777777" w:rsidR="000D42F1" w:rsidRDefault="000D42F1" w:rsidP="000D42F1">
      <w:pPr>
        <w:pStyle w:val="FootnoteText"/>
      </w:pPr>
      <w:r>
        <w:rPr>
          <w:rStyle w:val="FootnoteReference"/>
          <w:rFonts w:eastAsiaTheme="majorEastAsia"/>
        </w:rPr>
        <w:footnoteRef/>
      </w:r>
      <w:r>
        <w:t xml:space="preserve"> Retrospective changes applied in RAMS (for example, re-posting an advertisement) can lead to changes in advertisement counts each financial year. Data reported is correct at extraction date.</w:t>
      </w:r>
    </w:p>
  </w:footnote>
  <w:footnote w:id="5">
    <w:p w14:paraId="60A48611" w14:textId="77777777" w:rsidR="000D42F1" w:rsidRDefault="000D42F1" w:rsidP="000D42F1">
      <w:pPr>
        <w:pStyle w:val="FootnoteText"/>
      </w:pPr>
      <w:r>
        <w:rPr>
          <w:rStyle w:val="FootnoteReference"/>
          <w:rFonts w:eastAsiaTheme="majorEastAsia"/>
        </w:rPr>
        <w:footnoteRef/>
      </w:r>
      <w:r>
        <w:t xml:space="preserve"> Includes </w:t>
      </w:r>
      <w:r w:rsidRPr="001C34F4">
        <w:t>advertisements created for separate jobs boards such as Aboriginal Services Jobs Board</w:t>
      </w:r>
      <w:r>
        <w:t xml:space="preserve"> </w:t>
      </w:r>
      <w:r w:rsidRPr="001C34F4">
        <w:t>and OnBoard WA; advertisements can be created by government and private sector employers.</w:t>
      </w:r>
    </w:p>
  </w:footnote>
  <w:footnote w:id="6">
    <w:p w14:paraId="22B81D3C" w14:textId="6496CC3D" w:rsidR="000D42F1" w:rsidRPr="007541E1" w:rsidRDefault="000D42F1" w:rsidP="000D42F1">
      <w:pPr>
        <w:pStyle w:val="FootnoteText"/>
        <w:rPr>
          <w:lang w:val="en-US"/>
        </w:rPr>
      </w:pPr>
      <w:r>
        <w:rPr>
          <w:rStyle w:val="FootnoteReference"/>
        </w:rPr>
        <w:footnoteRef/>
      </w:r>
      <w:r>
        <w:t xml:space="preserve"> </w:t>
      </w:r>
      <w:r>
        <w:rPr>
          <w:lang w:val="en-US"/>
        </w:rPr>
        <w:t>Refer to State of the WA Government Sector Workforce 2021-22.</w:t>
      </w:r>
    </w:p>
  </w:footnote>
  <w:footnote w:id="7">
    <w:p w14:paraId="0C463F39" w14:textId="77777777" w:rsidR="000D42F1" w:rsidRPr="00B15562" w:rsidRDefault="000D42F1" w:rsidP="000D42F1">
      <w:pPr>
        <w:pStyle w:val="FootnoteText"/>
        <w:rPr>
          <w:lang w:val="en-US"/>
        </w:rPr>
      </w:pPr>
      <w:r>
        <w:rPr>
          <w:rStyle w:val="FootnoteReference"/>
        </w:rPr>
        <w:footnoteRef/>
      </w:r>
      <w:r>
        <w:t xml:space="preserve"> Employees mapped to salary bands relevant to reported time periods.</w:t>
      </w:r>
    </w:p>
  </w:footnote>
  <w:footnote w:id="8">
    <w:p w14:paraId="7DF41890" w14:textId="5CA35751" w:rsidR="000D42F1" w:rsidRDefault="000D42F1" w:rsidP="000D42F1">
      <w:pPr>
        <w:pStyle w:val="FootnoteText"/>
      </w:pPr>
      <w:r>
        <w:rPr>
          <w:rStyle w:val="FootnoteReference"/>
        </w:rPr>
        <w:footnoteRef/>
      </w:r>
      <w:r>
        <w:t xml:space="preserve"> Public sector employees are engaged under a variety of industrial awards and agreements. These are subject to their own reviews and updates over time. This means changes in salary levels under the PSCSAA do not always align with changes under other awards and agreements. This leads to a shift in relative salary mapping. This is particularly prevalent at Level</w:t>
      </w:r>
      <w:r w:rsidR="002E41BB">
        <w:t>s</w:t>
      </w:r>
      <w:r>
        <w:t xml:space="preserve"> 4 and 5 equivalent and when it </w:t>
      </w:r>
      <w:r w:rsidR="002E41BB">
        <w:t>a</w:t>
      </w:r>
      <w:r>
        <w:t>ffects health and education occupations given the size of those groups.</w:t>
      </w:r>
    </w:p>
    <w:p w14:paraId="185F489F" w14:textId="77777777" w:rsidR="000D42F1" w:rsidRDefault="000D42F1" w:rsidP="000D42F1">
      <w:pPr>
        <w:pStyle w:val="FootnoteText"/>
      </w:pPr>
    </w:p>
  </w:footnote>
  <w:footnote w:id="9">
    <w:p w14:paraId="1A71BC6D" w14:textId="77777777" w:rsidR="000D42F1" w:rsidRPr="00501424" w:rsidRDefault="000D42F1" w:rsidP="000D42F1">
      <w:pPr>
        <w:pStyle w:val="FootnoteText"/>
        <w:rPr>
          <w:lang w:val="en-US"/>
        </w:rPr>
      </w:pPr>
      <w:r>
        <w:rPr>
          <w:rStyle w:val="FootnoteReference"/>
        </w:rPr>
        <w:footnoteRef/>
      </w:r>
      <w:r>
        <w:t xml:space="preserve"> These employees have different leave entitlements related to the school year</w:t>
      </w:r>
      <w:r w:rsidRPr="00501424">
        <w:t>.</w:t>
      </w:r>
    </w:p>
  </w:footnote>
  <w:footnote w:id="10">
    <w:p w14:paraId="2359B65A" w14:textId="77777777" w:rsidR="000D42F1" w:rsidRDefault="000D42F1" w:rsidP="000D42F1">
      <w:pPr>
        <w:pStyle w:val="FootnoteText"/>
      </w:pPr>
      <w:r>
        <w:rPr>
          <w:rStyle w:val="FootnoteReference"/>
        </w:rPr>
        <w:footnoteRef/>
      </w:r>
      <w:r>
        <w:t xml:space="preserve"> </w:t>
      </w:r>
      <w:r w:rsidRPr="00E87C9E">
        <w:rPr>
          <w:rStyle w:val="cf01"/>
          <w:rFonts w:ascii="Arial" w:eastAsiaTheme="majorEastAsia" w:hAnsi="Arial" w:cs="Arial"/>
        </w:rPr>
        <w:t>Diversity data reflects revised 2019 data, informed by historic information provided by one public university</w:t>
      </w:r>
      <w:r w:rsidRPr="00E87C9E">
        <w:rPr>
          <w:rStyle w:val="cf01"/>
          <w:rFonts w:ascii="Arial" w:eastAsiaTheme="majorEastAsia" w:hAnsi="Arial" w:cs="Arial"/>
        </w:rPr>
        <w:br/>
        <w:t>in 2021.</w:t>
      </w:r>
    </w:p>
  </w:footnote>
  <w:footnote w:id="11">
    <w:p w14:paraId="43B56D7E" w14:textId="77777777" w:rsidR="000D42F1" w:rsidRDefault="000D42F1" w:rsidP="000D42F1">
      <w:pPr>
        <w:pStyle w:val="FootnoteText"/>
      </w:pPr>
      <w:r>
        <w:rPr>
          <w:rStyle w:val="FootnoteReference"/>
        </w:rPr>
        <w:footnoteRef/>
      </w:r>
      <w:r>
        <w:t xml:space="preserve"> Data for other government entities includes casual employees paid at any time during the preceding year. </w:t>
      </w:r>
      <w:r w:rsidRPr="00687A8F">
        <w:t>This</w:t>
      </w:r>
      <w:r>
        <w:t xml:space="preserve"> may have the effect of inflating youth representation compared to the public sector where point in time data captures only employees current at the pay period.</w:t>
      </w:r>
    </w:p>
  </w:footnote>
  <w:footnote w:id="12">
    <w:p w14:paraId="081F816F" w14:textId="13190666" w:rsidR="000D42F1" w:rsidRPr="005F668D" w:rsidRDefault="000D42F1">
      <w:pPr>
        <w:pStyle w:val="FootnoteText"/>
        <w:rPr>
          <w:lang w:val="en-US"/>
        </w:rPr>
      </w:pPr>
      <w:r>
        <w:rPr>
          <w:rStyle w:val="FootnoteReference"/>
        </w:rPr>
        <w:footnoteRef/>
      </w:r>
      <w:r>
        <w:t xml:space="preserve"> </w:t>
      </w:r>
      <w:r w:rsidRPr="005F668D">
        <w:t xml:space="preserve">In 2021-22, an additional 252 matters were received by the </w:t>
      </w:r>
      <w:r>
        <w:t xml:space="preserve">Public Sector </w:t>
      </w:r>
      <w:r w:rsidRPr="005F668D">
        <w:t xml:space="preserve">Commission relating to some public sector agencies reporting non-compliance with the COVID-19 mandatory vaccination requirements as minor misconduct. On 20 December 2021 agencies were advised they were not required to notify the Public Sector Commissioner of minor misconduct under the CCM Act for public officers who did not comply with a lawful instruction from their employer with respect to mandatory vaccination. However, disobeying or disregarding a lawful order is a breach of discipline under the </w:t>
      </w:r>
      <w:r w:rsidRPr="00D361C1">
        <w:rPr>
          <w:i/>
          <w:iCs/>
        </w:rPr>
        <w:t xml:space="preserve">Public Sector Management Act 1994 </w:t>
      </w:r>
      <w:r w:rsidRPr="005F668D">
        <w:t>and public sector employers can deal with it as a disciplinary matter. To ensure comparabilit</w:t>
      </w:r>
      <w:r>
        <w:t>y</w:t>
      </w:r>
      <w:r w:rsidRPr="005F668D">
        <w:t xml:space="preserve">, data related to minor misconduct </w:t>
      </w:r>
      <w:r>
        <w:t xml:space="preserve">in 2021-22 </w:t>
      </w:r>
      <w:r w:rsidRPr="005F668D">
        <w:t>excludes these 252 matters.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73E7" w14:textId="3269BD09" w:rsidR="0037593F" w:rsidRPr="00EE37D0" w:rsidRDefault="008254D5">
    <w:pPr>
      <w:pStyle w:val="Header"/>
      <w:rPr>
        <w:color w:val="000000" w:themeColor="text1"/>
      </w:rPr>
    </w:pPr>
    <w:r w:rsidRPr="00EE37D0">
      <w:rPr>
        <w:rFonts w:eastAsiaTheme="minorHAnsi"/>
        <w:color w:val="000000" w:themeColor="text1"/>
        <w:sz w:val="18"/>
        <w:szCs w:val="18"/>
        <w:lang w:eastAsia="en-US"/>
      </w:rPr>
      <w:t>Public Sector Commission | State of the WA Government Sector Workforce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9727" w14:textId="59E0BC20" w:rsidR="0037593F" w:rsidRDefault="003759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A96E" w14:textId="025F6C8D" w:rsidR="0037593F" w:rsidRDefault="003759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BA28" w14:textId="77777777" w:rsidR="00F306B5" w:rsidRPr="00EE37D0" w:rsidRDefault="00F306B5" w:rsidP="00F306B5">
    <w:pPr>
      <w:pStyle w:val="Header"/>
      <w:rPr>
        <w:color w:val="000000" w:themeColor="text1"/>
      </w:rPr>
    </w:pPr>
    <w:r w:rsidRPr="00EE37D0">
      <w:rPr>
        <w:rFonts w:eastAsiaTheme="minorHAnsi"/>
        <w:color w:val="000000" w:themeColor="text1"/>
        <w:sz w:val="18"/>
        <w:szCs w:val="18"/>
        <w:lang w:eastAsia="en-US"/>
      </w:rPr>
      <w:t>Public Sector Commission | State of the WA Government Sector Workforce 2022-23</w:t>
    </w:r>
  </w:p>
  <w:p w14:paraId="727D9C6D" w14:textId="21D40CCE" w:rsidR="0037593F" w:rsidRDefault="003759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FD9E" w14:textId="1F184D6F" w:rsidR="0037593F" w:rsidRDefault="003759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3781" w14:textId="03E9651C" w:rsidR="0037593F" w:rsidRDefault="003759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7A69" w14:textId="77777777" w:rsidR="00F306B5" w:rsidRPr="00EE37D0" w:rsidRDefault="00F306B5" w:rsidP="00F306B5">
    <w:pPr>
      <w:pStyle w:val="Header"/>
      <w:rPr>
        <w:color w:val="000000" w:themeColor="text1"/>
      </w:rPr>
    </w:pPr>
    <w:r w:rsidRPr="00EE37D0">
      <w:rPr>
        <w:rFonts w:eastAsiaTheme="minorHAnsi"/>
        <w:color w:val="000000" w:themeColor="text1"/>
        <w:sz w:val="18"/>
        <w:szCs w:val="18"/>
        <w:lang w:eastAsia="en-US"/>
      </w:rPr>
      <w:t>Public Sector Commission | State of the WA Government Sector Workforce 2022-23</w:t>
    </w:r>
  </w:p>
  <w:p w14:paraId="322B092B" w14:textId="2BD894DA" w:rsidR="0037593F" w:rsidRDefault="003759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D961" w14:textId="5EFBFB6D" w:rsidR="0037593F" w:rsidRDefault="003759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89E5" w14:textId="775B75D5" w:rsidR="0037593F" w:rsidRDefault="0037593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B482" w14:textId="77777777" w:rsidR="00F306B5" w:rsidRPr="00EE37D0" w:rsidRDefault="00F306B5" w:rsidP="00F306B5">
    <w:pPr>
      <w:pStyle w:val="Header"/>
      <w:rPr>
        <w:color w:val="000000" w:themeColor="text1"/>
      </w:rPr>
    </w:pPr>
    <w:r w:rsidRPr="00EE37D0">
      <w:rPr>
        <w:rFonts w:eastAsiaTheme="minorHAnsi"/>
        <w:color w:val="000000" w:themeColor="text1"/>
        <w:sz w:val="18"/>
        <w:szCs w:val="18"/>
        <w:lang w:eastAsia="en-US"/>
      </w:rPr>
      <w:t>Public Sector Commission | State of the WA Government Sector Workforce 2022-23</w:t>
    </w:r>
  </w:p>
  <w:p w14:paraId="03CA9243" w14:textId="0AC457FB" w:rsidR="0037593F" w:rsidRDefault="003759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2454" w14:textId="2ED33315" w:rsidR="0037593F" w:rsidRDefault="00375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B25A" w14:textId="2FB8B6B2" w:rsidR="0037593F" w:rsidRDefault="0037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C24B" w14:textId="77777777" w:rsidR="00F306B5" w:rsidRPr="00EE37D0" w:rsidRDefault="00F306B5" w:rsidP="00F306B5">
    <w:pPr>
      <w:pStyle w:val="Header"/>
      <w:rPr>
        <w:color w:val="000000" w:themeColor="text1"/>
      </w:rPr>
    </w:pPr>
    <w:r w:rsidRPr="00EE37D0">
      <w:rPr>
        <w:rFonts w:eastAsiaTheme="minorHAnsi"/>
        <w:color w:val="000000" w:themeColor="text1"/>
        <w:sz w:val="18"/>
        <w:szCs w:val="18"/>
        <w:lang w:eastAsia="en-US"/>
      </w:rPr>
      <w:t>Public Sector Commission | State of the WA Government Sector Workforce 2022-23</w:t>
    </w:r>
  </w:p>
  <w:p w14:paraId="4B445A43" w14:textId="5C45A181" w:rsidR="0037593F" w:rsidRDefault="003759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AA0B" w14:textId="77987B22" w:rsidR="0037593F" w:rsidRDefault="003759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7154" w14:textId="39346789" w:rsidR="0037593F" w:rsidRDefault="003759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AE75" w14:textId="77777777" w:rsidR="00F306B5" w:rsidRPr="00EE37D0" w:rsidRDefault="00F306B5" w:rsidP="00F306B5">
    <w:pPr>
      <w:pStyle w:val="Header"/>
      <w:rPr>
        <w:color w:val="000000" w:themeColor="text1"/>
      </w:rPr>
    </w:pPr>
    <w:r w:rsidRPr="00EE37D0">
      <w:rPr>
        <w:rFonts w:eastAsiaTheme="minorHAnsi"/>
        <w:color w:val="000000" w:themeColor="text1"/>
        <w:sz w:val="18"/>
        <w:szCs w:val="18"/>
        <w:lang w:eastAsia="en-US"/>
      </w:rPr>
      <w:t>Public Sector Commission | State of the WA Government Sector Workforce 2022-23</w:t>
    </w:r>
  </w:p>
  <w:p w14:paraId="7C50E81B" w14:textId="2A74B216" w:rsidR="0037593F" w:rsidRDefault="003759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F0A3" w14:textId="7651BFB5" w:rsidR="0037593F" w:rsidRDefault="003759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B104" w14:textId="1D9DF211" w:rsidR="0037593F" w:rsidRDefault="003759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980B" w14:textId="77777777" w:rsidR="00F306B5" w:rsidRPr="00EE37D0" w:rsidRDefault="00F306B5" w:rsidP="00F306B5">
    <w:pPr>
      <w:pStyle w:val="Header"/>
      <w:rPr>
        <w:color w:val="000000" w:themeColor="text1"/>
      </w:rPr>
    </w:pPr>
    <w:r w:rsidRPr="00EE37D0">
      <w:rPr>
        <w:rFonts w:eastAsiaTheme="minorHAnsi"/>
        <w:color w:val="000000" w:themeColor="text1"/>
        <w:sz w:val="18"/>
        <w:szCs w:val="18"/>
        <w:lang w:eastAsia="en-US"/>
      </w:rPr>
      <w:t>Public Sector Commission | State of the WA Government Sector Workforce 2022-23</w:t>
    </w:r>
  </w:p>
  <w:p w14:paraId="65928C23" w14:textId="4F5C32DE" w:rsidR="0037593F" w:rsidRDefault="0037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FAB4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49422F"/>
    <w:multiLevelType w:val="hybridMultilevel"/>
    <w:tmpl w:val="68667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1068CB"/>
    <w:multiLevelType w:val="hybridMultilevel"/>
    <w:tmpl w:val="ECF4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B2DAA"/>
    <w:multiLevelType w:val="hybridMultilevel"/>
    <w:tmpl w:val="8C227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781B48"/>
    <w:multiLevelType w:val="hybridMultilevel"/>
    <w:tmpl w:val="4A981F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ED3509"/>
    <w:multiLevelType w:val="hybridMultilevel"/>
    <w:tmpl w:val="8B48E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270D7"/>
    <w:multiLevelType w:val="hybridMultilevel"/>
    <w:tmpl w:val="56AC9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F2AE3"/>
    <w:multiLevelType w:val="hybridMultilevel"/>
    <w:tmpl w:val="C59CA7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87C7DBB"/>
    <w:multiLevelType w:val="hybridMultilevel"/>
    <w:tmpl w:val="69E2689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A67D3A"/>
    <w:multiLevelType w:val="hybridMultilevel"/>
    <w:tmpl w:val="E6DAC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352075"/>
    <w:multiLevelType w:val="hybridMultilevel"/>
    <w:tmpl w:val="DD56D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B90E0F"/>
    <w:multiLevelType w:val="hybridMultilevel"/>
    <w:tmpl w:val="26AE3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9DAB1D"/>
    <w:multiLevelType w:val="hybridMultilevel"/>
    <w:tmpl w:val="FFFFFFFF"/>
    <w:lvl w:ilvl="0" w:tplc="6F0A4E32">
      <w:start w:val="1"/>
      <w:numFmt w:val="bullet"/>
      <w:lvlText w:val="·"/>
      <w:lvlJc w:val="left"/>
      <w:pPr>
        <w:ind w:left="720" w:hanging="360"/>
      </w:pPr>
      <w:rPr>
        <w:rFonts w:ascii="Symbol" w:hAnsi="Symbol" w:hint="default"/>
      </w:rPr>
    </w:lvl>
    <w:lvl w:ilvl="1" w:tplc="27A2E1B4">
      <w:start w:val="1"/>
      <w:numFmt w:val="bullet"/>
      <w:lvlText w:val="o"/>
      <w:lvlJc w:val="left"/>
      <w:pPr>
        <w:ind w:left="1440" w:hanging="360"/>
      </w:pPr>
      <w:rPr>
        <w:rFonts w:ascii="&quot;Courier New&quot;" w:hAnsi="&quot;Courier New&quot;" w:hint="default"/>
      </w:rPr>
    </w:lvl>
    <w:lvl w:ilvl="2" w:tplc="3CD643A4">
      <w:start w:val="1"/>
      <w:numFmt w:val="bullet"/>
      <w:lvlText w:val=""/>
      <w:lvlJc w:val="left"/>
      <w:pPr>
        <w:ind w:left="2160" w:hanging="360"/>
      </w:pPr>
      <w:rPr>
        <w:rFonts w:ascii="Wingdings" w:hAnsi="Wingdings" w:hint="default"/>
      </w:rPr>
    </w:lvl>
    <w:lvl w:ilvl="3" w:tplc="65E2E52A">
      <w:start w:val="1"/>
      <w:numFmt w:val="bullet"/>
      <w:lvlText w:val=""/>
      <w:lvlJc w:val="left"/>
      <w:pPr>
        <w:ind w:left="2880" w:hanging="360"/>
      </w:pPr>
      <w:rPr>
        <w:rFonts w:ascii="Symbol" w:hAnsi="Symbol" w:hint="default"/>
      </w:rPr>
    </w:lvl>
    <w:lvl w:ilvl="4" w:tplc="311EA5A2">
      <w:start w:val="1"/>
      <w:numFmt w:val="bullet"/>
      <w:lvlText w:val="o"/>
      <w:lvlJc w:val="left"/>
      <w:pPr>
        <w:ind w:left="3600" w:hanging="360"/>
      </w:pPr>
      <w:rPr>
        <w:rFonts w:ascii="Courier New" w:hAnsi="Courier New" w:hint="default"/>
      </w:rPr>
    </w:lvl>
    <w:lvl w:ilvl="5" w:tplc="B3EE494C">
      <w:start w:val="1"/>
      <w:numFmt w:val="bullet"/>
      <w:lvlText w:val=""/>
      <w:lvlJc w:val="left"/>
      <w:pPr>
        <w:ind w:left="4320" w:hanging="360"/>
      </w:pPr>
      <w:rPr>
        <w:rFonts w:ascii="Wingdings" w:hAnsi="Wingdings" w:hint="default"/>
      </w:rPr>
    </w:lvl>
    <w:lvl w:ilvl="6" w:tplc="5C049DEC">
      <w:start w:val="1"/>
      <w:numFmt w:val="bullet"/>
      <w:lvlText w:val=""/>
      <w:lvlJc w:val="left"/>
      <w:pPr>
        <w:ind w:left="5040" w:hanging="360"/>
      </w:pPr>
      <w:rPr>
        <w:rFonts w:ascii="Symbol" w:hAnsi="Symbol" w:hint="default"/>
      </w:rPr>
    </w:lvl>
    <w:lvl w:ilvl="7" w:tplc="07743328">
      <w:start w:val="1"/>
      <w:numFmt w:val="bullet"/>
      <w:lvlText w:val="o"/>
      <w:lvlJc w:val="left"/>
      <w:pPr>
        <w:ind w:left="5760" w:hanging="360"/>
      </w:pPr>
      <w:rPr>
        <w:rFonts w:ascii="Courier New" w:hAnsi="Courier New" w:hint="default"/>
      </w:rPr>
    </w:lvl>
    <w:lvl w:ilvl="8" w:tplc="CCA43C32">
      <w:start w:val="1"/>
      <w:numFmt w:val="bullet"/>
      <w:lvlText w:val=""/>
      <w:lvlJc w:val="left"/>
      <w:pPr>
        <w:ind w:left="6480" w:hanging="360"/>
      </w:pPr>
      <w:rPr>
        <w:rFonts w:ascii="Wingdings" w:hAnsi="Wingdings" w:hint="default"/>
      </w:rPr>
    </w:lvl>
  </w:abstractNum>
  <w:abstractNum w:abstractNumId="13" w15:restartNumberingAfterBreak="0">
    <w:nsid w:val="35F36444"/>
    <w:multiLevelType w:val="hybridMultilevel"/>
    <w:tmpl w:val="A1F603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85648A0"/>
    <w:multiLevelType w:val="hybridMultilevel"/>
    <w:tmpl w:val="AC9C4932"/>
    <w:lvl w:ilvl="0" w:tplc="61E86E9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F1C2C80"/>
    <w:multiLevelType w:val="hybridMultilevel"/>
    <w:tmpl w:val="EBF6F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21A6BE"/>
    <w:multiLevelType w:val="hybridMultilevel"/>
    <w:tmpl w:val="FFFFFFFF"/>
    <w:lvl w:ilvl="0" w:tplc="61E86E92">
      <w:start w:val="1"/>
      <w:numFmt w:val="bullet"/>
      <w:lvlText w:val=""/>
      <w:lvlJc w:val="left"/>
      <w:pPr>
        <w:ind w:left="720" w:hanging="360"/>
      </w:pPr>
      <w:rPr>
        <w:rFonts w:ascii="Symbol" w:hAnsi="Symbol" w:hint="default"/>
      </w:rPr>
    </w:lvl>
    <w:lvl w:ilvl="1" w:tplc="5B0EA578">
      <w:start w:val="1"/>
      <w:numFmt w:val="bullet"/>
      <w:lvlText w:val="o"/>
      <w:lvlJc w:val="left"/>
      <w:pPr>
        <w:ind w:left="1440" w:hanging="360"/>
      </w:pPr>
      <w:rPr>
        <w:rFonts w:ascii="Courier New" w:hAnsi="Courier New" w:hint="default"/>
      </w:rPr>
    </w:lvl>
    <w:lvl w:ilvl="2" w:tplc="5EC4E3FA">
      <w:start w:val="1"/>
      <w:numFmt w:val="bullet"/>
      <w:lvlText w:val=""/>
      <w:lvlJc w:val="left"/>
      <w:pPr>
        <w:ind w:left="2160" w:hanging="360"/>
      </w:pPr>
      <w:rPr>
        <w:rFonts w:ascii="Wingdings" w:hAnsi="Wingdings" w:hint="default"/>
      </w:rPr>
    </w:lvl>
    <w:lvl w:ilvl="3" w:tplc="8EEEAA44">
      <w:start w:val="1"/>
      <w:numFmt w:val="bullet"/>
      <w:lvlText w:val=""/>
      <w:lvlJc w:val="left"/>
      <w:pPr>
        <w:ind w:left="2880" w:hanging="360"/>
      </w:pPr>
      <w:rPr>
        <w:rFonts w:ascii="Symbol" w:hAnsi="Symbol" w:hint="default"/>
      </w:rPr>
    </w:lvl>
    <w:lvl w:ilvl="4" w:tplc="7E88877E">
      <w:start w:val="1"/>
      <w:numFmt w:val="bullet"/>
      <w:lvlText w:val="o"/>
      <w:lvlJc w:val="left"/>
      <w:pPr>
        <w:ind w:left="3600" w:hanging="360"/>
      </w:pPr>
      <w:rPr>
        <w:rFonts w:ascii="Courier New" w:hAnsi="Courier New" w:hint="default"/>
      </w:rPr>
    </w:lvl>
    <w:lvl w:ilvl="5" w:tplc="91DC1D90">
      <w:start w:val="1"/>
      <w:numFmt w:val="bullet"/>
      <w:lvlText w:val=""/>
      <w:lvlJc w:val="left"/>
      <w:pPr>
        <w:ind w:left="4320" w:hanging="360"/>
      </w:pPr>
      <w:rPr>
        <w:rFonts w:ascii="Wingdings" w:hAnsi="Wingdings" w:hint="default"/>
      </w:rPr>
    </w:lvl>
    <w:lvl w:ilvl="6" w:tplc="79E27814">
      <w:start w:val="1"/>
      <w:numFmt w:val="bullet"/>
      <w:lvlText w:val=""/>
      <w:lvlJc w:val="left"/>
      <w:pPr>
        <w:ind w:left="5040" w:hanging="360"/>
      </w:pPr>
      <w:rPr>
        <w:rFonts w:ascii="Symbol" w:hAnsi="Symbol" w:hint="default"/>
      </w:rPr>
    </w:lvl>
    <w:lvl w:ilvl="7" w:tplc="15B05686">
      <w:start w:val="1"/>
      <w:numFmt w:val="bullet"/>
      <w:lvlText w:val="o"/>
      <w:lvlJc w:val="left"/>
      <w:pPr>
        <w:ind w:left="5760" w:hanging="360"/>
      </w:pPr>
      <w:rPr>
        <w:rFonts w:ascii="Courier New" w:hAnsi="Courier New" w:hint="default"/>
      </w:rPr>
    </w:lvl>
    <w:lvl w:ilvl="8" w:tplc="C19E52D2">
      <w:start w:val="1"/>
      <w:numFmt w:val="bullet"/>
      <w:lvlText w:val=""/>
      <w:lvlJc w:val="left"/>
      <w:pPr>
        <w:ind w:left="6480" w:hanging="360"/>
      </w:pPr>
      <w:rPr>
        <w:rFonts w:ascii="Wingdings" w:hAnsi="Wingdings" w:hint="default"/>
      </w:rPr>
    </w:lvl>
  </w:abstractNum>
  <w:abstractNum w:abstractNumId="17" w15:restartNumberingAfterBreak="0">
    <w:nsid w:val="6953AD23"/>
    <w:multiLevelType w:val="hybridMultilevel"/>
    <w:tmpl w:val="FFFFFFFF"/>
    <w:lvl w:ilvl="0" w:tplc="04DCCB2A">
      <w:start w:val="1"/>
      <w:numFmt w:val="bullet"/>
      <w:lvlText w:val=""/>
      <w:lvlJc w:val="left"/>
      <w:pPr>
        <w:ind w:left="720" w:hanging="360"/>
      </w:pPr>
      <w:rPr>
        <w:rFonts w:ascii="Symbol" w:hAnsi="Symbol" w:hint="default"/>
      </w:rPr>
    </w:lvl>
    <w:lvl w:ilvl="1" w:tplc="A5AEA332">
      <w:start w:val="1"/>
      <w:numFmt w:val="bullet"/>
      <w:lvlText w:val="o"/>
      <w:lvlJc w:val="left"/>
      <w:pPr>
        <w:ind w:left="1440" w:hanging="360"/>
      </w:pPr>
      <w:rPr>
        <w:rFonts w:ascii="Courier New" w:hAnsi="Courier New" w:hint="default"/>
      </w:rPr>
    </w:lvl>
    <w:lvl w:ilvl="2" w:tplc="4442FDEC">
      <w:start w:val="1"/>
      <w:numFmt w:val="bullet"/>
      <w:lvlText w:val=""/>
      <w:lvlJc w:val="left"/>
      <w:pPr>
        <w:ind w:left="2160" w:hanging="360"/>
      </w:pPr>
      <w:rPr>
        <w:rFonts w:ascii="Wingdings" w:hAnsi="Wingdings" w:hint="default"/>
      </w:rPr>
    </w:lvl>
    <w:lvl w:ilvl="3" w:tplc="0AACD282">
      <w:start w:val="1"/>
      <w:numFmt w:val="bullet"/>
      <w:lvlText w:val=""/>
      <w:lvlJc w:val="left"/>
      <w:pPr>
        <w:ind w:left="2880" w:hanging="360"/>
      </w:pPr>
      <w:rPr>
        <w:rFonts w:ascii="Symbol" w:hAnsi="Symbol" w:hint="default"/>
      </w:rPr>
    </w:lvl>
    <w:lvl w:ilvl="4" w:tplc="3E70DC1C">
      <w:start w:val="1"/>
      <w:numFmt w:val="bullet"/>
      <w:lvlText w:val="o"/>
      <w:lvlJc w:val="left"/>
      <w:pPr>
        <w:ind w:left="3600" w:hanging="360"/>
      </w:pPr>
      <w:rPr>
        <w:rFonts w:ascii="Courier New" w:hAnsi="Courier New" w:hint="default"/>
      </w:rPr>
    </w:lvl>
    <w:lvl w:ilvl="5" w:tplc="9EF824C6">
      <w:start w:val="1"/>
      <w:numFmt w:val="bullet"/>
      <w:lvlText w:val=""/>
      <w:lvlJc w:val="left"/>
      <w:pPr>
        <w:ind w:left="4320" w:hanging="360"/>
      </w:pPr>
      <w:rPr>
        <w:rFonts w:ascii="Wingdings" w:hAnsi="Wingdings" w:hint="default"/>
      </w:rPr>
    </w:lvl>
    <w:lvl w:ilvl="6" w:tplc="2584C6EA">
      <w:start w:val="1"/>
      <w:numFmt w:val="bullet"/>
      <w:lvlText w:val=""/>
      <w:lvlJc w:val="left"/>
      <w:pPr>
        <w:ind w:left="5040" w:hanging="360"/>
      </w:pPr>
      <w:rPr>
        <w:rFonts w:ascii="Symbol" w:hAnsi="Symbol" w:hint="default"/>
      </w:rPr>
    </w:lvl>
    <w:lvl w:ilvl="7" w:tplc="8E3C2EBE">
      <w:start w:val="1"/>
      <w:numFmt w:val="bullet"/>
      <w:lvlText w:val="o"/>
      <w:lvlJc w:val="left"/>
      <w:pPr>
        <w:ind w:left="5760" w:hanging="360"/>
      </w:pPr>
      <w:rPr>
        <w:rFonts w:ascii="Courier New" w:hAnsi="Courier New" w:hint="default"/>
      </w:rPr>
    </w:lvl>
    <w:lvl w:ilvl="8" w:tplc="B6CC631A">
      <w:start w:val="1"/>
      <w:numFmt w:val="bullet"/>
      <w:lvlText w:val=""/>
      <w:lvlJc w:val="left"/>
      <w:pPr>
        <w:ind w:left="6480" w:hanging="360"/>
      </w:pPr>
      <w:rPr>
        <w:rFonts w:ascii="Wingdings" w:hAnsi="Wingdings" w:hint="default"/>
      </w:rPr>
    </w:lvl>
  </w:abstractNum>
  <w:abstractNum w:abstractNumId="18" w15:restartNumberingAfterBreak="0">
    <w:nsid w:val="6A796A20"/>
    <w:multiLevelType w:val="hybridMultilevel"/>
    <w:tmpl w:val="597A3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4C5BFA"/>
    <w:multiLevelType w:val="hybridMultilevel"/>
    <w:tmpl w:val="BA000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990751"/>
    <w:multiLevelType w:val="hybridMultilevel"/>
    <w:tmpl w:val="AFBC6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E5F472"/>
    <w:multiLevelType w:val="hybridMultilevel"/>
    <w:tmpl w:val="97CAA23A"/>
    <w:lvl w:ilvl="0" w:tplc="3E940A30">
      <w:start w:val="1"/>
      <w:numFmt w:val="bullet"/>
      <w:lvlText w:val=""/>
      <w:lvlJc w:val="left"/>
      <w:pPr>
        <w:ind w:left="720" w:hanging="360"/>
      </w:pPr>
      <w:rPr>
        <w:rFonts w:ascii="Symbol" w:hAnsi="Symbol" w:hint="default"/>
      </w:rPr>
    </w:lvl>
    <w:lvl w:ilvl="1" w:tplc="285252E6">
      <w:start w:val="1"/>
      <w:numFmt w:val="bullet"/>
      <w:lvlText w:val="o"/>
      <w:lvlJc w:val="left"/>
      <w:pPr>
        <w:ind w:left="1440" w:hanging="360"/>
      </w:pPr>
      <w:rPr>
        <w:rFonts w:ascii="Courier New" w:hAnsi="Courier New" w:hint="default"/>
      </w:rPr>
    </w:lvl>
    <w:lvl w:ilvl="2" w:tplc="A7E6CB76">
      <w:start w:val="1"/>
      <w:numFmt w:val="bullet"/>
      <w:lvlText w:val=""/>
      <w:lvlJc w:val="left"/>
      <w:pPr>
        <w:ind w:left="2160" w:hanging="360"/>
      </w:pPr>
      <w:rPr>
        <w:rFonts w:ascii="Wingdings" w:hAnsi="Wingdings" w:hint="default"/>
      </w:rPr>
    </w:lvl>
    <w:lvl w:ilvl="3" w:tplc="E7CAE026">
      <w:start w:val="1"/>
      <w:numFmt w:val="bullet"/>
      <w:lvlText w:val=""/>
      <w:lvlJc w:val="left"/>
      <w:pPr>
        <w:ind w:left="2880" w:hanging="360"/>
      </w:pPr>
      <w:rPr>
        <w:rFonts w:ascii="Symbol" w:hAnsi="Symbol" w:hint="default"/>
      </w:rPr>
    </w:lvl>
    <w:lvl w:ilvl="4" w:tplc="9F0403FA">
      <w:start w:val="1"/>
      <w:numFmt w:val="bullet"/>
      <w:lvlText w:val="o"/>
      <w:lvlJc w:val="left"/>
      <w:pPr>
        <w:ind w:left="3600" w:hanging="360"/>
      </w:pPr>
      <w:rPr>
        <w:rFonts w:ascii="Courier New" w:hAnsi="Courier New" w:hint="default"/>
      </w:rPr>
    </w:lvl>
    <w:lvl w:ilvl="5" w:tplc="E780C776">
      <w:start w:val="1"/>
      <w:numFmt w:val="bullet"/>
      <w:lvlText w:val=""/>
      <w:lvlJc w:val="left"/>
      <w:pPr>
        <w:ind w:left="4320" w:hanging="360"/>
      </w:pPr>
      <w:rPr>
        <w:rFonts w:ascii="Wingdings" w:hAnsi="Wingdings" w:hint="default"/>
      </w:rPr>
    </w:lvl>
    <w:lvl w:ilvl="6" w:tplc="85080C04">
      <w:start w:val="1"/>
      <w:numFmt w:val="bullet"/>
      <w:lvlText w:val=""/>
      <w:lvlJc w:val="left"/>
      <w:pPr>
        <w:ind w:left="5040" w:hanging="360"/>
      </w:pPr>
      <w:rPr>
        <w:rFonts w:ascii="Symbol" w:hAnsi="Symbol" w:hint="default"/>
      </w:rPr>
    </w:lvl>
    <w:lvl w:ilvl="7" w:tplc="6F242378">
      <w:start w:val="1"/>
      <w:numFmt w:val="bullet"/>
      <w:lvlText w:val="o"/>
      <w:lvlJc w:val="left"/>
      <w:pPr>
        <w:ind w:left="5760" w:hanging="360"/>
      </w:pPr>
      <w:rPr>
        <w:rFonts w:ascii="Courier New" w:hAnsi="Courier New" w:hint="default"/>
      </w:rPr>
    </w:lvl>
    <w:lvl w:ilvl="8" w:tplc="01E86366">
      <w:start w:val="1"/>
      <w:numFmt w:val="bullet"/>
      <w:lvlText w:val=""/>
      <w:lvlJc w:val="left"/>
      <w:pPr>
        <w:ind w:left="6480" w:hanging="360"/>
      </w:pPr>
      <w:rPr>
        <w:rFonts w:ascii="Wingdings" w:hAnsi="Wingdings" w:hint="default"/>
      </w:rPr>
    </w:lvl>
  </w:abstractNum>
  <w:abstractNum w:abstractNumId="22" w15:restartNumberingAfterBreak="0">
    <w:nsid w:val="754117E7"/>
    <w:multiLevelType w:val="hybridMultilevel"/>
    <w:tmpl w:val="39749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C6760FB"/>
    <w:multiLevelType w:val="hybridMultilevel"/>
    <w:tmpl w:val="A582E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D9B07E9"/>
    <w:multiLevelType w:val="hybridMultilevel"/>
    <w:tmpl w:val="4C1E6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72334A"/>
    <w:multiLevelType w:val="hybridMultilevel"/>
    <w:tmpl w:val="C380B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1372355">
    <w:abstractNumId w:val="17"/>
  </w:num>
  <w:num w:numId="2" w16cid:durableId="2055737721">
    <w:abstractNumId w:val="5"/>
  </w:num>
  <w:num w:numId="3" w16cid:durableId="2073111535">
    <w:abstractNumId w:val="15"/>
  </w:num>
  <w:num w:numId="4" w16cid:durableId="825902866">
    <w:abstractNumId w:val="19"/>
  </w:num>
  <w:num w:numId="5" w16cid:durableId="878129944">
    <w:abstractNumId w:val="25"/>
  </w:num>
  <w:num w:numId="6" w16cid:durableId="1618442664">
    <w:abstractNumId w:val="24"/>
  </w:num>
  <w:num w:numId="7" w16cid:durableId="1923447759">
    <w:abstractNumId w:val="8"/>
  </w:num>
  <w:num w:numId="8" w16cid:durableId="5325730">
    <w:abstractNumId w:val="10"/>
  </w:num>
  <w:num w:numId="9" w16cid:durableId="1858082095">
    <w:abstractNumId w:val="18"/>
  </w:num>
  <w:num w:numId="10" w16cid:durableId="1540707328">
    <w:abstractNumId w:val="16"/>
  </w:num>
  <w:num w:numId="11" w16cid:durableId="726610512">
    <w:abstractNumId w:val="21"/>
  </w:num>
  <w:num w:numId="12" w16cid:durableId="1202596761">
    <w:abstractNumId w:val="3"/>
  </w:num>
  <w:num w:numId="13" w16cid:durableId="1183016451">
    <w:abstractNumId w:val="12"/>
  </w:num>
  <w:num w:numId="14" w16cid:durableId="1360206947">
    <w:abstractNumId w:val="14"/>
  </w:num>
  <w:num w:numId="15" w16cid:durableId="442069615">
    <w:abstractNumId w:val="20"/>
  </w:num>
  <w:num w:numId="16" w16cid:durableId="1253051028">
    <w:abstractNumId w:val="2"/>
  </w:num>
  <w:num w:numId="17" w16cid:durableId="1983196211">
    <w:abstractNumId w:val="0"/>
  </w:num>
  <w:num w:numId="18" w16cid:durableId="1698657161">
    <w:abstractNumId w:val="6"/>
  </w:num>
  <w:num w:numId="19" w16cid:durableId="248539529">
    <w:abstractNumId w:val="23"/>
  </w:num>
  <w:num w:numId="20" w16cid:durableId="91051206">
    <w:abstractNumId w:val="1"/>
  </w:num>
  <w:num w:numId="21" w16cid:durableId="1590190295">
    <w:abstractNumId w:val="9"/>
  </w:num>
  <w:num w:numId="22" w16cid:durableId="1861818319">
    <w:abstractNumId w:val="22"/>
  </w:num>
  <w:num w:numId="23" w16cid:durableId="470833030">
    <w:abstractNumId w:val="13"/>
  </w:num>
  <w:num w:numId="24" w16cid:durableId="734551847">
    <w:abstractNumId w:val="11"/>
  </w:num>
  <w:num w:numId="25" w16cid:durableId="1309626840">
    <w:abstractNumId w:val="4"/>
  </w:num>
  <w:num w:numId="26" w16cid:durableId="1712075512">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1AC"/>
    <w:rsid w:val="000008BC"/>
    <w:rsid w:val="00000A4F"/>
    <w:rsid w:val="00001CA3"/>
    <w:rsid w:val="000025FE"/>
    <w:rsid w:val="0000276C"/>
    <w:rsid w:val="00003E46"/>
    <w:rsid w:val="0000528C"/>
    <w:rsid w:val="000065B7"/>
    <w:rsid w:val="00006830"/>
    <w:rsid w:val="00006B64"/>
    <w:rsid w:val="00007E59"/>
    <w:rsid w:val="000101F3"/>
    <w:rsid w:val="00010325"/>
    <w:rsid w:val="00010A57"/>
    <w:rsid w:val="0001227A"/>
    <w:rsid w:val="00012702"/>
    <w:rsid w:val="000136EF"/>
    <w:rsid w:val="00013E11"/>
    <w:rsid w:val="00014052"/>
    <w:rsid w:val="000140CF"/>
    <w:rsid w:val="000147DF"/>
    <w:rsid w:val="00014D50"/>
    <w:rsid w:val="00014E2E"/>
    <w:rsid w:val="00015DEC"/>
    <w:rsid w:val="00017F61"/>
    <w:rsid w:val="000200CD"/>
    <w:rsid w:val="0002011A"/>
    <w:rsid w:val="0002079A"/>
    <w:rsid w:val="00023027"/>
    <w:rsid w:val="00023821"/>
    <w:rsid w:val="00024198"/>
    <w:rsid w:val="00024976"/>
    <w:rsid w:val="00024B20"/>
    <w:rsid w:val="00024DAD"/>
    <w:rsid w:val="00024E67"/>
    <w:rsid w:val="00025122"/>
    <w:rsid w:val="00026B15"/>
    <w:rsid w:val="00027941"/>
    <w:rsid w:val="000303DA"/>
    <w:rsid w:val="00030A4C"/>
    <w:rsid w:val="00031439"/>
    <w:rsid w:val="00032076"/>
    <w:rsid w:val="000324F7"/>
    <w:rsid w:val="000325A9"/>
    <w:rsid w:val="00032C3D"/>
    <w:rsid w:val="00033050"/>
    <w:rsid w:val="000333B9"/>
    <w:rsid w:val="00034D72"/>
    <w:rsid w:val="00036140"/>
    <w:rsid w:val="000369BB"/>
    <w:rsid w:val="00037AC4"/>
    <w:rsid w:val="00039E94"/>
    <w:rsid w:val="0004013C"/>
    <w:rsid w:val="00040E3C"/>
    <w:rsid w:val="00041014"/>
    <w:rsid w:val="00041072"/>
    <w:rsid w:val="000414C7"/>
    <w:rsid w:val="0004259C"/>
    <w:rsid w:val="00042867"/>
    <w:rsid w:val="00042B58"/>
    <w:rsid w:val="00042D4C"/>
    <w:rsid w:val="00043167"/>
    <w:rsid w:val="000433AC"/>
    <w:rsid w:val="00043649"/>
    <w:rsid w:val="000437F8"/>
    <w:rsid w:val="00044F79"/>
    <w:rsid w:val="00045018"/>
    <w:rsid w:val="000451AB"/>
    <w:rsid w:val="00045905"/>
    <w:rsid w:val="000478FC"/>
    <w:rsid w:val="00047AAE"/>
    <w:rsid w:val="00047CEA"/>
    <w:rsid w:val="00050262"/>
    <w:rsid w:val="00051DCE"/>
    <w:rsid w:val="00052E10"/>
    <w:rsid w:val="00052EE8"/>
    <w:rsid w:val="00053096"/>
    <w:rsid w:val="000531F2"/>
    <w:rsid w:val="00053DF6"/>
    <w:rsid w:val="00054879"/>
    <w:rsid w:val="00054D6D"/>
    <w:rsid w:val="000562FA"/>
    <w:rsid w:val="000565CD"/>
    <w:rsid w:val="00056A23"/>
    <w:rsid w:val="000579D3"/>
    <w:rsid w:val="00057BD4"/>
    <w:rsid w:val="00057E43"/>
    <w:rsid w:val="000609C9"/>
    <w:rsid w:val="00060E16"/>
    <w:rsid w:val="000614E8"/>
    <w:rsid w:val="000623E2"/>
    <w:rsid w:val="00062C9F"/>
    <w:rsid w:val="00063BBF"/>
    <w:rsid w:val="000643EF"/>
    <w:rsid w:val="000647B3"/>
    <w:rsid w:val="0006499E"/>
    <w:rsid w:val="00064CDB"/>
    <w:rsid w:val="00064D52"/>
    <w:rsid w:val="000657DB"/>
    <w:rsid w:val="000658EA"/>
    <w:rsid w:val="00065CAA"/>
    <w:rsid w:val="00066D88"/>
    <w:rsid w:val="00067B5B"/>
    <w:rsid w:val="00070606"/>
    <w:rsid w:val="00070E0B"/>
    <w:rsid w:val="00070E67"/>
    <w:rsid w:val="00070F27"/>
    <w:rsid w:val="000710D0"/>
    <w:rsid w:val="000721C9"/>
    <w:rsid w:val="0007237B"/>
    <w:rsid w:val="00072456"/>
    <w:rsid w:val="000730C6"/>
    <w:rsid w:val="000748F8"/>
    <w:rsid w:val="00074936"/>
    <w:rsid w:val="00074D72"/>
    <w:rsid w:val="00076BB3"/>
    <w:rsid w:val="00076D87"/>
    <w:rsid w:val="000778D1"/>
    <w:rsid w:val="00077A59"/>
    <w:rsid w:val="00080190"/>
    <w:rsid w:val="00080723"/>
    <w:rsid w:val="00080D55"/>
    <w:rsid w:val="000810DD"/>
    <w:rsid w:val="00081738"/>
    <w:rsid w:val="00081A5E"/>
    <w:rsid w:val="000822A1"/>
    <w:rsid w:val="00082BF9"/>
    <w:rsid w:val="0008550B"/>
    <w:rsid w:val="000865B0"/>
    <w:rsid w:val="000868CD"/>
    <w:rsid w:val="00086DC2"/>
    <w:rsid w:val="00087482"/>
    <w:rsid w:val="0009030A"/>
    <w:rsid w:val="00090ADE"/>
    <w:rsid w:val="00090B2B"/>
    <w:rsid w:val="00091433"/>
    <w:rsid w:val="00091582"/>
    <w:rsid w:val="00091EC9"/>
    <w:rsid w:val="00092266"/>
    <w:rsid w:val="000927A7"/>
    <w:rsid w:val="00092CD8"/>
    <w:rsid w:val="000932BF"/>
    <w:rsid w:val="00093B7A"/>
    <w:rsid w:val="0009460C"/>
    <w:rsid w:val="00094C18"/>
    <w:rsid w:val="00094D3B"/>
    <w:rsid w:val="0009539A"/>
    <w:rsid w:val="000955AE"/>
    <w:rsid w:val="0009564F"/>
    <w:rsid w:val="000962F7"/>
    <w:rsid w:val="000965B2"/>
    <w:rsid w:val="00096C02"/>
    <w:rsid w:val="00096D30"/>
    <w:rsid w:val="000978FB"/>
    <w:rsid w:val="00097CEA"/>
    <w:rsid w:val="00097E08"/>
    <w:rsid w:val="000A141F"/>
    <w:rsid w:val="000A2186"/>
    <w:rsid w:val="000A2610"/>
    <w:rsid w:val="000A3805"/>
    <w:rsid w:val="000A39A8"/>
    <w:rsid w:val="000A3A17"/>
    <w:rsid w:val="000A435E"/>
    <w:rsid w:val="000A482D"/>
    <w:rsid w:val="000A4860"/>
    <w:rsid w:val="000A59AE"/>
    <w:rsid w:val="000A6256"/>
    <w:rsid w:val="000A6F85"/>
    <w:rsid w:val="000A76FF"/>
    <w:rsid w:val="000A77C6"/>
    <w:rsid w:val="000A7A60"/>
    <w:rsid w:val="000B11F8"/>
    <w:rsid w:val="000B1664"/>
    <w:rsid w:val="000B18CE"/>
    <w:rsid w:val="000B3074"/>
    <w:rsid w:val="000B343A"/>
    <w:rsid w:val="000B43C8"/>
    <w:rsid w:val="000B490B"/>
    <w:rsid w:val="000B4BCB"/>
    <w:rsid w:val="000B5388"/>
    <w:rsid w:val="000B6A0C"/>
    <w:rsid w:val="000B790C"/>
    <w:rsid w:val="000C10F1"/>
    <w:rsid w:val="000C16A4"/>
    <w:rsid w:val="000C18B7"/>
    <w:rsid w:val="000C1CDF"/>
    <w:rsid w:val="000C20FD"/>
    <w:rsid w:val="000C2864"/>
    <w:rsid w:val="000C2B9E"/>
    <w:rsid w:val="000C302F"/>
    <w:rsid w:val="000C3432"/>
    <w:rsid w:val="000C3473"/>
    <w:rsid w:val="000C392D"/>
    <w:rsid w:val="000C3B9C"/>
    <w:rsid w:val="000C3D1B"/>
    <w:rsid w:val="000C4159"/>
    <w:rsid w:val="000C47A2"/>
    <w:rsid w:val="000C6023"/>
    <w:rsid w:val="000C6C75"/>
    <w:rsid w:val="000C75D0"/>
    <w:rsid w:val="000C7A1A"/>
    <w:rsid w:val="000CF9DB"/>
    <w:rsid w:val="000D0522"/>
    <w:rsid w:val="000D05DE"/>
    <w:rsid w:val="000D1078"/>
    <w:rsid w:val="000D1D38"/>
    <w:rsid w:val="000D1DD2"/>
    <w:rsid w:val="000D1E7E"/>
    <w:rsid w:val="000D20BB"/>
    <w:rsid w:val="000D240A"/>
    <w:rsid w:val="000D2E3D"/>
    <w:rsid w:val="000D3C06"/>
    <w:rsid w:val="000D42F1"/>
    <w:rsid w:val="000D4AB7"/>
    <w:rsid w:val="000D4E7F"/>
    <w:rsid w:val="000D57E1"/>
    <w:rsid w:val="000D5F27"/>
    <w:rsid w:val="000D66F2"/>
    <w:rsid w:val="000D69BE"/>
    <w:rsid w:val="000D6A0A"/>
    <w:rsid w:val="000D7890"/>
    <w:rsid w:val="000DF9D4"/>
    <w:rsid w:val="000E087D"/>
    <w:rsid w:val="000E160B"/>
    <w:rsid w:val="000E17F5"/>
    <w:rsid w:val="000E1AF2"/>
    <w:rsid w:val="000E2B64"/>
    <w:rsid w:val="000E2E35"/>
    <w:rsid w:val="000E39A2"/>
    <w:rsid w:val="000E3B34"/>
    <w:rsid w:val="000E3F65"/>
    <w:rsid w:val="000E5E7F"/>
    <w:rsid w:val="000E695C"/>
    <w:rsid w:val="000E6BFC"/>
    <w:rsid w:val="000E726B"/>
    <w:rsid w:val="000E7AC7"/>
    <w:rsid w:val="000E7B0F"/>
    <w:rsid w:val="000EF855"/>
    <w:rsid w:val="000F0386"/>
    <w:rsid w:val="000F0C4A"/>
    <w:rsid w:val="000F238F"/>
    <w:rsid w:val="000F2950"/>
    <w:rsid w:val="000F2E19"/>
    <w:rsid w:val="000F2E81"/>
    <w:rsid w:val="000F305A"/>
    <w:rsid w:val="000F3A32"/>
    <w:rsid w:val="000F3AEE"/>
    <w:rsid w:val="000F3DB6"/>
    <w:rsid w:val="000F3E47"/>
    <w:rsid w:val="000F45AA"/>
    <w:rsid w:val="000F4723"/>
    <w:rsid w:val="000F4EA3"/>
    <w:rsid w:val="000F5246"/>
    <w:rsid w:val="000F52BA"/>
    <w:rsid w:val="000F60C7"/>
    <w:rsid w:val="000F63AF"/>
    <w:rsid w:val="000F6AB2"/>
    <w:rsid w:val="000F6AEB"/>
    <w:rsid w:val="000F7292"/>
    <w:rsid w:val="000F73CC"/>
    <w:rsid w:val="000F7A81"/>
    <w:rsid w:val="000F7FEA"/>
    <w:rsid w:val="00100919"/>
    <w:rsid w:val="00100FE8"/>
    <w:rsid w:val="00101711"/>
    <w:rsid w:val="00101BFD"/>
    <w:rsid w:val="00101EE7"/>
    <w:rsid w:val="00102671"/>
    <w:rsid w:val="001032BA"/>
    <w:rsid w:val="00104406"/>
    <w:rsid w:val="0010528E"/>
    <w:rsid w:val="001055A1"/>
    <w:rsid w:val="00105684"/>
    <w:rsid w:val="001058C1"/>
    <w:rsid w:val="00105982"/>
    <w:rsid w:val="00106232"/>
    <w:rsid w:val="0010674B"/>
    <w:rsid w:val="00106E0E"/>
    <w:rsid w:val="00107626"/>
    <w:rsid w:val="0010786B"/>
    <w:rsid w:val="00110D3A"/>
    <w:rsid w:val="00110E73"/>
    <w:rsid w:val="001112C2"/>
    <w:rsid w:val="001114B6"/>
    <w:rsid w:val="001114C8"/>
    <w:rsid w:val="00111A2A"/>
    <w:rsid w:val="00111DBC"/>
    <w:rsid w:val="00111E64"/>
    <w:rsid w:val="0011213F"/>
    <w:rsid w:val="00113145"/>
    <w:rsid w:val="001137BD"/>
    <w:rsid w:val="00113C41"/>
    <w:rsid w:val="00114445"/>
    <w:rsid w:val="001154E1"/>
    <w:rsid w:val="00115E83"/>
    <w:rsid w:val="00115FBD"/>
    <w:rsid w:val="001164EB"/>
    <w:rsid w:val="00116679"/>
    <w:rsid w:val="00117DC2"/>
    <w:rsid w:val="00120794"/>
    <w:rsid w:val="00120BD1"/>
    <w:rsid w:val="00121288"/>
    <w:rsid w:val="0012228C"/>
    <w:rsid w:val="00122645"/>
    <w:rsid w:val="00122D12"/>
    <w:rsid w:val="0012396F"/>
    <w:rsid w:val="00123F84"/>
    <w:rsid w:val="0012444E"/>
    <w:rsid w:val="0012449E"/>
    <w:rsid w:val="0012475E"/>
    <w:rsid w:val="00124BFF"/>
    <w:rsid w:val="00124EBF"/>
    <w:rsid w:val="001267A6"/>
    <w:rsid w:val="00127A89"/>
    <w:rsid w:val="00127B30"/>
    <w:rsid w:val="00127C3C"/>
    <w:rsid w:val="00130146"/>
    <w:rsid w:val="001302C7"/>
    <w:rsid w:val="00130647"/>
    <w:rsid w:val="00130CA0"/>
    <w:rsid w:val="0013109C"/>
    <w:rsid w:val="00131349"/>
    <w:rsid w:val="0013247C"/>
    <w:rsid w:val="001324BC"/>
    <w:rsid w:val="001328A9"/>
    <w:rsid w:val="001328DA"/>
    <w:rsid w:val="001329E6"/>
    <w:rsid w:val="0013388C"/>
    <w:rsid w:val="00133B0D"/>
    <w:rsid w:val="00135287"/>
    <w:rsid w:val="001352EF"/>
    <w:rsid w:val="00135E10"/>
    <w:rsid w:val="00136997"/>
    <w:rsid w:val="00137370"/>
    <w:rsid w:val="001378A6"/>
    <w:rsid w:val="00140700"/>
    <w:rsid w:val="00140AC0"/>
    <w:rsid w:val="001411BF"/>
    <w:rsid w:val="00141259"/>
    <w:rsid w:val="00141B89"/>
    <w:rsid w:val="00142ABC"/>
    <w:rsid w:val="00143125"/>
    <w:rsid w:val="00143145"/>
    <w:rsid w:val="001440FD"/>
    <w:rsid w:val="001447AF"/>
    <w:rsid w:val="00145013"/>
    <w:rsid w:val="00146190"/>
    <w:rsid w:val="0014674D"/>
    <w:rsid w:val="00146B6E"/>
    <w:rsid w:val="00147368"/>
    <w:rsid w:val="00147982"/>
    <w:rsid w:val="0015028B"/>
    <w:rsid w:val="001503B3"/>
    <w:rsid w:val="001514A4"/>
    <w:rsid w:val="00151955"/>
    <w:rsid w:val="001521E6"/>
    <w:rsid w:val="0015278A"/>
    <w:rsid w:val="00152D6B"/>
    <w:rsid w:val="00153189"/>
    <w:rsid w:val="0015383D"/>
    <w:rsid w:val="0015393A"/>
    <w:rsid w:val="00154FF3"/>
    <w:rsid w:val="001556BB"/>
    <w:rsid w:val="001565F9"/>
    <w:rsid w:val="001568DE"/>
    <w:rsid w:val="00157617"/>
    <w:rsid w:val="00157C2B"/>
    <w:rsid w:val="00157D19"/>
    <w:rsid w:val="00160C58"/>
    <w:rsid w:val="00160CAC"/>
    <w:rsid w:val="00160EF3"/>
    <w:rsid w:val="00161899"/>
    <w:rsid w:val="00161C9E"/>
    <w:rsid w:val="00162382"/>
    <w:rsid w:val="00162418"/>
    <w:rsid w:val="00162D0B"/>
    <w:rsid w:val="00162FB3"/>
    <w:rsid w:val="00164227"/>
    <w:rsid w:val="00165065"/>
    <w:rsid w:val="00165C81"/>
    <w:rsid w:val="00165F06"/>
    <w:rsid w:val="00166FA8"/>
    <w:rsid w:val="00167110"/>
    <w:rsid w:val="00170486"/>
    <w:rsid w:val="001706E7"/>
    <w:rsid w:val="00170CB2"/>
    <w:rsid w:val="00170E9D"/>
    <w:rsid w:val="00171CC6"/>
    <w:rsid w:val="0017252A"/>
    <w:rsid w:val="001733CB"/>
    <w:rsid w:val="00173E38"/>
    <w:rsid w:val="00174D7E"/>
    <w:rsid w:val="00174FE4"/>
    <w:rsid w:val="0017532F"/>
    <w:rsid w:val="00175334"/>
    <w:rsid w:val="00175A0A"/>
    <w:rsid w:val="00176AA4"/>
    <w:rsid w:val="001773B9"/>
    <w:rsid w:val="001776DF"/>
    <w:rsid w:val="00180B79"/>
    <w:rsid w:val="0018127B"/>
    <w:rsid w:val="00181CE5"/>
    <w:rsid w:val="00182E41"/>
    <w:rsid w:val="00183EF6"/>
    <w:rsid w:val="001843A3"/>
    <w:rsid w:val="00184DF9"/>
    <w:rsid w:val="001859A6"/>
    <w:rsid w:val="00185BAA"/>
    <w:rsid w:val="001862D0"/>
    <w:rsid w:val="00186589"/>
    <w:rsid w:val="00187047"/>
    <w:rsid w:val="00187080"/>
    <w:rsid w:val="00190844"/>
    <w:rsid w:val="00190909"/>
    <w:rsid w:val="00190915"/>
    <w:rsid w:val="001910B6"/>
    <w:rsid w:val="00191161"/>
    <w:rsid w:val="001912FF"/>
    <w:rsid w:val="00191429"/>
    <w:rsid w:val="00191A0E"/>
    <w:rsid w:val="00191F0E"/>
    <w:rsid w:val="00192B72"/>
    <w:rsid w:val="00192DBE"/>
    <w:rsid w:val="00193350"/>
    <w:rsid w:val="001934E6"/>
    <w:rsid w:val="00194131"/>
    <w:rsid w:val="00194496"/>
    <w:rsid w:val="001954E0"/>
    <w:rsid w:val="001957D6"/>
    <w:rsid w:val="00196679"/>
    <w:rsid w:val="00196B69"/>
    <w:rsid w:val="00197332"/>
    <w:rsid w:val="001979C0"/>
    <w:rsid w:val="001979E7"/>
    <w:rsid w:val="00197C08"/>
    <w:rsid w:val="00197E26"/>
    <w:rsid w:val="001A03B1"/>
    <w:rsid w:val="001A0615"/>
    <w:rsid w:val="001A0CD9"/>
    <w:rsid w:val="001A0DE4"/>
    <w:rsid w:val="001A10AC"/>
    <w:rsid w:val="001A1369"/>
    <w:rsid w:val="001A23B9"/>
    <w:rsid w:val="001A31FE"/>
    <w:rsid w:val="001A32D0"/>
    <w:rsid w:val="001A3745"/>
    <w:rsid w:val="001A3980"/>
    <w:rsid w:val="001A3B02"/>
    <w:rsid w:val="001A41ED"/>
    <w:rsid w:val="001A426C"/>
    <w:rsid w:val="001A43E9"/>
    <w:rsid w:val="001A4527"/>
    <w:rsid w:val="001A4DD5"/>
    <w:rsid w:val="001A5B75"/>
    <w:rsid w:val="001A5F12"/>
    <w:rsid w:val="001A6A7C"/>
    <w:rsid w:val="001A7563"/>
    <w:rsid w:val="001A7D9F"/>
    <w:rsid w:val="001B17AF"/>
    <w:rsid w:val="001B206C"/>
    <w:rsid w:val="001B27B7"/>
    <w:rsid w:val="001B3692"/>
    <w:rsid w:val="001B45DA"/>
    <w:rsid w:val="001B4B2F"/>
    <w:rsid w:val="001B4DE7"/>
    <w:rsid w:val="001B53F3"/>
    <w:rsid w:val="001B5491"/>
    <w:rsid w:val="001B57C9"/>
    <w:rsid w:val="001B5AD8"/>
    <w:rsid w:val="001B64AD"/>
    <w:rsid w:val="001B6DC4"/>
    <w:rsid w:val="001B6ECB"/>
    <w:rsid w:val="001B6ECF"/>
    <w:rsid w:val="001B70D0"/>
    <w:rsid w:val="001B714B"/>
    <w:rsid w:val="001B7533"/>
    <w:rsid w:val="001C08DC"/>
    <w:rsid w:val="001C0B57"/>
    <w:rsid w:val="001C169D"/>
    <w:rsid w:val="001C169F"/>
    <w:rsid w:val="001C2059"/>
    <w:rsid w:val="001C27FF"/>
    <w:rsid w:val="001C2CE0"/>
    <w:rsid w:val="001C3844"/>
    <w:rsid w:val="001C3DCE"/>
    <w:rsid w:val="001C4B9E"/>
    <w:rsid w:val="001C650C"/>
    <w:rsid w:val="001C67F2"/>
    <w:rsid w:val="001C6825"/>
    <w:rsid w:val="001C7515"/>
    <w:rsid w:val="001C7A6B"/>
    <w:rsid w:val="001D0102"/>
    <w:rsid w:val="001D07A5"/>
    <w:rsid w:val="001D11F4"/>
    <w:rsid w:val="001D12C7"/>
    <w:rsid w:val="001D1415"/>
    <w:rsid w:val="001D1D86"/>
    <w:rsid w:val="001D29D7"/>
    <w:rsid w:val="001D2BBD"/>
    <w:rsid w:val="001D2CD5"/>
    <w:rsid w:val="001D3451"/>
    <w:rsid w:val="001D458D"/>
    <w:rsid w:val="001D49E1"/>
    <w:rsid w:val="001D50DC"/>
    <w:rsid w:val="001D5682"/>
    <w:rsid w:val="001D5AF0"/>
    <w:rsid w:val="001D5E9B"/>
    <w:rsid w:val="001D6053"/>
    <w:rsid w:val="001D7232"/>
    <w:rsid w:val="001D726E"/>
    <w:rsid w:val="001D7332"/>
    <w:rsid w:val="001D75EE"/>
    <w:rsid w:val="001E0125"/>
    <w:rsid w:val="001E03BB"/>
    <w:rsid w:val="001E07A7"/>
    <w:rsid w:val="001E09C1"/>
    <w:rsid w:val="001E09CE"/>
    <w:rsid w:val="001E1245"/>
    <w:rsid w:val="001E12AA"/>
    <w:rsid w:val="001E1312"/>
    <w:rsid w:val="001E26FC"/>
    <w:rsid w:val="001E2CCD"/>
    <w:rsid w:val="001E2CD5"/>
    <w:rsid w:val="001E3135"/>
    <w:rsid w:val="001E4315"/>
    <w:rsid w:val="001E468C"/>
    <w:rsid w:val="001E527B"/>
    <w:rsid w:val="001E542C"/>
    <w:rsid w:val="001E623F"/>
    <w:rsid w:val="001E6E0F"/>
    <w:rsid w:val="001E761F"/>
    <w:rsid w:val="001E7851"/>
    <w:rsid w:val="001E7C1D"/>
    <w:rsid w:val="001F03A5"/>
    <w:rsid w:val="001F15B3"/>
    <w:rsid w:val="001F268A"/>
    <w:rsid w:val="001F2B03"/>
    <w:rsid w:val="001F3405"/>
    <w:rsid w:val="001F36DA"/>
    <w:rsid w:val="001F3A51"/>
    <w:rsid w:val="001F3A6E"/>
    <w:rsid w:val="001F3E45"/>
    <w:rsid w:val="001F436A"/>
    <w:rsid w:val="001F4438"/>
    <w:rsid w:val="001F4AF5"/>
    <w:rsid w:val="001F4DEC"/>
    <w:rsid w:val="001F55AD"/>
    <w:rsid w:val="001F639C"/>
    <w:rsid w:val="001F6B1A"/>
    <w:rsid w:val="001F6BBB"/>
    <w:rsid w:val="001F6C0D"/>
    <w:rsid w:val="001F71A1"/>
    <w:rsid w:val="001F7AF7"/>
    <w:rsid w:val="00200C9D"/>
    <w:rsid w:val="00200E69"/>
    <w:rsid w:val="00201F4D"/>
    <w:rsid w:val="0020235A"/>
    <w:rsid w:val="002025E9"/>
    <w:rsid w:val="00202631"/>
    <w:rsid w:val="0020264D"/>
    <w:rsid w:val="00202825"/>
    <w:rsid w:val="002029E2"/>
    <w:rsid w:val="00203605"/>
    <w:rsid w:val="00203D48"/>
    <w:rsid w:val="0020417C"/>
    <w:rsid w:val="00204FB0"/>
    <w:rsid w:val="0020500A"/>
    <w:rsid w:val="00205528"/>
    <w:rsid w:val="002057EB"/>
    <w:rsid w:val="002059C4"/>
    <w:rsid w:val="00206810"/>
    <w:rsid w:val="002072EC"/>
    <w:rsid w:val="00207526"/>
    <w:rsid w:val="00210274"/>
    <w:rsid w:val="00210950"/>
    <w:rsid w:val="0021132F"/>
    <w:rsid w:val="002113E6"/>
    <w:rsid w:val="00212523"/>
    <w:rsid w:val="002125D2"/>
    <w:rsid w:val="00212B8D"/>
    <w:rsid w:val="00212CB6"/>
    <w:rsid w:val="00212DAA"/>
    <w:rsid w:val="002131AF"/>
    <w:rsid w:val="00213589"/>
    <w:rsid w:val="00213DB3"/>
    <w:rsid w:val="00216314"/>
    <w:rsid w:val="00217323"/>
    <w:rsid w:val="002213D1"/>
    <w:rsid w:val="002219B8"/>
    <w:rsid w:val="00221ACA"/>
    <w:rsid w:val="0022242A"/>
    <w:rsid w:val="00222732"/>
    <w:rsid w:val="00222E6A"/>
    <w:rsid w:val="00222F5F"/>
    <w:rsid w:val="0022335A"/>
    <w:rsid w:val="00223A9F"/>
    <w:rsid w:val="00224817"/>
    <w:rsid w:val="0022550F"/>
    <w:rsid w:val="00226095"/>
    <w:rsid w:val="002261C7"/>
    <w:rsid w:val="00226362"/>
    <w:rsid w:val="002263DC"/>
    <w:rsid w:val="002266BB"/>
    <w:rsid w:val="002267FF"/>
    <w:rsid w:val="00226940"/>
    <w:rsid w:val="00226F6B"/>
    <w:rsid w:val="0022726B"/>
    <w:rsid w:val="002273B8"/>
    <w:rsid w:val="002277F1"/>
    <w:rsid w:val="00227829"/>
    <w:rsid w:val="0023006A"/>
    <w:rsid w:val="00230144"/>
    <w:rsid w:val="00230C8A"/>
    <w:rsid w:val="00231523"/>
    <w:rsid w:val="002315E7"/>
    <w:rsid w:val="00231681"/>
    <w:rsid w:val="002317EA"/>
    <w:rsid w:val="00231F75"/>
    <w:rsid w:val="002334AD"/>
    <w:rsid w:val="00233963"/>
    <w:rsid w:val="00233B09"/>
    <w:rsid w:val="0023413B"/>
    <w:rsid w:val="00234FAA"/>
    <w:rsid w:val="002366A5"/>
    <w:rsid w:val="00236912"/>
    <w:rsid w:val="00236934"/>
    <w:rsid w:val="00236B27"/>
    <w:rsid w:val="00236F95"/>
    <w:rsid w:val="00236FA8"/>
    <w:rsid w:val="002374BB"/>
    <w:rsid w:val="002378AC"/>
    <w:rsid w:val="00237B09"/>
    <w:rsid w:val="002405FE"/>
    <w:rsid w:val="00240611"/>
    <w:rsid w:val="00240621"/>
    <w:rsid w:val="00241052"/>
    <w:rsid w:val="002412EA"/>
    <w:rsid w:val="00241568"/>
    <w:rsid w:val="00241AC4"/>
    <w:rsid w:val="0024261F"/>
    <w:rsid w:val="00243924"/>
    <w:rsid w:val="00243AC8"/>
    <w:rsid w:val="002440BF"/>
    <w:rsid w:val="0024411F"/>
    <w:rsid w:val="00244467"/>
    <w:rsid w:val="002448F5"/>
    <w:rsid w:val="00246654"/>
    <w:rsid w:val="0024795A"/>
    <w:rsid w:val="0024EA40"/>
    <w:rsid w:val="0024F9BB"/>
    <w:rsid w:val="00250E27"/>
    <w:rsid w:val="002524E1"/>
    <w:rsid w:val="002529A8"/>
    <w:rsid w:val="00253CEA"/>
    <w:rsid w:val="00253D2A"/>
    <w:rsid w:val="002545BE"/>
    <w:rsid w:val="00254D85"/>
    <w:rsid w:val="002552F7"/>
    <w:rsid w:val="002558A6"/>
    <w:rsid w:val="0025591D"/>
    <w:rsid w:val="0025615F"/>
    <w:rsid w:val="002574F2"/>
    <w:rsid w:val="002603CF"/>
    <w:rsid w:val="00260C1E"/>
    <w:rsid w:val="0026141E"/>
    <w:rsid w:val="00261FD7"/>
    <w:rsid w:val="0026221C"/>
    <w:rsid w:val="0026249A"/>
    <w:rsid w:val="002626DB"/>
    <w:rsid w:val="00262703"/>
    <w:rsid w:val="0026308C"/>
    <w:rsid w:val="00264098"/>
    <w:rsid w:val="00264222"/>
    <w:rsid w:val="0026459A"/>
    <w:rsid w:val="002645B8"/>
    <w:rsid w:val="00264B93"/>
    <w:rsid w:val="00264BB2"/>
    <w:rsid w:val="00264F1E"/>
    <w:rsid w:val="0026571A"/>
    <w:rsid w:val="00265E02"/>
    <w:rsid w:val="00265E3A"/>
    <w:rsid w:val="002663A2"/>
    <w:rsid w:val="00266B5F"/>
    <w:rsid w:val="00266BA8"/>
    <w:rsid w:val="0027000F"/>
    <w:rsid w:val="002704FB"/>
    <w:rsid w:val="00270C09"/>
    <w:rsid w:val="0027161C"/>
    <w:rsid w:val="0027278D"/>
    <w:rsid w:val="00273BD8"/>
    <w:rsid w:val="002748DC"/>
    <w:rsid w:val="00274D91"/>
    <w:rsid w:val="0027652C"/>
    <w:rsid w:val="00277C89"/>
    <w:rsid w:val="0028090B"/>
    <w:rsid w:val="002815EC"/>
    <w:rsid w:val="00281A28"/>
    <w:rsid w:val="00281AA7"/>
    <w:rsid w:val="00282015"/>
    <w:rsid w:val="00282C41"/>
    <w:rsid w:val="00282D1D"/>
    <w:rsid w:val="00283135"/>
    <w:rsid w:val="002833F1"/>
    <w:rsid w:val="00283AD2"/>
    <w:rsid w:val="002853D5"/>
    <w:rsid w:val="002862E1"/>
    <w:rsid w:val="00286859"/>
    <w:rsid w:val="00286A4A"/>
    <w:rsid w:val="00286F55"/>
    <w:rsid w:val="00287619"/>
    <w:rsid w:val="002879B4"/>
    <w:rsid w:val="00287A06"/>
    <w:rsid w:val="002900C4"/>
    <w:rsid w:val="00291500"/>
    <w:rsid w:val="002916AA"/>
    <w:rsid w:val="002917BF"/>
    <w:rsid w:val="00291957"/>
    <w:rsid w:val="00291A68"/>
    <w:rsid w:val="00292035"/>
    <w:rsid w:val="00292935"/>
    <w:rsid w:val="002929CF"/>
    <w:rsid w:val="00292D1F"/>
    <w:rsid w:val="00294959"/>
    <w:rsid w:val="002951A0"/>
    <w:rsid w:val="00296B02"/>
    <w:rsid w:val="00296C7D"/>
    <w:rsid w:val="00296D86"/>
    <w:rsid w:val="0029758F"/>
    <w:rsid w:val="002A0455"/>
    <w:rsid w:val="002A0ACD"/>
    <w:rsid w:val="002A0D43"/>
    <w:rsid w:val="002A1CF3"/>
    <w:rsid w:val="002A1FA5"/>
    <w:rsid w:val="002A24EE"/>
    <w:rsid w:val="002A3365"/>
    <w:rsid w:val="002A34D8"/>
    <w:rsid w:val="002A3BCC"/>
    <w:rsid w:val="002A3FE8"/>
    <w:rsid w:val="002A47F5"/>
    <w:rsid w:val="002A4A67"/>
    <w:rsid w:val="002A5173"/>
    <w:rsid w:val="002A570A"/>
    <w:rsid w:val="002A6DC1"/>
    <w:rsid w:val="002A7977"/>
    <w:rsid w:val="002A7E63"/>
    <w:rsid w:val="002B0353"/>
    <w:rsid w:val="002B08F2"/>
    <w:rsid w:val="002B1305"/>
    <w:rsid w:val="002B1361"/>
    <w:rsid w:val="002B1FDE"/>
    <w:rsid w:val="002B34EE"/>
    <w:rsid w:val="002B40E2"/>
    <w:rsid w:val="002B45A8"/>
    <w:rsid w:val="002B49CB"/>
    <w:rsid w:val="002B4CA4"/>
    <w:rsid w:val="002B5BFF"/>
    <w:rsid w:val="002B6408"/>
    <w:rsid w:val="002C0666"/>
    <w:rsid w:val="002C15C5"/>
    <w:rsid w:val="002C1DBE"/>
    <w:rsid w:val="002C21D2"/>
    <w:rsid w:val="002C2217"/>
    <w:rsid w:val="002C29C8"/>
    <w:rsid w:val="002C30FC"/>
    <w:rsid w:val="002C398F"/>
    <w:rsid w:val="002C49BE"/>
    <w:rsid w:val="002C4AA8"/>
    <w:rsid w:val="002C4B9A"/>
    <w:rsid w:val="002C54B0"/>
    <w:rsid w:val="002C600A"/>
    <w:rsid w:val="002C635B"/>
    <w:rsid w:val="002C7926"/>
    <w:rsid w:val="002D0AAA"/>
    <w:rsid w:val="002D0B2A"/>
    <w:rsid w:val="002D1AAF"/>
    <w:rsid w:val="002D30F8"/>
    <w:rsid w:val="002D3D4A"/>
    <w:rsid w:val="002D51BF"/>
    <w:rsid w:val="002D5993"/>
    <w:rsid w:val="002D5A85"/>
    <w:rsid w:val="002D5EA5"/>
    <w:rsid w:val="002D6412"/>
    <w:rsid w:val="002D65A3"/>
    <w:rsid w:val="002D6722"/>
    <w:rsid w:val="002D6776"/>
    <w:rsid w:val="002D69CC"/>
    <w:rsid w:val="002D6A71"/>
    <w:rsid w:val="002D6ADF"/>
    <w:rsid w:val="002D7455"/>
    <w:rsid w:val="002D75A0"/>
    <w:rsid w:val="002D7991"/>
    <w:rsid w:val="002D7C4F"/>
    <w:rsid w:val="002E02C1"/>
    <w:rsid w:val="002E0349"/>
    <w:rsid w:val="002E0734"/>
    <w:rsid w:val="002E09D6"/>
    <w:rsid w:val="002E196A"/>
    <w:rsid w:val="002E1B0D"/>
    <w:rsid w:val="002E1C86"/>
    <w:rsid w:val="002E1D2C"/>
    <w:rsid w:val="002E2AEE"/>
    <w:rsid w:val="002E38F4"/>
    <w:rsid w:val="002E41BB"/>
    <w:rsid w:val="002E4C72"/>
    <w:rsid w:val="002E5532"/>
    <w:rsid w:val="002E5568"/>
    <w:rsid w:val="002E5875"/>
    <w:rsid w:val="002E6460"/>
    <w:rsid w:val="002E72A3"/>
    <w:rsid w:val="002F0E25"/>
    <w:rsid w:val="002F0F8D"/>
    <w:rsid w:val="002F3147"/>
    <w:rsid w:val="002F55FD"/>
    <w:rsid w:val="002F754D"/>
    <w:rsid w:val="002F75FD"/>
    <w:rsid w:val="002F7C99"/>
    <w:rsid w:val="00300109"/>
    <w:rsid w:val="003003E9"/>
    <w:rsid w:val="00300C6F"/>
    <w:rsid w:val="003026F0"/>
    <w:rsid w:val="0030274D"/>
    <w:rsid w:val="00303181"/>
    <w:rsid w:val="00303271"/>
    <w:rsid w:val="003033CA"/>
    <w:rsid w:val="00303798"/>
    <w:rsid w:val="00304368"/>
    <w:rsid w:val="00304902"/>
    <w:rsid w:val="00304AAA"/>
    <w:rsid w:val="00305839"/>
    <w:rsid w:val="00305A34"/>
    <w:rsid w:val="003061E8"/>
    <w:rsid w:val="003077B7"/>
    <w:rsid w:val="0031006E"/>
    <w:rsid w:val="003111D8"/>
    <w:rsid w:val="00311287"/>
    <w:rsid w:val="003112A4"/>
    <w:rsid w:val="003113EC"/>
    <w:rsid w:val="0031154F"/>
    <w:rsid w:val="003118A1"/>
    <w:rsid w:val="003123C2"/>
    <w:rsid w:val="003123DB"/>
    <w:rsid w:val="00313030"/>
    <w:rsid w:val="00313340"/>
    <w:rsid w:val="00313A09"/>
    <w:rsid w:val="00313C75"/>
    <w:rsid w:val="0031508E"/>
    <w:rsid w:val="00315BA8"/>
    <w:rsid w:val="003160C0"/>
    <w:rsid w:val="00316642"/>
    <w:rsid w:val="003170FD"/>
    <w:rsid w:val="0031716B"/>
    <w:rsid w:val="0031720A"/>
    <w:rsid w:val="003179E0"/>
    <w:rsid w:val="0032046B"/>
    <w:rsid w:val="00320C13"/>
    <w:rsid w:val="00321C5C"/>
    <w:rsid w:val="00323155"/>
    <w:rsid w:val="003231F6"/>
    <w:rsid w:val="003232B2"/>
    <w:rsid w:val="00323D46"/>
    <w:rsid w:val="00323E43"/>
    <w:rsid w:val="00324513"/>
    <w:rsid w:val="003246CD"/>
    <w:rsid w:val="00325460"/>
    <w:rsid w:val="00325B92"/>
    <w:rsid w:val="00325CBA"/>
    <w:rsid w:val="00325EC1"/>
    <w:rsid w:val="00326269"/>
    <w:rsid w:val="003269BB"/>
    <w:rsid w:val="00326BF9"/>
    <w:rsid w:val="00326C5F"/>
    <w:rsid w:val="00326EDA"/>
    <w:rsid w:val="00327D44"/>
    <w:rsid w:val="003300FC"/>
    <w:rsid w:val="003307CA"/>
    <w:rsid w:val="003308D0"/>
    <w:rsid w:val="00331431"/>
    <w:rsid w:val="00331BB1"/>
    <w:rsid w:val="00331FA3"/>
    <w:rsid w:val="00332EE3"/>
    <w:rsid w:val="003341A4"/>
    <w:rsid w:val="00334222"/>
    <w:rsid w:val="003350A8"/>
    <w:rsid w:val="00335193"/>
    <w:rsid w:val="003369A2"/>
    <w:rsid w:val="00336EAB"/>
    <w:rsid w:val="0033718F"/>
    <w:rsid w:val="00337712"/>
    <w:rsid w:val="00340295"/>
    <w:rsid w:val="00340477"/>
    <w:rsid w:val="00340991"/>
    <w:rsid w:val="003416D3"/>
    <w:rsid w:val="0034173D"/>
    <w:rsid w:val="003419C1"/>
    <w:rsid w:val="003424E5"/>
    <w:rsid w:val="00342633"/>
    <w:rsid w:val="003428B3"/>
    <w:rsid w:val="00342FAF"/>
    <w:rsid w:val="0034318F"/>
    <w:rsid w:val="0034320F"/>
    <w:rsid w:val="003434B9"/>
    <w:rsid w:val="00343529"/>
    <w:rsid w:val="00343893"/>
    <w:rsid w:val="00344F53"/>
    <w:rsid w:val="00346016"/>
    <w:rsid w:val="00347017"/>
    <w:rsid w:val="0034751B"/>
    <w:rsid w:val="00347B21"/>
    <w:rsid w:val="00347CB3"/>
    <w:rsid w:val="00347D49"/>
    <w:rsid w:val="00347F19"/>
    <w:rsid w:val="00350E42"/>
    <w:rsid w:val="003514D7"/>
    <w:rsid w:val="003516FF"/>
    <w:rsid w:val="003519C3"/>
    <w:rsid w:val="00351EB7"/>
    <w:rsid w:val="00351F47"/>
    <w:rsid w:val="00351FC0"/>
    <w:rsid w:val="00352035"/>
    <w:rsid w:val="0035305B"/>
    <w:rsid w:val="003546F2"/>
    <w:rsid w:val="00354D87"/>
    <w:rsid w:val="003554D0"/>
    <w:rsid w:val="00355762"/>
    <w:rsid w:val="00355CFA"/>
    <w:rsid w:val="00356204"/>
    <w:rsid w:val="0035630E"/>
    <w:rsid w:val="0035639F"/>
    <w:rsid w:val="003568A8"/>
    <w:rsid w:val="00357451"/>
    <w:rsid w:val="00357665"/>
    <w:rsid w:val="003579B3"/>
    <w:rsid w:val="00357C2F"/>
    <w:rsid w:val="00357E62"/>
    <w:rsid w:val="003607C4"/>
    <w:rsid w:val="00360C8B"/>
    <w:rsid w:val="00360E05"/>
    <w:rsid w:val="0036143B"/>
    <w:rsid w:val="00361903"/>
    <w:rsid w:val="00363533"/>
    <w:rsid w:val="0036545D"/>
    <w:rsid w:val="00365496"/>
    <w:rsid w:val="00365FD1"/>
    <w:rsid w:val="00366243"/>
    <w:rsid w:val="0036660D"/>
    <w:rsid w:val="0036671B"/>
    <w:rsid w:val="00366D35"/>
    <w:rsid w:val="00366D87"/>
    <w:rsid w:val="00367264"/>
    <w:rsid w:val="0036736F"/>
    <w:rsid w:val="00367777"/>
    <w:rsid w:val="00367E1B"/>
    <w:rsid w:val="00371CE9"/>
    <w:rsid w:val="0037242C"/>
    <w:rsid w:val="0037271B"/>
    <w:rsid w:val="003729B0"/>
    <w:rsid w:val="00372FBF"/>
    <w:rsid w:val="003733D6"/>
    <w:rsid w:val="00373E9E"/>
    <w:rsid w:val="0037593F"/>
    <w:rsid w:val="00375CF3"/>
    <w:rsid w:val="00376390"/>
    <w:rsid w:val="00376835"/>
    <w:rsid w:val="003769B4"/>
    <w:rsid w:val="00376DA3"/>
    <w:rsid w:val="003778C2"/>
    <w:rsid w:val="00380B2B"/>
    <w:rsid w:val="0038157C"/>
    <w:rsid w:val="00381A70"/>
    <w:rsid w:val="00383001"/>
    <w:rsid w:val="003836BC"/>
    <w:rsid w:val="00383D7D"/>
    <w:rsid w:val="0038417D"/>
    <w:rsid w:val="0038432A"/>
    <w:rsid w:val="00384844"/>
    <w:rsid w:val="00384B00"/>
    <w:rsid w:val="003851A9"/>
    <w:rsid w:val="0038592B"/>
    <w:rsid w:val="00385970"/>
    <w:rsid w:val="003864E6"/>
    <w:rsid w:val="00386D32"/>
    <w:rsid w:val="00386E3D"/>
    <w:rsid w:val="00386F66"/>
    <w:rsid w:val="00388D5A"/>
    <w:rsid w:val="003903AE"/>
    <w:rsid w:val="003904EE"/>
    <w:rsid w:val="00391490"/>
    <w:rsid w:val="0039150B"/>
    <w:rsid w:val="0039167D"/>
    <w:rsid w:val="00391C7D"/>
    <w:rsid w:val="0039259B"/>
    <w:rsid w:val="00393046"/>
    <w:rsid w:val="00393F72"/>
    <w:rsid w:val="003946DB"/>
    <w:rsid w:val="00394725"/>
    <w:rsid w:val="00394EE9"/>
    <w:rsid w:val="00395F75"/>
    <w:rsid w:val="0039633C"/>
    <w:rsid w:val="0039634E"/>
    <w:rsid w:val="00396A4A"/>
    <w:rsid w:val="0039712A"/>
    <w:rsid w:val="003977EB"/>
    <w:rsid w:val="003A015B"/>
    <w:rsid w:val="003A05A7"/>
    <w:rsid w:val="003A06E2"/>
    <w:rsid w:val="003A09BB"/>
    <w:rsid w:val="003A0DB3"/>
    <w:rsid w:val="003A14B7"/>
    <w:rsid w:val="003A1A45"/>
    <w:rsid w:val="003A2BB9"/>
    <w:rsid w:val="003A3E4F"/>
    <w:rsid w:val="003A446B"/>
    <w:rsid w:val="003A5118"/>
    <w:rsid w:val="003A5529"/>
    <w:rsid w:val="003A5F46"/>
    <w:rsid w:val="003A72DD"/>
    <w:rsid w:val="003A74A4"/>
    <w:rsid w:val="003A7529"/>
    <w:rsid w:val="003A767A"/>
    <w:rsid w:val="003A7C6A"/>
    <w:rsid w:val="003A7D0C"/>
    <w:rsid w:val="003B18F5"/>
    <w:rsid w:val="003B1D01"/>
    <w:rsid w:val="003B296F"/>
    <w:rsid w:val="003B5BF7"/>
    <w:rsid w:val="003B6788"/>
    <w:rsid w:val="003B7369"/>
    <w:rsid w:val="003B7877"/>
    <w:rsid w:val="003B7D10"/>
    <w:rsid w:val="003B7FD3"/>
    <w:rsid w:val="003C15EB"/>
    <w:rsid w:val="003C2E7D"/>
    <w:rsid w:val="003C2FB9"/>
    <w:rsid w:val="003C3077"/>
    <w:rsid w:val="003C30D9"/>
    <w:rsid w:val="003C3983"/>
    <w:rsid w:val="003C4737"/>
    <w:rsid w:val="003C54DC"/>
    <w:rsid w:val="003C5A8C"/>
    <w:rsid w:val="003C6E23"/>
    <w:rsid w:val="003C7054"/>
    <w:rsid w:val="003C7221"/>
    <w:rsid w:val="003C7272"/>
    <w:rsid w:val="003C7BF8"/>
    <w:rsid w:val="003D01B8"/>
    <w:rsid w:val="003D0B31"/>
    <w:rsid w:val="003D227E"/>
    <w:rsid w:val="003D2540"/>
    <w:rsid w:val="003D2FAD"/>
    <w:rsid w:val="003D3009"/>
    <w:rsid w:val="003D30E7"/>
    <w:rsid w:val="003D3909"/>
    <w:rsid w:val="003D3E88"/>
    <w:rsid w:val="003D3E9B"/>
    <w:rsid w:val="003D3EB2"/>
    <w:rsid w:val="003D4D6C"/>
    <w:rsid w:val="003D5504"/>
    <w:rsid w:val="003D5695"/>
    <w:rsid w:val="003D5A39"/>
    <w:rsid w:val="003D5DCB"/>
    <w:rsid w:val="003D5F8F"/>
    <w:rsid w:val="003D6911"/>
    <w:rsid w:val="003D6C5E"/>
    <w:rsid w:val="003D70F7"/>
    <w:rsid w:val="003D77A5"/>
    <w:rsid w:val="003D7E0B"/>
    <w:rsid w:val="003E0F74"/>
    <w:rsid w:val="003E21FB"/>
    <w:rsid w:val="003E2EBF"/>
    <w:rsid w:val="003E313A"/>
    <w:rsid w:val="003E34B8"/>
    <w:rsid w:val="003E3E38"/>
    <w:rsid w:val="003E4551"/>
    <w:rsid w:val="003E5949"/>
    <w:rsid w:val="003E598C"/>
    <w:rsid w:val="003E59B7"/>
    <w:rsid w:val="003E5C4A"/>
    <w:rsid w:val="003E5EFA"/>
    <w:rsid w:val="003E630B"/>
    <w:rsid w:val="003E73AB"/>
    <w:rsid w:val="003E7D99"/>
    <w:rsid w:val="003F041B"/>
    <w:rsid w:val="003F0511"/>
    <w:rsid w:val="003F1298"/>
    <w:rsid w:val="003F1492"/>
    <w:rsid w:val="003F16B4"/>
    <w:rsid w:val="003F1B36"/>
    <w:rsid w:val="003F2590"/>
    <w:rsid w:val="003F294B"/>
    <w:rsid w:val="003F2B56"/>
    <w:rsid w:val="003F2E50"/>
    <w:rsid w:val="003F368C"/>
    <w:rsid w:val="003F4452"/>
    <w:rsid w:val="003F493D"/>
    <w:rsid w:val="003F522D"/>
    <w:rsid w:val="003F53C3"/>
    <w:rsid w:val="003F5D97"/>
    <w:rsid w:val="003F62D5"/>
    <w:rsid w:val="003F6691"/>
    <w:rsid w:val="003F78B0"/>
    <w:rsid w:val="004001E6"/>
    <w:rsid w:val="00400C9A"/>
    <w:rsid w:val="00400D2B"/>
    <w:rsid w:val="00401303"/>
    <w:rsid w:val="004015E2"/>
    <w:rsid w:val="00401670"/>
    <w:rsid w:val="004023D8"/>
    <w:rsid w:val="00402440"/>
    <w:rsid w:val="00402E4D"/>
    <w:rsid w:val="0040365F"/>
    <w:rsid w:val="00403B21"/>
    <w:rsid w:val="00403D6C"/>
    <w:rsid w:val="00404291"/>
    <w:rsid w:val="00404BCC"/>
    <w:rsid w:val="00404DC7"/>
    <w:rsid w:val="00405C70"/>
    <w:rsid w:val="00405F15"/>
    <w:rsid w:val="004063EB"/>
    <w:rsid w:val="004064CF"/>
    <w:rsid w:val="004066EE"/>
    <w:rsid w:val="004069B4"/>
    <w:rsid w:val="00406DBD"/>
    <w:rsid w:val="00407208"/>
    <w:rsid w:val="004074CE"/>
    <w:rsid w:val="00410007"/>
    <w:rsid w:val="00410762"/>
    <w:rsid w:val="004115E7"/>
    <w:rsid w:val="00411673"/>
    <w:rsid w:val="00411FAD"/>
    <w:rsid w:val="00412518"/>
    <w:rsid w:val="00412F41"/>
    <w:rsid w:val="00413011"/>
    <w:rsid w:val="004133D7"/>
    <w:rsid w:val="004135F6"/>
    <w:rsid w:val="00415449"/>
    <w:rsid w:val="0041559A"/>
    <w:rsid w:val="00415BA4"/>
    <w:rsid w:val="00416462"/>
    <w:rsid w:val="004167BC"/>
    <w:rsid w:val="00417209"/>
    <w:rsid w:val="00417452"/>
    <w:rsid w:val="0041757A"/>
    <w:rsid w:val="00417E70"/>
    <w:rsid w:val="00420275"/>
    <w:rsid w:val="00420364"/>
    <w:rsid w:val="0042104C"/>
    <w:rsid w:val="004210F5"/>
    <w:rsid w:val="004219B3"/>
    <w:rsid w:val="0042305D"/>
    <w:rsid w:val="004231FC"/>
    <w:rsid w:val="0042325B"/>
    <w:rsid w:val="004249AA"/>
    <w:rsid w:val="00424C45"/>
    <w:rsid w:val="00425116"/>
    <w:rsid w:val="00425493"/>
    <w:rsid w:val="00425783"/>
    <w:rsid w:val="004266ED"/>
    <w:rsid w:val="00427CF6"/>
    <w:rsid w:val="00427EB9"/>
    <w:rsid w:val="00430DFB"/>
    <w:rsid w:val="004315BA"/>
    <w:rsid w:val="00431ABC"/>
    <w:rsid w:val="00433116"/>
    <w:rsid w:val="004332C5"/>
    <w:rsid w:val="00434214"/>
    <w:rsid w:val="00434652"/>
    <w:rsid w:val="00434F6F"/>
    <w:rsid w:val="00434FAF"/>
    <w:rsid w:val="004351DE"/>
    <w:rsid w:val="00435507"/>
    <w:rsid w:val="00435900"/>
    <w:rsid w:val="0043597F"/>
    <w:rsid w:val="0043663E"/>
    <w:rsid w:val="00436763"/>
    <w:rsid w:val="00437734"/>
    <w:rsid w:val="004377FA"/>
    <w:rsid w:val="0044006A"/>
    <w:rsid w:val="004406B4"/>
    <w:rsid w:val="004412C7"/>
    <w:rsid w:val="00442937"/>
    <w:rsid w:val="004436EF"/>
    <w:rsid w:val="00444DDB"/>
    <w:rsid w:val="004451F6"/>
    <w:rsid w:val="00445AEE"/>
    <w:rsid w:val="004461D8"/>
    <w:rsid w:val="00446328"/>
    <w:rsid w:val="00446D30"/>
    <w:rsid w:val="00446F0D"/>
    <w:rsid w:val="004472C4"/>
    <w:rsid w:val="004473A0"/>
    <w:rsid w:val="004473F0"/>
    <w:rsid w:val="00447F79"/>
    <w:rsid w:val="004508BA"/>
    <w:rsid w:val="004515C6"/>
    <w:rsid w:val="004526CA"/>
    <w:rsid w:val="00452FDE"/>
    <w:rsid w:val="004548C5"/>
    <w:rsid w:val="00455966"/>
    <w:rsid w:val="00456A35"/>
    <w:rsid w:val="004573CE"/>
    <w:rsid w:val="0045788B"/>
    <w:rsid w:val="00457C46"/>
    <w:rsid w:val="004606B9"/>
    <w:rsid w:val="00462251"/>
    <w:rsid w:val="004627A1"/>
    <w:rsid w:val="00462990"/>
    <w:rsid w:val="004635AA"/>
    <w:rsid w:val="00463B13"/>
    <w:rsid w:val="00463F1E"/>
    <w:rsid w:val="00465F0B"/>
    <w:rsid w:val="004660F2"/>
    <w:rsid w:val="00466279"/>
    <w:rsid w:val="004667AE"/>
    <w:rsid w:val="0046797C"/>
    <w:rsid w:val="00467A2E"/>
    <w:rsid w:val="00467ABF"/>
    <w:rsid w:val="00470861"/>
    <w:rsid w:val="004708DA"/>
    <w:rsid w:val="00471D5C"/>
    <w:rsid w:val="00471F78"/>
    <w:rsid w:val="00472514"/>
    <w:rsid w:val="00472659"/>
    <w:rsid w:val="0047309C"/>
    <w:rsid w:val="00473581"/>
    <w:rsid w:val="0047364E"/>
    <w:rsid w:val="00473839"/>
    <w:rsid w:val="00473C13"/>
    <w:rsid w:val="0047441C"/>
    <w:rsid w:val="004746E1"/>
    <w:rsid w:val="00475056"/>
    <w:rsid w:val="00475850"/>
    <w:rsid w:val="00475DDA"/>
    <w:rsid w:val="00475ED6"/>
    <w:rsid w:val="00476ED8"/>
    <w:rsid w:val="00477346"/>
    <w:rsid w:val="00477BDF"/>
    <w:rsid w:val="00477EF4"/>
    <w:rsid w:val="00477F11"/>
    <w:rsid w:val="00481721"/>
    <w:rsid w:val="00481FD3"/>
    <w:rsid w:val="00482BAB"/>
    <w:rsid w:val="00482E7E"/>
    <w:rsid w:val="00483BE4"/>
    <w:rsid w:val="00483F81"/>
    <w:rsid w:val="0048418F"/>
    <w:rsid w:val="004852B2"/>
    <w:rsid w:val="00485742"/>
    <w:rsid w:val="00485EDA"/>
    <w:rsid w:val="0048623E"/>
    <w:rsid w:val="00487358"/>
    <w:rsid w:val="00487E19"/>
    <w:rsid w:val="00490156"/>
    <w:rsid w:val="00490F26"/>
    <w:rsid w:val="0049117E"/>
    <w:rsid w:val="00491EC0"/>
    <w:rsid w:val="0049230B"/>
    <w:rsid w:val="00492E62"/>
    <w:rsid w:val="0049320F"/>
    <w:rsid w:val="00494078"/>
    <w:rsid w:val="004951E2"/>
    <w:rsid w:val="00497148"/>
    <w:rsid w:val="004973DB"/>
    <w:rsid w:val="0049E135"/>
    <w:rsid w:val="004A0662"/>
    <w:rsid w:val="004A0ECA"/>
    <w:rsid w:val="004A1307"/>
    <w:rsid w:val="004A16FE"/>
    <w:rsid w:val="004A1802"/>
    <w:rsid w:val="004A1A8B"/>
    <w:rsid w:val="004A24B5"/>
    <w:rsid w:val="004A28AC"/>
    <w:rsid w:val="004A2C41"/>
    <w:rsid w:val="004A2E72"/>
    <w:rsid w:val="004A2EBF"/>
    <w:rsid w:val="004A3295"/>
    <w:rsid w:val="004A384D"/>
    <w:rsid w:val="004A3E16"/>
    <w:rsid w:val="004A7C3F"/>
    <w:rsid w:val="004A7C9B"/>
    <w:rsid w:val="004A7E0E"/>
    <w:rsid w:val="004AF9A9"/>
    <w:rsid w:val="004B03C6"/>
    <w:rsid w:val="004B09E0"/>
    <w:rsid w:val="004B0EF8"/>
    <w:rsid w:val="004B1BCF"/>
    <w:rsid w:val="004B2324"/>
    <w:rsid w:val="004B3A4A"/>
    <w:rsid w:val="004B410B"/>
    <w:rsid w:val="004B4227"/>
    <w:rsid w:val="004B43A2"/>
    <w:rsid w:val="004B4C89"/>
    <w:rsid w:val="004B4EDF"/>
    <w:rsid w:val="004B4F72"/>
    <w:rsid w:val="004B5D14"/>
    <w:rsid w:val="004B6517"/>
    <w:rsid w:val="004B6524"/>
    <w:rsid w:val="004B6F0D"/>
    <w:rsid w:val="004B71DF"/>
    <w:rsid w:val="004B7357"/>
    <w:rsid w:val="004B7488"/>
    <w:rsid w:val="004B7A03"/>
    <w:rsid w:val="004B7F07"/>
    <w:rsid w:val="004C1CC6"/>
    <w:rsid w:val="004C20CC"/>
    <w:rsid w:val="004C25F5"/>
    <w:rsid w:val="004C29E4"/>
    <w:rsid w:val="004C2A1E"/>
    <w:rsid w:val="004C3434"/>
    <w:rsid w:val="004C396E"/>
    <w:rsid w:val="004C3AFF"/>
    <w:rsid w:val="004C4B0C"/>
    <w:rsid w:val="004C5925"/>
    <w:rsid w:val="004C5A5C"/>
    <w:rsid w:val="004C5F01"/>
    <w:rsid w:val="004C62CE"/>
    <w:rsid w:val="004C63AE"/>
    <w:rsid w:val="004C63E3"/>
    <w:rsid w:val="004C645E"/>
    <w:rsid w:val="004C6578"/>
    <w:rsid w:val="004C67BD"/>
    <w:rsid w:val="004C6B39"/>
    <w:rsid w:val="004C6E7C"/>
    <w:rsid w:val="004C7C7E"/>
    <w:rsid w:val="004C7EE9"/>
    <w:rsid w:val="004D0919"/>
    <w:rsid w:val="004D1E49"/>
    <w:rsid w:val="004D1E9B"/>
    <w:rsid w:val="004D28DA"/>
    <w:rsid w:val="004D2C07"/>
    <w:rsid w:val="004D2CD3"/>
    <w:rsid w:val="004D34E4"/>
    <w:rsid w:val="004D34FC"/>
    <w:rsid w:val="004D351F"/>
    <w:rsid w:val="004D3B95"/>
    <w:rsid w:val="004D3BBA"/>
    <w:rsid w:val="004D3D6E"/>
    <w:rsid w:val="004D3F67"/>
    <w:rsid w:val="004D40A4"/>
    <w:rsid w:val="004D5B6E"/>
    <w:rsid w:val="004D77A1"/>
    <w:rsid w:val="004E0465"/>
    <w:rsid w:val="004E06C6"/>
    <w:rsid w:val="004E06E7"/>
    <w:rsid w:val="004E08D3"/>
    <w:rsid w:val="004E0A23"/>
    <w:rsid w:val="004E0FEF"/>
    <w:rsid w:val="004E1463"/>
    <w:rsid w:val="004E1527"/>
    <w:rsid w:val="004E17F0"/>
    <w:rsid w:val="004E1B8A"/>
    <w:rsid w:val="004E1FD8"/>
    <w:rsid w:val="004E2061"/>
    <w:rsid w:val="004E2385"/>
    <w:rsid w:val="004E23CA"/>
    <w:rsid w:val="004E26FD"/>
    <w:rsid w:val="004E2F5B"/>
    <w:rsid w:val="004E480A"/>
    <w:rsid w:val="004E52BE"/>
    <w:rsid w:val="004E58AE"/>
    <w:rsid w:val="004E67CA"/>
    <w:rsid w:val="004E6D72"/>
    <w:rsid w:val="004E6DBB"/>
    <w:rsid w:val="004E7E32"/>
    <w:rsid w:val="004E7E48"/>
    <w:rsid w:val="004F0840"/>
    <w:rsid w:val="004F0D40"/>
    <w:rsid w:val="004F13BB"/>
    <w:rsid w:val="004F1E25"/>
    <w:rsid w:val="004F1F00"/>
    <w:rsid w:val="004F2256"/>
    <w:rsid w:val="004F261F"/>
    <w:rsid w:val="004F3BEA"/>
    <w:rsid w:val="004F42DE"/>
    <w:rsid w:val="004F49C7"/>
    <w:rsid w:val="004F5278"/>
    <w:rsid w:val="004F5A09"/>
    <w:rsid w:val="004F6546"/>
    <w:rsid w:val="004F66CD"/>
    <w:rsid w:val="004F6D15"/>
    <w:rsid w:val="004F6F4F"/>
    <w:rsid w:val="004F78EB"/>
    <w:rsid w:val="004F7A69"/>
    <w:rsid w:val="004F7E20"/>
    <w:rsid w:val="00501406"/>
    <w:rsid w:val="005021F7"/>
    <w:rsid w:val="0050277A"/>
    <w:rsid w:val="00502787"/>
    <w:rsid w:val="00502DA9"/>
    <w:rsid w:val="0050378C"/>
    <w:rsid w:val="005038C8"/>
    <w:rsid w:val="00504170"/>
    <w:rsid w:val="00505157"/>
    <w:rsid w:val="00505642"/>
    <w:rsid w:val="00506E0C"/>
    <w:rsid w:val="005071E8"/>
    <w:rsid w:val="0050F2DA"/>
    <w:rsid w:val="00510122"/>
    <w:rsid w:val="005107A8"/>
    <w:rsid w:val="00510E1E"/>
    <w:rsid w:val="00510FF1"/>
    <w:rsid w:val="00511BBB"/>
    <w:rsid w:val="00511DF5"/>
    <w:rsid w:val="005133E9"/>
    <w:rsid w:val="0051394C"/>
    <w:rsid w:val="00513D36"/>
    <w:rsid w:val="00514462"/>
    <w:rsid w:val="005145E9"/>
    <w:rsid w:val="00514A4C"/>
    <w:rsid w:val="0051505E"/>
    <w:rsid w:val="00516DB2"/>
    <w:rsid w:val="00517BE6"/>
    <w:rsid w:val="00520477"/>
    <w:rsid w:val="005204B6"/>
    <w:rsid w:val="00520C9F"/>
    <w:rsid w:val="005210CC"/>
    <w:rsid w:val="005210EC"/>
    <w:rsid w:val="00521230"/>
    <w:rsid w:val="00521FD9"/>
    <w:rsid w:val="0052216A"/>
    <w:rsid w:val="0052271C"/>
    <w:rsid w:val="005232EA"/>
    <w:rsid w:val="00523A40"/>
    <w:rsid w:val="00523BD9"/>
    <w:rsid w:val="00526E8B"/>
    <w:rsid w:val="00530346"/>
    <w:rsid w:val="00531FAB"/>
    <w:rsid w:val="005320B7"/>
    <w:rsid w:val="00532D7B"/>
    <w:rsid w:val="00533B58"/>
    <w:rsid w:val="0053412C"/>
    <w:rsid w:val="00534412"/>
    <w:rsid w:val="0053441D"/>
    <w:rsid w:val="00534F6E"/>
    <w:rsid w:val="00535336"/>
    <w:rsid w:val="00535E46"/>
    <w:rsid w:val="00536DD5"/>
    <w:rsid w:val="0054027A"/>
    <w:rsid w:val="005415FB"/>
    <w:rsid w:val="00541C22"/>
    <w:rsid w:val="005421F9"/>
    <w:rsid w:val="005433D3"/>
    <w:rsid w:val="0054356F"/>
    <w:rsid w:val="00544315"/>
    <w:rsid w:val="0054439C"/>
    <w:rsid w:val="0054463E"/>
    <w:rsid w:val="00544C1C"/>
    <w:rsid w:val="00544E02"/>
    <w:rsid w:val="005453C8"/>
    <w:rsid w:val="005458AB"/>
    <w:rsid w:val="00545C65"/>
    <w:rsid w:val="00546056"/>
    <w:rsid w:val="005461E5"/>
    <w:rsid w:val="005467F4"/>
    <w:rsid w:val="00546D06"/>
    <w:rsid w:val="0055022A"/>
    <w:rsid w:val="00550CAC"/>
    <w:rsid w:val="00550FF0"/>
    <w:rsid w:val="005510E7"/>
    <w:rsid w:val="0055273B"/>
    <w:rsid w:val="005527DE"/>
    <w:rsid w:val="0055352F"/>
    <w:rsid w:val="00553A3C"/>
    <w:rsid w:val="00553BE8"/>
    <w:rsid w:val="0055401F"/>
    <w:rsid w:val="005543A3"/>
    <w:rsid w:val="005548A0"/>
    <w:rsid w:val="00554B8F"/>
    <w:rsid w:val="00554DB4"/>
    <w:rsid w:val="00555D2D"/>
    <w:rsid w:val="005561BB"/>
    <w:rsid w:val="00556275"/>
    <w:rsid w:val="0055656C"/>
    <w:rsid w:val="005573E6"/>
    <w:rsid w:val="00560282"/>
    <w:rsid w:val="00560FE2"/>
    <w:rsid w:val="005619C7"/>
    <w:rsid w:val="00561E35"/>
    <w:rsid w:val="0056228A"/>
    <w:rsid w:val="005627D1"/>
    <w:rsid w:val="00562C9B"/>
    <w:rsid w:val="00562E86"/>
    <w:rsid w:val="00562F0A"/>
    <w:rsid w:val="00562F84"/>
    <w:rsid w:val="00563159"/>
    <w:rsid w:val="00563202"/>
    <w:rsid w:val="005634A3"/>
    <w:rsid w:val="00563A57"/>
    <w:rsid w:val="00563C18"/>
    <w:rsid w:val="00563DC4"/>
    <w:rsid w:val="005640C8"/>
    <w:rsid w:val="005646E1"/>
    <w:rsid w:val="0056481D"/>
    <w:rsid w:val="00564B68"/>
    <w:rsid w:val="0056542C"/>
    <w:rsid w:val="00565BA0"/>
    <w:rsid w:val="00566283"/>
    <w:rsid w:val="00567A53"/>
    <w:rsid w:val="00568FD7"/>
    <w:rsid w:val="0057011C"/>
    <w:rsid w:val="00570367"/>
    <w:rsid w:val="005708BD"/>
    <w:rsid w:val="00570DD3"/>
    <w:rsid w:val="00571159"/>
    <w:rsid w:val="00574A82"/>
    <w:rsid w:val="00574D44"/>
    <w:rsid w:val="00574D61"/>
    <w:rsid w:val="00575593"/>
    <w:rsid w:val="005755B4"/>
    <w:rsid w:val="005758E7"/>
    <w:rsid w:val="00575E86"/>
    <w:rsid w:val="00576360"/>
    <w:rsid w:val="00576633"/>
    <w:rsid w:val="00576AB6"/>
    <w:rsid w:val="00577584"/>
    <w:rsid w:val="00577646"/>
    <w:rsid w:val="0058028A"/>
    <w:rsid w:val="00580987"/>
    <w:rsid w:val="00580F39"/>
    <w:rsid w:val="005818F4"/>
    <w:rsid w:val="005825AA"/>
    <w:rsid w:val="005826B7"/>
    <w:rsid w:val="00582916"/>
    <w:rsid w:val="00583161"/>
    <w:rsid w:val="005838ED"/>
    <w:rsid w:val="0058423B"/>
    <w:rsid w:val="00584ABD"/>
    <w:rsid w:val="0058500A"/>
    <w:rsid w:val="0058550B"/>
    <w:rsid w:val="005855E1"/>
    <w:rsid w:val="0058588E"/>
    <w:rsid w:val="005864FA"/>
    <w:rsid w:val="005871FD"/>
    <w:rsid w:val="005903B0"/>
    <w:rsid w:val="00590720"/>
    <w:rsid w:val="00590A6D"/>
    <w:rsid w:val="00590ECC"/>
    <w:rsid w:val="00591145"/>
    <w:rsid w:val="00591427"/>
    <w:rsid w:val="00591DC8"/>
    <w:rsid w:val="00592F6E"/>
    <w:rsid w:val="0059325C"/>
    <w:rsid w:val="00593581"/>
    <w:rsid w:val="00593626"/>
    <w:rsid w:val="005937BD"/>
    <w:rsid w:val="005938F6"/>
    <w:rsid w:val="00593D80"/>
    <w:rsid w:val="005942BF"/>
    <w:rsid w:val="00594421"/>
    <w:rsid w:val="0059486C"/>
    <w:rsid w:val="00594B19"/>
    <w:rsid w:val="005954CE"/>
    <w:rsid w:val="00595721"/>
    <w:rsid w:val="00595B0B"/>
    <w:rsid w:val="005960EB"/>
    <w:rsid w:val="005963EE"/>
    <w:rsid w:val="00596FD6"/>
    <w:rsid w:val="0059779D"/>
    <w:rsid w:val="00597AB4"/>
    <w:rsid w:val="00597AEB"/>
    <w:rsid w:val="00597C7F"/>
    <w:rsid w:val="00597F36"/>
    <w:rsid w:val="00597FDB"/>
    <w:rsid w:val="005A00FD"/>
    <w:rsid w:val="005A10FB"/>
    <w:rsid w:val="005A187A"/>
    <w:rsid w:val="005A1AE8"/>
    <w:rsid w:val="005A1F66"/>
    <w:rsid w:val="005A21BC"/>
    <w:rsid w:val="005A21FA"/>
    <w:rsid w:val="005A2264"/>
    <w:rsid w:val="005A2394"/>
    <w:rsid w:val="005A2605"/>
    <w:rsid w:val="005A26FD"/>
    <w:rsid w:val="005A2878"/>
    <w:rsid w:val="005A2FDC"/>
    <w:rsid w:val="005A3312"/>
    <w:rsid w:val="005A3797"/>
    <w:rsid w:val="005A4861"/>
    <w:rsid w:val="005A488B"/>
    <w:rsid w:val="005A4B92"/>
    <w:rsid w:val="005A4E54"/>
    <w:rsid w:val="005A530E"/>
    <w:rsid w:val="005A5343"/>
    <w:rsid w:val="005A639A"/>
    <w:rsid w:val="005A6D3D"/>
    <w:rsid w:val="005A6EA7"/>
    <w:rsid w:val="005B0250"/>
    <w:rsid w:val="005B0330"/>
    <w:rsid w:val="005B08A9"/>
    <w:rsid w:val="005B0FE1"/>
    <w:rsid w:val="005B16C0"/>
    <w:rsid w:val="005B1E68"/>
    <w:rsid w:val="005B208D"/>
    <w:rsid w:val="005B25D6"/>
    <w:rsid w:val="005B3A9B"/>
    <w:rsid w:val="005B3BA0"/>
    <w:rsid w:val="005B3C98"/>
    <w:rsid w:val="005B4F98"/>
    <w:rsid w:val="005B50F2"/>
    <w:rsid w:val="005B51D6"/>
    <w:rsid w:val="005B6B7F"/>
    <w:rsid w:val="005B6B8A"/>
    <w:rsid w:val="005B77A4"/>
    <w:rsid w:val="005B79A4"/>
    <w:rsid w:val="005C0292"/>
    <w:rsid w:val="005C0547"/>
    <w:rsid w:val="005C0F54"/>
    <w:rsid w:val="005C1CBF"/>
    <w:rsid w:val="005C2006"/>
    <w:rsid w:val="005C2244"/>
    <w:rsid w:val="005C29C2"/>
    <w:rsid w:val="005C2CA5"/>
    <w:rsid w:val="005C311E"/>
    <w:rsid w:val="005C33D8"/>
    <w:rsid w:val="005C419A"/>
    <w:rsid w:val="005C49EA"/>
    <w:rsid w:val="005C4E22"/>
    <w:rsid w:val="005C6A21"/>
    <w:rsid w:val="005C6AA9"/>
    <w:rsid w:val="005C7098"/>
    <w:rsid w:val="005C70E4"/>
    <w:rsid w:val="005C7357"/>
    <w:rsid w:val="005D05AE"/>
    <w:rsid w:val="005D0706"/>
    <w:rsid w:val="005D0F10"/>
    <w:rsid w:val="005D0F24"/>
    <w:rsid w:val="005D1248"/>
    <w:rsid w:val="005D2613"/>
    <w:rsid w:val="005D2728"/>
    <w:rsid w:val="005D273F"/>
    <w:rsid w:val="005D2801"/>
    <w:rsid w:val="005D2CD7"/>
    <w:rsid w:val="005D2DF1"/>
    <w:rsid w:val="005D2E46"/>
    <w:rsid w:val="005D3567"/>
    <w:rsid w:val="005D37B6"/>
    <w:rsid w:val="005D408E"/>
    <w:rsid w:val="005D51AC"/>
    <w:rsid w:val="005D5525"/>
    <w:rsid w:val="005D583A"/>
    <w:rsid w:val="005D60BD"/>
    <w:rsid w:val="005D6654"/>
    <w:rsid w:val="005D6795"/>
    <w:rsid w:val="005D6986"/>
    <w:rsid w:val="005D73CF"/>
    <w:rsid w:val="005D778B"/>
    <w:rsid w:val="005D7953"/>
    <w:rsid w:val="005D7FA4"/>
    <w:rsid w:val="005E0580"/>
    <w:rsid w:val="005E0AE5"/>
    <w:rsid w:val="005E1B3A"/>
    <w:rsid w:val="005E1B61"/>
    <w:rsid w:val="005E2E1C"/>
    <w:rsid w:val="005E3E22"/>
    <w:rsid w:val="005E42AB"/>
    <w:rsid w:val="005E4452"/>
    <w:rsid w:val="005E49B1"/>
    <w:rsid w:val="005E4DF5"/>
    <w:rsid w:val="005E5169"/>
    <w:rsid w:val="005E5343"/>
    <w:rsid w:val="005E54CD"/>
    <w:rsid w:val="005E6A56"/>
    <w:rsid w:val="005E7223"/>
    <w:rsid w:val="005ED6EC"/>
    <w:rsid w:val="005EE789"/>
    <w:rsid w:val="005F00EF"/>
    <w:rsid w:val="005F013A"/>
    <w:rsid w:val="005F0145"/>
    <w:rsid w:val="005F063A"/>
    <w:rsid w:val="005F0AEB"/>
    <w:rsid w:val="005F1680"/>
    <w:rsid w:val="005F1C40"/>
    <w:rsid w:val="005F2C37"/>
    <w:rsid w:val="005F2DE1"/>
    <w:rsid w:val="005F2F4F"/>
    <w:rsid w:val="005F374E"/>
    <w:rsid w:val="005F389F"/>
    <w:rsid w:val="005F495B"/>
    <w:rsid w:val="005F5922"/>
    <w:rsid w:val="005F5B34"/>
    <w:rsid w:val="005F6037"/>
    <w:rsid w:val="005F6C79"/>
    <w:rsid w:val="005F6D90"/>
    <w:rsid w:val="005F7B6B"/>
    <w:rsid w:val="006000EE"/>
    <w:rsid w:val="00600E3A"/>
    <w:rsid w:val="00600F6D"/>
    <w:rsid w:val="006010F4"/>
    <w:rsid w:val="006014DF"/>
    <w:rsid w:val="00601C2B"/>
    <w:rsid w:val="00601ECA"/>
    <w:rsid w:val="00601ED6"/>
    <w:rsid w:val="0060287E"/>
    <w:rsid w:val="00602F0A"/>
    <w:rsid w:val="00603128"/>
    <w:rsid w:val="006031C4"/>
    <w:rsid w:val="00603B6F"/>
    <w:rsid w:val="00603C7D"/>
    <w:rsid w:val="006049D4"/>
    <w:rsid w:val="00604F1D"/>
    <w:rsid w:val="00605AD6"/>
    <w:rsid w:val="006060C4"/>
    <w:rsid w:val="00606298"/>
    <w:rsid w:val="00607B14"/>
    <w:rsid w:val="00607C40"/>
    <w:rsid w:val="00610EB3"/>
    <w:rsid w:val="00611458"/>
    <w:rsid w:val="00612B60"/>
    <w:rsid w:val="00612BA2"/>
    <w:rsid w:val="0061330E"/>
    <w:rsid w:val="0061401F"/>
    <w:rsid w:val="0061477D"/>
    <w:rsid w:val="00614A3E"/>
    <w:rsid w:val="00614B49"/>
    <w:rsid w:val="00614F11"/>
    <w:rsid w:val="0061564A"/>
    <w:rsid w:val="00615777"/>
    <w:rsid w:val="006162D5"/>
    <w:rsid w:val="006163FF"/>
    <w:rsid w:val="006173A0"/>
    <w:rsid w:val="00617DA0"/>
    <w:rsid w:val="00620198"/>
    <w:rsid w:val="00620457"/>
    <w:rsid w:val="00621F74"/>
    <w:rsid w:val="006221CD"/>
    <w:rsid w:val="006229EA"/>
    <w:rsid w:val="00622DAB"/>
    <w:rsid w:val="006235B2"/>
    <w:rsid w:val="006235C3"/>
    <w:rsid w:val="006241AC"/>
    <w:rsid w:val="00624C5B"/>
    <w:rsid w:val="00624E29"/>
    <w:rsid w:val="00624EF7"/>
    <w:rsid w:val="00625141"/>
    <w:rsid w:val="00625862"/>
    <w:rsid w:val="0062623C"/>
    <w:rsid w:val="006267B3"/>
    <w:rsid w:val="006267F6"/>
    <w:rsid w:val="00626BB5"/>
    <w:rsid w:val="00626DF7"/>
    <w:rsid w:val="00627BC0"/>
    <w:rsid w:val="00630A77"/>
    <w:rsid w:val="0063124B"/>
    <w:rsid w:val="006317B7"/>
    <w:rsid w:val="00631A34"/>
    <w:rsid w:val="00633230"/>
    <w:rsid w:val="006337E3"/>
    <w:rsid w:val="00633AB6"/>
    <w:rsid w:val="00633DAE"/>
    <w:rsid w:val="00633F1C"/>
    <w:rsid w:val="00635756"/>
    <w:rsid w:val="00636ABF"/>
    <w:rsid w:val="00636DDA"/>
    <w:rsid w:val="00636DE7"/>
    <w:rsid w:val="00636F7D"/>
    <w:rsid w:val="00637424"/>
    <w:rsid w:val="00637914"/>
    <w:rsid w:val="00640094"/>
    <w:rsid w:val="006407A5"/>
    <w:rsid w:val="00640AC4"/>
    <w:rsid w:val="00640F2E"/>
    <w:rsid w:val="0064237E"/>
    <w:rsid w:val="006426AB"/>
    <w:rsid w:val="0064299E"/>
    <w:rsid w:val="00642A77"/>
    <w:rsid w:val="00642ECF"/>
    <w:rsid w:val="00643003"/>
    <w:rsid w:val="0064334A"/>
    <w:rsid w:val="00643A3E"/>
    <w:rsid w:val="00643DD8"/>
    <w:rsid w:val="00644181"/>
    <w:rsid w:val="00644BAD"/>
    <w:rsid w:val="0064514E"/>
    <w:rsid w:val="006467DF"/>
    <w:rsid w:val="00647303"/>
    <w:rsid w:val="00647CF5"/>
    <w:rsid w:val="00647D30"/>
    <w:rsid w:val="00647E65"/>
    <w:rsid w:val="00650126"/>
    <w:rsid w:val="00650F30"/>
    <w:rsid w:val="006513E5"/>
    <w:rsid w:val="00652052"/>
    <w:rsid w:val="006521CD"/>
    <w:rsid w:val="00652256"/>
    <w:rsid w:val="00653622"/>
    <w:rsid w:val="00653935"/>
    <w:rsid w:val="006544EA"/>
    <w:rsid w:val="006547A3"/>
    <w:rsid w:val="00655586"/>
    <w:rsid w:val="00655E7A"/>
    <w:rsid w:val="006567FD"/>
    <w:rsid w:val="00656AC5"/>
    <w:rsid w:val="006570A6"/>
    <w:rsid w:val="00657147"/>
    <w:rsid w:val="0065776E"/>
    <w:rsid w:val="00657983"/>
    <w:rsid w:val="00660806"/>
    <w:rsid w:val="0066101F"/>
    <w:rsid w:val="00661847"/>
    <w:rsid w:val="00661BB5"/>
    <w:rsid w:val="00662106"/>
    <w:rsid w:val="00663455"/>
    <w:rsid w:val="006635F2"/>
    <w:rsid w:val="0066439E"/>
    <w:rsid w:val="0066498D"/>
    <w:rsid w:val="00664CFB"/>
    <w:rsid w:val="00664F3A"/>
    <w:rsid w:val="0066567E"/>
    <w:rsid w:val="00665682"/>
    <w:rsid w:val="006657F1"/>
    <w:rsid w:val="006666C3"/>
    <w:rsid w:val="00666A78"/>
    <w:rsid w:val="00666C49"/>
    <w:rsid w:val="00666DCF"/>
    <w:rsid w:val="00667191"/>
    <w:rsid w:val="006700FB"/>
    <w:rsid w:val="00671945"/>
    <w:rsid w:val="00671B4C"/>
    <w:rsid w:val="00671CB3"/>
    <w:rsid w:val="00672358"/>
    <w:rsid w:val="00672B3D"/>
    <w:rsid w:val="00672EDC"/>
    <w:rsid w:val="0067325F"/>
    <w:rsid w:val="00673682"/>
    <w:rsid w:val="006741A7"/>
    <w:rsid w:val="00674F72"/>
    <w:rsid w:val="006765B7"/>
    <w:rsid w:val="006768AC"/>
    <w:rsid w:val="00676DDA"/>
    <w:rsid w:val="00676E4B"/>
    <w:rsid w:val="00677FA6"/>
    <w:rsid w:val="00680B24"/>
    <w:rsid w:val="00680F44"/>
    <w:rsid w:val="00681AA8"/>
    <w:rsid w:val="0068242A"/>
    <w:rsid w:val="006827E6"/>
    <w:rsid w:val="00682F14"/>
    <w:rsid w:val="00682FEA"/>
    <w:rsid w:val="00683F08"/>
    <w:rsid w:val="00684E2E"/>
    <w:rsid w:val="00684F04"/>
    <w:rsid w:val="00685B7A"/>
    <w:rsid w:val="00685C78"/>
    <w:rsid w:val="00686B32"/>
    <w:rsid w:val="00687A8F"/>
    <w:rsid w:val="00690805"/>
    <w:rsid w:val="0069111F"/>
    <w:rsid w:val="00691AD5"/>
    <w:rsid w:val="00691AEC"/>
    <w:rsid w:val="00691DA8"/>
    <w:rsid w:val="00692387"/>
    <w:rsid w:val="006930ED"/>
    <w:rsid w:val="00694F84"/>
    <w:rsid w:val="006961EC"/>
    <w:rsid w:val="006970DA"/>
    <w:rsid w:val="00697537"/>
    <w:rsid w:val="00697B72"/>
    <w:rsid w:val="00697C1D"/>
    <w:rsid w:val="00697CC3"/>
    <w:rsid w:val="006A12E9"/>
    <w:rsid w:val="006A12EC"/>
    <w:rsid w:val="006A136D"/>
    <w:rsid w:val="006A2523"/>
    <w:rsid w:val="006A2A39"/>
    <w:rsid w:val="006A2E9A"/>
    <w:rsid w:val="006A3BAB"/>
    <w:rsid w:val="006A448A"/>
    <w:rsid w:val="006A4B8C"/>
    <w:rsid w:val="006A5248"/>
    <w:rsid w:val="006A5286"/>
    <w:rsid w:val="006A533E"/>
    <w:rsid w:val="006A618F"/>
    <w:rsid w:val="006A619B"/>
    <w:rsid w:val="006A63A4"/>
    <w:rsid w:val="006A73E8"/>
    <w:rsid w:val="006A7EAE"/>
    <w:rsid w:val="006B124A"/>
    <w:rsid w:val="006B12EA"/>
    <w:rsid w:val="006B162B"/>
    <w:rsid w:val="006B16A1"/>
    <w:rsid w:val="006B187B"/>
    <w:rsid w:val="006B1BC9"/>
    <w:rsid w:val="006B21B2"/>
    <w:rsid w:val="006B2781"/>
    <w:rsid w:val="006B2CA6"/>
    <w:rsid w:val="006B3776"/>
    <w:rsid w:val="006B42BA"/>
    <w:rsid w:val="006B440A"/>
    <w:rsid w:val="006B44D3"/>
    <w:rsid w:val="006B4D53"/>
    <w:rsid w:val="006B4D5B"/>
    <w:rsid w:val="006B558B"/>
    <w:rsid w:val="006B64FC"/>
    <w:rsid w:val="006B74E2"/>
    <w:rsid w:val="006B78D3"/>
    <w:rsid w:val="006B79EE"/>
    <w:rsid w:val="006C04FE"/>
    <w:rsid w:val="006C140D"/>
    <w:rsid w:val="006C15F7"/>
    <w:rsid w:val="006C1C83"/>
    <w:rsid w:val="006C267C"/>
    <w:rsid w:val="006C321B"/>
    <w:rsid w:val="006C4131"/>
    <w:rsid w:val="006C4A6A"/>
    <w:rsid w:val="006C557D"/>
    <w:rsid w:val="006C5B7D"/>
    <w:rsid w:val="006C6436"/>
    <w:rsid w:val="006C6515"/>
    <w:rsid w:val="006C6524"/>
    <w:rsid w:val="006C65C9"/>
    <w:rsid w:val="006C6F3C"/>
    <w:rsid w:val="006C7A98"/>
    <w:rsid w:val="006C7C81"/>
    <w:rsid w:val="006D055B"/>
    <w:rsid w:val="006D2D59"/>
    <w:rsid w:val="006D331C"/>
    <w:rsid w:val="006D4082"/>
    <w:rsid w:val="006D4185"/>
    <w:rsid w:val="006D4653"/>
    <w:rsid w:val="006D474C"/>
    <w:rsid w:val="006D4A34"/>
    <w:rsid w:val="006D4BB0"/>
    <w:rsid w:val="006D4FFD"/>
    <w:rsid w:val="006D6F9F"/>
    <w:rsid w:val="006D72AE"/>
    <w:rsid w:val="006DF751"/>
    <w:rsid w:val="006E0558"/>
    <w:rsid w:val="006E1015"/>
    <w:rsid w:val="006E1495"/>
    <w:rsid w:val="006E1AE6"/>
    <w:rsid w:val="006E2277"/>
    <w:rsid w:val="006E246A"/>
    <w:rsid w:val="006E35D0"/>
    <w:rsid w:val="006E4D25"/>
    <w:rsid w:val="006E5330"/>
    <w:rsid w:val="006E679A"/>
    <w:rsid w:val="006E6933"/>
    <w:rsid w:val="006E79AE"/>
    <w:rsid w:val="006F11E3"/>
    <w:rsid w:val="006F14DA"/>
    <w:rsid w:val="006F166C"/>
    <w:rsid w:val="006F16C2"/>
    <w:rsid w:val="006F1B7F"/>
    <w:rsid w:val="006F2C9C"/>
    <w:rsid w:val="006F33D7"/>
    <w:rsid w:val="006F3D25"/>
    <w:rsid w:val="006F3E2E"/>
    <w:rsid w:val="006F4198"/>
    <w:rsid w:val="006F4408"/>
    <w:rsid w:val="006F48FD"/>
    <w:rsid w:val="006F4C72"/>
    <w:rsid w:val="006F5F16"/>
    <w:rsid w:val="006F6B9E"/>
    <w:rsid w:val="006F6C76"/>
    <w:rsid w:val="006F700A"/>
    <w:rsid w:val="006F792F"/>
    <w:rsid w:val="00700C32"/>
    <w:rsid w:val="00700C54"/>
    <w:rsid w:val="0070147C"/>
    <w:rsid w:val="00701542"/>
    <w:rsid w:val="00701893"/>
    <w:rsid w:val="007018A1"/>
    <w:rsid w:val="00701A7E"/>
    <w:rsid w:val="007027ED"/>
    <w:rsid w:val="00702AB3"/>
    <w:rsid w:val="00703264"/>
    <w:rsid w:val="007039AB"/>
    <w:rsid w:val="007044B9"/>
    <w:rsid w:val="00704ED9"/>
    <w:rsid w:val="00705136"/>
    <w:rsid w:val="00705A8D"/>
    <w:rsid w:val="00705AFC"/>
    <w:rsid w:val="00705F31"/>
    <w:rsid w:val="0070652E"/>
    <w:rsid w:val="00706B97"/>
    <w:rsid w:val="00706CD5"/>
    <w:rsid w:val="007102DA"/>
    <w:rsid w:val="007102E3"/>
    <w:rsid w:val="007105A4"/>
    <w:rsid w:val="00710616"/>
    <w:rsid w:val="00710858"/>
    <w:rsid w:val="007111C0"/>
    <w:rsid w:val="007118CB"/>
    <w:rsid w:val="00711940"/>
    <w:rsid w:val="00711B15"/>
    <w:rsid w:val="00711B3E"/>
    <w:rsid w:val="00712024"/>
    <w:rsid w:val="007125C3"/>
    <w:rsid w:val="00712A4F"/>
    <w:rsid w:val="00713837"/>
    <w:rsid w:val="00713D63"/>
    <w:rsid w:val="00713DEE"/>
    <w:rsid w:val="00714221"/>
    <w:rsid w:val="0071480A"/>
    <w:rsid w:val="00714EC7"/>
    <w:rsid w:val="00715461"/>
    <w:rsid w:val="00715597"/>
    <w:rsid w:val="0071587B"/>
    <w:rsid w:val="00715A63"/>
    <w:rsid w:val="00715CAB"/>
    <w:rsid w:val="00716094"/>
    <w:rsid w:val="007162D4"/>
    <w:rsid w:val="00716517"/>
    <w:rsid w:val="00716829"/>
    <w:rsid w:val="00716B86"/>
    <w:rsid w:val="00716C09"/>
    <w:rsid w:val="00717B87"/>
    <w:rsid w:val="00717BE0"/>
    <w:rsid w:val="007203BF"/>
    <w:rsid w:val="00720598"/>
    <w:rsid w:val="007207DB"/>
    <w:rsid w:val="00720938"/>
    <w:rsid w:val="0072122A"/>
    <w:rsid w:val="007215D3"/>
    <w:rsid w:val="00721DC1"/>
    <w:rsid w:val="007228E9"/>
    <w:rsid w:val="00722E28"/>
    <w:rsid w:val="007238EB"/>
    <w:rsid w:val="007252F2"/>
    <w:rsid w:val="00725E9C"/>
    <w:rsid w:val="00726408"/>
    <w:rsid w:val="0072689B"/>
    <w:rsid w:val="00726AB7"/>
    <w:rsid w:val="00726D77"/>
    <w:rsid w:val="00727374"/>
    <w:rsid w:val="007279B0"/>
    <w:rsid w:val="00727C8C"/>
    <w:rsid w:val="007302AD"/>
    <w:rsid w:val="00730639"/>
    <w:rsid w:val="00731237"/>
    <w:rsid w:val="0073198C"/>
    <w:rsid w:val="00731A8D"/>
    <w:rsid w:val="00732B34"/>
    <w:rsid w:val="007330D3"/>
    <w:rsid w:val="0073324C"/>
    <w:rsid w:val="007340C9"/>
    <w:rsid w:val="00734893"/>
    <w:rsid w:val="007348C8"/>
    <w:rsid w:val="00735014"/>
    <w:rsid w:val="00735D4F"/>
    <w:rsid w:val="00736297"/>
    <w:rsid w:val="007369A8"/>
    <w:rsid w:val="00736BD5"/>
    <w:rsid w:val="00736BFA"/>
    <w:rsid w:val="00737600"/>
    <w:rsid w:val="00737A09"/>
    <w:rsid w:val="0074004E"/>
    <w:rsid w:val="007411DE"/>
    <w:rsid w:val="00743378"/>
    <w:rsid w:val="00743AC5"/>
    <w:rsid w:val="00743B12"/>
    <w:rsid w:val="00743C67"/>
    <w:rsid w:val="00744231"/>
    <w:rsid w:val="007443C8"/>
    <w:rsid w:val="00744903"/>
    <w:rsid w:val="007453DD"/>
    <w:rsid w:val="007476E5"/>
    <w:rsid w:val="00747E16"/>
    <w:rsid w:val="00750B61"/>
    <w:rsid w:val="00750F4B"/>
    <w:rsid w:val="007515A1"/>
    <w:rsid w:val="00751A78"/>
    <w:rsid w:val="00751EF7"/>
    <w:rsid w:val="007521BA"/>
    <w:rsid w:val="00752284"/>
    <w:rsid w:val="00752A78"/>
    <w:rsid w:val="00752D07"/>
    <w:rsid w:val="00752DC5"/>
    <w:rsid w:val="00752F98"/>
    <w:rsid w:val="0075406F"/>
    <w:rsid w:val="0075412E"/>
    <w:rsid w:val="00754B53"/>
    <w:rsid w:val="007556AC"/>
    <w:rsid w:val="00755917"/>
    <w:rsid w:val="00755D3B"/>
    <w:rsid w:val="007565A2"/>
    <w:rsid w:val="007568D3"/>
    <w:rsid w:val="00756F3C"/>
    <w:rsid w:val="00757273"/>
    <w:rsid w:val="00760347"/>
    <w:rsid w:val="0076035F"/>
    <w:rsid w:val="007609DD"/>
    <w:rsid w:val="00762476"/>
    <w:rsid w:val="00762E33"/>
    <w:rsid w:val="007630D1"/>
    <w:rsid w:val="00763529"/>
    <w:rsid w:val="00763590"/>
    <w:rsid w:val="0076496C"/>
    <w:rsid w:val="00765022"/>
    <w:rsid w:val="00765594"/>
    <w:rsid w:val="0076589C"/>
    <w:rsid w:val="007659C2"/>
    <w:rsid w:val="00765A31"/>
    <w:rsid w:val="00765BE2"/>
    <w:rsid w:val="00766308"/>
    <w:rsid w:val="007666B4"/>
    <w:rsid w:val="007668C2"/>
    <w:rsid w:val="0076690C"/>
    <w:rsid w:val="00767165"/>
    <w:rsid w:val="00767B50"/>
    <w:rsid w:val="0076D765"/>
    <w:rsid w:val="00770358"/>
    <w:rsid w:val="0077057A"/>
    <w:rsid w:val="00770EEA"/>
    <w:rsid w:val="00771540"/>
    <w:rsid w:val="00771707"/>
    <w:rsid w:val="00771FF0"/>
    <w:rsid w:val="00773D09"/>
    <w:rsid w:val="00774A83"/>
    <w:rsid w:val="00774B90"/>
    <w:rsid w:val="00774ECE"/>
    <w:rsid w:val="00775B9A"/>
    <w:rsid w:val="00775BEC"/>
    <w:rsid w:val="007765BC"/>
    <w:rsid w:val="00777209"/>
    <w:rsid w:val="007779EA"/>
    <w:rsid w:val="00777C60"/>
    <w:rsid w:val="00777F39"/>
    <w:rsid w:val="0077BCFC"/>
    <w:rsid w:val="007801FF"/>
    <w:rsid w:val="00780524"/>
    <w:rsid w:val="00780BCF"/>
    <w:rsid w:val="007813EA"/>
    <w:rsid w:val="0078254D"/>
    <w:rsid w:val="0078275B"/>
    <w:rsid w:val="007827E9"/>
    <w:rsid w:val="0078289A"/>
    <w:rsid w:val="00783787"/>
    <w:rsid w:val="00784281"/>
    <w:rsid w:val="0078574E"/>
    <w:rsid w:val="0078576F"/>
    <w:rsid w:val="00785B03"/>
    <w:rsid w:val="00785D75"/>
    <w:rsid w:val="007873FD"/>
    <w:rsid w:val="00790421"/>
    <w:rsid w:val="0079090C"/>
    <w:rsid w:val="0079197F"/>
    <w:rsid w:val="00791C27"/>
    <w:rsid w:val="0079397E"/>
    <w:rsid w:val="00793AC8"/>
    <w:rsid w:val="00793C97"/>
    <w:rsid w:val="007942CF"/>
    <w:rsid w:val="007949BC"/>
    <w:rsid w:val="007956B7"/>
    <w:rsid w:val="007961D9"/>
    <w:rsid w:val="0079656E"/>
    <w:rsid w:val="00796FDC"/>
    <w:rsid w:val="0079738C"/>
    <w:rsid w:val="0079767D"/>
    <w:rsid w:val="007A2B64"/>
    <w:rsid w:val="007A2CC1"/>
    <w:rsid w:val="007A2E64"/>
    <w:rsid w:val="007A3E2C"/>
    <w:rsid w:val="007A4B3B"/>
    <w:rsid w:val="007A4C79"/>
    <w:rsid w:val="007A5750"/>
    <w:rsid w:val="007A62A2"/>
    <w:rsid w:val="007A6AAF"/>
    <w:rsid w:val="007A7496"/>
    <w:rsid w:val="007A7AE6"/>
    <w:rsid w:val="007A7C94"/>
    <w:rsid w:val="007A7DC3"/>
    <w:rsid w:val="007B018C"/>
    <w:rsid w:val="007B1816"/>
    <w:rsid w:val="007B2067"/>
    <w:rsid w:val="007B21A0"/>
    <w:rsid w:val="007B264A"/>
    <w:rsid w:val="007B2678"/>
    <w:rsid w:val="007B3364"/>
    <w:rsid w:val="007B4218"/>
    <w:rsid w:val="007B493A"/>
    <w:rsid w:val="007B4F8A"/>
    <w:rsid w:val="007B4FD4"/>
    <w:rsid w:val="007B5770"/>
    <w:rsid w:val="007B585D"/>
    <w:rsid w:val="007B5A33"/>
    <w:rsid w:val="007B5CE9"/>
    <w:rsid w:val="007B697B"/>
    <w:rsid w:val="007B7010"/>
    <w:rsid w:val="007B7BE3"/>
    <w:rsid w:val="007C0CD7"/>
    <w:rsid w:val="007C161E"/>
    <w:rsid w:val="007C20A8"/>
    <w:rsid w:val="007C250B"/>
    <w:rsid w:val="007C260E"/>
    <w:rsid w:val="007C2D2E"/>
    <w:rsid w:val="007C3465"/>
    <w:rsid w:val="007C34E5"/>
    <w:rsid w:val="007C3DD7"/>
    <w:rsid w:val="007C3F2C"/>
    <w:rsid w:val="007C40A4"/>
    <w:rsid w:val="007C4C78"/>
    <w:rsid w:val="007C4F4B"/>
    <w:rsid w:val="007C523F"/>
    <w:rsid w:val="007C5464"/>
    <w:rsid w:val="007C56B2"/>
    <w:rsid w:val="007C5B5F"/>
    <w:rsid w:val="007C610F"/>
    <w:rsid w:val="007C674A"/>
    <w:rsid w:val="007C73AC"/>
    <w:rsid w:val="007C7534"/>
    <w:rsid w:val="007D0DFC"/>
    <w:rsid w:val="007D1211"/>
    <w:rsid w:val="007D200D"/>
    <w:rsid w:val="007D2D19"/>
    <w:rsid w:val="007D2E07"/>
    <w:rsid w:val="007D2EC5"/>
    <w:rsid w:val="007D3BFC"/>
    <w:rsid w:val="007D3EF1"/>
    <w:rsid w:val="007D444C"/>
    <w:rsid w:val="007D4695"/>
    <w:rsid w:val="007D4CFC"/>
    <w:rsid w:val="007D54EB"/>
    <w:rsid w:val="007D6093"/>
    <w:rsid w:val="007D656A"/>
    <w:rsid w:val="007D6E3C"/>
    <w:rsid w:val="007D75C9"/>
    <w:rsid w:val="007E0A61"/>
    <w:rsid w:val="007E1220"/>
    <w:rsid w:val="007E1621"/>
    <w:rsid w:val="007E1719"/>
    <w:rsid w:val="007E1E03"/>
    <w:rsid w:val="007E2E0B"/>
    <w:rsid w:val="007E342B"/>
    <w:rsid w:val="007E4898"/>
    <w:rsid w:val="007E52C4"/>
    <w:rsid w:val="007E55EF"/>
    <w:rsid w:val="007E59F5"/>
    <w:rsid w:val="007E5CE0"/>
    <w:rsid w:val="007E6579"/>
    <w:rsid w:val="007E6788"/>
    <w:rsid w:val="007E686B"/>
    <w:rsid w:val="007E6B30"/>
    <w:rsid w:val="007E7303"/>
    <w:rsid w:val="007ECC5C"/>
    <w:rsid w:val="007F0350"/>
    <w:rsid w:val="007F055B"/>
    <w:rsid w:val="007F1CA2"/>
    <w:rsid w:val="007F2168"/>
    <w:rsid w:val="007F22FD"/>
    <w:rsid w:val="007F2476"/>
    <w:rsid w:val="007F2897"/>
    <w:rsid w:val="007F29B6"/>
    <w:rsid w:val="007F2A1B"/>
    <w:rsid w:val="007F4165"/>
    <w:rsid w:val="007F419E"/>
    <w:rsid w:val="007F44FC"/>
    <w:rsid w:val="007F6B08"/>
    <w:rsid w:val="007F6EF0"/>
    <w:rsid w:val="007F6FB6"/>
    <w:rsid w:val="007F73CB"/>
    <w:rsid w:val="008001F0"/>
    <w:rsid w:val="00800E9B"/>
    <w:rsid w:val="0080119A"/>
    <w:rsid w:val="008011F1"/>
    <w:rsid w:val="00801495"/>
    <w:rsid w:val="008017C2"/>
    <w:rsid w:val="0080181B"/>
    <w:rsid w:val="00802691"/>
    <w:rsid w:val="00802D98"/>
    <w:rsid w:val="00804435"/>
    <w:rsid w:val="00805357"/>
    <w:rsid w:val="00805CCC"/>
    <w:rsid w:val="0080750C"/>
    <w:rsid w:val="00807FFA"/>
    <w:rsid w:val="008106C4"/>
    <w:rsid w:val="008108C9"/>
    <w:rsid w:val="00810F5F"/>
    <w:rsid w:val="0081154A"/>
    <w:rsid w:val="00812208"/>
    <w:rsid w:val="0081254A"/>
    <w:rsid w:val="00813531"/>
    <w:rsid w:val="00813976"/>
    <w:rsid w:val="00813E91"/>
    <w:rsid w:val="00814200"/>
    <w:rsid w:val="00814513"/>
    <w:rsid w:val="00814749"/>
    <w:rsid w:val="008148DC"/>
    <w:rsid w:val="00814CF8"/>
    <w:rsid w:val="00815EBD"/>
    <w:rsid w:val="00820287"/>
    <w:rsid w:val="0082088D"/>
    <w:rsid w:val="00820DB7"/>
    <w:rsid w:val="0082158E"/>
    <w:rsid w:val="00821592"/>
    <w:rsid w:val="00821C01"/>
    <w:rsid w:val="008227D7"/>
    <w:rsid w:val="00823015"/>
    <w:rsid w:val="008239D2"/>
    <w:rsid w:val="00823C76"/>
    <w:rsid w:val="00823F53"/>
    <w:rsid w:val="008245BE"/>
    <w:rsid w:val="008248DF"/>
    <w:rsid w:val="00824D16"/>
    <w:rsid w:val="008254D5"/>
    <w:rsid w:val="00825852"/>
    <w:rsid w:val="00825B7F"/>
    <w:rsid w:val="008267A0"/>
    <w:rsid w:val="00826F62"/>
    <w:rsid w:val="008279F5"/>
    <w:rsid w:val="00827D49"/>
    <w:rsid w:val="008301D5"/>
    <w:rsid w:val="00830398"/>
    <w:rsid w:val="00830EE3"/>
    <w:rsid w:val="008316AC"/>
    <w:rsid w:val="00831CEC"/>
    <w:rsid w:val="008324BF"/>
    <w:rsid w:val="008334B3"/>
    <w:rsid w:val="008335C8"/>
    <w:rsid w:val="00833A0A"/>
    <w:rsid w:val="00834597"/>
    <w:rsid w:val="00834D70"/>
    <w:rsid w:val="00836982"/>
    <w:rsid w:val="008371B3"/>
    <w:rsid w:val="00837629"/>
    <w:rsid w:val="0083785C"/>
    <w:rsid w:val="0083797D"/>
    <w:rsid w:val="008379E1"/>
    <w:rsid w:val="008404B4"/>
    <w:rsid w:val="00840B0D"/>
    <w:rsid w:val="00841150"/>
    <w:rsid w:val="008414B3"/>
    <w:rsid w:val="00841B3D"/>
    <w:rsid w:val="0084252A"/>
    <w:rsid w:val="008441B1"/>
    <w:rsid w:val="00844B8F"/>
    <w:rsid w:val="00844BB9"/>
    <w:rsid w:val="00845114"/>
    <w:rsid w:val="00845503"/>
    <w:rsid w:val="00845A2D"/>
    <w:rsid w:val="0084670D"/>
    <w:rsid w:val="008469E8"/>
    <w:rsid w:val="00847C4A"/>
    <w:rsid w:val="00850159"/>
    <w:rsid w:val="0085094B"/>
    <w:rsid w:val="00850A28"/>
    <w:rsid w:val="0085132F"/>
    <w:rsid w:val="00851918"/>
    <w:rsid w:val="00852311"/>
    <w:rsid w:val="008524B0"/>
    <w:rsid w:val="00852E4B"/>
    <w:rsid w:val="00853C31"/>
    <w:rsid w:val="00855B00"/>
    <w:rsid w:val="00855DFE"/>
    <w:rsid w:val="00856714"/>
    <w:rsid w:val="00856B13"/>
    <w:rsid w:val="00856E6F"/>
    <w:rsid w:val="008576E0"/>
    <w:rsid w:val="00857F94"/>
    <w:rsid w:val="0086179B"/>
    <w:rsid w:val="008618CC"/>
    <w:rsid w:val="008622AD"/>
    <w:rsid w:val="00862EC1"/>
    <w:rsid w:val="00862F38"/>
    <w:rsid w:val="00864479"/>
    <w:rsid w:val="00864775"/>
    <w:rsid w:val="008659BF"/>
    <w:rsid w:val="00865BFD"/>
    <w:rsid w:val="00865E81"/>
    <w:rsid w:val="00865EFF"/>
    <w:rsid w:val="008664AF"/>
    <w:rsid w:val="008671A4"/>
    <w:rsid w:val="0086755A"/>
    <w:rsid w:val="008677EA"/>
    <w:rsid w:val="00870A3B"/>
    <w:rsid w:val="0087102B"/>
    <w:rsid w:val="00871078"/>
    <w:rsid w:val="00871268"/>
    <w:rsid w:val="008717C2"/>
    <w:rsid w:val="008723E6"/>
    <w:rsid w:val="0087301C"/>
    <w:rsid w:val="008734AB"/>
    <w:rsid w:val="008740A5"/>
    <w:rsid w:val="00874528"/>
    <w:rsid w:val="008747AE"/>
    <w:rsid w:val="00875173"/>
    <w:rsid w:val="008755F2"/>
    <w:rsid w:val="008758A5"/>
    <w:rsid w:val="00875B2E"/>
    <w:rsid w:val="00875E07"/>
    <w:rsid w:val="00876383"/>
    <w:rsid w:val="008766D6"/>
    <w:rsid w:val="00877404"/>
    <w:rsid w:val="008778AE"/>
    <w:rsid w:val="00877AEC"/>
    <w:rsid w:val="00877B06"/>
    <w:rsid w:val="00877C6F"/>
    <w:rsid w:val="00880061"/>
    <w:rsid w:val="00880515"/>
    <w:rsid w:val="008809CB"/>
    <w:rsid w:val="00880C3A"/>
    <w:rsid w:val="008810E9"/>
    <w:rsid w:val="00881776"/>
    <w:rsid w:val="008819CC"/>
    <w:rsid w:val="00881D8C"/>
    <w:rsid w:val="0088244F"/>
    <w:rsid w:val="0088286A"/>
    <w:rsid w:val="00883117"/>
    <w:rsid w:val="008835DE"/>
    <w:rsid w:val="00883738"/>
    <w:rsid w:val="00883A44"/>
    <w:rsid w:val="00883A53"/>
    <w:rsid w:val="00883C7F"/>
    <w:rsid w:val="00884977"/>
    <w:rsid w:val="00884F0B"/>
    <w:rsid w:val="00885054"/>
    <w:rsid w:val="0088512F"/>
    <w:rsid w:val="0088571C"/>
    <w:rsid w:val="00885C0B"/>
    <w:rsid w:val="00886310"/>
    <w:rsid w:val="00886365"/>
    <w:rsid w:val="00886782"/>
    <w:rsid w:val="00886BCE"/>
    <w:rsid w:val="00886C96"/>
    <w:rsid w:val="00886CEC"/>
    <w:rsid w:val="00887E41"/>
    <w:rsid w:val="00887E71"/>
    <w:rsid w:val="00887E96"/>
    <w:rsid w:val="00890CA7"/>
    <w:rsid w:val="008913A0"/>
    <w:rsid w:val="0089152D"/>
    <w:rsid w:val="00891543"/>
    <w:rsid w:val="0089241E"/>
    <w:rsid w:val="00892C88"/>
    <w:rsid w:val="008931AD"/>
    <w:rsid w:val="008937AB"/>
    <w:rsid w:val="0089383D"/>
    <w:rsid w:val="008940E8"/>
    <w:rsid w:val="00894305"/>
    <w:rsid w:val="00894D04"/>
    <w:rsid w:val="008953F6"/>
    <w:rsid w:val="00895B0B"/>
    <w:rsid w:val="00895FB7"/>
    <w:rsid w:val="008960C2"/>
    <w:rsid w:val="00896210"/>
    <w:rsid w:val="008966D4"/>
    <w:rsid w:val="00897503"/>
    <w:rsid w:val="00897D4C"/>
    <w:rsid w:val="008A0061"/>
    <w:rsid w:val="008A0576"/>
    <w:rsid w:val="008A0C0D"/>
    <w:rsid w:val="008A0E52"/>
    <w:rsid w:val="008A1783"/>
    <w:rsid w:val="008A1933"/>
    <w:rsid w:val="008A1CD6"/>
    <w:rsid w:val="008A2A30"/>
    <w:rsid w:val="008A2DD5"/>
    <w:rsid w:val="008A30D7"/>
    <w:rsid w:val="008A4CF4"/>
    <w:rsid w:val="008A50CD"/>
    <w:rsid w:val="008A5951"/>
    <w:rsid w:val="008A5D69"/>
    <w:rsid w:val="008A5DBA"/>
    <w:rsid w:val="008A5F75"/>
    <w:rsid w:val="008A6586"/>
    <w:rsid w:val="008A6870"/>
    <w:rsid w:val="008A68AF"/>
    <w:rsid w:val="008A721A"/>
    <w:rsid w:val="008A72B1"/>
    <w:rsid w:val="008A7888"/>
    <w:rsid w:val="008A790A"/>
    <w:rsid w:val="008A7C08"/>
    <w:rsid w:val="008A7F89"/>
    <w:rsid w:val="008B02BD"/>
    <w:rsid w:val="008B0539"/>
    <w:rsid w:val="008B0FD0"/>
    <w:rsid w:val="008B17C3"/>
    <w:rsid w:val="008B18EA"/>
    <w:rsid w:val="008B1E16"/>
    <w:rsid w:val="008B2128"/>
    <w:rsid w:val="008B250A"/>
    <w:rsid w:val="008B2D8C"/>
    <w:rsid w:val="008B2E4F"/>
    <w:rsid w:val="008B382A"/>
    <w:rsid w:val="008B385D"/>
    <w:rsid w:val="008B4138"/>
    <w:rsid w:val="008B4ADA"/>
    <w:rsid w:val="008B4C65"/>
    <w:rsid w:val="008B4EBD"/>
    <w:rsid w:val="008B5465"/>
    <w:rsid w:val="008B5AFE"/>
    <w:rsid w:val="008B6940"/>
    <w:rsid w:val="008B6CD2"/>
    <w:rsid w:val="008B6D27"/>
    <w:rsid w:val="008B6E73"/>
    <w:rsid w:val="008B7057"/>
    <w:rsid w:val="008B7694"/>
    <w:rsid w:val="008C084E"/>
    <w:rsid w:val="008C1246"/>
    <w:rsid w:val="008C12A2"/>
    <w:rsid w:val="008C17AD"/>
    <w:rsid w:val="008C1F51"/>
    <w:rsid w:val="008C2043"/>
    <w:rsid w:val="008C20E5"/>
    <w:rsid w:val="008C2744"/>
    <w:rsid w:val="008C2D01"/>
    <w:rsid w:val="008C3154"/>
    <w:rsid w:val="008C3C35"/>
    <w:rsid w:val="008C4242"/>
    <w:rsid w:val="008C42EA"/>
    <w:rsid w:val="008C469B"/>
    <w:rsid w:val="008C4AE0"/>
    <w:rsid w:val="008C4E34"/>
    <w:rsid w:val="008C4E41"/>
    <w:rsid w:val="008C56C6"/>
    <w:rsid w:val="008C6130"/>
    <w:rsid w:val="008D05A7"/>
    <w:rsid w:val="008D151A"/>
    <w:rsid w:val="008D294B"/>
    <w:rsid w:val="008D2B0D"/>
    <w:rsid w:val="008D2C15"/>
    <w:rsid w:val="008D2E2A"/>
    <w:rsid w:val="008D31C4"/>
    <w:rsid w:val="008D326F"/>
    <w:rsid w:val="008D35FC"/>
    <w:rsid w:val="008D4114"/>
    <w:rsid w:val="008D4560"/>
    <w:rsid w:val="008D4EF2"/>
    <w:rsid w:val="008D4F5C"/>
    <w:rsid w:val="008D5884"/>
    <w:rsid w:val="008D5BF5"/>
    <w:rsid w:val="008D6023"/>
    <w:rsid w:val="008D609A"/>
    <w:rsid w:val="008D6296"/>
    <w:rsid w:val="008D631C"/>
    <w:rsid w:val="008D67B7"/>
    <w:rsid w:val="008D69DF"/>
    <w:rsid w:val="008D7354"/>
    <w:rsid w:val="008E04E5"/>
    <w:rsid w:val="008E04F0"/>
    <w:rsid w:val="008E0CA2"/>
    <w:rsid w:val="008E2E95"/>
    <w:rsid w:val="008E3D50"/>
    <w:rsid w:val="008E3DC4"/>
    <w:rsid w:val="008E45BC"/>
    <w:rsid w:val="008E4635"/>
    <w:rsid w:val="008E4A3E"/>
    <w:rsid w:val="008E4B74"/>
    <w:rsid w:val="008E5982"/>
    <w:rsid w:val="008E5C34"/>
    <w:rsid w:val="008E6075"/>
    <w:rsid w:val="008E628B"/>
    <w:rsid w:val="008E62E8"/>
    <w:rsid w:val="008E6DA2"/>
    <w:rsid w:val="008E77B8"/>
    <w:rsid w:val="008E799E"/>
    <w:rsid w:val="008E7AB3"/>
    <w:rsid w:val="008F06FC"/>
    <w:rsid w:val="008F0E7A"/>
    <w:rsid w:val="008F0EEE"/>
    <w:rsid w:val="008F16B2"/>
    <w:rsid w:val="008F286A"/>
    <w:rsid w:val="008F322B"/>
    <w:rsid w:val="008F34EC"/>
    <w:rsid w:val="008F3C87"/>
    <w:rsid w:val="008F43D1"/>
    <w:rsid w:val="008F500D"/>
    <w:rsid w:val="008F5208"/>
    <w:rsid w:val="008F522B"/>
    <w:rsid w:val="008F5EF5"/>
    <w:rsid w:val="008F6010"/>
    <w:rsid w:val="008F60BA"/>
    <w:rsid w:val="008F62B7"/>
    <w:rsid w:val="008F6C42"/>
    <w:rsid w:val="008F6E17"/>
    <w:rsid w:val="008F72BB"/>
    <w:rsid w:val="008F7723"/>
    <w:rsid w:val="008F7733"/>
    <w:rsid w:val="008F775D"/>
    <w:rsid w:val="008F7F8E"/>
    <w:rsid w:val="00900382"/>
    <w:rsid w:val="00900721"/>
    <w:rsid w:val="00900AB9"/>
    <w:rsid w:val="00900F19"/>
    <w:rsid w:val="00901D2C"/>
    <w:rsid w:val="00902130"/>
    <w:rsid w:val="00902706"/>
    <w:rsid w:val="009029C5"/>
    <w:rsid w:val="00902AC4"/>
    <w:rsid w:val="00902AEC"/>
    <w:rsid w:val="009032BD"/>
    <w:rsid w:val="009038D8"/>
    <w:rsid w:val="00903B0E"/>
    <w:rsid w:val="00904490"/>
    <w:rsid w:val="009048E8"/>
    <w:rsid w:val="00905774"/>
    <w:rsid w:val="00905C18"/>
    <w:rsid w:val="00905C19"/>
    <w:rsid w:val="00905F58"/>
    <w:rsid w:val="00905FE1"/>
    <w:rsid w:val="00906334"/>
    <w:rsid w:val="00906A08"/>
    <w:rsid w:val="00906EB6"/>
    <w:rsid w:val="00907368"/>
    <w:rsid w:val="00907637"/>
    <w:rsid w:val="00907E3F"/>
    <w:rsid w:val="00910C79"/>
    <w:rsid w:val="00910FA8"/>
    <w:rsid w:val="00911542"/>
    <w:rsid w:val="00911B47"/>
    <w:rsid w:val="00911B78"/>
    <w:rsid w:val="009122AC"/>
    <w:rsid w:val="00912506"/>
    <w:rsid w:val="0091305A"/>
    <w:rsid w:val="00913182"/>
    <w:rsid w:val="00913C81"/>
    <w:rsid w:val="00913E51"/>
    <w:rsid w:val="00914688"/>
    <w:rsid w:val="00915437"/>
    <w:rsid w:val="00915516"/>
    <w:rsid w:val="009159EF"/>
    <w:rsid w:val="00915EBA"/>
    <w:rsid w:val="009163C9"/>
    <w:rsid w:val="0091641C"/>
    <w:rsid w:val="00916CBD"/>
    <w:rsid w:val="00916DBF"/>
    <w:rsid w:val="009177E0"/>
    <w:rsid w:val="0092041C"/>
    <w:rsid w:val="00921885"/>
    <w:rsid w:val="00921A2B"/>
    <w:rsid w:val="00921CF8"/>
    <w:rsid w:val="00921DD4"/>
    <w:rsid w:val="00921EE6"/>
    <w:rsid w:val="0092260B"/>
    <w:rsid w:val="00922766"/>
    <w:rsid w:val="0092295F"/>
    <w:rsid w:val="0092343C"/>
    <w:rsid w:val="00923B79"/>
    <w:rsid w:val="009243E0"/>
    <w:rsid w:val="0092448E"/>
    <w:rsid w:val="009246C6"/>
    <w:rsid w:val="00924B76"/>
    <w:rsid w:val="00925126"/>
    <w:rsid w:val="009251E7"/>
    <w:rsid w:val="00925845"/>
    <w:rsid w:val="009263A7"/>
    <w:rsid w:val="009267E8"/>
    <w:rsid w:val="0092717C"/>
    <w:rsid w:val="00927A84"/>
    <w:rsid w:val="00927BE3"/>
    <w:rsid w:val="00927CC2"/>
    <w:rsid w:val="00930137"/>
    <w:rsid w:val="009314A8"/>
    <w:rsid w:val="00931675"/>
    <w:rsid w:val="009332DB"/>
    <w:rsid w:val="00933346"/>
    <w:rsid w:val="00933D14"/>
    <w:rsid w:val="009342BF"/>
    <w:rsid w:val="009342C0"/>
    <w:rsid w:val="009342DF"/>
    <w:rsid w:val="009345B1"/>
    <w:rsid w:val="00934B61"/>
    <w:rsid w:val="00934CFE"/>
    <w:rsid w:val="00935002"/>
    <w:rsid w:val="0093508F"/>
    <w:rsid w:val="00935B0A"/>
    <w:rsid w:val="00935DA9"/>
    <w:rsid w:val="00935E32"/>
    <w:rsid w:val="00936A7D"/>
    <w:rsid w:val="00936D07"/>
    <w:rsid w:val="00937C05"/>
    <w:rsid w:val="0094037F"/>
    <w:rsid w:val="0094043B"/>
    <w:rsid w:val="0094050E"/>
    <w:rsid w:val="0094185F"/>
    <w:rsid w:val="009426CE"/>
    <w:rsid w:val="00942C00"/>
    <w:rsid w:val="009430A2"/>
    <w:rsid w:val="009437F0"/>
    <w:rsid w:val="00943A23"/>
    <w:rsid w:val="0094483B"/>
    <w:rsid w:val="009448F4"/>
    <w:rsid w:val="0094492F"/>
    <w:rsid w:val="00944F49"/>
    <w:rsid w:val="009453BB"/>
    <w:rsid w:val="00945A37"/>
    <w:rsid w:val="00946420"/>
    <w:rsid w:val="009467EA"/>
    <w:rsid w:val="00946AF1"/>
    <w:rsid w:val="00946B2B"/>
    <w:rsid w:val="00947066"/>
    <w:rsid w:val="0094776F"/>
    <w:rsid w:val="00947A52"/>
    <w:rsid w:val="00947F49"/>
    <w:rsid w:val="009505B3"/>
    <w:rsid w:val="00951BB4"/>
    <w:rsid w:val="009532D5"/>
    <w:rsid w:val="00953FAA"/>
    <w:rsid w:val="00954171"/>
    <w:rsid w:val="009549CC"/>
    <w:rsid w:val="00954C15"/>
    <w:rsid w:val="009555C6"/>
    <w:rsid w:val="00955764"/>
    <w:rsid w:val="009558BF"/>
    <w:rsid w:val="00955C5B"/>
    <w:rsid w:val="009561DB"/>
    <w:rsid w:val="00956C8A"/>
    <w:rsid w:val="00956E99"/>
    <w:rsid w:val="00957FEB"/>
    <w:rsid w:val="009613A2"/>
    <w:rsid w:val="0096141C"/>
    <w:rsid w:val="00961AD2"/>
    <w:rsid w:val="00964133"/>
    <w:rsid w:val="009645B7"/>
    <w:rsid w:val="009646E6"/>
    <w:rsid w:val="00964903"/>
    <w:rsid w:val="0096563B"/>
    <w:rsid w:val="0096774C"/>
    <w:rsid w:val="00970028"/>
    <w:rsid w:val="009707FB"/>
    <w:rsid w:val="00970C5B"/>
    <w:rsid w:val="00971242"/>
    <w:rsid w:val="00971825"/>
    <w:rsid w:val="00971E81"/>
    <w:rsid w:val="0097209A"/>
    <w:rsid w:val="0097279D"/>
    <w:rsid w:val="00973272"/>
    <w:rsid w:val="00974C69"/>
    <w:rsid w:val="009751C7"/>
    <w:rsid w:val="009751DA"/>
    <w:rsid w:val="009752F5"/>
    <w:rsid w:val="0097531B"/>
    <w:rsid w:val="00975781"/>
    <w:rsid w:val="0097590A"/>
    <w:rsid w:val="00975BD8"/>
    <w:rsid w:val="00976D93"/>
    <w:rsid w:val="00977479"/>
    <w:rsid w:val="009801F3"/>
    <w:rsid w:val="009802F6"/>
    <w:rsid w:val="00980399"/>
    <w:rsid w:val="009821E7"/>
    <w:rsid w:val="00982401"/>
    <w:rsid w:val="00982BA6"/>
    <w:rsid w:val="0098309D"/>
    <w:rsid w:val="00983685"/>
    <w:rsid w:val="009843E5"/>
    <w:rsid w:val="009849C8"/>
    <w:rsid w:val="00984D38"/>
    <w:rsid w:val="009851D8"/>
    <w:rsid w:val="009853A1"/>
    <w:rsid w:val="00985DB9"/>
    <w:rsid w:val="00985F18"/>
    <w:rsid w:val="009864E8"/>
    <w:rsid w:val="00986547"/>
    <w:rsid w:val="00986557"/>
    <w:rsid w:val="009866EA"/>
    <w:rsid w:val="009869D4"/>
    <w:rsid w:val="00987B50"/>
    <w:rsid w:val="00987D1B"/>
    <w:rsid w:val="009917CD"/>
    <w:rsid w:val="00992712"/>
    <w:rsid w:val="00992D79"/>
    <w:rsid w:val="009934D3"/>
    <w:rsid w:val="009936D8"/>
    <w:rsid w:val="00993E3F"/>
    <w:rsid w:val="00993ECF"/>
    <w:rsid w:val="00993F34"/>
    <w:rsid w:val="00994CC7"/>
    <w:rsid w:val="009952B3"/>
    <w:rsid w:val="0099546B"/>
    <w:rsid w:val="009956AC"/>
    <w:rsid w:val="009976CF"/>
    <w:rsid w:val="009A00AD"/>
    <w:rsid w:val="009A0A03"/>
    <w:rsid w:val="009A0F14"/>
    <w:rsid w:val="009A1126"/>
    <w:rsid w:val="009A1AFF"/>
    <w:rsid w:val="009A24CE"/>
    <w:rsid w:val="009A2784"/>
    <w:rsid w:val="009A2DA7"/>
    <w:rsid w:val="009A3448"/>
    <w:rsid w:val="009A34F4"/>
    <w:rsid w:val="009A390A"/>
    <w:rsid w:val="009A39CE"/>
    <w:rsid w:val="009A3EFA"/>
    <w:rsid w:val="009A4894"/>
    <w:rsid w:val="009A48F5"/>
    <w:rsid w:val="009A4A1D"/>
    <w:rsid w:val="009A4AAB"/>
    <w:rsid w:val="009A4E09"/>
    <w:rsid w:val="009A4F65"/>
    <w:rsid w:val="009A5E8D"/>
    <w:rsid w:val="009A60DE"/>
    <w:rsid w:val="009A63D1"/>
    <w:rsid w:val="009A6741"/>
    <w:rsid w:val="009A691D"/>
    <w:rsid w:val="009A7DCF"/>
    <w:rsid w:val="009B00E9"/>
    <w:rsid w:val="009B01A2"/>
    <w:rsid w:val="009B0558"/>
    <w:rsid w:val="009B0E9B"/>
    <w:rsid w:val="009B172E"/>
    <w:rsid w:val="009B267B"/>
    <w:rsid w:val="009B2C56"/>
    <w:rsid w:val="009B2F69"/>
    <w:rsid w:val="009B3181"/>
    <w:rsid w:val="009B34C9"/>
    <w:rsid w:val="009B3603"/>
    <w:rsid w:val="009B4ADB"/>
    <w:rsid w:val="009B6AF0"/>
    <w:rsid w:val="009B77B1"/>
    <w:rsid w:val="009C0553"/>
    <w:rsid w:val="009C2B85"/>
    <w:rsid w:val="009C4BE6"/>
    <w:rsid w:val="009C506F"/>
    <w:rsid w:val="009C6149"/>
    <w:rsid w:val="009C6166"/>
    <w:rsid w:val="009C621B"/>
    <w:rsid w:val="009C65BC"/>
    <w:rsid w:val="009C690E"/>
    <w:rsid w:val="009C6B30"/>
    <w:rsid w:val="009C6BC2"/>
    <w:rsid w:val="009C7601"/>
    <w:rsid w:val="009C7967"/>
    <w:rsid w:val="009D0C49"/>
    <w:rsid w:val="009D1435"/>
    <w:rsid w:val="009D15E9"/>
    <w:rsid w:val="009D1B88"/>
    <w:rsid w:val="009D1BE0"/>
    <w:rsid w:val="009D2BB8"/>
    <w:rsid w:val="009D39B9"/>
    <w:rsid w:val="009D5535"/>
    <w:rsid w:val="009D631A"/>
    <w:rsid w:val="009D6ADA"/>
    <w:rsid w:val="009D6C69"/>
    <w:rsid w:val="009D7055"/>
    <w:rsid w:val="009D73CC"/>
    <w:rsid w:val="009D79CB"/>
    <w:rsid w:val="009D7C2B"/>
    <w:rsid w:val="009E01AB"/>
    <w:rsid w:val="009E0ABE"/>
    <w:rsid w:val="009E0B28"/>
    <w:rsid w:val="009E1B8A"/>
    <w:rsid w:val="009E2F4E"/>
    <w:rsid w:val="009E4978"/>
    <w:rsid w:val="009E56C4"/>
    <w:rsid w:val="009E5DCA"/>
    <w:rsid w:val="009E5DE3"/>
    <w:rsid w:val="009E65FB"/>
    <w:rsid w:val="009E668B"/>
    <w:rsid w:val="009F021F"/>
    <w:rsid w:val="009F029C"/>
    <w:rsid w:val="009F15FC"/>
    <w:rsid w:val="009F1E8C"/>
    <w:rsid w:val="009F35C9"/>
    <w:rsid w:val="009F35CA"/>
    <w:rsid w:val="009F389A"/>
    <w:rsid w:val="009F42AC"/>
    <w:rsid w:val="009F4540"/>
    <w:rsid w:val="009F45C9"/>
    <w:rsid w:val="009F5CEA"/>
    <w:rsid w:val="009F619A"/>
    <w:rsid w:val="009F6566"/>
    <w:rsid w:val="009F6B15"/>
    <w:rsid w:val="009F73A8"/>
    <w:rsid w:val="009F7B37"/>
    <w:rsid w:val="00A003FB"/>
    <w:rsid w:val="00A01734"/>
    <w:rsid w:val="00A017B5"/>
    <w:rsid w:val="00A01EEC"/>
    <w:rsid w:val="00A021A4"/>
    <w:rsid w:val="00A024EA"/>
    <w:rsid w:val="00A028C9"/>
    <w:rsid w:val="00A029A8"/>
    <w:rsid w:val="00A0354D"/>
    <w:rsid w:val="00A03568"/>
    <w:rsid w:val="00A04F81"/>
    <w:rsid w:val="00A05E81"/>
    <w:rsid w:val="00A0725A"/>
    <w:rsid w:val="00A074B2"/>
    <w:rsid w:val="00A0B28E"/>
    <w:rsid w:val="00A10359"/>
    <w:rsid w:val="00A10743"/>
    <w:rsid w:val="00A10F2E"/>
    <w:rsid w:val="00A11581"/>
    <w:rsid w:val="00A11913"/>
    <w:rsid w:val="00A12451"/>
    <w:rsid w:val="00A12B3F"/>
    <w:rsid w:val="00A12DAF"/>
    <w:rsid w:val="00A133CC"/>
    <w:rsid w:val="00A135FF"/>
    <w:rsid w:val="00A1366F"/>
    <w:rsid w:val="00A13779"/>
    <w:rsid w:val="00A13932"/>
    <w:rsid w:val="00A1428C"/>
    <w:rsid w:val="00A14317"/>
    <w:rsid w:val="00A14AE8"/>
    <w:rsid w:val="00A15B42"/>
    <w:rsid w:val="00A15F42"/>
    <w:rsid w:val="00A1757D"/>
    <w:rsid w:val="00A177FB"/>
    <w:rsid w:val="00A1796D"/>
    <w:rsid w:val="00A17A1E"/>
    <w:rsid w:val="00A17C07"/>
    <w:rsid w:val="00A17E75"/>
    <w:rsid w:val="00A20698"/>
    <w:rsid w:val="00A20777"/>
    <w:rsid w:val="00A20D4C"/>
    <w:rsid w:val="00A21738"/>
    <w:rsid w:val="00A219E2"/>
    <w:rsid w:val="00A21CB4"/>
    <w:rsid w:val="00A21EA6"/>
    <w:rsid w:val="00A22943"/>
    <w:rsid w:val="00A22C40"/>
    <w:rsid w:val="00A22F9A"/>
    <w:rsid w:val="00A2335A"/>
    <w:rsid w:val="00A23897"/>
    <w:rsid w:val="00A23B45"/>
    <w:rsid w:val="00A242F6"/>
    <w:rsid w:val="00A24484"/>
    <w:rsid w:val="00A2463B"/>
    <w:rsid w:val="00A24666"/>
    <w:rsid w:val="00A24762"/>
    <w:rsid w:val="00A2541A"/>
    <w:rsid w:val="00A26053"/>
    <w:rsid w:val="00A26170"/>
    <w:rsid w:val="00A26220"/>
    <w:rsid w:val="00A30144"/>
    <w:rsid w:val="00A3077D"/>
    <w:rsid w:val="00A31360"/>
    <w:rsid w:val="00A3157A"/>
    <w:rsid w:val="00A3175D"/>
    <w:rsid w:val="00A317BC"/>
    <w:rsid w:val="00A32504"/>
    <w:rsid w:val="00A3251F"/>
    <w:rsid w:val="00A32AB7"/>
    <w:rsid w:val="00A32D3C"/>
    <w:rsid w:val="00A32F68"/>
    <w:rsid w:val="00A34492"/>
    <w:rsid w:val="00A34DAD"/>
    <w:rsid w:val="00A3533D"/>
    <w:rsid w:val="00A35358"/>
    <w:rsid w:val="00A35464"/>
    <w:rsid w:val="00A35729"/>
    <w:rsid w:val="00A357FE"/>
    <w:rsid w:val="00A35B95"/>
    <w:rsid w:val="00A35BEF"/>
    <w:rsid w:val="00A35C3E"/>
    <w:rsid w:val="00A362F1"/>
    <w:rsid w:val="00A36612"/>
    <w:rsid w:val="00A3721C"/>
    <w:rsid w:val="00A3F6EA"/>
    <w:rsid w:val="00A401F6"/>
    <w:rsid w:val="00A40268"/>
    <w:rsid w:val="00A410F9"/>
    <w:rsid w:val="00A41B23"/>
    <w:rsid w:val="00A434F3"/>
    <w:rsid w:val="00A44611"/>
    <w:rsid w:val="00A449A5"/>
    <w:rsid w:val="00A449E6"/>
    <w:rsid w:val="00A44CAE"/>
    <w:rsid w:val="00A45086"/>
    <w:rsid w:val="00A46AD1"/>
    <w:rsid w:val="00A474C7"/>
    <w:rsid w:val="00A479F5"/>
    <w:rsid w:val="00A5015A"/>
    <w:rsid w:val="00A5193C"/>
    <w:rsid w:val="00A53A69"/>
    <w:rsid w:val="00A53FDA"/>
    <w:rsid w:val="00A541E7"/>
    <w:rsid w:val="00A553BA"/>
    <w:rsid w:val="00A556C9"/>
    <w:rsid w:val="00A5590C"/>
    <w:rsid w:val="00A570D7"/>
    <w:rsid w:val="00A579EF"/>
    <w:rsid w:val="00A60F68"/>
    <w:rsid w:val="00A61144"/>
    <w:rsid w:val="00A61B81"/>
    <w:rsid w:val="00A6274D"/>
    <w:rsid w:val="00A62C63"/>
    <w:rsid w:val="00A6351C"/>
    <w:rsid w:val="00A63A69"/>
    <w:rsid w:val="00A6414D"/>
    <w:rsid w:val="00A641F4"/>
    <w:rsid w:val="00A6447E"/>
    <w:rsid w:val="00A64C80"/>
    <w:rsid w:val="00A64D6E"/>
    <w:rsid w:val="00A64DC2"/>
    <w:rsid w:val="00A65258"/>
    <w:rsid w:val="00A658D7"/>
    <w:rsid w:val="00A668B6"/>
    <w:rsid w:val="00A66937"/>
    <w:rsid w:val="00A676A4"/>
    <w:rsid w:val="00A6793E"/>
    <w:rsid w:val="00A704EF"/>
    <w:rsid w:val="00A706CE"/>
    <w:rsid w:val="00A71DA1"/>
    <w:rsid w:val="00A71E25"/>
    <w:rsid w:val="00A72277"/>
    <w:rsid w:val="00A73F46"/>
    <w:rsid w:val="00A74118"/>
    <w:rsid w:val="00A741F5"/>
    <w:rsid w:val="00A74A7E"/>
    <w:rsid w:val="00A74FB4"/>
    <w:rsid w:val="00A74FD6"/>
    <w:rsid w:val="00A756C7"/>
    <w:rsid w:val="00A75F42"/>
    <w:rsid w:val="00A76584"/>
    <w:rsid w:val="00A76A08"/>
    <w:rsid w:val="00A76AD9"/>
    <w:rsid w:val="00A76D12"/>
    <w:rsid w:val="00A77BD7"/>
    <w:rsid w:val="00A77FF8"/>
    <w:rsid w:val="00A805E2"/>
    <w:rsid w:val="00A8076F"/>
    <w:rsid w:val="00A810EF"/>
    <w:rsid w:val="00A81D51"/>
    <w:rsid w:val="00A81D6F"/>
    <w:rsid w:val="00A81F4C"/>
    <w:rsid w:val="00A827B8"/>
    <w:rsid w:val="00A83256"/>
    <w:rsid w:val="00A83781"/>
    <w:rsid w:val="00A84255"/>
    <w:rsid w:val="00A842B2"/>
    <w:rsid w:val="00A84AAA"/>
    <w:rsid w:val="00A855B6"/>
    <w:rsid w:val="00A8561C"/>
    <w:rsid w:val="00A85C47"/>
    <w:rsid w:val="00A860E0"/>
    <w:rsid w:val="00A861C0"/>
    <w:rsid w:val="00A8679C"/>
    <w:rsid w:val="00A8692E"/>
    <w:rsid w:val="00A87102"/>
    <w:rsid w:val="00A8725E"/>
    <w:rsid w:val="00A878E7"/>
    <w:rsid w:val="00A903D0"/>
    <w:rsid w:val="00A90A7E"/>
    <w:rsid w:val="00A9130F"/>
    <w:rsid w:val="00A91545"/>
    <w:rsid w:val="00A91D08"/>
    <w:rsid w:val="00A92595"/>
    <w:rsid w:val="00A9276D"/>
    <w:rsid w:val="00A92952"/>
    <w:rsid w:val="00A93B1C"/>
    <w:rsid w:val="00A93D94"/>
    <w:rsid w:val="00A94015"/>
    <w:rsid w:val="00A943D6"/>
    <w:rsid w:val="00A9482C"/>
    <w:rsid w:val="00A94EA5"/>
    <w:rsid w:val="00A95234"/>
    <w:rsid w:val="00A978DC"/>
    <w:rsid w:val="00AA00E0"/>
    <w:rsid w:val="00AA051C"/>
    <w:rsid w:val="00AA05D2"/>
    <w:rsid w:val="00AA0B10"/>
    <w:rsid w:val="00AA11ED"/>
    <w:rsid w:val="00AA1C02"/>
    <w:rsid w:val="00AA2095"/>
    <w:rsid w:val="00AA2A8D"/>
    <w:rsid w:val="00AA389B"/>
    <w:rsid w:val="00AA450A"/>
    <w:rsid w:val="00AA4DAA"/>
    <w:rsid w:val="00AA5245"/>
    <w:rsid w:val="00AA52FE"/>
    <w:rsid w:val="00AA5528"/>
    <w:rsid w:val="00AA5DE4"/>
    <w:rsid w:val="00AA66EF"/>
    <w:rsid w:val="00AA6E6F"/>
    <w:rsid w:val="00AA76A5"/>
    <w:rsid w:val="00AA76B8"/>
    <w:rsid w:val="00AB09EE"/>
    <w:rsid w:val="00AB174D"/>
    <w:rsid w:val="00AB1896"/>
    <w:rsid w:val="00AB1CA5"/>
    <w:rsid w:val="00AB1D25"/>
    <w:rsid w:val="00AB1E7C"/>
    <w:rsid w:val="00AB2423"/>
    <w:rsid w:val="00AB2B4D"/>
    <w:rsid w:val="00AB362C"/>
    <w:rsid w:val="00AB3DAB"/>
    <w:rsid w:val="00AB51CD"/>
    <w:rsid w:val="00AB5773"/>
    <w:rsid w:val="00AB72B8"/>
    <w:rsid w:val="00AB7A99"/>
    <w:rsid w:val="00AC0CA6"/>
    <w:rsid w:val="00AC15C4"/>
    <w:rsid w:val="00AC1CA6"/>
    <w:rsid w:val="00AC2311"/>
    <w:rsid w:val="00AC23D1"/>
    <w:rsid w:val="00AC4274"/>
    <w:rsid w:val="00AC4D32"/>
    <w:rsid w:val="00AC5244"/>
    <w:rsid w:val="00AC534E"/>
    <w:rsid w:val="00AC5851"/>
    <w:rsid w:val="00AC6343"/>
    <w:rsid w:val="00AC6958"/>
    <w:rsid w:val="00AC71FE"/>
    <w:rsid w:val="00AC768A"/>
    <w:rsid w:val="00AC791B"/>
    <w:rsid w:val="00AC7B65"/>
    <w:rsid w:val="00AD1715"/>
    <w:rsid w:val="00AD1A97"/>
    <w:rsid w:val="00AD2053"/>
    <w:rsid w:val="00AD2606"/>
    <w:rsid w:val="00AD2C62"/>
    <w:rsid w:val="00AD2C7C"/>
    <w:rsid w:val="00AD3E30"/>
    <w:rsid w:val="00AD4078"/>
    <w:rsid w:val="00AD4095"/>
    <w:rsid w:val="00AD4516"/>
    <w:rsid w:val="00AD49F3"/>
    <w:rsid w:val="00AD4C23"/>
    <w:rsid w:val="00AD603F"/>
    <w:rsid w:val="00AD615B"/>
    <w:rsid w:val="00AD6457"/>
    <w:rsid w:val="00AD713D"/>
    <w:rsid w:val="00AD7394"/>
    <w:rsid w:val="00AD73AE"/>
    <w:rsid w:val="00AD77AB"/>
    <w:rsid w:val="00AD79F1"/>
    <w:rsid w:val="00ADEE7F"/>
    <w:rsid w:val="00AE067A"/>
    <w:rsid w:val="00AE094C"/>
    <w:rsid w:val="00AE0BA4"/>
    <w:rsid w:val="00AE0C77"/>
    <w:rsid w:val="00AE0FA0"/>
    <w:rsid w:val="00AE117A"/>
    <w:rsid w:val="00AE12A3"/>
    <w:rsid w:val="00AE157D"/>
    <w:rsid w:val="00AE1E00"/>
    <w:rsid w:val="00AE21E6"/>
    <w:rsid w:val="00AE2329"/>
    <w:rsid w:val="00AE2AA7"/>
    <w:rsid w:val="00AE2C88"/>
    <w:rsid w:val="00AE2DD1"/>
    <w:rsid w:val="00AE337B"/>
    <w:rsid w:val="00AE35AF"/>
    <w:rsid w:val="00AE3927"/>
    <w:rsid w:val="00AE39A5"/>
    <w:rsid w:val="00AE3A10"/>
    <w:rsid w:val="00AE3DAD"/>
    <w:rsid w:val="00AE4AF8"/>
    <w:rsid w:val="00AE4AFC"/>
    <w:rsid w:val="00AE51E3"/>
    <w:rsid w:val="00AE595C"/>
    <w:rsid w:val="00AE59C6"/>
    <w:rsid w:val="00AE5D07"/>
    <w:rsid w:val="00AE5FAE"/>
    <w:rsid w:val="00AE65EB"/>
    <w:rsid w:val="00AE69B8"/>
    <w:rsid w:val="00AE729A"/>
    <w:rsid w:val="00AE7911"/>
    <w:rsid w:val="00AE797B"/>
    <w:rsid w:val="00AE7B59"/>
    <w:rsid w:val="00AF005E"/>
    <w:rsid w:val="00AF00D3"/>
    <w:rsid w:val="00AF0299"/>
    <w:rsid w:val="00AF03E0"/>
    <w:rsid w:val="00AF0497"/>
    <w:rsid w:val="00AF0739"/>
    <w:rsid w:val="00AF0954"/>
    <w:rsid w:val="00AF1274"/>
    <w:rsid w:val="00AF1907"/>
    <w:rsid w:val="00AF1D21"/>
    <w:rsid w:val="00AF21B3"/>
    <w:rsid w:val="00AF2579"/>
    <w:rsid w:val="00AF25A4"/>
    <w:rsid w:val="00AF27A1"/>
    <w:rsid w:val="00AF2D54"/>
    <w:rsid w:val="00AF35FC"/>
    <w:rsid w:val="00AF3E42"/>
    <w:rsid w:val="00AF4393"/>
    <w:rsid w:val="00AF4A56"/>
    <w:rsid w:val="00AF560C"/>
    <w:rsid w:val="00AF5D62"/>
    <w:rsid w:val="00B00043"/>
    <w:rsid w:val="00B006FE"/>
    <w:rsid w:val="00B012E1"/>
    <w:rsid w:val="00B01BAC"/>
    <w:rsid w:val="00B01DA3"/>
    <w:rsid w:val="00B042F3"/>
    <w:rsid w:val="00B04502"/>
    <w:rsid w:val="00B05505"/>
    <w:rsid w:val="00B056BA"/>
    <w:rsid w:val="00B05C50"/>
    <w:rsid w:val="00B05E0C"/>
    <w:rsid w:val="00B06316"/>
    <w:rsid w:val="00B069A6"/>
    <w:rsid w:val="00B10F2E"/>
    <w:rsid w:val="00B111EA"/>
    <w:rsid w:val="00B116D8"/>
    <w:rsid w:val="00B119CD"/>
    <w:rsid w:val="00B1308E"/>
    <w:rsid w:val="00B13552"/>
    <w:rsid w:val="00B135C6"/>
    <w:rsid w:val="00B137F1"/>
    <w:rsid w:val="00B13B7C"/>
    <w:rsid w:val="00B1410B"/>
    <w:rsid w:val="00B14D4A"/>
    <w:rsid w:val="00B14D57"/>
    <w:rsid w:val="00B15568"/>
    <w:rsid w:val="00B1574A"/>
    <w:rsid w:val="00B15DBA"/>
    <w:rsid w:val="00B15DD8"/>
    <w:rsid w:val="00B1626C"/>
    <w:rsid w:val="00B166A0"/>
    <w:rsid w:val="00B16CD0"/>
    <w:rsid w:val="00B172F1"/>
    <w:rsid w:val="00B175C3"/>
    <w:rsid w:val="00B17801"/>
    <w:rsid w:val="00B17C4D"/>
    <w:rsid w:val="00B21340"/>
    <w:rsid w:val="00B21B25"/>
    <w:rsid w:val="00B21F78"/>
    <w:rsid w:val="00B224BB"/>
    <w:rsid w:val="00B22CF5"/>
    <w:rsid w:val="00B22FEE"/>
    <w:rsid w:val="00B23092"/>
    <w:rsid w:val="00B23221"/>
    <w:rsid w:val="00B23479"/>
    <w:rsid w:val="00B23608"/>
    <w:rsid w:val="00B2399A"/>
    <w:rsid w:val="00B23C54"/>
    <w:rsid w:val="00B23CED"/>
    <w:rsid w:val="00B241E5"/>
    <w:rsid w:val="00B25179"/>
    <w:rsid w:val="00B25425"/>
    <w:rsid w:val="00B25CC5"/>
    <w:rsid w:val="00B269E2"/>
    <w:rsid w:val="00B26DA4"/>
    <w:rsid w:val="00B26FC7"/>
    <w:rsid w:val="00B27695"/>
    <w:rsid w:val="00B27FA0"/>
    <w:rsid w:val="00B31309"/>
    <w:rsid w:val="00B31464"/>
    <w:rsid w:val="00B315CB"/>
    <w:rsid w:val="00B319AA"/>
    <w:rsid w:val="00B31D14"/>
    <w:rsid w:val="00B31E2A"/>
    <w:rsid w:val="00B31F50"/>
    <w:rsid w:val="00B32783"/>
    <w:rsid w:val="00B340E7"/>
    <w:rsid w:val="00B34359"/>
    <w:rsid w:val="00B345DD"/>
    <w:rsid w:val="00B3558D"/>
    <w:rsid w:val="00B357AB"/>
    <w:rsid w:val="00B361C2"/>
    <w:rsid w:val="00B36505"/>
    <w:rsid w:val="00B371E9"/>
    <w:rsid w:val="00B401D1"/>
    <w:rsid w:val="00B409FA"/>
    <w:rsid w:val="00B4183C"/>
    <w:rsid w:val="00B41D12"/>
    <w:rsid w:val="00B424BD"/>
    <w:rsid w:val="00B42735"/>
    <w:rsid w:val="00B42989"/>
    <w:rsid w:val="00B42C25"/>
    <w:rsid w:val="00B431D5"/>
    <w:rsid w:val="00B43576"/>
    <w:rsid w:val="00B436D6"/>
    <w:rsid w:val="00B43F32"/>
    <w:rsid w:val="00B444BB"/>
    <w:rsid w:val="00B444F7"/>
    <w:rsid w:val="00B44773"/>
    <w:rsid w:val="00B44989"/>
    <w:rsid w:val="00B44FB6"/>
    <w:rsid w:val="00B45555"/>
    <w:rsid w:val="00B45703"/>
    <w:rsid w:val="00B45754"/>
    <w:rsid w:val="00B45757"/>
    <w:rsid w:val="00B45E10"/>
    <w:rsid w:val="00B46381"/>
    <w:rsid w:val="00B468D9"/>
    <w:rsid w:val="00B473F9"/>
    <w:rsid w:val="00B4743D"/>
    <w:rsid w:val="00B476F3"/>
    <w:rsid w:val="00B477B6"/>
    <w:rsid w:val="00B503C3"/>
    <w:rsid w:val="00B515B4"/>
    <w:rsid w:val="00B51D21"/>
    <w:rsid w:val="00B52452"/>
    <w:rsid w:val="00B52C0E"/>
    <w:rsid w:val="00B533B0"/>
    <w:rsid w:val="00B53683"/>
    <w:rsid w:val="00B54AD4"/>
    <w:rsid w:val="00B55210"/>
    <w:rsid w:val="00B557F3"/>
    <w:rsid w:val="00B60000"/>
    <w:rsid w:val="00B60073"/>
    <w:rsid w:val="00B601B6"/>
    <w:rsid w:val="00B60BF9"/>
    <w:rsid w:val="00B60D86"/>
    <w:rsid w:val="00B6115D"/>
    <w:rsid w:val="00B62BDD"/>
    <w:rsid w:val="00B635A0"/>
    <w:rsid w:val="00B6384A"/>
    <w:rsid w:val="00B6388D"/>
    <w:rsid w:val="00B6477C"/>
    <w:rsid w:val="00B65225"/>
    <w:rsid w:val="00B663BC"/>
    <w:rsid w:val="00B6683F"/>
    <w:rsid w:val="00B6689B"/>
    <w:rsid w:val="00B66F3B"/>
    <w:rsid w:val="00B67565"/>
    <w:rsid w:val="00B70073"/>
    <w:rsid w:val="00B705DC"/>
    <w:rsid w:val="00B71151"/>
    <w:rsid w:val="00B7305D"/>
    <w:rsid w:val="00B733D5"/>
    <w:rsid w:val="00B75330"/>
    <w:rsid w:val="00B7546C"/>
    <w:rsid w:val="00B75E5B"/>
    <w:rsid w:val="00B76516"/>
    <w:rsid w:val="00B7654E"/>
    <w:rsid w:val="00B76AB0"/>
    <w:rsid w:val="00B77BB8"/>
    <w:rsid w:val="00B77D09"/>
    <w:rsid w:val="00B8068F"/>
    <w:rsid w:val="00B808FA"/>
    <w:rsid w:val="00B81695"/>
    <w:rsid w:val="00B81C66"/>
    <w:rsid w:val="00B82057"/>
    <w:rsid w:val="00B8251F"/>
    <w:rsid w:val="00B82B8D"/>
    <w:rsid w:val="00B8384D"/>
    <w:rsid w:val="00B846D1"/>
    <w:rsid w:val="00B84876"/>
    <w:rsid w:val="00B85252"/>
    <w:rsid w:val="00B857AF"/>
    <w:rsid w:val="00B85F59"/>
    <w:rsid w:val="00B8654F"/>
    <w:rsid w:val="00B86A8F"/>
    <w:rsid w:val="00B87740"/>
    <w:rsid w:val="00B87864"/>
    <w:rsid w:val="00B8F9FC"/>
    <w:rsid w:val="00B9014D"/>
    <w:rsid w:val="00B91326"/>
    <w:rsid w:val="00B915C4"/>
    <w:rsid w:val="00B9281B"/>
    <w:rsid w:val="00B92BB1"/>
    <w:rsid w:val="00B92E8F"/>
    <w:rsid w:val="00B940A4"/>
    <w:rsid w:val="00B94A95"/>
    <w:rsid w:val="00B94B22"/>
    <w:rsid w:val="00B953B3"/>
    <w:rsid w:val="00B95F92"/>
    <w:rsid w:val="00B96284"/>
    <w:rsid w:val="00B96EC5"/>
    <w:rsid w:val="00B978A6"/>
    <w:rsid w:val="00B97E3C"/>
    <w:rsid w:val="00B97F7B"/>
    <w:rsid w:val="00BA03BB"/>
    <w:rsid w:val="00BA13C8"/>
    <w:rsid w:val="00BA16DE"/>
    <w:rsid w:val="00BA1D45"/>
    <w:rsid w:val="00BA2262"/>
    <w:rsid w:val="00BA331E"/>
    <w:rsid w:val="00BA3D17"/>
    <w:rsid w:val="00BA40C5"/>
    <w:rsid w:val="00BA4C1D"/>
    <w:rsid w:val="00BA69BD"/>
    <w:rsid w:val="00BA727B"/>
    <w:rsid w:val="00BA78DB"/>
    <w:rsid w:val="00BA7D3D"/>
    <w:rsid w:val="00BB0239"/>
    <w:rsid w:val="00BB0282"/>
    <w:rsid w:val="00BB07F4"/>
    <w:rsid w:val="00BB11A8"/>
    <w:rsid w:val="00BB1433"/>
    <w:rsid w:val="00BB1E5D"/>
    <w:rsid w:val="00BB2120"/>
    <w:rsid w:val="00BB2186"/>
    <w:rsid w:val="00BB26C9"/>
    <w:rsid w:val="00BB29FC"/>
    <w:rsid w:val="00BB3898"/>
    <w:rsid w:val="00BB3D31"/>
    <w:rsid w:val="00BB3E8B"/>
    <w:rsid w:val="00BB3F9A"/>
    <w:rsid w:val="00BB4793"/>
    <w:rsid w:val="00BB4D9D"/>
    <w:rsid w:val="00BB51AF"/>
    <w:rsid w:val="00BB6147"/>
    <w:rsid w:val="00BB6303"/>
    <w:rsid w:val="00BB72E6"/>
    <w:rsid w:val="00BB78EC"/>
    <w:rsid w:val="00BB7DB5"/>
    <w:rsid w:val="00BC08B9"/>
    <w:rsid w:val="00BC1929"/>
    <w:rsid w:val="00BC19BC"/>
    <w:rsid w:val="00BC24A0"/>
    <w:rsid w:val="00BC2A28"/>
    <w:rsid w:val="00BC2A2D"/>
    <w:rsid w:val="00BC2B2B"/>
    <w:rsid w:val="00BC4996"/>
    <w:rsid w:val="00BC50D0"/>
    <w:rsid w:val="00BC525F"/>
    <w:rsid w:val="00BC5655"/>
    <w:rsid w:val="00BC5928"/>
    <w:rsid w:val="00BC5A86"/>
    <w:rsid w:val="00BC623C"/>
    <w:rsid w:val="00BC67B0"/>
    <w:rsid w:val="00BC6BD9"/>
    <w:rsid w:val="00BC6F2B"/>
    <w:rsid w:val="00BC6F91"/>
    <w:rsid w:val="00BC7434"/>
    <w:rsid w:val="00BC75AA"/>
    <w:rsid w:val="00BC7D87"/>
    <w:rsid w:val="00BD04F5"/>
    <w:rsid w:val="00BD0D46"/>
    <w:rsid w:val="00BD13DB"/>
    <w:rsid w:val="00BD1818"/>
    <w:rsid w:val="00BD27BC"/>
    <w:rsid w:val="00BD2802"/>
    <w:rsid w:val="00BD2A50"/>
    <w:rsid w:val="00BD2E1A"/>
    <w:rsid w:val="00BD343E"/>
    <w:rsid w:val="00BD3454"/>
    <w:rsid w:val="00BD45E0"/>
    <w:rsid w:val="00BD466D"/>
    <w:rsid w:val="00BD4D13"/>
    <w:rsid w:val="00BD557C"/>
    <w:rsid w:val="00BD5608"/>
    <w:rsid w:val="00BD64AC"/>
    <w:rsid w:val="00BD6B07"/>
    <w:rsid w:val="00BD72FE"/>
    <w:rsid w:val="00BD7AF7"/>
    <w:rsid w:val="00BD7B56"/>
    <w:rsid w:val="00BE0750"/>
    <w:rsid w:val="00BE0DDD"/>
    <w:rsid w:val="00BE1206"/>
    <w:rsid w:val="00BE1A2E"/>
    <w:rsid w:val="00BE1D0A"/>
    <w:rsid w:val="00BE1E69"/>
    <w:rsid w:val="00BE27DE"/>
    <w:rsid w:val="00BE379B"/>
    <w:rsid w:val="00BE394B"/>
    <w:rsid w:val="00BE3A00"/>
    <w:rsid w:val="00BE3FBF"/>
    <w:rsid w:val="00BE52EE"/>
    <w:rsid w:val="00BE55F5"/>
    <w:rsid w:val="00BE5618"/>
    <w:rsid w:val="00BE6A67"/>
    <w:rsid w:val="00BE77AA"/>
    <w:rsid w:val="00BF0AC9"/>
    <w:rsid w:val="00BF176A"/>
    <w:rsid w:val="00BF3432"/>
    <w:rsid w:val="00BF4BCF"/>
    <w:rsid w:val="00BF4E9D"/>
    <w:rsid w:val="00BF50EC"/>
    <w:rsid w:val="00BF5668"/>
    <w:rsid w:val="00BF5AD8"/>
    <w:rsid w:val="00BF5B9F"/>
    <w:rsid w:val="00BF6E8B"/>
    <w:rsid w:val="00BF7A22"/>
    <w:rsid w:val="00BF7A32"/>
    <w:rsid w:val="00C00672"/>
    <w:rsid w:val="00C00963"/>
    <w:rsid w:val="00C00DA6"/>
    <w:rsid w:val="00C014E3"/>
    <w:rsid w:val="00C01B2B"/>
    <w:rsid w:val="00C021FF"/>
    <w:rsid w:val="00C02692"/>
    <w:rsid w:val="00C02D4A"/>
    <w:rsid w:val="00C02EA1"/>
    <w:rsid w:val="00C03D32"/>
    <w:rsid w:val="00C05812"/>
    <w:rsid w:val="00C069F6"/>
    <w:rsid w:val="00C06B4C"/>
    <w:rsid w:val="00C06BCC"/>
    <w:rsid w:val="00C071F6"/>
    <w:rsid w:val="00C072F0"/>
    <w:rsid w:val="00C07AEC"/>
    <w:rsid w:val="00C07C94"/>
    <w:rsid w:val="00C100D0"/>
    <w:rsid w:val="00C10528"/>
    <w:rsid w:val="00C10FA7"/>
    <w:rsid w:val="00C115C3"/>
    <w:rsid w:val="00C118A7"/>
    <w:rsid w:val="00C11E2F"/>
    <w:rsid w:val="00C11E79"/>
    <w:rsid w:val="00C12641"/>
    <w:rsid w:val="00C126AA"/>
    <w:rsid w:val="00C13675"/>
    <w:rsid w:val="00C1566B"/>
    <w:rsid w:val="00C169D6"/>
    <w:rsid w:val="00C170B2"/>
    <w:rsid w:val="00C17174"/>
    <w:rsid w:val="00C17BD8"/>
    <w:rsid w:val="00C20C02"/>
    <w:rsid w:val="00C22FCD"/>
    <w:rsid w:val="00C23058"/>
    <w:rsid w:val="00C241A4"/>
    <w:rsid w:val="00C254B5"/>
    <w:rsid w:val="00C2573D"/>
    <w:rsid w:val="00C25A55"/>
    <w:rsid w:val="00C25D81"/>
    <w:rsid w:val="00C267E9"/>
    <w:rsid w:val="00C2687F"/>
    <w:rsid w:val="00C27BB4"/>
    <w:rsid w:val="00C3003D"/>
    <w:rsid w:val="00C3028F"/>
    <w:rsid w:val="00C30E52"/>
    <w:rsid w:val="00C319E0"/>
    <w:rsid w:val="00C31A8D"/>
    <w:rsid w:val="00C31BDA"/>
    <w:rsid w:val="00C31CF2"/>
    <w:rsid w:val="00C3221F"/>
    <w:rsid w:val="00C32ADC"/>
    <w:rsid w:val="00C33406"/>
    <w:rsid w:val="00C33468"/>
    <w:rsid w:val="00C334AC"/>
    <w:rsid w:val="00C335EE"/>
    <w:rsid w:val="00C34478"/>
    <w:rsid w:val="00C34601"/>
    <w:rsid w:val="00C34CA6"/>
    <w:rsid w:val="00C3552C"/>
    <w:rsid w:val="00C35846"/>
    <w:rsid w:val="00C35FC5"/>
    <w:rsid w:val="00C363EF"/>
    <w:rsid w:val="00C36E50"/>
    <w:rsid w:val="00C41183"/>
    <w:rsid w:val="00C433CF"/>
    <w:rsid w:val="00C44447"/>
    <w:rsid w:val="00C44541"/>
    <w:rsid w:val="00C44D85"/>
    <w:rsid w:val="00C44E3C"/>
    <w:rsid w:val="00C44E9F"/>
    <w:rsid w:val="00C4539F"/>
    <w:rsid w:val="00C456B8"/>
    <w:rsid w:val="00C457F4"/>
    <w:rsid w:val="00C45C37"/>
    <w:rsid w:val="00C45D67"/>
    <w:rsid w:val="00C45FEB"/>
    <w:rsid w:val="00C46B21"/>
    <w:rsid w:val="00C46B79"/>
    <w:rsid w:val="00C47929"/>
    <w:rsid w:val="00C47AD0"/>
    <w:rsid w:val="00C5061A"/>
    <w:rsid w:val="00C53172"/>
    <w:rsid w:val="00C53F98"/>
    <w:rsid w:val="00C54411"/>
    <w:rsid w:val="00C5460F"/>
    <w:rsid w:val="00C54973"/>
    <w:rsid w:val="00C54EB9"/>
    <w:rsid w:val="00C54FB7"/>
    <w:rsid w:val="00C569F5"/>
    <w:rsid w:val="00C57CB2"/>
    <w:rsid w:val="00C6098D"/>
    <w:rsid w:val="00C610D6"/>
    <w:rsid w:val="00C61D4B"/>
    <w:rsid w:val="00C61E91"/>
    <w:rsid w:val="00C621BD"/>
    <w:rsid w:val="00C628C4"/>
    <w:rsid w:val="00C62942"/>
    <w:rsid w:val="00C62B1F"/>
    <w:rsid w:val="00C63254"/>
    <w:rsid w:val="00C63B4F"/>
    <w:rsid w:val="00C649A3"/>
    <w:rsid w:val="00C65BA1"/>
    <w:rsid w:val="00C667B0"/>
    <w:rsid w:val="00C66DAC"/>
    <w:rsid w:val="00C679F1"/>
    <w:rsid w:val="00C67B8E"/>
    <w:rsid w:val="00C67C40"/>
    <w:rsid w:val="00C70398"/>
    <w:rsid w:val="00C7059D"/>
    <w:rsid w:val="00C70E25"/>
    <w:rsid w:val="00C71C61"/>
    <w:rsid w:val="00C72D7F"/>
    <w:rsid w:val="00C736C9"/>
    <w:rsid w:val="00C73ACF"/>
    <w:rsid w:val="00C73B09"/>
    <w:rsid w:val="00C749A0"/>
    <w:rsid w:val="00C75321"/>
    <w:rsid w:val="00C7554E"/>
    <w:rsid w:val="00C7563E"/>
    <w:rsid w:val="00C761F6"/>
    <w:rsid w:val="00C762ED"/>
    <w:rsid w:val="00C7695F"/>
    <w:rsid w:val="00C77120"/>
    <w:rsid w:val="00C775F3"/>
    <w:rsid w:val="00C77AB2"/>
    <w:rsid w:val="00C77F53"/>
    <w:rsid w:val="00C80065"/>
    <w:rsid w:val="00C80088"/>
    <w:rsid w:val="00C80431"/>
    <w:rsid w:val="00C80619"/>
    <w:rsid w:val="00C8088B"/>
    <w:rsid w:val="00C809CD"/>
    <w:rsid w:val="00C80BB5"/>
    <w:rsid w:val="00C81287"/>
    <w:rsid w:val="00C81F7A"/>
    <w:rsid w:val="00C82250"/>
    <w:rsid w:val="00C8228B"/>
    <w:rsid w:val="00C82342"/>
    <w:rsid w:val="00C82661"/>
    <w:rsid w:val="00C8279B"/>
    <w:rsid w:val="00C8321C"/>
    <w:rsid w:val="00C83C4D"/>
    <w:rsid w:val="00C8508F"/>
    <w:rsid w:val="00C854FE"/>
    <w:rsid w:val="00C859F7"/>
    <w:rsid w:val="00C85A9C"/>
    <w:rsid w:val="00C85F4F"/>
    <w:rsid w:val="00C86A39"/>
    <w:rsid w:val="00C87EC7"/>
    <w:rsid w:val="00C9023F"/>
    <w:rsid w:val="00C908E2"/>
    <w:rsid w:val="00C91073"/>
    <w:rsid w:val="00C91DCD"/>
    <w:rsid w:val="00C91F44"/>
    <w:rsid w:val="00C92638"/>
    <w:rsid w:val="00C92AED"/>
    <w:rsid w:val="00C939AE"/>
    <w:rsid w:val="00C94EE5"/>
    <w:rsid w:val="00C95141"/>
    <w:rsid w:val="00C9560D"/>
    <w:rsid w:val="00C962C1"/>
    <w:rsid w:val="00C96C0D"/>
    <w:rsid w:val="00C9771D"/>
    <w:rsid w:val="00C97E44"/>
    <w:rsid w:val="00CA14B0"/>
    <w:rsid w:val="00CA1C1C"/>
    <w:rsid w:val="00CA1D41"/>
    <w:rsid w:val="00CA21C4"/>
    <w:rsid w:val="00CA282C"/>
    <w:rsid w:val="00CA3F20"/>
    <w:rsid w:val="00CA4389"/>
    <w:rsid w:val="00CA4AB1"/>
    <w:rsid w:val="00CA4DAE"/>
    <w:rsid w:val="00CA50BE"/>
    <w:rsid w:val="00CA5AE4"/>
    <w:rsid w:val="00CA6AE3"/>
    <w:rsid w:val="00CA6F4E"/>
    <w:rsid w:val="00CB0C47"/>
    <w:rsid w:val="00CB1443"/>
    <w:rsid w:val="00CB1CA1"/>
    <w:rsid w:val="00CB1E18"/>
    <w:rsid w:val="00CB1EA0"/>
    <w:rsid w:val="00CB2327"/>
    <w:rsid w:val="00CB3506"/>
    <w:rsid w:val="00CB36C1"/>
    <w:rsid w:val="00CB403F"/>
    <w:rsid w:val="00CB47D1"/>
    <w:rsid w:val="00CB557C"/>
    <w:rsid w:val="00CB58A3"/>
    <w:rsid w:val="00CB5D8D"/>
    <w:rsid w:val="00CB758F"/>
    <w:rsid w:val="00CB76E4"/>
    <w:rsid w:val="00CB7DF9"/>
    <w:rsid w:val="00CB84A5"/>
    <w:rsid w:val="00CC045F"/>
    <w:rsid w:val="00CC168E"/>
    <w:rsid w:val="00CC257F"/>
    <w:rsid w:val="00CC2F8A"/>
    <w:rsid w:val="00CC3064"/>
    <w:rsid w:val="00CC3A53"/>
    <w:rsid w:val="00CC443F"/>
    <w:rsid w:val="00CC4F09"/>
    <w:rsid w:val="00CC5D71"/>
    <w:rsid w:val="00CC7185"/>
    <w:rsid w:val="00CC74FD"/>
    <w:rsid w:val="00CC7B23"/>
    <w:rsid w:val="00CC7BD9"/>
    <w:rsid w:val="00CD00E3"/>
    <w:rsid w:val="00CD03B5"/>
    <w:rsid w:val="00CD0FBB"/>
    <w:rsid w:val="00CD10DA"/>
    <w:rsid w:val="00CD1234"/>
    <w:rsid w:val="00CD2972"/>
    <w:rsid w:val="00CD2D9D"/>
    <w:rsid w:val="00CD2E55"/>
    <w:rsid w:val="00CD3835"/>
    <w:rsid w:val="00CD555A"/>
    <w:rsid w:val="00CD62A8"/>
    <w:rsid w:val="00CD636F"/>
    <w:rsid w:val="00CD6532"/>
    <w:rsid w:val="00CD67C3"/>
    <w:rsid w:val="00CD686A"/>
    <w:rsid w:val="00CD71FD"/>
    <w:rsid w:val="00CD721B"/>
    <w:rsid w:val="00CD7268"/>
    <w:rsid w:val="00CD7A00"/>
    <w:rsid w:val="00CD7E51"/>
    <w:rsid w:val="00CD7FC4"/>
    <w:rsid w:val="00CE089C"/>
    <w:rsid w:val="00CE19DC"/>
    <w:rsid w:val="00CE1AC8"/>
    <w:rsid w:val="00CE2A22"/>
    <w:rsid w:val="00CE371C"/>
    <w:rsid w:val="00CE39D1"/>
    <w:rsid w:val="00CE3DD9"/>
    <w:rsid w:val="00CE4136"/>
    <w:rsid w:val="00CE513C"/>
    <w:rsid w:val="00CE5729"/>
    <w:rsid w:val="00CE5BD4"/>
    <w:rsid w:val="00CE5F8A"/>
    <w:rsid w:val="00CE6609"/>
    <w:rsid w:val="00CE6AC3"/>
    <w:rsid w:val="00CE6BF9"/>
    <w:rsid w:val="00CE6C5B"/>
    <w:rsid w:val="00CE72B2"/>
    <w:rsid w:val="00CE7470"/>
    <w:rsid w:val="00CE7C22"/>
    <w:rsid w:val="00CED829"/>
    <w:rsid w:val="00CF00C7"/>
    <w:rsid w:val="00CF1037"/>
    <w:rsid w:val="00CF2768"/>
    <w:rsid w:val="00CF391F"/>
    <w:rsid w:val="00CF49D2"/>
    <w:rsid w:val="00CF50C0"/>
    <w:rsid w:val="00CF5185"/>
    <w:rsid w:val="00CF5BD1"/>
    <w:rsid w:val="00CF6A9F"/>
    <w:rsid w:val="00CF7A13"/>
    <w:rsid w:val="00CF7C97"/>
    <w:rsid w:val="00CF7FBF"/>
    <w:rsid w:val="00D0019F"/>
    <w:rsid w:val="00D004D6"/>
    <w:rsid w:val="00D00F24"/>
    <w:rsid w:val="00D01399"/>
    <w:rsid w:val="00D01962"/>
    <w:rsid w:val="00D01FF9"/>
    <w:rsid w:val="00D0365A"/>
    <w:rsid w:val="00D03A83"/>
    <w:rsid w:val="00D03BBD"/>
    <w:rsid w:val="00D04463"/>
    <w:rsid w:val="00D04972"/>
    <w:rsid w:val="00D04F50"/>
    <w:rsid w:val="00D056DB"/>
    <w:rsid w:val="00D06087"/>
    <w:rsid w:val="00D109B1"/>
    <w:rsid w:val="00D10BEA"/>
    <w:rsid w:val="00D1107F"/>
    <w:rsid w:val="00D113FF"/>
    <w:rsid w:val="00D11A51"/>
    <w:rsid w:val="00D11B51"/>
    <w:rsid w:val="00D11BFF"/>
    <w:rsid w:val="00D12128"/>
    <w:rsid w:val="00D12427"/>
    <w:rsid w:val="00D14A3D"/>
    <w:rsid w:val="00D15987"/>
    <w:rsid w:val="00D162AA"/>
    <w:rsid w:val="00D165C7"/>
    <w:rsid w:val="00D16868"/>
    <w:rsid w:val="00D16957"/>
    <w:rsid w:val="00D16B6E"/>
    <w:rsid w:val="00D17FE2"/>
    <w:rsid w:val="00D20A39"/>
    <w:rsid w:val="00D21071"/>
    <w:rsid w:val="00D2109C"/>
    <w:rsid w:val="00D21871"/>
    <w:rsid w:val="00D219C8"/>
    <w:rsid w:val="00D226AF"/>
    <w:rsid w:val="00D227A5"/>
    <w:rsid w:val="00D2330E"/>
    <w:rsid w:val="00D23325"/>
    <w:rsid w:val="00D237B0"/>
    <w:rsid w:val="00D23A3D"/>
    <w:rsid w:val="00D23CA8"/>
    <w:rsid w:val="00D242E1"/>
    <w:rsid w:val="00D2444B"/>
    <w:rsid w:val="00D24751"/>
    <w:rsid w:val="00D248EF"/>
    <w:rsid w:val="00D251DA"/>
    <w:rsid w:val="00D25285"/>
    <w:rsid w:val="00D25384"/>
    <w:rsid w:val="00D254AB"/>
    <w:rsid w:val="00D25AC4"/>
    <w:rsid w:val="00D25BF0"/>
    <w:rsid w:val="00D26111"/>
    <w:rsid w:val="00D26EBC"/>
    <w:rsid w:val="00D27657"/>
    <w:rsid w:val="00D27A24"/>
    <w:rsid w:val="00D3097F"/>
    <w:rsid w:val="00D30E3D"/>
    <w:rsid w:val="00D310B0"/>
    <w:rsid w:val="00D312C0"/>
    <w:rsid w:val="00D31EB8"/>
    <w:rsid w:val="00D323A7"/>
    <w:rsid w:val="00D32797"/>
    <w:rsid w:val="00D33114"/>
    <w:rsid w:val="00D336CA"/>
    <w:rsid w:val="00D33F1C"/>
    <w:rsid w:val="00D34670"/>
    <w:rsid w:val="00D3520E"/>
    <w:rsid w:val="00D35422"/>
    <w:rsid w:val="00D359E5"/>
    <w:rsid w:val="00D3609D"/>
    <w:rsid w:val="00D36A3F"/>
    <w:rsid w:val="00D36CEE"/>
    <w:rsid w:val="00D3731D"/>
    <w:rsid w:val="00D402E0"/>
    <w:rsid w:val="00D4066E"/>
    <w:rsid w:val="00D40B48"/>
    <w:rsid w:val="00D40B4A"/>
    <w:rsid w:val="00D415AB"/>
    <w:rsid w:val="00D41BE8"/>
    <w:rsid w:val="00D429C9"/>
    <w:rsid w:val="00D42CDF"/>
    <w:rsid w:val="00D42CFD"/>
    <w:rsid w:val="00D43109"/>
    <w:rsid w:val="00D43534"/>
    <w:rsid w:val="00D43AB8"/>
    <w:rsid w:val="00D44B4B"/>
    <w:rsid w:val="00D45252"/>
    <w:rsid w:val="00D45579"/>
    <w:rsid w:val="00D45769"/>
    <w:rsid w:val="00D45BDD"/>
    <w:rsid w:val="00D460BF"/>
    <w:rsid w:val="00D473AA"/>
    <w:rsid w:val="00D474BD"/>
    <w:rsid w:val="00D503B7"/>
    <w:rsid w:val="00D50683"/>
    <w:rsid w:val="00D50950"/>
    <w:rsid w:val="00D50A81"/>
    <w:rsid w:val="00D51E48"/>
    <w:rsid w:val="00D52A3A"/>
    <w:rsid w:val="00D52E16"/>
    <w:rsid w:val="00D52E9F"/>
    <w:rsid w:val="00D52F11"/>
    <w:rsid w:val="00D535AF"/>
    <w:rsid w:val="00D539B9"/>
    <w:rsid w:val="00D54196"/>
    <w:rsid w:val="00D5603E"/>
    <w:rsid w:val="00D565CB"/>
    <w:rsid w:val="00D572F4"/>
    <w:rsid w:val="00D575BE"/>
    <w:rsid w:val="00D57749"/>
    <w:rsid w:val="00D57BB6"/>
    <w:rsid w:val="00D60011"/>
    <w:rsid w:val="00D60CD1"/>
    <w:rsid w:val="00D60D4A"/>
    <w:rsid w:val="00D617A8"/>
    <w:rsid w:val="00D61B8C"/>
    <w:rsid w:val="00D624E1"/>
    <w:rsid w:val="00D62882"/>
    <w:rsid w:val="00D632D2"/>
    <w:rsid w:val="00D63866"/>
    <w:rsid w:val="00D63D0A"/>
    <w:rsid w:val="00D63F98"/>
    <w:rsid w:val="00D64B21"/>
    <w:rsid w:val="00D64C39"/>
    <w:rsid w:val="00D653B9"/>
    <w:rsid w:val="00D6570B"/>
    <w:rsid w:val="00D65AC0"/>
    <w:rsid w:val="00D65B85"/>
    <w:rsid w:val="00D660BF"/>
    <w:rsid w:val="00D665FA"/>
    <w:rsid w:val="00D66791"/>
    <w:rsid w:val="00D66A56"/>
    <w:rsid w:val="00D66D9E"/>
    <w:rsid w:val="00D672C3"/>
    <w:rsid w:val="00D67703"/>
    <w:rsid w:val="00D70230"/>
    <w:rsid w:val="00D7033F"/>
    <w:rsid w:val="00D70A17"/>
    <w:rsid w:val="00D70FAC"/>
    <w:rsid w:val="00D713F6"/>
    <w:rsid w:val="00D72FF4"/>
    <w:rsid w:val="00D741D1"/>
    <w:rsid w:val="00D74805"/>
    <w:rsid w:val="00D7495D"/>
    <w:rsid w:val="00D74BAD"/>
    <w:rsid w:val="00D74C6F"/>
    <w:rsid w:val="00D74F9F"/>
    <w:rsid w:val="00D74FC3"/>
    <w:rsid w:val="00D7589B"/>
    <w:rsid w:val="00D76578"/>
    <w:rsid w:val="00D802A2"/>
    <w:rsid w:val="00D80385"/>
    <w:rsid w:val="00D80931"/>
    <w:rsid w:val="00D80B10"/>
    <w:rsid w:val="00D80BEB"/>
    <w:rsid w:val="00D8134A"/>
    <w:rsid w:val="00D814FC"/>
    <w:rsid w:val="00D81C20"/>
    <w:rsid w:val="00D81D7C"/>
    <w:rsid w:val="00D81E62"/>
    <w:rsid w:val="00D8274C"/>
    <w:rsid w:val="00D82959"/>
    <w:rsid w:val="00D82ED1"/>
    <w:rsid w:val="00D8310D"/>
    <w:rsid w:val="00D834BD"/>
    <w:rsid w:val="00D83D0D"/>
    <w:rsid w:val="00D84184"/>
    <w:rsid w:val="00D84FDA"/>
    <w:rsid w:val="00D8516C"/>
    <w:rsid w:val="00D85261"/>
    <w:rsid w:val="00D86A0A"/>
    <w:rsid w:val="00D86AEE"/>
    <w:rsid w:val="00D86D72"/>
    <w:rsid w:val="00D87221"/>
    <w:rsid w:val="00D91A4D"/>
    <w:rsid w:val="00D91BF1"/>
    <w:rsid w:val="00D91D4C"/>
    <w:rsid w:val="00D92DC0"/>
    <w:rsid w:val="00D931E2"/>
    <w:rsid w:val="00D9369D"/>
    <w:rsid w:val="00D93812"/>
    <w:rsid w:val="00D9413E"/>
    <w:rsid w:val="00D943BC"/>
    <w:rsid w:val="00D94E66"/>
    <w:rsid w:val="00D954D0"/>
    <w:rsid w:val="00D95A03"/>
    <w:rsid w:val="00D95FA4"/>
    <w:rsid w:val="00D97433"/>
    <w:rsid w:val="00D97469"/>
    <w:rsid w:val="00DA07E2"/>
    <w:rsid w:val="00DA098D"/>
    <w:rsid w:val="00DA0AA0"/>
    <w:rsid w:val="00DA0DA1"/>
    <w:rsid w:val="00DA1673"/>
    <w:rsid w:val="00DA18A1"/>
    <w:rsid w:val="00DA2238"/>
    <w:rsid w:val="00DA29F5"/>
    <w:rsid w:val="00DA31EF"/>
    <w:rsid w:val="00DA4504"/>
    <w:rsid w:val="00DA4BC3"/>
    <w:rsid w:val="00DA55B9"/>
    <w:rsid w:val="00DA5F70"/>
    <w:rsid w:val="00DA6E91"/>
    <w:rsid w:val="00DA7124"/>
    <w:rsid w:val="00DA735E"/>
    <w:rsid w:val="00DB05D0"/>
    <w:rsid w:val="00DB0B14"/>
    <w:rsid w:val="00DB0BEC"/>
    <w:rsid w:val="00DB0E0C"/>
    <w:rsid w:val="00DB1299"/>
    <w:rsid w:val="00DB1B56"/>
    <w:rsid w:val="00DB236E"/>
    <w:rsid w:val="00DB295D"/>
    <w:rsid w:val="00DB363B"/>
    <w:rsid w:val="00DB4F4D"/>
    <w:rsid w:val="00DB4FDB"/>
    <w:rsid w:val="00DB544D"/>
    <w:rsid w:val="00DB5AC5"/>
    <w:rsid w:val="00DB5D28"/>
    <w:rsid w:val="00DB619F"/>
    <w:rsid w:val="00DB6766"/>
    <w:rsid w:val="00DB6788"/>
    <w:rsid w:val="00DB68EA"/>
    <w:rsid w:val="00DB75C2"/>
    <w:rsid w:val="00DB7BFA"/>
    <w:rsid w:val="00DC0164"/>
    <w:rsid w:val="00DC11F7"/>
    <w:rsid w:val="00DC17A0"/>
    <w:rsid w:val="00DC2409"/>
    <w:rsid w:val="00DC2B73"/>
    <w:rsid w:val="00DC31C1"/>
    <w:rsid w:val="00DC389B"/>
    <w:rsid w:val="00DC4674"/>
    <w:rsid w:val="00DC6CCF"/>
    <w:rsid w:val="00DC6CDA"/>
    <w:rsid w:val="00DC705D"/>
    <w:rsid w:val="00DD02EE"/>
    <w:rsid w:val="00DD02F1"/>
    <w:rsid w:val="00DD059B"/>
    <w:rsid w:val="00DD17F8"/>
    <w:rsid w:val="00DD1AE3"/>
    <w:rsid w:val="00DD1B6D"/>
    <w:rsid w:val="00DD1CD0"/>
    <w:rsid w:val="00DD2285"/>
    <w:rsid w:val="00DD29C1"/>
    <w:rsid w:val="00DD30B6"/>
    <w:rsid w:val="00DD46D3"/>
    <w:rsid w:val="00DD49BE"/>
    <w:rsid w:val="00DD4DF8"/>
    <w:rsid w:val="00DD5302"/>
    <w:rsid w:val="00DD6217"/>
    <w:rsid w:val="00DD669A"/>
    <w:rsid w:val="00DD6813"/>
    <w:rsid w:val="00DD6B9A"/>
    <w:rsid w:val="00DD6E15"/>
    <w:rsid w:val="00DD71BF"/>
    <w:rsid w:val="00DD7DF4"/>
    <w:rsid w:val="00DE058B"/>
    <w:rsid w:val="00DE1036"/>
    <w:rsid w:val="00DE12A1"/>
    <w:rsid w:val="00DE1B14"/>
    <w:rsid w:val="00DE2EF3"/>
    <w:rsid w:val="00DE2F15"/>
    <w:rsid w:val="00DE3B4F"/>
    <w:rsid w:val="00DE4B95"/>
    <w:rsid w:val="00DE56DD"/>
    <w:rsid w:val="00DE5BAD"/>
    <w:rsid w:val="00DE6B6E"/>
    <w:rsid w:val="00DE6CC3"/>
    <w:rsid w:val="00DE6EBE"/>
    <w:rsid w:val="00DE73FF"/>
    <w:rsid w:val="00DE7596"/>
    <w:rsid w:val="00DF01A9"/>
    <w:rsid w:val="00DF02F9"/>
    <w:rsid w:val="00DF1328"/>
    <w:rsid w:val="00DF1937"/>
    <w:rsid w:val="00DF1DA1"/>
    <w:rsid w:val="00DF22DB"/>
    <w:rsid w:val="00DF330C"/>
    <w:rsid w:val="00DF3561"/>
    <w:rsid w:val="00DF3E5D"/>
    <w:rsid w:val="00DF4351"/>
    <w:rsid w:val="00DF44EE"/>
    <w:rsid w:val="00DF4711"/>
    <w:rsid w:val="00DF4B10"/>
    <w:rsid w:val="00DF4B71"/>
    <w:rsid w:val="00DF4E6B"/>
    <w:rsid w:val="00DF4EFD"/>
    <w:rsid w:val="00DF5969"/>
    <w:rsid w:val="00DF5BFA"/>
    <w:rsid w:val="00DF5F38"/>
    <w:rsid w:val="00DF6211"/>
    <w:rsid w:val="00DF6D84"/>
    <w:rsid w:val="00DF75BE"/>
    <w:rsid w:val="00DF7866"/>
    <w:rsid w:val="00DF7FA8"/>
    <w:rsid w:val="00E001B2"/>
    <w:rsid w:val="00E0213C"/>
    <w:rsid w:val="00E0218A"/>
    <w:rsid w:val="00E03B38"/>
    <w:rsid w:val="00E042BE"/>
    <w:rsid w:val="00E06589"/>
    <w:rsid w:val="00E0699F"/>
    <w:rsid w:val="00E06EB7"/>
    <w:rsid w:val="00E07CCE"/>
    <w:rsid w:val="00E07D3D"/>
    <w:rsid w:val="00E0F364"/>
    <w:rsid w:val="00E101DD"/>
    <w:rsid w:val="00E11F97"/>
    <w:rsid w:val="00E125E1"/>
    <w:rsid w:val="00E126CE"/>
    <w:rsid w:val="00E129EE"/>
    <w:rsid w:val="00E12C94"/>
    <w:rsid w:val="00E135A9"/>
    <w:rsid w:val="00E13F4A"/>
    <w:rsid w:val="00E14DF2"/>
    <w:rsid w:val="00E14EE8"/>
    <w:rsid w:val="00E15142"/>
    <w:rsid w:val="00E156B0"/>
    <w:rsid w:val="00E157AF"/>
    <w:rsid w:val="00E15DD8"/>
    <w:rsid w:val="00E15E3B"/>
    <w:rsid w:val="00E1637E"/>
    <w:rsid w:val="00E16949"/>
    <w:rsid w:val="00E17A84"/>
    <w:rsid w:val="00E206CA"/>
    <w:rsid w:val="00E20A44"/>
    <w:rsid w:val="00E217D6"/>
    <w:rsid w:val="00E21AF8"/>
    <w:rsid w:val="00E22288"/>
    <w:rsid w:val="00E22A7D"/>
    <w:rsid w:val="00E23456"/>
    <w:rsid w:val="00E256F1"/>
    <w:rsid w:val="00E2649F"/>
    <w:rsid w:val="00E269F8"/>
    <w:rsid w:val="00E271DF"/>
    <w:rsid w:val="00E30A7B"/>
    <w:rsid w:val="00E31126"/>
    <w:rsid w:val="00E32C4C"/>
    <w:rsid w:val="00E32F53"/>
    <w:rsid w:val="00E334AA"/>
    <w:rsid w:val="00E337B5"/>
    <w:rsid w:val="00E33ABE"/>
    <w:rsid w:val="00E33BC0"/>
    <w:rsid w:val="00E343A6"/>
    <w:rsid w:val="00E344AD"/>
    <w:rsid w:val="00E34502"/>
    <w:rsid w:val="00E34538"/>
    <w:rsid w:val="00E34FCB"/>
    <w:rsid w:val="00E35070"/>
    <w:rsid w:val="00E351E4"/>
    <w:rsid w:val="00E354AD"/>
    <w:rsid w:val="00E3578D"/>
    <w:rsid w:val="00E35D87"/>
    <w:rsid w:val="00E36819"/>
    <w:rsid w:val="00E36A70"/>
    <w:rsid w:val="00E36E42"/>
    <w:rsid w:val="00E36F60"/>
    <w:rsid w:val="00E370CE"/>
    <w:rsid w:val="00E37C44"/>
    <w:rsid w:val="00E37FF9"/>
    <w:rsid w:val="00E403C9"/>
    <w:rsid w:val="00E40760"/>
    <w:rsid w:val="00E40952"/>
    <w:rsid w:val="00E40FD9"/>
    <w:rsid w:val="00E410A2"/>
    <w:rsid w:val="00E415A9"/>
    <w:rsid w:val="00E4184A"/>
    <w:rsid w:val="00E41C4D"/>
    <w:rsid w:val="00E42471"/>
    <w:rsid w:val="00E427DE"/>
    <w:rsid w:val="00E42E12"/>
    <w:rsid w:val="00E43BA8"/>
    <w:rsid w:val="00E44892"/>
    <w:rsid w:val="00E44DF2"/>
    <w:rsid w:val="00E450E6"/>
    <w:rsid w:val="00E45622"/>
    <w:rsid w:val="00E45B04"/>
    <w:rsid w:val="00E4605D"/>
    <w:rsid w:val="00E4678A"/>
    <w:rsid w:val="00E46AA3"/>
    <w:rsid w:val="00E46FF3"/>
    <w:rsid w:val="00E47555"/>
    <w:rsid w:val="00E47E52"/>
    <w:rsid w:val="00E50EBC"/>
    <w:rsid w:val="00E512B1"/>
    <w:rsid w:val="00E51A5C"/>
    <w:rsid w:val="00E51BC3"/>
    <w:rsid w:val="00E5306E"/>
    <w:rsid w:val="00E53609"/>
    <w:rsid w:val="00E53C65"/>
    <w:rsid w:val="00E53C7D"/>
    <w:rsid w:val="00E53CA1"/>
    <w:rsid w:val="00E53D46"/>
    <w:rsid w:val="00E5409C"/>
    <w:rsid w:val="00E54301"/>
    <w:rsid w:val="00E547FC"/>
    <w:rsid w:val="00E5484A"/>
    <w:rsid w:val="00E54C00"/>
    <w:rsid w:val="00E55A6D"/>
    <w:rsid w:val="00E563F1"/>
    <w:rsid w:val="00E56434"/>
    <w:rsid w:val="00E56DB9"/>
    <w:rsid w:val="00E56EC7"/>
    <w:rsid w:val="00E56F0D"/>
    <w:rsid w:val="00E615FC"/>
    <w:rsid w:val="00E61609"/>
    <w:rsid w:val="00E616DE"/>
    <w:rsid w:val="00E61B54"/>
    <w:rsid w:val="00E62181"/>
    <w:rsid w:val="00E62A42"/>
    <w:rsid w:val="00E63472"/>
    <w:rsid w:val="00E638A4"/>
    <w:rsid w:val="00E641F8"/>
    <w:rsid w:val="00E64619"/>
    <w:rsid w:val="00E6473E"/>
    <w:rsid w:val="00E64BDD"/>
    <w:rsid w:val="00E6556C"/>
    <w:rsid w:val="00E6680F"/>
    <w:rsid w:val="00E66DB1"/>
    <w:rsid w:val="00E67348"/>
    <w:rsid w:val="00E678E2"/>
    <w:rsid w:val="00E67A7C"/>
    <w:rsid w:val="00E67FE6"/>
    <w:rsid w:val="00E6DC2E"/>
    <w:rsid w:val="00E70B1B"/>
    <w:rsid w:val="00E70E21"/>
    <w:rsid w:val="00E711E3"/>
    <w:rsid w:val="00E714C9"/>
    <w:rsid w:val="00E71A2D"/>
    <w:rsid w:val="00E71B72"/>
    <w:rsid w:val="00E72528"/>
    <w:rsid w:val="00E72B38"/>
    <w:rsid w:val="00E72B60"/>
    <w:rsid w:val="00E73A60"/>
    <w:rsid w:val="00E73C75"/>
    <w:rsid w:val="00E73E1A"/>
    <w:rsid w:val="00E74932"/>
    <w:rsid w:val="00E75C02"/>
    <w:rsid w:val="00E76411"/>
    <w:rsid w:val="00E80388"/>
    <w:rsid w:val="00E807BA"/>
    <w:rsid w:val="00E80C4A"/>
    <w:rsid w:val="00E80FFB"/>
    <w:rsid w:val="00E81193"/>
    <w:rsid w:val="00E81AF3"/>
    <w:rsid w:val="00E8232D"/>
    <w:rsid w:val="00E826F8"/>
    <w:rsid w:val="00E827BA"/>
    <w:rsid w:val="00E82E32"/>
    <w:rsid w:val="00E832B5"/>
    <w:rsid w:val="00E8427B"/>
    <w:rsid w:val="00E84652"/>
    <w:rsid w:val="00E848D6"/>
    <w:rsid w:val="00E85166"/>
    <w:rsid w:val="00E851E6"/>
    <w:rsid w:val="00E85F8D"/>
    <w:rsid w:val="00E8600A"/>
    <w:rsid w:val="00E865CD"/>
    <w:rsid w:val="00E86AD2"/>
    <w:rsid w:val="00E872BE"/>
    <w:rsid w:val="00E87C80"/>
    <w:rsid w:val="00E918BB"/>
    <w:rsid w:val="00E91C68"/>
    <w:rsid w:val="00E91D39"/>
    <w:rsid w:val="00E9236E"/>
    <w:rsid w:val="00E93213"/>
    <w:rsid w:val="00E9447C"/>
    <w:rsid w:val="00E94AFC"/>
    <w:rsid w:val="00E94F26"/>
    <w:rsid w:val="00E959D6"/>
    <w:rsid w:val="00E95F28"/>
    <w:rsid w:val="00E96197"/>
    <w:rsid w:val="00E96BB8"/>
    <w:rsid w:val="00E96EC8"/>
    <w:rsid w:val="00E9727D"/>
    <w:rsid w:val="00E97BF4"/>
    <w:rsid w:val="00E97EA8"/>
    <w:rsid w:val="00EA0815"/>
    <w:rsid w:val="00EA0ABB"/>
    <w:rsid w:val="00EA19FA"/>
    <w:rsid w:val="00EA1C7D"/>
    <w:rsid w:val="00EA22EC"/>
    <w:rsid w:val="00EA2460"/>
    <w:rsid w:val="00EA2E51"/>
    <w:rsid w:val="00EA3019"/>
    <w:rsid w:val="00EA3347"/>
    <w:rsid w:val="00EA411E"/>
    <w:rsid w:val="00EA441D"/>
    <w:rsid w:val="00EA688E"/>
    <w:rsid w:val="00EA69F9"/>
    <w:rsid w:val="00EA6ABD"/>
    <w:rsid w:val="00EA77F9"/>
    <w:rsid w:val="00EA78A2"/>
    <w:rsid w:val="00EA7905"/>
    <w:rsid w:val="00EA7D02"/>
    <w:rsid w:val="00EA7D63"/>
    <w:rsid w:val="00EA7F09"/>
    <w:rsid w:val="00EB0B37"/>
    <w:rsid w:val="00EB1B56"/>
    <w:rsid w:val="00EB3136"/>
    <w:rsid w:val="00EB3F2B"/>
    <w:rsid w:val="00EB42E7"/>
    <w:rsid w:val="00EB4302"/>
    <w:rsid w:val="00EB5994"/>
    <w:rsid w:val="00EB5F8F"/>
    <w:rsid w:val="00EB6C56"/>
    <w:rsid w:val="00EB7DF5"/>
    <w:rsid w:val="00EC0595"/>
    <w:rsid w:val="00EC0778"/>
    <w:rsid w:val="00EC0BEF"/>
    <w:rsid w:val="00EC1453"/>
    <w:rsid w:val="00EC1A35"/>
    <w:rsid w:val="00EC2899"/>
    <w:rsid w:val="00EC2A91"/>
    <w:rsid w:val="00EC3179"/>
    <w:rsid w:val="00EC33D4"/>
    <w:rsid w:val="00EC341C"/>
    <w:rsid w:val="00EC3465"/>
    <w:rsid w:val="00EC3758"/>
    <w:rsid w:val="00EC3FFB"/>
    <w:rsid w:val="00EC4FCE"/>
    <w:rsid w:val="00EC5889"/>
    <w:rsid w:val="00EC58D9"/>
    <w:rsid w:val="00EC65CD"/>
    <w:rsid w:val="00EC6643"/>
    <w:rsid w:val="00EC69BE"/>
    <w:rsid w:val="00EC6BE7"/>
    <w:rsid w:val="00EC72E0"/>
    <w:rsid w:val="00EC77CC"/>
    <w:rsid w:val="00ED016B"/>
    <w:rsid w:val="00ED103B"/>
    <w:rsid w:val="00ED14C9"/>
    <w:rsid w:val="00ED172F"/>
    <w:rsid w:val="00ED1AB5"/>
    <w:rsid w:val="00ED1CF9"/>
    <w:rsid w:val="00ED25A4"/>
    <w:rsid w:val="00ED2A2F"/>
    <w:rsid w:val="00ED32E2"/>
    <w:rsid w:val="00ED3614"/>
    <w:rsid w:val="00ED3EF4"/>
    <w:rsid w:val="00ED4452"/>
    <w:rsid w:val="00ED44F7"/>
    <w:rsid w:val="00ED5785"/>
    <w:rsid w:val="00ED5ADE"/>
    <w:rsid w:val="00ED6999"/>
    <w:rsid w:val="00ED6D08"/>
    <w:rsid w:val="00ED6DBB"/>
    <w:rsid w:val="00ED7429"/>
    <w:rsid w:val="00ED768A"/>
    <w:rsid w:val="00ED7A5F"/>
    <w:rsid w:val="00EE17B4"/>
    <w:rsid w:val="00EE22C1"/>
    <w:rsid w:val="00EE2815"/>
    <w:rsid w:val="00EE281B"/>
    <w:rsid w:val="00EE2A55"/>
    <w:rsid w:val="00EE2F1F"/>
    <w:rsid w:val="00EE37D0"/>
    <w:rsid w:val="00EE49C8"/>
    <w:rsid w:val="00EE4BCB"/>
    <w:rsid w:val="00EE51BC"/>
    <w:rsid w:val="00EE54FD"/>
    <w:rsid w:val="00EE568C"/>
    <w:rsid w:val="00EE57E6"/>
    <w:rsid w:val="00EE5C96"/>
    <w:rsid w:val="00EE5E60"/>
    <w:rsid w:val="00EE6261"/>
    <w:rsid w:val="00EE6738"/>
    <w:rsid w:val="00EE6824"/>
    <w:rsid w:val="00EE7703"/>
    <w:rsid w:val="00EE7E74"/>
    <w:rsid w:val="00EF06D9"/>
    <w:rsid w:val="00EF0BDE"/>
    <w:rsid w:val="00EF149A"/>
    <w:rsid w:val="00EF1889"/>
    <w:rsid w:val="00EF18BE"/>
    <w:rsid w:val="00EF2DA0"/>
    <w:rsid w:val="00EF3241"/>
    <w:rsid w:val="00EF33FB"/>
    <w:rsid w:val="00EF4CA2"/>
    <w:rsid w:val="00EF4DBB"/>
    <w:rsid w:val="00EF508A"/>
    <w:rsid w:val="00EF5123"/>
    <w:rsid w:val="00EF73EA"/>
    <w:rsid w:val="00EF7AAE"/>
    <w:rsid w:val="00EF7DC7"/>
    <w:rsid w:val="00EF7E08"/>
    <w:rsid w:val="00EFF381"/>
    <w:rsid w:val="00F00357"/>
    <w:rsid w:val="00F00D02"/>
    <w:rsid w:val="00F019A2"/>
    <w:rsid w:val="00F01FED"/>
    <w:rsid w:val="00F02140"/>
    <w:rsid w:val="00F03C64"/>
    <w:rsid w:val="00F03D13"/>
    <w:rsid w:val="00F041B4"/>
    <w:rsid w:val="00F05A9F"/>
    <w:rsid w:val="00F05B15"/>
    <w:rsid w:val="00F05B81"/>
    <w:rsid w:val="00F05C9D"/>
    <w:rsid w:val="00F0631A"/>
    <w:rsid w:val="00F0647F"/>
    <w:rsid w:val="00F06CCD"/>
    <w:rsid w:val="00F10206"/>
    <w:rsid w:val="00F1097F"/>
    <w:rsid w:val="00F109B9"/>
    <w:rsid w:val="00F10A80"/>
    <w:rsid w:val="00F11194"/>
    <w:rsid w:val="00F114B0"/>
    <w:rsid w:val="00F122E8"/>
    <w:rsid w:val="00F13A6F"/>
    <w:rsid w:val="00F13AEE"/>
    <w:rsid w:val="00F1418D"/>
    <w:rsid w:val="00F14592"/>
    <w:rsid w:val="00F1498E"/>
    <w:rsid w:val="00F14D3B"/>
    <w:rsid w:val="00F15137"/>
    <w:rsid w:val="00F15F6B"/>
    <w:rsid w:val="00F16140"/>
    <w:rsid w:val="00F17895"/>
    <w:rsid w:val="00F178EA"/>
    <w:rsid w:val="00F17F3C"/>
    <w:rsid w:val="00F20233"/>
    <w:rsid w:val="00F2062B"/>
    <w:rsid w:val="00F217BD"/>
    <w:rsid w:val="00F223EC"/>
    <w:rsid w:val="00F22423"/>
    <w:rsid w:val="00F22514"/>
    <w:rsid w:val="00F2283B"/>
    <w:rsid w:val="00F22EA3"/>
    <w:rsid w:val="00F22F77"/>
    <w:rsid w:val="00F2328B"/>
    <w:rsid w:val="00F233A1"/>
    <w:rsid w:val="00F233CB"/>
    <w:rsid w:val="00F235DC"/>
    <w:rsid w:val="00F23911"/>
    <w:rsid w:val="00F24BE4"/>
    <w:rsid w:val="00F25157"/>
    <w:rsid w:val="00F25439"/>
    <w:rsid w:val="00F25906"/>
    <w:rsid w:val="00F267DE"/>
    <w:rsid w:val="00F26A87"/>
    <w:rsid w:val="00F26EC7"/>
    <w:rsid w:val="00F27155"/>
    <w:rsid w:val="00F27675"/>
    <w:rsid w:val="00F306B5"/>
    <w:rsid w:val="00F30DD2"/>
    <w:rsid w:val="00F30E01"/>
    <w:rsid w:val="00F317EB"/>
    <w:rsid w:val="00F31A8A"/>
    <w:rsid w:val="00F32170"/>
    <w:rsid w:val="00F326AA"/>
    <w:rsid w:val="00F32B28"/>
    <w:rsid w:val="00F3313E"/>
    <w:rsid w:val="00F337B9"/>
    <w:rsid w:val="00F33906"/>
    <w:rsid w:val="00F33EB2"/>
    <w:rsid w:val="00F3461A"/>
    <w:rsid w:val="00F34752"/>
    <w:rsid w:val="00F35E8C"/>
    <w:rsid w:val="00F35FDF"/>
    <w:rsid w:val="00F36603"/>
    <w:rsid w:val="00F36A00"/>
    <w:rsid w:val="00F36D29"/>
    <w:rsid w:val="00F36DF5"/>
    <w:rsid w:val="00F37823"/>
    <w:rsid w:val="00F37FA6"/>
    <w:rsid w:val="00F411D2"/>
    <w:rsid w:val="00F41C55"/>
    <w:rsid w:val="00F41E7F"/>
    <w:rsid w:val="00F4205D"/>
    <w:rsid w:val="00F42B4A"/>
    <w:rsid w:val="00F432AF"/>
    <w:rsid w:val="00F43762"/>
    <w:rsid w:val="00F43AF8"/>
    <w:rsid w:val="00F4451C"/>
    <w:rsid w:val="00F44F38"/>
    <w:rsid w:val="00F4515B"/>
    <w:rsid w:val="00F455B8"/>
    <w:rsid w:val="00F460A4"/>
    <w:rsid w:val="00F47ECA"/>
    <w:rsid w:val="00F50275"/>
    <w:rsid w:val="00F5049E"/>
    <w:rsid w:val="00F5096C"/>
    <w:rsid w:val="00F51EF9"/>
    <w:rsid w:val="00F52182"/>
    <w:rsid w:val="00F523AB"/>
    <w:rsid w:val="00F523B9"/>
    <w:rsid w:val="00F5292E"/>
    <w:rsid w:val="00F52DAF"/>
    <w:rsid w:val="00F5355D"/>
    <w:rsid w:val="00F5383A"/>
    <w:rsid w:val="00F54B86"/>
    <w:rsid w:val="00F54C52"/>
    <w:rsid w:val="00F55DF0"/>
    <w:rsid w:val="00F55FCC"/>
    <w:rsid w:val="00F566BC"/>
    <w:rsid w:val="00F57BDA"/>
    <w:rsid w:val="00F57BE7"/>
    <w:rsid w:val="00F60B66"/>
    <w:rsid w:val="00F60E2E"/>
    <w:rsid w:val="00F61105"/>
    <w:rsid w:val="00F61A7A"/>
    <w:rsid w:val="00F6239A"/>
    <w:rsid w:val="00F62F39"/>
    <w:rsid w:val="00F63108"/>
    <w:rsid w:val="00F6363D"/>
    <w:rsid w:val="00F63F25"/>
    <w:rsid w:val="00F6410A"/>
    <w:rsid w:val="00F64310"/>
    <w:rsid w:val="00F6464B"/>
    <w:rsid w:val="00F64B1A"/>
    <w:rsid w:val="00F64D25"/>
    <w:rsid w:val="00F65258"/>
    <w:rsid w:val="00F661E3"/>
    <w:rsid w:val="00F66332"/>
    <w:rsid w:val="00F6693B"/>
    <w:rsid w:val="00F670FD"/>
    <w:rsid w:val="00F70162"/>
    <w:rsid w:val="00F70EE8"/>
    <w:rsid w:val="00F7163D"/>
    <w:rsid w:val="00F72394"/>
    <w:rsid w:val="00F7245B"/>
    <w:rsid w:val="00F73375"/>
    <w:rsid w:val="00F734E8"/>
    <w:rsid w:val="00F73A80"/>
    <w:rsid w:val="00F73FE9"/>
    <w:rsid w:val="00F74784"/>
    <w:rsid w:val="00F748F0"/>
    <w:rsid w:val="00F751E2"/>
    <w:rsid w:val="00F76159"/>
    <w:rsid w:val="00F76F83"/>
    <w:rsid w:val="00F77597"/>
    <w:rsid w:val="00F77A42"/>
    <w:rsid w:val="00F77C8B"/>
    <w:rsid w:val="00F77F6B"/>
    <w:rsid w:val="00F8000D"/>
    <w:rsid w:val="00F81A01"/>
    <w:rsid w:val="00F82705"/>
    <w:rsid w:val="00F82C9E"/>
    <w:rsid w:val="00F83AE9"/>
    <w:rsid w:val="00F840F7"/>
    <w:rsid w:val="00F8434D"/>
    <w:rsid w:val="00F84C02"/>
    <w:rsid w:val="00F869C6"/>
    <w:rsid w:val="00F86DB9"/>
    <w:rsid w:val="00F89207"/>
    <w:rsid w:val="00F90161"/>
    <w:rsid w:val="00F912A3"/>
    <w:rsid w:val="00F91976"/>
    <w:rsid w:val="00F91BB0"/>
    <w:rsid w:val="00F9306F"/>
    <w:rsid w:val="00F93A64"/>
    <w:rsid w:val="00F93E2E"/>
    <w:rsid w:val="00F94B10"/>
    <w:rsid w:val="00F94E3B"/>
    <w:rsid w:val="00F9534E"/>
    <w:rsid w:val="00F96B9F"/>
    <w:rsid w:val="00F9742F"/>
    <w:rsid w:val="00F97E53"/>
    <w:rsid w:val="00FA0231"/>
    <w:rsid w:val="00FA0351"/>
    <w:rsid w:val="00FA0634"/>
    <w:rsid w:val="00FA07C3"/>
    <w:rsid w:val="00FA0C26"/>
    <w:rsid w:val="00FA11D0"/>
    <w:rsid w:val="00FA1DC5"/>
    <w:rsid w:val="00FA2A20"/>
    <w:rsid w:val="00FA2BEE"/>
    <w:rsid w:val="00FA35E0"/>
    <w:rsid w:val="00FA3699"/>
    <w:rsid w:val="00FA3A2A"/>
    <w:rsid w:val="00FA3D0E"/>
    <w:rsid w:val="00FA3F5F"/>
    <w:rsid w:val="00FA3FC6"/>
    <w:rsid w:val="00FA498A"/>
    <w:rsid w:val="00FA4A52"/>
    <w:rsid w:val="00FA51BB"/>
    <w:rsid w:val="00FA5200"/>
    <w:rsid w:val="00FA52E6"/>
    <w:rsid w:val="00FA5925"/>
    <w:rsid w:val="00FA6D00"/>
    <w:rsid w:val="00FA6E09"/>
    <w:rsid w:val="00FA70C4"/>
    <w:rsid w:val="00FA755F"/>
    <w:rsid w:val="00FA75F4"/>
    <w:rsid w:val="00FA7662"/>
    <w:rsid w:val="00FB0D0C"/>
    <w:rsid w:val="00FB0FF0"/>
    <w:rsid w:val="00FB1615"/>
    <w:rsid w:val="00FB1D01"/>
    <w:rsid w:val="00FB2600"/>
    <w:rsid w:val="00FB3C07"/>
    <w:rsid w:val="00FB3D8F"/>
    <w:rsid w:val="00FB497E"/>
    <w:rsid w:val="00FB5540"/>
    <w:rsid w:val="00FB6C53"/>
    <w:rsid w:val="00FB6C85"/>
    <w:rsid w:val="00FB7060"/>
    <w:rsid w:val="00FB72D9"/>
    <w:rsid w:val="00FB7B93"/>
    <w:rsid w:val="00FB7F2F"/>
    <w:rsid w:val="00FC0456"/>
    <w:rsid w:val="00FC06F7"/>
    <w:rsid w:val="00FC0B3B"/>
    <w:rsid w:val="00FC0BD1"/>
    <w:rsid w:val="00FC0FD2"/>
    <w:rsid w:val="00FC102B"/>
    <w:rsid w:val="00FC19D0"/>
    <w:rsid w:val="00FC1CF6"/>
    <w:rsid w:val="00FC1E23"/>
    <w:rsid w:val="00FC1F3A"/>
    <w:rsid w:val="00FC1F8B"/>
    <w:rsid w:val="00FC2054"/>
    <w:rsid w:val="00FC258F"/>
    <w:rsid w:val="00FC2664"/>
    <w:rsid w:val="00FC2DF2"/>
    <w:rsid w:val="00FC3387"/>
    <w:rsid w:val="00FC3708"/>
    <w:rsid w:val="00FC38EE"/>
    <w:rsid w:val="00FC4498"/>
    <w:rsid w:val="00FC535E"/>
    <w:rsid w:val="00FC5638"/>
    <w:rsid w:val="00FC6328"/>
    <w:rsid w:val="00FC6A53"/>
    <w:rsid w:val="00FC6B15"/>
    <w:rsid w:val="00FC79BD"/>
    <w:rsid w:val="00FC7A35"/>
    <w:rsid w:val="00FD04D5"/>
    <w:rsid w:val="00FD087F"/>
    <w:rsid w:val="00FD2717"/>
    <w:rsid w:val="00FD292F"/>
    <w:rsid w:val="00FD2D74"/>
    <w:rsid w:val="00FD3433"/>
    <w:rsid w:val="00FD3BB1"/>
    <w:rsid w:val="00FD3E69"/>
    <w:rsid w:val="00FD4F21"/>
    <w:rsid w:val="00FD549F"/>
    <w:rsid w:val="00FD5A35"/>
    <w:rsid w:val="00FD5A46"/>
    <w:rsid w:val="00FD5AD2"/>
    <w:rsid w:val="00FD5C01"/>
    <w:rsid w:val="00FD5CC9"/>
    <w:rsid w:val="00FD6708"/>
    <w:rsid w:val="00FD7D16"/>
    <w:rsid w:val="00FD7F89"/>
    <w:rsid w:val="00FE0A73"/>
    <w:rsid w:val="00FE11AB"/>
    <w:rsid w:val="00FE1BCB"/>
    <w:rsid w:val="00FE2160"/>
    <w:rsid w:val="00FE21A4"/>
    <w:rsid w:val="00FE2298"/>
    <w:rsid w:val="00FE2933"/>
    <w:rsid w:val="00FE2F97"/>
    <w:rsid w:val="00FE3A00"/>
    <w:rsid w:val="00FE442B"/>
    <w:rsid w:val="00FE4BA4"/>
    <w:rsid w:val="00FE4DBE"/>
    <w:rsid w:val="00FE57AF"/>
    <w:rsid w:val="00FE5A04"/>
    <w:rsid w:val="00FE5E8E"/>
    <w:rsid w:val="00FE644F"/>
    <w:rsid w:val="00FE783E"/>
    <w:rsid w:val="00FE796B"/>
    <w:rsid w:val="00FE7E42"/>
    <w:rsid w:val="00FF025A"/>
    <w:rsid w:val="00FF06BE"/>
    <w:rsid w:val="00FF077D"/>
    <w:rsid w:val="00FF2AD8"/>
    <w:rsid w:val="00FF398B"/>
    <w:rsid w:val="00FF39B4"/>
    <w:rsid w:val="00FF4514"/>
    <w:rsid w:val="00FF531F"/>
    <w:rsid w:val="00FF6653"/>
    <w:rsid w:val="00FF6749"/>
    <w:rsid w:val="00FF7382"/>
    <w:rsid w:val="00FF7464"/>
    <w:rsid w:val="00FF78BD"/>
    <w:rsid w:val="00FF7D8E"/>
    <w:rsid w:val="00FF7F06"/>
    <w:rsid w:val="0103D25E"/>
    <w:rsid w:val="010786BD"/>
    <w:rsid w:val="010BB44A"/>
    <w:rsid w:val="010C3072"/>
    <w:rsid w:val="010D38DF"/>
    <w:rsid w:val="0111885F"/>
    <w:rsid w:val="01130C96"/>
    <w:rsid w:val="0121291E"/>
    <w:rsid w:val="012BB33D"/>
    <w:rsid w:val="012CE866"/>
    <w:rsid w:val="013468C5"/>
    <w:rsid w:val="01364BF4"/>
    <w:rsid w:val="01499AE2"/>
    <w:rsid w:val="014BB459"/>
    <w:rsid w:val="0159E0BA"/>
    <w:rsid w:val="015B6D16"/>
    <w:rsid w:val="015E6F08"/>
    <w:rsid w:val="015FD024"/>
    <w:rsid w:val="01676C02"/>
    <w:rsid w:val="016B8054"/>
    <w:rsid w:val="016EA333"/>
    <w:rsid w:val="01716768"/>
    <w:rsid w:val="01759181"/>
    <w:rsid w:val="0175EA4A"/>
    <w:rsid w:val="0177955D"/>
    <w:rsid w:val="017BB091"/>
    <w:rsid w:val="017D750C"/>
    <w:rsid w:val="0189F9FE"/>
    <w:rsid w:val="018DAB1B"/>
    <w:rsid w:val="01988DDA"/>
    <w:rsid w:val="01991FEB"/>
    <w:rsid w:val="019FE7D3"/>
    <w:rsid w:val="01A2E8F2"/>
    <w:rsid w:val="01A4595B"/>
    <w:rsid w:val="01A9ACF4"/>
    <w:rsid w:val="01ACA41B"/>
    <w:rsid w:val="01B4CBCA"/>
    <w:rsid w:val="01C0DB8B"/>
    <w:rsid w:val="01DA33CD"/>
    <w:rsid w:val="01E13A64"/>
    <w:rsid w:val="01F1120B"/>
    <w:rsid w:val="01F54FBF"/>
    <w:rsid w:val="0205224D"/>
    <w:rsid w:val="020A775B"/>
    <w:rsid w:val="020B10AF"/>
    <w:rsid w:val="020CC2E6"/>
    <w:rsid w:val="0210FB51"/>
    <w:rsid w:val="0216C0D5"/>
    <w:rsid w:val="02186275"/>
    <w:rsid w:val="021A14CC"/>
    <w:rsid w:val="021A5263"/>
    <w:rsid w:val="021BD0DE"/>
    <w:rsid w:val="021FAF25"/>
    <w:rsid w:val="02240895"/>
    <w:rsid w:val="02289DBE"/>
    <w:rsid w:val="0228CF8F"/>
    <w:rsid w:val="022ADF4F"/>
    <w:rsid w:val="02340DAD"/>
    <w:rsid w:val="0235E38A"/>
    <w:rsid w:val="0243A563"/>
    <w:rsid w:val="02449B70"/>
    <w:rsid w:val="0245196C"/>
    <w:rsid w:val="0247B470"/>
    <w:rsid w:val="0248B0B4"/>
    <w:rsid w:val="024F9ACA"/>
    <w:rsid w:val="0251BF36"/>
    <w:rsid w:val="02543499"/>
    <w:rsid w:val="0255B8E1"/>
    <w:rsid w:val="026017B3"/>
    <w:rsid w:val="0260CF09"/>
    <w:rsid w:val="02612637"/>
    <w:rsid w:val="0262D87C"/>
    <w:rsid w:val="026797C2"/>
    <w:rsid w:val="02762020"/>
    <w:rsid w:val="0277C01B"/>
    <w:rsid w:val="0279FD1B"/>
    <w:rsid w:val="027FECD8"/>
    <w:rsid w:val="028043AA"/>
    <w:rsid w:val="0281E275"/>
    <w:rsid w:val="02883495"/>
    <w:rsid w:val="028A21E7"/>
    <w:rsid w:val="028A4D6D"/>
    <w:rsid w:val="028BB789"/>
    <w:rsid w:val="028DC7DD"/>
    <w:rsid w:val="0293373B"/>
    <w:rsid w:val="0293582E"/>
    <w:rsid w:val="0299D4CB"/>
    <w:rsid w:val="029E949F"/>
    <w:rsid w:val="02A413E6"/>
    <w:rsid w:val="02A66C3E"/>
    <w:rsid w:val="02A9F84F"/>
    <w:rsid w:val="02ADD5EF"/>
    <w:rsid w:val="02B51048"/>
    <w:rsid w:val="02B51F23"/>
    <w:rsid w:val="02BD63AB"/>
    <w:rsid w:val="02BDCE33"/>
    <w:rsid w:val="02C6F151"/>
    <w:rsid w:val="02CE58D6"/>
    <w:rsid w:val="02D9CE47"/>
    <w:rsid w:val="02DDD683"/>
    <w:rsid w:val="02DF7FA9"/>
    <w:rsid w:val="02E894D8"/>
    <w:rsid w:val="02EF2BD1"/>
    <w:rsid w:val="02F0A525"/>
    <w:rsid w:val="02F1106F"/>
    <w:rsid w:val="02F592B2"/>
    <w:rsid w:val="02FD8520"/>
    <w:rsid w:val="02FF4040"/>
    <w:rsid w:val="0308DDB5"/>
    <w:rsid w:val="03142E98"/>
    <w:rsid w:val="031A5504"/>
    <w:rsid w:val="031AAE16"/>
    <w:rsid w:val="031C36FF"/>
    <w:rsid w:val="031D9646"/>
    <w:rsid w:val="033DD737"/>
    <w:rsid w:val="033F615E"/>
    <w:rsid w:val="034297AB"/>
    <w:rsid w:val="03442D5C"/>
    <w:rsid w:val="035160F2"/>
    <w:rsid w:val="03593FC0"/>
    <w:rsid w:val="035D9263"/>
    <w:rsid w:val="03600927"/>
    <w:rsid w:val="036063CE"/>
    <w:rsid w:val="0363739D"/>
    <w:rsid w:val="03661665"/>
    <w:rsid w:val="036860C5"/>
    <w:rsid w:val="036D729C"/>
    <w:rsid w:val="036F29ED"/>
    <w:rsid w:val="03718976"/>
    <w:rsid w:val="0372E020"/>
    <w:rsid w:val="037AF19E"/>
    <w:rsid w:val="037AFDC7"/>
    <w:rsid w:val="037BF073"/>
    <w:rsid w:val="037FE9F2"/>
    <w:rsid w:val="0385DBAC"/>
    <w:rsid w:val="03881E19"/>
    <w:rsid w:val="038AAAD3"/>
    <w:rsid w:val="038B7909"/>
    <w:rsid w:val="038B9A68"/>
    <w:rsid w:val="038CC958"/>
    <w:rsid w:val="03910FC6"/>
    <w:rsid w:val="03A01CA7"/>
    <w:rsid w:val="03A18721"/>
    <w:rsid w:val="03A207F0"/>
    <w:rsid w:val="03A3626C"/>
    <w:rsid w:val="03AE7827"/>
    <w:rsid w:val="03B0EF9F"/>
    <w:rsid w:val="03B96568"/>
    <w:rsid w:val="03BA8B82"/>
    <w:rsid w:val="03BADB82"/>
    <w:rsid w:val="03C289CF"/>
    <w:rsid w:val="03C6316C"/>
    <w:rsid w:val="03C8E076"/>
    <w:rsid w:val="03CC1659"/>
    <w:rsid w:val="03D0D517"/>
    <w:rsid w:val="03D21698"/>
    <w:rsid w:val="03D2F48A"/>
    <w:rsid w:val="03DB52E4"/>
    <w:rsid w:val="03E009C5"/>
    <w:rsid w:val="03E0236B"/>
    <w:rsid w:val="03E323E0"/>
    <w:rsid w:val="03E7361C"/>
    <w:rsid w:val="03EB369A"/>
    <w:rsid w:val="03EE5BF0"/>
    <w:rsid w:val="03EF545F"/>
    <w:rsid w:val="03F5D0CF"/>
    <w:rsid w:val="03F8F708"/>
    <w:rsid w:val="03FAFE27"/>
    <w:rsid w:val="03FB5F76"/>
    <w:rsid w:val="03FBBC98"/>
    <w:rsid w:val="04002D8F"/>
    <w:rsid w:val="04030901"/>
    <w:rsid w:val="0407689B"/>
    <w:rsid w:val="04172B15"/>
    <w:rsid w:val="0419F59F"/>
    <w:rsid w:val="041D721C"/>
    <w:rsid w:val="0420A40F"/>
    <w:rsid w:val="042EF33E"/>
    <w:rsid w:val="04361012"/>
    <w:rsid w:val="043811A2"/>
    <w:rsid w:val="04385BC6"/>
    <w:rsid w:val="043A8E91"/>
    <w:rsid w:val="043C7EA4"/>
    <w:rsid w:val="04467EC6"/>
    <w:rsid w:val="044A1B7E"/>
    <w:rsid w:val="04511726"/>
    <w:rsid w:val="0452124A"/>
    <w:rsid w:val="0456D3C2"/>
    <w:rsid w:val="04584AC4"/>
    <w:rsid w:val="045F4756"/>
    <w:rsid w:val="04695099"/>
    <w:rsid w:val="0472BC54"/>
    <w:rsid w:val="047C58EE"/>
    <w:rsid w:val="048257CA"/>
    <w:rsid w:val="048DAB19"/>
    <w:rsid w:val="04901DF8"/>
    <w:rsid w:val="04909482"/>
    <w:rsid w:val="0491817C"/>
    <w:rsid w:val="04948FF2"/>
    <w:rsid w:val="04956BBD"/>
    <w:rsid w:val="0495B9F5"/>
    <w:rsid w:val="049CAA69"/>
    <w:rsid w:val="049E8284"/>
    <w:rsid w:val="049F33AC"/>
    <w:rsid w:val="04A5B1B3"/>
    <w:rsid w:val="04AB8CEE"/>
    <w:rsid w:val="04ACD9A4"/>
    <w:rsid w:val="04BB145C"/>
    <w:rsid w:val="04BE18AC"/>
    <w:rsid w:val="04BE709A"/>
    <w:rsid w:val="04C0FAE7"/>
    <w:rsid w:val="04C21187"/>
    <w:rsid w:val="04C809ED"/>
    <w:rsid w:val="04CD6C0F"/>
    <w:rsid w:val="04CD7D28"/>
    <w:rsid w:val="04D08800"/>
    <w:rsid w:val="04D09D55"/>
    <w:rsid w:val="04D78895"/>
    <w:rsid w:val="04D92418"/>
    <w:rsid w:val="04DC5E2D"/>
    <w:rsid w:val="04DCFEB2"/>
    <w:rsid w:val="04E0052A"/>
    <w:rsid w:val="04E8E5CD"/>
    <w:rsid w:val="04EC66EC"/>
    <w:rsid w:val="04EF74B3"/>
    <w:rsid w:val="0509FBE0"/>
    <w:rsid w:val="050D88F9"/>
    <w:rsid w:val="050E6BCD"/>
    <w:rsid w:val="050F15FB"/>
    <w:rsid w:val="051481ED"/>
    <w:rsid w:val="0517AB7F"/>
    <w:rsid w:val="05198220"/>
    <w:rsid w:val="051ABE61"/>
    <w:rsid w:val="05203E2A"/>
    <w:rsid w:val="0525AC44"/>
    <w:rsid w:val="05274D5A"/>
    <w:rsid w:val="0530AD6D"/>
    <w:rsid w:val="05346B13"/>
    <w:rsid w:val="05386F91"/>
    <w:rsid w:val="0542AA4B"/>
    <w:rsid w:val="054531F8"/>
    <w:rsid w:val="05464534"/>
    <w:rsid w:val="054B4265"/>
    <w:rsid w:val="0553CB01"/>
    <w:rsid w:val="05583C68"/>
    <w:rsid w:val="055A671A"/>
    <w:rsid w:val="055B23E9"/>
    <w:rsid w:val="056370E5"/>
    <w:rsid w:val="056569A0"/>
    <w:rsid w:val="0566FFCB"/>
    <w:rsid w:val="057193FB"/>
    <w:rsid w:val="05748861"/>
    <w:rsid w:val="0576956C"/>
    <w:rsid w:val="05777571"/>
    <w:rsid w:val="05799FF7"/>
    <w:rsid w:val="057A7BF6"/>
    <w:rsid w:val="058193F3"/>
    <w:rsid w:val="0582395C"/>
    <w:rsid w:val="0587FB49"/>
    <w:rsid w:val="05958DD3"/>
    <w:rsid w:val="05961F83"/>
    <w:rsid w:val="059EBC0F"/>
    <w:rsid w:val="05A0A0D9"/>
    <w:rsid w:val="05A14966"/>
    <w:rsid w:val="05A73457"/>
    <w:rsid w:val="05C75B0C"/>
    <w:rsid w:val="05C8F732"/>
    <w:rsid w:val="05CFE382"/>
    <w:rsid w:val="05D48015"/>
    <w:rsid w:val="05D59C4B"/>
    <w:rsid w:val="05D61370"/>
    <w:rsid w:val="05D7173D"/>
    <w:rsid w:val="05D8B619"/>
    <w:rsid w:val="05D8F5A4"/>
    <w:rsid w:val="05E1FA20"/>
    <w:rsid w:val="05E2C0C6"/>
    <w:rsid w:val="05E7310D"/>
    <w:rsid w:val="05E9CA6C"/>
    <w:rsid w:val="05E9EA11"/>
    <w:rsid w:val="05F1A42C"/>
    <w:rsid w:val="05F2461C"/>
    <w:rsid w:val="05F510D4"/>
    <w:rsid w:val="05F549D2"/>
    <w:rsid w:val="060E69E7"/>
    <w:rsid w:val="060F0C32"/>
    <w:rsid w:val="06116F09"/>
    <w:rsid w:val="0614F74A"/>
    <w:rsid w:val="06165179"/>
    <w:rsid w:val="0616BBEB"/>
    <w:rsid w:val="061BADE1"/>
    <w:rsid w:val="061F257C"/>
    <w:rsid w:val="0621A99A"/>
    <w:rsid w:val="06238411"/>
    <w:rsid w:val="0624664A"/>
    <w:rsid w:val="06260A87"/>
    <w:rsid w:val="06264602"/>
    <w:rsid w:val="0630A714"/>
    <w:rsid w:val="06323667"/>
    <w:rsid w:val="063CF887"/>
    <w:rsid w:val="063D8EA7"/>
    <w:rsid w:val="063E8D24"/>
    <w:rsid w:val="0641D70B"/>
    <w:rsid w:val="06484D1A"/>
    <w:rsid w:val="0649273F"/>
    <w:rsid w:val="06493B4D"/>
    <w:rsid w:val="064ABAF4"/>
    <w:rsid w:val="064C6781"/>
    <w:rsid w:val="064F238D"/>
    <w:rsid w:val="064F4652"/>
    <w:rsid w:val="064F69F9"/>
    <w:rsid w:val="065F1543"/>
    <w:rsid w:val="0661A792"/>
    <w:rsid w:val="0668F6FD"/>
    <w:rsid w:val="066D9DB5"/>
    <w:rsid w:val="066E6A2A"/>
    <w:rsid w:val="06709539"/>
    <w:rsid w:val="0673DA52"/>
    <w:rsid w:val="0674FC6A"/>
    <w:rsid w:val="0677C7E0"/>
    <w:rsid w:val="067F264F"/>
    <w:rsid w:val="06843155"/>
    <w:rsid w:val="068CEF68"/>
    <w:rsid w:val="068D8F51"/>
    <w:rsid w:val="06939F53"/>
    <w:rsid w:val="06954298"/>
    <w:rsid w:val="0696C524"/>
    <w:rsid w:val="069783B8"/>
    <w:rsid w:val="0698015B"/>
    <w:rsid w:val="06A42F6A"/>
    <w:rsid w:val="06A6A01C"/>
    <w:rsid w:val="06A963E0"/>
    <w:rsid w:val="06A9A1D9"/>
    <w:rsid w:val="06B33BDB"/>
    <w:rsid w:val="06B3BAFB"/>
    <w:rsid w:val="06B4320C"/>
    <w:rsid w:val="06B5C574"/>
    <w:rsid w:val="06B8E5C2"/>
    <w:rsid w:val="06C4CD77"/>
    <w:rsid w:val="06C6CD4D"/>
    <w:rsid w:val="06C7AE66"/>
    <w:rsid w:val="06CA34A1"/>
    <w:rsid w:val="06CE371F"/>
    <w:rsid w:val="06CE7FA2"/>
    <w:rsid w:val="06CF66AB"/>
    <w:rsid w:val="06D084A9"/>
    <w:rsid w:val="06D2349A"/>
    <w:rsid w:val="06D4DFA2"/>
    <w:rsid w:val="06D523E7"/>
    <w:rsid w:val="06E2485A"/>
    <w:rsid w:val="06EBF333"/>
    <w:rsid w:val="06F7FB32"/>
    <w:rsid w:val="070089D7"/>
    <w:rsid w:val="07016108"/>
    <w:rsid w:val="07067FF3"/>
    <w:rsid w:val="07090D75"/>
    <w:rsid w:val="07250140"/>
    <w:rsid w:val="07280FC2"/>
    <w:rsid w:val="072C67F7"/>
    <w:rsid w:val="07305EF3"/>
    <w:rsid w:val="07306916"/>
    <w:rsid w:val="073212B6"/>
    <w:rsid w:val="07374220"/>
    <w:rsid w:val="0738B8BB"/>
    <w:rsid w:val="0740D524"/>
    <w:rsid w:val="0746A806"/>
    <w:rsid w:val="074F5987"/>
    <w:rsid w:val="07538D6F"/>
    <w:rsid w:val="075B6FB7"/>
    <w:rsid w:val="07682ECB"/>
    <w:rsid w:val="07769495"/>
    <w:rsid w:val="0777B97C"/>
    <w:rsid w:val="077A0640"/>
    <w:rsid w:val="07815AAD"/>
    <w:rsid w:val="0785AEBD"/>
    <w:rsid w:val="07868A9F"/>
    <w:rsid w:val="07881141"/>
    <w:rsid w:val="078900CC"/>
    <w:rsid w:val="078BCA2A"/>
    <w:rsid w:val="078F25F5"/>
    <w:rsid w:val="07970611"/>
    <w:rsid w:val="0798D75A"/>
    <w:rsid w:val="079AC788"/>
    <w:rsid w:val="07A079AF"/>
    <w:rsid w:val="07A0A02A"/>
    <w:rsid w:val="07AA4068"/>
    <w:rsid w:val="07ACD47B"/>
    <w:rsid w:val="07ACEE5B"/>
    <w:rsid w:val="07AFFE01"/>
    <w:rsid w:val="07B67D2F"/>
    <w:rsid w:val="07BE6D83"/>
    <w:rsid w:val="07BEE3B7"/>
    <w:rsid w:val="07C3E7C4"/>
    <w:rsid w:val="07C6CF66"/>
    <w:rsid w:val="07CA8304"/>
    <w:rsid w:val="07CBAA9F"/>
    <w:rsid w:val="07D47565"/>
    <w:rsid w:val="07D53050"/>
    <w:rsid w:val="07DC4ED8"/>
    <w:rsid w:val="07DE00B2"/>
    <w:rsid w:val="07DEED19"/>
    <w:rsid w:val="07E1CFBF"/>
    <w:rsid w:val="07E2BB7A"/>
    <w:rsid w:val="07E5DD85"/>
    <w:rsid w:val="07E5FA98"/>
    <w:rsid w:val="07EBD272"/>
    <w:rsid w:val="07F1DC89"/>
    <w:rsid w:val="07F8580D"/>
    <w:rsid w:val="07F89179"/>
    <w:rsid w:val="080D9EFA"/>
    <w:rsid w:val="080E7873"/>
    <w:rsid w:val="08222838"/>
    <w:rsid w:val="08271575"/>
    <w:rsid w:val="082741ED"/>
    <w:rsid w:val="0828E994"/>
    <w:rsid w:val="08297557"/>
    <w:rsid w:val="082D1D3B"/>
    <w:rsid w:val="082EF1FB"/>
    <w:rsid w:val="0837DD9D"/>
    <w:rsid w:val="083898C1"/>
    <w:rsid w:val="083EA999"/>
    <w:rsid w:val="08430755"/>
    <w:rsid w:val="08475EA5"/>
    <w:rsid w:val="0847BC53"/>
    <w:rsid w:val="084C4405"/>
    <w:rsid w:val="084CA6B2"/>
    <w:rsid w:val="0853B0CF"/>
    <w:rsid w:val="085422A2"/>
    <w:rsid w:val="085677D8"/>
    <w:rsid w:val="08582074"/>
    <w:rsid w:val="085CDC12"/>
    <w:rsid w:val="085FF575"/>
    <w:rsid w:val="086BA6F2"/>
    <w:rsid w:val="0870874B"/>
    <w:rsid w:val="0874B8E8"/>
    <w:rsid w:val="087D4725"/>
    <w:rsid w:val="087EADD8"/>
    <w:rsid w:val="08812C1A"/>
    <w:rsid w:val="08825945"/>
    <w:rsid w:val="08850198"/>
    <w:rsid w:val="088AEB7F"/>
    <w:rsid w:val="088C7134"/>
    <w:rsid w:val="088CC896"/>
    <w:rsid w:val="0898DF11"/>
    <w:rsid w:val="0898F5A9"/>
    <w:rsid w:val="089CB5C6"/>
    <w:rsid w:val="08A745B6"/>
    <w:rsid w:val="08A7D6DB"/>
    <w:rsid w:val="08AEB8D0"/>
    <w:rsid w:val="08C04AD2"/>
    <w:rsid w:val="08C1F6AF"/>
    <w:rsid w:val="08C3B7CB"/>
    <w:rsid w:val="08C7850D"/>
    <w:rsid w:val="08C982A1"/>
    <w:rsid w:val="08CA0EC7"/>
    <w:rsid w:val="08D38385"/>
    <w:rsid w:val="08D7A8D4"/>
    <w:rsid w:val="08E22220"/>
    <w:rsid w:val="08E61212"/>
    <w:rsid w:val="08EB18B8"/>
    <w:rsid w:val="08EFEDF2"/>
    <w:rsid w:val="08F6E16B"/>
    <w:rsid w:val="08FBE1F4"/>
    <w:rsid w:val="08FC8714"/>
    <w:rsid w:val="09088135"/>
    <w:rsid w:val="0909164F"/>
    <w:rsid w:val="09149037"/>
    <w:rsid w:val="0915CBFD"/>
    <w:rsid w:val="09160B7D"/>
    <w:rsid w:val="091CA360"/>
    <w:rsid w:val="0928345C"/>
    <w:rsid w:val="092BAB82"/>
    <w:rsid w:val="093FAA61"/>
    <w:rsid w:val="094486D1"/>
    <w:rsid w:val="094A9735"/>
    <w:rsid w:val="094C9425"/>
    <w:rsid w:val="09546779"/>
    <w:rsid w:val="0957178F"/>
    <w:rsid w:val="095C71FC"/>
    <w:rsid w:val="0968D695"/>
    <w:rsid w:val="0972247A"/>
    <w:rsid w:val="0973C9E8"/>
    <w:rsid w:val="09745920"/>
    <w:rsid w:val="0974DF4E"/>
    <w:rsid w:val="097BD662"/>
    <w:rsid w:val="097F6707"/>
    <w:rsid w:val="0983543A"/>
    <w:rsid w:val="099118A1"/>
    <w:rsid w:val="099993E5"/>
    <w:rsid w:val="09A07404"/>
    <w:rsid w:val="09A7F4E2"/>
    <w:rsid w:val="09A8651C"/>
    <w:rsid w:val="09B02C72"/>
    <w:rsid w:val="09B43D36"/>
    <w:rsid w:val="09B87DBE"/>
    <w:rsid w:val="09BB2175"/>
    <w:rsid w:val="09BCFFF4"/>
    <w:rsid w:val="09BFD9B9"/>
    <w:rsid w:val="09C632B8"/>
    <w:rsid w:val="09D0EEE7"/>
    <w:rsid w:val="09D1908F"/>
    <w:rsid w:val="09D37E69"/>
    <w:rsid w:val="09D79D4B"/>
    <w:rsid w:val="09D9F720"/>
    <w:rsid w:val="09E610C7"/>
    <w:rsid w:val="09EACCAC"/>
    <w:rsid w:val="09F08CD7"/>
    <w:rsid w:val="09F1656B"/>
    <w:rsid w:val="09F2E3E0"/>
    <w:rsid w:val="09F6B801"/>
    <w:rsid w:val="09F86F57"/>
    <w:rsid w:val="09F9F357"/>
    <w:rsid w:val="09FFAACD"/>
    <w:rsid w:val="0A02BB64"/>
    <w:rsid w:val="0A0635A9"/>
    <w:rsid w:val="0A0880C3"/>
    <w:rsid w:val="0A0A89A7"/>
    <w:rsid w:val="0A0DB6F7"/>
    <w:rsid w:val="0A161549"/>
    <w:rsid w:val="0A177992"/>
    <w:rsid w:val="0A1B33EB"/>
    <w:rsid w:val="0A1B9EA8"/>
    <w:rsid w:val="0A1D3668"/>
    <w:rsid w:val="0A1DF8D8"/>
    <w:rsid w:val="0A29766E"/>
    <w:rsid w:val="0A2AD96B"/>
    <w:rsid w:val="0A2B180B"/>
    <w:rsid w:val="0A30B363"/>
    <w:rsid w:val="0A335336"/>
    <w:rsid w:val="0A3533CA"/>
    <w:rsid w:val="0A379EBC"/>
    <w:rsid w:val="0A38D630"/>
    <w:rsid w:val="0A3FE583"/>
    <w:rsid w:val="0A406B27"/>
    <w:rsid w:val="0A41160B"/>
    <w:rsid w:val="0A437A2A"/>
    <w:rsid w:val="0A43D894"/>
    <w:rsid w:val="0A4996E1"/>
    <w:rsid w:val="0A4D72D9"/>
    <w:rsid w:val="0A4EB748"/>
    <w:rsid w:val="0A52EC63"/>
    <w:rsid w:val="0A5AF4AC"/>
    <w:rsid w:val="0A5D1FBB"/>
    <w:rsid w:val="0A5FE242"/>
    <w:rsid w:val="0A636657"/>
    <w:rsid w:val="0A67024D"/>
    <w:rsid w:val="0A72D014"/>
    <w:rsid w:val="0A771FB6"/>
    <w:rsid w:val="0A7C705B"/>
    <w:rsid w:val="0A857FE5"/>
    <w:rsid w:val="0A860944"/>
    <w:rsid w:val="0A8AAE60"/>
    <w:rsid w:val="0A8DEE25"/>
    <w:rsid w:val="0A8E76CB"/>
    <w:rsid w:val="0A8F120A"/>
    <w:rsid w:val="0A90B9A8"/>
    <w:rsid w:val="0A92364B"/>
    <w:rsid w:val="0A9410D9"/>
    <w:rsid w:val="0A9491FB"/>
    <w:rsid w:val="0AA1A8A4"/>
    <w:rsid w:val="0AA1D482"/>
    <w:rsid w:val="0AA87F7B"/>
    <w:rsid w:val="0AB3BA6C"/>
    <w:rsid w:val="0AB63764"/>
    <w:rsid w:val="0AB6CA92"/>
    <w:rsid w:val="0AB7E1FB"/>
    <w:rsid w:val="0ABFD4BD"/>
    <w:rsid w:val="0AC619A9"/>
    <w:rsid w:val="0AC62A81"/>
    <w:rsid w:val="0ACA9CC6"/>
    <w:rsid w:val="0AD1FB87"/>
    <w:rsid w:val="0AD60209"/>
    <w:rsid w:val="0AD81594"/>
    <w:rsid w:val="0AD8F53C"/>
    <w:rsid w:val="0AD96D66"/>
    <w:rsid w:val="0AD9E8C0"/>
    <w:rsid w:val="0ADBC646"/>
    <w:rsid w:val="0ADEE04C"/>
    <w:rsid w:val="0AEB19F2"/>
    <w:rsid w:val="0AEE7289"/>
    <w:rsid w:val="0AEEED3A"/>
    <w:rsid w:val="0AF300AD"/>
    <w:rsid w:val="0AF60954"/>
    <w:rsid w:val="0AFEE2D8"/>
    <w:rsid w:val="0B0031A1"/>
    <w:rsid w:val="0B017EFF"/>
    <w:rsid w:val="0B068E41"/>
    <w:rsid w:val="0B097CF9"/>
    <w:rsid w:val="0B123952"/>
    <w:rsid w:val="0B16D83A"/>
    <w:rsid w:val="0B1E59B4"/>
    <w:rsid w:val="0B2D4DED"/>
    <w:rsid w:val="0B2DF56D"/>
    <w:rsid w:val="0B2F30F8"/>
    <w:rsid w:val="0B33E02D"/>
    <w:rsid w:val="0B361C74"/>
    <w:rsid w:val="0B38D1D6"/>
    <w:rsid w:val="0B39915F"/>
    <w:rsid w:val="0B3B4635"/>
    <w:rsid w:val="0B3D4CE7"/>
    <w:rsid w:val="0B451B04"/>
    <w:rsid w:val="0B475C3E"/>
    <w:rsid w:val="0B4F46AE"/>
    <w:rsid w:val="0B50C9DB"/>
    <w:rsid w:val="0B5113BB"/>
    <w:rsid w:val="0B581284"/>
    <w:rsid w:val="0B5C45EE"/>
    <w:rsid w:val="0B5D3924"/>
    <w:rsid w:val="0B6118FD"/>
    <w:rsid w:val="0B6334E2"/>
    <w:rsid w:val="0B649A3A"/>
    <w:rsid w:val="0B673A3E"/>
    <w:rsid w:val="0B70A17A"/>
    <w:rsid w:val="0B787084"/>
    <w:rsid w:val="0B875198"/>
    <w:rsid w:val="0B87B8A5"/>
    <w:rsid w:val="0B91EA36"/>
    <w:rsid w:val="0B935BB6"/>
    <w:rsid w:val="0B9826D5"/>
    <w:rsid w:val="0B9AC175"/>
    <w:rsid w:val="0BA18983"/>
    <w:rsid w:val="0BA1EAAE"/>
    <w:rsid w:val="0BA621F7"/>
    <w:rsid w:val="0BA73890"/>
    <w:rsid w:val="0BACA55A"/>
    <w:rsid w:val="0BADB675"/>
    <w:rsid w:val="0BAEC905"/>
    <w:rsid w:val="0BB87A7A"/>
    <w:rsid w:val="0BB9B72D"/>
    <w:rsid w:val="0BBEC160"/>
    <w:rsid w:val="0BBEC868"/>
    <w:rsid w:val="0BC1DB6B"/>
    <w:rsid w:val="0BC2B378"/>
    <w:rsid w:val="0BC4867D"/>
    <w:rsid w:val="0BC6D2E3"/>
    <w:rsid w:val="0BCBA25A"/>
    <w:rsid w:val="0BD0ADC7"/>
    <w:rsid w:val="0BD2B269"/>
    <w:rsid w:val="0BD9BA15"/>
    <w:rsid w:val="0BE04578"/>
    <w:rsid w:val="0BE3680A"/>
    <w:rsid w:val="0BEAC008"/>
    <w:rsid w:val="0BFBAA29"/>
    <w:rsid w:val="0C0654BF"/>
    <w:rsid w:val="0C09B885"/>
    <w:rsid w:val="0C0D08B8"/>
    <w:rsid w:val="0C0F7AD2"/>
    <w:rsid w:val="0C103445"/>
    <w:rsid w:val="0C127CDC"/>
    <w:rsid w:val="0C14E428"/>
    <w:rsid w:val="0C1A4DFD"/>
    <w:rsid w:val="0C2144E7"/>
    <w:rsid w:val="0C23DB4A"/>
    <w:rsid w:val="0C2E79B8"/>
    <w:rsid w:val="0C3125EF"/>
    <w:rsid w:val="0C3AD083"/>
    <w:rsid w:val="0C3CBE18"/>
    <w:rsid w:val="0C407731"/>
    <w:rsid w:val="0C44B363"/>
    <w:rsid w:val="0C456CEC"/>
    <w:rsid w:val="0C4B7BB4"/>
    <w:rsid w:val="0C4B8CDE"/>
    <w:rsid w:val="0C4CEC59"/>
    <w:rsid w:val="0C544D45"/>
    <w:rsid w:val="0C59D639"/>
    <w:rsid w:val="0C6128A9"/>
    <w:rsid w:val="0C68E317"/>
    <w:rsid w:val="0C6E2630"/>
    <w:rsid w:val="0C7560CE"/>
    <w:rsid w:val="0C7ACA26"/>
    <w:rsid w:val="0C7D8D96"/>
    <w:rsid w:val="0C82223F"/>
    <w:rsid w:val="0C842151"/>
    <w:rsid w:val="0C880ECD"/>
    <w:rsid w:val="0C91CA17"/>
    <w:rsid w:val="0C92F936"/>
    <w:rsid w:val="0C9524CD"/>
    <w:rsid w:val="0C96D8A4"/>
    <w:rsid w:val="0C970E28"/>
    <w:rsid w:val="0C9841F2"/>
    <w:rsid w:val="0C9B08D0"/>
    <w:rsid w:val="0C9CEE16"/>
    <w:rsid w:val="0CADEB8C"/>
    <w:rsid w:val="0CAE831D"/>
    <w:rsid w:val="0CAFBFFB"/>
    <w:rsid w:val="0CB240AE"/>
    <w:rsid w:val="0CB6FC25"/>
    <w:rsid w:val="0CBEEC69"/>
    <w:rsid w:val="0CD3275B"/>
    <w:rsid w:val="0CD4E706"/>
    <w:rsid w:val="0CDB4D31"/>
    <w:rsid w:val="0CE1654D"/>
    <w:rsid w:val="0CEC201B"/>
    <w:rsid w:val="0CF69285"/>
    <w:rsid w:val="0CFAB394"/>
    <w:rsid w:val="0CFD2E1F"/>
    <w:rsid w:val="0CFE0DF4"/>
    <w:rsid w:val="0D006624"/>
    <w:rsid w:val="0D05CD7B"/>
    <w:rsid w:val="0D060622"/>
    <w:rsid w:val="0D1F47E3"/>
    <w:rsid w:val="0D212E89"/>
    <w:rsid w:val="0D237688"/>
    <w:rsid w:val="0D25FD05"/>
    <w:rsid w:val="0D26CB16"/>
    <w:rsid w:val="0D2DFAAF"/>
    <w:rsid w:val="0D30ADE0"/>
    <w:rsid w:val="0D352E97"/>
    <w:rsid w:val="0D35CCAC"/>
    <w:rsid w:val="0D3BB2C9"/>
    <w:rsid w:val="0D3C034B"/>
    <w:rsid w:val="0D3D604A"/>
    <w:rsid w:val="0D41BFA8"/>
    <w:rsid w:val="0D434A18"/>
    <w:rsid w:val="0D4806D1"/>
    <w:rsid w:val="0D4A579E"/>
    <w:rsid w:val="0D4BC775"/>
    <w:rsid w:val="0D4E55C4"/>
    <w:rsid w:val="0D524ABA"/>
    <w:rsid w:val="0D55680D"/>
    <w:rsid w:val="0D58428B"/>
    <w:rsid w:val="0D593FF7"/>
    <w:rsid w:val="0D5E5693"/>
    <w:rsid w:val="0D606CC0"/>
    <w:rsid w:val="0D616A45"/>
    <w:rsid w:val="0D626BAF"/>
    <w:rsid w:val="0D67F1B7"/>
    <w:rsid w:val="0D685425"/>
    <w:rsid w:val="0D6923C1"/>
    <w:rsid w:val="0D75BB65"/>
    <w:rsid w:val="0D7624C3"/>
    <w:rsid w:val="0D7D1D61"/>
    <w:rsid w:val="0D8442DD"/>
    <w:rsid w:val="0D84EFCE"/>
    <w:rsid w:val="0D8698C7"/>
    <w:rsid w:val="0D904E4B"/>
    <w:rsid w:val="0D91ACB3"/>
    <w:rsid w:val="0D953206"/>
    <w:rsid w:val="0DA06D45"/>
    <w:rsid w:val="0DA7F200"/>
    <w:rsid w:val="0DA9B9BD"/>
    <w:rsid w:val="0DAD947D"/>
    <w:rsid w:val="0DAFCD0B"/>
    <w:rsid w:val="0DB2776E"/>
    <w:rsid w:val="0DB4111D"/>
    <w:rsid w:val="0DB5E4B9"/>
    <w:rsid w:val="0DB6673E"/>
    <w:rsid w:val="0DBB3E3A"/>
    <w:rsid w:val="0DBF6E49"/>
    <w:rsid w:val="0DCB0269"/>
    <w:rsid w:val="0DCEA9C3"/>
    <w:rsid w:val="0DD0DB71"/>
    <w:rsid w:val="0DDAD223"/>
    <w:rsid w:val="0DE63743"/>
    <w:rsid w:val="0DEC7CA5"/>
    <w:rsid w:val="0DED065E"/>
    <w:rsid w:val="0DEDD008"/>
    <w:rsid w:val="0DF064C8"/>
    <w:rsid w:val="0DF1F811"/>
    <w:rsid w:val="0DF3715C"/>
    <w:rsid w:val="0DF96293"/>
    <w:rsid w:val="0DFF77F2"/>
    <w:rsid w:val="0E01F4A4"/>
    <w:rsid w:val="0E0251DA"/>
    <w:rsid w:val="0E04F5E6"/>
    <w:rsid w:val="0E0DC8DD"/>
    <w:rsid w:val="0E110CD8"/>
    <w:rsid w:val="0E149DFF"/>
    <w:rsid w:val="0E183722"/>
    <w:rsid w:val="0E1ABFE0"/>
    <w:rsid w:val="0E1C0426"/>
    <w:rsid w:val="0E214DEE"/>
    <w:rsid w:val="0E257D3B"/>
    <w:rsid w:val="0E26C805"/>
    <w:rsid w:val="0E271DB9"/>
    <w:rsid w:val="0E2D1B4A"/>
    <w:rsid w:val="0E331951"/>
    <w:rsid w:val="0E3BE6BE"/>
    <w:rsid w:val="0E435FBE"/>
    <w:rsid w:val="0E54695B"/>
    <w:rsid w:val="0E5C2820"/>
    <w:rsid w:val="0E5D2B35"/>
    <w:rsid w:val="0E6604DD"/>
    <w:rsid w:val="0E66FD0F"/>
    <w:rsid w:val="0E6C9B78"/>
    <w:rsid w:val="0E6DC210"/>
    <w:rsid w:val="0E707734"/>
    <w:rsid w:val="0E71EFDA"/>
    <w:rsid w:val="0E80559E"/>
    <w:rsid w:val="0E8946FB"/>
    <w:rsid w:val="0E8C88C2"/>
    <w:rsid w:val="0E94DC9A"/>
    <w:rsid w:val="0E9791A3"/>
    <w:rsid w:val="0EA28147"/>
    <w:rsid w:val="0EA68EF3"/>
    <w:rsid w:val="0EAA7CE4"/>
    <w:rsid w:val="0EAC79DE"/>
    <w:rsid w:val="0EB0642C"/>
    <w:rsid w:val="0EB2A98D"/>
    <w:rsid w:val="0EB45A6E"/>
    <w:rsid w:val="0EB54CEB"/>
    <w:rsid w:val="0EB70809"/>
    <w:rsid w:val="0EBA4C83"/>
    <w:rsid w:val="0EC0AEE0"/>
    <w:rsid w:val="0EC2766A"/>
    <w:rsid w:val="0EC2C2ED"/>
    <w:rsid w:val="0EC33B9B"/>
    <w:rsid w:val="0EC65E66"/>
    <w:rsid w:val="0EC68FE7"/>
    <w:rsid w:val="0ECAB30B"/>
    <w:rsid w:val="0ECBBDE4"/>
    <w:rsid w:val="0ED257C8"/>
    <w:rsid w:val="0ED7859D"/>
    <w:rsid w:val="0EDAE8B4"/>
    <w:rsid w:val="0EDC8DA0"/>
    <w:rsid w:val="0EDEFE86"/>
    <w:rsid w:val="0EDF99F4"/>
    <w:rsid w:val="0EE864C5"/>
    <w:rsid w:val="0EF02DA9"/>
    <w:rsid w:val="0EFB7212"/>
    <w:rsid w:val="0EFD3C97"/>
    <w:rsid w:val="0EFF473C"/>
    <w:rsid w:val="0F0243B9"/>
    <w:rsid w:val="0F02C21C"/>
    <w:rsid w:val="0F032259"/>
    <w:rsid w:val="0F05E5DD"/>
    <w:rsid w:val="0F0A82E2"/>
    <w:rsid w:val="0F0C344B"/>
    <w:rsid w:val="0F0D6EC6"/>
    <w:rsid w:val="0F10B2AC"/>
    <w:rsid w:val="0F1179D3"/>
    <w:rsid w:val="0F137384"/>
    <w:rsid w:val="0F14496C"/>
    <w:rsid w:val="0F189B82"/>
    <w:rsid w:val="0F18EDC2"/>
    <w:rsid w:val="0F1A2B08"/>
    <w:rsid w:val="0F23E01B"/>
    <w:rsid w:val="0F2BE94A"/>
    <w:rsid w:val="0F2EB57C"/>
    <w:rsid w:val="0F30ABB3"/>
    <w:rsid w:val="0F335365"/>
    <w:rsid w:val="0F4D8BDB"/>
    <w:rsid w:val="0F511EA9"/>
    <w:rsid w:val="0F51FE29"/>
    <w:rsid w:val="0F52A212"/>
    <w:rsid w:val="0F59487F"/>
    <w:rsid w:val="0F62A97F"/>
    <w:rsid w:val="0F62B3AF"/>
    <w:rsid w:val="0F62D9D6"/>
    <w:rsid w:val="0F67150C"/>
    <w:rsid w:val="0F6C86DF"/>
    <w:rsid w:val="0F713BAD"/>
    <w:rsid w:val="0F72ABA8"/>
    <w:rsid w:val="0F75B219"/>
    <w:rsid w:val="0F7AAA63"/>
    <w:rsid w:val="0F836352"/>
    <w:rsid w:val="0F870337"/>
    <w:rsid w:val="0F884A52"/>
    <w:rsid w:val="0F8B77A0"/>
    <w:rsid w:val="0F8BCF0F"/>
    <w:rsid w:val="0F8C4FA2"/>
    <w:rsid w:val="0F8D3EEE"/>
    <w:rsid w:val="0F90513B"/>
    <w:rsid w:val="0F92C7E4"/>
    <w:rsid w:val="0FADD996"/>
    <w:rsid w:val="0FAEB097"/>
    <w:rsid w:val="0FB57FCB"/>
    <w:rsid w:val="0FB93743"/>
    <w:rsid w:val="0FBB9FBB"/>
    <w:rsid w:val="0FBEE985"/>
    <w:rsid w:val="0FC02294"/>
    <w:rsid w:val="0FC7EBE7"/>
    <w:rsid w:val="0FCF75DB"/>
    <w:rsid w:val="0FD3A046"/>
    <w:rsid w:val="0FD9AA48"/>
    <w:rsid w:val="0FE7C734"/>
    <w:rsid w:val="0FE7D70B"/>
    <w:rsid w:val="0FF67C62"/>
    <w:rsid w:val="1001CD11"/>
    <w:rsid w:val="10025FD7"/>
    <w:rsid w:val="1004C32F"/>
    <w:rsid w:val="1007A96E"/>
    <w:rsid w:val="100D3D2F"/>
    <w:rsid w:val="10152BAD"/>
    <w:rsid w:val="101732D4"/>
    <w:rsid w:val="101A7BBE"/>
    <w:rsid w:val="101D9D38"/>
    <w:rsid w:val="10227FDB"/>
    <w:rsid w:val="1028A37D"/>
    <w:rsid w:val="102A1CDB"/>
    <w:rsid w:val="102D6811"/>
    <w:rsid w:val="102E3D78"/>
    <w:rsid w:val="1041C345"/>
    <w:rsid w:val="1044FDE1"/>
    <w:rsid w:val="10484C9D"/>
    <w:rsid w:val="1055213E"/>
    <w:rsid w:val="105DAFD9"/>
    <w:rsid w:val="106855DE"/>
    <w:rsid w:val="10696F83"/>
    <w:rsid w:val="106D36EA"/>
    <w:rsid w:val="1077680B"/>
    <w:rsid w:val="1078D074"/>
    <w:rsid w:val="107A5C37"/>
    <w:rsid w:val="107FA2A5"/>
    <w:rsid w:val="108AE9B6"/>
    <w:rsid w:val="10900CD2"/>
    <w:rsid w:val="109537E3"/>
    <w:rsid w:val="1096786B"/>
    <w:rsid w:val="109A6230"/>
    <w:rsid w:val="10A05DC8"/>
    <w:rsid w:val="10A0C483"/>
    <w:rsid w:val="10A3EC1B"/>
    <w:rsid w:val="10A5C8EB"/>
    <w:rsid w:val="10A5F65C"/>
    <w:rsid w:val="10AAE0C9"/>
    <w:rsid w:val="10BB333A"/>
    <w:rsid w:val="10C21200"/>
    <w:rsid w:val="10C3C618"/>
    <w:rsid w:val="10D55EE4"/>
    <w:rsid w:val="10DDF8C6"/>
    <w:rsid w:val="10E175FA"/>
    <w:rsid w:val="10E20B5D"/>
    <w:rsid w:val="10E29690"/>
    <w:rsid w:val="10E39C79"/>
    <w:rsid w:val="10E48230"/>
    <w:rsid w:val="10E5B9F9"/>
    <w:rsid w:val="10E8A509"/>
    <w:rsid w:val="10E8EB57"/>
    <w:rsid w:val="10F7C1E9"/>
    <w:rsid w:val="10F7CD01"/>
    <w:rsid w:val="10F7E899"/>
    <w:rsid w:val="10FBEC09"/>
    <w:rsid w:val="111826E3"/>
    <w:rsid w:val="111D1B1F"/>
    <w:rsid w:val="111EB8B9"/>
    <w:rsid w:val="1125C52B"/>
    <w:rsid w:val="112A9D97"/>
    <w:rsid w:val="11300680"/>
    <w:rsid w:val="1130258E"/>
    <w:rsid w:val="1131A6F0"/>
    <w:rsid w:val="113E250B"/>
    <w:rsid w:val="11439EAD"/>
    <w:rsid w:val="1150BF77"/>
    <w:rsid w:val="115507A4"/>
    <w:rsid w:val="11621C80"/>
    <w:rsid w:val="1166C805"/>
    <w:rsid w:val="116C631A"/>
    <w:rsid w:val="1175EB50"/>
    <w:rsid w:val="1179FC4C"/>
    <w:rsid w:val="117DD67E"/>
    <w:rsid w:val="118EC733"/>
    <w:rsid w:val="118ECA44"/>
    <w:rsid w:val="11925D8C"/>
    <w:rsid w:val="11967121"/>
    <w:rsid w:val="119AAAE1"/>
    <w:rsid w:val="119BC33F"/>
    <w:rsid w:val="119C66B2"/>
    <w:rsid w:val="11A7B82D"/>
    <w:rsid w:val="11ABA1DC"/>
    <w:rsid w:val="11B0395F"/>
    <w:rsid w:val="11B1AC36"/>
    <w:rsid w:val="11BA11F0"/>
    <w:rsid w:val="11BF8BA7"/>
    <w:rsid w:val="11CC34C3"/>
    <w:rsid w:val="11CE35ED"/>
    <w:rsid w:val="11DDD420"/>
    <w:rsid w:val="11E24632"/>
    <w:rsid w:val="11E85676"/>
    <w:rsid w:val="11E99B09"/>
    <w:rsid w:val="11F0A471"/>
    <w:rsid w:val="11F1CC14"/>
    <w:rsid w:val="11F33320"/>
    <w:rsid w:val="11F3B7B5"/>
    <w:rsid w:val="11F6B848"/>
    <w:rsid w:val="11F8A5C2"/>
    <w:rsid w:val="11FCB3FA"/>
    <w:rsid w:val="1202BDD8"/>
    <w:rsid w:val="120606C7"/>
    <w:rsid w:val="12063E2D"/>
    <w:rsid w:val="120B9E1B"/>
    <w:rsid w:val="121392A8"/>
    <w:rsid w:val="121857A9"/>
    <w:rsid w:val="121DE793"/>
    <w:rsid w:val="122452E1"/>
    <w:rsid w:val="12284DAB"/>
    <w:rsid w:val="1228B8E0"/>
    <w:rsid w:val="122C16A2"/>
    <w:rsid w:val="122DDFF6"/>
    <w:rsid w:val="122EBC46"/>
    <w:rsid w:val="1238A20A"/>
    <w:rsid w:val="123A7A7B"/>
    <w:rsid w:val="124CBF8F"/>
    <w:rsid w:val="124F140D"/>
    <w:rsid w:val="12538DF8"/>
    <w:rsid w:val="1255BC94"/>
    <w:rsid w:val="12593CA2"/>
    <w:rsid w:val="125F1C45"/>
    <w:rsid w:val="126620DA"/>
    <w:rsid w:val="12684B2F"/>
    <w:rsid w:val="126B9BE7"/>
    <w:rsid w:val="12707B64"/>
    <w:rsid w:val="12772EB4"/>
    <w:rsid w:val="127CF07F"/>
    <w:rsid w:val="127E4024"/>
    <w:rsid w:val="1280867F"/>
    <w:rsid w:val="1283CAED"/>
    <w:rsid w:val="1288D7E3"/>
    <w:rsid w:val="128A5284"/>
    <w:rsid w:val="12900806"/>
    <w:rsid w:val="1296E2A1"/>
    <w:rsid w:val="129E990E"/>
    <w:rsid w:val="12A0A8C5"/>
    <w:rsid w:val="12A63455"/>
    <w:rsid w:val="12AF21FC"/>
    <w:rsid w:val="12B0CFA2"/>
    <w:rsid w:val="12B0E267"/>
    <w:rsid w:val="12B167B9"/>
    <w:rsid w:val="12B9B947"/>
    <w:rsid w:val="12BB3C38"/>
    <w:rsid w:val="12BF06A5"/>
    <w:rsid w:val="12C2C090"/>
    <w:rsid w:val="12C35263"/>
    <w:rsid w:val="12C386D2"/>
    <w:rsid w:val="12C3CA77"/>
    <w:rsid w:val="12CD3942"/>
    <w:rsid w:val="12CDBF49"/>
    <w:rsid w:val="12CEBDFB"/>
    <w:rsid w:val="12CFD77F"/>
    <w:rsid w:val="12DA2545"/>
    <w:rsid w:val="12DB694B"/>
    <w:rsid w:val="12E0F3C7"/>
    <w:rsid w:val="12E76410"/>
    <w:rsid w:val="12E86A64"/>
    <w:rsid w:val="13013C22"/>
    <w:rsid w:val="13026BF8"/>
    <w:rsid w:val="1302961A"/>
    <w:rsid w:val="1305960A"/>
    <w:rsid w:val="13070115"/>
    <w:rsid w:val="1309B5B9"/>
    <w:rsid w:val="1312F49F"/>
    <w:rsid w:val="131A7285"/>
    <w:rsid w:val="131D504A"/>
    <w:rsid w:val="1321C9DE"/>
    <w:rsid w:val="13221EF2"/>
    <w:rsid w:val="132247B6"/>
    <w:rsid w:val="13266A62"/>
    <w:rsid w:val="1328F579"/>
    <w:rsid w:val="132C914F"/>
    <w:rsid w:val="1331588C"/>
    <w:rsid w:val="1331C8B0"/>
    <w:rsid w:val="133B4174"/>
    <w:rsid w:val="133E0D30"/>
    <w:rsid w:val="13446F52"/>
    <w:rsid w:val="134D7C97"/>
    <w:rsid w:val="13513105"/>
    <w:rsid w:val="1351FAD8"/>
    <w:rsid w:val="1358ED6F"/>
    <w:rsid w:val="1361E17A"/>
    <w:rsid w:val="13644CB2"/>
    <w:rsid w:val="136533F2"/>
    <w:rsid w:val="1367758A"/>
    <w:rsid w:val="1367D6AD"/>
    <w:rsid w:val="136BE30B"/>
    <w:rsid w:val="136FAC1F"/>
    <w:rsid w:val="13735556"/>
    <w:rsid w:val="13745754"/>
    <w:rsid w:val="137A1657"/>
    <w:rsid w:val="137A942D"/>
    <w:rsid w:val="137B85C1"/>
    <w:rsid w:val="13804C9F"/>
    <w:rsid w:val="1382A0ED"/>
    <w:rsid w:val="1382F77A"/>
    <w:rsid w:val="1383148D"/>
    <w:rsid w:val="13847903"/>
    <w:rsid w:val="13876A09"/>
    <w:rsid w:val="138A448D"/>
    <w:rsid w:val="138D587A"/>
    <w:rsid w:val="138E0778"/>
    <w:rsid w:val="13916CB9"/>
    <w:rsid w:val="1394D246"/>
    <w:rsid w:val="1397F41C"/>
    <w:rsid w:val="13A0A4A4"/>
    <w:rsid w:val="13A0D2F9"/>
    <w:rsid w:val="13A677D4"/>
    <w:rsid w:val="13AA8F3F"/>
    <w:rsid w:val="13AE49B8"/>
    <w:rsid w:val="13BFC05E"/>
    <w:rsid w:val="13C5754B"/>
    <w:rsid w:val="13C7646C"/>
    <w:rsid w:val="13CC5858"/>
    <w:rsid w:val="13D5440B"/>
    <w:rsid w:val="13D6937C"/>
    <w:rsid w:val="13DB4690"/>
    <w:rsid w:val="13DC4223"/>
    <w:rsid w:val="13E0DFE9"/>
    <w:rsid w:val="13E136FB"/>
    <w:rsid w:val="13E1C355"/>
    <w:rsid w:val="13E21C01"/>
    <w:rsid w:val="13E4183E"/>
    <w:rsid w:val="13EF6936"/>
    <w:rsid w:val="13F21B1E"/>
    <w:rsid w:val="13F53E90"/>
    <w:rsid w:val="13F96B54"/>
    <w:rsid w:val="13FA4762"/>
    <w:rsid w:val="13FE4D27"/>
    <w:rsid w:val="13FF1266"/>
    <w:rsid w:val="1404C2DB"/>
    <w:rsid w:val="1406AA8A"/>
    <w:rsid w:val="14083823"/>
    <w:rsid w:val="1413F687"/>
    <w:rsid w:val="1418F0E6"/>
    <w:rsid w:val="1419E99D"/>
    <w:rsid w:val="141A7B0B"/>
    <w:rsid w:val="142635A8"/>
    <w:rsid w:val="142F0BDD"/>
    <w:rsid w:val="143325F3"/>
    <w:rsid w:val="14335C7E"/>
    <w:rsid w:val="14363034"/>
    <w:rsid w:val="1439A961"/>
    <w:rsid w:val="143FDB09"/>
    <w:rsid w:val="1446E114"/>
    <w:rsid w:val="1448D5FC"/>
    <w:rsid w:val="144CBBE0"/>
    <w:rsid w:val="144FD2F5"/>
    <w:rsid w:val="1451A777"/>
    <w:rsid w:val="1455894C"/>
    <w:rsid w:val="14594987"/>
    <w:rsid w:val="145E9F90"/>
    <w:rsid w:val="145FCD17"/>
    <w:rsid w:val="1461C792"/>
    <w:rsid w:val="14626B6D"/>
    <w:rsid w:val="146650B7"/>
    <w:rsid w:val="1469EAE4"/>
    <w:rsid w:val="146A3DA0"/>
    <w:rsid w:val="1470E6E3"/>
    <w:rsid w:val="14746528"/>
    <w:rsid w:val="147B5AE6"/>
    <w:rsid w:val="147B6F16"/>
    <w:rsid w:val="147B9662"/>
    <w:rsid w:val="147C0BDB"/>
    <w:rsid w:val="147D32CF"/>
    <w:rsid w:val="14839177"/>
    <w:rsid w:val="14871863"/>
    <w:rsid w:val="148C4D91"/>
    <w:rsid w:val="148FEB47"/>
    <w:rsid w:val="14B5A927"/>
    <w:rsid w:val="14B84EDD"/>
    <w:rsid w:val="14BB08BA"/>
    <w:rsid w:val="14BFD668"/>
    <w:rsid w:val="14C39BCC"/>
    <w:rsid w:val="14C746B4"/>
    <w:rsid w:val="14C911B0"/>
    <w:rsid w:val="14C9AFB6"/>
    <w:rsid w:val="14CC1D4E"/>
    <w:rsid w:val="14CFB617"/>
    <w:rsid w:val="14D2D64E"/>
    <w:rsid w:val="14D3B21D"/>
    <w:rsid w:val="14D5ACB7"/>
    <w:rsid w:val="14D8E870"/>
    <w:rsid w:val="14DDA5BD"/>
    <w:rsid w:val="14E2A937"/>
    <w:rsid w:val="14E6C4DC"/>
    <w:rsid w:val="14EB334E"/>
    <w:rsid w:val="14EEAB0B"/>
    <w:rsid w:val="14F142D1"/>
    <w:rsid w:val="14F90227"/>
    <w:rsid w:val="14FBE488"/>
    <w:rsid w:val="14FDD5A5"/>
    <w:rsid w:val="1504C3E1"/>
    <w:rsid w:val="150636F6"/>
    <w:rsid w:val="15068765"/>
    <w:rsid w:val="150B4132"/>
    <w:rsid w:val="150DA3F8"/>
    <w:rsid w:val="150E46C0"/>
    <w:rsid w:val="15169039"/>
    <w:rsid w:val="151F67D6"/>
    <w:rsid w:val="1522348D"/>
    <w:rsid w:val="1528F5A0"/>
    <w:rsid w:val="152E5AD3"/>
    <w:rsid w:val="1532330F"/>
    <w:rsid w:val="15326C7E"/>
    <w:rsid w:val="1533DBE0"/>
    <w:rsid w:val="1536612F"/>
    <w:rsid w:val="1539E18B"/>
    <w:rsid w:val="15400E99"/>
    <w:rsid w:val="1542FE83"/>
    <w:rsid w:val="154324B4"/>
    <w:rsid w:val="154ABD53"/>
    <w:rsid w:val="15558D86"/>
    <w:rsid w:val="155615B8"/>
    <w:rsid w:val="15587624"/>
    <w:rsid w:val="155B62CC"/>
    <w:rsid w:val="156E55A0"/>
    <w:rsid w:val="1571F909"/>
    <w:rsid w:val="15728DA8"/>
    <w:rsid w:val="1573660A"/>
    <w:rsid w:val="157982E9"/>
    <w:rsid w:val="157DE357"/>
    <w:rsid w:val="157E0A84"/>
    <w:rsid w:val="158290AE"/>
    <w:rsid w:val="15836CC6"/>
    <w:rsid w:val="1583A836"/>
    <w:rsid w:val="1583EFEA"/>
    <w:rsid w:val="1584ABE6"/>
    <w:rsid w:val="158BE92E"/>
    <w:rsid w:val="1591AE3A"/>
    <w:rsid w:val="1597D2F4"/>
    <w:rsid w:val="159A0195"/>
    <w:rsid w:val="159C2C5C"/>
    <w:rsid w:val="159DF634"/>
    <w:rsid w:val="15A55B5C"/>
    <w:rsid w:val="15A62670"/>
    <w:rsid w:val="15A7B8E8"/>
    <w:rsid w:val="15ACFB26"/>
    <w:rsid w:val="15B3F261"/>
    <w:rsid w:val="15B41D73"/>
    <w:rsid w:val="15B9D63B"/>
    <w:rsid w:val="15BCAD5B"/>
    <w:rsid w:val="15BDCDE2"/>
    <w:rsid w:val="15C50D7E"/>
    <w:rsid w:val="15C584FC"/>
    <w:rsid w:val="15CA1C04"/>
    <w:rsid w:val="15D27E6C"/>
    <w:rsid w:val="15D8063D"/>
    <w:rsid w:val="15D8B11F"/>
    <w:rsid w:val="15D99851"/>
    <w:rsid w:val="15DB74B7"/>
    <w:rsid w:val="15E18097"/>
    <w:rsid w:val="15F1B6E4"/>
    <w:rsid w:val="15F2C274"/>
    <w:rsid w:val="15F96811"/>
    <w:rsid w:val="15FF0842"/>
    <w:rsid w:val="1601D14A"/>
    <w:rsid w:val="16029E1D"/>
    <w:rsid w:val="1605E42E"/>
    <w:rsid w:val="160610A5"/>
    <w:rsid w:val="1606476B"/>
    <w:rsid w:val="1606DD75"/>
    <w:rsid w:val="160B5B1C"/>
    <w:rsid w:val="16197C77"/>
    <w:rsid w:val="161A8B2B"/>
    <w:rsid w:val="162348DB"/>
    <w:rsid w:val="1627A7D9"/>
    <w:rsid w:val="1628030D"/>
    <w:rsid w:val="16289AB2"/>
    <w:rsid w:val="16300AC8"/>
    <w:rsid w:val="1635F98A"/>
    <w:rsid w:val="1637AFAF"/>
    <w:rsid w:val="163D019B"/>
    <w:rsid w:val="16406FBE"/>
    <w:rsid w:val="164AA4AE"/>
    <w:rsid w:val="164E71A3"/>
    <w:rsid w:val="16572703"/>
    <w:rsid w:val="16600BA0"/>
    <w:rsid w:val="16611C7E"/>
    <w:rsid w:val="1662934A"/>
    <w:rsid w:val="166AE6B7"/>
    <w:rsid w:val="166EDC0F"/>
    <w:rsid w:val="167519C5"/>
    <w:rsid w:val="1675F221"/>
    <w:rsid w:val="1676DFCF"/>
    <w:rsid w:val="167888E0"/>
    <w:rsid w:val="167AC4ED"/>
    <w:rsid w:val="167AD0AC"/>
    <w:rsid w:val="167EE524"/>
    <w:rsid w:val="16862FD6"/>
    <w:rsid w:val="168637F6"/>
    <w:rsid w:val="168AC69A"/>
    <w:rsid w:val="168B219C"/>
    <w:rsid w:val="168BF052"/>
    <w:rsid w:val="168CDE07"/>
    <w:rsid w:val="16A74CE1"/>
    <w:rsid w:val="16A890FF"/>
    <w:rsid w:val="16A9C813"/>
    <w:rsid w:val="16AE1632"/>
    <w:rsid w:val="16AE1D0F"/>
    <w:rsid w:val="16AF8AF7"/>
    <w:rsid w:val="16B0F307"/>
    <w:rsid w:val="16B2FAA3"/>
    <w:rsid w:val="16B4218F"/>
    <w:rsid w:val="16BB070E"/>
    <w:rsid w:val="16C92A8F"/>
    <w:rsid w:val="16CDD6E4"/>
    <w:rsid w:val="16CE5FAB"/>
    <w:rsid w:val="16D13F87"/>
    <w:rsid w:val="16D4DCF5"/>
    <w:rsid w:val="16DE7CEF"/>
    <w:rsid w:val="16EB7E9F"/>
    <w:rsid w:val="16F91383"/>
    <w:rsid w:val="1701ED78"/>
    <w:rsid w:val="17078AC0"/>
    <w:rsid w:val="17116DDB"/>
    <w:rsid w:val="1714E424"/>
    <w:rsid w:val="17189206"/>
    <w:rsid w:val="17198953"/>
    <w:rsid w:val="171B6CAA"/>
    <w:rsid w:val="171DBFDE"/>
    <w:rsid w:val="17227A66"/>
    <w:rsid w:val="1723C0EE"/>
    <w:rsid w:val="17271067"/>
    <w:rsid w:val="17290C39"/>
    <w:rsid w:val="172B7A8B"/>
    <w:rsid w:val="1733D33F"/>
    <w:rsid w:val="17354070"/>
    <w:rsid w:val="1735E821"/>
    <w:rsid w:val="173E1988"/>
    <w:rsid w:val="173FC4D8"/>
    <w:rsid w:val="1740F94A"/>
    <w:rsid w:val="1746F473"/>
    <w:rsid w:val="174C3602"/>
    <w:rsid w:val="174C7EA5"/>
    <w:rsid w:val="174D22AD"/>
    <w:rsid w:val="17505646"/>
    <w:rsid w:val="17548955"/>
    <w:rsid w:val="1757D9F2"/>
    <w:rsid w:val="175895F7"/>
    <w:rsid w:val="17589DC0"/>
    <w:rsid w:val="175991A2"/>
    <w:rsid w:val="175C0608"/>
    <w:rsid w:val="175C421B"/>
    <w:rsid w:val="1764DBA3"/>
    <w:rsid w:val="176B2B15"/>
    <w:rsid w:val="176F68A8"/>
    <w:rsid w:val="177A8962"/>
    <w:rsid w:val="1781AE9D"/>
    <w:rsid w:val="17837B25"/>
    <w:rsid w:val="1786E5B0"/>
    <w:rsid w:val="17888332"/>
    <w:rsid w:val="178BF658"/>
    <w:rsid w:val="17942C69"/>
    <w:rsid w:val="17984735"/>
    <w:rsid w:val="179874C1"/>
    <w:rsid w:val="179B7B76"/>
    <w:rsid w:val="179C0995"/>
    <w:rsid w:val="179C25DA"/>
    <w:rsid w:val="179CF7AA"/>
    <w:rsid w:val="17A24308"/>
    <w:rsid w:val="17AF6D79"/>
    <w:rsid w:val="17B23607"/>
    <w:rsid w:val="17B3AE53"/>
    <w:rsid w:val="17B64112"/>
    <w:rsid w:val="17B67EEB"/>
    <w:rsid w:val="17B6A628"/>
    <w:rsid w:val="17B9DB0B"/>
    <w:rsid w:val="17BA79CA"/>
    <w:rsid w:val="17C2C4BB"/>
    <w:rsid w:val="17C5E852"/>
    <w:rsid w:val="17C7F1BC"/>
    <w:rsid w:val="17C94E96"/>
    <w:rsid w:val="17D010C6"/>
    <w:rsid w:val="17D01694"/>
    <w:rsid w:val="17D1DD5E"/>
    <w:rsid w:val="17DB4D1E"/>
    <w:rsid w:val="17DBF029"/>
    <w:rsid w:val="17DDFD3F"/>
    <w:rsid w:val="17E18DBB"/>
    <w:rsid w:val="17E6A412"/>
    <w:rsid w:val="17EA992F"/>
    <w:rsid w:val="17F5B196"/>
    <w:rsid w:val="17F60EDA"/>
    <w:rsid w:val="17F7C074"/>
    <w:rsid w:val="1800F268"/>
    <w:rsid w:val="18019F10"/>
    <w:rsid w:val="180BAAE5"/>
    <w:rsid w:val="180F87C4"/>
    <w:rsid w:val="1812EA07"/>
    <w:rsid w:val="1814BA6B"/>
    <w:rsid w:val="1826CD22"/>
    <w:rsid w:val="1830AF1B"/>
    <w:rsid w:val="1835491D"/>
    <w:rsid w:val="183820D6"/>
    <w:rsid w:val="1838E783"/>
    <w:rsid w:val="183CC264"/>
    <w:rsid w:val="1841B20E"/>
    <w:rsid w:val="184526C5"/>
    <w:rsid w:val="184626CE"/>
    <w:rsid w:val="18488BE7"/>
    <w:rsid w:val="184BD416"/>
    <w:rsid w:val="184DE99C"/>
    <w:rsid w:val="18584A35"/>
    <w:rsid w:val="1859E5F1"/>
    <w:rsid w:val="185ECEDB"/>
    <w:rsid w:val="18658F76"/>
    <w:rsid w:val="1866CB6C"/>
    <w:rsid w:val="186AE63C"/>
    <w:rsid w:val="186CB461"/>
    <w:rsid w:val="1872EDEE"/>
    <w:rsid w:val="1875B402"/>
    <w:rsid w:val="1875C409"/>
    <w:rsid w:val="1876091B"/>
    <w:rsid w:val="187DE383"/>
    <w:rsid w:val="187E4B40"/>
    <w:rsid w:val="18845965"/>
    <w:rsid w:val="18865A7C"/>
    <w:rsid w:val="1886AED9"/>
    <w:rsid w:val="1886D14D"/>
    <w:rsid w:val="18879171"/>
    <w:rsid w:val="1889F6F0"/>
    <w:rsid w:val="188BA0C3"/>
    <w:rsid w:val="188C8E98"/>
    <w:rsid w:val="188FA25C"/>
    <w:rsid w:val="1891F3CD"/>
    <w:rsid w:val="1892255D"/>
    <w:rsid w:val="18928BF7"/>
    <w:rsid w:val="1894E3E4"/>
    <w:rsid w:val="18A4706F"/>
    <w:rsid w:val="18A79027"/>
    <w:rsid w:val="18A90DCE"/>
    <w:rsid w:val="18A9D415"/>
    <w:rsid w:val="18AC238A"/>
    <w:rsid w:val="18B22268"/>
    <w:rsid w:val="18BA1C17"/>
    <w:rsid w:val="18C42C0D"/>
    <w:rsid w:val="18C4DC9A"/>
    <w:rsid w:val="18CC86A8"/>
    <w:rsid w:val="18D72D52"/>
    <w:rsid w:val="18D909A0"/>
    <w:rsid w:val="18E446DE"/>
    <w:rsid w:val="18E6D5E0"/>
    <w:rsid w:val="18E7E30B"/>
    <w:rsid w:val="18EDABA7"/>
    <w:rsid w:val="18F4FD70"/>
    <w:rsid w:val="18F962A6"/>
    <w:rsid w:val="1904A4B0"/>
    <w:rsid w:val="1904D54D"/>
    <w:rsid w:val="19056B20"/>
    <w:rsid w:val="19103BDB"/>
    <w:rsid w:val="191E44AB"/>
    <w:rsid w:val="1928BA7F"/>
    <w:rsid w:val="192D01AE"/>
    <w:rsid w:val="192DF015"/>
    <w:rsid w:val="192F3530"/>
    <w:rsid w:val="19324FDF"/>
    <w:rsid w:val="193855C2"/>
    <w:rsid w:val="193DF9E2"/>
    <w:rsid w:val="193EF603"/>
    <w:rsid w:val="19426D2B"/>
    <w:rsid w:val="1949740B"/>
    <w:rsid w:val="194F2D82"/>
    <w:rsid w:val="195056CF"/>
    <w:rsid w:val="195AE52E"/>
    <w:rsid w:val="195B7C92"/>
    <w:rsid w:val="1962138A"/>
    <w:rsid w:val="19672498"/>
    <w:rsid w:val="196A41EF"/>
    <w:rsid w:val="19710366"/>
    <w:rsid w:val="1974F4C1"/>
    <w:rsid w:val="197A2646"/>
    <w:rsid w:val="197CAF1F"/>
    <w:rsid w:val="1980F5EE"/>
    <w:rsid w:val="198205B9"/>
    <w:rsid w:val="19858F21"/>
    <w:rsid w:val="198B5B5A"/>
    <w:rsid w:val="198DDF93"/>
    <w:rsid w:val="1994130A"/>
    <w:rsid w:val="1995FA65"/>
    <w:rsid w:val="199B843D"/>
    <w:rsid w:val="199E8D9E"/>
    <w:rsid w:val="19A3DBAF"/>
    <w:rsid w:val="19A5C8B3"/>
    <w:rsid w:val="19A6FA43"/>
    <w:rsid w:val="19A771D9"/>
    <w:rsid w:val="19B581A8"/>
    <w:rsid w:val="19B5BD65"/>
    <w:rsid w:val="19C661C0"/>
    <w:rsid w:val="19CA5531"/>
    <w:rsid w:val="19CC89E7"/>
    <w:rsid w:val="19D2E2DB"/>
    <w:rsid w:val="19D36F68"/>
    <w:rsid w:val="19D5971A"/>
    <w:rsid w:val="19DD262F"/>
    <w:rsid w:val="19E06659"/>
    <w:rsid w:val="19E182E5"/>
    <w:rsid w:val="19EF94DB"/>
    <w:rsid w:val="19F21C2B"/>
    <w:rsid w:val="19F6EC20"/>
    <w:rsid w:val="19F850AF"/>
    <w:rsid w:val="19FAC679"/>
    <w:rsid w:val="19FB89BA"/>
    <w:rsid w:val="1A07D172"/>
    <w:rsid w:val="1A0AA811"/>
    <w:rsid w:val="1A115AED"/>
    <w:rsid w:val="1A1AECBE"/>
    <w:rsid w:val="1A328D61"/>
    <w:rsid w:val="1A39CE2B"/>
    <w:rsid w:val="1A458C60"/>
    <w:rsid w:val="1A4FC94F"/>
    <w:rsid w:val="1A5CF6D8"/>
    <w:rsid w:val="1A5F9486"/>
    <w:rsid w:val="1A65E37C"/>
    <w:rsid w:val="1A71A785"/>
    <w:rsid w:val="1A7378CC"/>
    <w:rsid w:val="1A74E399"/>
    <w:rsid w:val="1A796BC8"/>
    <w:rsid w:val="1A79D558"/>
    <w:rsid w:val="1A7FCC03"/>
    <w:rsid w:val="1A80C341"/>
    <w:rsid w:val="1A816BF8"/>
    <w:rsid w:val="1A823356"/>
    <w:rsid w:val="1A826E43"/>
    <w:rsid w:val="1A841A21"/>
    <w:rsid w:val="1A86860C"/>
    <w:rsid w:val="1A8F22D6"/>
    <w:rsid w:val="1A8FB385"/>
    <w:rsid w:val="1A967A79"/>
    <w:rsid w:val="1A9FA73D"/>
    <w:rsid w:val="1AA23E7F"/>
    <w:rsid w:val="1AA40DDE"/>
    <w:rsid w:val="1AA48E5C"/>
    <w:rsid w:val="1AA53915"/>
    <w:rsid w:val="1AA80B99"/>
    <w:rsid w:val="1AA86120"/>
    <w:rsid w:val="1AAAE9CB"/>
    <w:rsid w:val="1AB47B82"/>
    <w:rsid w:val="1AC25303"/>
    <w:rsid w:val="1AC2B820"/>
    <w:rsid w:val="1AC4BF83"/>
    <w:rsid w:val="1AC679D5"/>
    <w:rsid w:val="1ACA161E"/>
    <w:rsid w:val="1ACA4323"/>
    <w:rsid w:val="1AD40D67"/>
    <w:rsid w:val="1AD8F8A0"/>
    <w:rsid w:val="1ADA2D47"/>
    <w:rsid w:val="1ADBA9E3"/>
    <w:rsid w:val="1AE3A13E"/>
    <w:rsid w:val="1AEAD022"/>
    <w:rsid w:val="1AF1C1C1"/>
    <w:rsid w:val="1AF218A4"/>
    <w:rsid w:val="1AF25CB0"/>
    <w:rsid w:val="1AF4E189"/>
    <w:rsid w:val="1AF7689E"/>
    <w:rsid w:val="1AF81EE1"/>
    <w:rsid w:val="1AFB2529"/>
    <w:rsid w:val="1B0341D9"/>
    <w:rsid w:val="1B0920DB"/>
    <w:rsid w:val="1B0D3AEC"/>
    <w:rsid w:val="1B104867"/>
    <w:rsid w:val="1B183F83"/>
    <w:rsid w:val="1B1C3237"/>
    <w:rsid w:val="1B1FAFE1"/>
    <w:rsid w:val="1B203516"/>
    <w:rsid w:val="1B21E2C6"/>
    <w:rsid w:val="1B2863AF"/>
    <w:rsid w:val="1B2D792E"/>
    <w:rsid w:val="1B309C8A"/>
    <w:rsid w:val="1B324229"/>
    <w:rsid w:val="1B33051C"/>
    <w:rsid w:val="1B33123C"/>
    <w:rsid w:val="1B338D0E"/>
    <w:rsid w:val="1B34D444"/>
    <w:rsid w:val="1B3D64B3"/>
    <w:rsid w:val="1B468A8C"/>
    <w:rsid w:val="1B495B96"/>
    <w:rsid w:val="1B4B367E"/>
    <w:rsid w:val="1B4DA99B"/>
    <w:rsid w:val="1B548BCB"/>
    <w:rsid w:val="1B5CF898"/>
    <w:rsid w:val="1B671E3C"/>
    <w:rsid w:val="1B6CFA6D"/>
    <w:rsid w:val="1B716EAC"/>
    <w:rsid w:val="1B7301F0"/>
    <w:rsid w:val="1B752370"/>
    <w:rsid w:val="1B75787A"/>
    <w:rsid w:val="1B7A47E7"/>
    <w:rsid w:val="1B7EF094"/>
    <w:rsid w:val="1B84A194"/>
    <w:rsid w:val="1B8BC1B2"/>
    <w:rsid w:val="1B8DF2FA"/>
    <w:rsid w:val="1B9216F8"/>
    <w:rsid w:val="1B96C0B7"/>
    <w:rsid w:val="1B9849B5"/>
    <w:rsid w:val="1B993D5E"/>
    <w:rsid w:val="1B9951A1"/>
    <w:rsid w:val="1B9F5159"/>
    <w:rsid w:val="1BAE4DB4"/>
    <w:rsid w:val="1BAEF537"/>
    <w:rsid w:val="1BB15F93"/>
    <w:rsid w:val="1BB90A11"/>
    <w:rsid w:val="1BBA6F69"/>
    <w:rsid w:val="1BC34249"/>
    <w:rsid w:val="1BC7BBDF"/>
    <w:rsid w:val="1BC8A2D3"/>
    <w:rsid w:val="1BC8AA5E"/>
    <w:rsid w:val="1BCD7DF0"/>
    <w:rsid w:val="1BCE9C77"/>
    <w:rsid w:val="1BCEA70A"/>
    <w:rsid w:val="1BE2AE71"/>
    <w:rsid w:val="1BE434A0"/>
    <w:rsid w:val="1BE4BB1C"/>
    <w:rsid w:val="1BE91D82"/>
    <w:rsid w:val="1BE992E7"/>
    <w:rsid w:val="1BEA3C4B"/>
    <w:rsid w:val="1BEB505E"/>
    <w:rsid w:val="1BEC709D"/>
    <w:rsid w:val="1BF17392"/>
    <w:rsid w:val="1BF1CD81"/>
    <w:rsid w:val="1BF34615"/>
    <w:rsid w:val="1BF39CF6"/>
    <w:rsid w:val="1BF421D5"/>
    <w:rsid w:val="1BF5F5DD"/>
    <w:rsid w:val="1BFC7D5C"/>
    <w:rsid w:val="1C012F66"/>
    <w:rsid w:val="1C04E7B6"/>
    <w:rsid w:val="1C095944"/>
    <w:rsid w:val="1C0A80E9"/>
    <w:rsid w:val="1C0E6290"/>
    <w:rsid w:val="1C105252"/>
    <w:rsid w:val="1C20F340"/>
    <w:rsid w:val="1C341F85"/>
    <w:rsid w:val="1C366DFA"/>
    <w:rsid w:val="1C3C10FC"/>
    <w:rsid w:val="1C43602F"/>
    <w:rsid w:val="1C47DE0B"/>
    <w:rsid w:val="1C4C2B9F"/>
    <w:rsid w:val="1C4C84BA"/>
    <w:rsid w:val="1C4F6E07"/>
    <w:rsid w:val="1C54EF93"/>
    <w:rsid w:val="1C56B0EB"/>
    <w:rsid w:val="1C589776"/>
    <w:rsid w:val="1C59C475"/>
    <w:rsid w:val="1C59EDDC"/>
    <w:rsid w:val="1C5B3DB0"/>
    <w:rsid w:val="1C5BDFD2"/>
    <w:rsid w:val="1C5E91FE"/>
    <w:rsid w:val="1C5F1687"/>
    <w:rsid w:val="1C60D0CC"/>
    <w:rsid w:val="1C61736B"/>
    <w:rsid w:val="1C6230C0"/>
    <w:rsid w:val="1C642B29"/>
    <w:rsid w:val="1C663502"/>
    <w:rsid w:val="1C68728C"/>
    <w:rsid w:val="1C69089C"/>
    <w:rsid w:val="1C6AA342"/>
    <w:rsid w:val="1C6D3202"/>
    <w:rsid w:val="1C74B3AA"/>
    <w:rsid w:val="1C75AFF4"/>
    <w:rsid w:val="1C7C2A1A"/>
    <w:rsid w:val="1C7D88E6"/>
    <w:rsid w:val="1C854299"/>
    <w:rsid w:val="1C8DCEE8"/>
    <w:rsid w:val="1C8FE068"/>
    <w:rsid w:val="1C9B5CFE"/>
    <w:rsid w:val="1C9BCF39"/>
    <w:rsid w:val="1C9F9ADD"/>
    <w:rsid w:val="1CA0B9B7"/>
    <w:rsid w:val="1CA28AD4"/>
    <w:rsid w:val="1CA46ABC"/>
    <w:rsid w:val="1CA90B4D"/>
    <w:rsid w:val="1CAA3B9C"/>
    <w:rsid w:val="1CAF59A9"/>
    <w:rsid w:val="1CAFDC23"/>
    <w:rsid w:val="1CB1E6D7"/>
    <w:rsid w:val="1CB72929"/>
    <w:rsid w:val="1CB7F4FF"/>
    <w:rsid w:val="1CB84390"/>
    <w:rsid w:val="1CB8D4BB"/>
    <w:rsid w:val="1CBD72DA"/>
    <w:rsid w:val="1CBEDC79"/>
    <w:rsid w:val="1CBF4919"/>
    <w:rsid w:val="1CC17C8D"/>
    <w:rsid w:val="1CC8AADA"/>
    <w:rsid w:val="1CCB77ED"/>
    <w:rsid w:val="1CDB5EA3"/>
    <w:rsid w:val="1CE13EE8"/>
    <w:rsid w:val="1CE61451"/>
    <w:rsid w:val="1CE7D1DD"/>
    <w:rsid w:val="1CE8A9F4"/>
    <w:rsid w:val="1CEA2877"/>
    <w:rsid w:val="1CED226A"/>
    <w:rsid w:val="1CF9F8A5"/>
    <w:rsid w:val="1D032F9E"/>
    <w:rsid w:val="1D0480A6"/>
    <w:rsid w:val="1D127664"/>
    <w:rsid w:val="1D14CE48"/>
    <w:rsid w:val="1D15A750"/>
    <w:rsid w:val="1D180195"/>
    <w:rsid w:val="1D1D929A"/>
    <w:rsid w:val="1D1E3D71"/>
    <w:rsid w:val="1D21CF67"/>
    <w:rsid w:val="1D2EDB3F"/>
    <w:rsid w:val="1D324994"/>
    <w:rsid w:val="1D347FF9"/>
    <w:rsid w:val="1D396523"/>
    <w:rsid w:val="1D3A18E7"/>
    <w:rsid w:val="1D476FD0"/>
    <w:rsid w:val="1D483BBB"/>
    <w:rsid w:val="1D4879A3"/>
    <w:rsid w:val="1D546BD5"/>
    <w:rsid w:val="1D56F75A"/>
    <w:rsid w:val="1D570BA8"/>
    <w:rsid w:val="1D590F66"/>
    <w:rsid w:val="1D5A90A3"/>
    <w:rsid w:val="1D5F03C6"/>
    <w:rsid w:val="1D5F6031"/>
    <w:rsid w:val="1D61FF45"/>
    <w:rsid w:val="1D638664"/>
    <w:rsid w:val="1D654F92"/>
    <w:rsid w:val="1D685507"/>
    <w:rsid w:val="1D6D1E84"/>
    <w:rsid w:val="1D75322E"/>
    <w:rsid w:val="1D774AAA"/>
    <w:rsid w:val="1D872225"/>
    <w:rsid w:val="1D87C035"/>
    <w:rsid w:val="1D914ACF"/>
    <w:rsid w:val="1DA0EBA3"/>
    <w:rsid w:val="1DA31231"/>
    <w:rsid w:val="1DA63758"/>
    <w:rsid w:val="1DAA074D"/>
    <w:rsid w:val="1DAE888F"/>
    <w:rsid w:val="1DB11009"/>
    <w:rsid w:val="1DB2C50E"/>
    <w:rsid w:val="1DB5860A"/>
    <w:rsid w:val="1DB635F7"/>
    <w:rsid w:val="1DC5A2CB"/>
    <w:rsid w:val="1DCE2E0A"/>
    <w:rsid w:val="1DD03CA0"/>
    <w:rsid w:val="1DD5C604"/>
    <w:rsid w:val="1DD8B605"/>
    <w:rsid w:val="1DE0D92F"/>
    <w:rsid w:val="1DE3234A"/>
    <w:rsid w:val="1DE4BED1"/>
    <w:rsid w:val="1DE658B6"/>
    <w:rsid w:val="1DECA9B8"/>
    <w:rsid w:val="1DEED01D"/>
    <w:rsid w:val="1DFB1BBF"/>
    <w:rsid w:val="1DFC5594"/>
    <w:rsid w:val="1E02AA69"/>
    <w:rsid w:val="1E04FF45"/>
    <w:rsid w:val="1E0B32EC"/>
    <w:rsid w:val="1E1091B6"/>
    <w:rsid w:val="1E131F77"/>
    <w:rsid w:val="1E139119"/>
    <w:rsid w:val="1E1CAADF"/>
    <w:rsid w:val="1E1EE0D3"/>
    <w:rsid w:val="1E20222B"/>
    <w:rsid w:val="1E206DEF"/>
    <w:rsid w:val="1E249D5F"/>
    <w:rsid w:val="1E256F28"/>
    <w:rsid w:val="1E272E70"/>
    <w:rsid w:val="1E2A16B7"/>
    <w:rsid w:val="1E369534"/>
    <w:rsid w:val="1E36D9D1"/>
    <w:rsid w:val="1E376505"/>
    <w:rsid w:val="1E4AEDC9"/>
    <w:rsid w:val="1E4AF5EB"/>
    <w:rsid w:val="1E585E92"/>
    <w:rsid w:val="1E5FD56C"/>
    <w:rsid w:val="1E63731B"/>
    <w:rsid w:val="1E67074F"/>
    <w:rsid w:val="1E77E603"/>
    <w:rsid w:val="1E7D13F2"/>
    <w:rsid w:val="1E82D740"/>
    <w:rsid w:val="1E8AB86C"/>
    <w:rsid w:val="1E8C10B0"/>
    <w:rsid w:val="1E8C7ACF"/>
    <w:rsid w:val="1E8EBCC4"/>
    <w:rsid w:val="1E909103"/>
    <w:rsid w:val="1E92BFBF"/>
    <w:rsid w:val="1E9A03E4"/>
    <w:rsid w:val="1EA06282"/>
    <w:rsid w:val="1EA9FE29"/>
    <w:rsid w:val="1EAF7B0C"/>
    <w:rsid w:val="1EB92392"/>
    <w:rsid w:val="1EC1DE2E"/>
    <w:rsid w:val="1EC9167E"/>
    <w:rsid w:val="1ECA67AD"/>
    <w:rsid w:val="1ECA8B2E"/>
    <w:rsid w:val="1ECDACD7"/>
    <w:rsid w:val="1ED2A66D"/>
    <w:rsid w:val="1ED506A3"/>
    <w:rsid w:val="1EDC2AAC"/>
    <w:rsid w:val="1EDCC0CD"/>
    <w:rsid w:val="1EE2B0EC"/>
    <w:rsid w:val="1EE4656E"/>
    <w:rsid w:val="1EE509E0"/>
    <w:rsid w:val="1EE8CBC9"/>
    <w:rsid w:val="1EF1B1D2"/>
    <w:rsid w:val="1EFA3A02"/>
    <w:rsid w:val="1F044BF9"/>
    <w:rsid w:val="1F11EA95"/>
    <w:rsid w:val="1F13B1F3"/>
    <w:rsid w:val="1F14916C"/>
    <w:rsid w:val="1F1AC469"/>
    <w:rsid w:val="1F1D156F"/>
    <w:rsid w:val="1F1D4389"/>
    <w:rsid w:val="1F1D76A9"/>
    <w:rsid w:val="1F2B8016"/>
    <w:rsid w:val="1F2FBAD5"/>
    <w:rsid w:val="1F33F826"/>
    <w:rsid w:val="1F344493"/>
    <w:rsid w:val="1F36B881"/>
    <w:rsid w:val="1F383C58"/>
    <w:rsid w:val="1F3DB162"/>
    <w:rsid w:val="1F3F2FF3"/>
    <w:rsid w:val="1F432FAD"/>
    <w:rsid w:val="1F496ACF"/>
    <w:rsid w:val="1F4D467B"/>
    <w:rsid w:val="1F4F31E3"/>
    <w:rsid w:val="1F5012D1"/>
    <w:rsid w:val="1F5377D5"/>
    <w:rsid w:val="1F5B1EF4"/>
    <w:rsid w:val="1F5EA695"/>
    <w:rsid w:val="1F605AFC"/>
    <w:rsid w:val="1F63E3AF"/>
    <w:rsid w:val="1F64EFA8"/>
    <w:rsid w:val="1F6629A7"/>
    <w:rsid w:val="1F6B82E0"/>
    <w:rsid w:val="1F73BB94"/>
    <w:rsid w:val="1F73D367"/>
    <w:rsid w:val="1F76BF92"/>
    <w:rsid w:val="1F774D25"/>
    <w:rsid w:val="1F7FC747"/>
    <w:rsid w:val="1F871E32"/>
    <w:rsid w:val="1F8D3C4A"/>
    <w:rsid w:val="1F8D9804"/>
    <w:rsid w:val="1F8E788E"/>
    <w:rsid w:val="1F96EB2D"/>
    <w:rsid w:val="1F974ACD"/>
    <w:rsid w:val="1F97F385"/>
    <w:rsid w:val="1F9842A1"/>
    <w:rsid w:val="1F996C78"/>
    <w:rsid w:val="1FA34196"/>
    <w:rsid w:val="1FA8FC96"/>
    <w:rsid w:val="1FA97A12"/>
    <w:rsid w:val="1FAEBBAF"/>
    <w:rsid w:val="1FAEEB8E"/>
    <w:rsid w:val="1FB8B7DF"/>
    <w:rsid w:val="1FB8F051"/>
    <w:rsid w:val="1FC26079"/>
    <w:rsid w:val="1FCB12E0"/>
    <w:rsid w:val="1FCFBD06"/>
    <w:rsid w:val="1FD26595"/>
    <w:rsid w:val="1FDB4E99"/>
    <w:rsid w:val="1FDB9672"/>
    <w:rsid w:val="1FDC202B"/>
    <w:rsid w:val="1FDFCFB4"/>
    <w:rsid w:val="1FE0E6F0"/>
    <w:rsid w:val="1FE4B33F"/>
    <w:rsid w:val="1FE669FF"/>
    <w:rsid w:val="1FE87F31"/>
    <w:rsid w:val="1FEDA826"/>
    <w:rsid w:val="1FF7E2A9"/>
    <w:rsid w:val="200ABF0D"/>
    <w:rsid w:val="200BC457"/>
    <w:rsid w:val="20136818"/>
    <w:rsid w:val="201EC4CD"/>
    <w:rsid w:val="201F154A"/>
    <w:rsid w:val="20283730"/>
    <w:rsid w:val="20292ED3"/>
    <w:rsid w:val="202C9377"/>
    <w:rsid w:val="202CF937"/>
    <w:rsid w:val="202D2E79"/>
    <w:rsid w:val="2035EDB6"/>
    <w:rsid w:val="20382B00"/>
    <w:rsid w:val="20396320"/>
    <w:rsid w:val="20404D5C"/>
    <w:rsid w:val="2040D58B"/>
    <w:rsid w:val="204590AC"/>
    <w:rsid w:val="20492451"/>
    <w:rsid w:val="20493767"/>
    <w:rsid w:val="204B4B6D"/>
    <w:rsid w:val="204FD4E6"/>
    <w:rsid w:val="204FEDD6"/>
    <w:rsid w:val="20529E1F"/>
    <w:rsid w:val="20547942"/>
    <w:rsid w:val="205B1A27"/>
    <w:rsid w:val="2062A552"/>
    <w:rsid w:val="2063061C"/>
    <w:rsid w:val="20654FA4"/>
    <w:rsid w:val="20656B99"/>
    <w:rsid w:val="20665B8F"/>
    <w:rsid w:val="20691633"/>
    <w:rsid w:val="206AA8B2"/>
    <w:rsid w:val="206DE77F"/>
    <w:rsid w:val="206E207C"/>
    <w:rsid w:val="20749FCF"/>
    <w:rsid w:val="2075290B"/>
    <w:rsid w:val="20774537"/>
    <w:rsid w:val="207877D0"/>
    <w:rsid w:val="2078DCE4"/>
    <w:rsid w:val="2079EEA6"/>
    <w:rsid w:val="207E9140"/>
    <w:rsid w:val="207FCE7C"/>
    <w:rsid w:val="20809A7A"/>
    <w:rsid w:val="20819CC1"/>
    <w:rsid w:val="20884160"/>
    <w:rsid w:val="208C9CFF"/>
    <w:rsid w:val="2090AB4F"/>
    <w:rsid w:val="20939B60"/>
    <w:rsid w:val="209F0A5D"/>
    <w:rsid w:val="20A254D8"/>
    <w:rsid w:val="20A25CD9"/>
    <w:rsid w:val="20ACEF77"/>
    <w:rsid w:val="20AF8254"/>
    <w:rsid w:val="20B0097A"/>
    <w:rsid w:val="20B1004B"/>
    <w:rsid w:val="20B1A42E"/>
    <w:rsid w:val="20B61F5E"/>
    <w:rsid w:val="20B62FF9"/>
    <w:rsid w:val="20BD261A"/>
    <w:rsid w:val="20C27D85"/>
    <w:rsid w:val="20C33DA1"/>
    <w:rsid w:val="20C5E95B"/>
    <w:rsid w:val="20D668D5"/>
    <w:rsid w:val="20D88B38"/>
    <w:rsid w:val="20E1A22D"/>
    <w:rsid w:val="20ED05CC"/>
    <w:rsid w:val="20F1AA0C"/>
    <w:rsid w:val="20FD95AA"/>
    <w:rsid w:val="20FE6D5E"/>
    <w:rsid w:val="21043398"/>
    <w:rsid w:val="21047C94"/>
    <w:rsid w:val="21091B85"/>
    <w:rsid w:val="21099BA8"/>
    <w:rsid w:val="2116D36F"/>
    <w:rsid w:val="21186D50"/>
    <w:rsid w:val="211917A2"/>
    <w:rsid w:val="211AC0CA"/>
    <w:rsid w:val="211C1640"/>
    <w:rsid w:val="211FEF15"/>
    <w:rsid w:val="212085AB"/>
    <w:rsid w:val="21212973"/>
    <w:rsid w:val="2128C9BD"/>
    <w:rsid w:val="212B0C3E"/>
    <w:rsid w:val="212D124B"/>
    <w:rsid w:val="212D25E6"/>
    <w:rsid w:val="21321B56"/>
    <w:rsid w:val="2134E024"/>
    <w:rsid w:val="213CA007"/>
    <w:rsid w:val="214B5B48"/>
    <w:rsid w:val="2150FDEF"/>
    <w:rsid w:val="21517182"/>
    <w:rsid w:val="215337B6"/>
    <w:rsid w:val="2154D6D4"/>
    <w:rsid w:val="2154EBA0"/>
    <w:rsid w:val="2156981F"/>
    <w:rsid w:val="2156D10C"/>
    <w:rsid w:val="2157BB98"/>
    <w:rsid w:val="21581F56"/>
    <w:rsid w:val="21584BAC"/>
    <w:rsid w:val="2158F42C"/>
    <w:rsid w:val="215B3D59"/>
    <w:rsid w:val="215C9247"/>
    <w:rsid w:val="215E7A20"/>
    <w:rsid w:val="2160DC55"/>
    <w:rsid w:val="21648871"/>
    <w:rsid w:val="21656D73"/>
    <w:rsid w:val="2167A97B"/>
    <w:rsid w:val="216B8BBA"/>
    <w:rsid w:val="21718F45"/>
    <w:rsid w:val="2174D3F6"/>
    <w:rsid w:val="217727C8"/>
    <w:rsid w:val="2177E5F4"/>
    <w:rsid w:val="217E4BF2"/>
    <w:rsid w:val="2180DAF3"/>
    <w:rsid w:val="218E2F68"/>
    <w:rsid w:val="2192F625"/>
    <w:rsid w:val="2196C857"/>
    <w:rsid w:val="2198AF36"/>
    <w:rsid w:val="219A167F"/>
    <w:rsid w:val="219AD7DB"/>
    <w:rsid w:val="21A14DF1"/>
    <w:rsid w:val="21A1B1E6"/>
    <w:rsid w:val="21A1D6FD"/>
    <w:rsid w:val="21A2980E"/>
    <w:rsid w:val="21A68927"/>
    <w:rsid w:val="21B99E78"/>
    <w:rsid w:val="21BA7802"/>
    <w:rsid w:val="21BAC7F3"/>
    <w:rsid w:val="21BBE18E"/>
    <w:rsid w:val="21BDDC67"/>
    <w:rsid w:val="21C31035"/>
    <w:rsid w:val="21C8B6C3"/>
    <w:rsid w:val="21D0D1A6"/>
    <w:rsid w:val="21D12CDA"/>
    <w:rsid w:val="21D1DDD3"/>
    <w:rsid w:val="21D33CF6"/>
    <w:rsid w:val="21D96998"/>
    <w:rsid w:val="21E05693"/>
    <w:rsid w:val="21EE504B"/>
    <w:rsid w:val="21F65D47"/>
    <w:rsid w:val="21FB42A2"/>
    <w:rsid w:val="21FDC42A"/>
    <w:rsid w:val="21FF335F"/>
    <w:rsid w:val="2205D85E"/>
    <w:rsid w:val="2207E866"/>
    <w:rsid w:val="220C88F6"/>
    <w:rsid w:val="220E9DAC"/>
    <w:rsid w:val="221008AB"/>
    <w:rsid w:val="221231E2"/>
    <w:rsid w:val="2212BA70"/>
    <w:rsid w:val="2216414B"/>
    <w:rsid w:val="22185FFA"/>
    <w:rsid w:val="221A83B1"/>
    <w:rsid w:val="221A8BC1"/>
    <w:rsid w:val="2228EF9C"/>
    <w:rsid w:val="222970D6"/>
    <w:rsid w:val="222EB018"/>
    <w:rsid w:val="223AC176"/>
    <w:rsid w:val="2240A0ED"/>
    <w:rsid w:val="224D1616"/>
    <w:rsid w:val="22512EB4"/>
    <w:rsid w:val="22557A6C"/>
    <w:rsid w:val="22587B6A"/>
    <w:rsid w:val="225A6001"/>
    <w:rsid w:val="225B4B70"/>
    <w:rsid w:val="225F63E5"/>
    <w:rsid w:val="22649FAC"/>
    <w:rsid w:val="22654AF3"/>
    <w:rsid w:val="226A1220"/>
    <w:rsid w:val="226D984C"/>
    <w:rsid w:val="2271A870"/>
    <w:rsid w:val="2273E130"/>
    <w:rsid w:val="2279D9B6"/>
    <w:rsid w:val="2288AC52"/>
    <w:rsid w:val="228E6AA8"/>
    <w:rsid w:val="228F3632"/>
    <w:rsid w:val="22905187"/>
    <w:rsid w:val="22921D99"/>
    <w:rsid w:val="229B9F5A"/>
    <w:rsid w:val="22AFAA6D"/>
    <w:rsid w:val="22B003D9"/>
    <w:rsid w:val="22B05F57"/>
    <w:rsid w:val="22BF558F"/>
    <w:rsid w:val="22C0D5D6"/>
    <w:rsid w:val="22D02A8A"/>
    <w:rsid w:val="22D042DE"/>
    <w:rsid w:val="22D1F122"/>
    <w:rsid w:val="22D73DA1"/>
    <w:rsid w:val="22D9FF94"/>
    <w:rsid w:val="22DDA31A"/>
    <w:rsid w:val="22E9037D"/>
    <w:rsid w:val="22E99A80"/>
    <w:rsid w:val="22EB0448"/>
    <w:rsid w:val="22F814DA"/>
    <w:rsid w:val="22FA8039"/>
    <w:rsid w:val="22FD638B"/>
    <w:rsid w:val="23005759"/>
    <w:rsid w:val="2301AE80"/>
    <w:rsid w:val="23070D01"/>
    <w:rsid w:val="2314038E"/>
    <w:rsid w:val="2314ADD6"/>
    <w:rsid w:val="231AA78B"/>
    <w:rsid w:val="231E5E0D"/>
    <w:rsid w:val="231F9E41"/>
    <w:rsid w:val="2328F958"/>
    <w:rsid w:val="232CFAA9"/>
    <w:rsid w:val="2334522A"/>
    <w:rsid w:val="2337DBF6"/>
    <w:rsid w:val="2343D8A3"/>
    <w:rsid w:val="234445D8"/>
    <w:rsid w:val="2345D4E3"/>
    <w:rsid w:val="234DEF78"/>
    <w:rsid w:val="2350AA02"/>
    <w:rsid w:val="235ED425"/>
    <w:rsid w:val="2362FEA8"/>
    <w:rsid w:val="23636A4C"/>
    <w:rsid w:val="23668E1C"/>
    <w:rsid w:val="236A4E5E"/>
    <w:rsid w:val="2370AD47"/>
    <w:rsid w:val="23752F98"/>
    <w:rsid w:val="2376915B"/>
    <w:rsid w:val="237DF66F"/>
    <w:rsid w:val="23836283"/>
    <w:rsid w:val="23846A91"/>
    <w:rsid w:val="23859DBD"/>
    <w:rsid w:val="23894E27"/>
    <w:rsid w:val="2393119E"/>
    <w:rsid w:val="23A29B66"/>
    <w:rsid w:val="23A71730"/>
    <w:rsid w:val="23B0942D"/>
    <w:rsid w:val="23BB80A8"/>
    <w:rsid w:val="23C4377C"/>
    <w:rsid w:val="23CCF7AE"/>
    <w:rsid w:val="23D02517"/>
    <w:rsid w:val="23D028CD"/>
    <w:rsid w:val="23D27A59"/>
    <w:rsid w:val="23D9C1BB"/>
    <w:rsid w:val="23E07275"/>
    <w:rsid w:val="23E7DFDB"/>
    <w:rsid w:val="23F1D4EA"/>
    <w:rsid w:val="23F67695"/>
    <w:rsid w:val="24000F46"/>
    <w:rsid w:val="2401947E"/>
    <w:rsid w:val="240AF72C"/>
    <w:rsid w:val="240ED5E2"/>
    <w:rsid w:val="24155BDF"/>
    <w:rsid w:val="241B43DB"/>
    <w:rsid w:val="241CC781"/>
    <w:rsid w:val="24212B99"/>
    <w:rsid w:val="2421E0F0"/>
    <w:rsid w:val="242250ED"/>
    <w:rsid w:val="2424F514"/>
    <w:rsid w:val="242CF2BD"/>
    <w:rsid w:val="243077B6"/>
    <w:rsid w:val="24345051"/>
    <w:rsid w:val="2437280C"/>
    <w:rsid w:val="24375F64"/>
    <w:rsid w:val="2437C4B2"/>
    <w:rsid w:val="243EB5B9"/>
    <w:rsid w:val="2440CF61"/>
    <w:rsid w:val="244113EA"/>
    <w:rsid w:val="2447A6FC"/>
    <w:rsid w:val="244C2FB8"/>
    <w:rsid w:val="24500A85"/>
    <w:rsid w:val="24522217"/>
    <w:rsid w:val="24535A95"/>
    <w:rsid w:val="24648ACE"/>
    <w:rsid w:val="246C6FEF"/>
    <w:rsid w:val="246D5933"/>
    <w:rsid w:val="246DE9C3"/>
    <w:rsid w:val="2470C9E8"/>
    <w:rsid w:val="247343C7"/>
    <w:rsid w:val="2474C27E"/>
    <w:rsid w:val="2476B2B9"/>
    <w:rsid w:val="247C46D8"/>
    <w:rsid w:val="247EC759"/>
    <w:rsid w:val="24912310"/>
    <w:rsid w:val="24969BC2"/>
    <w:rsid w:val="249CB15B"/>
    <w:rsid w:val="24A0CAEF"/>
    <w:rsid w:val="24A0F9A3"/>
    <w:rsid w:val="24A22FD2"/>
    <w:rsid w:val="24A48572"/>
    <w:rsid w:val="24AC5C5A"/>
    <w:rsid w:val="24B33A99"/>
    <w:rsid w:val="24B7CE2C"/>
    <w:rsid w:val="24B8407F"/>
    <w:rsid w:val="24BD0469"/>
    <w:rsid w:val="24BD79F0"/>
    <w:rsid w:val="24BE69CF"/>
    <w:rsid w:val="24C2ED00"/>
    <w:rsid w:val="24C53230"/>
    <w:rsid w:val="24C6517B"/>
    <w:rsid w:val="24D2C9FC"/>
    <w:rsid w:val="24D46157"/>
    <w:rsid w:val="24DD43E3"/>
    <w:rsid w:val="24E3F713"/>
    <w:rsid w:val="24EC2DB1"/>
    <w:rsid w:val="24F06B50"/>
    <w:rsid w:val="24F0746D"/>
    <w:rsid w:val="24F4C9C3"/>
    <w:rsid w:val="24F67B4D"/>
    <w:rsid w:val="24FFBD7B"/>
    <w:rsid w:val="2500D257"/>
    <w:rsid w:val="2507F3DA"/>
    <w:rsid w:val="251141C2"/>
    <w:rsid w:val="2511ED34"/>
    <w:rsid w:val="2520EE47"/>
    <w:rsid w:val="253563E5"/>
    <w:rsid w:val="253802ED"/>
    <w:rsid w:val="2539CCB2"/>
    <w:rsid w:val="253D8B58"/>
    <w:rsid w:val="25433A5C"/>
    <w:rsid w:val="25482ED7"/>
    <w:rsid w:val="254C1421"/>
    <w:rsid w:val="254F759D"/>
    <w:rsid w:val="2554910D"/>
    <w:rsid w:val="2558CDAC"/>
    <w:rsid w:val="255CA27D"/>
    <w:rsid w:val="25641F25"/>
    <w:rsid w:val="256A2433"/>
    <w:rsid w:val="256A5361"/>
    <w:rsid w:val="256C35BC"/>
    <w:rsid w:val="25811E8A"/>
    <w:rsid w:val="25817EF0"/>
    <w:rsid w:val="25831ED2"/>
    <w:rsid w:val="2583327C"/>
    <w:rsid w:val="25854329"/>
    <w:rsid w:val="25866027"/>
    <w:rsid w:val="258887A7"/>
    <w:rsid w:val="2590752D"/>
    <w:rsid w:val="2593208B"/>
    <w:rsid w:val="2594B7BB"/>
    <w:rsid w:val="25968503"/>
    <w:rsid w:val="25979DED"/>
    <w:rsid w:val="259863A6"/>
    <w:rsid w:val="2598B8FA"/>
    <w:rsid w:val="2598E255"/>
    <w:rsid w:val="259C9044"/>
    <w:rsid w:val="25A82756"/>
    <w:rsid w:val="25AA4C61"/>
    <w:rsid w:val="25AC1FFC"/>
    <w:rsid w:val="25ADE364"/>
    <w:rsid w:val="25AEE854"/>
    <w:rsid w:val="25B5FBDE"/>
    <w:rsid w:val="25BA390C"/>
    <w:rsid w:val="25C3DAB7"/>
    <w:rsid w:val="25C83FF4"/>
    <w:rsid w:val="25CC3781"/>
    <w:rsid w:val="25D41069"/>
    <w:rsid w:val="25D95D3A"/>
    <w:rsid w:val="25D9E324"/>
    <w:rsid w:val="25D9E588"/>
    <w:rsid w:val="25DDB217"/>
    <w:rsid w:val="25E00577"/>
    <w:rsid w:val="25EBAB0C"/>
    <w:rsid w:val="25F40B40"/>
    <w:rsid w:val="25F68A07"/>
    <w:rsid w:val="25F83137"/>
    <w:rsid w:val="25F87761"/>
    <w:rsid w:val="25FC3AE0"/>
    <w:rsid w:val="26010DEB"/>
    <w:rsid w:val="260466EF"/>
    <w:rsid w:val="26048C01"/>
    <w:rsid w:val="2605E5D6"/>
    <w:rsid w:val="26085555"/>
    <w:rsid w:val="261312E1"/>
    <w:rsid w:val="2618B2F2"/>
    <w:rsid w:val="261921E3"/>
    <w:rsid w:val="261A64A9"/>
    <w:rsid w:val="261EDE11"/>
    <w:rsid w:val="26229E85"/>
    <w:rsid w:val="2624AC5C"/>
    <w:rsid w:val="2626A056"/>
    <w:rsid w:val="26294E8D"/>
    <w:rsid w:val="26299972"/>
    <w:rsid w:val="262BAD8D"/>
    <w:rsid w:val="263E2226"/>
    <w:rsid w:val="264035B0"/>
    <w:rsid w:val="2643B422"/>
    <w:rsid w:val="264983B7"/>
    <w:rsid w:val="264B0899"/>
    <w:rsid w:val="264F2E62"/>
    <w:rsid w:val="2651F842"/>
    <w:rsid w:val="26529092"/>
    <w:rsid w:val="265608F5"/>
    <w:rsid w:val="265BDF38"/>
    <w:rsid w:val="265DE782"/>
    <w:rsid w:val="267162F3"/>
    <w:rsid w:val="26747712"/>
    <w:rsid w:val="2676DC30"/>
    <w:rsid w:val="26795AF3"/>
    <w:rsid w:val="26798622"/>
    <w:rsid w:val="267B6DA0"/>
    <w:rsid w:val="267E7D8B"/>
    <w:rsid w:val="267EE70B"/>
    <w:rsid w:val="26832628"/>
    <w:rsid w:val="26860787"/>
    <w:rsid w:val="26877A73"/>
    <w:rsid w:val="26889327"/>
    <w:rsid w:val="26897582"/>
    <w:rsid w:val="268F350F"/>
    <w:rsid w:val="268F4046"/>
    <w:rsid w:val="26941183"/>
    <w:rsid w:val="269BA866"/>
    <w:rsid w:val="269C4241"/>
    <w:rsid w:val="26B643DA"/>
    <w:rsid w:val="26BD1E16"/>
    <w:rsid w:val="26C8C669"/>
    <w:rsid w:val="26CA0C15"/>
    <w:rsid w:val="26CD0BF9"/>
    <w:rsid w:val="26CEBC25"/>
    <w:rsid w:val="26D85858"/>
    <w:rsid w:val="26D9EC84"/>
    <w:rsid w:val="26DA0A2B"/>
    <w:rsid w:val="26DECBDB"/>
    <w:rsid w:val="26E04769"/>
    <w:rsid w:val="26E07C01"/>
    <w:rsid w:val="26EBB62A"/>
    <w:rsid w:val="26F0A2DD"/>
    <w:rsid w:val="26F30D06"/>
    <w:rsid w:val="26FF1FA9"/>
    <w:rsid w:val="2705C787"/>
    <w:rsid w:val="270BF322"/>
    <w:rsid w:val="270C466A"/>
    <w:rsid w:val="270FEAED"/>
    <w:rsid w:val="2713A10A"/>
    <w:rsid w:val="2716D652"/>
    <w:rsid w:val="271D1180"/>
    <w:rsid w:val="271DE350"/>
    <w:rsid w:val="272A1F92"/>
    <w:rsid w:val="272B3DCC"/>
    <w:rsid w:val="272C458E"/>
    <w:rsid w:val="272E7841"/>
    <w:rsid w:val="273945B5"/>
    <w:rsid w:val="27397064"/>
    <w:rsid w:val="273B24E3"/>
    <w:rsid w:val="273F9100"/>
    <w:rsid w:val="27454AC5"/>
    <w:rsid w:val="2745AA59"/>
    <w:rsid w:val="274A1AD7"/>
    <w:rsid w:val="274F84FC"/>
    <w:rsid w:val="2755D961"/>
    <w:rsid w:val="2756493F"/>
    <w:rsid w:val="275E5BFD"/>
    <w:rsid w:val="27608B04"/>
    <w:rsid w:val="2766D30E"/>
    <w:rsid w:val="27697A47"/>
    <w:rsid w:val="276A5D60"/>
    <w:rsid w:val="276EDAAC"/>
    <w:rsid w:val="2782EACF"/>
    <w:rsid w:val="2785CCCD"/>
    <w:rsid w:val="2795964B"/>
    <w:rsid w:val="27980B41"/>
    <w:rsid w:val="27A2EF66"/>
    <w:rsid w:val="27A36700"/>
    <w:rsid w:val="27BAF734"/>
    <w:rsid w:val="27C5488C"/>
    <w:rsid w:val="27C59B55"/>
    <w:rsid w:val="27C71A05"/>
    <w:rsid w:val="27C94873"/>
    <w:rsid w:val="27CB3DF3"/>
    <w:rsid w:val="27CD5DC0"/>
    <w:rsid w:val="27DF8483"/>
    <w:rsid w:val="27E2561C"/>
    <w:rsid w:val="27E4A58A"/>
    <w:rsid w:val="27E9E4E2"/>
    <w:rsid w:val="27EC1635"/>
    <w:rsid w:val="27F2B9EB"/>
    <w:rsid w:val="27F58821"/>
    <w:rsid w:val="27F6060E"/>
    <w:rsid w:val="27F65A63"/>
    <w:rsid w:val="27FA37D9"/>
    <w:rsid w:val="280EBD74"/>
    <w:rsid w:val="2811EA1D"/>
    <w:rsid w:val="28185312"/>
    <w:rsid w:val="2826D797"/>
    <w:rsid w:val="28293002"/>
    <w:rsid w:val="2829B986"/>
    <w:rsid w:val="282B3A29"/>
    <w:rsid w:val="282BE6ED"/>
    <w:rsid w:val="282D99B8"/>
    <w:rsid w:val="28312C98"/>
    <w:rsid w:val="28333DDA"/>
    <w:rsid w:val="283577FB"/>
    <w:rsid w:val="2837B48D"/>
    <w:rsid w:val="283CBFD0"/>
    <w:rsid w:val="283E29A6"/>
    <w:rsid w:val="284281F4"/>
    <w:rsid w:val="2848D3BA"/>
    <w:rsid w:val="284AA823"/>
    <w:rsid w:val="284C949C"/>
    <w:rsid w:val="284E2EE4"/>
    <w:rsid w:val="2850FF82"/>
    <w:rsid w:val="2858030B"/>
    <w:rsid w:val="285E2E89"/>
    <w:rsid w:val="285E9C8A"/>
    <w:rsid w:val="2871184B"/>
    <w:rsid w:val="28791AF4"/>
    <w:rsid w:val="287E6FC2"/>
    <w:rsid w:val="2885CE95"/>
    <w:rsid w:val="28872022"/>
    <w:rsid w:val="288C10CC"/>
    <w:rsid w:val="288FA3C6"/>
    <w:rsid w:val="2896CC1B"/>
    <w:rsid w:val="2899DCF7"/>
    <w:rsid w:val="289F4387"/>
    <w:rsid w:val="28A00F06"/>
    <w:rsid w:val="28A2A7A2"/>
    <w:rsid w:val="28AA524C"/>
    <w:rsid w:val="28AF3ABB"/>
    <w:rsid w:val="28B322C3"/>
    <w:rsid w:val="28B34272"/>
    <w:rsid w:val="28B7467E"/>
    <w:rsid w:val="28B790BA"/>
    <w:rsid w:val="28BDCE84"/>
    <w:rsid w:val="28BE419F"/>
    <w:rsid w:val="28C11691"/>
    <w:rsid w:val="28C4A019"/>
    <w:rsid w:val="28C6DCFC"/>
    <w:rsid w:val="28CF6420"/>
    <w:rsid w:val="28D1ADD6"/>
    <w:rsid w:val="28D40A4F"/>
    <w:rsid w:val="28DB0064"/>
    <w:rsid w:val="28DC7F62"/>
    <w:rsid w:val="28DDAF8E"/>
    <w:rsid w:val="28E04132"/>
    <w:rsid w:val="28E0F7D7"/>
    <w:rsid w:val="28E17ABA"/>
    <w:rsid w:val="28E28208"/>
    <w:rsid w:val="28EBC390"/>
    <w:rsid w:val="28EEE576"/>
    <w:rsid w:val="28F0095C"/>
    <w:rsid w:val="28FBDD6D"/>
    <w:rsid w:val="2902F81D"/>
    <w:rsid w:val="290D3D1F"/>
    <w:rsid w:val="29125E80"/>
    <w:rsid w:val="2912ECC1"/>
    <w:rsid w:val="2913AA11"/>
    <w:rsid w:val="2915F6B5"/>
    <w:rsid w:val="2921EBBB"/>
    <w:rsid w:val="2923B9C7"/>
    <w:rsid w:val="292CBA75"/>
    <w:rsid w:val="293A03E4"/>
    <w:rsid w:val="29432AEE"/>
    <w:rsid w:val="294891C0"/>
    <w:rsid w:val="294F22FB"/>
    <w:rsid w:val="2956B260"/>
    <w:rsid w:val="29584DCF"/>
    <w:rsid w:val="2959369A"/>
    <w:rsid w:val="2959A5AD"/>
    <w:rsid w:val="296894CC"/>
    <w:rsid w:val="29697FD8"/>
    <w:rsid w:val="296E8964"/>
    <w:rsid w:val="2971E119"/>
    <w:rsid w:val="29778D65"/>
    <w:rsid w:val="297A5C6F"/>
    <w:rsid w:val="2982379A"/>
    <w:rsid w:val="2983AAC4"/>
    <w:rsid w:val="298664A9"/>
    <w:rsid w:val="29899867"/>
    <w:rsid w:val="298A094B"/>
    <w:rsid w:val="298D3F1D"/>
    <w:rsid w:val="298F2D61"/>
    <w:rsid w:val="29904199"/>
    <w:rsid w:val="29961496"/>
    <w:rsid w:val="2997B80A"/>
    <w:rsid w:val="299884E8"/>
    <w:rsid w:val="299F3321"/>
    <w:rsid w:val="29A2F41A"/>
    <w:rsid w:val="29A34BBD"/>
    <w:rsid w:val="29AA797E"/>
    <w:rsid w:val="29B2AA1A"/>
    <w:rsid w:val="29B336D1"/>
    <w:rsid w:val="29B36F22"/>
    <w:rsid w:val="29B3A7F0"/>
    <w:rsid w:val="29B4F436"/>
    <w:rsid w:val="29C601DD"/>
    <w:rsid w:val="29C9D9F5"/>
    <w:rsid w:val="29CBD97E"/>
    <w:rsid w:val="29D26EF9"/>
    <w:rsid w:val="29D7B6CB"/>
    <w:rsid w:val="29DACDD4"/>
    <w:rsid w:val="29DC33A5"/>
    <w:rsid w:val="29E3C028"/>
    <w:rsid w:val="29E58158"/>
    <w:rsid w:val="29E6F35D"/>
    <w:rsid w:val="29EA0CE4"/>
    <w:rsid w:val="29EF1D4A"/>
    <w:rsid w:val="29F41B86"/>
    <w:rsid w:val="29F6D01C"/>
    <w:rsid w:val="29F9A3CC"/>
    <w:rsid w:val="2A0A4776"/>
    <w:rsid w:val="2A0D7B94"/>
    <w:rsid w:val="2A118D46"/>
    <w:rsid w:val="2A15B095"/>
    <w:rsid w:val="2A15DFF5"/>
    <w:rsid w:val="2A1BA770"/>
    <w:rsid w:val="2A1DCBB7"/>
    <w:rsid w:val="2A1E44DE"/>
    <w:rsid w:val="2A207765"/>
    <w:rsid w:val="2A21C193"/>
    <w:rsid w:val="2A22FB2B"/>
    <w:rsid w:val="2A23761B"/>
    <w:rsid w:val="2A24582A"/>
    <w:rsid w:val="2A25BF5A"/>
    <w:rsid w:val="2A2E76CD"/>
    <w:rsid w:val="2A2F19AD"/>
    <w:rsid w:val="2A3375AF"/>
    <w:rsid w:val="2A36B59E"/>
    <w:rsid w:val="2A37BA93"/>
    <w:rsid w:val="2A3DC6CC"/>
    <w:rsid w:val="2A40DF6B"/>
    <w:rsid w:val="2A446D7F"/>
    <w:rsid w:val="2A44FB15"/>
    <w:rsid w:val="2A46BCBA"/>
    <w:rsid w:val="2A50B84E"/>
    <w:rsid w:val="2A53E469"/>
    <w:rsid w:val="2A54503C"/>
    <w:rsid w:val="2A55AD00"/>
    <w:rsid w:val="2A58ED2D"/>
    <w:rsid w:val="2A5BA2D9"/>
    <w:rsid w:val="2A5BE967"/>
    <w:rsid w:val="2A5BF051"/>
    <w:rsid w:val="2A5BFBB7"/>
    <w:rsid w:val="2A5E115A"/>
    <w:rsid w:val="2A5FEB17"/>
    <w:rsid w:val="2A63E7F6"/>
    <w:rsid w:val="2A658ED0"/>
    <w:rsid w:val="2A65EFEC"/>
    <w:rsid w:val="2A683B79"/>
    <w:rsid w:val="2A701B79"/>
    <w:rsid w:val="2A7D67C1"/>
    <w:rsid w:val="2A7F11F3"/>
    <w:rsid w:val="2A7F30DD"/>
    <w:rsid w:val="2A930845"/>
    <w:rsid w:val="2A93AD43"/>
    <w:rsid w:val="2A969EBE"/>
    <w:rsid w:val="2A9D5FA8"/>
    <w:rsid w:val="2AA1DFD8"/>
    <w:rsid w:val="2AA1F5D6"/>
    <w:rsid w:val="2AA2AA8E"/>
    <w:rsid w:val="2AA2BECF"/>
    <w:rsid w:val="2AA342F1"/>
    <w:rsid w:val="2AA39015"/>
    <w:rsid w:val="2AAD9F98"/>
    <w:rsid w:val="2AB08F70"/>
    <w:rsid w:val="2AB5AFEA"/>
    <w:rsid w:val="2AB60B88"/>
    <w:rsid w:val="2AB8DD63"/>
    <w:rsid w:val="2ABACC34"/>
    <w:rsid w:val="2ABE2917"/>
    <w:rsid w:val="2AC1E96A"/>
    <w:rsid w:val="2AC6218E"/>
    <w:rsid w:val="2AC74433"/>
    <w:rsid w:val="2ACC089E"/>
    <w:rsid w:val="2ACE98BA"/>
    <w:rsid w:val="2AD319B3"/>
    <w:rsid w:val="2AD66A79"/>
    <w:rsid w:val="2ADA6F64"/>
    <w:rsid w:val="2ADDC340"/>
    <w:rsid w:val="2AE15D1F"/>
    <w:rsid w:val="2AE377E5"/>
    <w:rsid w:val="2AE3E3BB"/>
    <w:rsid w:val="2AF2B7F0"/>
    <w:rsid w:val="2AF4CE05"/>
    <w:rsid w:val="2AF76560"/>
    <w:rsid w:val="2AFD3C17"/>
    <w:rsid w:val="2AFD4CB1"/>
    <w:rsid w:val="2AFDAA7C"/>
    <w:rsid w:val="2B03F525"/>
    <w:rsid w:val="2B110892"/>
    <w:rsid w:val="2B112B33"/>
    <w:rsid w:val="2B12E42A"/>
    <w:rsid w:val="2B13C610"/>
    <w:rsid w:val="2B1C3FA1"/>
    <w:rsid w:val="2B2248F3"/>
    <w:rsid w:val="2B245474"/>
    <w:rsid w:val="2B271AAD"/>
    <w:rsid w:val="2B272980"/>
    <w:rsid w:val="2B3298D9"/>
    <w:rsid w:val="2B3C0432"/>
    <w:rsid w:val="2B3F7CC9"/>
    <w:rsid w:val="2B3F83C0"/>
    <w:rsid w:val="2B3FECA3"/>
    <w:rsid w:val="2B432AF4"/>
    <w:rsid w:val="2B478577"/>
    <w:rsid w:val="2B4AC83F"/>
    <w:rsid w:val="2B5401BA"/>
    <w:rsid w:val="2B57BA31"/>
    <w:rsid w:val="2B5E4743"/>
    <w:rsid w:val="2B5F7DDC"/>
    <w:rsid w:val="2B5FD36B"/>
    <w:rsid w:val="2B6815FE"/>
    <w:rsid w:val="2B683D68"/>
    <w:rsid w:val="2B6B68BB"/>
    <w:rsid w:val="2B6C7FE7"/>
    <w:rsid w:val="2B6DE1B3"/>
    <w:rsid w:val="2B71CFC9"/>
    <w:rsid w:val="2B733AED"/>
    <w:rsid w:val="2B7C65AB"/>
    <w:rsid w:val="2B7E4819"/>
    <w:rsid w:val="2B82BBFD"/>
    <w:rsid w:val="2B843F7A"/>
    <w:rsid w:val="2B86E165"/>
    <w:rsid w:val="2B87228E"/>
    <w:rsid w:val="2B87C9BF"/>
    <w:rsid w:val="2B8A8B1C"/>
    <w:rsid w:val="2B8C8114"/>
    <w:rsid w:val="2B8C9863"/>
    <w:rsid w:val="2B93CDBA"/>
    <w:rsid w:val="2B93D2AD"/>
    <w:rsid w:val="2B98FBD0"/>
    <w:rsid w:val="2B99067B"/>
    <w:rsid w:val="2B9B9F95"/>
    <w:rsid w:val="2B9C22D0"/>
    <w:rsid w:val="2BA1F564"/>
    <w:rsid w:val="2BA2B2E4"/>
    <w:rsid w:val="2BA78E4C"/>
    <w:rsid w:val="2BB1FCA1"/>
    <w:rsid w:val="2BB54B2D"/>
    <w:rsid w:val="2BC2045B"/>
    <w:rsid w:val="2BC4B7BB"/>
    <w:rsid w:val="2BCABA18"/>
    <w:rsid w:val="2BD01D6D"/>
    <w:rsid w:val="2BD65AF7"/>
    <w:rsid w:val="2BDB9AF0"/>
    <w:rsid w:val="2BE09E90"/>
    <w:rsid w:val="2BE661BC"/>
    <w:rsid w:val="2BEC3290"/>
    <w:rsid w:val="2BF234FB"/>
    <w:rsid w:val="2BF3EFC4"/>
    <w:rsid w:val="2BFFBA22"/>
    <w:rsid w:val="2C00BD68"/>
    <w:rsid w:val="2C0522E1"/>
    <w:rsid w:val="2C07DC88"/>
    <w:rsid w:val="2C0BA014"/>
    <w:rsid w:val="2C11B6AA"/>
    <w:rsid w:val="2C1621A8"/>
    <w:rsid w:val="2C173674"/>
    <w:rsid w:val="2C18DBD0"/>
    <w:rsid w:val="2C1AA28D"/>
    <w:rsid w:val="2C239BB0"/>
    <w:rsid w:val="2C291194"/>
    <w:rsid w:val="2C2CCD2E"/>
    <w:rsid w:val="2C2D6CDB"/>
    <w:rsid w:val="2C2E6927"/>
    <w:rsid w:val="2C34A2C0"/>
    <w:rsid w:val="2C351A56"/>
    <w:rsid w:val="2C36373C"/>
    <w:rsid w:val="2C375D82"/>
    <w:rsid w:val="2C393AC0"/>
    <w:rsid w:val="2C3A4D71"/>
    <w:rsid w:val="2C3AEC9F"/>
    <w:rsid w:val="2C3DC5AD"/>
    <w:rsid w:val="2C440B6C"/>
    <w:rsid w:val="2C452D85"/>
    <w:rsid w:val="2C5298F3"/>
    <w:rsid w:val="2C52BF8E"/>
    <w:rsid w:val="2C5DEB56"/>
    <w:rsid w:val="2C620069"/>
    <w:rsid w:val="2C629320"/>
    <w:rsid w:val="2C657480"/>
    <w:rsid w:val="2C668A6E"/>
    <w:rsid w:val="2C669F2C"/>
    <w:rsid w:val="2C711431"/>
    <w:rsid w:val="2C71D296"/>
    <w:rsid w:val="2C74D6F9"/>
    <w:rsid w:val="2C759137"/>
    <w:rsid w:val="2C7809B5"/>
    <w:rsid w:val="2C79DB51"/>
    <w:rsid w:val="2C806C79"/>
    <w:rsid w:val="2C8680FB"/>
    <w:rsid w:val="2C8BED08"/>
    <w:rsid w:val="2C937034"/>
    <w:rsid w:val="2C937B4A"/>
    <w:rsid w:val="2CA33EAD"/>
    <w:rsid w:val="2CA3A6D3"/>
    <w:rsid w:val="2CB19EFD"/>
    <w:rsid w:val="2CB7CD93"/>
    <w:rsid w:val="2CBB58C1"/>
    <w:rsid w:val="2CBCCE42"/>
    <w:rsid w:val="2CC098BD"/>
    <w:rsid w:val="2CD35189"/>
    <w:rsid w:val="2CD8EA54"/>
    <w:rsid w:val="2CE7D2FC"/>
    <w:rsid w:val="2CEC81EE"/>
    <w:rsid w:val="2CED7FE1"/>
    <w:rsid w:val="2CF1C315"/>
    <w:rsid w:val="2CF2E161"/>
    <w:rsid w:val="2CFA0179"/>
    <w:rsid w:val="2CFD7F4E"/>
    <w:rsid w:val="2D01DAAC"/>
    <w:rsid w:val="2D15D792"/>
    <w:rsid w:val="2D24A07E"/>
    <w:rsid w:val="2D268CA6"/>
    <w:rsid w:val="2D26C7C6"/>
    <w:rsid w:val="2D31E58C"/>
    <w:rsid w:val="2D3753B1"/>
    <w:rsid w:val="2D37F331"/>
    <w:rsid w:val="2D3C75A5"/>
    <w:rsid w:val="2D3FE47E"/>
    <w:rsid w:val="2D42C9F2"/>
    <w:rsid w:val="2D48DFB9"/>
    <w:rsid w:val="2D4CCB22"/>
    <w:rsid w:val="2D4DF4C3"/>
    <w:rsid w:val="2D546E17"/>
    <w:rsid w:val="2D5CE782"/>
    <w:rsid w:val="2D66C348"/>
    <w:rsid w:val="2D69F7F5"/>
    <w:rsid w:val="2D6A6A57"/>
    <w:rsid w:val="2D6BF12E"/>
    <w:rsid w:val="2D6D4E1A"/>
    <w:rsid w:val="2D6EE300"/>
    <w:rsid w:val="2D74AF65"/>
    <w:rsid w:val="2D75A46C"/>
    <w:rsid w:val="2D7D445C"/>
    <w:rsid w:val="2D821C51"/>
    <w:rsid w:val="2D8512B4"/>
    <w:rsid w:val="2D86CC26"/>
    <w:rsid w:val="2D8802F1"/>
    <w:rsid w:val="2D900F19"/>
    <w:rsid w:val="2D9192A2"/>
    <w:rsid w:val="2D93D0BA"/>
    <w:rsid w:val="2D94B117"/>
    <w:rsid w:val="2D9A0C9E"/>
    <w:rsid w:val="2D9D36B0"/>
    <w:rsid w:val="2DA39A9D"/>
    <w:rsid w:val="2DB87001"/>
    <w:rsid w:val="2DBD053B"/>
    <w:rsid w:val="2DBD7ABC"/>
    <w:rsid w:val="2DC31A1C"/>
    <w:rsid w:val="2DC50B0E"/>
    <w:rsid w:val="2DC84386"/>
    <w:rsid w:val="2DCD086B"/>
    <w:rsid w:val="2DCD5786"/>
    <w:rsid w:val="2DD7BFAB"/>
    <w:rsid w:val="2DE1ED7F"/>
    <w:rsid w:val="2DE637DA"/>
    <w:rsid w:val="2DE67B8E"/>
    <w:rsid w:val="2DF1D0E4"/>
    <w:rsid w:val="2DF7856B"/>
    <w:rsid w:val="2DF7F1BA"/>
    <w:rsid w:val="2DF8C083"/>
    <w:rsid w:val="2DFA34FF"/>
    <w:rsid w:val="2DFCA3E0"/>
    <w:rsid w:val="2DFCE5D4"/>
    <w:rsid w:val="2DFE6381"/>
    <w:rsid w:val="2E00871A"/>
    <w:rsid w:val="2E01254C"/>
    <w:rsid w:val="2E046CA2"/>
    <w:rsid w:val="2E05E50E"/>
    <w:rsid w:val="2E06C23C"/>
    <w:rsid w:val="2E100399"/>
    <w:rsid w:val="2E104FD7"/>
    <w:rsid w:val="2E10FE6E"/>
    <w:rsid w:val="2E213D8C"/>
    <w:rsid w:val="2E2A3B13"/>
    <w:rsid w:val="2E2A6B30"/>
    <w:rsid w:val="2E2B5980"/>
    <w:rsid w:val="2E2D2922"/>
    <w:rsid w:val="2E34C21A"/>
    <w:rsid w:val="2E36E6C2"/>
    <w:rsid w:val="2E37B695"/>
    <w:rsid w:val="2E3D94A0"/>
    <w:rsid w:val="2E44996C"/>
    <w:rsid w:val="2E487B5E"/>
    <w:rsid w:val="2E4F2B98"/>
    <w:rsid w:val="2E522E41"/>
    <w:rsid w:val="2E5306D2"/>
    <w:rsid w:val="2E54A499"/>
    <w:rsid w:val="2E56D620"/>
    <w:rsid w:val="2E599570"/>
    <w:rsid w:val="2E5A3E3A"/>
    <w:rsid w:val="2E62C723"/>
    <w:rsid w:val="2E64CF3E"/>
    <w:rsid w:val="2E65709C"/>
    <w:rsid w:val="2E6B5F52"/>
    <w:rsid w:val="2E7229E1"/>
    <w:rsid w:val="2E7FD2AD"/>
    <w:rsid w:val="2E830444"/>
    <w:rsid w:val="2E83FF8B"/>
    <w:rsid w:val="2E8BD73E"/>
    <w:rsid w:val="2E8DE10D"/>
    <w:rsid w:val="2E906162"/>
    <w:rsid w:val="2E937E65"/>
    <w:rsid w:val="2E96C5E9"/>
    <w:rsid w:val="2E96F5B2"/>
    <w:rsid w:val="2E9CAE13"/>
    <w:rsid w:val="2EA1CF12"/>
    <w:rsid w:val="2EA3B357"/>
    <w:rsid w:val="2EA42379"/>
    <w:rsid w:val="2EAC7B4D"/>
    <w:rsid w:val="2EAD8650"/>
    <w:rsid w:val="2EB100D9"/>
    <w:rsid w:val="2EB1C0DA"/>
    <w:rsid w:val="2EB472E1"/>
    <w:rsid w:val="2EB8E0AC"/>
    <w:rsid w:val="2EB92883"/>
    <w:rsid w:val="2EBACCD0"/>
    <w:rsid w:val="2EBED99B"/>
    <w:rsid w:val="2EC17869"/>
    <w:rsid w:val="2EC288BB"/>
    <w:rsid w:val="2EC34906"/>
    <w:rsid w:val="2ECA413F"/>
    <w:rsid w:val="2ED610F9"/>
    <w:rsid w:val="2EE00529"/>
    <w:rsid w:val="2EE0B156"/>
    <w:rsid w:val="2EE1AD2F"/>
    <w:rsid w:val="2EE23950"/>
    <w:rsid w:val="2EE9826F"/>
    <w:rsid w:val="2EEE1074"/>
    <w:rsid w:val="2EFA50CD"/>
    <w:rsid w:val="2F022A54"/>
    <w:rsid w:val="2F142DA7"/>
    <w:rsid w:val="2F1649C7"/>
    <w:rsid w:val="2F169524"/>
    <w:rsid w:val="2F1AD517"/>
    <w:rsid w:val="2F1C3404"/>
    <w:rsid w:val="2F1E6644"/>
    <w:rsid w:val="2F1F93F0"/>
    <w:rsid w:val="2F2154F4"/>
    <w:rsid w:val="2F24E3CA"/>
    <w:rsid w:val="2F268C15"/>
    <w:rsid w:val="2F2A0429"/>
    <w:rsid w:val="2F2A9CB3"/>
    <w:rsid w:val="2F2CE045"/>
    <w:rsid w:val="2F2EA39F"/>
    <w:rsid w:val="2F324D54"/>
    <w:rsid w:val="2F3438BC"/>
    <w:rsid w:val="2F378FED"/>
    <w:rsid w:val="2F3AC6A2"/>
    <w:rsid w:val="2F3C8C3E"/>
    <w:rsid w:val="2F3E42C8"/>
    <w:rsid w:val="2F40D214"/>
    <w:rsid w:val="2F430BCB"/>
    <w:rsid w:val="2F4A7D4C"/>
    <w:rsid w:val="2F4F18F7"/>
    <w:rsid w:val="2F523DB2"/>
    <w:rsid w:val="2F530282"/>
    <w:rsid w:val="2F555D4E"/>
    <w:rsid w:val="2F5AED0D"/>
    <w:rsid w:val="2F659D18"/>
    <w:rsid w:val="2F67CBB4"/>
    <w:rsid w:val="2F689F80"/>
    <w:rsid w:val="2F69DF5A"/>
    <w:rsid w:val="2F6F081A"/>
    <w:rsid w:val="2F799EF4"/>
    <w:rsid w:val="2F87A497"/>
    <w:rsid w:val="2F88336D"/>
    <w:rsid w:val="2F898974"/>
    <w:rsid w:val="2F8A4C98"/>
    <w:rsid w:val="2F8D15A7"/>
    <w:rsid w:val="2F9214CA"/>
    <w:rsid w:val="2F966F18"/>
    <w:rsid w:val="2F99F1B8"/>
    <w:rsid w:val="2F9A33E2"/>
    <w:rsid w:val="2F9C6159"/>
    <w:rsid w:val="2FA1F774"/>
    <w:rsid w:val="2FA39A13"/>
    <w:rsid w:val="2FA60A5F"/>
    <w:rsid w:val="2FA6F26C"/>
    <w:rsid w:val="2FB2BD25"/>
    <w:rsid w:val="2FB7329D"/>
    <w:rsid w:val="2FB7DE3D"/>
    <w:rsid w:val="2FBF926E"/>
    <w:rsid w:val="2FC5F3E4"/>
    <w:rsid w:val="2FC7A070"/>
    <w:rsid w:val="2FD471EB"/>
    <w:rsid w:val="2FD916D6"/>
    <w:rsid w:val="2FD91E5B"/>
    <w:rsid w:val="2FDA1F5F"/>
    <w:rsid w:val="2FDAC2DB"/>
    <w:rsid w:val="2FE0BCA8"/>
    <w:rsid w:val="2FE310CA"/>
    <w:rsid w:val="2FE3B265"/>
    <w:rsid w:val="2FEB039D"/>
    <w:rsid w:val="2FEB8D87"/>
    <w:rsid w:val="2FF19A89"/>
    <w:rsid w:val="2FF2274F"/>
    <w:rsid w:val="2FF292F6"/>
    <w:rsid w:val="2FF7217F"/>
    <w:rsid w:val="2FFF9126"/>
    <w:rsid w:val="30019C9C"/>
    <w:rsid w:val="30047053"/>
    <w:rsid w:val="30081D2C"/>
    <w:rsid w:val="3009EB6F"/>
    <w:rsid w:val="300A944A"/>
    <w:rsid w:val="300FFC3A"/>
    <w:rsid w:val="30114A9B"/>
    <w:rsid w:val="301570D2"/>
    <w:rsid w:val="301AC9A0"/>
    <w:rsid w:val="301D2EA6"/>
    <w:rsid w:val="3028CB9A"/>
    <w:rsid w:val="302C7637"/>
    <w:rsid w:val="302CA88E"/>
    <w:rsid w:val="30326AEC"/>
    <w:rsid w:val="30403275"/>
    <w:rsid w:val="30411B7D"/>
    <w:rsid w:val="30479222"/>
    <w:rsid w:val="30483048"/>
    <w:rsid w:val="304FE31F"/>
    <w:rsid w:val="3059FFCB"/>
    <w:rsid w:val="305BE2C1"/>
    <w:rsid w:val="3060B80A"/>
    <w:rsid w:val="30622E5C"/>
    <w:rsid w:val="306742EC"/>
    <w:rsid w:val="306868CA"/>
    <w:rsid w:val="30697DF9"/>
    <w:rsid w:val="306FB4B6"/>
    <w:rsid w:val="307ACD42"/>
    <w:rsid w:val="307C8146"/>
    <w:rsid w:val="307CE400"/>
    <w:rsid w:val="307F1F88"/>
    <w:rsid w:val="307FCD8D"/>
    <w:rsid w:val="3080B6A2"/>
    <w:rsid w:val="30843EF4"/>
    <w:rsid w:val="3087317C"/>
    <w:rsid w:val="30898B3F"/>
    <w:rsid w:val="308CA99E"/>
    <w:rsid w:val="30960E75"/>
    <w:rsid w:val="3097E3A8"/>
    <w:rsid w:val="309A35D4"/>
    <w:rsid w:val="309BA47E"/>
    <w:rsid w:val="309E99C2"/>
    <w:rsid w:val="309F6603"/>
    <w:rsid w:val="30A059E6"/>
    <w:rsid w:val="30A368DC"/>
    <w:rsid w:val="30A5CD5E"/>
    <w:rsid w:val="30A77F85"/>
    <w:rsid w:val="30AA0853"/>
    <w:rsid w:val="30AC4D80"/>
    <w:rsid w:val="30B05292"/>
    <w:rsid w:val="30B79A58"/>
    <w:rsid w:val="30B7CC7E"/>
    <w:rsid w:val="30B9B6D7"/>
    <w:rsid w:val="30C1AB4F"/>
    <w:rsid w:val="30C48D5E"/>
    <w:rsid w:val="30D22ABA"/>
    <w:rsid w:val="30D9392D"/>
    <w:rsid w:val="30E6E053"/>
    <w:rsid w:val="30EDD7EB"/>
    <w:rsid w:val="30FF6925"/>
    <w:rsid w:val="3104BA82"/>
    <w:rsid w:val="31064ADF"/>
    <w:rsid w:val="3106647F"/>
    <w:rsid w:val="310AAE1A"/>
    <w:rsid w:val="310D74C4"/>
    <w:rsid w:val="310D90D0"/>
    <w:rsid w:val="3112FCC7"/>
    <w:rsid w:val="31187CC1"/>
    <w:rsid w:val="311AA136"/>
    <w:rsid w:val="311B886D"/>
    <w:rsid w:val="311CE622"/>
    <w:rsid w:val="3120F864"/>
    <w:rsid w:val="312F453B"/>
    <w:rsid w:val="31330D56"/>
    <w:rsid w:val="3133F2BB"/>
    <w:rsid w:val="31391DED"/>
    <w:rsid w:val="313B6706"/>
    <w:rsid w:val="313BD52F"/>
    <w:rsid w:val="313BE6CE"/>
    <w:rsid w:val="3140A107"/>
    <w:rsid w:val="314254BE"/>
    <w:rsid w:val="314D86DA"/>
    <w:rsid w:val="314E5EFE"/>
    <w:rsid w:val="31559896"/>
    <w:rsid w:val="31594ABC"/>
    <w:rsid w:val="315961A1"/>
    <w:rsid w:val="31601474"/>
    <w:rsid w:val="31618974"/>
    <w:rsid w:val="3169A451"/>
    <w:rsid w:val="316ACCCB"/>
    <w:rsid w:val="31709AED"/>
    <w:rsid w:val="31739BA1"/>
    <w:rsid w:val="317E7BCB"/>
    <w:rsid w:val="317E9C07"/>
    <w:rsid w:val="31889112"/>
    <w:rsid w:val="318A07A1"/>
    <w:rsid w:val="318AFB13"/>
    <w:rsid w:val="318DF0C2"/>
    <w:rsid w:val="3195F48A"/>
    <w:rsid w:val="319755EC"/>
    <w:rsid w:val="319F8890"/>
    <w:rsid w:val="31A155EB"/>
    <w:rsid w:val="31A47196"/>
    <w:rsid w:val="31A5D4E4"/>
    <w:rsid w:val="31A8A979"/>
    <w:rsid w:val="31A99C7F"/>
    <w:rsid w:val="31AB4EBB"/>
    <w:rsid w:val="31B1541A"/>
    <w:rsid w:val="31C0061B"/>
    <w:rsid w:val="31C2DA79"/>
    <w:rsid w:val="31C43815"/>
    <w:rsid w:val="31D1141A"/>
    <w:rsid w:val="31DA4E64"/>
    <w:rsid w:val="31E6C44E"/>
    <w:rsid w:val="31E8F03B"/>
    <w:rsid w:val="31F31C74"/>
    <w:rsid w:val="31F67A5D"/>
    <w:rsid w:val="31F8DE89"/>
    <w:rsid w:val="31FBB666"/>
    <w:rsid w:val="31FEC180"/>
    <w:rsid w:val="3209C46C"/>
    <w:rsid w:val="321E3AD2"/>
    <w:rsid w:val="321FE120"/>
    <w:rsid w:val="32257E65"/>
    <w:rsid w:val="32280773"/>
    <w:rsid w:val="322CFD70"/>
    <w:rsid w:val="322E535C"/>
    <w:rsid w:val="322EBDB0"/>
    <w:rsid w:val="32358A4C"/>
    <w:rsid w:val="323A6E42"/>
    <w:rsid w:val="323D4C74"/>
    <w:rsid w:val="3244936C"/>
    <w:rsid w:val="32490E40"/>
    <w:rsid w:val="32497345"/>
    <w:rsid w:val="324A0C9B"/>
    <w:rsid w:val="32505071"/>
    <w:rsid w:val="32554C5A"/>
    <w:rsid w:val="32556BCB"/>
    <w:rsid w:val="325BFC09"/>
    <w:rsid w:val="325C9954"/>
    <w:rsid w:val="325FE231"/>
    <w:rsid w:val="3262F160"/>
    <w:rsid w:val="326BB945"/>
    <w:rsid w:val="326CC5B5"/>
    <w:rsid w:val="3274EE84"/>
    <w:rsid w:val="327CF1A3"/>
    <w:rsid w:val="328034FA"/>
    <w:rsid w:val="328DD8E4"/>
    <w:rsid w:val="32910E6E"/>
    <w:rsid w:val="32962B8F"/>
    <w:rsid w:val="3299148A"/>
    <w:rsid w:val="329B0B07"/>
    <w:rsid w:val="329E323E"/>
    <w:rsid w:val="32A6CC63"/>
    <w:rsid w:val="32A6DA53"/>
    <w:rsid w:val="32A7FAF7"/>
    <w:rsid w:val="32A8822D"/>
    <w:rsid w:val="32AD422C"/>
    <w:rsid w:val="32B0D462"/>
    <w:rsid w:val="32B4186B"/>
    <w:rsid w:val="32B54F1E"/>
    <w:rsid w:val="32B8CFBF"/>
    <w:rsid w:val="32B90F16"/>
    <w:rsid w:val="32BCF478"/>
    <w:rsid w:val="32C1DCE6"/>
    <w:rsid w:val="32C5EDEF"/>
    <w:rsid w:val="32C7DB88"/>
    <w:rsid w:val="32D11497"/>
    <w:rsid w:val="32D11AAA"/>
    <w:rsid w:val="32D9A672"/>
    <w:rsid w:val="32DF11A8"/>
    <w:rsid w:val="32E0721E"/>
    <w:rsid w:val="32E4FB06"/>
    <w:rsid w:val="32E5E1D9"/>
    <w:rsid w:val="32E660FB"/>
    <w:rsid w:val="32E88A56"/>
    <w:rsid w:val="32F2CAD5"/>
    <w:rsid w:val="32F5432D"/>
    <w:rsid w:val="32F604EA"/>
    <w:rsid w:val="32FE5272"/>
    <w:rsid w:val="3310621E"/>
    <w:rsid w:val="3316FD4C"/>
    <w:rsid w:val="331ABACD"/>
    <w:rsid w:val="331FFBE2"/>
    <w:rsid w:val="3323422D"/>
    <w:rsid w:val="33243EDD"/>
    <w:rsid w:val="3325A818"/>
    <w:rsid w:val="3329BF4E"/>
    <w:rsid w:val="33313CBB"/>
    <w:rsid w:val="33334DB8"/>
    <w:rsid w:val="3333B6C9"/>
    <w:rsid w:val="3334BEEB"/>
    <w:rsid w:val="3335A797"/>
    <w:rsid w:val="333D7888"/>
    <w:rsid w:val="33416D19"/>
    <w:rsid w:val="334BB52E"/>
    <w:rsid w:val="334C9527"/>
    <w:rsid w:val="3351341D"/>
    <w:rsid w:val="3354A1C1"/>
    <w:rsid w:val="335BCFCF"/>
    <w:rsid w:val="33670D77"/>
    <w:rsid w:val="33742DE3"/>
    <w:rsid w:val="337448D8"/>
    <w:rsid w:val="33753121"/>
    <w:rsid w:val="3378DC1F"/>
    <w:rsid w:val="337E78AB"/>
    <w:rsid w:val="33821903"/>
    <w:rsid w:val="3383A3BA"/>
    <w:rsid w:val="33880B31"/>
    <w:rsid w:val="3388F3CE"/>
    <w:rsid w:val="338EB5D8"/>
    <w:rsid w:val="339374C0"/>
    <w:rsid w:val="3397A783"/>
    <w:rsid w:val="339BF01C"/>
    <w:rsid w:val="33A59FE8"/>
    <w:rsid w:val="33AA1F74"/>
    <w:rsid w:val="33AA308C"/>
    <w:rsid w:val="33AB8A42"/>
    <w:rsid w:val="33AFF780"/>
    <w:rsid w:val="33B02D6E"/>
    <w:rsid w:val="33B05524"/>
    <w:rsid w:val="33B3376D"/>
    <w:rsid w:val="33B46A0D"/>
    <w:rsid w:val="33B53176"/>
    <w:rsid w:val="33B95146"/>
    <w:rsid w:val="33BE189B"/>
    <w:rsid w:val="33C129A3"/>
    <w:rsid w:val="33C2FF38"/>
    <w:rsid w:val="33C3692E"/>
    <w:rsid w:val="33C3AE72"/>
    <w:rsid w:val="33C5B955"/>
    <w:rsid w:val="33C6E5CC"/>
    <w:rsid w:val="33D27BDE"/>
    <w:rsid w:val="33D6E94F"/>
    <w:rsid w:val="33D91CD5"/>
    <w:rsid w:val="33DCB59B"/>
    <w:rsid w:val="33DE15E9"/>
    <w:rsid w:val="33DE53E5"/>
    <w:rsid w:val="33E59964"/>
    <w:rsid w:val="33E6B618"/>
    <w:rsid w:val="33E7DB68"/>
    <w:rsid w:val="33EF0456"/>
    <w:rsid w:val="33F08160"/>
    <w:rsid w:val="33F0CA8C"/>
    <w:rsid w:val="33FCCAD6"/>
    <w:rsid w:val="34039A22"/>
    <w:rsid w:val="3405AE3D"/>
    <w:rsid w:val="340AD581"/>
    <w:rsid w:val="340B7027"/>
    <w:rsid w:val="340B76D2"/>
    <w:rsid w:val="340D7D23"/>
    <w:rsid w:val="3410BEE5"/>
    <w:rsid w:val="34165330"/>
    <w:rsid w:val="3417D55B"/>
    <w:rsid w:val="341937F1"/>
    <w:rsid w:val="341D25C8"/>
    <w:rsid w:val="341E56E2"/>
    <w:rsid w:val="3424D364"/>
    <w:rsid w:val="342B148E"/>
    <w:rsid w:val="342CD60A"/>
    <w:rsid w:val="3437AF4D"/>
    <w:rsid w:val="34418B46"/>
    <w:rsid w:val="34482B6F"/>
    <w:rsid w:val="3449128D"/>
    <w:rsid w:val="344A6B1D"/>
    <w:rsid w:val="3453C64E"/>
    <w:rsid w:val="3453EBD5"/>
    <w:rsid w:val="34544611"/>
    <w:rsid w:val="3458C0E2"/>
    <w:rsid w:val="345913CA"/>
    <w:rsid w:val="345BC4C5"/>
    <w:rsid w:val="3469F8B7"/>
    <w:rsid w:val="346CD68E"/>
    <w:rsid w:val="346FC89E"/>
    <w:rsid w:val="347897CC"/>
    <w:rsid w:val="347B82F7"/>
    <w:rsid w:val="347D98B6"/>
    <w:rsid w:val="3483D100"/>
    <w:rsid w:val="3486BBE5"/>
    <w:rsid w:val="348AE383"/>
    <w:rsid w:val="348AF600"/>
    <w:rsid w:val="3490F2B1"/>
    <w:rsid w:val="34925219"/>
    <w:rsid w:val="3497FF17"/>
    <w:rsid w:val="349B1A74"/>
    <w:rsid w:val="349B94A3"/>
    <w:rsid w:val="34A31E79"/>
    <w:rsid w:val="34A6D3B2"/>
    <w:rsid w:val="34B21C61"/>
    <w:rsid w:val="34B9C670"/>
    <w:rsid w:val="34CD27F3"/>
    <w:rsid w:val="34D4600D"/>
    <w:rsid w:val="34D79FBD"/>
    <w:rsid w:val="34D7E176"/>
    <w:rsid w:val="34DBAE63"/>
    <w:rsid w:val="34EA72B0"/>
    <w:rsid w:val="34EE7EDB"/>
    <w:rsid w:val="34EF91D0"/>
    <w:rsid w:val="34EFD0ED"/>
    <w:rsid w:val="34EFFA7E"/>
    <w:rsid w:val="34F1D31C"/>
    <w:rsid w:val="34F40B32"/>
    <w:rsid w:val="34FB6F20"/>
    <w:rsid w:val="35081CBE"/>
    <w:rsid w:val="350957AE"/>
    <w:rsid w:val="3509BB62"/>
    <w:rsid w:val="351158FD"/>
    <w:rsid w:val="3512D1DC"/>
    <w:rsid w:val="351545B3"/>
    <w:rsid w:val="351A1E01"/>
    <w:rsid w:val="351AF074"/>
    <w:rsid w:val="352E5C63"/>
    <w:rsid w:val="352F575C"/>
    <w:rsid w:val="3530E507"/>
    <w:rsid w:val="3533940E"/>
    <w:rsid w:val="3537A5D5"/>
    <w:rsid w:val="35408411"/>
    <w:rsid w:val="3541C286"/>
    <w:rsid w:val="35455FAE"/>
    <w:rsid w:val="35470CB8"/>
    <w:rsid w:val="354898AA"/>
    <w:rsid w:val="354C2D1A"/>
    <w:rsid w:val="3555B1C9"/>
    <w:rsid w:val="35561675"/>
    <w:rsid w:val="3558CF40"/>
    <w:rsid w:val="355B2643"/>
    <w:rsid w:val="355D8367"/>
    <w:rsid w:val="355DA528"/>
    <w:rsid w:val="355ED0DD"/>
    <w:rsid w:val="357256DD"/>
    <w:rsid w:val="35745479"/>
    <w:rsid w:val="357A8EB6"/>
    <w:rsid w:val="357C8C9B"/>
    <w:rsid w:val="357D4CB5"/>
    <w:rsid w:val="3593C061"/>
    <w:rsid w:val="359E9E3C"/>
    <w:rsid w:val="359ED9E9"/>
    <w:rsid w:val="35A12147"/>
    <w:rsid w:val="35A247EC"/>
    <w:rsid w:val="35A89FC0"/>
    <w:rsid w:val="35AC110A"/>
    <w:rsid w:val="35AE6877"/>
    <w:rsid w:val="35AF68EE"/>
    <w:rsid w:val="35B0F30D"/>
    <w:rsid w:val="35B181E3"/>
    <w:rsid w:val="35B581B9"/>
    <w:rsid w:val="35B9836C"/>
    <w:rsid w:val="35BEC45E"/>
    <w:rsid w:val="35C34589"/>
    <w:rsid w:val="35C95D27"/>
    <w:rsid w:val="35CB24A5"/>
    <w:rsid w:val="35CC8008"/>
    <w:rsid w:val="35DA7702"/>
    <w:rsid w:val="35DE3DB1"/>
    <w:rsid w:val="35DF626D"/>
    <w:rsid w:val="35E1A157"/>
    <w:rsid w:val="35E40A6D"/>
    <w:rsid w:val="35E4E2EE"/>
    <w:rsid w:val="35E5D370"/>
    <w:rsid w:val="35EA68D6"/>
    <w:rsid w:val="35F0C0BD"/>
    <w:rsid w:val="35F29A9F"/>
    <w:rsid w:val="35FAD1BF"/>
    <w:rsid w:val="35FC8642"/>
    <w:rsid w:val="35FD2BE4"/>
    <w:rsid w:val="35FDA4C0"/>
    <w:rsid w:val="360E4935"/>
    <w:rsid w:val="36105E00"/>
    <w:rsid w:val="36115E98"/>
    <w:rsid w:val="3614300B"/>
    <w:rsid w:val="36188F94"/>
    <w:rsid w:val="36246E03"/>
    <w:rsid w:val="362D61B0"/>
    <w:rsid w:val="3630B0FA"/>
    <w:rsid w:val="363123E8"/>
    <w:rsid w:val="363E44CF"/>
    <w:rsid w:val="36415A75"/>
    <w:rsid w:val="36449641"/>
    <w:rsid w:val="36474D9B"/>
    <w:rsid w:val="364AE437"/>
    <w:rsid w:val="364AF871"/>
    <w:rsid w:val="364AF93C"/>
    <w:rsid w:val="364BA147"/>
    <w:rsid w:val="3650829C"/>
    <w:rsid w:val="3651B391"/>
    <w:rsid w:val="365877BD"/>
    <w:rsid w:val="365C27D5"/>
    <w:rsid w:val="3660AF82"/>
    <w:rsid w:val="366463C8"/>
    <w:rsid w:val="3666DF97"/>
    <w:rsid w:val="36673397"/>
    <w:rsid w:val="3671365D"/>
    <w:rsid w:val="3673A00B"/>
    <w:rsid w:val="36757518"/>
    <w:rsid w:val="3675A602"/>
    <w:rsid w:val="3679B59F"/>
    <w:rsid w:val="367A4EE1"/>
    <w:rsid w:val="367B5A7E"/>
    <w:rsid w:val="367F60D4"/>
    <w:rsid w:val="3686670C"/>
    <w:rsid w:val="368A993D"/>
    <w:rsid w:val="368B392F"/>
    <w:rsid w:val="36904EB6"/>
    <w:rsid w:val="3692FA49"/>
    <w:rsid w:val="36972B56"/>
    <w:rsid w:val="369A2201"/>
    <w:rsid w:val="36A88538"/>
    <w:rsid w:val="36A916B6"/>
    <w:rsid w:val="36AE5A12"/>
    <w:rsid w:val="36B0D2D3"/>
    <w:rsid w:val="36B24ACA"/>
    <w:rsid w:val="36B7683D"/>
    <w:rsid w:val="36BC6B27"/>
    <w:rsid w:val="36BE59D7"/>
    <w:rsid w:val="36C38303"/>
    <w:rsid w:val="36C3B6CD"/>
    <w:rsid w:val="36C96BC5"/>
    <w:rsid w:val="36CBE3D8"/>
    <w:rsid w:val="36D43129"/>
    <w:rsid w:val="36D4684A"/>
    <w:rsid w:val="36D5143C"/>
    <w:rsid w:val="36D59946"/>
    <w:rsid w:val="36D7A53B"/>
    <w:rsid w:val="36DBB151"/>
    <w:rsid w:val="36DD00CA"/>
    <w:rsid w:val="36DFF59F"/>
    <w:rsid w:val="36E8A638"/>
    <w:rsid w:val="36EC5B4C"/>
    <w:rsid w:val="36ECA21F"/>
    <w:rsid w:val="36EF61FC"/>
    <w:rsid w:val="36F903BF"/>
    <w:rsid w:val="36FAA13E"/>
    <w:rsid w:val="36FAAE4D"/>
    <w:rsid w:val="36FC7858"/>
    <w:rsid w:val="3700F3E4"/>
    <w:rsid w:val="37062A7A"/>
    <w:rsid w:val="370E16BE"/>
    <w:rsid w:val="370F8B24"/>
    <w:rsid w:val="37137E30"/>
    <w:rsid w:val="371656FD"/>
    <w:rsid w:val="371F666C"/>
    <w:rsid w:val="37282F7B"/>
    <w:rsid w:val="372B77C5"/>
    <w:rsid w:val="372F01DD"/>
    <w:rsid w:val="37301B5C"/>
    <w:rsid w:val="373D91ED"/>
    <w:rsid w:val="3740B91A"/>
    <w:rsid w:val="37443AFC"/>
    <w:rsid w:val="3745CA9E"/>
    <w:rsid w:val="374FB135"/>
    <w:rsid w:val="375E9298"/>
    <w:rsid w:val="37626E4B"/>
    <w:rsid w:val="37628734"/>
    <w:rsid w:val="376586DD"/>
    <w:rsid w:val="376AC455"/>
    <w:rsid w:val="3772DD29"/>
    <w:rsid w:val="3772E817"/>
    <w:rsid w:val="377638D0"/>
    <w:rsid w:val="377C889B"/>
    <w:rsid w:val="37867342"/>
    <w:rsid w:val="378DEE14"/>
    <w:rsid w:val="378E2F16"/>
    <w:rsid w:val="3792A049"/>
    <w:rsid w:val="37936CE8"/>
    <w:rsid w:val="379EE97A"/>
    <w:rsid w:val="37A07D11"/>
    <w:rsid w:val="37A29612"/>
    <w:rsid w:val="37A336EC"/>
    <w:rsid w:val="37A4F599"/>
    <w:rsid w:val="37A61464"/>
    <w:rsid w:val="37A9744F"/>
    <w:rsid w:val="37A9D80C"/>
    <w:rsid w:val="37AD5392"/>
    <w:rsid w:val="37AFCA68"/>
    <w:rsid w:val="37B1EFC1"/>
    <w:rsid w:val="37B45FF5"/>
    <w:rsid w:val="37B58A29"/>
    <w:rsid w:val="37BC41C4"/>
    <w:rsid w:val="37BED35F"/>
    <w:rsid w:val="37C17337"/>
    <w:rsid w:val="37C815DB"/>
    <w:rsid w:val="37C8EC42"/>
    <w:rsid w:val="37C9775A"/>
    <w:rsid w:val="37CA6F0C"/>
    <w:rsid w:val="37CA84EB"/>
    <w:rsid w:val="37DD89CE"/>
    <w:rsid w:val="37E4EC8F"/>
    <w:rsid w:val="37EE568B"/>
    <w:rsid w:val="37EFBF05"/>
    <w:rsid w:val="37F1F7A0"/>
    <w:rsid w:val="37F4BCB3"/>
    <w:rsid w:val="37F4CA34"/>
    <w:rsid w:val="37F635E4"/>
    <w:rsid w:val="37F73020"/>
    <w:rsid w:val="37F928CE"/>
    <w:rsid w:val="37FF69C8"/>
    <w:rsid w:val="38025961"/>
    <w:rsid w:val="3805E9FA"/>
    <w:rsid w:val="38060F71"/>
    <w:rsid w:val="3809FD83"/>
    <w:rsid w:val="380F8F8A"/>
    <w:rsid w:val="38179E6D"/>
    <w:rsid w:val="381F6A28"/>
    <w:rsid w:val="38285AC9"/>
    <w:rsid w:val="382926FC"/>
    <w:rsid w:val="38296261"/>
    <w:rsid w:val="3829C03B"/>
    <w:rsid w:val="382AE1E8"/>
    <w:rsid w:val="38313C10"/>
    <w:rsid w:val="3834CE64"/>
    <w:rsid w:val="383ED987"/>
    <w:rsid w:val="384483D8"/>
    <w:rsid w:val="38450C25"/>
    <w:rsid w:val="384C04A5"/>
    <w:rsid w:val="384DBB29"/>
    <w:rsid w:val="384EB19D"/>
    <w:rsid w:val="3853DDAF"/>
    <w:rsid w:val="38543708"/>
    <w:rsid w:val="385472AC"/>
    <w:rsid w:val="3855BEAF"/>
    <w:rsid w:val="385934E4"/>
    <w:rsid w:val="385B8449"/>
    <w:rsid w:val="385F8FB7"/>
    <w:rsid w:val="386330F5"/>
    <w:rsid w:val="38689477"/>
    <w:rsid w:val="38726E59"/>
    <w:rsid w:val="38760020"/>
    <w:rsid w:val="38786939"/>
    <w:rsid w:val="3879110B"/>
    <w:rsid w:val="38801CCB"/>
    <w:rsid w:val="388284EB"/>
    <w:rsid w:val="38920A1A"/>
    <w:rsid w:val="38952232"/>
    <w:rsid w:val="3896719F"/>
    <w:rsid w:val="389E66AC"/>
    <w:rsid w:val="38A2A3AC"/>
    <w:rsid w:val="38A92EB6"/>
    <w:rsid w:val="38A9320B"/>
    <w:rsid w:val="38A97223"/>
    <w:rsid w:val="38B2D616"/>
    <w:rsid w:val="38B6AD91"/>
    <w:rsid w:val="38C080E8"/>
    <w:rsid w:val="38C8808B"/>
    <w:rsid w:val="38CA53B2"/>
    <w:rsid w:val="38CB45FB"/>
    <w:rsid w:val="38CBC2D0"/>
    <w:rsid w:val="38CD0958"/>
    <w:rsid w:val="38CEEB8D"/>
    <w:rsid w:val="38D0A6BE"/>
    <w:rsid w:val="38D13693"/>
    <w:rsid w:val="38D5A716"/>
    <w:rsid w:val="38D67629"/>
    <w:rsid w:val="38D79634"/>
    <w:rsid w:val="38D80308"/>
    <w:rsid w:val="38D87762"/>
    <w:rsid w:val="38DC1B11"/>
    <w:rsid w:val="38E8806F"/>
    <w:rsid w:val="38EA3BBF"/>
    <w:rsid w:val="38EB01D8"/>
    <w:rsid w:val="38F1242E"/>
    <w:rsid w:val="38F881AD"/>
    <w:rsid w:val="39051741"/>
    <w:rsid w:val="39089EE5"/>
    <w:rsid w:val="3909052E"/>
    <w:rsid w:val="390B266E"/>
    <w:rsid w:val="390E49DC"/>
    <w:rsid w:val="39106EC0"/>
    <w:rsid w:val="39131F39"/>
    <w:rsid w:val="391A77E6"/>
    <w:rsid w:val="392B4A36"/>
    <w:rsid w:val="392EEE75"/>
    <w:rsid w:val="392F2CBD"/>
    <w:rsid w:val="39328973"/>
    <w:rsid w:val="3936B938"/>
    <w:rsid w:val="39393F3A"/>
    <w:rsid w:val="393AE39A"/>
    <w:rsid w:val="393DEC9B"/>
    <w:rsid w:val="39400D38"/>
    <w:rsid w:val="39436376"/>
    <w:rsid w:val="395B860D"/>
    <w:rsid w:val="395E6723"/>
    <w:rsid w:val="395E7606"/>
    <w:rsid w:val="39654786"/>
    <w:rsid w:val="39675F77"/>
    <w:rsid w:val="3967C245"/>
    <w:rsid w:val="39693050"/>
    <w:rsid w:val="396CAF20"/>
    <w:rsid w:val="396EF618"/>
    <w:rsid w:val="396F51CF"/>
    <w:rsid w:val="397AE716"/>
    <w:rsid w:val="397B6876"/>
    <w:rsid w:val="397F80E0"/>
    <w:rsid w:val="39839771"/>
    <w:rsid w:val="3984D406"/>
    <w:rsid w:val="398ADAAE"/>
    <w:rsid w:val="398B8F66"/>
    <w:rsid w:val="39941465"/>
    <w:rsid w:val="3994AD3F"/>
    <w:rsid w:val="39996634"/>
    <w:rsid w:val="3999C70F"/>
    <w:rsid w:val="39A9DA7E"/>
    <w:rsid w:val="39B70C52"/>
    <w:rsid w:val="39B950FA"/>
    <w:rsid w:val="39B9B375"/>
    <w:rsid w:val="39BEBFF0"/>
    <w:rsid w:val="39C320BC"/>
    <w:rsid w:val="39C4DF82"/>
    <w:rsid w:val="39C7A3C5"/>
    <w:rsid w:val="39D01EB1"/>
    <w:rsid w:val="39D4D460"/>
    <w:rsid w:val="39DD03D8"/>
    <w:rsid w:val="39DE647C"/>
    <w:rsid w:val="39E10859"/>
    <w:rsid w:val="39E157C2"/>
    <w:rsid w:val="39E5C52E"/>
    <w:rsid w:val="39E7211E"/>
    <w:rsid w:val="39F4E7A7"/>
    <w:rsid w:val="39F82540"/>
    <w:rsid w:val="39F9625D"/>
    <w:rsid w:val="39F97C96"/>
    <w:rsid w:val="3A05033E"/>
    <w:rsid w:val="3A0B06FB"/>
    <w:rsid w:val="3A0CB179"/>
    <w:rsid w:val="3A0D1F46"/>
    <w:rsid w:val="3A1230CA"/>
    <w:rsid w:val="3A14C791"/>
    <w:rsid w:val="3A14E016"/>
    <w:rsid w:val="3A15AC18"/>
    <w:rsid w:val="3A1842EA"/>
    <w:rsid w:val="3A23B8DE"/>
    <w:rsid w:val="3A2596B4"/>
    <w:rsid w:val="3A267695"/>
    <w:rsid w:val="3A2AA3EF"/>
    <w:rsid w:val="3A3BBCA5"/>
    <w:rsid w:val="3A44AFF9"/>
    <w:rsid w:val="3A49C41A"/>
    <w:rsid w:val="3A4EBAE6"/>
    <w:rsid w:val="3A57F2B9"/>
    <w:rsid w:val="3A5B0DED"/>
    <w:rsid w:val="3A6B8512"/>
    <w:rsid w:val="3A7127AE"/>
    <w:rsid w:val="3A722715"/>
    <w:rsid w:val="3A7790A6"/>
    <w:rsid w:val="3A779989"/>
    <w:rsid w:val="3A783B06"/>
    <w:rsid w:val="3A7C8EA4"/>
    <w:rsid w:val="3A7D1C0D"/>
    <w:rsid w:val="3A801BA7"/>
    <w:rsid w:val="3A80A8FE"/>
    <w:rsid w:val="3A842412"/>
    <w:rsid w:val="3A87BCF2"/>
    <w:rsid w:val="3A8AC2AD"/>
    <w:rsid w:val="3A8F6A9B"/>
    <w:rsid w:val="3A985AFD"/>
    <w:rsid w:val="3A9A00B8"/>
    <w:rsid w:val="3AA518CE"/>
    <w:rsid w:val="3AA9778A"/>
    <w:rsid w:val="3AAC478F"/>
    <w:rsid w:val="3AAC85FB"/>
    <w:rsid w:val="3AAF5E7B"/>
    <w:rsid w:val="3AB6AD33"/>
    <w:rsid w:val="3AB79A10"/>
    <w:rsid w:val="3ABEDAE0"/>
    <w:rsid w:val="3ABF1EAE"/>
    <w:rsid w:val="3AC301B6"/>
    <w:rsid w:val="3AC548F2"/>
    <w:rsid w:val="3ACEC251"/>
    <w:rsid w:val="3AD7C2B2"/>
    <w:rsid w:val="3ADA1420"/>
    <w:rsid w:val="3AE06C10"/>
    <w:rsid w:val="3AE0C332"/>
    <w:rsid w:val="3AEADD30"/>
    <w:rsid w:val="3AF1FDAE"/>
    <w:rsid w:val="3AF45491"/>
    <w:rsid w:val="3AF6D464"/>
    <w:rsid w:val="3AF77BEA"/>
    <w:rsid w:val="3AF88BC6"/>
    <w:rsid w:val="3AF9C3BD"/>
    <w:rsid w:val="3AFC0C15"/>
    <w:rsid w:val="3B0049C6"/>
    <w:rsid w:val="3B01939D"/>
    <w:rsid w:val="3B076274"/>
    <w:rsid w:val="3B0E51AF"/>
    <w:rsid w:val="3B109411"/>
    <w:rsid w:val="3B12AA85"/>
    <w:rsid w:val="3B181967"/>
    <w:rsid w:val="3B1B4DBB"/>
    <w:rsid w:val="3B1B50FE"/>
    <w:rsid w:val="3B1E46FD"/>
    <w:rsid w:val="3B203A88"/>
    <w:rsid w:val="3B236189"/>
    <w:rsid w:val="3B32FE5E"/>
    <w:rsid w:val="3B364807"/>
    <w:rsid w:val="3B37966F"/>
    <w:rsid w:val="3B3DE76F"/>
    <w:rsid w:val="3B4144A1"/>
    <w:rsid w:val="3B41966B"/>
    <w:rsid w:val="3B47B464"/>
    <w:rsid w:val="3B4DC004"/>
    <w:rsid w:val="3B50A6A9"/>
    <w:rsid w:val="3B51432C"/>
    <w:rsid w:val="3B524CDE"/>
    <w:rsid w:val="3B53B04E"/>
    <w:rsid w:val="3B576C29"/>
    <w:rsid w:val="3B593C94"/>
    <w:rsid w:val="3B623D6E"/>
    <w:rsid w:val="3B677A20"/>
    <w:rsid w:val="3B6BAD5F"/>
    <w:rsid w:val="3B6D50FB"/>
    <w:rsid w:val="3B720341"/>
    <w:rsid w:val="3B73A122"/>
    <w:rsid w:val="3B7C249A"/>
    <w:rsid w:val="3B7D40A2"/>
    <w:rsid w:val="3B7FCF08"/>
    <w:rsid w:val="3B804A6F"/>
    <w:rsid w:val="3B84CF6E"/>
    <w:rsid w:val="3B8B6F2C"/>
    <w:rsid w:val="3B8F0300"/>
    <w:rsid w:val="3B97E9FA"/>
    <w:rsid w:val="3B97F5FA"/>
    <w:rsid w:val="3B983906"/>
    <w:rsid w:val="3B9A5CB5"/>
    <w:rsid w:val="3B9E2AE0"/>
    <w:rsid w:val="3B9FEA17"/>
    <w:rsid w:val="3BACA0C0"/>
    <w:rsid w:val="3BAF8FB9"/>
    <w:rsid w:val="3BB6350F"/>
    <w:rsid w:val="3BBA3420"/>
    <w:rsid w:val="3BBE52EC"/>
    <w:rsid w:val="3BBF40DE"/>
    <w:rsid w:val="3BBFC885"/>
    <w:rsid w:val="3BC4DC19"/>
    <w:rsid w:val="3BCF068C"/>
    <w:rsid w:val="3BCFB349"/>
    <w:rsid w:val="3BD175B7"/>
    <w:rsid w:val="3BDAA8C6"/>
    <w:rsid w:val="3BDEB6BB"/>
    <w:rsid w:val="3BE21F2C"/>
    <w:rsid w:val="3BE9BD52"/>
    <w:rsid w:val="3BEE13C9"/>
    <w:rsid w:val="3BF31896"/>
    <w:rsid w:val="3BF56B96"/>
    <w:rsid w:val="3BF715C1"/>
    <w:rsid w:val="3BF8395E"/>
    <w:rsid w:val="3BF9F65B"/>
    <w:rsid w:val="3C065DF3"/>
    <w:rsid w:val="3C0CB300"/>
    <w:rsid w:val="3C0D6249"/>
    <w:rsid w:val="3C0E6460"/>
    <w:rsid w:val="3C10A23D"/>
    <w:rsid w:val="3C14418A"/>
    <w:rsid w:val="3C20C561"/>
    <w:rsid w:val="3C21BD90"/>
    <w:rsid w:val="3C21E62A"/>
    <w:rsid w:val="3C252617"/>
    <w:rsid w:val="3C3B208F"/>
    <w:rsid w:val="3C408E17"/>
    <w:rsid w:val="3C4AC68A"/>
    <w:rsid w:val="3C4C3BA6"/>
    <w:rsid w:val="3C559079"/>
    <w:rsid w:val="3C5B22DF"/>
    <w:rsid w:val="3C5BB15C"/>
    <w:rsid w:val="3C604544"/>
    <w:rsid w:val="3C6109A9"/>
    <w:rsid w:val="3C61C38F"/>
    <w:rsid w:val="3C63DF27"/>
    <w:rsid w:val="3C64F51E"/>
    <w:rsid w:val="3C65B708"/>
    <w:rsid w:val="3C6AEDF7"/>
    <w:rsid w:val="3C76A80F"/>
    <w:rsid w:val="3C79155D"/>
    <w:rsid w:val="3C793A52"/>
    <w:rsid w:val="3C7947BC"/>
    <w:rsid w:val="3C7D1510"/>
    <w:rsid w:val="3C815F6C"/>
    <w:rsid w:val="3C84C8EA"/>
    <w:rsid w:val="3C85F9FF"/>
    <w:rsid w:val="3C87CEA1"/>
    <w:rsid w:val="3C8815BE"/>
    <w:rsid w:val="3C8C17D6"/>
    <w:rsid w:val="3C9ADFD6"/>
    <w:rsid w:val="3C9F00F9"/>
    <w:rsid w:val="3CA15CE2"/>
    <w:rsid w:val="3CA36E05"/>
    <w:rsid w:val="3CA52399"/>
    <w:rsid w:val="3CB20247"/>
    <w:rsid w:val="3CB2CB84"/>
    <w:rsid w:val="3CB46027"/>
    <w:rsid w:val="3CB892E1"/>
    <w:rsid w:val="3CC1BF77"/>
    <w:rsid w:val="3CC45AFB"/>
    <w:rsid w:val="3CCD63C7"/>
    <w:rsid w:val="3CD2C56C"/>
    <w:rsid w:val="3CD6E8FA"/>
    <w:rsid w:val="3CD7A05F"/>
    <w:rsid w:val="3CD8012C"/>
    <w:rsid w:val="3CDD9495"/>
    <w:rsid w:val="3CE101AE"/>
    <w:rsid w:val="3CE163B4"/>
    <w:rsid w:val="3CE8878B"/>
    <w:rsid w:val="3CEC29AC"/>
    <w:rsid w:val="3CFB1402"/>
    <w:rsid w:val="3CFC5EEF"/>
    <w:rsid w:val="3D008DA0"/>
    <w:rsid w:val="3D02164F"/>
    <w:rsid w:val="3D0673B0"/>
    <w:rsid w:val="3D074D23"/>
    <w:rsid w:val="3D077B11"/>
    <w:rsid w:val="3D10B06D"/>
    <w:rsid w:val="3D18B9D0"/>
    <w:rsid w:val="3D1D856C"/>
    <w:rsid w:val="3D1DC0A2"/>
    <w:rsid w:val="3D2B7693"/>
    <w:rsid w:val="3D2C558F"/>
    <w:rsid w:val="3D2DC3B0"/>
    <w:rsid w:val="3D319225"/>
    <w:rsid w:val="3D34AFB3"/>
    <w:rsid w:val="3D37E51E"/>
    <w:rsid w:val="3D3900D8"/>
    <w:rsid w:val="3D411A8A"/>
    <w:rsid w:val="3D436303"/>
    <w:rsid w:val="3D45976E"/>
    <w:rsid w:val="3D46FB8A"/>
    <w:rsid w:val="3D495103"/>
    <w:rsid w:val="3D4A0B6E"/>
    <w:rsid w:val="3D4BE882"/>
    <w:rsid w:val="3D4C822E"/>
    <w:rsid w:val="3D5458AE"/>
    <w:rsid w:val="3D54FFDB"/>
    <w:rsid w:val="3D566E0E"/>
    <w:rsid w:val="3D5B33ED"/>
    <w:rsid w:val="3D62AE92"/>
    <w:rsid w:val="3D680DB5"/>
    <w:rsid w:val="3D6E4B8F"/>
    <w:rsid w:val="3D749B40"/>
    <w:rsid w:val="3D785012"/>
    <w:rsid w:val="3D786FC4"/>
    <w:rsid w:val="3D78C5DF"/>
    <w:rsid w:val="3D81E415"/>
    <w:rsid w:val="3D8FD818"/>
    <w:rsid w:val="3D9455D8"/>
    <w:rsid w:val="3D9C1664"/>
    <w:rsid w:val="3DABF85F"/>
    <w:rsid w:val="3DAE59E0"/>
    <w:rsid w:val="3DB2965A"/>
    <w:rsid w:val="3DC26522"/>
    <w:rsid w:val="3DC26C09"/>
    <w:rsid w:val="3DC5E1F7"/>
    <w:rsid w:val="3DCBF2D0"/>
    <w:rsid w:val="3DD043A9"/>
    <w:rsid w:val="3DD8A69D"/>
    <w:rsid w:val="3DDCB096"/>
    <w:rsid w:val="3DDE0703"/>
    <w:rsid w:val="3DEF3D4F"/>
    <w:rsid w:val="3DF86AA7"/>
    <w:rsid w:val="3E097020"/>
    <w:rsid w:val="3E0AEC10"/>
    <w:rsid w:val="3E115DFC"/>
    <w:rsid w:val="3E118CDC"/>
    <w:rsid w:val="3E11B4E2"/>
    <w:rsid w:val="3E178D8E"/>
    <w:rsid w:val="3E1C5DAB"/>
    <w:rsid w:val="3E261C50"/>
    <w:rsid w:val="3E298022"/>
    <w:rsid w:val="3E2C69CC"/>
    <w:rsid w:val="3E35CA27"/>
    <w:rsid w:val="3E3722FD"/>
    <w:rsid w:val="3E3AD8D9"/>
    <w:rsid w:val="3E3E0DAD"/>
    <w:rsid w:val="3E411C2E"/>
    <w:rsid w:val="3E42ABFE"/>
    <w:rsid w:val="3E4865E0"/>
    <w:rsid w:val="3E4C0B36"/>
    <w:rsid w:val="3E4D4422"/>
    <w:rsid w:val="3E503088"/>
    <w:rsid w:val="3E5ACD7B"/>
    <w:rsid w:val="3E609DEB"/>
    <w:rsid w:val="3E62C92D"/>
    <w:rsid w:val="3E69778B"/>
    <w:rsid w:val="3E7A27D8"/>
    <w:rsid w:val="3E7B4754"/>
    <w:rsid w:val="3E825048"/>
    <w:rsid w:val="3E82AF25"/>
    <w:rsid w:val="3E8560C6"/>
    <w:rsid w:val="3E878AAD"/>
    <w:rsid w:val="3E8C529D"/>
    <w:rsid w:val="3E8DDDE4"/>
    <w:rsid w:val="3E97D390"/>
    <w:rsid w:val="3E99F434"/>
    <w:rsid w:val="3EA53AA2"/>
    <w:rsid w:val="3EADCA62"/>
    <w:rsid w:val="3EAE6CA3"/>
    <w:rsid w:val="3EB150E4"/>
    <w:rsid w:val="3EB5E05F"/>
    <w:rsid w:val="3EB6C735"/>
    <w:rsid w:val="3EC31D25"/>
    <w:rsid w:val="3ECA72B8"/>
    <w:rsid w:val="3ED32E0D"/>
    <w:rsid w:val="3ED3496F"/>
    <w:rsid w:val="3ED48ACD"/>
    <w:rsid w:val="3EE07AD1"/>
    <w:rsid w:val="3EE2FD8E"/>
    <w:rsid w:val="3EE36BB7"/>
    <w:rsid w:val="3EEC9C67"/>
    <w:rsid w:val="3EF0E451"/>
    <w:rsid w:val="3EF1F4F4"/>
    <w:rsid w:val="3EFC62AE"/>
    <w:rsid w:val="3EFF8F72"/>
    <w:rsid w:val="3F0174D1"/>
    <w:rsid w:val="3F075604"/>
    <w:rsid w:val="3F0B9246"/>
    <w:rsid w:val="3F0C9FB1"/>
    <w:rsid w:val="3F263B23"/>
    <w:rsid w:val="3F3D22D7"/>
    <w:rsid w:val="3F3D7C8E"/>
    <w:rsid w:val="3F47512E"/>
    <w:rsid w:val="3F4BCAA7"/>
    <w:rsid w:val="3F556540"/>
    <w:rsid w:val="3F55C0B2"/>
    <w:rsid w:val="3F5880DB"/>
    <w:rsid w:val="3F5B12CD"/>
    <w:rsid w:val="3F5BA617"/>
    <w:rsid w:val="3F5C3564"/>
    <w:rsid w:val="3F61F1DD"/>
    <w:rsid w:val="3F6326C4"/>
    <w:rsid w:val="3F659B49"/>
    <w:rsid w:val="3F67C331"/>
    <w:rsid w:val="3F6EC1ED"/>
    <w:rsid w:val="3F74A889"/>
    <w:rsid w:val="3F756B61"/>
    <w:rsid w:val="3F7664B4"/>
    <w:rsid w:val="3F779EF3"/>
    <w:rsid w:val="3F8152A2"/>
    <w:rsid w:val="3F815DB3"/>
    <w:rsid w:val="3F91BFC5"/>
    <w:rsid w:val="3F95218D"/>
    <w:rsid w:val="3F95F905"/>
    <w:rsid w:val="3F964824"/>
    <w:rsid w:val="3F9E17C7"/>
    <w:rsid w:val="3F9FCEC2"/>
    <w:rsid w:val="3FA10501"/>
    <w:rsid w:val="3FA444E8"/>
    <w:rsid w:val="3FAF033A"/>
    <w:rsid w:val="3FB873AF"/>
    <w:rsid w:val="3FBA9AA2"/>
    <w:rsid w:val="3FBB0630"/>
    <w:rsid w:val="3FBD15C1"/>
    <w:rsid w:val="3FBFB22A"/>
    <w:rsid w:val="3FC1AC7F"/>
    <w:rsid w:val="3FC88994"/>
    <w:rsid w:val="3FCF36C5"/>
    <w:rsid w:val="3FCF59CE"/>
    <w:rsid w:val="3FD73ADD"/>
    <w:rsid w:val="3FDF870F"/>
    <w:rsid w:val="3FE31B9D"/>
    <w:rsid w:val="3FE40534"/>
    <w:rsid w:val="3FE6549D"/>
    <w:rsid w:val="3FE7B563"/>
    <w:rsid w:val="3FEB93EC"/>
    <w:rsid w:val="3FF25550"/>
    <w:rsid w:val="3FFCB0FB"/>
    <w:rsid w:val="3FFDE194"/>
    <w:rsid w:val="4002E541"/>
    <w:rsid w:val="400740EF"/>
    <w:rsid w:val="40074636"/>
    <w:rsid w:val="4012F6B0"/>
    <w:rsid w:val="4014522C"/>
    <w:rsid w:val="40182608"/>
    <w:rsid w:val="401BAA84"/>
    <w:rsid w:val="40253D21"/>
    <w:rsid w:val="40270B3D"/>
    <w:rsid w:val="402C05E2"/>
    <w:rsid w:val="40330EFA"/>
    <w:rsid w:val="4035A7F6"/>
    <w:rsid w:val="403970AA"/>
    <w:rsid w:val="403DE13C"/>
    <w:rsid w:val="4043C52F"/>
    <w:rsid w:val="4046A42A"/>
    <w:rsid w:val="40471AEA"/>
    <w:rsid w:val="404EB3CD"/>
    <w:rsid w:val="404EDB1A"/>
    <w:rsid w:val="4053D52A"/>
    <w:rsid w:val="4053DFBA"/>
    <w:rsid w:val="40574F21"/>
    <w:rsid w:val="405F0C55"/>
    <w:rsid w:val="405F92EF"/>
    <w:rsid w:val="406FB526"/>
    <w:rsid w:val="40715C53"/>
    <w:rsid w:val="40771554"/>
    <w:rsid w:val="407A086F"/>
    <w:rsid w:val="407E6ED7"/>
    <w:rsid w:val="40872D78"/>
    <w:rsid w:val="408A9772"/>
    <w:rsid w:val="409874CE"/>
    <w:rsid w:val="40990811"/>
    <w:rsid w:val="4099D2D3"/>
    <w:rsid w:val="40A622E2"/>
    <w:rsid w:val="40A812E5"/>
    <w:rsid w:val="40A8D628"/>
    <w:rsid w:val="40A9A3D4"/>
    <w:rsid w:val="40ADA068"/>
    <w:rsid w:val="40C0CF95"/>
    <w:rsid w:val="40D78D49"/>
    <w:rsid w:val="40DEF62B"/>
    <w:rsid w:val="40FB06D1"/>
    <w:rsid w:val="40FB7BD1"/>
    <w:rsid w:val="410E88EE"/>
    <w:rsid w:val="410FD39D"/>
    <w:rsid w:val="411836C6"/>
    <w:rsid w:val="411F5D01"/>
    <w:rsid w:val="4128CFA3"/>
    <w:rsid w:val="412E27E1"/>
    <w:rsid w:val="412FA4B2"/>
    <w:rsid w:val="414415FE"/>
    <w:rsid w:val="4148C410"/>
    <w:rsid w:val="41492410"/>
    <w:rsid w:val="414D44CC"/>
    <w:rsid w:val="4151DD88"/>
    <w:rsid w:val="41524B33"/>
    <w:rsid w:val="4153D369"/>
    <w:rsid w:val="41580D27"/>
    <w:rsid w:val="415D8E81"/>
    <w:rsid w:val="416366C0"/>
    <w:rsid w:val="41666D6D"/>
    <w:rsid w:val="4169C618"/>
    <w:rsid w:val="416B3F94"/>
    <w:rsid w:val="41704458"/>
    <w:rsid w:val="4173C26C"/>
    <w:rsid w:val="4177829F"/>
    <w:rsid w:val="4181A639"/>
    <w:rsid w:val="41856467"/>
    <w:rsid w:val="41868526"/>
    <w:rsid w:val="418DC7B3"/>
    <w:rsid w:val="4192A30D"/>
    <w:rsid w:val="41963C85"/>
    <w:rsid w:val="419BFFAD"/>
    <w:rsid w:val="41A24540"/>
    <w:rsid w:val="41A54FD9"/>
    <w:rsid w:val="41A85F87"/>
    <w:rsid w:val="41AA0697"/>
    <w:rsid w:val="41ADDB57"/>
    <w:rsid w:val="41B2F384"/>
    <w:rsid w:val="41B3D7B7"/>
    <w:rsid w:val="41B939F5"/>
    <w:rsid w:val="41BC76A4"/>
    <w:rsid w:val="41C4EF0E"/>
    <w:rsid w:val="41C5772C"/>
    <w:rsid w:val="41C93BCF"/>
    <w:rsid w:val="41CF7A80"/>
    <w:rsid w:val="41D247EC"/>
    <w:rsid w:val="41D94226"/>
    <w:rsid w:val="41DAEAA4"/>
    <w:rsid w:val="41DAFCF2"/>
    <w:rsid w:val="41E1C062"/>
    <w:rsid w:val="41ED0CAA"/>
    <w:rsid w:val="41EE18F5"/>
    <w:rsid w:val="41F34482"/>
    <w:rsid w:val="41F4F1C8"/>
    <w:rsid w:val="41FA25E2"/>
    <w:rsid w:val="41FD8123"/>
    <w:rsid w:val="41FE2C41"/>
    <w:rsid w:val="420055C2"/>
    <w:rsid w:val="420653D2"/>
    <w:rsid w:val="420DF691"/>
    <w:rsid w:val="421BDF68"/>
    <w:rsid w:val="421EA6C2"/>
    <w:rsid w:val="42219D82"/>
    <w:rsid w:val="4224D48E"/>
    <w:rsid w:val="4226D147"/>
    <w:rsid w:val="4227D5CF"/>
    <w:rsid w:val="422878C5"/>
    <w:rsid w:val="422BA81B"/>
    <w:rsid w:val="422CCBC4"/>
    <w:rsid w:val="423912A2"/>
    <w:rsid w:val="423B8CD8"/>
    <w:rsid w:val="423E73D3"/>
    <w:rsid w:val="4242CCA7"/>
    <w:rsid w:val="4254F561"/>
    <w:rsid w:val="42559B69"/>
    <w:rsid w:val="4258E05E"/>
    <w:rsid w:val="425AF591"/>
    <w:rsid w:val="425C44AB"/>
    <w:rsid w:val="425C5408"/>
    <w:rsid w:val="425D6CE2"/>
    <w:rsid w:val="4263B417"/>
    <w:rsid w:val="426771EF"/>
    <w:rsid w:val="426CFE0B"/>
    <w:rsid w:val="426F0F99"/>
    <w:rsid w:val="4274C399"/>
    <w:rsid w:val="4277A9A7"/>
    <w:rsid w:val="427B715F"/>
    <w:rsid w:val="427E2DBF"/>
    <w:rsid w:val="4282147D"/>
    <w:rsid w:val="428EBB0B"/>
    <w:rsid w:val="428FB896"/>
    <w:rsid w:val="429228B3"/>
    <w:rsid w:val="4293EA2C"/>
    <w:rsid w:val="4295C861"/>
    <w:rsid w:val="42A0C204"/>
    <w:rsid w:val="42A37B24"/>
    <w:rsid w:val="42A50D58"/>
    <w:rsid w:val="42A5A77F"/>
    <w:rsid w:val="42A665A7"/>
    <w:rsid w:val="42A783E1"/>
    <w:rsid w:val="42A843B4"/>
    <w:rsid w:val="42AD96A0"/>
    <w:rsid w:val="42B4896F"/>
    <w:rsid w:val="42BF1EFD"/>
    <w:rsid w:val="42C2FEBB"/>
    <w:rsid w:val="42CB9471"/>
    <w:rsid w:val="42CD1C0E"/>
    <w:rsid w:val="42CE3CA8"/>
    <w:rsid w:val="42CFAB94"/>
    <w:rsid w:val="42CFAE65"/>
    <w:rsid w:val="42D239A2"/>
    <w:rsid w:val="42D2A9CB"/>
    <w:rsid w:val="42D3AE30"/>
    <w:rsid w:val="42D573ED"/>
    <w:rsid w:val="42DFB311"/>
    <w:rsid w:val="42E2AE21"/>
    <w:rsid w:val="42E301C9"/>
    <w:rsid w:val="42E5CD7E"/>
    <w:rsid w:val="42E7D3E5"/>
    <w:rsid w:val="42EA8B00"/>
    <w:rsid w:val="42EAA434"/>
    <w:rsid w:val="42EDD621"/>
    <w:rsid w:val="42EE0598"/>
    <w:rsid w:val="42F2B4CD"/>
    <w:rsid w:val="42F6F1E7"/>
    <w:rsid w:val="42F7A7FC"/>
    <w:rsid w:val="42F9BF81"/>
    <w:rsid w:val="42FC43CE"/>
    <w:rsid w:val="42FD2E41"/>
    <w:rsid w:val="42FEC808"/>
    <w:rsid w:val="42FF570A"/>
    <w:rsid w:val="43002A56"/>
    <w:rsid w:val="430083F9"/>
    <w:rsid w:val="43083FB4"/>
    <w:rsid w:val="430B03D0"/>
    <w:rsid w:val="43150DC4"/>
    <w:rsid w:val="43154758"/>
    <w:rsid w:val="431C6A06"/>
    <w:rsid w:val="431CC01D"/>
    <w:rsid w:val="4322D656"/>
    <w:rsid w:val="4323A1AB"/>
    <w:rsid w:val="4325CFC9"/>
    <w:rsid w:val="43324401"/>
    <w:rsid w:val="43397840"/>
    <w:rsid w:val="43402A33"/>
    <w:rsid w:val="43424037"/>
    <w:rsid w:val="434804F8"/>
    <w:rsid w:val="43480BFD"/>
    <w:rsid w:val="4348899D"/>
    <w:rsid w:val="434A4020"/>
    <w:rsid w:val="43553710"/>
    <w:rsid w:val="4358D6A6"/>
    <w:rsid w:val="4360BF6F"/>
    <w:rsid w:val="4366DF2D"/>
    <w:rsid w:val="4366EF55"/>
    <w:rsid w:val="4369C168"/>
    <w:rsid w:val="4377F235"/>
    <w:rsid w:val="438043B1"/>
    <w:rsid w:val="4385E46E"/>
    <w:rsid w:val="43866165"/>
    <w:rsid w:val="4386A047"/>
    <w:rsid w:val="43870CAF"/>
    <w:rsid w:val="43891178"/>
    <w:rsid w:val="438CDF48"/>
    <w:rsid w:val="438FFBCD"/>
    <w:rsid w:val="4394EF7C"/>
    <w:rsid w:val="43968E48"/>
    <w:rsid w:val="4396912F"/>
    <w:rsid w:val="4398541C"/>
    <w:rsid w:val="43A24FE5"/>
    <w:rsid w:val="43A8F80F"/>
    <w:rsid w:val="43A90466"/>
    <w:rsid w:val="43AA43CD"/>
    <w:rsid w:val="43ADEF58"/>
    <w:rsid w:val="43B253DA"/>
    <w:rsid w:val="43BBD50C"/>
    <w:rsid w:val="43BECE3A"/>
    <w:rsid w:val="43C01175"/>
    <w:rsid w:val="43C023D4"/>
    <w:rsid w:val="43C29304"/>
    <w:rsid w:val="43C54605"/>
    <w:rsid w:val="43C65A84"/>
    <w:rsid w:val="43CA8DD7"/>
    <w:rsid w:val="43CFF933"/>
    <w:rsid w:val="43D72563"/>
    <w:rsid w:val="43D74746"/>
    <w:rsid w:val="43DB97C5"/>
    <w:rsid w:val="43DCD542"/>
    <w:rsid w:val="43E1C460"/>
    <w:rsid w:val="43E383C5"/>
    <w:rsid w:val="43E67DE8"/>
    <w:rsid w:val="43ED149B"/>
    <w:rsid w:val="43F5BB51"/>
    <w:rsid w:val="43FC7020"/>
    <w:rsid w:val="43FF644F"/>
    <w:rsid w:val="440BB6FC"/>
    <w:rsid w:val="440EA741"/>
    <w:rsid w:val="440EBD4C"/>
    <w:rsid w:val="440F9F7B"/>
    <w:rsid w:val="4413A30E"/>
    <w:rsid w:val="4418BB53"/>
    <w:rsid w:val="44196038"/>
    <w:rsid w:val="441AFC56"/>
    <w:rsid w:val="441FCA4E"/>
    <w:rsid w:val="442552E0"/>
    <w:rsid w:val="44278994"/>
    <w:rsid w:val="442E2E11"/>
    <w:rsid w:val="442E57DA"/>
    <w:rsid w:val="44335ADD"/>
    <w:rsid w:val="4433AF1D"/>
    <w:rsid w:val="4433B966"/>
    <w:rsid w:val="4438B3FD"/>
    <w:rsid w:val="4439F8F6"/>
    <w:rsid w:val="443CF13F"/>
    <w:rsid w:val="44413360"/>
    <w:rsid w:val="4445680B"/>
    <w:rsid w:val="4446C893"/>
    <w:rsid w:val="444D565D"/>
    <w:rsid w:val="444D90F7"/>
    <w:rsid w:val="4456549B"/>
    <w:rsid w:val="44565559"/>
    <w:rsid w:val="445781D1"/>
    <w:rsid w:val="4458C402"/>
    <w:rsid w:val="445AAE1D"/>
    <w:rsid w:val="44610F1A"/>
    <w:rsid w:val="44626025"/>
    <w:rsid w:val="44633C8E"/>
    <w:rsid w:val="4465F593"/>
    <w:rsid w:val="446B23DA"/>
    <w:rsid w:val="446B2B21"/>
    <w:rsid w:val="446B7EC6"/>
    <w:rsid w:val="446CF89D"/>
    <w:rsid w:val="446D0312"/>
    <w:rsid w:val="44738B6B"/>
    <w:rsid w:val="447AF972"/>
    <w:rsid w:val="447E88DC"/>
    <w:rsid w:val="4480CB71"/>
    <w:rsid w:val="44840BE0"/>
    <w:rsid w:val="4488B766"/>
    <w:rsid w:val="4489CA81"/>
    <w:rsid w:val="448D5E5B"/>
    <w:rsid w:val="448EFAB2"/>
    <w:rsid w:val="449D7FB9"/>
    <w:rsid w:val="44A045C7"/>
    <w:rsid w:val="44A81622"/>
    <w:rsid w:val="44B6C8F7"/>
    <w:rsid w:val="44B71ED1"/>
    <w:rsid w:val="44B9D273"/>
    <w:rsid w:val="44BC1F81"/>
    <w:rsid w:val="44C2BA90"/>
    <w:rsid w:val="44C3140C"/>
    <w:rsid w:val="44CAE60C"/>
    <w:rsid w:val="44D0C1ED"/>
    <w:rsid w:val="44D20B82"/>
    <w:rsid w:val="44D2EE1D"/>
    <w:rsid w:val="44D3EC57"/>
    <w:rsid w:val="44D5DBBC"/>
    <w:rsid w:val="44DCE101"/>
    <w:rsid w:val="44E43062"/>
    <w:rsid w:val="44E738FC"/>
    <w:rsid w:val="44EB6A2A"/>
    <w:rsid w:val="44F2FE31"/>
    <w:rsid w:val="44F575D4"/>
    <w:rsid w:val="44FA2C81"/>
    <w:rsid w:val="44FA8AC6"/>
    <w:rsid w:val="4507FE5C"/>
    <w:rsid w:val="450D2581"/>
    <w:rsid w:val="450E0163"/>
    <w:rsid w:val="450E2066"/>
    <w:rsid w:val="45138C34"/>
    <w:rsid w:val="451876FC"/>
    <w:rsid w:val="451B3474"/>
    <w:rsid w:val="451EC3E1"/>
    <w:rsid w:val="45216B88"/>
    <w:rsid w:val="4522984C"/>
    <w:rsid w:val="4522F698"/>
    <w:rsid w:val="4523FE1F"/>
    <w:rsid w:val="45254A47"/>
    <w:rsid w:val="4527464D"/>
    <w:rsid w:val="4529F367"/>
    <w:rsid w:val="452E3327"/>
    <w:rsid w:val="452E6031"/>
    <w:rsid w:val="453482C0"/>
    <w:rsid w:val="4537B7EC"/>
    <w:rsid w:val="453873AF"/>
    <w:rsid w:val="453BC508"/>
    <w:rsid w:val="453CDD4C"/>
    <w:rsid w:val="453E4D02"/>
    <w:rsid w:val="454010D6"/>
    <w:rsid w:val="4541C3D0"/>
    <w:rsid w:val="4544CE91"/>
    <w:rsid w:val="4545D065"/>
    <w:rsid w:val="454C2C6F"/>
    <w:rsid w:val="4569DEAF"/>
    <w:rsid w:val="456DA3F4"/>
    <w:rsid w:val="456FD915"/>
    <w:rsid w:val="4570037D"/>
    <w:rsid w:val="45721A9B"/>
    <w:rsid w:val="4574A93C"/>
    <w:rsid w:val="4579A3C7"/>
    <w:rsid w:val="457A6527"/>
    <w:rsid w:val="4580EA83"/>
    <w:rsid w:val="458B643C"/>
    <w:rsid w:val="458FE5DE"/>
    <w:rsid w:val="45907A9D"/>
    <w:rsid w:val="4596FACC"/>
    <w:rsid w:val="459AE9EC"/>
    <w:rsid w:val="459D2FD1"/>
    <w:rsid w:val="45AD2D46"/>
    <w:rsid w:val="45B5CE81"/>
    <w:rsid w:val="45B60720"/>
    <w:rsid w:val="45BEC38A"/>
    <w:rsid w:val="45C0F249"/>
    <w:rsid w:val="45CCC3C9"/>
    <w:rsid w:val="45D066D7"/>
    <w:rsid w:val="45D0A7ED"/>
    <w:rsid w:val="45D140FC"/>
    <w:rsid w:val="45D9FD84"/>
    <w:rsid w:val="45E7C070"/>
    <w:rsid w:val="45F0DA8B"/>
    <w:rsid w:val="45F2070E"/>
    <w:rsid w:val="45F45B93"/>
    <w:rsid w:val="45F5440A"/>
    <w:rsid w:val="45F72E40"/>
    <w:rsid w:val="45F97229"/>
    <w:rsid w:val="45FD9173"/>
    <w:rsid w:val="45FF1456"/>
    <w:rsid w:val="4605A596"/>
    <w:rsid w:val="460ACAF9"/>
    <w:rsid w:val="460DFBB6"/>
    <w:rsid w:val="460EB3A7"/>
    <w:rsid w:val="4611C97C"/>
    <w:rsid w:val="46166E5C"/>
    <w:rsid w:val="46207784"/>
    <w:rsid w:val="4621A4B6"/>
    <w:rsid w:val="4626C705"/>
    <w:rsid w:val="462A3511"/>
    <w:rsid w:val="46333CD6"/>
    <w:rsid w:val="4633C256"/>
    <w:rsid w:val="463D12C6"/>
    <w:rsid w:val="464DA581"/>
    <w:rsid w:val="464EA572"/>
    <w:rsid w:val="46661430"/>
    <w:rsid w:val="466888F2"/>
    <w:rsid w:val="4671681E"/>
    <w:rsid w:val="468048F6"/>
    <w:rsid w:val="46824E8B"/>
    <w:rsid w:val="468343CE"/>
    <w:rsid w:val="46841B67"/>
    <w:rsid w:val="468D3E0F"/>
    <w:rsid w:val="468FC560"/>
    <w:rsid w:val="4690D9C9"/>
    <w:rsid w:val="46971455"/>
    <w:rsid w:val="46994883"/>
    <w:rsid w:val="4699DA3B"/>
    <w:rsid w:val="469B9A85"/>
    <w:rsid w:val="46A1C19C"/>
    <w:rsid w:val="46A4937F"/>
    <w:rsid w:val="46B183A4"/>
    <w:rsid w:val="46BA5FF0"/>
    <w:rsid w:val="46C0FC2E"/>
    <w:rsid w:val="46CA6FD8"/>
    <w:rsid w:val="46CA8893"/>
    <w:rsid w:val="46CB18C0"/>
    <w:rsid w:val="46CF0BD7"/>
    <w:rsid w:val="46D50D2F"/>
    <w:rsid w:val="46DD9B08"/>
    <w:rsid w:val="46DFDAE4"/>
    <w:rsid w:val="46E073BD"/>
    <w:rsid w:val="46E0EA4D"/>
    <w:rsid w:val="46E284EA"/>
    <w:rsid w:val="46E29253"/>
    <w:rsid w:val="46E4B06C"/>
    <w:rsid w:val="46E4C99D"/>
    <w:rsid w:val="46E8F411"/>
    <w:rsid w:val="46E99414"/>
    <w:rsid w:val="46F3EFA6"/>
    <w:rsid w:val="46F66EFC"/>
    <w:rsid w:val="46FF136B"/>
    <w:rsid w:val="46FF8280"/>
    <w:rsid w:val="47011E55"/>
    <w:rsid w:val="47053867"/>
    <w:rsid w:val="4708DDAB"/>
    <w:rsid w:val="47091CA7"/>
    <w:rsid w:val="470A934A"/>
    <w:rsid w:val="47108C23"/>
    <w:rsid w:val="47119655"/>
    <w:rsid w:val="4711DF58"/>
    <w:rsid w:val="47132793"/>
    <w:rsid w:val="47160BE1"/>
    <w:rsid w:val="471DC79D"/>
    <w:rsid w:val="4723D891"/>
    <w:rsid w:val="472A31CD"/>
    <w:rsid w:val="472BF35A"/>
    <w:rsid w:val="472F993F"/>
    <w:rsid w:val="473030B7"/>
    <w:rsid w:val="4733B629"/>
    <w:rsid w:val="47381523"/>
    <w:rsid w:val="473C744D"/>
    <w:rsid w:val="473D1AB4"/>
    <w:rsid w:val="4742B996"/>
    <w:rsid w:val="47477F2A"/>
    <w:rsid w:val="47481F98"/>
    <w:rsid w:val="474A949D"/>
    <w:rsid w:val="474F1657"/>
    <w:rsid w:val="474F943B"/>
    <w:rsid w:val="4750FAB2"/>
    <w:rsid w:val="475463A7"/>
    <w:rsid w:val="475520A8"/>
    <w:rsid w:val="475D328C"/>
    <w:rsid w:val="4766C476"/>
    <w:rsid w:val="4767E52F"/>
    <w:rsid w:val="476B50D1"/>
    <w:rsid w:val="476F2E16"/>
    <w:rsid w:val="476F47E3"/>
    <w:rsid w:val="47716C47"/>
    <w:rsid w:val="47732E3A"/>
    <w:rsid w:val="47747ECC"/>
    <w:rsid w:val="47767694"/>
    <w:rsid w:val="47845308"/>
    <w:rsid w:val="478F1A76"/>
    <w:rsid w:val="47962493"/>
    <w:rsid w:val="47973D58"/>
    <w:rsid w:val="47A0A37F"/>
    <w:rsid w:val="47A222F9"/>
    <w:rsid w:val="47A43F24"/>
    <w:rsid w:val="47A5040C"/>
    <w:rsid w:val="47A6B021"/>
    <w:rsid w:val="47AD201A"/>
    <w:rsid w:val="47B2375C"/>
    <w:rsid w:val="47B52DAA"/>
    <w:rsid w:val="47B6D6CE"/>
    <w:rsid w:val="47BA0286"/>
    <w:rsid w:val="47BC4124"/>
    <w:rsid w:val="47BDC0C6"/>
    <w:rsid w:val="47C82442"/>
    <w:rsid w:val="47C84BF1"/>
    <w:rsid w:val="47CA0850"/>
    <w:rsid w:val="47D3D380"/>
    <w:rsid w:val="47D760C7"/>
    <w:rsid w:val="47DC965E"/>
    <w:rsid w:val="47DD40DE"/>
    <w:rsid w:val="47DFB6E4"/>
    <w:rsid w:val="47FD5306"/>
    <w:rsid w:val="4800CBF9"/>
    <w:rsid w:val="4803E607"/>
    <w:rsid w:val="48079FE9"/>
    <w:rsid w:val="480A27A1"/>
    <w:rsid w:val="4814380C"/>
    <w:rsid w:val="481BE101"/>
    <w:rsid w:val="481D43FE"/>
    <w:rsid w:val="481FD03B"/>
    <w:rsid w:val="481FEF06"/>
    <w:rsid w:val="48205C06"/>
    <w:rsid w:val="4821302D"/>
    <w:rsid w:val="482AA1EB"/>
    <w:rsid w:val="482FCDB9"/>
    <w:rsid w:val="4835E97B"/>
    <w:rsid w:val="48375452"/>
    <w:rsid w:val="4837B039"/>
    <w:rsid w:val="48392213"/>
    <w:rsid w:val="483C9142"/>
    <w:rsid w:val="483D0245"/>
    <w:rsid w:val="483DBF22"/>
    <w:rsid w:val="4846A25D"/>
    <w:rsid w:val="4854FE3D"/>
    <w:rsid w:val="4855AE0C"/>
    <w:rsid w:val="4859E7AC"/>
    <w:rsid w:val="485AA7A2"/>
    <w:rsid w:val="485D8764"/>
    <w:rsid w:val="4860A7FB"/>
    <w:rsid w:val="4861772E"/>
    <w:rsid w:val="4861D930"/>
    <w:rsid w:val="486AE44B"/>
    <w:rsid w:val="486BF2C1"/>
    <w:rsid w:val="486D5893"/>
    <w:rsid w:val="486E5FB4"/>
    <w:rsid w:val="487B9C20"/>
    <w:rsid w:val="487CE606"/>
    <w:rsid w:val="487D6756"/>
    <w:rsid w:val="487F93E6"/>
    <w:rsid w:val="48819392"/>
    <w:rsid w:val="488A9A0C"/>
    <w:rsid w:val="488D71D2"/>
    <w:rsid w:val="488D90B7"/>
    <w:rsid w:val="4893FC83"/>
    <w:rsid w:val="4895E155"/>
    <w:rsid w:val="489AB171"/>
    <w:rsid w:val="489ACB62"/>
    <w:rsid w:val="489AE3CC"/>
    <w:rsid w:val="48A3F8C9"/>
    <w:rsid w:val="48A4D024"/>
    <w:rsid w:val="48A71A75"/>
    <w:rsid w:val="48A76A73"/>
    <w:rsid w:val="48ADBD0F"/>
    <w:rsid w:val="48B3FD13"/>
    <w:rsid w:val="48B49E9D"/>
    <w:rsid w:val="48BAD1D4"/>
    <w:rsid w:val="48BFA2CF"/>
    <w:rsid w:val="48C4C419"/>
    <w:rsid w:val="48CA03E2"/>
    <w:rsid w:val="48CAF1B5"/>
    <w:rsid w:val="48CD7027"/>
    <w:rsid w:val="48CD9BA0"/>
    <w:rsid w:val="48D631C1"/>
    <w:rsid w:val="48D667BC"/>
    <w:rsid w:val="48E29F2E"/>
    <w:rsid w:val="48EBF801"/>
    <w:rsid w:val="48F62B00"/>
    <w:rsid w:val="48FA5192"/>
    <w:rsid w:val="4900C602"/>
    <w:rsid w:val="4916D454"/>
    <w:rsid w:val="49176C95"/>
    <w:rsid w:val="49180EBB"/>
    <w:rsid w:val="49187EA7"/>
    <w:rsid w:val="491DD9DF"/>
    <w:rsid w:val="49238783"/>
    <w:rsid w:val="49249783"/>
    <w:rsid w:val="492F6562"/>
    <w:rsid w:val="493AAD98"/>
    <w:rsid w:val="49423C18"/>
    <w:rsid w:val="49482BFE"/>
    <w:rsid w:val="4948713D"/>
    <w:rsid w:val="494BF656"/>
    <w:rsid w:val="494D52C1"/>
    <w:rsid w:val="49537178"/>
    <w:rsid w:val="4954514C"/>
    <w:rsid w:val="49546187"/>
    <w:rsid w:val="4954DCBF"/>
    <w:rsid w:val="495667BD"/>
    <w:rsid w:val="49579DC1"/>
    <w:rsid w:val="4957B69E"/>
    <w:rsid w:val="4957CE11"/>
    <w:rsid w:val="495A2961"/>
    <w:rsid w:val="495B4EDE"/>
    <w:rsid w:val="495C9DD3"/>
    <w:rsid w:val="495CF247"/>
    <w:rsid w:val="495DC102"/>
    <w:rsid w:val="49605353"/>
    <w:rsid w:val="4963BA0F"/>
    <w:rsid w:val="49669018"/>
    <w:rsid w:val="4968848D"/>
    <w:rsid w:val="496B9831"/>
    <w:rsid w:val="496BBF59"/>
    <w:rsid w:val="497015FA"/>
    <w:rsid w:val="4972196D"/>
    <w:rsid w:val="49817583"/>
    <w:rsid w:val="49868277"/>
    <w:rsid w:val="498E5F08"/>
    <w:rsid w:val="4992FFEF"/>
    <w:rsid w:val="4995CA7B"/>
    <w:rsid w:val="49A28963"/>
    <w:rsid w:val="49AFC332"/>
    <w:rsid w:val="49B02F03"/>
    <w:rsid w:val="49B1648C"/>
    <w:rsid w:val="49B39F30"/>
    <w:rsid w:val="49B7BE97"/>
    <w:rsid w:val="49BA6951"/>
    <w:rsid w:val="49BDE16D"/>
    <w:rsid w:val="49BFB904"/>
    <w:rsid w:val="49C2D216"/>
    <w:rsid w:val="49C33014"/>
    <w:rsid w:val="49C78A1B"/>
    <w:rsid w:val="49CB9E1A"/>
    <w:rsid w:val="49DAC69E"/>
    <w:rsid w:val="49E1E28E"/>
    <w:rsid w:val="49EBA732"/>
    <w:rsid w:val="49ECE5AE"/>
    <w:rsid w:val="49ED4B2B"/>
    <w:rsid w:val="49F059FA"/>
    <w:rsid w:val="49F44336"/>
    <w:rsid w:val="49FA6F29"/>
    <w:rsid w:val="49FB0AEB"/>
    <w:rsid w:val="4A0030FF"/>
    <w:rsid w:val="4A107A4C"/>
    <w:rsid w:val="4A1911CD"/>
    <w:rsid w:val="4A1A638B"/>
    <w:rsid w:val="4A1B5F2C"/>
    <w:rsid w:val="4A2134D6"/>
    <w:rsid w:val="4A21C8E5"/>
    <w:rsid w:val="4A2342E9"/>
    <w:rsid w:val="4A24C4A5"/>
    <w:rsid w:val="4A25E09A"/>
    <w:rsid w:val="4A29A46F"/>
    <w:rsid w:val="4A320926"/>
    <w:rsid w:val="4A44C467"/>
    <w:rsid w:val="4A50BA15"/>
    <w:rsid w:val="4A577323"/>
    <w:rsid w:val="4A688288"/>
    <w:rsid w:val="4A70A093"/>
    <w:rsid w:val="4A7693BB"/>
    <w:rsid w:val="4A79C73E"/>
    <w:rsid w:val="4A7CA2C8"/>
    <w:rsid w:val="4A83CD2D"/>
    <w:rsid w:val="4A8602ED"/>
    <w:rsid w:val="4A8DE836"/>
    <w:rsid w:val="4A8E8B27"/>
    <w:rsid w:val="4A8E948D"/>
    <w:rsid w:val="4A9A4B92"/>
    <w:rsid w:val="4A9BDBFC"/>
    <w:rsid w:val="4AAD433A"/>
    <w:rsid w:val="4AAF2F72"/>
    <w:rsid w:val="4AB07466"/>
    <w:rsid w:val="4AB0C381"/>
    <w:rsid w:val="4AB0EE48"/>
    <w:rsid w:val="4AB186B0"/>
    <w:rsid w:val="4AB3098F"/>
    <w:rsid w:val="4AB36D1B"/>
    <w:rsid w:val="4AB7ECF9"/>
    <w:rsid w:val="4AB83C3B"/>
    <w:rsid w:val="4AC1764D"/>
    <w:rsid w:val="4AC59DF4"/>
    <w:rsid w:val="4AD2A903"/>
    <w:rsid w:val="4AD56193"/>
    <w:rsid w:val="4AD7D31B"/>
    <w:rsid w:val="4AD958F4"/>
    <w:rsid w:val="4AE06385"/>
    <w:rsid w:val="4AE461E7"/>
    <w:rsid w:val="4AE761D5"/>
    <w:rsid w:val="4AEAB8C0"/>
    <w:rsid w:val="4AEFA5D5"/>
    <w:rsid w:val="4AF1F14B"/>
    <w:rsid w:val="4AF4DAC6"/>
    <w:rsid w:val="4AF5F9C2"/>
    <w:rsid w:val="4B022C81"/>
    <w:rsid w:val="4B027064"/>
    <w:rsid w:val="4B0A0CF2"/>
    <w:rsid w:val="4B0B3C3B"/>
    <w:rsid w:val="4B0DD72B"/>
    <w:rsid w:val="4B15550D"/>
    <w:rsid w:val="4B185748"/>
    <w:rsid w:val="4B19C9C6"/>
    <w:rsid w:val="4B1AD19D"/>
    <w:rsid w:val="4B1FACCB"/>
    <w:rsid w:val="4B23558D"/>
    <w:rsid w:val="4B2C1132"/>
    <w:rsid w:val="4B2E94C3"/>
    <w:rsid w:val="4B3DA7A5"/>
    <w:rsid w:val="4B419B14"/>
    <w:rsid w:val="4B449F87"/>
    <w:rsid w:val="4B49F7B0"/>
    <w:rsid w:val="4B50D6E2"/>
    <w:rsid w:val="4B63E9B5"/>
    <w:rsid w:val="4B66201B"/>
    <w:rsid w:val="4B6BA6EE"/>
    <w:rsid w:val="4B6C7818"/>
    <w:rsid w:val="4B72D3BD"/>
    <w:rsid w:val="4B74BD8B"/>
    <w:rsid w:val="4B75AEB7"/>
    <w:rsid w:val="4B76FE15"/>
    <w:rsid w:val="4B79714D"/>
    <w:rsid w:val="4B7B9308"/>
    <w:rsid w:val="4B830DFA"/>
    <w:rsid w:val="4B8460FC"/>
    <w:rsid w:val="4B88D172"/>
    <w:rsid w:val="4B8C1FDE"/>
    <w:rsid w:val="4B902CEE"/>
    <w:rsid w:val="4B9BFE0C"/>
    <w:rsid w:val="4BA25B6C"/>
    <w:rsid w:val="4BA9B842"/>
    <w:rsid w:val="4BAC1E02"/>
    <w:rsid w:val="4BAE5678"/>
    <w:rsid w:val="4BB2B8CF"/>
    <w:rsid w:val="4BB3FD37"/>
    <w:rsid w:val="4BB859CE"/>
    <w:rsid w:val="4BC323E7"/>
    <w:rsid w:val="4BC52074"/>
    <w:rsid w:val="4BC59928"/>
    <w:rsid w:val="4BC727E4"/>
    <w:rsid w:val="4BD362BE"/>
    <w:rsid w:val="4BDBA62E"/>
    <w:rsid w:val="4BDDD358"/>
    <w:rsid w:val="4BEE8A05"/>
    <w:rsid w:val="4BEEB77E"/>
    <w:rsid w:val="4BF12DA7"/>
    <w:rsid w:val="4BF39813"/>
    <w:rsid w:val="4BFBB928"/>
    <w:rsid w:val="4C0419B4"/>
    <w:rsid w:val="4C057FA6"/>
    <w:rsid w:val="4C115025"/>
    <w:rsid w:val="4C14959A"/>
    <w:rsid w:val="4C19C654"/>
    <w:rsid w:val="4C19F966"/>
    <w:rsid w:val="4C1A2829"/>
    <w:rsid w:val="4C1F3A26"/>
    <w:rsid w:val="4C228984"/>
    <w:rsid w:val="4C22BD7A"/>
    <w:rsid w:val="4C239715"/>
    <w:rsid w:val="4C336B85"/>
    <w:rsid w:val="4C351338"/>
    <w:rsid w:val="4C36402D"/>
    <w:rsid w:val="4C36DB1D"/>
    <w:rsid w:val="4C3E7E64"/>
    <w:rsid w:val="4C3FA1C6"/>
    <w:rsid w:val="4C419802"/>
    <w:rsid w:val="4C44BF12"/>
    <w:rsid w:val="4C482FD5"/>
    <w:rsid w:val="4C483647"/>
    <w:rsid w:val="4C488851"/>
    <w:rsid w:val="4C506E4E"/>
    <w:rsid w:val="4C52B274"/>
    <w:rsid w:val="4C56CD7A"/>
    <w:rsid w:val="4C59E6A1"/>
    <w:rsid w:val="4C6520CB"/>
    <w:rsid w:val="4C6A6E82"/>
    <w:rsid w:val="4C6C4F71"/>
    <w:rsid w:val="4C6DADB2"/>
    <w:rsid w:val="4C74E1E1"/>
    <w:rsid w:val="4C7635BF"/>
    <w:rsid w:val="4C77DF7C"/>
    <w:rsid w:val="4C787320"/>
    <w:rsid w:val="4C78EB64"/>
    <w:rsid w:val="4C7BDF39"/>
    <w:rsid w:val="4C7E5D57"/>
    <w:rsid w:val="4C83E543"/>
    <w:rsid w:val="4C8D62F0"/>
    <w:rsid w:val="4C8FB247"/>
    <w:rsid w:val="4C921E5D"/>
    <w:rsid w:val="4C9E1961"/>
    <w:rsid w:val="4CA00BB7"/>
    <w:rsid w:val="4CA162B4"/>
    <w:rsid w:val="4CA7BDEE"/>
    <w:rsid w:val="4CA9950E"/>
    <w:rsid w:val="4CB0E37B"/>
    <w:rsid w:val="4CB1E39A"/>
    <w:rsid w:val="4CB68B46"/>
    <w:rsid w:val="4CB948C0"/>
    <w:rsid w:val="4CBAEF99"/>
    <w:rsid w:val="4CC2883C"/>
    <w:rsid w:val="4CC4E94C"/>
    <w:rsid w:val="4CCFD942"/>
    <w:rsid w:val="4CD147C4"/>
    <w:rsid w:val="4CD24467"/>
    <w:rsid w:val="4CD4AD88"/>
    <w:rsid w:val="4CD760BA"/>
    <w:rsid w:val="4CD8A80C"/>
    <w:rsid w:val="4CDCE98C"/>
    <w:rsid w:val="4CDD6616"/>
    <w:rsid w:val="4CE0AEE6"/>
    <w:rsid w:val="4CE7A9ED"/>
    <w:rsid w:val="4CE835C3"/>
    <w:rsid w:val="4CE9F8DF"/>
    <w:rsid w:val="4CEFA736"/>
    <w:rsid w:val="4CF25E9F"/>
    <w:rsid w:val="4CF44877"/>
    <w:rsid w:val="4CFF727B"/>
    <w:rsid w:val="4D014E10"/>
    <w:rsid w:val="4D06AD6D"/>
    <w:rsid w:val="4D090880"/>
    <w:rsid w:val="4D0A2748"/>
    <w:rsid w:val="4D0EA34F"/>
    <w:rsid w:val="4D1112C6"/>
    <w:rsid w:val="4D12DE56"/>
    <w:rsid w:val="4D18E8FC"/>
    <w:rsid w:val="4D1D7826"/>
    <w:rsid w:val="4D24F3A1"/>
    <w:rsid w:val="4D2630B3"/>
    <w:rsid w:val="4D27FEF7"/>
    <w:rsid w:val="4D305587"/>
    <w:rsid w:val="4D3069DE"/>
    <w:rsid w:val="4D31276A"/>
    <w:rsid w:val="4D33F0E9"/>
    <w:rsid w:val="4D397E24"/>
    <w:rsid w:val="4D4094D2"/>
    <w:rsid w:val="4D449A75"/>
    <w:rsid w:val="4D451F31"/>
    <w:rsid w:val="4D45D7C1"/>
    <w:rsid w:val="4D4C45EF"/>
    <w:rsid w:val="4D527086"/>
    <w:rsid w:val="4D5E7345"/>
    <w:rsid w:val="4D5EA702"/>
    <w:rsid w:val="4D607123"/>
    <w:rsid w:val="4D695E35"/>
    <w:rsid w:val="4D6CD069"/>
    <w:rsid w:val="4D6D9E93"/>
    <w:rsid w:val="4D6E133D"/>
    <w:rsid w:val="4D6EFE36"/>
    <w:rsid w:val="4D70D1D4"/>
    <w:rsid w:val="4D729165"/>
    <w:rsid w:val="4D759E02"/>
    <w:rsid w:val="4D7832A8"/>
    <w:rsid w:val="4D84A0D9"/>
    <w:rsid w:val="4D966F06"/>
    <w:rsid w:val="4D99864A"/>
    <w:rsid w:val="4D9D4835"/>
    <w:rsid w:val="4D9EF3C9"/>
    <w:rsid w:val="4DA09AB1"/>
    <w:rsid w:val="4DA18427"/>
    <w:rsid w:val="4DAB8F4A"/>
    <w:rsid w:val="4DAD43EE"/>
    <w:rsid w:val="4DB118B5"/>
    <w:rsid w:val="4DB30AD1"/>
    <w:rsid w:val="4DB339D0"/>
    <w:rsid w:val="4DB6E8CE"/>
    <w:rsid w:val="4DBBF302"/>
    <w:rsid w:val="4DBC3374"/>
    <w:rsid w:val="4DC0E066"/>
    <w:rsid w:val="4DC4D050"/>
    <w:rsid w:val="4DC7E560"/>
    <w:rsid w:val="4DC875C9"/>
    <w:rsid w:val="4DCE1100"/>
    <w:rsid w:val="4DD3B899"/>
    <w:rsid w:val="4DD3F073"/>
    <w:rsid w:val="4DD5A37E"/>
    <w:rsid w:val="4DD99E76"/>
    <w:rsid w:val="4DDD10B9"/>
    <w:rsid w:val="4DDDE79A"/>
    <w:rsid w:val="4DEDF4D0"/>
    <w:rsid w:val="4DEEA375"/>
    <w:rsid w:val="4DF3C5BD"/>
    <w:rsid w:val="4DFE2702"/>
    <w:rsid w:val="4DFEBAEF"/>
    <w:rsid w:val="4E02A857"/>
    <w:rsid w:val="4E039FB9"/>
    <w:rsid w:val="4E03E5FA"/>
    <w:rsid w:val="4E04D2D3"/>
    <w:rsid w:val="4E0DBD1B"/>
    <w:rsid w:val="4E12A303"/>
    <w:rsid w:val="4E186AC4"/>
    <w:rsid w:val="4E187358"/>
    <w:rsid w:val="4E1C7DE2"/>
    <w:rsid w:val="4E225982"/>
    <w:rsid w:val="4E23B6B1"/>
    <w:rsid w:val="4E2755CE"/>
    <w:rsid w:val="4E2BE4D4"/>
    <w:rsid w:val="4E2C3D12"/>
    <w:rsid w:val="4E2CEF64"/>
    <w:rsid w:val="4E2E5847"/>
    <w:rsid w:val="4E2E9B5B"/>
    <w:rsid w:val="4E32C5E7"/>
    <w:rsid w:val="4E33449C"/>
    <w:rsid w:val="4E33FE18"/>
    <w:rsid w:val="4E35EF0D"/>
    <w:rsid w:val="4E361E22"/>
    <w:rsid w:val="4E387B20"/>
    <w:rsid w:val="4E3884AA"/>
    <w:rsid w:val="4E43871D"/>
    <w:rsid w:val="4E45CB5C"/>
    <w:rsid w:val="4E493C78"/>
    <w:rsid w:val="4E4B55EE"/>
    <w:rsid w:val="4E4D647E"/>
    <w:rsid w:val="4E577C62"/>
    <w:rsid w:val="4E5A8720"/>
    <w:rsid w:val="4E5E589D"/>
    <w:rsid w:val="4E5F1365"/>
    <w:rsid w:val="4E60253D"/>
    <w:rsid w:val="4E6E856C"/>
    <w:rsid w:val="4E749A74"/>
    <w:rsid w:val="4E7887B1"/>
    <w:rsid w:val="4E7BFF22"/>
    <w:rsid w:val="4E7D8A1C"/>
    <w:rsid w:val="4E7E0638"/>
    <w:rsid w:val="4E913AEB"/>
    <w:rsid w:val="4E933CCE"/>
    <w:rsid w:val="4E97E93E"/>
    <w:rsid w:val="4E9ED7DF"/>
    <w:rsid w:val="4EA37A1E"/>
    <w:rsid w:val="4EAD6588"/>
    <w:rsid w:val="4EAE24A6"/>
    <w:rsid w:val="4EB00564"/>
    <w:rsid w:val="4EB2C659"/>
    <w:rsid w:val="4EB32C67"/>
    <w:rsid w:val="4EB374A6"/>
    <w:rsid w:val="4EB3A9A7"/>
    <w:rsid w:val="4EB6CA8D"/>
    <w:rsid w:val="4EBA3236"/>
    <w:rsid w:val="4EBBF714"/>
    <w:rsid w:val="4EBDB508"/>
    <w:rsid w:val="4EBF31EE"/>
    <w:rsid w:val="4EC32F83"/>
    <w:rsid w:val="4EC353FE"/>
    <w:rsid w:val="4EC39651"/>
    <w:rsid w:val="4EC8E605"/>
    <w:rsid w:val="4ECAB340"/>
    <w:rsid w:val="4ECFE79E"/>
    <w:rsid w:val="4ED1D6AC"/>
    <w:rsid w:val="4ED3285B"/>
    <w:rsid w:val="4EDD65C5"/>
    <w:rsid w:val="4EE39B19"/>
    <w:rsid w:val="4EE684D6"/>
    <w:rsid w:val="4EEA287B"/>
    <w:rsid w:val="4EEA7FAB"/>
    <w:rsid w:val="4EEB5B4B"/>
    <w:rsid w:val="4EEF38D3"/>
    <w:rsid w:val="4EF73FC4"/>
    <w:rsid w:val="4EFEAF86"/>
    <w:rsid w:val="4EFFFC27"/>
    <w:rsid w:val="4F037020"/>
    <w:rsid w:val="4F06A3EB"/>
    <w:rsid w:val="4F0A4C8E"/>
    <w:rsid w:val="4F0CC859"/>
    <w:rsid w:val="4F111543"/>
    <w:rsid w:val="4F14DD05"/>
    <w:rsid w:val="4F1B5D1A"/>
    <w:rsid w:val="4F1B762B"/>
    <w:rsid w:val="4F1FD385"/>
    <w:rsid w:val="4F233E35"/>
    <w:rsid w:val="4F27351E"/>
    <w:rsid w:val="4F27E2F5"/>
    <w:rsid w:val="4F339206"/>
    <w:rsid w:val="4F369FF0"/>
    <w:rsid w:val="4F3A85D4"/>
    <w:rsid w:val="4F3EE81F"/>
    <w:rsid w:val="4F40A2BD"/>
    <w:rsid w:val="4F416613"/>
    <w:rsid w:val="4F4F1088"/>
    <w:rsid w:val="4F54B5DE"/>
    <w:rsid w:val="4F56B334"/>
    <w:rsid w:val="4F5D1A5B"/>
    <w:rsid w:val="4F6427B9"/>
    <w:rsid w:val="4F6920A8"/>
    <w:rsid w:val="4F6A33E4"/>
    <w:rsid w:val="4F6A7A54"/>
    <w:rsid w:val="4F72579A"/>
    <w:rsid w:val="4F76C31C"/>
    <w:rsid w:val="4F7E6287"/>
    <w:rsid w:val="4F7F583A"/>
    <w:rsid w:val="4F7F8CE3"/>
    <w:rsid w:val="4F80E2B4"/>
    <w:rsid w:val="4F85A9D7"/>
    <w:rsid w:val="4F92EFFE"/>
    <w:rsid w:val="4F991695"/>
    <w:rsid w:val="4F9C23E6"/>
    <w:rsid w:val="4F9CD2A9"/>
    <w:rsid w:val="4FA15794"/>
    <w:rsid w:val="4FA9D1B4"/>
    <w:rsid w:val="4FAAE035"/>
    <w:rsid w:val="4FAF7A62"/>
    <w:rsid w:val="4FB2C5B1"/>
    <w:rsid w:val="4FB934C8"/>
    <w:rsid w:val="4FB9418E"/>
    <w:rsid w:val="4FC6E0B7"/>
    <w:rsid w:val="4FC93784"/>
    <w:rsid w:val="4FCFFCBE"/>
    <w:rsid w:val="4FD2C46D"/>
    <w:rsid w:val="4FD8AF6F"/>
    <w:rsid w:val="4FE85313"/>
    <w:rsid w:val="4FEBC86B"/>
    <w:rsid w:val="4FF5E488"/>
    <w:rsid w:val="4FFAFDDF"/>
    <w:rsid w:val="5000BCB2"/>
    <w:rsid w:val="50015036"/>
    <w:rsid w:val="500701B1"/>
    <w:rsid w:val="5007CBEE"/>
    <w:rsid w:val="500FA37F"/>
    <w:rsid w:val="5022840A"/>
    <w:rsid w:val="5024B5CC"/>
    <w:rsid w:val="5026D55E"/>
    <w:rsid w:val="502946E4"/>
    <w:rsid w:val="502AFA05"/>
    <w:rsid w:val="502E3BB6"/>
    <w:rsid w:val="5032D1FF"/>
    <w:rsid w:val="5033BEDD"/>
    <w:rsid w:val="5034B09A"/>
    <w:rsid w:val="5034ED3F"/>
    <w:rsid w:val="503ADE09"/>
    <w:rsid w:val="503CBF29"/>
    <w:rsid w:val="503D91AE"/>
    <w:rsid w:val="503F39F7"/>
    <w:rsid w:val="504021F7"/>
    <w:rsid w:val="5043189D"/>
    <w:rsid w:val="5045ECB2"/>
    <w:rsid w:val="504DAE24"/>
    <w:rsid w:val="50505B9D"/>
    <w:rsid w:val="50512412"/>
    <w:rsid w:val="50513B49"/>
    <w:rsid w:val="505239F3"/>
    <w:rsid w:val="505912F3"/>
    <w:rsid w:val="505CBF76"/>
    <w:rsid w:val="505E4A63"/>
    <w:rsid w:val="5064BBB9"/>
    <w:rsid w:val="5066CD48"/>
    <w:rsid w:val="506A7E7C"/>
    <w:rsid w:val="506C5357"/>
    <w:rsid w:val="50716F30"/>
    <w:rsid w:val="507570D3"/>
    <w:rsid w:val="5078325F"/>
    <w:rsid w:val="507B20C1"/>
    <w:rsid w:val="507C8394"/>
    <w:rsid w:val="50804720"/>
    <w:rsid w:val="5080BC75"/>
    <w:rsid w:val="508A77CE"/>
    <w:rsid w:val="508DD92B"/>
    <w:rsid w:val="509013B0"/>
    <w:rsid w:val="50A3A9C1"/>
    <w:rsid w:val="50AE72DE"/>
    <w:rsid w:val="50AF77F0"/>
    <w:rsid w:val="50B14293"/>
    <w:rsid w:val="50B7CCC3"/>
    <w:rsid w:val="50BE119B"/>
    <w:rsid w:val="50C20C24"/>
    <w:rsid w:val="50C2376B"/>
    <w:rsid w:val="50C59958"/>
    <w:rsid w:val="50C61237"/>
    <w:rsid w:val="50CA1426"/>
    <w:rsid w:val="50CC6E82"/>
    <w:rsid w:val="50D3603E"/>
    <w:rsid w:val="50D488B6"/>
    <w:rsid w:val="50D7A45C"/>
    <w:rsid w:val="50D9DC70"/>
    <w:rsid w:val="50DA0A70"/>
    <w:rsid w:val="50E0DEA3"/>
    <w:rsid w:val="50E42A78"/>
    <w:rsid w:val="50E62D56"/>
    <w:rsid w:val="50E94524"/>
    <w:rsid w:val="50F0A2B7"/>
    <w:rsid w:val="50F61AB7"/>
    <w:rsid w:val="50F74140"/>
    <w:rsid w:val="50F96618"/>
    <w:rsid w:val="50F9FE90"/>
    <w:rsid w:val="50FE8820"/>
    <w:rsid w:val="5100E375"/>
    <w:rsid w:val="5103D818"/>
    <w:rsid w:val="510455E4"/>
    <w:rsid w:val="51078BEF"/>
    <w:rsid w:val="51079828"/>
    <w:rsid w:val="51093472"/>
    <w:rsid w:val="510AE3C8"/>
    <w:rsid w:val="510E9A7D"/>
    <w:rsid w:val="51107B06"/>
    <w:rsid w:val="5111EF87"/>
    <w:rsid w:val="5114659D"/>
    <w:rsid w:val="511EB7D8"/>
    <w:rsid w:val="512AD85E"/>
    <w:rsid w:val="512C78B5"/>
    <w:rsid w:val="512F7772"/>
    <w:rsid w:val="513244CC"/>
    <w:rsid w:val="513384B3"/>
    <w:rsid w:val="51388A97"/>
    <w:rsid w:val="51389A90"/>
    <w:rsid w:val="513F55B0"/>
    <w:rsid w:val="51402244"/>
    <w:rsid w:val="5144AC17"/>
    <w:rsid w:val="5145FD31"/>
    <w:rsid w:val="5147FBF0"/>
    <w:rsid w:val="514DD544"/>
    <w:rsid w:val="5154E0E3"/>
    <w:rsid w:val="5155620B"/>
    <w:rsid w:val="51560130"/>
    <w:rsid w:val="515654C2"/>
    <w:rsid w:val="5158FA32"/>
    <w:rsid w:val="515F3DF6"/>
    <w:rsid w:val="51612B9C"/>
    <w:rsid w:val="5167816D"/>
    <w:rsid w:val="516942E8"/>
    <w:rsid w:val="516C0ABC"/>
    <w:rsid w:val="516F34C8"/>
    <w:rsid w:val="5171BB0A"/>
    <w:rsid w:val="51734849"/>
    <w:rsid w:val="517888B8"/>
    <w:rsid w:val="517A724A"/>
    <w:rsid w:val="517F38B1"/>
    <w:rsid w:val="5187BB27"/>
    <w:rsid w:val="518A80A3"/>
    <w:rsid w:val="518C70BF"/>
    <w:rsid w:val="51900770"/>
    <w:rsid w:val="5191AAFD"/>
    <w:rsid w:val="51A7A5D3"/>
    <w:rsid w:val="51AD6E52"/>
    <w:rsid w:val="51B21FE8"/>
    <w:rsid w:val="51BB70F9"/>
    <w:rsid w:val="51BCA9F5"/>
    <w:rsid w:val="51D31B94"/>
    <w:rsid w:val="51D325E2"/>
    <w:rsid w:val="51D4A196"/>
    <w:rsid w:val="51D4A1F2"/>
    <w:rsid w:val="51D6EFB9"/>
    <w:rsid w:val="51E445C7"/>
    <w:rsid w:val="51E9E5FD"/>
    <w:rsid w:val="51EC7FEA"/>
    <w:rsid w:val="51F0121B"/>
    <w:rsid w:val="51F16292"/>
    <w:rsid w:val="51F4ED30"/>
    <w:rsid w:val="51F5F4F0"/>
    <w:rsid w:val="5204A968"/>
    <w:rsid w:val="5209776E"/>
    <w:rsid w:val="520B4B23"/>
    <w:rsid w:val="520BBF28"/>
    <w:rsid w:val="5218594B"/>
    <w:rsid w:val="52232E6E"/>
    <w:rsid w:val="5223A62D"/>
    <w:rsid w:val="5224ACDC"/>
    <w:rsid w:val="5226507B"/>
    <w:rsid w:val="5228A9AB"/>
    <w:rsid w:val="52355E8B"/>
    <w:rsid w:val="523C2AD9"/>
    <w:rsid w:val="524423E0"/>
    <w:rsid w:val="5249837C"/>
    <w:rsid w:val="524B5D1C"/>
    <w:rsid w:val="524D24B3"/>
    <w:rsid w:val="5250C9DA"/>
    <w:rsid w:val="5250CA99"/>
    <w:rsid w:val="525A22CC"/>
    <w:rsid w:val="525B3F73"/>
    <w:rsid w:val="525B5B4D"/>
    <w:rsid w:val="525CFBDD"/>
    <w:rsid w:val="525E7AA1"/>
    <w:rsid w:val="52632A9E"/>
    <w:rsid w:val="526AED60"/>
    <w:rsid w:val="5271AE81"/>
    <w:rsid w:val="527401BE"/>
    <w:rsid w:val="52748219"/>
    <w:rsid w:val="527822AD"/>
    <w:rsid w:val="527AD0E4"/>
    <w:rsid w:val="527CE9A2"/>
    <w:rsid w:val="528D7421"/>
    <w:rsid w:val="528E3687"/>
    <w:rsid w:val="528EE803"/>
    <w:rsid w:val="52909677"/>
    <w:rsid w:val="529DE025"/>
    <w:rsid w:val="52ABB2B8"/>
    <w:rsid w:val="52B33735"/>
    <w:rsid w:val="52B7490D"/>
    <w:rsid w:val="52B98030"/>
    <w:rsid w:val="52C3164A"/>
    <w:rsid w:val="52C33031"/>
    <w:rsid w:val="52C61B69"/>
    <w:rsid w:val="52C70324"/>
    <w:rsid w:val="52C85EE0"/>
    <w:rsid w:val="52CA5A1F"/>
    <w:rsid w:val="52D0DAC6"/>
    <w:rsid w:val="52D54733"/>
    <w:rsid w:val="52E83A36"/>
    <w:rsid w:val="52EA5CDD"/>
    <w:rsid w:val="52ECEC98"/>
    <w:rsid w:val="52FA7FBD"/>
    <w:rsid w:val="52FD2D13"/>
    <w:rsid w:val="5301C96A"/>
    <w:rsid w:val="53073226"/>
    <w:rsid w:val="530843B9"/>
    <w:rsid w:val="53089C50"/>
    <w:rsid w:val="530904D3"/>
    <w:rsid w:val="531D5A7B"/>
    <w:rsid w:val="531FC299"/>
    <w:rsid w:val="5321FA47"/>
    <w:rsid w:val="53223816"/>
    <w:rsid w:val="532A5EE8"/>
    <w:rsid w:val="532A6DF6"/>
    <w:rsid w:val="53310871"/>
    <w:rsid w:val="5333B5A7"/>
    <w:rsid w:val="53358905"/>
    <w:rsid w:val="5342BF16"/>
    <w:rsid w:val="534942D6"/>
    <w:rsid w:val="5349E47A"/>
    <w:rsid w:val="534AF261"/>
    <w:rsid w:val="534FE0A5"/>
    <w:rsid w:val="53578E79"/>
    <w:rsid w:val="5357A169"/>
    <w:rsid w:val="53596BF3"/>
    <w:rsid w:val="535F5729"/>
    <w:rsid w:val="536027AA"/>
    <w:rsid w:val="5366DB8C"/>
    <w:rsid w:val="53672E8F"/>
    <w:rsid w:val="5367AECC"/>
    <w:rsid w:val="5368940F"/>
    <w:rsid w:val="5372121C"/>
    <w:rsid w:val="5375719F"/>
    <w:rsid w:val="5377E595"/>
    <w:rsid w:val="537A6DE6"/>
    <w:rsid w:val="537B5FA7"/>
    <w:rsid w:val="537CF275"/>
    <w:rsid w:val="537DEE28"/>
    <w:rsid w:val="537EA54E"/>
    <w:rsid w:val="537EB5FF"/>
    <w:rsid w:val="53802DCD"/>
    <w:rsid w:val="5385C9AF"/>
    <w:rsid w:val="5386F06D"/>
    <w:rsid w:val="538B3208"/>
    <w:rsid w:val="538D96FD"/>
    <w:rsid w:val="5393754B"/>
    <w:rsid w:val="5394C24A"/>
    <w:rsid w:val="53952500"/>
    <w:rsid w:val="5397EA5A"/>
    <w:rsid w:val="539968C7"/>
    <w:rsid w:val="539AD915"/>
    <w:rsid w:val="539C2F48"/>
    <w:rsid w:val="539EB2FF"/>
    <w:rsid w:val="539F3542"/>
    <w:rsid w:val="53A0F83A"/>
    <w:rsid w:val="53A6591E"/>
    <w:rsid w:val="53AA4850"/>
    <w:rsid w:val="53AC2D8E"/>
    <w:rsid w:val="53B09277"/>
    <w:rsid w:val="53B782B0"/>
    <w:rsid w:val="53B807C0"/>
    <w:rsid w:val="53B827EA"/>
    <w:rsid w:val="53BC9784"/>
    <w:rsid w:val="53C5655A"/>
    <w:rsid w:val="53C7C3B6"/>
    <w:rsid w:val="53C80CFB"/>
    <w:rsid w:val="53CD4BBB"/>
    <w:rsid w:val="53CDBD75"/>
    <w:rsid w:val="53D3F4B8"/>
    <w:rsid w:val="53D7D39E"/>
    <w:rsid w:val="53D87250"/>
    <w:rsid w:val="53DD16C7"/>
    <w:rsid w:val="53DEBC58"/>
    <w:rsid w:val="53E41BF0"/>
    <w:rsid w:val="53E45671"/>
    <w:rsid w:val="53E54ED2"/>
    <w:rsid w:val="53E79F1E"/>
    <w:rsid w:val="53ED5320"/>
    <w:rsid w:val="53F05E9D"/>
    <w:rsid w:val="53F92632"/>
    <w:rsid w:val="53FE5DE7"/>
    <w:rsid w:val="53FEFAFF"/>
    <w:rsid w:val="540316A9"/>
    <w:rsid w:val="5403BCE9"/>
    <w:rsid w:val="54045318"/>
    <w:rsid w:val="5406C734"/>
    <w:rsid w:val="54075B43"/>
    <w:rsid w:val="54077850"/>
    <w:rsid w:val="540DA801"/>
    <w:rsid w:val="5415519E"/>
    <w:rsid w:val="5418CD74"/>
    <w:rsid w:val="541BC84E"/>
    <w:rsid w:val="541C4690"/>
    <w:rsid w:val="541FB108"/>
    <w:rsid w:val="5420D0D2"/>
    <w:rsid w:val="5420F31E"/>
    <w:rsid w:val="5427D152"/>
    <w:rsid w:val="5428DA56"/>
    <w:rsid w:val="54294482"/>
    <w:rsid w:val="542970B7"/>
    <w:rsid w:val="54365687"/>
    <w:rsid w:val="54373AE3"/>
    <w:rsid w:val="543B3950"/>
    <w:rsid w:val="543E7D6A"/>
    <w:rsid w:val="543FC338"/>
    <w:rsid w:val="54410821"/>
    <w:rsid w:val="5442820F"/>
    <w:rsid w:val="54478EE6"/>
    <w:rsid w:val="545006DD"/>
    <w:rsid w:val="545A9D35"/>
    <w:rsid w:val="545EAD57"/>
    <w:rsid w:val="5460E0F9"/>
    <w:rsid w:val="5463D33B"/>
    <w:rsid w:val="54685893"/>
    <w:rsid w:val="54733DB0"/>
    <w:rsid w:val="54733EA4"/>
    <w:rsid w:val="54751AF4"/>
    <w:rsid w:val="5476F225"/>
    <w:rsid w:val="54773B5F"/>
    <w:rsid w:val="547745FB"/>
    <w:rsid w:val="5478C921"/>
    <w:rsid w:val="54816CC3"/>
    <w:rsid w:val="54817790"/>
    <w:rsid w:val="54863A74"/>
    <w:rsid w:val="5486C6D1"/>
    <w:rsid w:val="548C13BF"/>
    <w:rsid w:val="548D6D4B"/>
    <w:rsid w:val="548FB5A3"/>
    <w:rsid w:val="549B9114"/>
    <w:rsid w:val="549E0414"/>
    <w:rsid w:val="549F26EF"/>
    <w:rsid w:val="54A116A8"/>
    <w:rsid w:val="54A11A6E"/>
    <w:rsid w:val="54A8CCDC"/>
    <w:rsid w:val="54AB45A3"/>
    <w:rsid w:val="54ABC040"/>
    <w:rsid w:val="54B547C1"/>
    <w:rsid w:val="54B5E0A8"/>
    <w:rsid w:val="54BA31A4"/>
    <w:rsid w:val="54BC48B7"/>
    <w:rsid w:val="54BE38CF"/>
    <w:rsid w:val="54D79720"/>
    <w:rsid w:val="54D7D21C"/>
    <w:rsid w:val="54D921AB"/>
    <w:rsid w:val="54DC7E4F"/>
    <w:rsid w:val="54DDC34D"/>
    <w:rsid w:val="54DF17B2"/>
    <w:rsid w:val="54E2D5C3"/>
    <w:rsid w:val="54E6CD16"/>
    <w:rsid w:val="54F1D335"/>
    <w:rsid w:val="54FF7235"/>
    <w:rsid w:val="54FFCBEB"/>
    <w:rsid w:val="55056FE1"/>
    <w:rsid w:val="55071E76"/>
    <w:rsid w:val="55085E62"/>
    <w:rsid w:val="550DAEC7"/>
    <w:rsid w:val="551041C0"/>
    <w:rsid w:val="55160577"/>
    <w:rsid w:val="55165C15"/>
    <w:rsid w:val="551690E0"/>
    <w:rsid w:val="5517CD86"/>
    <w:rsid w:val="5519A7F1"/>
    <w:rsid w:val="5519B6DD"/>
    <w:rsid w:val="551B47E4"/>
    <w:rsid w:val="551DB7A6"/>
    <w:rsid w:val="5523B730"/>
    <w:rsid w:val="5523CA55"/>
    <w:rsid w:val="5523E4DD"/>
    <w:rsid w:val="5529C5E7"/>
    <w:rsid w:val="552F8494"/>
    <w:rsid w:val="55352075"/>
    <w:rsid w:val="553B510F"/>
    <w:rsid w:val="55422737"/>
    <w:rsid w:val="55424219"/>
    <w:rsid w:val="55427F01"/>
    <w:rsid w:val="554449F6"/>
    <w:rsid w:val="55458DAF"/>
    <w:rsid w:val="5546D46A"/>
    <w:rsid w:val="5547665E"/>
    <w:rsid w:val="554914CA"/>
    <w:rsid w:val="554D155B"/>
    <w:rsid w:val="5554F685"/>
    <w:rsid w:val="55570852"/>
    <w:rsid w:val="5558C647"/>
    <w:rsid w:val="55594FF7"/>
    <w:rsid w:val="556388C6"/>
    <w:rsid w:val="5564FF07"/>
    <w:rsid w:val="5570BCE1"/>
    <w:rsid w:val="55758051"/>
    <w:rsid w:val="5576927D"/>
    <w:rsid w:val="557B0391"/>
    <w:rsid w:val="557C2C10"/>
    <w:rsid w:val="55827DD6"/>
    <w:rsid w:val="55858911"/>
    <w:rsid w:val="558B7D4D"/>
    <w:rsid w:val="558F0D55"/>
    <w:rsid w:val="55936C9D"/>
    <w:rsid w:val="559D2035"/>
    <w:rsid w:val="55A0E365"/>
    <w:rsid w:val="55A246EF"/>
    <w:rsid w:val="55A631B2"/>
    <w:rsid w:val="55A916D9"/>
    <w:rsid w:val="55AB8F24"/>
    <w:rsid w:val="55ACB8CF"/>
    <w:rsid w:val="55B3497C"/>
    <w:rsid w:val="55B3971E"/>
    <w:rsid w:val="55B450B1"/>
    <w:rsid w:val="55B56661"/>
    <w:rsid w:val="55B68227"/>
    <w:rsid w:val="55B74FF3"/>
    <w:rsid w:val="55B78902"/>
    <w:rsid w:val="55B85CB1"/>
    <w:rsid w:val="55C379EB"/>
    <w:rsid w:val="55C6777B"/>
    <w:rsid w:val="55C9B97D"/>
    <w:rsid w:val="55D181B3"/>
    <w:rsid w:val="55D3DFD1"/>
    <w:rsid w:val="55DBF653"/>
    <w:rsid w:val="55DD7618"/>
    <w:rsid w:val="55DF5682"/>
    <w:rsid w:val="55E559FD"/>
    <w:rsid w:val="55E569AD"/>
    <w:rsid w:val="55EA9498"/>
    <w:rsid w:val="55EB8EE1"/>
    <w:rsid w:val="55F3AC8D"/>
    <w:rsid w:val="55F3E2B8"/>
    <w:rsid w:val="55F62985"/>
    <w:rsid w:val="55F79EA0"/>
    <w:rsid w:val="55F7C39B"/>
    <w:rsid w:val="55FBA5BD"/>
    <w:rsid w:val="55FC0EB0"/>
    <w:rsid w:val="56039A6C"/>
    <w:rsid w:val="5604B8A3"/>
    <w:rsid w:val="5605320A"/>
    <w:rsid w:val="560A317B"/>
    <w:rsid w:val="5613961F"/>
    <w:rsid w:val="561AC465"/>
    <w:rsid w:val="561BD623"/>
    <w:rsid w:val="561BD6A1"/>
    <w:rsid w:val="561F8EBA"/>
    <w:rsid w:val="5623C272"/>
    <w:rsid w:val="562F1144"/>
    <w:rsid w:val="5633D8DC"/>
    <w:rsid w:val="563827A5"/>
    <w:rsid w:val="5640FF8C"/>
    <w:rsid w:val="5646D731"/>
    <w:rsid w:val="5653D7AB"/>
    <w:rsid w:val="5659AE79"/>
    <w:rsid w:val="565C20F1"/>
    <w:rsid w:val="56696A82"/>
    <w:rsid w:val="566A6C91"/>
    <w:rsid w:val="566FB6FC"/>
    <w:rsid w:val="5676E688"/>
    <w:rsid w:val="5677DEAF"/>
    <w:rsid w:val="56882CF1"/>
    <w:rsid w:val="568C53ED"/>
    <w:rsid w:val="568FB504"/>
    <w:rsid w:val="56903ADC"/>
    <w:rsid w:val="5691CF29"/>
    <w:rsid w:val="5695541B"/>
    <w:rsid w:val="569BC321"/>
    <w:rsid w:val="569CFE75"/>
    <w:rsid w:val="569D2106"/>
    <w:rsid w:val="56A114D7"/>
    <w:rsid w:val="56A594D5"/>
    <w:rsid w:val="56A64416"/>
    <w:rsid w:val="56A68CB7"/>
    <w:rsid w:val="56A938DC"/>
    <w:rsid w:val="56B2D671"/>
    <w:rsid w:val="56B8230F"/>
    <w:rsid w:val="56B923A9"/>
    <w:rsid w:val="56B9CBDB"/>
    <w:rsid w:val="56BA922F"/>
    <w:rsid w:val="56BC06A7"/>
    <w:rsid w:val="56BD5720"/>
    <w:rsid w:val="56BEF888"/>
    <w:rsid w:val="56C1C1FD"/>
    <w:rsid w:val="56C23823"/>
    <w:rsid w:val="56C48F62"/>
    <w:rsid w:val="56C623AE"/>
    <w:rsid w:val="56CCADC4"/>
    <w:rsid w:val="56CF3827"/>
    <w:rsid w:val="56D05F5C"/>
    <w:rsid w:val="56D18822"/>
    <w:rsid w:val="56D6D604"/>
    <w:rsid w:val="56D74CE8"/>
    <w:rsid w:val="56D85610"/>
    <w:rsid w:val="56E1BA29"/>
    <w:rsid w:val="56E7F33F"/>
    <w:rsid w:val="56EB6752"/>
    <w:rsid w:val="56F1528A"/>
    <w:rsid w:val="56F43846"/>
    <w:rsid w:val="56F7515C"/>
    <w:rsid w:val="56F91C18"/>
    <w:rsid w:val="570E1207"/>
    <w:rsid w:val="570E77E6"/>
    <w:rsid w:val="570F3550"/>
    <w:rsid w:val="5710D576"/>
    <w:rsid w:val="5710EABC"/>
    <w:rsid w:val="571605DC"/>
    <w:rsid w:val="571F7AE1"/>
    <w:rsid w:val="5722C479"/>
    <w:rsid w:val="572309D4"/>
    <w:rsid w:val="5727E282"/>
    <w:rsid w:val="57284E86"/>
    <w:rsid w:val="572F9E11"/>
    <w:rsid w:val="5734B99A"/>
    <w:rsid w:val="573ABF2A"/>
    <w:rsid w:val="573EF622"/>
    <w:rsid w:val="573F6328"/>
    <w:rsid w:val="57411187"/>
    <w:rsid w:val="574597B9"/>
    <w:rsid w:val="574665DC"/>
    <w:rsid w:val="574DF01A"/>
    <w:rsid w:val="5754F7D1"/>
    <w:rsid w:val="5755AE73"/>
    <w:rsid w:val="575AE751"/>
    <w:rsid w:val="5769F88E"/>
    <w:rsid w:val="576D6B98"/>
    <w:rsid w:val="576F8910"/>
    <w:rsid w:val="577866E5"/>
    <w:rsid w:val="577D520F"/>
    <w:rsid w:val="577E96CE"/>
    <w:rsid w:val="5782DF1A"/>
    <w:rsid w:val="5784C25B"/>
    <w:rsid w:val="5789C555"/>
    <w:rsid w:val="578E7D35"/>
    <w:rsid w:val="57929F38"/>
    <w:rsid w:val="57976734"/>
    <w:rsid w:val="57981119"/>
    <w:rsid w:val="579B2791"/>
    <w:rsid w:val="579C66A9"/>
    <w:rsid w:val="57A6474B"/>
    <w:rsid w:val="57A802DC"/>
    <w:rsid w:val="57A982F0"/>
    <w:rsid w:val="57AE71B3"/>
    <w:rsid w:val="57B3D50E"/>
    <w:rsid w:val="57B45954"/>
    <w:rsid w:val="57B9E62B"/>
    <w:rsid w:val="57BAEA86"/>
    <w:rsid w:val="57BB1319"/>
    <w:rsid w:val="57C3CFCD"/>
    <w:rsid w:val="57C6253D"/>
    <w:rsid w:val="57CA0732"/>
    <w:rsid w:val="57D37EE4"/>
    <w:rsid w:val="57D5F4B6"/>
    <w:rsid w:val="57D67BB5"/>
    <w:rsid w:val="57D680C8"/>
    <w:rsid w:val="57DD4D7F"/>
    <w:rsid w:val="57E0BB26"/>
    <w:rsid w:val="57E2B5F8"/>
    <w:rsid w:val="57F18988"/>
    <w:rsid w:val="57F87BF6"/>
    <w:rsid w:val="57FC0524"/>
    <w:rsid w:val="57FEDE3C"/>
    <w:rsid w:val="580055B9"/>
    <w:rsid w:val="5802FA48"/>
    <w:rsid w:val="58091C93"/>
    <w:rsid w:val="58095DD4"/>
    <w:rsid w:val="580BF695"/>
    <w:rsid w:val="5813109F"/>
    <w:rsid w:val="581890B1"/>
    <w:rsid w:val="58194795"/>
    <w:rsid w:val="581D862F"/>
    <w:rsid w:val="581E6DD8"/>
    <w:rsid w:val="5821B29A"/>
    <w:rsid w:val="58271828"/>
    <w:rsid w:val="5827EE99"/>
    <w:rsid w:val="58316D26"/>
    <w:rsid w:val="58320C15"/>
    <w:rsid w:val="583489E9"/>
    <w:rsid w:val="5834B6AC"/>
    <w:rsid w:val="584E4A75"/>
    <w:rsid w:val="585104D9"/>
    <w:rsid w:val="58527B91"/>
    <w:rsid w:val="58552E97"/>
    <w:rsid w:val="585577A3"/>
    <w:rsid w:val="585B422A"/>
    <w:rsid w:val="585C22CA"/>
    <w:rsid w:val="5860DE6D"/>
    <w:rsid w:val="58634FEF"/>
    <w:rsid w:val="5868DAC4"/>
    <w:rsid w:val="5869DDEE"/>
    <w:rsid w:val="586B1CF6"/>
    <w:rsid w:val="586F176F"/>
    <w:rsid w:val="586F55EF"/>
    <w:rsid w:val="5871F0CF"/>
    <w:rsid w:val="5873B713"/>
    <w:rsid w:val="587B8E5A"/>
    <w:rsid w:val="5882D923"/>
    <w:rsid w:val="5886F807"/>
    <w:rsid w:val="588AE0D2"/>
    <w:rsid w:val="588B8B9E"/>
    <w:rsid w:val="588C44AE"/>
    <w:rsid w:val="588DB03A"/>
    <w:rsid w:val="588F9B97"/>
    <w:rsid w:val="589449A0"/>
    <w:rsid w:val="58967058"/>
    <w:rsid w:val="58A55877"/>
    <w:rsid w:val="58B1FFBF"/>
    <w:rsid w:val="58B236E0"/>
    <w:rsid w:val="58B72723"/>
    <w:rsid w:val="58B856B4"/>
    <w:rsid w:val="58C38398"/>
    <w:rsid w:val="58C57800"/>
    <w:rsid w:val="58CD1EF2"/>
    <w:rsid w:val="58CE92AD"/>
    <w:rsid w:val="58D026F5"/>
    <w:rsid w:val="58D07733"/>
    <w:rsid w:val="58D888C7"/>
    <w:rsid w:val="58D8D791"/>
    <w:rsid w:val="58DA9AFA"/>
    <w:rsid w:val="58DB7816"/>
    <w:rsid w:val="58E7446E"/>
    <w:rsid w:val="58EAFB99"/>
    <w:rsid w:val="58F20F96"/>
    <w:rsid w:val="58F4F56B"/>
    <w:rsid w:val="58FFF33F"/>
    <w:rsid w:val="59048761"/>
    <w:rsid w:val="5905B524"/>
    <w:rsid w:val="590635E7"/>
    <w:rsid w:val="591023C0"/>
    <w:rsid w:val="591C1E26"/>
    <w:rsid w:val="591CD58F"/>
    <w:rsid w:val="591F6ECA"/>
    <w:rsid w:val="592159B1"/>
    <w:rsid w:val="592260EF"/>
    <w:rsid w:val="5924A461"/>
    <w:rsid w:val="59250908"/>
    <w:rsid w:val="5938A9F9"/>
    <w:rsid w:val="5938E2EE"/>
    <w:rsid w:val="593B0D09"/>
    <w:rsid w:val="593BDED9"/>
    <w:rsid w:val="593D0FD8"/>
    <w:rsid w:val="593FC569"/>
    <w:rsid w:val="59416C36"/>
    <w:rsid w:val="5945458C"/>
    <w:rsid w:val="5945EF44"/>
    <w:rsid w:val="5948F7C3"/>
    <w:rsid w:val="594EB8AC"/>
    <w:rsid w:val="59514E4F"/>
    <w:rsid w:val="5953F9FE"/>
    <w:rsid w:val="5956FF8A"/>
    <w:rsid w:val="59573828"/>
    <w:rsid w:val="59585E8C"/>
    <w:rsid w:val="595DDC93"/>
    <w:rsid w:val="595EB331"/>
    <w:rsid w:val="59656662"/>
    <w:rsid w:val="5967D236"/>
    <w:rsid w:val="596EA696"/>
    <w:rsid w:val="597020D8"/>
    <w:rsid w:val="5973ACEA"/>
    <w:rsid w:val="5974AF76"/>
    <w:rsid w:val="59766CFE"/>
    <w:rsid w:val="597A55D7"/>
    <w:rsid w:val="597B60F5"/>
    <w:rsid w:val="597CB855"/>
    <w:rsid w:val="597F9836"/>
    <w:rsid w:val="5980A98F"/>
    <w:rsid w:val="59898107"/>
    <w:rsid w:val="598AB38C"/>
    <w:rsid w:val="598E425D"/>
    <w:rsid w:val="598FF972"/>
    <w:rsid w:val="5990158A"/>
    <w:rsid w:val="5990BAFE"/>
    <w:rsid w:val="599E60EC"/>
    <w:rsid w:val="59A14370"/>
    <w:rsid w:val="59A423DA"/>
    <w:rsid w:val="59A7C6F6"/>
    <w:rsid w:val="59ACF111"/>
    <w:rsid w:val="59B0B44B"/>
    <w:rsid w:val="59B157EF"/>
    <w:rsid w:val="59B2A562"/>
    <w:rsid w:val="59B57695"/>
    <w:rsid w:val="59B6D2CB"/>
    <w:rsid w:val="59B88B62"/>
    <w:rsid w:val="59BDE658"/>
    <w:rsid w:val="59C5297D"/>
    <w:rsid w:val="59C57051"/>
    <w:rsid w:val="59C8215B"/>
    <w:rsid w:val="59CB7E69"/>
    <w:rsid w:val="59CC9E07"/>
    <w:rsid w:val="59CEE32C"/>
    <w:rsid w:val="59D6652F"/>
    <w:rsid w:val="59D6E61B"/>
    <w:rsid w:val="59E6A75A"/>
    <w:rsid w:val="59E8AA1E"/>
    <w:rsid w:val="59F089EF"/>
    <w:rsid w:val="59F0FEF8"/>
    <w:rsid w:val="59F51D32"/>
    <w:rsid w:val="59F75600"/>
    <w:rsid w:val="59F8ABE7"/>
    <w:rsid w:val="59FE4132"/>
    <w:rsid w:val="5A054552"/>
    <w:rsid w:val="5A066E34"/>
    <w:rsid w:val="5A09C645"/>
    <w:rsid w:val="5A0A42D3"/>
    <w:rsid w:val="5A0FAC3E"/>
    <w:rsid w:val="5A15F069"/>
    <w:rsid w:val="5A16E6D5"/>
    <w:rsid w:val="5A198AB1"/>
    <w:rsid w:val="5A1F1A57"/>
    <w:rsid w:val="5A246F78"/>
    <w:rsid w:val="5A24B6F1"/>
    <w:rsid w:val="5A25F3B9"/>
    <w:rsid w:val="5A2A85F2"/>
    <w:rsid w:val="5A2BCF4F"/>
    <w:rsid w:val="5A2CE0E2"/>
    <w:rsid w:val="5A35DF8B"/>
    <w:rsid w:val="5A38A62F"/>
    <w:rsid w:val="5A38E531"/>
    <w:rsid w:val="5A3C7469"/>
    <w:rsid w:val="5A3D7750"/>
    <w:rsid w:val="5A41DDC9"/>
    <w:rsid w:val="5A528B0A"/>
    <w:rsid w:val="5A55EEF9"/>
    <w:rsid w:val="5A5B48D5"/>
    <w:rsid w:val="5A5CFAD2"/>
    <w:rsid w:val="5A5D2E4C"/>
    <w:rsid w:val="5A61565C"/>
    <w:rsid w:val="5A6198F1"/>
    <w:rsid w:val="5A66DE23"/>
    <w:rsid w:val="5A698A64"/>
    <w:rsid w:val="5A6B54B7"/>
    <w:rsid w:val="5A76DDA0"/>
    <w:rsid w:val="5A79EC0D"/>
    <w:rsid w:val="5A7D387B"/>
    <w:rsid w:val="5A829B17"/>
    <w:rsid w:val="5A872001"/>
    <w:rsid w:val="5A87E4DF"/>
    <w:rsid w:val="5A907FA9"/>
    <w:rsid w:val="5A923258"/>
    <w:rsid w:val="5A9B124B"/>
    <w:rsid w:val="5A9C9793"/>
    <w:rsid w:val="5A9EE190"/>
    <w:rsid w:val="5AA109DC"/>
    <w:rsid w:val="5AA15361"/>
    <w:rsid w:val="5AB4CED9"/>
    <w:rsid w:val="5AB77072"/>
    <w:rsid w:val="5AC23AF8"/>
    <w:rsid w:val="5ACC8B1B"/>
    <w:rsid w:val="5AD19217"/>
    <w:rsid w:val="5AD4B34F"/>
    <w:rsid w:val="5AD5CF79"/>
    <w:rsid w:val="5AD995A9"/>
    <w:rsid w:val="5ADB236F"/>
    <w:rsid w:val="5AE16D97"/>
    <w:rsid w:val="5AE1BC49"/>
    <w:rsid w:val="5AEC8C2B"/>
    <w:rsid w:val="5AEE0EE9"/>
    <w:rsid w:val="5AF5BEB6"/>
    <w:rsid w:val="5AF958C3"/>
    <w:rsid w:val="5AFA0BEB"/>
    <w:rsid w:val="5AFE2B78"/>
    <w:rsid w:val="5B033382"/>
    <w:rsid w:val="5B038220"/>
    <w:rsid w:val="5B0579DD"/>
    <w:rsid w:val="5B086DBB"/>
    <w:rsid w:val="5B0AD298"/>
    <w:rsid w:val="5B183B78"/>
    <w:rsid w:val="5B1ECE1E"/>
    <w:rsid w:val="5B1F7CF7"/>
    <w:rsid w:val="5B257DE8"/>
    <w:rsid w:val="5B273039"/>
    <w:rsid w:val="5B2D7459"/>
    <w:rsid w:val="5B354132"/>
    <w:rsid w:val="5B3C9999"/>
    <w:rsid w:val="5B3E8B19"/>
    <w:rsid w:val="5B446426"/>
    <w:rsid w:val="5B50DEEF"/>
    <w:rsid w:val="5B5ABD03"/>
    <w:rsid w:val="5B5BB09D"/>
    <w:rsid w:val="5B5DDBEE"/>
    <w:rsid w:val="5B6B5F98"/>
    <w:rsid w:val="5B6F68CD"/>
    <w:rsid w:val="5B706F84"/>
    <w:rsid w:val="5B74CF9F"/>
    <w:rsid w:val="5B7597D8"/>
    <w:rsid w:val="5B78978F"/>
    <w:rsid w:val="5B7ABBB6"/>
    <w:rsid w:val="5B7CC395"/>
    <w:rsid w:val="5B829BE2"/>
    <w:rsid w:val="5B85E950"/>
    <w:rsid w:val="5B91A6B9"/>
    <w:rsid w:val="5B9592B8"/>
    <w:rsid w:val="5B95E4AE"/>
    <w:rsid w:val="5B971537"/>
    <w:rsid w:val="5B97880E"/>
    <w:rsid w:val="5B9AFC5A"/>
    <w:rsid w:val="5BA2E498"/>
    <w:rsid w:val="5BA41B46"/>
    <w:rsid w:val="5BB161BF"/>
    <w:rsid w:val="5BB252BE"/>
    <w:rsid w:val="5BBA83F9"/>
    <w:rsid w:val="5BBDC5D9"/>
    <w:rsid w:val="5BC84C11"/>
    <w:rsid w:val="5BCB23BE"/>
    <w:rsid w:val="5BD4ABB8"/>
    <w:rsid w:val="5BDB7720"/>
    <w:rsid w:val="5BDD4833"/>
    <w:rsid w:val="5BE064B6"/>
    <w:rsid w:val="5BE17727"/>
    <w:rsid w:val="5BE7D356"/>
    <w:rsid w:val="5BF39096"/>
    <w:rsid w:val="5BFB245A"/>
    <w:rsid w:val="5BFE958B"/>
    <w:rsid w:val="5C042E07"/>
    <w:rsid w:val="5C093450"/>
    <w:rsid w:val="5C0E269C"/>
    <w:rsid w:val="5C23002B"/>
    <w:rsid w:val="5C2D5C6F"/>
    <w:rsid w:val="5C31D820"/>
    <w:rsid w:val="5C341710"/>
    <w:rsid w:val="5C36D8D9"/>
    <w:rsid w:val="5C3DEF9B"/>
    <w:rsid w:val="5C432731"/>
    <w:rsid w:val="5C44307B"/>
    <w:rsid w:val="5C4663C1"/>
    <w:rsid w:val="5C498F4F"/>
    <w:rsid w:val="5C54049E"/>
    <w:rsid w:val="5C5A791C"/>
    <w:rsid w:val="5C631C3F"/>
    <w:rsid w:val="5C6791B0"/>
    <w:rsid w:val="5C6A2EA9"/>
    <w:rsid w:val="5C6AFD72"/>
    <w:rsid w:val="5C6FD7CC"/>
    <w:rsid w:val="5C74A7FB"/>
    <w:rsid w:val="5C778408"/>
    <w:rsid w:val="5C7BD4A0"/>
    <w:rsid w:val="5C7E7E2C"/>
    <w:rsid w:val="5C8BB33B"/>
    <w:rsid w:val="5C901ACB"/>
    <w:rsid w:val="5C9303F6"/>
    <w:rsid w:val="5C989250"/>
    <w:rsid w:val="5C99FF63"/>
    <w:rsid w:val="5CA6444A"/>
    <w:rsid w:val="5CA78F9A"/>
    <w:rsid w:val="5CA7BC44"/>
    <w:rsid w:val="5CB07DDF"/>
    <w:rsid w:val="5CB82BD3"/>
    <w:rsid w:val="5CBAB168"/>
    <w:rsid w:val="5CC0DABE"/>
    <w:rsid w:val="5CC4CC50"/>
    <w:rsid w:val="5CC79B13"/>
    <w:rsid w:val="5CCA0B41"/>
    <w:rsid w:val="5CCF810A"/>
    <w:rsid w:val="5CD1BAD1"/>
    <w:rsid w:val="5CD1BCD3"/>
    <w:rsid w:val="5CD2D1EA"/>
    <w:rsid w:val="5CD70C75"/>
    <w:rsid w:val="5CDAF537"/>
    <w:rsid w:val="5CE01EA3"/>
    <w:rsid w:val="5CE2162F"/>
    <w:rsid w:val="5CE2C042"/>
    <w:rsid w:val="5CE73970"/>
    <w:rsid w:val="5CEC8508"/>
    <w:rsid w:val="5CF1CA18"/>
    <w:rsid w:val="5D0A6E1C"/>
    <w:rsid w:val="5D109B95"/>
    <w:rsid w:val="5D15CE65"/>
    <w:rsid w:val="5D174035"/>
    <w:rsid w:val="5D190F12"/>
    <w:rsid w:val="5D20522D"/>
    <w:rsid w:val="5D2EE057"/>
    <w:rsid w:val="5D342DC0"/>
    <w:rsid w:val="5D4027F7"/>
    <w:rsid w:val="5D455047"/>
    <w:rsid w:val="5D4A5257"/>
    <w:rsid w:val="5D4E4504"/>
    <w:rsid w:val="5D50DA6F"/>
    <w:rsid w:val="5D5918CE"/>
    <w:rsid w:val="5D65FE76"/>
    <w:rsid w:val="5D6A2CFF"/>
    <w:rsid w:val="5D7211AC"/>
    <w:rsid w:val="5D7430C1"/>
    <w:rsid w:val="5D754B50"/>
    <w:rsid w:val="5D755BB6"/>
    <w:rsid w:val="5D78FECD"/>
    <w:rsid w:val="5D79F5C2"/>
    <w:rsid w:val="5D7A2F41"/>
    <w:rsid w:val="5D7A80AB"/>
    <w:rsid w:val="5D7B588D"/>
    <w:rsid w:val="5D8E48F7"/>
    <w:rsid w:val="5D8FA030"/>
    <w:rsid w:val="5D914663"/>
    <w:rsid w:val="5D9939B3"/>
    <w:rsid w:val="5D99A0E2"/>
    <w:rsid w:val="5D9A3C81"/>
    <w:rsid w:val="5D9A854B"/>
    <w:rsid w:val="5DA318EB"/>
    <w:rsid w:val="5DA5CF27"/>
    <w:rsid w:val="5DA86E5B"/>
    <w:rsid w:val="5DAD7904"/>
    <w:rsid w:val="5DB8A912"/>
    <w:rsid w:val="5DB8F0FC"/>
    <w:rsid w:val="5DBD36A5"/>
    <w:rsid w:val="5DC420BC"/>
    <w:rsid w:val="5DC912A4"/>
    <w:rsid w:val="5DCC4D5A"/>
    <w:rsid w:val="5DD0853E"/>
    <w:rsid w:val="5DD30970"/>
    <w:rsid w:val="5DD51779"/>
    <w:rsid w:val="5DD5EA4B"/>
    <w:rsid w:val="5DD8B851"/>
    <w:rsid w:val="5DE3E4F7"/>
    <w:rsid w:val="5DE67623"/>
    <w:rsid w:val="5DEFCD69"/>
    <w:rsid w:val="5DF07BF2"/>
    <w:rsid w:val="5DF0ACB4"/>
    <w:rsid w:val="5DF70DD2"/>
    <w:rsid w:val="5DFC59F4"/>
    <w:rsid w:val="5E0195F2"/>
    <w:rsid w:val="5E01C40C"/>
    <w:rsid w:val="5E0FCCD1"/>
    <w:rsid w:val="5E291BAA"/>
    <w:rsid w:val="5E2934BC"/>
    <w:rsid w:val="5E2B98BD"/>
    <w:rsid w:val="5E2E83B2"/>
    <w:rsid w:val="5E30B01E"/>
    <w:rsid w:val="5E325D3C"/>
    <w:rsid w:val="5E32A145"/>
    <w:rsid w:val="5E45D94B"/>
    <w:rsid w:val="5E46F262"/>
    <w:rsid w:val="5E4993F8"/>
    <w:rsid w:val="5E558A4F"/>
    <w:rsid w:val="5E566EE0"/>
    <w:rsid w:val="5E5C5743"/>
    <w:rsid w:val="5E5C9166"/>
    <w:rsid w:val="5E7013DC"/>
    <w:rsid w:val="5E760FA5"/>
    <w:rsid w:val="5E764119"/>
    <w:rsid w:val="5E76B2AD"/>
    <w:rsid w:val="5E7F2B48"/>
    <w:rsid w:val="5E861BCD"/>
    <w:rsid w:val="5E87CDBE"/>
    <w:rsid w:val="5E88A7ED"/>
    <w:rsid w:val="5E8A43EE"/>
    <w:rsid w:val="5E8F6DF1"/>
    <w:rsid w:val="5E8F73D3"/>
    <w:rsid w:val="5E8FB8C2"/>
    <w:rsid w:val="5E906AED"/>
    <w:rsid w:val="5E90AD02"/>
    <w:rsid w:val="5E94249A"/>
    <w:rsid w:val="5EA2A810"/>
    <w:rsid w:val="5EC07BEF"/>
    <w:rsid w:val="5EC5E2DA"/>
    <w:rsid w:val="5EC6FCC8"/>
    <w:rsid w:val="5ECD5DB0"/>
    <w:rsid w:val="5ED4A708"/>
    <w:rsid w:val="5ED6755F"/>
    <w:rsid w:val="5ED6D16C"/>
    <w:rsid w:val="5ED9A127"/>
    <w:rsid w:val="5EE0F479"/>
    <w:rsid w:val="5EE68EB9"/>
    <w:rsid w:val="5EE82ED5"/>
    <w:rsid w:val="5EE9E9A9"/>
    <w:rsid w:val="5EF54BB6"/>
    <w:rsid w:val="5EF80CD4"/>
    <w:rsid w:val="5F00323D"/>
    <w:rsid w:val="5F003ACB"/>
    <w:rsid w:val="5F048210"/>
    <w:rsid w:val="5F085AE2"/>
    <w:rsid w:val="5F164E9D"/>
    <w:rsid w:val="5F1F251E"/>
    <w:rsid w:val="5F1F28DF"/>
    <w:rsid w:val="5F2ADEE8"/>
    <w:rsid w:val="5F30137B"/>
    <w:rsid w:val="5F314FB8"/>
    <w:rsid w:val="5F330F4C"/>
    <w:rsid w:val="5F334825"/>
    <w:rsid w:val="5F3415F4"/>
    <w:rsid w:val="5F39ACEF"/>
    <w:rsid w:val="5F3BF284"/>
    <w:rsid w:val="5F3D61F3"/>
    <w:rsid w:val="5F3DEBB5"/>
    <w:rsid w:val="5F4AA15E"/>
    <w:rsid w:val="5F4BBE44"/>
    <w:rsid w:val="5F549117"/>
    <w:rsid w:val="5F5953EC"/>
    <w:rsid w:val="5F5D5B1D"/>
    <w:rsid w:val="5F5D7954"/>
    <w:rsid w:val="5F5FF7D2"/>
    <w:rsid w:val="5F63D527"/>
    <w:rsid w:val="5F659825"/>
    <w:rsid w:val="5F7464D9"/>
    <w:rsid w:val="5F7D27D1"/>
    <w:rsid w:val="5F7D7107"/>
    <w:rsid w:val="5F829750"/>
    <w:rsid w:val="5F836073"/>
    <w:rsid w:val="5F84B103"/>
    <w:rsid w:val="5F89C899"/>
    <w:rsid w:val="5F8B4C24"/>
    <w:rsid w:val="5F8DA89C"/>
    <w:rsid w:val="5F9D98F9"/>
    <w:rsid w:val="5F9E3FC7"/>
    <w:rsid w:val="5F9ECE43"/>
    <w:rsid w:val="5F9FADC9"/>
    <w:rsid w:val="5FA5405B"/>
    <w:rsid w:val="5FA72BD8"/>
    <w:rsid w:val="5FAA304B"/>
    <w:rsid w:val="5FACEB1F"/>
    <w:rsid w:val="5FB7080E"/>
    <w:rsid w:val="5FB8330E"/>
    <w:rsid w:val="5FBEF88C"/>
    <w:rsid w:val="5FCB829C"/>
    <w:rsid w:val="5FCBE7D1"/>
    <w:rsid w:val="5FCE9CD4"/>
    <w:rsid w:val="5FD08600"/>
    <w:rsid w:val="5FD60531"/>
    <w:rsid w:val="5FD6FA2B"/>
    <w:rsid w:val="5FE28FFB"/>
    <w:rsid w:val="5FE648BB"/>
    <w:rsid w:val="5FE6A8DE"/>
    <w:rsid w:val="5FE7D5D2"/>
    <w:rsid w:val="5FEA1B01"/>
    <w:rsid w:val="5FEAF54C"/>
    <w:rsid w:val="5FEB1AD1"/>
    <w:rsid w:val="5FEB9F78"/>
    <w:rsid w:val="5FEDB2C4"/>
    <w:rsid w:val="5FEDCF21"/>
    <w:rsid w:val="5FEF34B9"/>
    <w:rsid w:val="5FF3D4E1"/>
    <w:rsid w:val="5FF975EF"/>
    <w:rsid w:val="5FFD69DA"/>
    <w:rsid w:val="5FFEDE75"/>
    <w:rsid w:val="600AFF99"/>
    <w:rsid w:val="600C49E2"/>
    <w:rsid w:val="600CAEAC"/>
    <w:rsid w:val="600D1338"/>
    <w:rsid w:val="60138775"/>
    <w:rsid w:val="601A6501"/>
    <w:rsid w:val="601FC1ED"/>
    <w:rsid w:val="6029EF4C"/>
    <w:rsid w:val="602ACC2F"/>
    <w:rsid w:val="6032DF1F"/>
    <w:rsid w:val="603E9BD5"/>
    <w:rsid w:val="603EABB1"/>
    <w:rsid w:val="60420008"/>
    <w:rsid w:val="604584D5"/>
    <w:rsid w:val="60477814"/>
    <w:rsid w:val="604A5E9B"/>
    <w:rsid w:val="604CCA4C"/>
    <w:rsid w:val="604D3C2B"/>
    <w:rsid w:val="604EF7A9"/>
    <w:rsid w:val="6050ED16"/>
    <w:rsid w:val="6054A13A"/>
    <w:rsid w:val="605B4DD3"/>
    <w:rsid w:val="60608860"/>
    <w:rsid w:val="60658EFD"/>
    <w:rsid w:val="6065F7D6"/>
    <w:rsid w:val="6066E135"/>
    <w:rsid w:val="606CF889"/>
    <w:rsid w:val="606FA1F1"/>
    <w:rsid w:val="607AAC12"/>
    <w:rsid w:val="607E2E36"/>
    <w:rsid w:val="60845161"/>
    <w:rsid w:val="60866376"/>
    <w:rsid w:val="60883E8B"/>
    <w:rsid w:val="608DEB39"/>
    <w:rsid w:val="608F8047"/>
    <w:rsid w:val="60905F7A"/>
    <w:rsid w:val="60955516"/>
    <w:rsid w:val="609FA14A"/>
    <w:rsid w:val="60A7382F"/>
    <w:rsid w:val="60AFFB2C"/>
    <w:rsid w:val="60B52FA5"/>
    <w:rsid w:val="60B688AD"/>
    <w:rsid w:val="60BC9671"/>
    <w:rsid w:val="60C40701"/>
    <w:rsid w:val="60C54609"/>
    <w:rsid w:val="60C6CDE7"/>
    <w:rsid w:val="60CAFA47"/>
    <w:rsid w:val="60CBF848"/>
    <w:rsid w:val="60D206AE"/>
    <w:rsid w:val="60D76FF2"/>
    <w:rsid w:val="60DE9ACD"/>
    <w:rsid w:val="60E1766F"/>
    <w:rsid w:val="60E5307A"/>
    <w:rsid w:val="60EB3F1B"/>
    <w:rsid w:val="60EDA82D"/>
    <w:rsid w:val="60F0A6D3"/>
    <w:rsid w:val="60F753C2"/>
    <w:rsid w:val="60F9377A"/>
    <w:rsid w:val="60F9E6B6"/>
    <w:rsid w:val="60FD609B"/>
    <w:rsid w:val="6100CEAB"/>
    <w:rsid w:val="61024E23"/>
    <w:rsid w:val="611355D4"/>
    <w:rsid w:val="611402EC"/>
    <w:rsid w:val="61153D40"/>
    <w:rsid w:val="611708E8"/>
    <w:rsid w:val="6118443D"/>
    <w:rsid w:val="611CD752"/>
    <w:rsid w:val="611EA41B"/>
    <w:rsid w:val="6124BE75"/>
    <w:rsid w:val="612707BA"/>
    <w:rsid w:val="61280CA4"/>
    <w:rsid w:val="612B7F32"/>
    <w:rsid w:val="612FFA2A"/>
    <w:rsid w:val="6136AB12"/>
    <w:rsid w:val="613AB628"/>
    <w:rsid w:val="613CCAA2"/>
    <w:rsid w:val="613EE89C"/>
    <w:rsid w:val="6145DDB8"/>
    <w:rsid w:val="614F9961"/>
    <w:rsid w:val="6151BF8B"/>
    <w:rsid w:val="6152DA79"/>
    <w:rsid w:val="6154C7F2"/>
    <w:rsid w:val="6156ABE0"/>
    <w:rsid w:val="615C43A3"/>
    <w:rsid w:val="615C530B"/>
    <w:rsid w:val="615D998F"/>
    <w:rsid w:val="616248F4"/>
    <w:rsid w:val="616446F1"/>
    <w:rsid w:val="6165D568"/>
    <w:rsid w:val="6175588A"/>
    <w:rsid w:val="617B6D01"/>
    <w:rsid w:val="617EC86D"/>
    <w:rsid w:val="618201A2"/>
    <w:rsid w:val="6183F7D7"/>
    <w:rsid w:val="6185BB0D"/>
    <w:rsid w:val="61869097"/>
    <w:rsid w:val="618867AF"/>
    <w:rsid w:val="6192BE7F"/>
    <w:rsid w:val="6193F805"/>
    <w:rsid w:val="619A57FD"/>
    <w:rsid w:val="619E14B7"/>
    <w:rsid w:val="61A03E84"/>
    <w:rsid w:val="61A81A43"/>
    <w:rsid w:val="61A8ED03"/>
    <w:rsid w:val="61A9BE80"/>
    <w:rsid w:val="61AABE8F"/>
    <w:rsid w:val="61AB7578"/>
    <w:rsid w:val="61AC5C2B"/>
    <w:rsid w:val="61B00724"/>
    <w:rsid w:val="61B09A0E"/>
    <w:rsid w:val="61B642BF"/>
    <w:rsid w:val="61B8557D"/>
    <w:rsid w:val="61B8695F"/>
    <w:rsid w:val="61BAEEBF"/>
    <w:rsid w:val="61BE907F"/>
    <w:rsid w:val="61C4C41B"/>
    <w:rsid w:val="61C7358E"/>
    <w:rsid w:val="61CA7FF7"/>
    <w:rsid w:val="61CE1CC7"/>
    <w:rsid w:val="61DB2CFF"/>
    <w:rsid w:val="61DF6C7B"/>
    <w:rsid w:val="61E0C4BA"/>
    <w:rsid w:val="61E17E44"/>
    <w:rsid w:val="61E93F88"/>
    <w:rsid w:val="61FB0835"/>
    <w:rsid w:val="61FD1DE9"/>
    <w:rsid w:val="620672DB"/>
    <w:rsid w:val="620D891D"/>
    <w:rsid w:val="6216373B"/>
    <w:rsid w:val="621B23E7"/>
    <w:rsid w:val="621FF8B3"/>
    <w:rsid w:val="6224DA6C"/>
    <w:rsid w:val="622AB5CD"/>
    <w:rsid w:val="622C5B09"/>
    <w:rsid w:val="622F4F11"/>
    <w:rsid w:val="62319458"/>
    <w:rsid w:val="6235E9E8"/>
    <w:rsid w:val="623AC02E"/>
    <w:rsid w:val="623BA148"/>
    <w:rsid w:val="623CC5BE"/>
    <w:rsid w:val="62437203"/>
    <w:rsid w:val="62470819"/>
    <w:rsid w:val="6249E7A1"/>
    <w:rsid w:val="624AB8A4"/>
    <w:rsid w:val="624D06BF"/>
    <w:rsid w:val="624E1074"/>
    <w:rsid w:val="624ED116"/>
    <w:rsid w:val="6253E88B"/>
    <w:rsid w:val="626B3C1F"/>
    <w:rsid w:val="626B7C60"/>
    <w:rsid w:val="626F7757"/>
    <w:rsid w:val="62715E2E"/>
    <w:rsid w:val="627525BE"/>
    <w:rsid w:val="627575E4"/>
    <w:rsid w:val="627A48C4"/>
    <w:rsid w:val="627C0FC7"/>
    <w:rsid w:val="628AAF75"/>
    <w:rsid w:val="628BFB0D"/>
    <w:rsid w:val="628F9508"/>
    <w:rsid w:val="6295831D"/>
    <w:rsid w:val="629B252A"/>
    <w:rsid w:val="629D8BCD"/>
    <w:rsid w:val="62A47449"/>
    <w:rsid w:val="62A5EF4E"/>
    <w:rsid w:val="62AEE747"/>
    <w:rsid w:val="62AEE7EF"/>
    <w:rsid w:val="62B19228"/>
    <w:rsid w:val="62B2D666"/>
    <w:rsid w:val="62B3E139"/>
    <w:rsid w:val="62B960C4"/>
    <w:rsid w:val="62B9D14E"/>
    <w:rsid w:val="62BE39EB"/>
    <w:rsid w:val="62BE792F"/>
    <w:rsid w:val="62C604EF"/>
    <w:rsid w:val="62CFDD32"/>
    <w:rsid w:val="62D6F131"/>
    <w:rsid w:val="62D8B24D"/>
    <w:rsid w:val="62D8B9DD"/>
    <w:rsid w:val="62DE9090"/>
    <w:rsid w:val="62DEAD38"/>
    <w:rsid w:val="62E063B8"/>
    <w:rsid w:val="62E29D5A"/>
    <w:rsid w:val="62E75B89"/>
    <w:rsid w:val="62E8E523"/>
    <w:rsid w:val="62E95459"/>
    <w:rsid w:val="62E96D70"/>
    <w:rsid w:val="62EA377A"/>
    <w:rsid w:val="62ED9877"/>
    <w:rsid w:val="62EE52F6"/>
    <w:rsid w:val="62F4762C"/>
    <w:rsid w:val="62F55214"/>
    <w:rsid w:val="62FFA560"/>
    <w:rsid w:val="63038893"/>
    <w:rsid w:val="6303DCBE"/>
    <w:rsid w:val="63088849"/>
    <w:rsid w:val="630AE462"/>
    <w:rsid w:val="630D4B9E"/>
    <w:rsid w:val="630E25FE"/>
    <w:rsid w:val="630E905D"/>
    <w:rsid w:val="63105AB8"/>
    <w:rsid w:val="6311191E"/>
    <w:rsid w:val="63112E04"/>
    <w:rsid w:val="631A5087"/>
    <w:rsid w:val="6327D3F8"/>
    <w:rsid w:val="6329EFAD"/>
    <w:rsid w:val="6329FD72"/>
    <w:rsid w:val="632BD2D9"/>
    <w:rsid w:val="632C010C"/>
    <w:rsid w:val="632DA107"/>
    <w:rsid w:val="633726AB"/>
    <w:rsid w:val="633852A0"/>
    <w:rsid w:val="633957ED"/>
    <w:rsid w:val="633E7482"/>
    <w:rsid w:val="6341458C"/>
    <w:rsid w:val="634E90BE"/>
    <w:rsid w:val="6351CE83"/>
    <w:rsid w:val="635E6A3E"/>
    <w:rsid w:val="63679EC4"/>
    <w:rsid w:val="6367DD51"/>
    <w:rsid w:val="636ACC2E"/>
    <w:rsid w:val="636AFB09"/>
    <w:rsid w:val="63775982"/>
    <w:rsid w:val="63776953"/>
    <w:rsid w:val="637948DE"/>
    <w:rsid w:val="637C951B"/>
    <w:rsid w:val="637E5AF6"/>
    <w:rsid w:val="63829C90"/>
    <w:rsid w:val="638A9F51"/>
    <w:rsid w:val="638BE8D3"/>
    <w:rsid w:val="638C4478"/>
    <w:rsid w:val="638DB363"/>
    <w:rsid w:val="63931C4E"/>
    <w:rsid w:val="6394281D"/>
    <w:rsid w:val="63959B4D"/>
    <w:rsid w:val="63975ADE"/>
    <w:rsid w:val="639D212E"/>
    <w:rsid w:val="63A3B5F4"/>
    <w:rsid w:val="63A915DA"/>
    <w:rsid w:val="63AAF8A8"/>
    <w:rsid w:val="63AC88E9"/>
    <w:rsid w:val="63AE9E9F"/>
    <w:rsid w:val="63B13A51"/>
    <w:rsid w:val="63B1927B"/>
    <w:rsid w:val="63BFAF97"/>
    <w:rsid w:val="63C1ECF4"/>
    <w:rsid w:val="63C36057"/>
    <w:rsid w:val="63C5E22E"/>
    <w:rsid w:val="63C78541"/>
    <w:rsid w:val="63CE66C5"/>
    <w:rsid w:val="63CF174A"/>
    <w:rsid w:val="63D3C009"/>
    <w:rsid w:val="63D46332"/>
    <w:rsid w:val="63DFC35A"/>
    <w:rsid w:val="63E6C127"/>
    <w:rsid w:val="63EA765F"/>
    <w:rsid w:val="63EBD583"/>
    <w:rsid w:val="63F259A4"/>
    <w:rsid w:val="63F2C0D3"/>
    <w:rsid w:val="63F80A9D"/>
    <w:rsid w:val="63FA233D"/>
    <w:rsid w:val="63FF5A5E"/>
    <w:rsid w:val="6400C634"/>
    <w:rsid w:val="64098422"/>
    <w:rsid w:val="640CB905"/>
    <w:rsid w:val="640F91AB"/>
    <w:rsid w:val="6412DFEA"/>
    <w:rsid w:val="64243DC3"/>
    <w:rsid w:val="6425F200"/>
    <w:rsid w:val="642A3AC8"/>
    <w:rsid w:val="642AAAE8"/>
    <w:rsid w:val="642B5C7F"/>
    <w:rsid w:val="642DDE69"/>
    <w:rsid w:val="6433E03C"/>
    <w:rsid w:val="643445CA"/>
    <w:rsid w:val="6436ABF3"/>
    <w:rsid w:val="643703D6"/>
    <w:rsid w:val="643F10DF"/>
    <w:rsid w:val="64431028"/>
    <w:rsid w:val="6448C6E8"/>
    <w:rsid w:val="644C0AB5"/>
    <w:rsid w:val="644D0C87"/>
    <w:rsid w:val="644E0B4A"/>
    <w:rsid w:val="644F79F3"/>
    <w:rsid w:val="64555DE8"/>
    <w:rsid w:val="645821C6"/>
    <w:rsid w:val="6458ABEE"/>
    <w:rsid w:val="645C49A9"/>
    <w:rsid w:val="645DBED5"/>
    <w:rsid w:val="6468B897"/>
    <w:rsid w:val="64703FF7"/>
    <w:rsid w:val="64769442"/>
    <w:rsid w:val="64779914"/>
    <w:rsid w:val="6478A5D6"/>
    <w:rsid w:val="6479CADD"/>
    <w:rsid w:val="647D1846"/>
    <w:rsid w:val="6487C5D4"/>
    <w:rsid w:val="648B027A"/>
    <w:rsid w:val="648D8280"/>
    <w:rsid w:val="648D9F76"/>
    <w:rsid w:val="6496CDF7"/>
    <w:rsid w:val="649E15DB"/>
    <w:rsid w:val="649F998A"/>
    <w:rsid w:val="64A7B140"/>
    <w:rsid w:val="64B21CF5"/>
    <w:rsid w:val="64B49FF2"/>
    <w:rsid w:val="64B55F5F"/>
    <w:rsid w:val="64B5FECF"/>
    <w:rsid w:val="64B70774"/>
    <w:rsid w:val="64BD4057"/>
    <w:rsid w:val="64BF186F"/>
    <w:rsid w:val="64C61131"/>
    <w:rsid w:val="64C7B56B"/>
    <w:rsid w:val="64CBE7B7"/>
    <w:rsid w:val="64CD736C"/>
    <w:rsid w:val="64CD86D0"/>
    <w:rsid w:val="64D3D81A"/>
    <w:rsid w:val="64D587A2"/>
    <w:rsid w:val="64D61E49"/>
    <w:rsid w:val="64DF69B9"/>
    <w:rsid w:val="64DFB42E"/>
    <w:rsid w:val="64E0B22D"/>
    <w:rsid w:val="64E518B5"/>
    <w:rsid w:val="64E85ABB"/>
    <w:rsid w:val="64E8C5C5"/>
    <w:rsid w:val="64F1FD6E"/>
    <w:rsid w:val="64F9ABCD"/>
    <w:rsid w:val="650A4B85"/>
    <w:rsid w:val="650BBFD6"/>
    <w:rsid w:val="65175C9F"/>
    <w:rsid w:val="651810CF"/>
    <w:rsid w:val="6518657C"/>
    <w:rsid w:val="6519340F"/>
    <w:rsid w:val="6519846E"/>
    <w:rsid w:val="651AA4C5"/>
    <w:rsid w:val="651BF696"/>
    <w:rsid w:val="65214465"/>
    <w:rsid w:val="652926C8"/>
    <w:rsid w:val="652AC6D7"/>
    <w:rsid w:val="652B0458"/>
    <w:rsid w:val="652D2DBD"/>
    <w:rsid w:val="6538116F"/>
    <w:rsid w:val="653D2634"/>
    <w:rsid w:val="6540F8D5"/>
    <w:rsid w:val="65413355"/>
    <w:rsid w:val="654265E0"/>
    <w:rsid w:val="65426E76"/>
    <w:rsid w:val="6546C3B5"/>
    <w:rsid w:val="655AE97A"/>
    <w:rsid w:val="655C91AA"/>
    <w:rsid w:val="656048D5"/>
    <w:rsid w:val="65620347"/>
    <w:rsid w:val="65645625"/>
    <w:rsid w:val="656459F0"/>
    <w:rsid w:val="65681DDC"/>
    <w:rsid w:val="65753EE4"/>
    <w:rsid w:val="6577E24F"/>
    <w:rsid w:val="6589C0E8"/>
    <w:rsid w:val="659F8519"/>
    <w:rsid w:val="65A40622"/>
    <w:rsid w:val="65A577D1"/>
    <w:rsid w:val="65A71542"/>
    <w:rsid w:val="65B6C087"/>
    <w:rsid w:val="65BE07AE"/>
    <w:rsid w:val="65C1FA2F"/>
    <w:rsid w:val="65C65436"/>
    <w:rsid w:val="65C912CA"/>
    <w:rsid w:val="65CA7D8E"/>
    <w:rsid w:val="65CF6421"/>
    <w:rsid w:val="65D46E93"/>
    <w:rsid w:val="65D4925A"/>
    <w:rsid w:val="65D850E1"/>
    <w:rsid w:val="65DE411F"/>
    <w:rsid w:val="65DF36BE"/>
    <w:rsid w:val="65E0C3CC"/>
    <w:rsid w:val="65E3C7E9"/>
    <w:rsid w:val="65E4925A"/>
    <w:rsid w:val="65E90801"/>
    <w:rsid w:val="65F74A92"/>
    <w:rsid w:val="65F76E47"/>
    <w:rsid w:val="65FD297A"/>
    <w:rsid w:val="65FF0C2C"/>
    <w:rsid w:val="66009781"/>
    <w:rsid w:val="6601CC3C"/>
    <w:rsid w:val="6601D86D"/>
    <w:rsid w:val="6606DC88"/>
    <w:rsid w:val="66088AE2"/>
    <w:rsid w:val="660FD1CA"/>
    <w:rsid w:val="661C564C"/>
    <w:rsid w:val="661CAC01"/>
    <w:rsid w:val="661CFBF4"/>
    <w:rsid w:val="661EFB27"/>
    <w:rsid w:val="6620B3D0"/>
    <w:rsid w:val="66273622"/>
    <w:rsid w:val="662EE7F6"/>
    <w:rsid w:val="6630E98A"/>
    <w:rsid w:val="663428EE"/>
    <w:rsid w:val="663945AC"/>
    <w:rsid w:val="663B2955"/>
    <w:rsid w:val="664113BD"/>
    <w:rsid w:val="6641495C"/>
    <w:rsid w:val="6642959A"/>
    <w:rsid w:val="66473967"/>
    <w:rsid w:val="66484596"/>
    <w:rsid w:val="6650A4A4"/>
    <w:rsid w:val="665A2240"/>
    <w:rsid w:val="665D4F30"/>
    <w:rsid w:val="665F3C47"/>
    <w:rsid w:val="665FE0DC"/>
    <w:rsid w:val="66624EA2"/>
    <w:rsid w:val="66649867"/>
    <w:rsid w:val="666ABFDA"/>
    <w:rsid w:val="666C9292"/>
    <w:rsid w:val="6674789E"/>
    <w:rsid w:val="66751B8D"/>
    <w:rsid w:val="6678792D"/>
    <w:rsid w:val="667A7882"/>
    <w:rsid w:val="667BC061"/>
    <w:rsid w:val="667E2547"/>
    <w:rsid w:val="667FD369"/>
    <w:rsid w:val="66809653"/>
    <w:rsid w:val="66828230"/>
    <w:rsid w:val="6683118F"/>
    <w:rsid w:val="66854E3A"/>
    <w:rsid w:val="66855773"/>
    <w:rsid w:val="668A843C"/>
    <w:rsid w:val="66948D2E"/>
    <w:rsid w:val="66975D0A"/>
    <w:rsid w:val="66A1D9D8"/>
    <w:rsid w:val="66A223C7"/>
    <w:rsid w:val="66A9FED0"/>
    <w:rsid w:val="66AB60AC"/>
    <w:rsid w:val="66ABCFA3"/>
    <w:rsid w:val="66AEAF3A"/>
    <w:rsid w:val="66B13BD0"/>
    <w:rsid w:val="66B9B0C8"/>
    <w:rsid w:val="66BC5983"/>
    <w:rsid w:val="66BE4729"/>
    <w:rsid w:val="66BF4287"/>
    <w:rsid w:val="66C17DF4"/>
    <w:rsid w:val="66C24013"/>
    <w:rsid w:val="66C43D9C"/>
    <w:rsid w:val="66C4A118"/>
    <w:rsid w:val="66C50086"/>
    <w:rsid w:val="66C788EC"/>
    <w:rsid w:val="66CC2BB2"/>
    <w:rsid w:val="66DC342C"/>
    <w:rsid w:val="66E02B54"/>
    <w:rsid w:val="66E092B2"/>
    <w:rsid w:val="66E352A9"/>
    <w:rsid w:val="66E6D003"/>
    <w:rsid w:val="66E7B5B1"/>
    <w:rsid w:val="66ED4EC1"/>
    <w:rsid w:val="66EE950A"/>
    <w:rsid w:val="66EF4B2D"/>
    <w:rsid w:val="66F821A9"/>
    <w:rsid w:val="6701A252"/>
    <w:rsid w:val="670C73DB"/>
    <w:rsid w:val="670F578B"/>
    <w:rsid w:val="67153F18"/>
    <w:rsid w:val="6716EF4B"/>
    <w:rsid w:val="67197A6E"/>
    <w:rsid w:val="671A18B2"/>
    <w:rsid w:val="671BBCEF"/>
    <w:rsid w:val="6726F39C"/>
    <w:rsid w:val="6727DDB3"/>
    <w:rsid w:val="67295F3E"/>
    <w:rsid w:val="672BFB78"/>
    <w:rsid w:val="672CEB7E"/>
    <w:rsid w:val="6735411B"/>
    <w:rsid w:val="6738985F"/>
    <w:rsid w:val="673B6F7D"/>
    <w:rsid w:val="673CD611"/>
    <w:rsid w:val="674BB858"/>
    <w:rsid w:val="674F260E"/>
    <w:rsid w:val="674FF137"/>
    <w:rsid w:val="674FF3AC"/>
    <w:rsid w:val="67589E94"/>
    <w:rsid w:val="675F00AD"/>
    <w:rsid w:val="676161EE"/>
    <w:rsid w:val="6761C60F"/>
    <w:rsid w:val="6766EDAB"/>
    <w:rsid w:val="676784E3"/>
    <w:rsid w:val="67779600"/>
    <w:rsid w:val="6783145C"/>
    <w:rsid w:val="67844D5C"/>
    <w:rsid w:val="67895637"/>
    <w:rsid w:val="678A585C"/>
    <w:rsid w:val="679154D4"/>
    <w:rsid w:val="67918A5E"/>
    <w:rsid w:val="67942F7C"/>
    <w:rsid w:val="679A32DA"/>
    <w:rsid w:val="679A69FD"/>
    <w:rsid w:val="679B1480"/>
    <w:rsid w:val="679ED774"/>
    <w:rsid w:val="67A3BDD9"/>
    <w:rsid w:val="67A6D0AE"/>
    <w:rsid w:val="67AC5BD9"/>
    <w:rsid w:val="67AF0D29"/>
    <w:rsid w:val="67B0D99C"/>
    <w:rsid w:val="67B123C3"/>
    <w:rsid w:val="67B13B2D"/>
    <w:rsid w:val="67B1DF4B"/>
    <w:rsid w:val="67B26337"/>
    <w:rsid w:val="67B3A32B"/>
    <w:rsid w:val="67B3B2B6"/>
    <w:rsid w:val="67B851AB"/>
    <w:rsid w:val="67B98D5A"/>
    <w:rsid w:val="67BECC1C"/>
    <w:rsid w:val="67BF50C7"/>
    <w:rsid w:val="67BFBDDD"/>
    <w:rsid w:val="67C67E1C"/>
    <w:rsid w:val="67C97FF0"/>
    <w:rsid w:val="67D1F3CC"/>
    <w:rsid w:val="67D8E946"/>
    <w:rsid w:val="67D9EA48"/>
    <w:rsid w:val="67DA5BFE"/>
    <w:rsid w:val="67DD5A35"/>
    <w:rsid w:val="67DEC427"/>
    <w:rsid w:val="67E488D4"/>
    <w:rsid w:val="67E86413"/>
    <w:rsid w:val="67F2C6DA"/>
    <w:rsid w:val="67F31F0B"/>
    <w:rsid w:val="67F39AC4"/>
    <w:rsid w:val="67F39C2A"/>
    <w:rsid w:val="67F8F082"/>
    <w:rsid w:val="67FDB1F3"/>
    <w:rsid w:val="67FFEAF3"/>
    <w:rsid w:val="68026173"/>
    <w:rsid w:val="68071CE5"/>
    <w:rsid w:val="6808622A"/>
    <w:rsid w:val="680C6129"/>
    <w:rsid w:val="68175186"/>
    <w:rsid w:val="6817C479"/>
    <w:rsid w:val="681C0D9B"/>
    <w:rsid w:val="681F2CA7"/>
    <w:rsid w:val="6828E6C0"/>
    <w:rsid w:val="682AA9D4"/>
    <w:rsid w:val="682AFA8C"/>
    <w:rsid w:val="682EED88"/>
    <w:rsid w:val="68333A41"/>
    <w:rsid w:val="68361047"/>
    <w:rsid w:val="68385D6B"/>
    <w:rsid w:val="684220DA"/>
    <w:rsid w:val="68495240"/>
    <w:rsid w:val="684F2E5A"/>
    <w:rsid w:val="6851768B"/>
    <w:rsid w:val="6855CABE"/>
    <w:rsid w:val="68576096"/>
    <w:rsid w:val="685A248A"/>
    <w:rsid w:val="685D57C6"/>
    <w:rsid w:val="685E551F"/>
    <w:rsid w:val="68646CCD"/>
    <w:rsid w:val="6865C931"/>
    <w:rsid w:val="6866DC8C"/>
    <w:rsid w:val="6866E343"/>
    <w:rsid w:val="68685E1B"/>
    <w:rsid w:val="6869670C"/>
    <w:rsid w:val="686D63C4"/>
    <w:rsid w:val="68713D0E"/>
    <w:rsid w:val="6883537E"/>
    <w:rsid w:val="6884F0E8"/>
    <w:rsid w:val="68856BE4"/>
    <w:rsid w:val="688C5CCD"/>
    <w:rsid w:val="6897C3FE"/>
    <w:rsid w:val="6898E342"/>
    <w:rsid w:val="689DEFFA"/>
    <w:rsid w:val="689F6B2B"/>
    <w:rsid w:val="68A7A315"/>
    <w:rsid w:val="68BE267D"/>
    <w:rsid w:val="68BF3898"/>
    <w:rsid w:val="68BFF9C5"/>
    <w:rsid w:val="68CCFE93"/>
    <w:rsid w:val="68CD1AA7"/>
    <w:rsid w:val="68D3B60A"/>
    <w:rsid w:val="68D448F0"/>
    <w:rsid w:val="68D50A08"/>
    <w:rsid w:val="68D94B17"/>
    <w:rsid w:val="68DAC0A4"/>
    <w:rsid w:val="68DD571E"/>
    <w:rsid w:val="68E41C2B"/>
    <w:rsid w:val="68E8E258"/>
    <w:rsid w:val="68ECF9A5"/>
    <w:rsid w:val="68F81D0E"/>
    <w:rsid w:val="68FA1EEE"/>
    <w:rsid w:val="68FB731C"/>
    <w:rsid w:val="68FF3822"/>
    <w:rsid w:val="6900F61C"/>
    <w:rsid w:val="6901F07F"/>
    <w:rsid w:val="6909AE21"/>
    <w:rsid w:val="690C331C"/>
    <w:rsid w:val="690E6F6D"/>
    <w:rsid w:val="6911DB52"/>
    <w:rsid w:val="6912D7C0"/>
    <w:rsid w:val="69136881"/>
    <w:rsid w:val="69196CCA"/>
    <w:rsid w:val="6919F092"/>
    <w:rsid w:val="691D7B87"/>
    <w:rsid w:val="6920344D"/>
    <w:rsid w:val="6921EA5F"/>
    <w:rsid w:val="69228129"/>
    <w:rsid w:val="69271624"/>
    <w:rsid w:val="69271937"/>
    <w:rsid w:val="692A19AF"/>
    <w:rsid w:val="692ADD74"/>
    <w:rsid w:val="6930F7A3"/>
    <w:rsid w:val="69349BC8"/>
    <w:rsid w:val="69356422"/>
    <w:rsid w:val="6939A9E2"/>
    <w:rsid w:val="693A6E5E"/>
    <w:rsid w:val="693D7911"/>
    <w:rsid w:val="693F8C93"/>
    <w:rsid w:val="6942C624"/>
    <w:rsid w:val="694ABC58"/>
    <w:rsid w:val="69511C14"/>
    <w:rsid w:val="6951D2DC"/>
    <w:rsid w:val="695B5C33"/>
    <w:rsid w:val="69651E86"/>
    <w:rsid w:val="6968E9BA"/>
    <w:rsid w:val="696FF071"/>
    <w:rsid w:val="6974E655"/>
    <w:rsid w:val="69755137"/>
    <w:rsid w:val="697D4077"/>
    <w:rsid w:val="6980E4C6"/>
    <w:rsid w:val="698511F3"/>
    <w:rsid w:val="6985D57B"/>
    <w:rsid w:val="698D6E15"/>
    <w:rsid w:val="69934287"/>
    <w:rsid w:val="6998E1B0"/>
    <w:rsid w:val="699F1C20"/>
    <w:rsid w:val="699FD841"/>
    <w:rsid w:val="69A16CB0"/>
    <w:rsid w:val="69A23577"/>
    <w:rsid w:val="69A38283"/>
    <w:rsid w:val="69A46507"/>
    <w:rsid w:val="69A68AE6"/>
    <w:rsid w:val="69A9A142"/>
    <w:rsid w:val="69AE8AFA"/>
    <w:rsid w:val="69AF3B28"/>
    <w:rsid w:val="69B13EC8"/>
    <w:rsid w:val="69B6B373"/>
    <w:rsid w:val="69B758C3"/>
    <w:rsid w:val="69BF1F59"/>
    <w:rsid w:val="69C39ABC"/>
    <w:rsid w:val="69C4E200"/>
    <w:rsid w:val="69C8F74B"/>
    <w:rsid w:val="69C9E9ED"/>
    <w:rsid w:val="69CBEEC9"/>
    <w:rsid w:val="69CBF4F1"/>
    <w:rsid w:val="69CFE668"/>
    <w:rsid w:val="69D00B88"/>
    <w:rsid w:val="69D28F53"/>
    <w:rsid w:val="69D5F0DA"/>
    <w:rsid w:val="69D766A9"/>
    <w:rsid w:val="69DBA8CB"/>
    <w:rsid w:val="69DE4755"/>
    <w:rsid w:val="69DFF24F"/>
    <w:rsid w:val="69E028C6"/>
    <w:rsid w:val="69E193E2"/>
    <w:rsid w:val="69E36151"/>
    <w:rsid w:val="69E3F55E"/>
    <w:rsid w:val="69E479D1"/>
    <w:rsid w:val="69E76AE0"/>
    <w:rsid w:val="69E94DC3"/>
    <w:rsid w:val="69F5FEA4"/>
    <w:rsid w:val="69F7798D"/>
    <w:rsid w:val="6A015973"/>
    <w:rsid w:val="6A0414D4"/>
    <w:rsid w:val="6A04AF85"/>
    <w:rsid w:val="6A059EBB"/>
    <w:rsid w:val="6A115D6A"/>
    <w:rsid w:val="6A12508E"/>
    <w:rsid w:val="6A1B59AB"/>
    <w:rsid w:val="6A200DDD"/>
    <w:rsid w:val="6A21D1B4"/>
    <w:rsid w:val="6A25705D"/>
    <w:rsid w:val="6A27811B"/>
    <w:rsid w:val="6A2EC048"/>
    <w:rsid w:val="6A2F43B7"/>
    <w:rsid w:val="6A31CCA7"/>
    <w:rsid w:val="6A3346D5"/>
    <w:rsid w:val="6A339653"/>
    <w:rsid w:val="6A38FCAE"/>
    <w:rsid w:val="6A3C1CC2"/>
    <w:rsid w:val="6A46C413"/>
    <w:rsid w:val="6A47A223"/>
    <w:rsid w:val="6A488F98"/>
    <w:rsid w:val="6A513E40"/>
    <w:rsid w:val="6A55CA89"/>
    <w:rsid w:val="6A587579"/>
    <w:rsid w:val="6A5E5C3A"/>
    <w:rsid w:val="6A606468"/>
    <w:rsid w:val="6A612C97"/>
    <w:rsid w:val="6A676F1F"/>
    <w:rsid w:val="6A695771"/>
    <w:rsid w:val="6A6BC856"/>
    <w:rsid w:val="6A6E850A"/>
    <w:rsid w:val="6A71A35F"/>
    <w:rsid w:val="6A723E70"/>
    <w:rsid w:val="6A7816AE"/>
    <w:rsid w:val="6A7BA3AA"/>
    <w:rsid w:val="6A80A40E"/>
    <w:rsid w:val="6A823819"/>
    <w:rsid w:val="6A829867"/>
    <w:rsid w:val="6A878D05"/>
    <w:rsid w:val="6A8B0E8A"/>
    <w:rsid w:val="6A8CAE02"/>
    <w:rsid w:val="6A8D0F7E"/>
    <w:rsid w:val="6A8D74AE"/>
    <w:rsid w:val="6A91C9A4"/>
    <w:rsid w:val="6A997C4C"/>
    <w:rsid w:val="6A9B0883"/>
    <w:rsid w:val="6A9E54BE"/>
    <w:rsid w:val="6AA8037D"/>
    <w:rsid w:val="6AAA8871"/>
    <w:rsid w:val="6AB03A56"/>
    <w:rsid w:val="6AB22871"/>
    <w:rsid w:val="6AB5837D"/>
    <w:rsid w:val="6AC49F6C"/>
    <w:rsid w:val="6AD1ECBF"/>
    <w:rsid w:val="6ADE33E3"/>
    <w:rsid w:val="6ADF8C5D"/>
    <w:rsid w:val="6ADFF43B"/>
    <w:rsid w:val="6AE0E46C"/>
    <w:rsid w:val="6AEA9332"/>
    <w:rsid w:val="6AEEE5F7"/>
    <w:rsid w:val="6AF1DB61"/>
    <w:rsid w:val="6AF579F5"/>
    <w:rsid w:val="6AFD78B7"/>
    <w:rsid w:val="6B00794B"/>
    <w:rsid w:val="6B00D789"/>
    <w:rsid w:val="6B02F888"/>
    <w:rsid w:val="6B061B2C"/>
    <w:rsid w:val="6B061BDD"/>
    <w:rsid w:val="6B06680E"/>
    <w:rsid w:val="6B075D17"/>
    <w:rsid w:val="6B09EEF6"/>
    <w:rsid w:val="6B11C442"/>
    <w:rsid w:val="6B14319D"/>
    <w:rsid w:val="6B1F8EE6"/>
    <w:rsid w:val="6B278280"/>
    <w:rsid w:val="6B2A0945"/>
    <w:rsid w:val="6B35E706"/>
    <w:rsid w:val="6B43A9F1"/>
    <w:rsid w:val="6B45450C"/>
    <w:rsid w:val="6B4E79EA"/>
    <w:rsid w:val="6B4E8DB4"/>
    <w:rsid w:val="6B54CE7E"/>
    <w:rsid w:val="6B557F36"/>
    <w:rsid w:val="6B59A377"/>
    <w:rsid w:val="6B690D38"/>
    <w:rsid w:val="6B69C2A8"/>
    <w:rsid w:val="6B706D36"/>
    <w:rsid w:val="6B71E56E"/>
    <w:rsid w:val="6B76ADDC"/>
    <w:rsid w:val="6B772B74"/>
    <w:rsid w:val="6B7BB885"/>
    <w:rsid w:val="6B7BEAB1"/>
    <w:rsid w:val="6B81BC94"/>
    <w:rsid w:val="6B970C8B"/>
    <w:rsid w:val="6B9BC2AF"/>
    <w:rsid w:val="6B9D77AE"/>
    <w:rsid w:val="6B9E4257"/>
    <w:rsid w:val="6BA22D6C"/>
    <w:rsid w:val="6BA44DE5"/>
    <w:rsid w:val="6BA909FE"/>
    <w:rsid w:val="6BAD4B5E"/>
    <w:rsid w:val="6BB5647B"/>
    <w:rsid w:val="6BC1A325"/>
    <w:rsid w:val="6BC8A0D0"/>
    <w:rsid w:val="6BCC7263"/>
    <w:rsid w:val="6BD9E65C"/>
    <w:rsid w:val="6BDA1C95"/>
    <w:rsid w:val="6BDBD61A"/>
    <w:rsid w:val="6BE04B35"/>
    <w:rsid w:val="6BE1A884"/>
    <w:rsid w:val="6BE1EFB7"/>
    <w:rsid w:val="6BE54C9A"/>
    <w:rsid w:val="6BED4DFA"/>
    <w:rsid w:val="6BF3ACFD"/>
    <w:rsid w:val="6BF5225F"/>
    <w:rsid w:val="6BF56E26"/>
    <w:rsid w:val="6BFBCACA"/>
    <w:rsid w:val="6BFF9960"/>
    <w:rsid w:val="6C01B30D"/>
    <w:rsid w:val="6C07D661"/>
    <w:rsid w:val="6C10B57C"/>
    <w:rsid w:val="6C118E90"/>
    <w:rsid w:val="6C1234BD"/>
    <w:rsid w:val="6C14D006"/>
    <w:rsid w:val="6C154699"/>
    <w:rsid w:val="6C1D3DC3"/>
    <w:rsid w:val="6C278105"/>
    <w:rsid w:val="6C281EC7"/>
    <w:rsid w:val="6C2C48FE"/>
    <w:rsid w:val="6C2DE2AA"/>
    <w:rsid w:val="6C3204FF"/>
    <w:rsid w:val="6C3E505E"/>
    <w:rsid w:val="6C3F2AA8"/>
    <w:rsid w:val="6C3FE2A3"/>
    <w:rsid w:val="6C423B84"/>
    <w:rsid w:val="6C423F2A"/>
    <w:rsid w:val="6C4BD572"/>
    <w:rsid w:val="6C4C9A4F"/>
    <w:rsid w:val="6C4E4901"/>
    <w:rsid w:val="6C537F81"/>
    <w:rsid w:val="6C5B0470"/>
    <w:rsid w:val="6C5C7160"/>
    <w:rsid w:val="6C5D8AFE"/>
    <w:rsid w:val="6C644B63"/>
    <w:rsid w:val="6C64ED29"/>
    <w:rsid w:val="6C664E4B"/>
    <w:rsid w:val="6C6957A4"/>
    <w:rsid w:val="6C6D4BD9"/>
    <w:rsid w:val="6C6FEA4A"/>
    <w:rsid w:val="6C735A42"/>
    <w:rsid w:val="6C77AEA2"/>
    <w:rsid w:val="6C9441DB"/>
    <w:rsid w:val="6CA2E8B9"/>
    <w:rsid w:val="6CA7F0ED"/>
    <w:rsid w:val="6CA881C5"/>
    <w:rsid w:val="6CB474EF"/>
    <w:rsid w:val="6CB8878B"/>
    <w:rsid w:val="6CBB31A5"/>
    <w:rsid w:val="6CBB79A2"/>
    <w:rsid w:val="6CBFF828"/>
    <w:rsid w:val="6CC12675"/>
    <w:rsid w:val="6CC12BF7"/>
    <w:rsid w:val="6CC31753"/>
    <w:rsid w:val="6CC4678A"/>
    <w:rsid w:val="6CC80FB3"/>
    <w:rsid w:val="6CCF3466"/>
    <w:rsid w:val="6CCF42D2"/>
    <w:rsid w:val="6CD0D043"/>
    <w:rsid w:val="6CD0ED6A"/>
    <w:rsid w:val="6CD42CB4"/>
    <w:rsid w:val="6CD6EF6A"/>
    <w:rsid w:val="6CDC5FC9"/>
    <w:rsid w:val="6CDF15E8"/>
    <w:rsid w:val="6CE361AD"/>
    <w:rsid w:val="6CE3C8BF"/>
    <w:rsid w:val="6CE63DC4"/>
    <w:rsid w:val="6CE6F0A3"/>
    <w:rsid w:val="6CED1BA5"/>
    <w:rsid w:val="6CEE7565"/>
    <w:rsid w:val="6CF0C786"/>
    <w:rsid w:val="6CF8D277"/>
    <w:rsid w:val="6CF904EE"/>
    <w:rsid w:val="6CFA0911"/>
    <w:rsid w:val="6CFB2E19"/>
    <w:rsid w:val="6CFBE7F9"/>
    <w:rsid w:val="6CFE0870"/>
    <w:rsid w:val="6CFF8FCA"/>
    <w:rsid w:val="6D086283"/>
    <w:rsid w:val="6D08D9D6"/>
    <w:rsid w:val="6D0A2734"/>
    <w:rsid w:val="6D0AF9B8"/>
    <w:rsid w:val="6D0F6D22"/>
    <w:rsid w:val="6D19F398"/>
    <w:rsid w:val="6D1E605C"/>
    <w:rsid w:val="6D2455C1"/>
    <w:rsid w:val="6D25738D"/>
    <w:rsid w:val="6D2677E9"/>
    <w:rsid w:val="6D26F05F"/>
    <w:rsid w:val="6D27254E"/>
    <w:rsid w:val="6D2ADAC2"/>
    <w:rsid w:val="6D2D88AD"/>
    <w:rsid w:val="6D34E738"/>
    <w:rsid w:val="6D37CD31"/>
    <w:rsid w:val="6D3A4439"/>
    <w:rsid w:val="6D46A8FF"/>
    <w:rsid w:val="6D4CE2C0"/>
    <w:rsid w:val="6D4EF01B"/>
    <w:rsid w:val="6D52A17B"/>
    <w:rsid w:val="6D59B5E0"/>
    <w:rsid w:val="6D5A2C20"/>
    <w:rsid w:val="6D639FCB"/>
    <w:rsid w:val="6D6D1387"/>
    <w:rsid w:val="6D725DE0"/>
    <w:rsid w:val="6D7605BF"/>
    <w:rsid w:val="6D76F9A4"/>
    <w:rsid w:val="6D7A6C8F"/>
    <w:rsid w:val="6D864C70"/>
    <w:rsid w:val="6D8857FD"/>
    <w:rsid w:val="6D8A28F5"/>
    <w:rsid w:val="6D8D1FAC"/>
    <w:rsid w:val="6D90A8B1"/>
    <w:rsid w:val="6D965159"/>
    <w:rsid w:val="6D97FABF"/>
    <w:rsid w:val="6D9926AB"/>
    <w:rsid w:val="6D9CBDC9"/>
    <w:rsid w:val="6DA03CF6"/>
    <w:rsid w:val="6DA099D3"/>
    <w:rsid w:val="6DA0E977"/>
    <w:rsid w:val="6DA4E321"/>
    <w:rsid w:val="6DA6669D"/>
    <w:rsid w:val="6DABDD70"/>
    <w:rsid w:val="6DAF134B"/>
    <w:rsid w:val="6DB1AC49"/>
    <w:rsid w:val="6DB487B0"/>
    <w:rsid w:val="6DB9A19A"/>
    <w:rsid w:val="6DC16302"/>
    <w:rsid w:val="6DC31C0A"/>
    <w:rsid w:val="6DC94016"/>
    <w:rsid w:val="6DC96EDA"/>
    <w:rsid w:val="6DCB0101"/>
    <w:rsid w:val="6DD29D07"/>
    <w:rsid w:val="6DD2A945"/>
    <w:rsid w:val="6DD69E3A"/>
    <w:rsid w:val="6DD7F3E3"/>
    <w:rsid w:val="6DE4E22C"/>
    <w:rsid w:val="6DE8D527"/>
    <w:rsid w:val="6DED6526"/>
    <w:rsid w:val="6DF33E9F"/>
    <w:rsid w:val="6DF669A5"/>
    <w:rsid w:val="6DFCC432"/>
    <w:rsid w:val="6E026C5F"/>
    <w:rsid w:val="6E039B4F"/>
    <w:rsid w:val="6E0791AB"/>
    <w:rsid w:val="6E10A841"/>
    <w:rsid w:val="6E10FB36"/>
    <w:rsid w:val="6E1569EE"/>
    <w:rsid w:val="6E164FBD"/>
    <w:rsid w:val="6E1D2FC6"/>
    <w:rsid w:val="6E297EFA"/>
    <w:rsid w:val="6E31784A"/>
    <w:rsid w:val="6E3A6BDA"/>
    <w:rsid w:val="6E41C61B"/>
    <w:rsid w:val="6E47C0CB"/>
    <w:rsid w:val="6E49DE0A"/>
    <w:rsid w:val="6E55E4E5"/>
    <w:rsid w:val="6E593594"/>
    <w:rsid w:val="6E61CF9E"/>
    <w:rsid w:val="6E624CD3"/>
    <w:rsid w:val="6E67A442"/>
    <w:rsid w:val="6E68AED4"/>
    <w:rsid w:val="6E77184C"/>
    <w:rsid w:val="6E77E97B"/>
    <w:rsid w:val="6E7AE5C8"/>
    <w:rsid w:val="6E7B65B1"/>
    <w:rsid w:val="6E831615"/>
    <w:rsid w:val="6E8638CA"/>
    <w:rsid w:val="6E876CE8"/>
    <w:rsid w:val="6E8BCA38"/>
    <w:rsid w:val="6E8F1AAD"/>
    <w:rsid w:val="6E976D8D"/>
    <w:rsid w:val="6E9DC8D2"/>
    <w:rsid w:val="6E9E73C0"/>
    <w:rsid w:val="6EA1B1B9"/>
    <w:rsid w:val="6EB0CCD2"/>
    <w:rsid w:val="6EB14A71"/>
    <w:rsid w:val="6EB537B1"/>
    <w:rsid w:val="6EB8B28A"/>
    <w:rsid w:val="6EB8CF33"/>
    <w:rsid w:val="6EBAE2C0"/>
    <w:rsid w:val="6EBE481B"/>
    <w:rsid w:val="6EBF46F9"/>
    <w:rsid w:val="6EC12A2F"/>
    <w:rsid w:val="6EC71DB5"/>
    <w:rsid w:val="6EC9DE78"/>
    <w:rsid w:val="6ECF58BD"/>
    <w:rsid w:val="6ECFBD0D"/>
    <w:rsid w:val="6ED07A3A"/>
    <w:rsid w:val="6ED84DF4"/>
    <w:rsid w:val="6EE958C7"/>
    <w:rsid w:val="6EEB2F77"/>
    <w:rsid w:val="6EEF32BE"/>
    <w:rsid w:val="6EF1307C"/>
    <w:rsid w:val="6EF27D1C"/>
    <w:rsid w:val="6EF89AA8"/>
    <w:rsid w:val="6EFE3668"/>
    <w:rsid w:val="6F01F33E"/>
    <w:rsid w:val="6F04EC7D"/>
    <w:rsid w:val="6F120895"/>
    <w:rsid w:val="6F13F1AE"/>
    <w:rsid w:val="6F18FC3B"/>
    <w:rsid w:val="6F1DAA02"/>
    <w:rsid w:val="6F2130BC"/>
    <w:rsid w:val="6F23A86F"/>
    <w:rsid w:val="6F25D1A7"/>
    <w:rsid w:val="6F28E3B8"/>
    <w:rsid w:val="6F299C96"/>
    <w:rsid w:val="6F2A7A4C"/>
    <w:rsid w:val="6F35B6F0"/>
    <w:rsid w:val="6F36A85C"/>
    <w:rsid w:val="6F36EECB"/>
    <w:rsid w:val="6F3CB95F"/>
    <w:rsid w:val="6F42537F"/>
    <w:rsid w:val="6F43EBA3"/>
    <w:rsid w:val="6F4AE677"/>
    <w:rsid w:val="6F506F3F"/>
    <w:rsid w:val="6F527548"/>
    <w:rsid w:val="6F54ADD5"/>
    <w:rsid w:val="6F5B761A"/>
    <w:rsid w:val="6F5FC382"/>
    <w:rsid w:val="6F60EC32"/>
    <w:rsid w:val="6F656C6A"/>
    <w:rsid w:val="6F77F3F3"/>
    <w:rsid w:val="6F78E7E5"/>
    <w:rsid w:val="6F7F84C2"/>
    <w:rsid w:val="6F7FD556"/>
    <w:rsid w:val="6F80F69B"/>
    <w:rsid w:val="6F89FBA3"/>
    <w:rsid w:val="6F8CE8D0"/>
    <w:rsid w:val="6F8E44A6"/>
    <w:rsid w:val="6F92A23C"/>
    <w:rsid w:val="6F941E25"/>
    <w:rsid w:val="6F94D1D7"/>
    <w:rsid w:val="6F96B7CC"/>
    <w:rsid w:val="6F981CCB"/>
    <w:rsid w:val="6FA0E364"/>
    <w:rsid w:val="6FA7D9E9"/>
    <w:rsid w:val="6FAD7F59"/>
    <w:rsid w:val="6FADAA37"/>
    <w:rsid w:val="6FB587F0"/>
    <w:rsid w:val="6FB74020"/>
    <w:rsid w:val="6FC1874F"/>
    <w:rsid w:val="6FC921BB"/>
    <w:rsid w:val="6FCE3F71"/>
    <w:rsid w:val="6FD219BA"/>
    <w:rsid w:val="6FD862E6"/>
    <w:rsid w:val="6FDBC688"/>
    <w:rsid w:val="6FDECBCA"/>
    <w:rsid w:val="6FDF68FB"/>
    <w:rsid w:val="6FF08775"/>
    <w:rsid w:val="6FF6F537"/>
    <w:rsid w:val="6FFCEF64"/>
    <w:rsid w:val="7002108E"/>
    <w:rsid w:val="70066EA5"/>
    <w:rsid w:val="700EDAD6"/>
    <w:rsid w:val="700F60E2"/>
    <w:rsid w:val="7012E312"/>
    <w:rsid w:val="7014155B"/>
    <w:rsid w:val="70198C09"/>
    <w:rsid w:val="701C92E2"/>
    <w:rsid w:val="701CED86"/>
    <w:rsid w:val="7032D64D"/>
    <w:rsid w:val="7035D742"/>
    <w:rsid w:val="70386374"/>
    <w:rsid w:val="7038DAF8"/>
    <w:rsid w:val="703A9D03"/>
    <w:rsid w:val="703E685A"/>
    <w:rsid w:val="70489439"/>
    <w:rsid w:val="7048A7FA"/>
    <w:rsid w:val="704D19B6"/>
    <w:rsid w:val="704ED59F"/>
    <w:rsid w:val="70531A18"/>
    <w:rsid w:val="705346D6"/>
    <w:rsid w:val="7058FDBA"/>
    <w:rsid w:val="705AD889"/>
    <w:rsid w:val="705D0A0E"/>
    <w:rsid w:val="706477E1"/>
    <w:rsid w:val="7065B797"/>
    <w:rsid w:val="70674DD6"/>
    <w:rsid w:val="706A5B2C"/>
    <w:rsid w:val="706BE12E"/>
    <w:rsid w:val="707440B0"/>
    <w:rsid w:val="70746560"/>
    <w:rsid w:val="70873C9C"/>
    <w:rsid w:val="708C3B92"/>
    <w:rsid w:val="70900270"/>
    <w:rsid w:val="70A868AC"/>
    <w:rsid w:val="70A8A70C"/>
    <w:rsid w:val="70B1BA8E"/>
    <w:rsid w:val="70B2370C"/>
    <w:rsid w:val="70C27340"/>
    <w:rsid w:val="70C3E220"/>
    <w:rsid w:val="70C8F32D"/>
    <w:rsid w:val="70CB7C9A"/>
    <w:rsid w:val="70CE15A0"/>
    <w:rsid w:val="70CEA3D2"/>
    <w:rsid w:val="70D3BD66"/>
    <w:rsid w:val="70D99A6F"/>
    <w:rsid w:val="70DA9A3C"/>
    <w:rsid w:val="70DF48CF"/>
    <w:rsid w:val="70E449E6"/>
    <w:rsid w:val="70E9A939"/>
    <w:rsid w:val="70ECDD49"/>
    <w:rsid w:val="70F743A4"/>
    <w:rsid w:val="70FE0D23"/>
    <w:rsid w:val="70FF8A7C"/>
    <w:rsid w:val="70FF95F7"/>
    <w:rsid w:val="7106B3ED"/>
    <w:rsid w:val="71082E23"/>
    <w:rsid w:val="710BD239"/>
    <w:rsid w:val="7111A326"/>
    <w:rsid w:val="7114C74E"/>
    <w:rsid w:val="7116D2AF"/>
    <w:rsid w:val="711BA5B7"/>
    <w:rsid w:val="7120E5BF"/>
    <w:rsid w:val="7130F1A6"/>
    <w:rsid w:val="7131083E"/>
    <w:rsid w:val="713292B7"/>
    <w:rsid w:val="713943D3"/>
    <w:rsid w:val="713CBE95"/>
    <w:rsid w:val="713DB277"/>
    <w:rsid w:val="713DB692"/>
    <w:rsid w:val="713E2DB9"/>
    <w:rsid w:val="7149CD1C"/>
    <w:rsid w:val="714A2A59"/>
    <w:rsid w:val="714EB8EB"/>
    <w:rsid w:val="71507479"/>
    <w:rsid w:val="7151457C"/>
    <w:rsid w:val="71534D99"/>
    <w:rsid w:val="71559321"/>
    <w:rsid w:val="715918F6"/>
    <w:rsid w:val="71592C5B"/>
    <w:rsid w:val="7161A4DB"/>
    <w:rsid w:val="7161FD46"/>
    <w:rsid w:val="7164EF53"/>
    <w:rsid w:val="7167D7DA"/>
    <w:rsid w:val="716A00D7"/>
    <w:rsid w:val="716A548D"/>
    <w:rsid w:val="716C2956"/>
    <w:rsid w:val="71724A85"/>
    <w:rsid w:val="717314D6"/>
    <w:rsid w:val="7176A676"/>
    <w:rsid w:val="71771E35"/>
    <w:rsid w:val="7177506B"/>
    <w:rsid w:val="7181A6BF"/>
    <w:rsid w:val="718ACD86"/>
    <w:rsid w:val="718C2881"/>
    <w:rsid w:val="719130EE"/>
    <w:rsid w:val="719B172A"/>
    <w:rsid w:val="719B5EAC"/>
    <w:rsid w:val="71A47550"/>
    <w:rsid w:val="71A55CED"/>
    <w:rsid w:val="71A8D68A"/>
    <w:rsid w:val="71A986E3"/>
    <w:rsid w:val="71AB3143"/>
    <w:rsid w:val="71AB671C"/>
    <w:rsid w:val="71AE2C77"/>
    <w:rsid w:val="71B3035D"/>
    <w:rsid w:val="71C6840D"/>
    <w:rsid w:val="71CB9247"/>
    <w:rsid w:val="71CC092A"/>
    <w:rsid w:val="71CC4496"/>
    <w:rsid w:val="71CFE9D8"/>
    <w:rsid w:val="71D02D5E"/>
    <w:rsid w:val="71D518C6"/>
    <w:rsid w:val="71DA0714"/>
    <w:rsid w:val="71DC41F2"/>
    <w:rsid w:val="71E74FE9"/>
    <w:rsid w:val="71EAA4EF"/>
    <w:rsid w:val="71EC9123"/>
    <w:rsid w:val="71EDB4AD"/>
    <w:rsid w:val="71F1BA97"/>
    <w:rsid w:val="71F4B890"/>
    <w:rsid w:val="71FCC9D0"/>
    <w:rsid w:val="7209B92B"/>
    <w:rsid w:val="720B8F5E"/>
    <w:rsid w:val="720FEEB6"/>
    <w:rsid w:val="721234A7"/>
    <w:rsid w:val="72130D18"/>
    <w:rsid w:val="7216387E"/>
    <w:rsid w:val="72191985"/>
    <w:rsid w:val="721AE5EC"/>
    <w:rsid w:val="721EC0F1"/>
    <w:rsid w:val="72218826"/>
    <w:rsid w:val="722ABA5D"/>
    <w:rsid w:val="72370252"/>
    <w:rsid w:val="72372CF7"/>
    <w:rsid w:val="72380173"/>
    <w:rsid w:val="723856C2"/>
    <w:rsid w:val="723AA316"/>
    <w:rsid w:val="723CDBBF"/>
    <w:rsid w:val="72403F9E"/>
    <w:rsid w:val="72489E49"/>
    <w:rsid w:val="7248F109"/>
    <w:rsid w:val="72494F44"/>
    <w:rsid w:val="7252DB90"/>
    <w:rsid w:val="7255E44F"/>
    <w:rsid w:val="725F3A03"/>
    <w:rsid w:val="726884E8"/>
    <w:rsid w:val="7271F31A"/>
    <w:rsid w:val="727347B6"/>
    <w:rsid w:val="7276E134"/>
    <w:rsid w:val="72822E01"/>
    <w:rsid w:val="7282AA6C"/>
    <w:rsid w:val="7287B2C1"/>
    <w:rsid w:val="728B39C6"/>
    <w:rsid w:val="7291325A"/>
    <w:rsid w:val="72938265"/>
    <w:rsid w:val="72950837"/>
    <w:rsid w:val="72985C0E"/>
    <w:rsid w:val="729BDDBA"/>
    <w:rsid w:val="729C007C"/>
    <w:rsid w:val="729D95E7"/>
    <w:rsid w:val="729DDEC2"/>
    <w:rsid w:val="729F3DFA"/>
    <w:rsid w:val="72AC6F60"/>
    <w:rsid w:val="72B62146"/>
    <w:rsid w:val="72BA28F4"/>
    <w:rsid w:val="72BB4C63"/>
    <w:rsid w:val="72C708D6"/>
    <w:rsid w:val="72CD7073"/>
    <w:rsid w:val="72CE6B1F"/>
    <w:rsid w:val="72D48CCB"/>
    <w:rsid w:val="72DB2C4D"/>
    <w:rsid w:val="72DF9D65"/>
    <w:rsid w:val="72E404C1"/>
    <w:rsid w:val="72F66B0F"/>
    <w:rsid w:val="72F9D081"/>
    <w:rsid w:val="72FC1B4E"/>
    <w:rsid w:val="72FE95FE"/>
    <w:rsid w:val="7307F6D8"/>
    <w:rsid w:val="730B493D"/>
    <w:rsid w:val="730FAF88"/>
    <w:rsid w:val="731A0B23"/>
    <w:rsid w:val="732056CA"/>
    <w:rsid w:val="732425B4"/>
    <w:rsid w:val="732AC4AD"/>
    <w:rsid w:val="732B5CEE"/>
    <w:rsid w:val="732D956A"/>
    <w:rsid w:val="733CFB68"/>
    <w:rsid w:val="733F32CC"/>
    <w:rsid w:val="734571FD"/>
    <w:rsid w:val="73486CEE"/>
    <w:rsid w:val="7349244B"/>
    <w:rsid w:val="73554A7F"/>
    <w:rsid w:val="73556DD7"/>
    <w:rsid w:val="735A3B41"/>
    <w:rsid w:val="73636130"/>
    <w:rsid w:val="7369B111"/>
    <w:rsid w:val="736FBF7E"/>
    <w:rsid w:val="7375C014"/>
    <w:rsid w:val="73786391"/>
    <w:rsid w:val="737E503A"/>
    <w:rsid w:val="737F0524"/>
    <w:rsid w:val="73813335"/>
    <w:rsid w:val="738901C1"/>
    <w:rsid w:val="738AA966"/>
    <w:rsid w:val="738E48C2"/>
    <w:rsid w:val="738F7E1C"/>
    <w:rsid w:val="7393C932"/>
    <w:rsid w:val="7396B5B8"/>
    <w:rsid w:val="7399CCC0"/>
    <w:rsid w:val="73A3D191"/>
    <w:rsid w:val="73A3FAC6"/>
    <w:rsid w:val="73A9BCC2"/>
    <w:rsid w:val="73AB8221"/>
    <w:rsid w:val="73ADEDD0"/>
    <w:rsid w:val="73B019BF"/>
    <w:rsid w:val="73B55F06"/>
    <w:rsid w:val="73B7A8EE"/>
    <w:rsid w:val="73B837FC"/>
    <w:rsid w:val="73BC32B4"/>
    <w:rsid w:val="73BC42B0"/>
    <w:rsid w:val="73BD5119"/>
    <w:rsid w:val="73BE9528"/>
    <w:rsid w:val="73C53755"/>
    <w:rsid w:val="73C7AB08"/>
    <w:rsid w:val="73C7F11C"/>
    <w:rsid w:val="73C8033F"/>
    <w:rsid w:val="73CD9BE3"/>
    <w:rsid w:val="73CE1D81"/>
    <w:rsid w:val="73CFEBAC"/>
    <w:rsid w:val="73D025E3"/>
    <w:rsid w:val="73D0B580"/>
    <w:rsid w:val="73D369C0"/>
    <w:rsid w:val="73D73CC1"/>
    <w:rsid w:val="73DF26F9"/>
    <w:rsid w:val="73E179AC"/>
    <w:rsid w:val="73E1A326"/>
    <w:rsid w:val="73E2C522"/>
    <w:rsid w:val="73E2CC59"/>
    <w:rsid w:val="73E33AA1"/>
    <w:rsid w:val="73E4AE14"/>
    <w:rsid w:val="73EE812B"/>
    <w:rsid w:val="73EF1D86"/>
    <w:rsid w:val="73F05F8E"/>
    <w:rsid w:val="73F265E7"/>
    <w:rsid w:val="73F54D4E"/>
    <w:rsid w:val="73F91013"/>
    <w:rsid w:val="73F910B8"/>
    <w:rsid w:val="73FA235A"/>
    <w:rsid w:val="74046607"/>
    <w:rsid w:val="7404E127"/>
    <w:rsid w:val="740ACA12"/>
    <w:rsid w:val="740D081E"/>
    <w:rsid w:val="74131199"/>
    <w:rsid w:val="74141191"/>
    <w:rsid w:val="741638AD"/>
    <w:rsid w:val="741A2329"/>
    <w:rsid w:val="74205157"/>
    <w:rsid w:val="7425F533"/>
    <w:rsid w:val="742C3BF5"/>
    <w:rsid w:val="742EF702"/>
    <w:rsid w:val="742F170E"/>
    <w:rsid w:val="7433F146"/>
    <w:rsid w:val="7435FE98"/>
    <w:rsid w:val="7437ED15"/>
    <w:rsid w:val="743B29AE"/>
    <w:rsid w:val="743DA4B7"/>
    <w:rsid w:val="743FB833"/>
    <w:rsid w:val="7440D19D"/>
    <w:rsid w:val="7441E446"/>
    <w:rsid w:val="744418E9"/>
    <w:rsid w:val="74473CB1"/>
    <w:rsid w:val="7452ACF2"/>
    <w:rsid w:val="74539A00"/>
    <w:rsid w:val="7471216D"/>
    <w:rsid w:val="7472AC65"/>
    <w:rsid w:val="748259C4"/>
    <w:rsid w:val="748FD40C"/>
    <w:rsid w:val="74923B70"/>
    <w:rsid w:val="74A388B7"/>
    <w:rsid w:val="74AABA1B"/>
    <w:rsid w:val="74AD87DB"/>
    <w:rsid w:val="74B57728"/>
    <w:rsid w:val="74BD5DB9"/>
    <w:rsid w:val="74BEFC7A"/>
    <w:rsid w:val="74C04D29"/>
    <w:rsid w:val="74C33645"/>
    <w:rsid w:val="74C7954A"/>
    <w:rsid w:val="74CE685D"/>
    <w:rsid w:val="74DBA38E"/>
    <w:rsid w:val="74E413BE"/>
    <w:rsid w:val="74E5CB9F"/>
    <w:rsid w:val="74E8AACE"/>
    <w:rsid w:val="74EC8CBF"/>
    <w:rsid w:val="74EE7D8F"/>
    <w:rsid w:val="74EE87A8"/>
    <w:rsid w:val="74FCCB1E"/>
    <w:rsid w:val="74FDAA56"/>
    <w:rsid w:val="74FFFC76"/>
    <w:rsid w:val="7508E075"/>
    <w:rsid w:val="7512584A"/>
    <w:rsid w:val="75134680"/>
    <w:rsid w:val="75217F47"/>
    <w:rsid w:val="75236985"/>
    <w:rsid w:val="7523FA9E"/>
    <w:rsid w:val="752666B2"/>
    <w:rsid w:val="7527895D"/>
    <w:rsid w:val="75292A13"/>
    <w:rsid w:val="7533E8E8"/>
    <w:rsid w:val="75385235"/>
    <w:rsid w:val="753C937C"/>
    <w:rsid w:val="753DC0A9"/>
    <w:rsid w:val="754451EB"/>
    <w:rsid w:val="7555E28C"/>
    <w:rsid w:val="7556F3DF"/>
    <w:rsid w:val="75605F55"/>
    <w:rsid w:val="7561608C"/>
    <w:rsid w:val="7566E2C3"/>
    <w:rsid w:val="756706D5"/>
    <w:rsid w:val="7568F17C"/>
    <w:rsid w:val="756973AF"/>
    <w:rsid w:val="757036DC"/>
    <w:rsid w:val="757131C1"/>
    <w:rsid w:val="7575E11B"/>
    <w:rsid w:val="7578ADE9"/>
    <w:rsid w:val="7586E3C2"/>
    <w:rsid w:val="758B7CB4"/>
    <w:rsid w:val="758D8DED"/>
    <w:rsid w:val="759043A4"/>
    <w:rsid w:val="7591040B"/>
    <w:rsid w:val="759116D4"/>
    <w:rsid w:val="75959976"/>
    <w:rsid w:val="759ACBFD"/>
    <w:rsid w:val="759BA796"/>
    <w:rsid w:val="759E6EBE"/>
    <w:rsid w:val="75A26754"/>
    <w:rsid w:val="75A44312"/>
    <w:rsid w:val="75A83FF7"/>
    <w:rsid w:val="75A92F72"/>
    <w:rsid w:val="75AD3C3C"/>
    <w:rsid w:val="75B6420E"/>
    <w:rsid w:val="75BA99FF"/>
    <w:rsid w:val="75BC470F"/>
    <w:rsid w:val="75C7589D"/>
    <w:rsid w:val="75C7D1E4"/>
    <w:rsid w:val="75DA0D2A"/>
    <w:rsid w:val="75DBF98A"/>
    <w:rsid w:val="75DD535C"/>
    <w:rsid w:val="75DF1C03"/>
    <w:rsid w:val="75EB48A3"/>
    <w:rsid w:val="75F0B400"/>
    <w:rsid w:val="75F25FCC"/>
    <w:rsid w:val="75F30639"/>
    <w:rsid w:val="75F31CD3"/>
    <w:rsid w:val="75F3943B"/>
    <w:rsid w:val="75F6A056"/>
    <w:rsid w:val="75FA1056"/>
    <w:rsid w:val="75FC287F"/>
    <w:rsid w:val="75FCEE39"/>
    <w:rsid w:val="75FF2350"/>
    <w:rsid w:val="76087CB9"/>
    <w:rsid w:val="760A6762"/>
    <w:rsid w:val="76114662"/>
    <w:rsid w:val="76134F70"/>
    <w:rsid w:val="76149E9C"/>
    <w:rsid w:val="7616C96F"/>
    <w:rsid w:val="761F7D56"/>
    <w:rsid w:val="76207BD3"/>
    <w:rsid w:val="762311F2"/>
    <w:rsid w:val="7624AE63"/>
    <w:rsid w:val="76325E96"/>
    <w:rsid w:val="76344C88"/>
    <w:rsid w:val="763F8AA3"/>
    <w:rsid w:val="7646C650"/>
    <w:rsid w:val="76473CC2"/>
    <w:rsid w:val="764C333A"/>
    <w:rsid w:val="76548921"/>
    <w:rsid w:val="7658A910"/>
    <w:rsid w:val="7658FAAE"/>
    <w:rsid w:val="766222C1"/>
    <w:rsid w:val="766747DF"/>
    <w:rsid w:val="76709425"/>
    <w:rsid w:val="7675A76B"/>
    <w:rsid w:val="767F88E0"/>
    <w:rsid w:val="7680EF1B"/>
    <w:rsid w:val="768696D8"/>
    <w:rsid w:val="7687527A"/>
    <w:rsid w:val="76943201"/>
    <w:rsid w:val="76978583"/>
    <w:rsid w:val="769DE91F"/>
    <w:rsid w:val="76A84C1B"/>
    <w:rsid w:val="76AA9BCC"/>
    <w:rsid w:val="76AB2AFE"/>
    <w:rsid w:val="76B1AD0D"/>
    <w:rsid w:val="76B71296"/>
    <w:rsid w:val="76B9D12A"/>
    <w:rsid w:val="76BA1B5A"/>
    <w:rsid w:val="76BA68FE"/>
    <w:rsid w:val="76BD630D"/>
    <w:rsid w:val="76C3EFB4"/>
    <w:rsid w:val="76C61366"/>
    <w:rsid w:val="76C7CF3B"/>
    <w:rsid w:val="76C9AE22"/>
    <w:rsid w:val="76C9ECA9"/>
    <w:rsid w:val="76CF784A"/>
    <w:rsid w:val="76D2A1D6"/>
    <w:rsid w:val="76E154EA"/>
    <w:rsid w:val="76E2FAE1"/>
    <w:rsid w:val="76E87AA2"/>
    <w:rsid w:val="76E91D7B"/>
    <w:rsid w:val="76EA98EF"/>
    <w:rsid w:val="76EAC023"/>
    <w:rsid w:val="76ECBDC8"/>
    <w:rsid w:val="76F32780"/>
    <w:rsid w:val="76F579B5"/>
    <w:rsid w:val="76F5EF28"/>
    <w:rsid w:val="76F79990"/>
    <w:rsid w:val="76FABCE5"/>
    <w:rsid w:val="770E7332"/>
    <w:rsid w:val="77102D15"/>
    <w:rsid w:val="7712A9E8"/>
    <w:rsid w:val="77170438"/>
    <w:rsid w:val="7718779D"/>
    <w:rsid w:val="771A65E4"/>
    <w:rsid w:val="771D2486"/>
    <w:rsid w:val="7722674F"/>
    <w:rsid w:val="7726BE48"/>
    <w:rsid w:val="772D7CF2"/>
    <w:rsid w:val="772F885E"/>
    <w:rsid w:val="773211B5"/>
    <w:rsid w:val="77324AFD"/>
    <w:rsid w:val="7732E61E"/>
    <w:rsid w:val="773D87B8"/>
    <w:rsid w:val="7742BFF4"/>
    <w:rsid w:val="7743BB49"/>
    <w:rsid w:val="77463125"/>
    <w:rsid w:val="774B467F"/>
    <w:rsid w:val="7750176C"/>
    <w:rsid w:val="77532722"/>
    <w:rsid w:val="775B0230"/>
    <w:rsid w:val="775DFF78"/>
    <w:rsid w:val="7760B2D5"/>
    <w:rsid w:val="77636489"/>
    <w:rsid w:val="77648BB4"/>
    <w:rsid w:val="7764F75A"/>
    <w:rsid w:val="7770D58A"/>
    <w:rsid w:val="777B1CC9"/>
    <w:rsid w:val="777DB4BA"/>
    <w:rsid w:val="777F8CCB"/>
    <w:rsid w:val="77847043"/>
    <w:rsid w:val="77971B9F"/>
    <w:rsid w:val="779B08D0"/>
    <w:rsid w:val="779B662A"/>
    <w:rsid w:val="779BFA07"/>
    <w:rsid w:val="77A25E39"/>
    <w:rsid w:val="77A7FFE0"/>
    <w:rsid w:val="77A8451F"/>
    <w:rsid w:val="77AA5346"/>
    <w:rsid w:val="77B7A11D"/>
    <w:rsid w:val="77B85D4D"/>
    <w:rsid w:val="77B8EDDD"/>
    <w:rsid w:val="77B9CC13"/>
    <w:rsid w:val="77BC873F"/>
    <w:rsid w:val="77CA9214"/>
    <w:rsid w:val="77CCEEB1"/>
    <w:rsid w:val="77CD8287"/>
    <w:rsid w:val="77CDAFCD"/>
    <w:rsid w:val="77D6DCF7"/>
    <w:rsid w:val="77D9C78F"/>
    <w:rsid w:val="77DEBA60"/>
    <w:rsid w:val="77E3CABB"/>
    <w:rsid w:val="77F49FF0"/>
    <w:rsid w:val="77F60FF9"/>
    <w:rsid w:val="78023533"/>
    <w:rsid w:val="7807104D"/>
    <w:rsid w:val="78073D22"/>
    <w:rsid w:val="780C285C"/>
    <w:rsid w:val="780E0DE3"/>
    <w:rsid w:val="781445F4"/>
    <w:rsid w:val="7817E8BA"/>
    <w:rsid w:val="781A0366"/>
    <w:rsid w:val="78207BCF"/>
    <w:rsid w:val="7820D192"/>
    <w:rsid w:val="78251A31"/>
    <w:rsid w:val="78295F36"/>
    <w:rsid w:val="782C8538"/>
    <w:rsid w:val="78320692"/>
    <w:rsid w:val="78335186"/>
    <w:rsid w:val="78348267"/>
    <w:rsid w:val="783767E0"/>
    <w:rsid w:val="78394359"/>
    <w:rsid w:val="783E0134"/>
    <w:rsid w:val="78476CB2"/>
    <w:rsid w:val="785DB287"/>
    <w:rsid w:val="78646879"/>
    <w:rsid w:val="78667580"/>
    <w:rsid w:val="786D97D1"/>
    <w:rsid w:val="786E4F16"/>
    <w:rsid w:val="7872DF60"/>
    <w:rsid w:val="7881820A"/>
    <w:rsid w:val="788B6F81"/>
    <w:rsid w:val="788E761F"/>
    <w:rsid w:val="7892ABCC"/>
    <w:rsid w:val="7893EB85"/>
    <w:rsid w:val="78A0B83C"/>
    <w:rsid w:val="78A34E97"/>
    <w:rsid w:val="78A4C34A"/>
    <w:rsid w:val="78A6E5A5"/>
    <w:rsid w:val="78A8A7F4"/>
    <w:rsid w:val="78AEA6A8"/>
    <w:rsid w:val="78B44BBE"/>
    <w:rsid w:val="78B9581E"/>
    <w:rsid w:val="78C03810"/>
    <w:rsid w:val="78C03906"/>
    <w:rsid w:val="78C16175"/>
    <w:rsid w:val="78C1F9BB"/>
    <w:rsid w:val="78C3D0B1"/>
    <w:rsid w:val="78CB2BFC"/>
    <w:rsid w:val="78CEE00A"/>
    <w:rsid w:val="78D408C7"/>
    <w:rsid w:val="78D7D042"/>
    <w:rsid w:val="78DD10B5"/>
    <w:rsid w:val="78EFCEB9"/>
    <w:rsid w:val="78F00788"/>
    <w:rsid w:val="78F733E4"/>
    <w:rsid w:val="79028E1E"/>
    <w:rsid w:val="790BDFA4"/>
    <w:rsid w:val="790E8AAD"/>
    <w:rsid w:val="790ED338"/>
    <w:rsid w:val="7912BF0E"/>
    <w:rsid w:val="79162A67"/>
    <w:rsid w:val="79179EC3"/>
    <w:rsid w:val="79208C5D"/>
    <w:rsid w:val="7920F2C8"/>
    <w:rsid w:val="7921F6D0"/>
    <w:rsid w:val="7922B673"/>
    <w:rsid w:val="7928430D"/>
    <w:rsid w:val="7928C7F3"/>
    <w:rsid w:val="792E5AD7"/>
    <w:rsid w:val="7937F85F"/>
    <w:rsid w:val="793A28D1"/>
    <w:rsid w:val="793B4741"/>
    <w:rsid w:val="79461D88"/>
    <w:rsid w:val="79493F42"/>
    <w:rsid w:val="794AF815"/>
    <w:rsid w:val="79513686"/>
    <w:rsid w:val="79585767"/>
    <w:rsid w:val="795BC050"/>
    <w:rsid w:val="795F79BD"/>
    <w:rsid w:val="7960C5D4"/>
    <w:rsid w:val="7971BC23"/>
    <w:rsid w:val="7974FD77"/>
    <w:rsid w:val="79798D94"/>
    <w:rsid w:val="797B23CB"/>
    <w:rsid w:val="79845768"/>
    <w:rsid w:val="798C95CC"/>
    <w:rsid w:val="7990A117"/>
    <w:rsid w:val="799AAC07"/>
    <w:rsid w:val="799C471F"/>
    <w:rsid w:val="79A96550"/>
    <w:rsid w:val="79A995F9"/>
    <w:rsid w:val="79B1689E"/>
    <w:rsid w:val="79B1F4F8"/>
    <w:rsid w:val="79B27819"/>
    <w:rsid w:val="79BFD318"/>
    <w:rsid w:val="79C08FE8"/>
    <w:rsid w:val="79C321FF"/>
    <w:rsid w:val="79C39389"/>
    <w:rsid w:val="79C7F957"/>
    <w:rsid w:val="79CDC475"/>
    <w:rsid w:val="79D10574"/>
    <w:rsid w:val="79DA714F"/>
    <w:rsid w:val="79DC7510"/>
    <w:rsid w:val="79E2165D"/>
    <w:rsid w:val="79E272CC"/>
    <w:rsid w:val="79EEB358"/>
    <w:rsid w:val="79F25196"/>
    <w:rsid w:val="79F32566"/>
    <w:rsid w:val="79F7F04E"/>
    <w:rsid w:val="79FA763C"/>
    <w:rsid w:val="79FCC2A1"/>
    <w:rsid w:val="7A0A0B15"/>
    <w:rsid w:val="7A107437"/>
    <w:rsid w:val="7A144909"/>
    <w:rsid w:val="7A18E0C3"/>
    <w:rsid w:val="7A19D823"/>
    <w:rsid w:val="7A1B850F"/>
    <w:rsid w:val="7A2277D7"/>
    <w:rsid w:val="7A2835C1"/>
    <w:rsid w:val="7A32CC82"/>
    <w:rsid w:val="7A3587FA"/>
    <w:rsid w:val="7A3F0917"/>
    <w:rsid w:val="7A3F7FF3"/>
    <w:rsid w:val="7A3FCD52"/>
    <w:rsid w:val="7A44B2BD"/>
    <w:rsid w:val="7A488D9E"/>
    <w:rsid w:val="7A50A69A"/>
    <w:rsid w:val="7A51D0E6"/>
    <w:rsid w:val="7A51D9AD"/>
    <w:rsid w:val="7A56F24B"/>
    <w:rsid w:val="7A5E49E6"/>
    <w:rsid w:val="7A6D19AC"/>
    <w:rsid w:val="7A6F66A5"/>
    <w:rsid w:val="7A7164AD"/>
    <w:rsid w:val="7A72F9C7"/>
    <w:rsid w:val="7A75A473"/>
    <w:rsid w:val="7A7B28F6"/>
    <w:rsid w:val="7A7DBF69"/>
    <w:rsid w:val="7A816284"/>
    <w:rsid w:val="7A82F8F3"/>
    <w:rsid w:val="7A8AB309"/>
    <w:rsid w:val="7A8CBF69"/>
    <w:rsid w:val="7A8E23AF"/>
    <w:rsid w:val="7A972C8D"/>
    <w:rsid w:val="7A9C36CE"/>
    <w:rsid w:val="7A9D4CBA"/>
    <w:rsid w:val="7A9EF681"/>
    <w:rsid w:val="7A9FD5DE"/>
    <w:rsid w:val="7AA29BD0"/>
    <w:rsid w:val="7AA591DC"/>
    <w:rsid w:val="7AAA1FE3"/>
    <w:rsid w:val="7AABCBE1"/>
    <w:rsid w:val="7AB1BB40"/>
    <w:rsid w:val="7AB23685"/>
    <w:rsid w:val="7AB8B599"/>
    <w:rsid w:val="7ABEE3E5"/>
    <w:rsid w:val="7AC607EB"/>
    <w:rsid w:val="7AD80B1A"/>
    <w:rsid w:val="7AD84572"/>
    <w:rsid w:val="7AD9E8BF"/>
    <w:rsid w:val="7ADCAE8C"/>
    <w:rsid w:val="7AE58F5B"/>
    <w:rsid w:val="7AECB7AD"/>
    <w:rsid w:val="7AF19B48"/>
    <w:rsid w:val="7AF2FF1F"/>
    <w:rsid w:val="7AF8610C"/>
    <w:rsid w:val="7AF9F0F3"/>
    <w:rsid w:val="7B0380CF"/>
    <w:rsid w:val="7B11CF58"/>
    <w:rsid w:val="7B18BBA1"/>
    <w:rsid w:val="7B1DAF04"/>
    <w:rsid w:val="7B1DE01C"/>
    <w:rsid w:val="7B2321A0"/>
    <w:rsid w:val="7B27DA45"/>
    <w:rsid w:val="7B28D7A2"/>
    <w:rsid w:val="7B28D7FE"/>
    <w:rsid w:val="7B2A499C"/>
    <w:rsid w:val="7B2B68AF"/>
    <w:rsid w:val="7B2E6912"/>
    <w:rsid w:val="7B302DDA"/>
    <w:rsid w:val="7B314A91"/>
    <w:rsid w:val="7B345C7B"/>
    <w:rsid w:val="7B448C4B"/>
    <w:rsid w:val="7B452013"/>
    <w:rsid w:val="7B46FDFD"/>
    <w:rsid w:val="7B4FBCAA"/>
    <w:rsid w:val="7B5268A6"/>
    <w:rsid w:val="7B572950"/>
    <w:rsid w:val="7B5B072D"/>
    <w:rsid w:val="7B6DAD64"/>
    <w:rsid w:val="7B6F56BD"/>
    <w:rsid w:val="7B71F042"/>
    <w:rsid w:val="7B7C26B2"/>
    <w:rsid w:val="7B87E578"/>
    <w:rsid w:val="7B89997E"/>
    <w:rsid w:val="7B89C110"/>
    <w:rsid w:val="7B9137E1"/>
    <w:rsid w:val="7B91752D"/>
    <w:rsid w:val="7BA3E7EA"/>
    <w:rsid w:val="7BA45AD9"/>
    <w:rsid w:val="7BA493C9"/>
    <w:rsid w:val="7BA498E8"/>
    <w:rsid w:val="7BA83B41"/>
    <w:rsid w:val="7BAC2BB9"/>
    <w:rsid w:val="7BACBA2E"/>
    <w:rsid w:val="7BAD447E"/>
    <w:rsid w:val="7BB043DC"/>
    <w:rsid w:val="7BB86437"/>
    <w:rsid w:val="7BB8D1B4"/>
    <w:rsid w:val="7BB9AB3E"/>
    <w:rsid w:val="7BBC8E9E"/>
    <w:rsid w:val="7BC06072"/>
    <w:rsid w:val="7BC17A1F"/>
    <w:rsid w:val="7BCDD6AF"/>
    <w:rsid w:val="7BD44126"/>
    <w:rsid w:val="7BD92394"/>
    <w:rsid w:val="7BDC640C"/>
    <w:rsid w:val="7BE17BD5"/>
    <w:rsid w:val="7BE40EE1"/>
    <w:rsid w:val="7BED96A1"/>
    <w:rsid w:val="7BEF8F93"/>
    <w:rsid w:val="7BF1958D"/>
    <w:rsid w:val="7BF1A462"/>
    <w:rsid w:val="7BF34AD3"/>
    <w:rsid w:val="7BF71C46"/>
    <w:rsid w:val="7BFC46E6"/>
    <w:rsid w:val="7BFD2BF8"/>
    <w:rsid w:val="7BFEDB26"/>
    <w:rsid w:val="7BFFB3C4"/>
    <w:rsid w:val="7C01015D"/>
    <w:rsid w:val="7C04D062"/>
    <w:rsid w:val="7C0680B3"/>
    <w:rsid w:val="7C0B9385"/>
    <w:rsid w:val="7C0C6E94"/>
    <w:rsid w:val="7C0E1A6F"/>
    <w:rsid w:val="7C1EFB86"/>
    <w:rsid w:val="7C2656F4"/>
    <w:rsid w:val="7C2BA4BF"/>
    <w:rsid w:val="7C340B16"/>
    <w:rsid w:val="7C362CA7"/>
    <w:rsid w:val="7C375A40"/>
    <w:rsid w:val="7C3996FD"/>
    <w:rsid w:val="7C3B0D1E"/>
    <w:rsid w:val="7C4627B8"/>
    <w:rsid w:val="7C53ACFD"/>
    <w:rsid w:val="7C54B097"/>
    <w:rsid w:val="7C66DB9A"/>
    <w:rsid w:val="7C6BD66A"/>
    <w:rsid w:val="7C6F5AF3"/>
    <w:rsid w:val="7C767FA6"/>
    <w:rsid w:val="7C812D42"/>
    <w:rsid w:val="7C83D461"/>
    <w:rsid w:val="7C858B14"/>
    <w:rsid w:val="7C87038B"/>
    <w:rsid w:val="7C89186F"/>
    <w:rsid w:val="7C8DA1F8"/>
    <w:rsid w:val="7C907A6D"/>
    <w:rsid w:val="7C910DF6"/>
    <w:rsid w:val="7C91EDAE"/>
    <w:rsid w:val="7C95B243"/>
    <w:rsid w:val="7C96AC60"/>
    <w:rsid w:val="7C974045"/>
    <w:rsid w:val="7C9D77DC"/>
    <w:rsid w:val="7CA0D0C6"/>
    <w:rsid w:val="7CA1AE8B"/>
    <w:rsid w:val="7CA27A0F"/>
    <w:rsid w:val="7CACC3AF"/>
    <w:rsid w:val="7CB00F79"/>
    <w:rsid w:val="7CBA0FBC"/>
    <w:rsid w:val="7CBDD6B4"/>
    <w:rsid w:val="7CC01399"/>
    <w:rsid w:val="7CC1FE9E"/>
    <w:rsid w:val="7CCA8B59"/>
    <w:rsid w:val="7CCE36C9"/>
    <w:rsid w:val="7CD14EFD"/>
    <w:rsid w:val="7CD25A40"/>
    <w:rsid w:val="7CD3C3D5"/>
    <w:rsid w:val="7CD83742"/>
    <w:rsid w:val="7CD9B4FA"/>
    <w:rsid w:val="7CDBC468"/>
    <w:rsid w:val="7CDFD742"/>
    <w:rsid w:val="7CE0E2F9"/>
    <w:rsid w:val="7CE42944"/>
    <w:rsid w:val="7CEBDCEF"/>
    <w:rsid w:val="7CECABD1"/>
    <w:rsid w:val="7CEDCCE4"/>
    <w:rsid w:val="7CEE5E7F"/>
    <w:rsid w:val="7CF5FF96"/>
    <w:rsid w:val="7CF89D2D"/>
    <w:rsid w:val="7CFA8CC1"/>
    <w:rsid w:val="7CFD89BE"/>
    <w:rsid w:val="7D009893"/>
    <w:rsid w:val="7D03805E"/>
    <w:rsid w:val="7D038994"/>
    <w:rsid w:val="7D04B52F"/>
    <w:rsid w:val="7D0ACE40"/>
    <w:rsid w:val="7D0CF43A"/>
    <w:rsid w:val="7D114EF9"/>
    <w:rsid w:val="7D1378F9"/>
    <w:rsid w:val="7D18F1BB"/>
    <w:rsid w:val="7D1A9412"/>
    <w:rsid w:val="7D1BB65F"/>
    <w:rsid w:val="7D1C6D71"/>
    <w:rsid w:val="7D1CEE94"/>
    <w:rsid w:val="7D1FA9C6"/>
    <w:rsid w:val="7D22B852"/>
    <w:rsid w:val="7D2645EB"/>
    <w:rsid w:val="7D267876"/>
    <w:rsid w:val="7D2B4B3C"/>
    <w:rsid w:val="7D2C4407"/>
    <w:rsid w:val="7D2D9EAA"/>
    <w:rsid w:val="7D3125DD"/>
    <w:rsid w:val="7D3609BA"/>
    <w:rsid w:val="7D3CDE36"/>
    <w:rsid w:val="7D3D11A1"/>
    <w:rsid w:val="7D4CADF8"/>
    <w:rsid w:val="7D4EBB1D"/>
    <w:rsid w:val="7D51372A"/>
    <w:rsid w:val="7D536F67"/>
    <w:rsid w:val="7D5741EF"/>
    <w:rsid w:val="7D62C720"/>
    <w:rsid w:val="7D641231"/>
    <w:rsid w:val="7D6424E1"/>
    <w:rsid w:val="7D689692"/>
    <w:rsid w:val="7D69FE69"/>
    <w:rsid w:val="7D71F4FB"/>
    <w:rsid w:val="7D73B361"/>
    <w:rsid w:val="7D7BB887"/>
    <w:rsid w:val="7D7E632F"/>
    <w:rsid w:val="7D7E6573"/>
    <w:rsid w:val="7D8997F8"/>
    <w:rsid w:val="7D8B0E59"/>
    <w:rsid w:val="7D8F07ED"/>
    <w:rsid w:val="7D8F221E"/>
    <w:rsid w:val="7D991421"/>
    <w:rsid w:val="7DA047BB"/>
    <w:rsid w:val="7DA0B851"/>
    <w:rsid w:val="7DA2CA2F"/>
    <w:rsid w:val="7DA76B86"/>
    <w:rsid w:val="7DB4A5C1"/>
    <w:rsid w:val="7DB6BD9D"/>
    <w:rsid w:val="7DBD80AA"/>
    <w:rsid w:val="7DBEA7F4"/>
    <w:rsid w:val="7DBED990"/>
    <w:rsid w:val="7DBEDF87"/>
    <w:rsid w:val="7DC5FA36"/>
    <w:rsid w:val="7DC7F23E"/>
    <w:rsid w:val="7DC8EE11"/>
    <w:rsid w:val="7DD3871D"/>
    <w:rsid w:val="7DDC4D08"/>
    <w:rsid w:val="7DDEA525"/>
    <w:rsid w:val="7DDF66F2"/>
    <w:rsid w:val="7DE57C58"/>
    <w:rsid w:val="7DEBC8B0"/>
    <w:rsid w:val="7DEDEE4F"/>
    <w:rsid w:val="7DF14664"/>
    <w:rsid w:val="7DF1FF4C"/>
    <w:rsid w:val="7DF68B7E"/>
    <w:rsid w:val="7DFEA8D4"/>
    <w:rsid w:val="7E12F911"/>
    <w:rsid w:val="7E132D74"/>
    <w:rsid w:val="7E1778CC"/>
    <w:rsid w:val="7E1B7373"/>
    <w:rsid w:val="7E254E6D"/>
    <w:rsid w:val="7E282656"/>
    <w:rsid w:val="7E2922C4"/>
    <w:rsid w:val="7E33AD5B"/>
    <w:rsid w:val="7E356C91"/>
    <w:rsid w:val="7E3B3E22"/>
    <w:rsid w:val="7E3D37A7"/>
    <w:rsid w:val="7E3FA289"/>
    <w:rsid w:val="7E46DF95"/>
    <w:rsid w:val="7E4B31E3"/>
    <w:rsid w:val="7E4D4575"/>
    <w:rsid w:val="7E5504B0"/>
    <w:rsid w:val="7E5548B8"/>
    <w:rsid w:val="7E5F2E7C"/>
    <w:rsid w:val="7E607298"/>
    <w:rsid w:val="7E634DDD"/>
    <w:rsid w:val="7E68B000"/>
    <w:rsid w:val="7E68CBA1"/>
    <w:rsid w:val="7E6A9875"/>
    <w:rsid w:val="7E6C52FC"/>
    <w:rsid w:val="7E6D0409"/>
    <w:rsid w:val="7E76C0CD"/>
    <w:rsid w:val="7E77F368"/>
    <w:rsid w:val="7E7BAF24"/>
    <w:rsid w:val="7E878D13"/>
    <w:rsid w:val="7E879B5C"/>
    <w:rsid w:val="7E8CC24E"/>
    <w:rsid w:val="7E91F4FF"/>
    <w:rsid w:val="7E92D34D"/>
    <w:rsid w:val="7E974FDD"/>
    <w:rsid w:val="7E98DBFA"/>
    <w:rsid w:val="7E9ACDD4"/>
    <w:rsid w:val="7EAF30EA"/>
    <w:rsid w:val="7EB00ED1"/>
    <w:rsid w:val="7EB28B75"/>
    <w:rsid w:val="7EB5054C"/>
    <w:rsid w:val="7EB920ED"/>
    <w:rsid w:val="7EC14F9A"/>
    <w:rsid w:val="7EC23A86"/>
    <w:rsid w:val="7EC5D0C1"/>
    <w:rsid w:val="7EC652D8"/>
    <w:rsid w:val="7ECEA708"/>
    <w:rsid w:val="7ED40F10"/>
    <w:rsid w:val="7EDC9002"/>
    <w:rsid w:val="7EE61561"/>
    <w:rsid w:val="7EE76B75"/>
    <w:rsid w:val="7EE9AA9D"/>
    <w:rsid w:val="7EEB4FD7"/>
    <w:rsid w:val="7EEE23BD"/>
    <w:rsid w:val="7EF140C3"/>
    <w:rsid w:val="7EF71434"/>
    <w:rsid w:val="7EF8CE15"/>
    <w:rsid w:val="7EF961FA"/>
    <w:rsid w:val="7EFDF0C5"/>
    <w:rsid w:val="7F01C69B"/>
    <w:rsid w:val="7F0A0B80"/>
    <w:rsid w:val="7F1762E2"/>
    <w:rsid w:val="7F181608"/>
    <w:rsid w:val="7F18A1BD"/>
    <w:rsid w:val="7F191160"/>
    <w:rsid w:val="7F1A02F2"/>
    <w:rsid w:val="7F1A14CA"/>
    <w:rsid w:val="7F1B7216"/>
    <w:rsid w:val="7F1F2DD3"/>
    <w:rsid w:val="7F1F4248"/>
    <w:rsid w:val="7F1FE83F"/>
    <w:rsid w:val="7F2C3E99"/>
    <w:rsid w:val="7F31F970"/>
    <w:rsid w:val="7F34516C"/>
    <w:rsid w:val="7F3469AF"/>
    <w:rsid w:val="7F34E8E7"/>
    <w:rsid w:val="7F3A6D47"/>
    <w:rsid w:val="7F3CA1BA"/>
    <w:rsid w:val="7F3E3E34"/>
    <w:rsid w:val="7F3FD79B"/>
    <w:rsid w:val="7F46F33D"/>
    <w:rsid w:val="7F498A67"/>
    <w:rsid w:val="7F4AB61D"/>
    <w:rsid w:val="7F4D751F"/>
    <w:rsid w:val="7F5C3686"/>
    <w:rsid w:val="7F636914"/>
    <w:rsid w:val="7F649F4B"/>
    <w:rsid w:val="7F6AC501"/>
    <w:rsid w:val="7F76BFA9"/>
    <w:rsid w:val="7F7B44EC"/>
    <w:rsid w:val="7F80FE34"/>
    <w:rsid w:val="7F81850D"/>
    <w:rsid w:val="7F81D4CA"/>
    <w:rsid w:val="7F823B21"/>
    <w:rsid w:val="7F8A7C77"/>
    <w:rsid w:val="7F93A54A"/>
    <w:rsid w:val="7F98FA80"/>
    <w:rsid w:val="7F9B7B4A"/>
    <w:rsid w:val="7F9F3FCF"/>
    <w:rsid w:val="7FA22D84"/>
    <w:rsid w:val="7FA73ABE"/>
    <w:rsid w:val="7FA8A6B5"/>
    <w:rsid w:val="7FA8F3FB"/>
    <w:rsid w:val="7FAB5A26"/>
    <w:rsid w:val="7FAF7E3E"/>
    <w:rsid w:val="7FB76F43"/>
    <w:rsid w:val="7FC336D9"/>
    <w:rsid w:val="7FC4FF53"/>
    <w:rsid w:val="7FC6F33E"/>
    <w:rsid w:val="7FC9E983"/>
    <w:rsid w:val="7FD584ED"/>
    <w:rsid w:val="7FDB7F6D"/>
    <w:rsid w:val="7FDC12F4"/>
    <w:rsid w:val="7FDCC267"/>
    <w:rsid w:val="7FF2210E"/>
    <w:rsid w:val="7FFF6C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725D5"/>
  <w15:chartTrackingRefBased/>
  <w15:docId w15:val="{E674CF4A-3564-4A48-B0D0-1AE54FA86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92F"/>
    <w:rPr>
      <w:rFonts w:ascii="Arial" w:eastAsia="Times New Roman" w:hAnsi="Arial" w:cs="Arial"/>
      <w:lang w:eastAsia="en-AU"/>
    </w:rPr>
  </w:style>
  <w:style w:type="paragraph" w:styleId="Heading1">
    <w:name w:val="heading 1"/>
    <w:basedOn w:val="Normal"/>
    <w:next w:val="Normal"/>
    <w:link w:val="Heading1Char"/>
    <w:uiPriority w:val="9"/>
    <w:qFormat/>
    <w:rsid w:val="00DF6D84"/>
    <w:pPr>
      <w:keepNext/>
      <w:keepLines/>
      <w:spacing w:after="0"/>
      <w:outlineLvl w:val="0"/>
    </w:pPr>
    <w:rPr>
      <w:rFonts w:ascii="Century Gothic" w:eastAsiaTheme="majorEastAsia" w:hAnsi="Century Gothic" w:cstheme="majorBidi"/>
      <w:color w:val="3C4559"/>
      <w:sz w:val="40"/>
      <w:szCs w:val="52"/>
    </w:rPr>
  </w:style>
  <w:style w:type="paragraph" w:styleId="Heading2">
    <w:name w:val="heading 2"/>
    <w:basedOn w:val="Normal"/>
    <w:next w:val="Normal"/>
    <w:link w:val="Heading2Char"/>
    <w:uiPriority w:val="9"/>
    <w:unhideWhenUsed/>
    <w:qFormat/>
    <w:rsid w:val="00EF4DBB"/>
    <w:pPr>
      <w:keepNext/>
      <w:keepLines/>
      <w:outlineLvl w:val="1"/>
    </w:pPr>
    <w:rPr>
      <w:rFonts w:ascii="Century Gothic" w:eastAsiaTheme="majorEastAsia" w:hAnsi="Century Gothic"/>
      <w:color w:val="2E74B5" w:themeColor="accent1" w:themeShade="BF"/>
      <w:sz w:val="44"/>
      <w:szCs w:val="44"/>
    </w:rPr>
  </w:style>
  <w:style w:type="paragraph" w:styleId="Heading3">
    <w:name w:val="heading 3"/>
    <w:basedOn w:val="Normal"/>
    <w:next w:val="Normal"/>
    <w:link w:val="Heading3Char"/>
    <w:uiPriority w:val="9"/>
    <w:unhideWhenUsed/>
    <w:qFormat/>
    <w:rsid w:val="00EF4DBB"/>
    <w:pPr>
      <w:keepNext/>
      <w:keepLines/>
      <w:spacing w:before="240"/>
      <w:outlineLvl w:val="2"/>
    </w:pPr>
    <w:rPr>
      <w:rFonts w:ascii="Century Gothic" w:eastAsiaTheme="majorEastAsia" w:hAnsi="Century Gothic"/>
      <w:color w:val="2E74B5" w:themeColor="accent1" w:themeShade="BF"/>
      <w:sz w:val="32"/>
      <w:szCs w:val="32"/>
    </w:rPr>
  </w:style>
  <w:style w:type="paragraph" w:styleId="Heading4">
    <w:name w:val="heading 4"/>
    <w:basedOn w:val="Normal"/>
    <w:next w:val="Normal"/>
    <w:link w:val="Heading4Char"/>
    <w:uiPriority w:val="9"/>
    <w:unhideWhenUsed/>
    <w:qFormat/>
    <w:rsid w:val="005E0AE5"/>
    <w:pPr>
      <w:keepNext/>
      <w:keepLines/>
      <w:outlineLvl w:val="3"/>
    </w:pPr>
    <w:rPr>
      <w:rFonts w:ascii="Century Gothic" w:eastAsiaTheme="majorEastAsia" w:hAnsi="Century Gothic"/>
      <w:iCs/>
      <w:color w:val="2E74B5" w:themeColor="accent1" w:themeShade="BF"/>
      <w:sz w:val="24"/>
      <w:szCs w:val="24"/>
    </w:rPr>
  </w:style>
  <w:style w:type="paragraph" w:styleId="Heading5">
    <w:name w:val="heading 5"/>
    <w:basedOn w:val="Normal"/>
    <w:next w:val="Normal"/>
    <w:link w:val="Heading5Char"/>
    <w:uiPriority w:val="9"/>
    <w:unhideWhenUsed/>
    <w:qFormat/>
    <w:rsid w:val="00111DBC"/>
    <w:pPr>
      <w:keepNext/>
      <w:keepLines/>
      <w:spacing w:before="40" w:after="0"/>
      <w:outlineLvl w:val="4"/>
    </w:pPr>
    <w:rPr>
      <w:rFonts w:eastAsiaTheme="majorEastAsia"/>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D84"/>
    <w:rPr>
      <w:rFonts w:ascii="Century Gothic" w:eastAsiaTheme="majorEastAsia" w:hAnsi="Century Gothic" w:cstheme="majorBidi"/>
      <w:color w:val="3C4559"/>
      <w:sz w:val="40"/>
      <w:szCs w:val="52"/>
      <w:lang w:eastAsia="en-AU"/>
    </w:rPr>
  </w:style>
  <w:style w:type="character" w:customStyle="1" w:styleId="Heading2Char">
    <w:name w:val="Heading 2 Char"/>
    <w:basedOn w:val="DefaultParagraphFont"/>
    <w:link w:val="Heading2"/>
    <w:uiPriority w:val="9"/>
    <w:rsid w:val="00EF4DBB"/>
    <w:rPr>
      <w:rFonts w:ascii="Century Gothic" w:eastAsiaTheme="majorEastAsia" w:hAnsi="Century Gothic" w:cs="Arial"/>
      <w:color w:val="2E74B5" w:themeColor="accent1" w:themeShade="BF"/>
      <w:sz w:val="44"/>
      <w:szCs w:val="44"/>
      <w:lang w:eastAsia="en-AU"/>
    </w:rPr>
  </w:style>
  <w:style w:type="character" w:customStyle="1" w:styleId="Heading3Char">
    <w:name w:val="Heading 3 Char"/>
    <w:basedOn w:val="DefaultParagraphFont"/>
    <w:link w:val="Heading3"/>
    <w:uiPriority w:val="9"/>
    <w:rsid w:val="00EF4DBB"/>
    <w:rPr>
      <w:rFonts w:ascii="Century Gothic" w:eastAsiaTheme="majorEastAsia" w:hAnsi="Century Gothic" w:cs="Arial"/>
      <w:color w:val="2E74B5" w:themeColor="accent1" w:themeShade="BF"/>
      <w:sz w:val="32"/>
      <w:szCs w:val="32"/>
      <w:lang w:eastAsia="en-AU"/>
    </w:rPr>
  </w:style>
  <w:style w:type="paragraph" w:styleId="ListParagraph">
    <w:name w:val="List Paragraph"/>
    <w:aliases w:val="List Paragraph1,Recommendation,List Paragraph11,Content descriptions,Indented Bullet Solid,Dot Point"/>
    <w:basedOn w:val="Normal"/>
    <w:link w:val="ListParagraphChar"/>
    <w:uiPriority w:val="34"/>
    <w:qFormat/>
    <w:rsid w:val="005D51AC"/>
    <w:pPr>
      <w:ind w:left="720"/>
      <w:contextualSpacing/>
    </w:pPr>
  </w:style>
  <w:style w:type="paragraph" w:styleId="Caption">
    <w:name w:val="caption"/>
    <w:basedOn w:val="Normal"/>
    <w:next w:val="Normal"/>
    <w:uiPriority w:val="35"/>
    <w:unhideWhenUsed/>
    <w:qFormat/>
    <w:rsid w:val="005E0AE5"/>
    <w:pPr>
      <w:keepNext/>
      <w:spacing w:line="240" w:lineRule="auto"/>
    </w:pPr>
    <w:rPr>
      <w:iCs/>
      <w:color w:val="2E74B5" w:themeColor="accent1" w:themeShade="BF"/>
      <w:sz w:val="20"/>
      <w:szCs w:val="20"/>
    </w:rPr>
  </w:style>
  <w:style w:type="paragraph" w:customStyle="1" w:styleId="Tables">
    <w:name w:val="Tables"/>
    <w:basedOn w:val="Normal"/>
    <w:link w:val="TablesChar"/>
    <w:qFormat/>
    <w:rsid w:val="0064334A"/>
    <w:pPr>
      <w:spacing w:before="40" w:after="40" w:line="240" w:lineRule="auto"/>
      <w:jc w:val="right"/>
    </w:pPr>
    <w:rPr>
      <w:color w:val="000000"/>
      <w:sz w:val="20"/>
      <w:szCs w:val="20"/>
    </w:rPr>
  </w:style>
  <w:style w:type="paragraph" w:styleId="FootnoteText">
    <w:name w:val="footnote text"/>
    <w:basedOn w:val="Normal"/>
    <w:link w:val="FootnoteTextChar"/>
    <w:uiPriority w:val="99"/>
    <w:unhideWhenUsed/>
    <w:rsid w:val="003C5A8C"/>
    <w:pPr>
      <w:spacing w:after="0" w:line="240" w:lineRule="auto"/>
    </w:pPr>
    <w:rPr>
      <w:sz w:val="20"/>
      <w:szCs w:val="20"/>
    </w:rPr>
  </w:style>
  <w:style w:type="character" w:customStyle="1" w:styleId="TablesChar">
    <w:name w:val="Tables Char"/>
    <w:basedOn w:val="DefaultParagraphFont"/>
    <w:link w:val="Tables"/>
    <w:rsid w:val="0064334A"/>
    <w:rPr>
      <w:rFonts w:ascii="Arial" w:eastAsia="Times New Roman" w:hAnsi="Arial" w:cs="Arial"/>
      <w:color w:val="000000"/>
      <w:sz w:val="20"/>
      <w:szCs w:val="20"/>
      <w:lang w:eastAsia="en-AU"/>
    </w:rPr>
  </w:style>
  <w:style w:type="character" w:customStyle="1" w:styleId="FootnoteTextChar">
    <w:name w:val="Footnote Text Char"/>
    <w:basedOn w:val="DefaultParagraphFont"/>
    <w:link w:val="FootnoteText"/>
    <w:uiPriority w:val="99"/>
    <w:rsid w:val="003C5A8C"/>
    <w:rPr>
      <w:rFonts w:ascii="Arial" w:eastAsia="Times New Roman" w:hAnsi="Arial" w:cs="Arial"/>
      <w:sz w:val="20"/>
      <w:szCs w:val="20"/>
      <w:lang w:eastAsia="en-AU"/>
    </w:rPr>
  </w:style>
  <w:style w:type="character" w:styleId="FootnoteReference">
    <w:name w:val="footnote reference"/>
    <w:basedOn w:val="DefaultParagraphFont"/>
    <w:uiPriority w:val="99"/>
    <w:semiHidden/>
    <w:unhideWhenUsed/>
    <w:rsid w:val="003C5A8C"/>
    <w:rPr>
      <w:vertAlign w:val="superscript"/>
    </w:rPr>
  </w:style>
  <w:style w:type="character" w:styleId="CommentReference">
    <w:name w:val="annotation reference"/>
    <w:basedOn w:val="DefaultParagraphFont"/>
    <w:semiHidden/>
    <w:unhideWhenUsed/>
    <w:rsid w:val="004660F2"/>
    <w:rPr>
      <w:sz w:val="16"/>
      <w:szCs w:val="16"/>
    </w:rPr>
  </w:style>
  <w:style w:type="paragraph" w:styleId="CommentText">
    <w:name w:val="annotation text"/>
    <w:basedOn w:val="Normal"/>
    <w:link w:val="CommentTextChar"/>
    <w:uiPriority w:val="99"/>
    <w:unhideWhenUsed/>
    <w:rsid w:val="004660F2"/>
    <w:pPr>
      <w:spacing w:line="240" w:lineRule="auto"/>
    </w:pPr>
    <w:rPr>
      <w:sz w:val="20"/>
      <w:szCs w:val="20"/>
    </w:rPr>
  </w:style>
  <w:style w:type="character" w:customStyle="1" w:styleId="CommentTextChar">
    <w:name w:val="Comment Text Char"/>
    <w:basedOn w:val="DefaultParagraphFont"/>
    <w:link w:val="CommentText"/>
    <w:uiPriority w:val="99"/>
    <w:rsid w:val="004660F2"/>
    <w:rPr>
      <w:rFonts w:ascii="Arial" w:eastAsia="Times New Roman"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4660F2"/>
    <w:rPr>
      <w:b/>
      <w:bCs/>
    </w:rPr>
  </w:style>
  <w:style w:type="character" w:customStyle="1" w:styleId="CommentSubjectChar">
    <w:name w:val="Comment Subject Char"/>
    <w:basedOn w:val="CommentTextChar"/>
    <w:link w:val="CommentSubject"/>
    <w:uiPriority w:val="99"/>
    <w:semiHidden/>
    <w:rsid w:val="004660F2"/>
    <w:rPr>
      <w:rFonts w:ascii="Arial" w:eastAsia="Times New Roman" w:hAnsi="Arial" w:cs="Arial"/>
      <w:b/>
      <w:bCs/>
      <w:sz w:val="20"/>
      <w:szCs w:val="20"/>
      <w:lang w:eastAsia="en-AU"/>
    </w:rPr>
  </w:style>
  <w:style w:type="paragraph" w:styleId="BalloonText">
    <w:name w:val="Balloon Text"/>
    <w:basedOn w:val="Normal"/>
    <w:link w:val="BalloonTextChar"/>
    <w:uiPriority w:val="99"/>
    <w:semiHidden/>
    <w:unhideWhenUsed/>
    <w:rsid w:val="00466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0F2"/>
    <w:rPr>
      <w:rFonts w:ascii="Segoe UI" w:eastAsia="Times New Roman" w:hAnsi="Segoe UI" w:cs="Segoe UI"/>
      <w:sz w:val="18"/>
      <w:szCs w:val="18"/>
      <w:lang w:eastAsia="en-AU"/>
    </w:rPr>
  </w:style>
  <w:style w:type="character" w:customStyle="1" w:styleId="ListParagraphChar">
    <w:name w:val="List Paragraph Char"/>
    <w:aliases w:val="List Paragraph1 Char,Recommendation Char,List Paragraph11 Char,Content descriptions Char,Indented Bullet Solid Char,Dot Point Char"/>
    <w:link w:val="ListParagraph"/>
    <w:uiPriority w:val="34"/>
    <w:locked/>
    <w:rsid w:val="00647E65"/>
    <w:rPr>
      <w:rFonts w:ascii="Arial" w:eastAsia="Times New Roman" w:hAnsi="Arial" w:cs="Arial"/>
      <w:lang w:eastAsia="en-AU"/>
    </w:rPr>
  </w:style>
  <w:style w:type="table" w:styleId="TableGrid">
    <w:name w:val="Table Grid"/>
    <w:basedOn w:val="TableNormal"/>
    <w:uiPriority w:val="39"/>
    <w:rsid w:val="00647E65"/>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1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2B1"/>
    <w:rPr>
      <w:rFonts w:ascii="Arial" w:eastAsia="Times New Roman" w:hAnsi="Arial" w:cs="Arial"/>
      <w:lang w:eastAsia="en-AU"/>
    </w:rPr>
  </w:style>
  <w:style w:type="paragraph" w:styleId="Footer">
    <w:name w:val="footer"/>
    <w:basedOn w:val="Normal"/>
    <w:link w:val="FooterChar"/>
    <w:uiPriority w:val="99"/>
    <w:unhideWhenUsed/>
    <w:rsid w:val="00E512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2B1"/>
    <w:rPr>
      <w:rFonts w:ascii="Arial" w:eastAsia="Times New Roman" w:hAnsi="Arial" w:cs="Arial"/>
      <w:lang w:eastAsia="en-AU"/>
    </w:rPr>
  </w:style>
  <w:style w:type="character" w:customStyle="1" w:styleId="Heading4Char">
    <w:name w:val="Heading 4 Char"/>
    <w:basedOn w:val="DefaultParagraphFont"/>
    <w:link w:val="Heading4"/>
    <w:uiPriority w:val="9"/>
    <w:rsid w:val="005E0AE5"/>
    <w:rPr>
      <w:rFonts w:ascii="Century Gothic" w:eastAsiaTheme="majorEastAsia" w:hAnsi="Century Gothic" w:cs="Arial"/>
      <w:iCs/>
      <w:color w:val="2E74B5" w:themeColor="accent1" w:themeShade="BF"/>
      <w:sz w:val="24"/>
      <w:szCs w:val="24"/>
      <w:lang w:eastAsia="en-AU"/>
    </w:rPr>
  </w:style>
  <w:style w:type="table" w:customStyle="1" w:styleId="TableGrid1">
    <w:name w:val="Table Grid1"/>
    <w:basedOn w:val="TableNormal"/>
    <w:next w:val="TableGrid"/>
    <w:uiPriority w:val="59"/>
    <w:rsid w:val="00F3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62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4AFC"/>
    <w:rPr>
      <w:color w:val="0563C1" w:themeColor="hyperlink"/>
      <w:u w:val="single"/>
    </w:rPr>
  </w:style>
  <w:style w:type="character" w:styleId="FollowedHyperlink">
    <w:name w:val="FollowedHyperlink"/>
    <w:basedOn w:val="DefaultParagraphFont"/>
    <w:uiPriority w:val="99"/>
    <w:semiHidden/>
    <w:unhideWhenUsed/>
    <w:rsid w:val="00B15568"/>
    <w:rPr>
      <w:color w:val="954F72" w:themeColor="followedHyperlink"/>
      <w:u w:val="single"/>
    </w:rPr>
  </w:style>
  <w:style w:type="paragraph" w:styleId="Revision">
    <w:name w:val="Revision"/>
    <w:hidden/>
    <w:uiPriority w:val="99"/>
    <w:semiHidden/>
    <w:rsid w:val="002D3D4A"/>
    <w:pPr>
      <w:spacing w:after="0" w:line="240" w:lineRule="auto"/>
    </w:pPr>
    <w:rPr>
      <w:rFonts w:ascii="Arial" w:eastAsia="Times New Roman" w:hAnsi="Arial" w:cs="Arial"/>
      <w:lang w:eastAsia="en-AU"/>
    </w:rPr>
  </w:style>
  <w:style w:type="paragraph" w:styleId="NormalWeb">
    <w:name w:val="Normal (Web)"/>
    <w:basedOn w:val="Normal"/>
    <w:uiPriority w:val="99"/>
    <w:semiHidden/>
    <w:unhideWhenUsed/>
    <w:rsid w:val="00425116"/>
    <w:pPr>
      <w:spacing w:before="100" w:beforeAutospacing="1" w:afterAutospacing="1" w:line="240" w:lineRule="auto"/>
    </w:pPr>
    <w:rPr>
      <w:rFonts w:ascii="Times New Roman" w:hAnsi="Times New Roman" w:cs="Times New Roman"/>
      <w:sz w:val="24"/>
      <w:szCs w:val="24"/>
    </w:rPr>
  </w:style>
  <w:style w:type="table" w:customStyle="1" w:styleId="TableGrid3">
    <w:name w:val="Table Grid3"/>
    <w:basedOn w:val="TableNormal"/>
    <w:next w:val="TableGrid"/>
    <w:rsid w:val="00B119CD"/>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111DBC"/>
    <w:rPr>
      <w:rFonts w:ascii="Arial" w:eastAsiaTheme="majorEastAsia" w:hAnsi="Arial" w:cs="Arial"/>
      <w:color w:val="2E74B5" w:themeColor="accent1" w:themeShade="BF"/>
      <w:lang w:eastAsia="en-AU"/>
    </w:rPr>
  </w:style>
  <w:style w:type="paragraph" w:styleId="TOCHeading">
    <w:name w:val="TOC Heading"/>
    <w:basedOn w:val="Heading1"/>
    <w:next w:val="Normal"/>
    <w:uiPriority w:val="39"/>
    <w:unhideWhenUsed/>
    <w:qFormat/>
    <w:rsid w:val="00C47AD0"/>
    <w:pPr>
      <w:outlineLvl w:val="9"/>
    </w:pPr>
    <w:rPr>
      <w:lang w:val="en-US" w:eastAsia="en-US"/>
    </w:rPr>
  </w:style>
  <w:style w:type="paragraph" w:styleId="TOC1">
    <w:name w:val="toc 1"/>
    <w:basedOn w:val="Normal"/>
    <w:next w:val="Normal"/>
    <w:autoRedefine/>
    <w:uiPriority w:val="39"/>
    <w:unhideWhenUsed/>
    <w:rsid w:val="00674F72"/>
    <w:pPr>
      <w:tabs>
        <w:tab w:val="right" w:leader="dot" w:pos="9182"/>
      </w:tabs>
      <w:ind w:left="284" w:hanging="284"/>
    </w:pPr>
    <w:rPr>
      <w:noProof/>
      <w:color w:val="2E74B5" w:themeColor="accent1" w:themeShade="BF"/>
    </w:rPr>
  </w:style>
  <w:style w:type="paragraph" w:styleId="TOC2">
    <w:name w:val="toc 2"/>
    <w:basedOn w:val="Normal"/>
    <w:next w:val="Normal"/>
    <w:autoRedefine/>
    <w:uiPriority w:val="39"/>
    <w:unhideWhenUsed/>
    <w:rsid w:val="00D16868"/>
    <w:pPr>
      <w:tabs>
        <w:tab w:val="right" w:leader="dot" w:pos="9182"/>
      </w:tabs>
    </w:pPr>
    <w:rPr>
      <w:color w:val="2E74B5" w:themeColor="accent1" w:themeShade="BF"/>
    </w:rPr>
  </w:style>
  <w:style w:type="paragraph" w:styleId="TOC3">
    <w:name w:val="toc 3"/>
    <w:basedOn w:val="Normal"/>
    <w:next w:val="Normal"/>
    <w:autoRedefine/>
    <w:uiPriority w:val="39"/>
    <w:unhideWhenUsed/>
    <w:rsid w:val="00D632D2"/>
    <w:pPr>
      <w:tabs>
        <w:tab w:val="right" w:leader="dot" w:pos="9182"/>
      </w:tabs>
      <w:ind w:left="284"/>
    </w:pPr>
  </w:style>
  <w:style w:type="paragraph" w:styleId="TableofFigures">
    <w:name w:val="table of figures"/>
    <w:basedOn w:val="Normal"/>
    <w:next w:val="Normal"/>
    <w:uiPriority w:val="99"/>
    <w:unhideWhenUsed/>
    <w:rsid w:val="00383D7D"/>
    <w:pPr>
      <w:spacing w:after="0"/>
    </w:pPr>
  </w:style>
  <w:style w:type="character" w:customStyle="1" w:styleId="A16">
    <w:name w:val="A16"/>
    <w:uiPriority w:val="99"/>
    <w:rsid w:val="004231FC"/>
    <w:rPr>
      <w:rFonts w:cs="Gellix"/>
      <w:color w:val="000000"/>
      <w:sz w:val="20"/>
      <w:szCs w:val="20"/>
      <w:u w:val="single"/>
    </w:rPr>
  </w:style>
  <w:style w:type="paragraph" w:styleId="NoSpacing">
    <w:name w:val="No Spacing"/>
    <w:uiPriority w:val="1"/>
    <w:qFormat/>
    <w:rsid w:val="000F2950"/>
    <w:pPr>
      <w:spacing w:after="0" w:line="240" w:lineRule="auto"/>
    </w:pPr>
    <w:rPr>
      <w:rFonts w:ascii="Arial" w:eastAsia="Times New Roman" w:hAnsi="Arial" w:cs="Arial"/>
      <w:lang w:eastAsia="en-AU"/>
    </w:rPr>
  </w:style>
  <w:style w:type="character" w:styleId="UnresolvedMention">
    <w:name w:val="Unresolved Mention"/>
    <w:basedOn w:val="DefaultParagraphFont"/>
    <w:uiPriority w:val="99"/>
    <w:unhideWhenUsed/>
    <w:rsid w:val="006B162B"/>
    <w:rPr>
      <w:color w:val="605E5C"/>
      <w:shd w:val="clear" w:color="auto" w:fill="E1DFDD"/>
    </w:rPr>
  </w:style>
  <w:style w:type="character" w:customStyle="1" w:styleId="normaltextrun">
    <w:name w:val="normaltextrun"/>
    <w:basedOn w:val="DefaultParagraphFont"/>
    <w:uiPriority w:val="1"/>
    <w:rsid w:val="0255B8E1"/>
  </w:style>
  <w:style w:type="character" w:customStyle="1" w:styleId="eop">
    <w:name w:val="eop"/>
    <w:basedOn w:val="DefaultParagraphFont"/>
    <w:uiPriority w:val="1"/>
    <w:rsid w:val="0255B8E1"/>
  </w:style>
  <w:style w:type="character" w:styleId="Mention">
    <w:name w:val="Mention"/>
    <w:basedOn w:val="DefaultParagraphFont"/>
    <w:uiPriority w:val="99"/>
    <w:unhideWhenUsed/>
    <w:rsid w:val="00985DB9"/>
    <w:rPr>
      <w:color w:val="2B579A"/>
      <w:shd w:val="clear" w:color="auto" w:fill="E1DFDD"/>
    </w:rPr>
  </w:style>
  <w:style w:type="paragraph" w:styleId="EndnoteText">
    <w:name w:val="endnote text"/>
    <w:basedOn w:val="Normal"/>
    <w:link w:val="EndnoteTextChar"/>
    <w:uiPriority w:val="99"/>
    <w:semiHidden/>
    <w:unhideWhenUsed/>
    <w:rsid w:val="005038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38C8"/>
    <w:rPr>
      <w:rFonts w:ascii="Arial" w:eastAsia="Times New Roman" w:hAnsi="Arial" w:cs="Arial"/>
      <w:sz w:val="20"/>
      <w:szCs w:val="20"/>
      <w:lang w:eastAsia="en-AU"/>
    </w:rPr>
  </w:style>
  <w:style w:type="character" w:styleId="EndnoteReference">
    <w:name w:val="endnote reference"/>
    <w:basedOn w:val="DefaultParagraphFont"/>
    <w:uiPriority w:val="99"/>
    <w:semiHidden/>
    <w:unhideWhenUsed/>
    <w:rsid w:val="005038C8"/>
    <w:rPr>
      <w:vertAlign w:val="superscript"/>
    </w:rPr>
  </w:style>
  <w:style w:type="character" w:customStyle="1" w:styleId="cf01">
    <w:name w:val="cf01"/>
    <w:basedOn w:val="DefaultParagraphFont"/>
    <w:rsid w:val="005038C8"/>
    <w:rPr>
      <w:rFonts w:ascii="Segoe UI" w:hAnsi="Segoe UI" w:cs="Segoe UI" w:hint="default"/>
      <w:sz w:val="18"/>
      <w:szCs w:val="18"/>
    </w:rPr>
  </w:style>
  <w:style w:type="paragraph" w:customStyle="1" w:styleId="paragraph">
    <w:name w:val="paragraph"/>
    <w:basedOn w:val="Normal"/>
    <w:rsid w:val="000D42F1"/>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uiPriority w:val="99"/>
    <w:unhideWhenUsed/>
    <w:rsid w:val="000D42F1"/>
    <w:pPr>
      <w:numPr>
        <w:numId w:val="17"/>
      </w:numPr>
      <w:contextualSpacing/>
    </w:pPr>
  </w:style>
  <w:style w:type="paragraph" w:styleId="BodyText">
    <w:name w:val="Body Text"/>
    <w:basedOn w:val="Normal"/>
    <w:link w:val="BodyTextChar"/>
    <w:qFormat/>
    <w:rsid w:val="000D42F1"/>
    <w:pPr>
      <w:tabs>
        <w:tab w:val="left" w:pos="851"/>
      </w:tabs>
      <w:spacing w:before="80" w:line="240" w:lineRule="auto"/>
    </w:pPr>
    <w:rPr>
      <w:rFonts w:ascii="Calibri" w:hAnsi="Calibri" w:cs="Times New Roman"/>
      <w:sz w:val="24"/>
      <w:szCs w:val="24"/>
      <w:lang w:eastAsia="en-US"/>
    </w:rPr>
  </w:style>
  <w:style w:type="character" w:customStyle="1" w:styleId="BodyTextChar">
    <w:name w:val="Body Text Char"/>
    <w:basedOn w:val="DefaultParagraphFont"/>
    <w:link w:val="BodyText"/>
    <w:rsid w:val="000D42F1"/>
    <w:rPr>
      <w:rFonts w:ascii="Calibri" w:eastAsia="Times New Roman" w:hAnsi="Calibri" w:cs="Times New Roman"/>
      <w:sz w:val="24"/>
      <w:szCs w:val="24"/>
    </w:rPr>
  </w:style>
  <w:style w:type="character" w:styleId="Strong">
    <w:name w:val="Strong"/>
    <w:basedOn w:val="DefaultParagraphFont"/>
    <w:uiPriority w:val="22"/>
    <w:qFormat/>
    <w:rsid w:val="00AA450A"/>
    <w:rPr>
      <w:b/>
      <w:bCs/>
    </w:rPr>
  </w:style>
  <w:style w:type="character" w:customStyle="1" w:styleId="ui-provider">
    <w:name w:val="ui-provider"/>
    <w:basedOn w:val="DefaultParagraphFont"/>
    <w:rsid w:val="00687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2884">
      <w:bodyDiv w:val="1"/>
      <w:marLeft w:val="0"/>
      <w:marRight w:val="0"/>
      <w:marTop w:val="0"/>
      <w:marBottom w:val="0"/>
      <w:divBdr>
        <w:top w:val="none" w:sz="0" w:space="0" w:color="auto"/>
        <w:left w:val="none" w:sz="0" w:space="0" w:color="auto"/>
        <w:bottom w:val="none" w:sz="0" w:space="0" w:color="auto"/>
        <w:right w:val="none" w:sz="0" w:space="0" w:color="auto"/>
      </w:divBdr>
    </w:div>
    <w:div w:id="36974072">
      <w:bodyDiv w:val="1"/>
      <w:marLeft w:val="0"/>
      <w:marRight w:val="0"/>
      <w:marTop w:val="0"/>
      <w:marBottom w:val="0"/>
      <w:divBdr>
        <w:top w:val="none" w:sz="0" w:space="0" w:color="auto"/>
        <w:left w:val="none" w:sz="0" w:space="0" w:color="auto"/>
        <w:bottom w:val="none" w:sz="0" w:space="0" w:color="auto"/>
        <w:right w:val="none" w:sz="0" w:space="0" w:color="auto"/>
      </w:divBdr>
    </w:div>
    <w:div w:id="123550593">
      <w:bodyDiv w:val="1"/>
      <w:marLeft w:val="0"/>
      <w:marRight w:val="0"/>
      <w:marTop w:val="0"/>
      <w:marBottom w:val="0"/>
      <w:divBdr>
        <w:top w:val="none" w:sz="0" w:space="0" w:color="auto"/>
        <w:left w:val="none" w:sz="0" w:space="0" w:color="auto"/>
        <w:bottom w:val="none" w:sz="0" w:space="0" w:color="auto"/>
        <w:right w:val="none" w:sz="0" w:space="0" w:color="auto"/>
      </w:divBdr>
    </w:div>
    <w:div w:id="137766991">
      <w:bodyDiv w:val="1"/>
      <w:marLeft w:val="0"/>
      <w:marRight w:val="0"/>
      <w:marTop w:val="0"/>
      <w:marBottom w:val="0"/>
      <w:divBdr>
        <w:top w:val="none" w:sz="0" w:space="0" w:color="auto"/>
        <w:left w:val="none" w:sz="0" w:space="0" w:color="auto"/>
        <w:bottom w:val="none" w:sz="0" w:space="0" w:color="auto"/>
        <w:right w:val="none" w:sz="0" w:space="0" w:color="auto"/>
      </w:divBdr>
    </w:div>
    <w:div w:id="143936820">
      <w:bodyDiv w:val="1"/>
      <w:marLeft w:val="0"/>
      <w:marRight w:val="0"/>
      <w:marTop w:val="0"/>
      <w:marBottom w:val="0"/>
      <w:divBdr>
        <w:top w:val="none" w:sz="0" w:space="0" w:color="auto"/>
        <w:left w:val="none" w:sz="0" w:space="0" w:color="auto"/>
        <w:bottom w:val="none" w:sz="0" w:space="0" w:color="auto"/>
        <w:right w:val="none" w:sz="0" w:space="0" w:color="auto"/>
      </w:divBdr>
    </w:div>
    <w:div w:id="154075206">
      <w:bodyDiv w:val="1"/>
      <w:marLeft w:val="0"/>
      <w:marRight w:val="0"/>
      <w:marTop w:val="0"/>
      <w:marBottom w:val="0"/>
      <w:divBdr>
        <w:top w:val="none" w:sz="0" w:space="0" w:color="auto"/>
        <w:left w:val="none" w:sz="0" w:space="0" w:color="auto"/>
        <w:bottom w:val="none" w:sz="0" w:space="0" w:color="auto"/>
        <w:right w:val="none" w:sz="0" w:space="0" w:color="auto"/>
      </w:divBdr>
    </w:div>
    <w:div w:id="175966223">
      <w:bodyDiv w:val="1"/>
      <w:marLeft w:val="0"/>
      <w:marRight w:val="0"/>
      <w:marTop w:val="0"/>
      <w:marBottom w:val="0"/>
      <w:divBdr>
        <w:top w:val="none" w:sz="0" w:space="0" w:color="auto"/>
        <w:left w:val="none" w:sz="0" w:space="0" w:color="auto"/>
        <w:bottom w:val="none" w:sz="0" w:space="0" w:color="auto"/>
        <w:right w:val="none" w:sz="0" w:space="0" w:color="auto"/>
      </w:divBdr>
    </w:div>
    <w:div w:id="249436699">
      <w:bodyDiv w:val="1"/>
      <w:marLeft w:val="0"/>
      <w:marRight w:val="0"/>
      <w:marTop w:val="0"/>
      <w:marBottom w:val="0"/>
      <w:divBdr>
        <w:top w:val="none" w:sz="0" w:space="0" w:color="auto"/>
        <w:left w:val="none" w:sz="0" w:space="0" w:color="auto"/>
        <w:bottom w:val="none" w:sz="0" w:space="0" w:color="auto"/>
        <w:right w:val="none" w:sz="0" w:space="0" w:color="auto"/>
      </w:divBdr>
    </w:div>
    <w:div w:id="266888010">
      <w:bodyDiv w:val="1"/>
      <w:marLeft w:val="0"/>
      <w:marRight w:val="0"/>
      <w:marTop w:val="0"/>
      <w:marBottom w:val="0"/>
      <w:divBdr>
        <w:top w:val="none" w:sz="0" w:space="0" w:color="auto"/>
        <w:left w:val="none" w:sz="0" w:space="0" w:color="auto"/>
        <w:bottom w:val="none" w:sz="0" w:space="0" w:color="auto"/>
        <w:right w:val="none" w:sz="0" w:space="0" w:color="auto"/>
      </w:divBdr>
    </w:div>
    <w:div w:id="267591747">
      <w:bodyDiv w:val="1"/>
      <w:marLeft w:val="0"/>
      <w:marRight w:val="0"/>
      <w:marTop w:val="0"/>
      <w:marBottom w:val="0"/>
      <w:divBdr>
        <w:top w:val="none" w:sz="0" w:space="0" w:color="auto"/>
        <w:left w:val="none" w:sz="0" w:space="0" w:color="auto"/>
        <w:bottom w:val="none" w:sz="0" w:space="0" w:color="auto"/>
        <w:right w:val="none" w:sz="0" w:space="0" w:color="auto"/>
      </w:divBdr>
    </w:div>
    <w:div w:id="388192361">
      <w:bodyDiv w:val="1"/>
      <w:marLeft w:val="0"/>
      <w:marRight w:val="0"/>
      <w:marTop w:val="0"/>
      <w:marBottom w:val="0"/>
      <w:divBdr>
        <w:top w:val="none" w:sz="0" w:space="0" w:color="auto"/>
        <w:left w:val="none" w:sz="0" w:space="0" w:color="auto"/>
        <w:bottom w:val="none" w:sz="0" w:space="0" w:color="auto"/>
        <w:right w:val="none" w:sz="0" w:space="0" w:color="auto"/>
      </w:divBdr>
    </w:div>
    <w:div w:id="506871679">
      <w:bodyDiv w:val="1"/>
      <w:marLeft w:val="0"/>
      <w:marRight w:val="0"/>
      <w:marTop w:val="0"/>
      <w:marBottom w:val="0"/>
      <w:divBdr>
        <w:top w:val="none" w:sz="0" w:space="0" w:color="auto"/>
        <w:left w:val="none" w:sz="0" w:space="0" w:color="auto"/>
        <w:bottom w:val="none" w:sz="0" w:space="0" w:color="auto"/>
        <w:right w:val="none" w:sz="0" w:space="0" w:color="auto"/>
      </w:divBdr>
    </w:div>
    <w:div w:id="517503422">
      <w:bodyDiv w:val="1"/>
      <w:marLeft w:val="0"/>
      <w:marRight w:val="0"/>
      <w:marTop w:val="0"/>
      <w:marBottom w:val="0"/>
      <w:divBdr>
        <w:top w:val="none" w:sz="0" w:space="0" w:color="auto"/>
        <w:left w:val="none" w:sz="0" w:space="0" w:color="auto"/>
        <w:bottom w:val="none" w:sz="0" w:space="0" w:color="auto"/>
        <w:right w:val="none" w:sz="0" w:space="0" w:color="auto"/>
      </w:divBdr>
    </w:div>
    <w:div w:id="524707407">
      <w:bodyDiv w:val="1"/>
      <w:marLeft w:val="0"/>
      <w:marRight w:val="0"/>
      <w:marTop w:val="0"/>
      <w:marBottom w:val="0"/>
      <w:divBdr>
        <w:top w:val="none" w:sz="0" w:space="0" w:color="auto"/>
        <w:left w:val="none" w:sz="0" w:space="0" w:color="auto"/>
        <w:bottom w:val="none" w:sz="0" w:space="0" w:color="auto"/>
        <w:right w:val="none" w:sz="0" w:space="0" w:color="auto"/>
      </w:divBdr>
    </w:div>
    <w:div w:id="535389625">
      <w:bodyDiv w:val="1"/>
      <w:marLeft w:val="0"/>
      <w:marRight w:val="0"/>
      <w:marTop w:val="0"/>
      <w:marBottom w:val="0"/>
      <w:divBdr>
        <w:top w:val="none" w:sz="0" w:space="0" w:color="auto"/>
        <w:left w:val="none" w:sz="0" w:space="0" w:color="auto"/>
        <w:bottom w:val="none" w:sz="0" w:space="0" w:color="auto"/>
        <w:right w:val="none" w:sz="0" w:space="0" w:color="auto"/>
      </w:divBdr>
    </w:div>
    <w:div w:id="551648469">
      <w:bodyDiv w:val="1"/>
      <w:marLeft w:val="0"/>
      <w:marRight w:val="0"/>
      <w:marTop w:val="0"/>
      <w:marBottom w:val="0"/>
      <w:divBdr>
        <w:top w:val="none" w:sz="0" w:space="0" w:color="auto"/>
        <w:left w:val="none" w:sz="0" w:space="0" w:color="auto"/>
        <w:bottom w:val="none" w:sz="0" w:space="0" w:color="auto"/>
        <w:right w:val="none" w:sz="0" w:space="0" w:color="auto"/>
      </w:divBdr>
    </w:div>
    <w:div w:id="563806587">
      <w:bodyDiv w:val="1"/>
      <w:marLeft w:val="0"/>
      <w:marRight w:val="0"/>
      <w:marTop w:val="0"/>
      <w:marBottom w:val="0"/>
      <w:divBdr>
        <w:top w:val="none" w:sz="0" w:space="0" w:color="auto"/>
        <w:left w:val="none" w:sz="0" w:space="0" w:color="auto"/>
        <w:bottom w:val="none" w:sz="0" w:space="0" w:color="auto"/>
        <w:right w:val="none" w:sz="0" w:space="0" w:color="auto"/>
      </w:divBdr>
    </w:div>
    <w:div w:id="577402599">
      <w:bodyDiv w:val="1"/>
      <w:marLeft w:val="0"/>
      <w:marRight w:val="0"/>
      <w:marTop w:val="0"/>
      <w:marBottom w:val="0"/>
      <w:divBdr>
        <w:top w:val="none" w:sz="0" w:space="0" w:color="auto"/>
        <w:left w:val="none" w:sz="0" w:space="0" w:color="auto"/>
        <w:bottom w:val="none" w:sz="0" w:space="0" w:color="auto"/>
        <w:right w:val="none" w:sz="0" w:space="0" w:color="auto"/>
      </w:divBdr>
    </w:div>
    <w:div w:id="601912874">
      <w:bodyDiv w:val="1"/>
      <w:marLeft w:val="0"/>
      <w:marRight w:val="0"/>
      <w:marTop w:val="0"/>
      <w:marBottom w:val="0"/>
      <w:divBdr>
        <w:top w:val="none" w:sz="0" w:space="0" w:color="auto"/>
        <w:left w:val="none" w:sz="0" w:space="0" w:color="auto"/>
        <w:bottom w:val="none" w:sz="0" w:space="0" w:color="auto"/>
        <w:right w:val="none" w:sz="0" w:space="0" w:color="auto"/>
      </w:divBdr>
    </w:div>
    <w:div w:id="675112122">
      <w:bodyDiv w:val="1"/>
      <w:marLeft w:val="0"/>
      <w:marRight w:val="0"/>
      <w:marTop w:val="0"/>
      <w:marBottom w:val="0"/>
      <w:divBdr>
        <w:top w:val="none" w:sz="0" w:space="0" w:color="auto"/>
        <w:left w:val="none" w:sz="0" w:space="0" w:color="auto"/>
        <w:bottom w:val="none" w:sz="0" w:space="0" w:color="auto"/>
        <w:right w:val="none" w:sz="0" w:space="0" w:color="auto"/>
      </w:divBdr>
    </w:div>
    <w:div w:id="681664851">
      <w:bodyDiv w:val="1"/>
      <w:marLeft w:val="0"/>
      <w:marRight w:val="0"/>
      <w:marTop w:val="0"/>
      <w:marBottom w:val="0"/>
      <w:divBdr>
        <w:top w:val="none" w:sz="0" w:space="0" w:color="auto"/>
        <w:left w:val="none" w:sz="0" w:space="0" w:color="auto"/>
        <w:bottom w:val="none" w:sz="0" w:space="0" w:color="auto"/>
        <w:right w:val="none" w:sz="0" w:space="0" w:color="auto"/>
      </w:divBdr>
    </w:div>
    <w:div w:id="685525319">
      <w:bodyDiv w:val="1"/>
      <w:marLeft w:val="0"/>
      <w:marRight w:val="0"/>
      <w:marTop w:val="0"/>
      <w:marBottom w:val="0"/>
      <w:divBdr>
        <w:top w:val="none" w:sz="0" w:space="0" w:color="auto"/>
        <w:left w:val="none" w:sz="0" w:space="0" w:color="auto"/>
        <w:bottom w:val="none" w:sz="0" w:space="0" w:color="auto"/>
        <w:right w:val="none" w:sz="0" w:space="0" w:color="auto"/>
      </w:divBdr>
    </w:div>
    <w:div w:id="711154409">
      <w:bodyDiv w:val="1"/>
      <w:marLeft w:val="0"/>
      <w:marRight w:val="0"/>
      <w:marTop w:val="0"/>
      <w:marBottom w:val="0"/>
      <w:divBdr>
        <w:top w:val="none" w:sz="0" w:space="0" w:color="auto"/>
        <w:left w:val="none" w:sz="0" w:space="0" w:color="auto"/>
        <w:bottom w:val="none" w:sz="0" w:space="0" w:color="auto"/>
        <w:right w:val="none" w:sz="0" w:space="0" w:color="auto"/>
      </w:divBdr>
    </w:div>
    <w:div w:id="712971860">
      <w:bodyDiv w:val="1"/>
      <w:marLeft w:val="0"/>
      <w:marRight w:val="0"/>
      <w:marTop w:val="0"/>
      <w:marBottom w:val="0"/>
      <w:divBdr>
        <w:top w:val="none" w:sz="0" w:space="0" w:color="auto"/>
        <w:left w:val="none" w:sz="0" w:space="0" w:color="auto"/>
        <w:bottom w:val="none" w:sz="0" w:space="0" w:color="auto"/>
        <w:right w:val="none" w:sz="0" w:space="0" w:color="auto"/>
      </w:divBdr>
    </w:div>
    <w:div w:id="722295989">
      <w:bodyDiv w:val="1"/>
      <w:marLeft w:val="0"/>
      <w:marRight w:val="0"/>
      <w:marTop w:val="0"/>
      <w:marBottom w:val="0"/>
      <w:divBdr>
        <w:top w:val="none" w:sz="0" w:space="0" w:color="auto"/>
        <w:left w:val="none" w:sz="0" w:space="0" w:color="auto"/>
        <w:bottom w:val="none" w:sz="0" w:space="0" w:color="auto"/>
        <w:right w:val="none" w:sz="0" w:space="0" w:color="auto"/>
      </w:divBdr>
    </w:div>
    <w:div w:id="753429932">
      <w:bodyDiv w:val="1"/>
      <w:marLeft w:val="0"/>
      <w:marRight w:val="0"/>
      <w:marTop w:val="0"/>
      <w:marBottom w:val="0"/>
      <w:divBdr>
        <w:top w:val="none" w:sz="0" w:space="0" w:color="auto"/>
        <w:left w:val="none" w:sz="0" w:space="0" w:color="auto"/>
        <w:bottom w:val="none" w:sz="0" w:space="0" w:color="auto"/>
        <w:right w:val="none" w:sz="0" w:space="0" w:color="auto"/>
      </w:divBdr>
    </w:div>
    <w:div w:id="769276084">
      <w:bodyDiv w:val="1"/>
      <w:marLeft w:val="0"/>
      <w:marRight w:val="0"/>
      <w:marTop w:val="0"/>
      <w:marBottom w:val="0"/>
      <w:divBdr>
        <w:top w:val="none" w:sz="0" w:space="0" w:color="auto"/>
        <w:left w:val="none" w:sz="0" w:space="0" w:color="auto"/>
        <w:bottom w:val="none" w:sz="0" w:space="0" w:color="auto"/>
        <w:right w:val="none" w:sz="0" w:space="0" w:color="auto"/>
      </w:divBdr>
    </w:div>
    <w:div w:id="771316387">
      <w:bodyDiv w:val="1"/>
      <w:marLeft w:val="0"/>
      <w:marRight w:val="0"/>
      <w:marTop w:val="0"/>
      <w:marBottom w:val="0"/>
      <w:divBdr>
        <w:top w:val="none" w:sz="0" w:space="0" w:color="auto"/>
        <w:left w:val="none" w:sz="0" w:space="0" w:color="auto"/>
        <w:bottom w:val="none" w:sz="0" w:space="0" w:color="auto"/>
        <w:right w:val="none" w:sz="0" w:space="0" w:color="auto"/>
      </w:divBdr>
    </w:div>
    <w:div w:id="860970466">
      <w:bodyDiv w:val="1"/>
      <w:marLeft w:val="0"/>
      <w:marRight w:val="0"/>
      <w:marTop w:val="0"/>
      <w:marBottom w:val="0"/>
      <w:divBdr>
        <w:top w:val="none" w:sz="0" w:space="0" w:color="auto"/>
        <w:left w:val="none" w:sz="0" w:space="0" w:color="auto"/>
        <w:bottom w:val="none" w:sz="0" w:space="0" w:color="auto"/>
        <w:right w:val="none" w:sz="0" w:space="0" w:color="auto"/>
      </w:divBdr>
    </w:div>
    <w:div w:id="864559368">
      <w:bodyDiv w:val="1"/>
      <w:marLeft w:val="0"/>
      <w:marRight w:val="0"/>
      <w:marTop w:val="0"/>
      <w:marBottom w:val="0"/>
      <w:divBdr>
        <w:top w:val="none" w:sz="0" w:space="0" w:color="auto"/>
        <w:left w:val="none" w:sz="0" w:space="0" w:color="auto"/>
        <w:bottom w:val="none" w:sz="0" w:space="0" w:color="auto"/>
        <w:right w:val="none" w:sz="0" w:space="0" w:color="auto"/>
      </w:divBdr>
    </w:div>
    <w:div w:id="889000686">
      <w:bodyDiv w:val="1"/>
      <w:marLeft w:val="0"/>
      <w:marRight w:val="0"/>
      <w:marTop w:val="0"/>
      <w:marBottom w:val="0"/>
      <w:divBdr>
        <w:top w:val="none" w:sz="0" w:space="0" w:color="auto"/>
        <w:left w:val="none" w:sz="0" w:space="0" w:color="auto"/>
        <w:bottom w:val="none" w:sz="0" w:space="0" w:color="auto"/>
        <w:right w:val="none" w:sz="0" w:space="0" w:color="auto"/>
      </w:divBdr>
    </w:div>
    <w:div w:id="900598681">
      <w:bodyDiv w:val="1"/>
      <w:marLeft w:val="0"/>
      <w:marRight w:val="0"/>
      <w:marTop w:val="0"/>
      <w:marBottom w:val="0"/>
      <w:divBdr>
        <w:top w:val="none" w:sz="0" w:space="0" w:color="auto"/>
        <w:left w:val="none" w:sz="0" w:space="0" w:color="auto"/>
        <w:bottom w:val="none" w:sz="0" w:space="0" w:color="auto"/>
        <w:right w:val="none" w:sz="0" w:space="0" w:color="auto"/>
      </w:divBdr>
    </w:div>
    <w:div w:id="940793304">
      <w:bodyDiv w:val="1"/>
      <w:marLeft w:val="0"/>
      <w:marRight w:val="0"/>
      <w:marTop w:val="0"/>
      <w:marBottom w:val="0"/>
      <w:divBdr>
        <w:top w:val="none" w:sz="0" w:space="0" w:color="auto"/>
        <w:left w:val="none" w:sz="0" w:space="0" w:color="auto"/>
        <w:bottom w:val="none" w:sz="0" w:space="0" w:color="auto"/>
        <w:right w:val="none" w:sz="0" w:space="0" w:color="auto"/>
      </w:divBdr>
    </w:div>
    <w:div w:id="972364617">
      <w:bodyDiv w:val="1"/>
      <w:marLeft w:val="0"/>
      <w:marRight w:val="0"/>
      <w:marTop w:val="0"/>
      <w:marBottom w:val="0"/>
      <w:divBdr>
        <w:top w:val="none" w:sz="0" w:space="0" w:color="auto"/>
        <w:left w:val="none" w:sz="0" w:space="0" w:color="auto"/>
        <w:bottom w:val="none" w:sz="0" w:space="0" w:color="auto"/>
        <w:right w:val="none" w:sz="0" w:space="0" w:color="auto"/>
      </w:divBdr>
    </w:div>
    <w:div w:id="981890146">
      <w:bodyDiv w:val="1"/>
      <w:marLeft w:val="0"/>
      <w:marRight w:val="0"/>
      <w:marTop w:val="0"/>
      <w:marBottom w:val="0"/>
      <w:divBdr>
        <w:top w:val="none" w:sz="0" w:space="0" w:color="auto"/>
        <w:left w:val="none" w:sz="0" w:space="0" w:color="auto"/>
        <w:bottom w:val="none" w:sz="0" w:space="0" w:color="auto"/>
        <w:right w:val="none" w:sz="0" w:space="0" w:color="auto"/>
      </w:divBdr>
    </w:div>
    <w:div w:id="1043603496">
      <w:bodyDiv w:val="1"/>
      <w:marLeft w:val="0"/>
      <w:marRight w:val="0"/>
      <w:marTop w:val="0"/>
      <w:marBottom w:val="0"/>
      <w:divBdr>
        <w:top w:val="none" w:sz="0" w:space="0" w:color="auto"/>
        <w:left w:val="none" w:sz="0" w:space="0" w:color="auto"/>
        <w:bottom w:val="none" w:sz="0" w:space="0" w:color="auto"/>
        <w:right w:val="none" w:sz="0" w:space="0" w:color="auto"/>
      </w:divBdr>
    </w:div>
    <w:div w:id="1048453494">
      <w:bodyDiv w:val="1"/>
      <w:marLeft w:val="0"/>
      <w:marRight w:val="0"/>
      <w:marTop w:val="0"/>
      <w:marBottom w:val="0"/>
      <w:divBdr>
        <w:top w:val="none" w:sz="0" w:space="0" w:color="auto"/>
        <w:left w:val="none" w:sz="0" w:space="0" w:color="auto"/>
        <w:bottom w:val="none" w:sz="0" w:space="0" w:color="auto"/>
        <w:right w:val="none" w:sz="0" w:space="0" w:color="auto"/>
      </w:divBdr>
    </w:div>
    <w:div w:id="1113750529">
      <w:bodyDiv w:val="1"/>
      <w:marLeft w:val="0"/>
      <w:marRight w:val="0"/>
      <w:marTop w:val="0"/>
      <w:marBottom w:val="0"/>
      <w:divBdr>
        <w:top w:val="none" w:sz="0" w:space="0" w:color="auto"/>
        <w:left w:val="none" w:sz="0" w:space="0" w:color="auto"/>
        <w:bottom w:val="none" w:sz="0" w:space="0" w:color="auto"/>
        <w:right w:val="none" w:sz="0" w:space="0" w:color="auto"/>
      </w:divBdr>
    </w:div>
    <w:div w:id="1148285706">
      <w:bodyDiv w:val="1"/>
      <w:marLeft w:val="0"/>
      <w:marRight w:val="0"/>
      <w:marTop w:val="0"/>
      <w:marBottom w:val="0"/>
      <w:divBdr>
        <w:top w:val="none" w:sz="0" w:space="0" w:color="auto"/>
        <w:left w:val="none" w:sz="0" w:space="0" w:color="auto"/>
        <w:bottom w:val="none" w:sz="0" w:space="0" w:color="auto"/>
        <w:right w:val="none" w:sz="0" w:space="0" w:color="auto"/>
      </w:divBdr>
    </w:div>
    <w:div w:id="1158305811">
      <w:bodyDiv w:val="1"/>
      <w:marLeft w:val="0"/>
      <w:marRight w:val="0"/>
      <w:marTop w:val="0"/>
      <w:marBottom w:val="0"/>
      <w:divBdr>
        <w:top w:val="none" w:sz="0" w:space="0" w:color="auto"/>
        <w:left w:val="none" w:sz="0" w:space="0" w:color="auto"/>
        <w:bottom w:val="none" w:sz="0" w:space="0" w:color="auto"/>
        <w:right w:val="none" w:sz="0" w:space="0" w:color="auto"/>
      </w:divBdr>
    </w:div>
    <w:div w:id="1160848206">
      <w:bodyDiv w:val="1"/>
      <w:marLeft w:val="0"/>
      <w:marRight w:val="0"/>
      <w:marTop w:val="0"/>
      <w:marBottom w:val="0"/>
      <w:divBdr>
        <w:top w:val="none" w:sz="0" w:space="0" w:color="auto"/>
        <w:left w:val="none" w:sz="0" w:space="0" w:color="auto"/>
        <w:bottom w:val="none" w:sz="0" w:space="0" w:color="auto"/>
        <w:right w:val="none" w:sz="0" w:space="0" w:color="auto"/>
      </w:divBdr>
    </w:div>
    <w:div w:id="1162815022">
      <w:bodyDiv w:val="1"/>
      <w:marLeft w:val="0"/>
      <w:marRight w:val="0"/>
      <w:marTop w:val="0"/>
      <w:marBottom w:val="0"/>
      <w:divBdr>
        <w:top w:val="none" w:sz="0" w:space="0" w:color="auto"/>
        <w:left w:val="none" w:sz="0" w:space="0" w:color="auto"/>
        <w:bottom w:val="none" w:sz="0" w:space="0" w:color="auto"/>
        <w:right w:val="none" w:sz="0" w:space="0" w:color="auto"/>
      </w:divBdr>
    </w:div>
    <w:div w:id="1222597102">
      <w:bodyDiv w:val="1"/>
      <w:marLeft w:val="0"/>
      <w:marRight w:val="0"/>
      <w:marTop w:val="0"/>
      <w:marBottom w:val="0"/>
      <w:divBdr>
        <w:top w:val="none" w:sz="0" w:space="0" w:color="auto"/>
        <w:left w:val="none" w:sz="0" w:space="0" w:color="auto"/>
        <w:bottom w:val="none" w:sz="0" w:space="0" w:color="auto"/>
        <w:right w:val="none" w:sz="0" w:space="0" w:color="auto"/>
      </w:divBdr>
    </w:div>
    <w:div w:id="1261063525">
      <w:bodyDiv w:val="1"/>
      <w:marLeft w:val="0"/>
      <w:marRight w:val="0"/>
      <w:marTop w:val="0"/>
      <w:marBottom w:val="0"/>
      <w:divBdr>
        <w:top w:val="none" w:sz="0" w:space="0" w:color="auto"/>
        <w:left w:val="none" w:sz="0" w:space="0" w:color="auto"/>
        <w:bottom w:val="none" w:sz="0" w:space="0" w:color="auto"/>
        <w:right w:val="none" w:sz="0" w:space="0" w:color="auto"/>
      </w:divBdr>
    </w:div>
    <w:div w:id="1268469731">
      <w:bodyDiv w:val="1"/>
      <w:marLeft w:val="0"/>
      <w:marRight w:val="0"/>
      <w:marTop w:val="0"/>
      <w:marBottom w:val="0"/>
      <w:divBdr>
        <w:top w:val="none" w:sz="0" w:space="0" w:color="auto"/>
        <w:left w:val="none" w:sz="0" w:space="0" w:color="auto"/>
        <w:bottom w:val="none" w:sz="0" w:space="0" w:color="auto"/>
        <w:right w:val="none" w:sz="0" w:space="0" w:color="auto"/>
      </w:divBdr>
    </w:div>
    <w:div w:id="1331982122">
      <w:bodyDiv w:val="1"/>
      <w:marLeft w:val="0"/>
      <w:marRight w:val="0"/>
      <w:marTop w:val="0"/>
      <w:marBottom w:val="0"/>
      <w:divBdr>
        <w:top w:val="none" w:sz="0" w:space="0" w:color="auto"/>
        <w:left w:val="none" w:sz="0" w:space="0" w:color="auto"/>
        <w:bottom w:val="none" w:sz="0" w:space="0" w:color="auto"/>
        <w:right w:val="none" w:sz="0" w:space="0" w:color="auto"/>
      </w:divBdr>
    </w:div>
    <w:div w:id="1394505162">
      <w:bodyDiv w:val="1"/>
      <w:marLeft w:val="0"/>
      <w:marRight w:val="0"/>
      <w:marTop w:val="0"/>
      <w:marBottom w:val="0"/>
      <w:divBdr>
        <w:top w:val="none" w:sz="0" w:space="0" w:color="auto"/>
        <w:left w:val="none" w:sz="0" w:space="0" w:color="auto"/>
        <w:bottom w:val="none" w:sz="0" w:space="0" w:color="auto"/>
        <w:right w:val="none" w:sz="0" w:space="0" w:color="auto"/>
      </w:divBdr>
    </w:div>
    <w:div w:id="1410350760">
      <w:bodyDiv w:val="1"/>
      <w:marLeft w:val="0"/>
      <w:marRight w:val="0"/>
      <w:marTop w:val="0"/>
      <w:marBottom w:val="0"/>
      <w:divBdr>
        <w:top w:val="none" w:sz="0" w:space="0" w:color="auto"/>
        <w:left w:val="none" w:sz="0" w:space="0" w:color="auto"/>
        <w:bottom w:val="none" w:sz="0" w:space="0" w:color="auto"/>
        <w:right w:val="none" w:sz="0" w:space="0" w:color="auto"/>
      </w:divBdr>
    </w:div>
    <w:div w:id="1485050431">
      <w:bodyDiv w:val="1"/>
      <w:marLeft w:val="0"/>
      <w:marRight w:val="0"/>
      <w:marTop w:val="0"/>
      <w:marBottom w:val="0"/>
      <w:divBdr>
        <w:top w:val="none" w:sz="0" w:space="0" w:color="auto"/>
        <w:left w:val="none" w:sz="0" w:space="0" w:color="auto"/>
        <w:bottom w:val="none" w:sz="0" w:space="0" w:color="auto"/>
        <w:right w:val="none" w:sz="0" w:space="0" w:color="auto"/>
      </w:divBdr>
    </w:div>
    <w:div w:id="1617326230">
      <w:bodyDiv w:val="1"/>
      <w:marLeft w:val="0"/>
      <w:marRight w:val="0"/>
      <w:marTop w:val="0"/>
      <w:marBottom w:val="0"/>
      <w:divBdr>
        <w:top w:val="none" w:sz="0" w:space="0" w:color="auto"/>
        <w:left w:val="none" w:sz="0" w:space="0" w:color="auto"/>
        <w:bottom w:val="none" w:sz="0" w:space="0" w:color="auto"/>
        <w:right w:val="none" w:sz="0" w:space="0" w:color="auto"/>
      </w:divBdr>
    </w:div>
    <w:div w:id="1648977980">
      <w:bodyDiv w:val="1"/>
      <w:marLeft w:val="0"/>
      <w:marRight w:val="0"/>
      <w:marTop w:val="0"/>
      <w:marBottom w:val="0"/>
      <w:divBdr>
        <w:top w:val="none" w:sz="0" w:space="0" w:color="auto"/>
        <w:left w:val="none" w:sz="0" w:space="0" w:color="auto"/>
        <w:bottom w:val="none" w:sz="0" w:space="0" w:color="auto"/>
        <w:right w:val="none" w:sz="0" w:space="0" w:color="auto"/>
      </w:divBdr>
    </w:div>
    <w:div w:id="1672246916">
      <w:bodyDiv w:val="1"/>
      <w:marLeft w:val="0"/>
      <w:marRight w:val="0"/>
      <w:marTop w:val="0"/>
      <w:marBottom w:val="0"/>
      <w:divBdr>
        <w:top w:val="none" w:sz="0" w:space="0" w:color="auto"/>
        <w:left w:val="none" w:sz="0" w:space="0" w:color="auto"/>
        <w:bottom w:val="none" w:sz="0" w:space="0" w:color="auto"/>
        <w:right w:val="none" w:sz="0" w:space="0" w:color="auto"/>
      </w:divBdr>
    </w:div>
    <w:div w:id="1752191241">
      <w:bodyDiv w:val="1"/>
      <w:marLeft w:val="0"/>
      <w:marRight w:val="0"/>
      <w:marTop w:val="0"/>
      <w:marBottom w:val="0"/>
      <w:divBdr>
        <w:top w:val="none" w:sz="0" w:space="0" w:color="auto"/>
        <w:left w:val="none" w:sz="0" w:space="0" w:color="auto"/>
        <w:bottom w:val="none" w:sz="0" w:space="0" w:color="auto"/>
        <w:right w:val="none" w:sz="0" w:space="0" w:color="auto"/>
      </w:divBdr>
    </w:div>
    <w:div w:id="1766728677">
      <w:bodyDiv w:val="1"/>
      <w:marLeft w:val="0"/>
      <w:marRight w:val="0"/>
      <w:marTop w:val="0"/>
      <w:marBottom w:val="0"/>
      <w:divBdr>
        <w:top w:val="none" w:sz="0" w:space="0" w:color="auto"/>
        <w:left w:val="none" w:sz="0" w:space="0" w:color="auto"/>
        <w:bottom w:val="none" w:sz="0" w:space="0" w:color="auto"/>
        <w:right w:val="none" w:sz="0" w:space="0" w:color="auto"/>
      </w:divBdr>
    </w:div>
    <w:div w:id="1815949534">
      <w:bodyDiv w:val="1"/>
      <w:marLeft w:val="0"/>
      <w:marRight w:val="0"/>
      <w:marTop w:val="0"/>
      <w:marBottom w:val="0"/>
      <w:divBdr>
        <w:top w:val="none" w:sz="0" w:space="0" w:color="auto"/>
        <w:left w:val="none" w:sz="0" w:space="0" w:color="auto"/>
        <w:bottom w:val="none" w:sz="0" w:space="0" w:color="auto"/>
        <w:right w:val="none" w:sz="0" w:space="0" w:color="auto"/>
      </w:divBdr>
    </w:div>
    <w:div w:id="1825268726">
      <w:bodyDiv w:val="1"/>
      <w:marLeft w:val="0"/>
      <w:marRight w:val="0"/>
      <w:marTop w:val="0"/>
      <w:marBottom w:val="0"/>
      <w:divBdr>
        <w:top w:val="none" w:sz="0" w:space="0" w:color="auto"/>
        <w:left w:val="none" w:sz="0" w:space="0" w:color="auto"/>
        <w:bottom w:val="none" w:sz="0" w:space="0" w:color="auto"/>
        <w:right w:val="none" w:sz="0" w:space="0" w:color="auto"/>
      </w:divBdr>
    </w:div>
    <w:div w:id="1827627337">
      <w:bodyDiv w:val="1"/>
      <w:marLeft w:val="0"/>
      <w:marRight w:val="0"/>
      <w:marTop w:val="0"/>
      <w:marBottom w:val="0"/>
      <w:divBdr>
        <w:top w:val="none" w:sz="0" w:space="0" w:color="auto"/>
        <w:left w:val="none" w:sz="0" w:space="0" w:color="auto"/>
        <w:bottom w:val="none" w:sz="0" w:space="0" w:color="auto"/>
        <w:right w:val="none" w:sz="0" w:space="0" w:color="auto"/>
      </w:divBdr>
    </w:div>
    <w:div w:id="1828084116">
      <w:bodyDiv w:val="1"/>
      <w:marLeft w:val="0"/>
      <w:marRight w:val="0"/>
      <w:marTop w:val="0"/>
      <w:marBottom w:val="0"/>
      <w:divBdr>
        <w:top w:val="none" w:sz="0" w:space="0" w:color="auto"/>
        <w:left w:val="none" w:sz="0" w:space="0" w:color="auto"/>
        <w:bottom w:val="none" w:sz="0" w:space="0" w:color="auto"/>
        <w:right w:val="none" w:sz="0" w:space="0" w:color="auto"/>
      </w:divBdr>
    </w:div>
    <w:div w:id="1864706383">
      <w:bodyDiv w:val="1"/>
      <w:marLeft w:val="0"/>
      <w:marRight w:val="0"/>
      <w:marTop w:val="0"/>
      <w:marBottom w:val="0"/>
      <w:divBdr>
        <w:top w:val="none" w:sz="0" w:space="0" w:color="auto"/>
        <w:left w:val="none" w:sz="0" w:space="0" w:color="auto"/>
        <w:bottom w:val="none" w:sz="0" w:space="0" w:color="auto"/>
        <w:right w:val="none" w:sz="0" w:space="0" w:color="auto"/>
      </w:divBdr>
    </w:div>
    <w:div w:id="1881161390">
      <w:bodyDiv w:val="1"/>
      <w:marLeft w:val="0"/>
      <w:marRight w:val="0"/>
      <w:marTop w:val="0"/>
      <w:marBottom w:val="0"/>
      <w:divBdr>
        <w:top w:val="none" w:sz="0" w:space="0" w:color="auto"/>
        <w:left w:val="none" w:sz="0" w:space="0" w:color="auto"/>
        <w:bottom w:val="none" w:sz="0" w:space="0" w:color="auto"/>
        <w:right w:val="none" w:sz="0" w:space="0" w:color="auto"/>
      </w:divBdr>
    </w:div>
    <w:div w:id="1933974986">
      <w:bodyDiv w:val="1"/>
      <w:marLeft w:val="0"/>
      <w:marRight w:val="0"/>
      <w:marTop w:val="0"/>
      <w:marBottom w:val="0"/>
      <w:divBdr>
        <w:top w:val="none" w:sz="0" w:space="0" w:color="auto"/>
        <w:left w:val="none" w:sz="0" w:space="0" w:color="auto"/>
        <w:bottom w:val="none" w:sz="0" w:space="0" w:color="auto"/>
        <w:right w:val="none" w:sz="0" w:space="0" w:color="auto"/>
      </w:divBdr>
    </w:div>
    <w:div w:id="1940793541">
      <w:bodyDiv w:val="1"/>
      <w:marLeft w:val="0"/>
      <w:marRight w:val="0"/>
      <w:marTop w:val="0"/>
      <w:marBottom w:val="0"/>
      <w:divBdr>
        <w:top w:val="none" w:sz="0" w:space="0" w:color="auto"/>
        <w:left w:val="none" w:sz="0" w:space="0" w:color="auto"/>
        <w:bottom w:val="none" w:sz="0" w:space="0" w:color="auto"/>
        <w:right w:val="none" w:sz="0" w:space="0" w:color="auto"/>
      </w:divBdr>
    </w:div>
    <w:div w:id="1954170515">
      <w:bodyDiv w:val="1"/>
      <w:marLeft w:val="0"/>
      <w:marRight w:val="0"/>
      <w:marTop w:val="0"/>
      <w:marBottom w:val="0"/>
      <w:divBdr>
        <w:top w:val="none" w:sz="0" w:space="0" w:color="auto"/>
        <w:left w:val="none" w:sz="0" w:space="0" w:color="auto"/>
        <w:bottom w:val="none" w:sz="0" w:space="0" w:color="auto"/>
        <w:right w:val="none" w:sz="0" w:space="0" w:color="auto"/>
      </w:divBdr>
    </w:div>
    <w:div w:id="1988701875">
      <w:bodyDiv w:val="1"/>
      <w:marLeft w:val="0"/>
      <w:marRight w:val="0"/>
      <w:marTop w:val="0"/>
      <w:marBottom w:val="0"/>
      <w:divBdr>
        <w:top w:val="none" w:sz="0" w:space="0" w:color="auto"/>
        <w:left w:val="none" w:sz="0" w:space="0" w:color="auto"/>
        <w:bottom w:val="none" w:sz="0" w:space="0" w:color="auto"/>
        <w:right w:val="none" w:sz="0" w:space="0" w:color="auto"/>
      </w:divBdr>
    </w:div>
    <w:div w:id="2018578087">
      <w:bodyDiv w:val="1"/>
      <w:marLeft w:val="0"/>
      <w:marRight w:val="0"/>
      <w:marTop w:val="0"/>
      <w:marBottom w:val="0"/>
      <w:divBdr>
        <w:top w:val="none" w:sz="0" w:space="0" w:color="auto"/>
        <w:left w:val="none" w:sz="0" w:space="0" w:color="auto"/>
        <w:bottom w:val="none" w:sz="0" w:space="0" w:color="auto"/>
        <w:right w:val="none" w:sz="0" w:space="0" w:color="auto"/>
      </w:divBdr>
    </w:div>
    <w:div w:id="2071609538">
      <w:bodyDiv w:val="1"/>
      <w:marLeft w:val="0"/>
      <w:marRight w:val="0"/>
      <w:marTop w:val="0"/>
      <w:marBottom w:val="0"/>
      <w:divBdr>
        <w:top w:val="none" w:sz="0" w:space="0" w:color="auto"/>
        <w:left w:val="none" w:sz="0" w:space="0" w:color="auto"/>
        <w:bottom w:val="none" w:sz="0" w:space="0" w:color="auto"/>
        <w:right w:val="none" w:sz="0" w:space="0" w:color="auto"/>
      </w:divBdr>
    </w:div>
    <w:div w:id="2093355352">
      <w:bodyDiv w:val="1"/>
      <w:marLeft w:val="0"/>
      <w:marRight w:val="0"/>
      <w:marTop w:val="0"/>
      <w:marBottom w:val="0"/>
      <w:divBdr>
        <w:top w:val="none" w:sz="0" w:space="0" w:color="auto"/>
        <w:left w:val="none" w:sz="0" w:space="0" w:color="auto"/>
        <w:bottom w:val="none" w:sz="0" w:space="0" w:color="auto"/>
        <w:right w:val="none" w:sz="0" w:space="0" w:color="auto"/>
      </w:divBdr>
    </w:div>
    <w:div w:id="2127850365">
      <w:bodyDiv w:val="1"/>
      <w:marLeft w:val="0"/>
      <w:marRight w:val="0"/>
      <w:marTop w:val="0"/>
      <w:marBottom w:val="0"/>
      <w:divBdr>
        <w:top w:val="none" w:sz="0" w:space="0" w:color="auto"/>
        <w:left w:val="none" w:sz="0" w:space="0" w:color="auto"/>
        <w:bottom w:val="none" w:sz="0" w:space="0" w:color="auto"/>
        <w:right w:val="none" w:sz="0" w:space="0" w:color="auto"/>
      </w:divBdr>
    </w:div>
    <w:div w:id="214580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a.gov.au/government/publications/commissioners-instruction-39-interim-arrangements-fill-public-sector-vacancies" TargetMode="External"/><Relationship Id="rId21" Type="http://schemas.openxmlformats.org/officeDocument/2006/relationships/hyperlink" Target="https://www.wa.gov.au/government/publications/commissioners-instruction-36-interim-arrangements-fill-vacancies-main-roads-western-australia" TargetMode="External"/><Relationship Id="rId42" Type="http://schemas.openxmlformats.org/officeDocument/2006/relationships/footer" Target="footer2.xml"/><Relationship Id="rId47" Type="http://schemas.openxmlformats.org/officeDocument/2006/relationships/header" Target="header7.xml"/><Relationship Id="rId63" Type="http://schemas.openxmlformats.org/officeDocument/2006/relationships/chart" Target="charts/chart12.xml"/><Relationship Id="rId68" Type="http://schemas.openxmlformats.org/officeDocument/2006/relationships/chart" Target="charts/chart15.xml"/><Relationship Id="rId84" Type="http://schemas.openxmlformats.org/officeDocument/2006/relationships/hyperlink" Target="https://www.wa.gov.au/government/publications/learning-and-development-prospectus" TargetMode="External"/><Relationship Id="rId89" Type="http://schemas.openxmlformats.org/officeDocument/2006/relationships/chart" Target="charts/chart20.xml"/><Relationship Id="rId112" Type="http://schemas.openxmlformats.org/officeDocument/2006/relationships/fontTable" Target="fontTable.xml"/><Relationship Id="rId16" Type="http://schemas.openxmlformats.org/officeDocument/2006/relationships/hyperlink" Target="https://www.wa.gov.au/organisation/public-sector-commission/our-remit-and-responsibilities" TargetMode="External"/><Relationship Id="rId107" Type="http://schemas.openxmlformats.org/officeDocument/2006/relationships/hyperlink" Target="https://www.wa.gov.au/government/document-collections/state-of-the-wa-government-sector-workforce" TargetMode="External"/><Relationship Id="rId11" Type="http://schemas.openxmlformats.org/officeDocument/2006/relationships/image" Target="media/image1.png"/><Relationship Id="rId32" Type="http://schemas.openxmlformats.org/officeDocument/2006/relationships/hyperlink" Target="https://www.wa.gov.au/government/announcements/solid-futures-aboriginal-traineeship-program" TargetMode="External"/><Relationship Id="rId37" Type="http://schemas.openxmlformats.org/officeDocument/2006/relationships/chart" Target="charts/chart7.xml"/><Relationship Id="rId53" Type="http://schemas.openxmlformats.org/officeDocument/2006/relationships/header" Target="header11.xml"/><Relationship Id="rId58" Type="http://schemas.openxmlformats.org/officeDocument/2006/relationships/header" Target="header15.xml"/><Relationship Id="rId74" Type="http://schemas.openxmlformats.org/officeDocument/2006/relationships/hyperlink" Target="https://www.wa.gov.au/organisation/public-sector-commission/building-leadership-impact" TargetMode="External"/><Relationship Id="rId79" Type="http://schemas.openxmlformats.org/officeDocument/2006/relationships/hyperlink" Target="https://www.wa.gov.au/organisation/public-sector-commission/personal-leadership-suite" TargetMode="External"/><Relationship Id="rId102" Type="http://schemas.openxmlformats.org/officeDocument/2006/relationships/hyperlink" Target="https://www.wa.gov.au/government/document-collections/state-of-the-western-australian-government-sector-workforce-statistical-bulletins" TargetMode="External"/><Relationship Id="rId5" Type="http://schemas.openxmlformats.org/officeDocument/2006/relationships/numbering" Target="numbering.xml"/><Relationship Id="rId90" Type="http://schemas.openxmlformats.org/officeDocument/2006/relationships/hyperlink" Target="https://www.wa.gov.au/organisation/public-sector-commission/building-leadership-impact" TargetMode="External"/><Relationship Id="rId95" Type="http://schemas.openxmlformats.org/officeDocument/2006/relationships/hyperlink" Target="https://www.wa.gov.au/government/publications/commissioners-instruction-40-ethical-foundations" TargetMode="External"/><Relationship Id="rId22" Type="http://schemas.openxmlformats.org/officeDocument/2006/relationships/hyperlink" Target="https://www.wa.gov.au/government/publications/commissioners-instruction-37-interim-arrangements-fill-vacancies-south-metropolitan-health-service" TargetMode="External"/><Relationship Id="rId27" Type="http://schemas.openxmlformats.org/officeDocument/2006/relationships/hyperlink" Target="https://www.wa.gov.au/government/publications/commissioners-instruction-2-filling-public-sector-vacancy" TargetMode="External"/><Relationship Id="rId43" Type="http://schemas.openxmlformats.org/officeDocument/2006/relationships/header" Target="header4.xml"/><Relationship Id="rId48" Type="http://schemas.openxmlformats.org/officeDocument/2006/relationships/header" Target="header8.xml"/><Relationship Id="rId64" Type="http://schemas.openxmlformats.org/officeDocument/2006/relationships/hyperlink" Target="https://www.wa.gov.au/government/publications/workforce-diversification-and-inclusion-strategy-wa-public-sector-employment-2020-2025" TargetMode="External"/><Relationship Id="rId69" Type="http://schemas.openxmlformats.org/officeDocument/2006/relationships/chart" Target="charts/chart16.xml"/><Relationship Id="rId113" Type="http://schemas.openxmlformats.org/officeDocument/2006/relationships/theme" Target="theme/theme1.xml"/><Relationship Id="rId80" Type="http://schemas.openxmlformats.org/officeDocument/2006/relationships/hyperlink" Target="https://www.wa.gov.au/government/multi-step-guides/launch" TargetMode="External"/><Relationship Id="rId85" Type="http://schemas.openxmlformats.org/officeDocument/2006/relationships/hyperlink" Target="https://www.wa.gov.au/organisation/public-sector-commission/building-leadership-impact" TargetMode="Externa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hyperlink" Target="https://www.wa.gov.au/government/publications/commissioners-instruction-2-filling-public-sector-vacancy" TargetMode="External"/><Relationship Id="rId38" Type="http://schemas.openxmlformats.org/officeDocument/2006/relationships/chart" Target="charts/chart8.xml"/><Relationship Id="rId59" Type="http://schemas.openxmlformats.org/officeDocument/2006/relationships/footer" Target="footer6.xml"/><Relationship Id="rId103" Type="http://schemas.openxmlformats.org/officeDocument/2006/relationships/hyperlink" Target="https://www.wa.gov.au/government/document-collections/state-of-the-western-australian-government-sector-workforce" TargetMode="External"/><Relationship Id="rId108" Type="http://schemas.openxmlformats.org/officeDocument/2006/relationships/header" Target="header17.xml"/><Relationship Id="rId54" Type="http://schemas.openxmlformats.org/officeDocument/2006/relationships/header" Target="header12.xml"/><Relationship Id="rId70" Type="http://schemas.openxmlformats.org/officeDocument/2006/relationships/chart" Target="charts/chart17.xml"/><Relationship Id="rId75" Type="http://schemas.openxmlformats.org/officeDocument/2006/relationships/hyperlink" Target="https://www.wa.gov.au/government/multi-step-guides/classifying-and-remunerating-positions-the-public-service/executive-salary-expenditure-limit" TargetMode="External"/><Relationship Id="rId91" Type="http://schemas.openxmlformats.org/officeDocument/2006/relationships/chart" Target="charts/chart21.xml"/><Relationship Id="rId96" Type="http://schemas.openxmlformats.org/officeDocument/2006/relationships/hyperlink" Target="https://www.ccc.wa.gov.au/media/annual-repor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a.gov.au/census" TargetMode="External"/><Relationship Id="rId23" Type="http://schemas.openxmlformats.org/officeDocument/2006/relationships/hyperlink" Target="https://www.wa.gov.au/government/document-collections/annual-report-state-finances" TargetMode="External"/><Relationship Id="rId28" Type="http://schemas.openxmlformats.org/officeDocument/2006/relationships/hyperlink" Target="http://search.jobs.wa.gov.au/" TargetMode="External"/><Relationship Id="rId36" Type="http://schemas.openxmlformats.org/officeDocument/2006/relationships/chart" Target="charts/chart6.xml"/><Relationship Id="rId49" Type="http://schemas.openxmlformats.org/officeDocument/2006/relationships/header" Target="header9.xml"/><Relationship Id="rId57" Type="http://schemas.openxmlformats.org/officeDocument/2006/relationships/header" Target="header14.xml"/><Relationship Id="rId106" Type="http://schemas.openxmlformats.org/officeDocument/2006/relationships/hyperlink" Target="mailto:admin@psc.wa.gov.au" TargetMode="External"/><Relationship Id="rId114"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https://www.wa.gov.au/government/multi-step-guides/launch" TargetMode="External"/><Relationship Id="rId44" Type="http://schemas.openxmlformats.org/officeDocument/2006/relationships/header" Target="header5.xml"/><Relationship Id="rId52" Type="http://schemas.openxmlformats.org/officeDocument/2006/relationships/chart" Target="charts/chart10.xml"/><Relationship Id="rId60" Type="http://schemas.openxmlformats.org/officeDocument/2006/relationships/header" Target="header16.xml"/><Relationship Id="rId65" Type="http://schemas.openxmlformats.org/officeDocument/2006/relationships/chart" Target="charts/chart13.xml"/><Relationship Id="rId73" Type="http://schemas.openxmlformats.org/officeDocument/2006/relationships/hyperlink" Target="https://www.wa.gov.au/government/publications/future-enabled" TargetMode="External"/><Relationship Id="rId78" Type="http://schemas.openxmlformats.org/officeDocument/2006/relationships/hyperlink" Target="https://www.wa.gov.au/organisation/public-sector-commission/development-maps" TargetMode="External"/><Relationship Id="rId81" Type="http://schemas.openxmlformats.org/officeDocument/2006/relationships/hyperlink" Target="https://www.wa.gov.au/government/multi-step-guides/propel" TargetMode="External"/><Relationship Id="rId86" Type="http://schemas.openxmlformats.org/officeDocument/2006/relationships/hyperlink" Target="https://www.wa.gov.au/government/publications/workforce-diversification-and-inclusion-strategy-wa-public-sector-employment-2020-2025" TargetMode="External"/><Relationship Id="rId94" Type="http://schemas.openxmlformats.org/officeDocument/2006/relationships/hyperlink" Target="https://www.wa.gov.au/organisation/public-sector-commission/governance-of-wa-government-boards-and-committees" TargetMode="External"/><Relationship Id="rId99" Type="http://schemas.openxmlformats.org/officeDocument/2006/relationships/hyperlink" Target="https://www.wa.gov.au/government/publications/human-resource-minimum-obligatory-information-requirements-data-definitions" TargetMode="External"/><Relationship Id="rId101" Type="http://schemas.openxmlformats.org/officeDocument/2006/relationships/hyperlink" Target="https://www.wa.gov.au/government/document-collections/state-of-the-western-australian-government-sector-workforce-statistical-bulleti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wa.gov.au/organisation/public-sector-commission/the-structure-of-the-western-australian-government-sector" TargetMode="External"/><Relationship Id="rId39" Type="http://schemas.openxmlformats.org/officeDocument/2006/relationships/chart" Target="charts/chart9.xml"/><Relationship Id="rId109" Type="http://schemas.openxmlformats.org/officeDocument/2006/relationships/header" Target="header18.xml"/><Relationship Id="rId34" Type="http://schemas.openxmlformats.org/officeDocument/2006/relationships/chart" Target="charts/chart4.xml"/><Relationship Id="rId50" Type="http://schemas.openxmlformats.org/officeDocument/2006/relationships/footer" Target="footer4.xml"/><Relationship Id="rId55" Type="http://schemas.openxmlformats.org/officeDocument/2006/relationships/footer" Target="footer5.xml"/><Relationship Id="rId76" Type="http://schemas.openxmlformats.org/officeDocument/2006/relationships/hyperlink" Target="https://www.wa.gov.au/organisation/public-sector-commission/building-leadership-impact" TargetMode="External"/><Relationship Id="rId97" Type="http://schemas.openxmlformats.org/officeDocument/2006/relationships/hyperlink" Target="https://www.wa.gov.au/organisation/public-sector-commission/conduct-and-integrity" TargetMode="External"/><Relationship Id="rId104" Type="http://schemas.openxmlformats.org/officeDocument/2006/relationships/hyperlink" Target="https://www.wa.gov.au/government/document-collections/state-of-the-western-australian-government-sector-workforce-statistical-bulletins" TargetMode="External"/><Relationship Id="rId7" Type="http://schemas.openxmlformats.org/officeDocument/2006/relationships/settings" Target="settings.xml"/><Relationship Id="rId71" Type="http://schemas.openxmlformats.org/officeDocument/2006/relationships/hyperlink" Target="https://www.wa.gov.au/government/publications/about-our-workforce-data" TargetMode="External"/><Relationship Id="rId92" Type="http://schemas.openxmlformats.org/officeDocument/2006/relationships/hyperlink" Target="https://www.wa.gov.au/organisation/public-sector-commission/building-leadership-impact" TargetMode="Externa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image" Target="media/image5.png"/><Relationship Id="rId40" Type="http://schemas.openxmlformats.org/officeDocument/2006/relationships/header" Target="header2.xml"/><Relationship Id="rId45" Type="http://schemas.openxmlformats.org/officeDocument/2006/relationships/header" Target="header6.xml"/><Relationship Id="rId66" Type="http://schemas.openxmlformats.org/officeDocument/2006/relationships/chart" Target="charts/chart14.xml"/><Relationship Id="rId87" Type="http://schemas.openxmlformats.org/officeDocument/2006/relationships/chart" Target="charts/chart18.xml"/><Relationship Id="rId110" Type="http://schemas.openxmlformats.org/officeDocument/2006/relationships/footer" Target="footer7.xml"/><Relationship Id="rId61" Type="http://schemas.openxmlformats.org/officeDocument/2006/relationships/hyperlink" Target="https://www.wa.gov.au/government/publications/commissioners-instruction-41-contracts-services" TargetMode="External"/><Relationship Id="rId82" Type="http://schemas.openxmlformats.org/officeDocument/2006/relationships/hyperlink" Target="https://www.wa.gov.au/government/multi-step-guides/elev8" TargetMode="External"/><Relationship Id="rId19" Type="http://schemas.openxmlformats.org/officeDocument/2006/relationships/chart" Target="charts/chart1.xml"/><Relationship Id="rId14" Type="http://schemas.openxmlformats.org/officeDocument/2006/relationships/footer" Target="footer1.xml"/><Relationship Id="rId30" Type="http://schemas.openxmlformats.org/officeDocument/2006/relationships/hyperlink" Target="https://www.wa.gov.au/government/multi-step-guides/place-of-opportunity" TargetMode="External"/><Relationship Id="rId35" Type="http://schemas.openxmlformats.org/officeDocument/2006/relationships/chart" Target="charts/chart5.xml"/><Relationship Id="rId56" Type="http://schemas.openxmlformats.org/officeDocument/2006/relationships/header" Target="header13.xml"/><Relationship Id="rId77" Type="http://schemas.openxmlformats.org/officeDocument/2006/relationships/hyperlink" Target="https://www.wa.gov.au/organisation/public-sector-commission/leadership-expectations" TargetMode="External"/><Relationship Id="rId100" Type="http://schemas.openxmlformats.org/officeDocument/2006/relationships/hyperlink" Target="https://www.wa.gov.au/government/document-collections/western-australian-public-sector-quarterly-workforce-reports" TargetMode="External"/><Relationship Id="rId105" Type="http://schemas.openxmlformats.org/officeDocument/2006/relationships/hyperlink" Target="mailto:communications@psc.wa.gov.au" TargetMode="Externa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yperlink" Target="https://www.wa.gov.au/government/publications/future-enabled" TargetMode="External"/><Relationship Id="rId93" Type="http://schemas.openxmlformats.org/officeDocument/2006/relationships/hyperlink" Target="https://www.wa.gov.au/government/publications/integrity-strategy-wa-public-authorities-2020-2023" TargetMode="External"/><Relationship Id="rId98" Type="http://schemas.openxmlformats.org/officeDocument/2006/relationships/hyperlink" Target="https://www.wa.gov.au/government/publications/about-our-workforce-data" TargetMode="External"/><Relationship Id="rId3" Type="http://schemas.openxmlformats.org/officeDocument/2006/relationships/customXml" Target="../customXml/item3.xml"/><Relationship Id="rId25" Type="http://schemas.openxmlformats.org/officeDocument/2006/relationships/hyperlink" Target="https://www.wa.gov.au/government/publications/commissioners-instruction-38-temporary-regional-attraction-and-retention-incentives" TargetMode="External"/><Relationship Id="rId46" Type="http://schemas.openxmlformats.org/officeDocument/2006/relationships/footer" Target="footer3.xml"/><Relationship Id="rId67" Type="http://schemas.openxmlformats.org/officeDocument/2006/relationships/hyperlink" Target="https://www.wa.gov.au/government/publications/commissioners-instruction-29-aboriginal-and-torres-strait-islander-cultural-awareness-training" TargetMode="External"/><Relationship Id="rId20" Type="http://schemas.openxmlformats.org/officeDocument/2006/relationships/chart" Target="charts/chart2.xml"/><Relationship Id="rId41" Type="http://schemas.openxmlformats.org/officeDocument/2006/relationships/header" Target="header3.xml"/><Relationship Id="rId62" Type="http://schemas.openxmlformats.org/officeDocument/2006/relationships/chart" Target="charts/chart11.xml"/><Relationship Id="rId83" Type="http://schemas.openxmlformats.org/officeDocument/2006/relationships/hyperlink" Target="https://www.wa.gov.au/organisation/public-sector-commission/leadership-conversations" TargetMode="External"/><Relationship Id="rId88" Type="http://schemas.openxmlformats.org/officeDocument/2006/relationships/chart" Target="charts/chart19.xml"/><Relationship Id="rId111" Type="http://schemas.openxmlformats.org/officeDocument/2006/relationships/header" Target="header19.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A_WA_government_sector_workforce_headcount.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dpcwagov.sharepoint.com/sites/PSC-WDA/Shared%20Documents/SOTS%202023/Sections/Section%202%20-%20Workforce%20profile/D_Section_2J_Key_occupational_groups_Bubble.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https://dpcwagov.sharepoint.com/sites/PSC-WDA/Shared%20Documents/SOTS%202023/Sections/Section%202%20-%20Workforce%20profile/Temporary%20Personnel/Temporary%20Personel.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O_WA_public_sector_leave_liabili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3%20-%20Workforce%20diversity/E_Section_3D_Diversity_wome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3%20-%20Workforce%20diversity/E_Section_3E_Diversity_ATS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3%20-%20Workforce%20diversity/E_Section_3F_Diversity_PW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8.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4%20-%20Leadership/F_Section_4F_Women_in_the_S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4%20-%20Leadership/F_Section_4H_Women_in_management_tiers_WA_government%20secto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B_WA_government_sector_workforce_FT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4%20-%20Leadership/F_Section_4I_Women_in_management_tiers_WA_public_secto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4%20-%20Leadership/F_Section_4J_Age_profile_of_S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dpcwagov.sharepoint.com/sites/PSC-WDA/Shared%20Documents/SOTS%202023/Sections/Section%202%20-%20Workforce%20profile/RAMS/RAMS%20Advertisement.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G_Distribution_of_male_and_female_staff_by_age_grou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G_Distribution_of_male_and_female_staff_by_age_grou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G_Distribution_of_male_and_female_staff_by_age_grou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G_Distribution_of_male_and_female_staff_by_age_grou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H_By_PSCSAA_equivalent_salary_band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pcwagov.sharepoint.com/sites/PSC-WDA/Shared%20Documents/SOTS%202023/Sections/Section%202%20-%20Workforce%20profile/D_Section_2H_By_PSCSAA_equivalent_salary_ban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[D_Section_2A_WA_government_sector_workforce_headcount.xlsx]Input_Headcount!$C$1</c:f>
              <c:strCache>
                <c:ptCount val="1"/>
                <c:pt idx="0">
                  <c:v>Public sector headcount, quarterly point in time</c:v>
                </c:pt>
              </c:strCache>
            </c:strRef>
          </c:tx>
          <c:spPr>
            <a:ln w="28575">
              <a:solidFill>
                <a:srgbClr val="AF85B7"/>
              </a:solidFill>
              <a:prstDash val="sysDot"/>
            </a:ln>
          </c:spPr>
          <c:marker>
            <c:symbol val="diamond"/>
            <c:size val="7"/>
            <c:spPr>
              <a:solidFill>
                <a:srgbClr val="AF85B7"/>
              </a:solidFill>
              <a:ln>
                <a:solidFill>
                  <a:srgbClr val="AF85B7"/>
                </a:solidFill>
              </a:ln>
            </c:spPr>
          </c:marker>
          <c:cat>
            <c:strRef>
              <c:f>[D_Section_2A_WA_government_sector_workforce_headcount.xlsx]Input_Headcount!$B$2:$B$21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[D_Section_2A_WA_government_sector_workforce_headcount.xlsx]Input_Headcount!$C$2:$C$21</c:f>
              <c:numCache>
                <c:formatCode>_(* #,##0.00_);_(* \(#,##0.00\);_(* "-"??_);_(@_)</c:formatCode>
                <c:ptCount val="20"/>
                <c:pt idx="0">
                  <c:v>141744</c:v>
                </c:pt>
                <c:pt idx="1">
                  <c:v>138678</c:v>
                </c:pt>
                <c:pt idx="2">
                  <c:v>142278</c:v>
                </c:pt>
                <c:pt idx="3">
                  <c:v>142735</c:v>
                </c:pt>
                <c:pt idx="4">
                  <c:v>143775</c:v>
                </c:pt>
                <c:pt idx="5">
                  <c:v>143586</c:v>
                </c:pt>
                <c:pt idx="6">
                  <c:v>146343</c:v>
                </c:pt>
                <c:pt idx="7">
                  <c:v>146562</c:v>
                </c:pt>
                <c:pt idx="8">
                  <c:v>148408</c:v>
                </c:pt>
                <c:pt idx="9">
                  <c:v>148532</c:v>
                </c:pt>
                <c:pt idx="10">
                  <c:v>151753</c:v>
                </c:pt>
                <c:pt idx="11">
                  <c:v>153396</c:v>
                </c:pt>
                <c:pt idx="12">
                  <c:v>155931</c:v>
                </c:pt>
                <c:pt idx="13">
                  <c:v>155963</c:v>
                </c:pt>
                <c:pt idx="14">
                  <c:v>159839</c:v>
                </c:pt>
                <c:pt idx="15">
                  <c:v>160281</c:v>
                </c:pt>
                <c:pt idx="16">
                  <c:v>161530</c:v>
                </c:pt>
                <c:pt idx="17">
                  <c:v>160923</c:v>
                </c:pt>
                <c:pt idx="18">
                  <c:v>164141</c:v>
                </c:pt>
                <c:pt idx="19">
                  <c:v>164657</c:v>
                </c:pt>
              </c:numCache>
            </c:numRef>
          </c:val>
          <c:smooth val="0"/>
          <c:extLst>
            <c:ext xmlns:c16="http://schemas.microsoft.com/office/drawing/2014/chart" uri="{C3380CC4-5D6E-409C-BE32-E72D297353CC}">
              <c16:uniqueId val="{00000000-9BB5-4EC6-99F9-4A16172011BE}"/>
            </c:ext>
          </c:extLst>
        </c:ser>
        <c:ser>
          <c:idx val="1"/>
          <c:order val="1"/>
          <c:tx>
            <c:strRef>
              <c:f>[D_Section_2A_WA_government_sector_workforce_headcount.xlsx]Input_Headcount!$D$1</c:f>
              <c:strCache>
                <c:ptCount val="1"/>
                <c:pt idx="0">
                  <c:v>Public sector headcount, annual average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1-9BB5-4EC6-99F9-4A16172011BE}"/>
                </c:ext>
              </c:extLst>
            </c:dLbl>
            <c:dLbl>
              <c:idx val="1"/>
              <c:delete val="1"/>
              <c:extLst>
                <c:ext xmlns:c15="http://schemas.microsoft.com/office/drawing/2012/chart" uri="{CE6537A1-D6FC-4f65-9D91-7224C49458BB}"/>
                <c:ext xmlns:c16="http://schemas.microsoft.com/office/drawing/2014/chart" uri="{C3380CC4-5D6E-409C-BE32-E72D297353CC}">
                  <c16:uniqueId val="{00000002-9BB5-4EC6-99F9-4A16172011BE}"/>
                </c:ext>
              </c:extLst>
            </c:dLbl>
            <c:dLbl>
              <c:idx val="2"/>
              <c:delete val="1"/>
              <c:extLst>
                <c:ext xmlns:c15="http://schemas.microsoft.com/office/drawing/2012/chart" uri="{CE6537A1-D6FC-4f65-9D91-7224C49458BB}"/>
                <c:ext xmlns:c16="http://schemas.microsoft.com/office/drawing/2014/chart" uri="{C3380CC4-5D6E-409C-BE32-E72D297353CC}">
                  <c16:uniqueId val="{00000003-9BB5-4EC6-99F9-4A16172011BE}"/>
                </c:ext>
              </c:extLst>
            </c:dLbl>
            <c:dLbl>
              <c:idx val="4"/>
              <c:delete val="1"/>
              <c:extLst>
                <c:ext xmlns:c15="http://schemas.microsoft.com/office/drawing/2012/chart" uri="{CE6537A1-D6FC-4f65-9D91-7224C49458BB}"/>
                <c:ext xmlns:c16="http://schemas.microsoft.com/office/drawing/2014/chart" uri="{C3380CC4-5D6E-409C-BE32-E72D297353CC}">
                  <c16:uniqueId val="{00000004-9BB5-4EC6-99F9-4A16172011BE}"/>
                </c:ext>
              </c:extLst>
            </c:dLbl>
            <c:dLbl>
              <c:idx val="5"/>
              <c:delete val="1"/>
              <c:extLst>
                <c:ext xmlns:c15="http://schemas.microsoft.com/office/drawing/2012/chart" uri="{CE6537A1-D6FC-4f65-9D91-7224C49458BB}"/>
                <c:ext xmlns:c16="http://schemas.microsoft.com/office/drawing/2014/chart" uri="{C3380CC4-5D6E-409C-BE32-E72D297353CC}">
                  <c16:uniqueId val="{00000005-9BB5-4EC6-99F9-4A16172011BE}"/>
                </c:ext>
              </c:extLst>
            </c:dLbl>
            <c:dLbl>
              <c:idx val="6"/>
              <c:delete val="1"/>
              <c:extLst>
                <c:ext xmlns:c15="http://schemas.microsoft.com/office/drawing/2012/chart" uri="{CE6537A1-D6FC-4f65-9D91-7224C49458BB}"/>
                <c:ext xmlns:c16="http://schemas.microsoft.com/office/drawing/2014/chart" uri="{C3380CC4-5D6E-409C-BE32-E72D297353CC}">
                  <c16:uniqueId val="{00000006-9BB5-4EC6-99F9-4A16172011BE}"/>
                </c:ext>
              </c:extLst>
            </c:dLbl>
            <c:dLbl>
              <c:idx val="8"/>
              <c:delete val="1"/>
              <c:extLst>
                <c:ext xmlns:c15="http://schemas.microsoft.com/office/drawing/2012/chart" uri="{CE6537A1-D6FC-4f65-9D91-7224C49458BB}"/>
                <c:ext xmlns:c16="http://schemas.microsoft.com/office/drawing/2014/chart" uri="{C3380CC4-5D6E-409C-BE32-E72D297353CC}">
                  <c16:uniqueId val="{00000007-9BB5-4EC6-99F9-4A16172011BE}"/>
                </c:ext>
              </c:extLst>
            </c:dLbl>
            <c:dLbl>
              <c:idx val="9"/>
              <c:delete val="1"/>
              <c:extLst>
                <c:ext xmlns:c15="http://schemas.microsoft.com/office/drawing/2012/chart" uri="{CE6537A1-D6FC-4f65-9D91-7224C49458BB}"/>
                <c:ext xmlns:c16="http://schemas.microsoft.com/office/drawing/2014/chart" uri="{C3380CC4-5D6E-409C-BE32-E72D297353CC}">
                  <c16:uniqueId val="{00000008-9BB5-4EC6-99F9-4A16172011BE}"/>
                </c:ext>
              </c:extLst>
            </c:dLbl>
            <c:dLbl>
              <c:idx val="10"/>
              <c:delete val="1"/>
              <c:extLst>
                <c:ext xmlns:c15="http://schemas.microsoft.com/office/drawing/2012/chart" uri="{CE6537A1-D6FC-4f65-9D91-7224C49458BB}"/>
                <c:ext xmlns:c16="http://schemas.microsoft.com/office/drawing/2014/chart" uri="{C3380CC4-5D6E-409C-BE32-E72D297353CC}">
                  <c16:uniqueId val="{00000009-9BB5-4EC6-99F9-4A16172011BE}"/>
                </c:ext>
              </c:extLst>
            </c:dLbl>
            <c:dLbl>
              <c:idx val="12"/>
              <c:delete val="1"/>
              <c:extLst>
                <c:ext xmlns:c15="http://schemas.microsoft.com/office/drawing/2012/chart" uri="{CE6537A1-D6FC-4f65-9D91-7224C49458BB}"/>
                <c:ext xmlns:c16="http://schemas.microsoft.com/office/drawing/2014/chart" uri="{C3380CC4-5D6E-409C-BE32-E72D297353CC}">
                  <c16:uniqueId val="{0000000A-9BB5-4EC6-99F9-4A16172011BE}"/>
                </c:ext>
              </c:extLst>
            </c:dLbl>
            <c:dLbl>
              <c:idx val="13"/>
              <c:delete val="1"/>
              <c:extLst>
                <c:ext xmlns:c15="http://schemas.microsoft.com/office/drawing/2012/chart" uri="{CE6537A1-D6FC-4f65-9D91-7224C49458BB}"/>
                <c:ext xmlns:c16="http://schemas.microsoft.com/office/drawing/2014/chart" uri="{C3380CC4-5D6E-409C-BE32-E72D297353CC}">
                  <c16:uniqueId val="{0000000B-9BB5-4EC6-99F9-4A16172011BE}"/>
                </c:ext>
              </c:extLst>
            </c:dLbl>
            <c:dLbl>
              <c:idx val="14"/>
              <c:delete val="1"/>
              <c:extLst>
                <c:ext xmlns:c15="http://schemas.microsoft.com/office/drawing/2012/chart" uri="{CE6537A1-D6FC-4f65-9D91-7224C49458BB}"/>
                <c:ext xmlns:c16="http://schemas.microsoft.com/office/drawing/2014/chart" uri="{C3380CC4-5D6E-409C-BE32-E72D297353CC}">
                  <c16:uniqueId val="{0000000C-9BB5-4EC6-99F9-4A16172011BE}"/>
                </c:ext>
              </c:extLst>
            </c:dLbl>
            <c:dLbl>
              <c:idx val="16"/>
              <c:delete val="1"/>
              <c:extLst>
                <c:ext xmlns:c15="http://schemas.microsoft.com/office/drawing/2012/chart" uri="{CE6537A1-D6FC-4f65-9D91-7224C49458BB}"/>
                <c:ext xmlns:c16="http://schemas.microsoft.com/office/drawing/2014/chart" uri="{C3380CC4-5D6E-409C-BE32-E72D297353CC}">
                  <c16:uniqueId val="{0000000D-9BB5-4EC6-99F9-4A16172011BE}"/>
                </c:ext>
              </c:extLst>
            </c:dLbl>
            <c:dLbl>
              <c:idx val="17"/>
              <c:delete val="1"/>
              <c:extLst>
                <c:ext xmlns:c15="http://schemas.microsoft.com/office/drawing/2012/chart" uri="{CE6537A1-D6FC-4f65-9D91-7224C49458BB}"/>
                <c:ext xmlns:c16="http://schemas.microsoft.com/office/drawing/2014/chart" uri="{C3380CC4-5D6E-409C-BE32-E72D297353CC}">
                  <c16:uniqueId val="{0000000E-9BB5-4EC6-99F9-4A16172011BE}"/>
                </c:ext>
              </c:extLst>
            </c:dLbl>
            <c:dLbl>
              <c:idx val="18"/>
              <c:delete val="1"/>
              <c:extLst>
                <c:ext xmlns:c15="http://schemas.microsoft.com/office/drawing/2012/chart" uri="{CE6537A1-D6FC-4f65-9D91-7224C49458BB}"/>
                <c:ext xmlns:c16="http://schemas.microsoft.com/office/drawing/2014/chart" uri="{C3380CC4-5D6E-409C-BE32-E72D297353CC}">
                  <c16:uniqueId val="{0000000F-9BB5-4EC6-99F9-4A16172011BE}"/>
                </c:ext>
              </c:extLst>
            </c:dLbl>
            <c:numFmt formatCode="#,##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[D_Section_2A_WA_government_sector_workforce_headcount.xlsx]Input_Headcount!$B$2:$B$21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[D_Section_2A_WA_government_sector_workforce_headcount.xlsx]Input_Headcount!$D$2:$D$21</c:f>
              <c:numCache>
                <c:formatCode>_(* #,##0.00_);_(* \(#,##0.00\);_(* "-"??_);_(@_)</c:formatCode>
                <c:ptCount val="20"/>
                <c:pt idx="0">
                  <c:v>140058.25</c:v>
                </c:pt>
                <c:pt idx="1">
                  <c:v>140258.25</c:v>
                </c:pt>
                <c:pt idx="2">
                  <c:v>140628</c:v>
                </c:pt>
                <c:pt idx="3">
                  <c:v>141358.75</c:v>
                </c:pt>
                <c:pt idx="4">
                  <c:v>141866.5</c:v>
                </c:pt>
                <c:pt idx="5">
                  <c:v>143093.5</c:v>
                </c:pt>
                <c:pt idx="6">
                  <c:v>144109.75</c:v>
                </c:pt>
                <c:pt idx="7">
                  <c:v>145066.5</c:v>
                </c:pt>
                <c:pt idx="8">
                  <c:v>146224.75</c:v>
                </c:pt>
                <c:pt idx="9">
                  <c:v>147461.25</c:v>
                </c:pt>
                <c:pt idx="10">
                  <c:v>148813.75</c:v>
                </c:pt>
                <c:pt idx="11">
                  <c:v>150522.25</c:v>
                </c:pt>
                <c:pt idx="12">
                  <c:v>152403</c:v>
                </c:pt>
                <c:pt idx="13">
                  <c:v>154260.75</c:v>
                </c:pt>
                <c:pt idx="14">
                  <c:v>156282.25</c:v>
                </c:pt>
                <c:pt idx="15">
                  <c:v>158004</c:v>
                </c:pt>
                <c:pt idx="16">
                  <c:v>159403.25</c:v>
                </c:pt>
                <c:pt idx="17">
                  <c:v>160643.25</c:v>
                </c:pt>
                <c:pt idx="18" formatCode="_(* #,##0_);_(* \(#,##0\);_(* &quot;-&quot;??_);_(@_)">
                  <c:v>161719</c:v>
                </c:pt>
                <c:pt idx="19">
                  <c:v>162813</c:v>
                </c:pt>
              </c:numCache>
            </c:numRef>
          </c:val>
          <c:smooth val="1"/>
          <c:extLst>
            <c:ext xmlns:c16="http://schemas.microsoft.com/office/drawing/2014/chart" uri="{C3380CC4-5D6E-409C-BE32-E72D297353CC}">
              <c16:uniqueId val="{00000010-9BB5-4EC6-99F9-4A16172011BE}"/>
            </c:ext>
          </c:extLst>
        </c:ser>
        <c:dLbls>
          <c:showLegendKey val="0"/>
          <c:showVal val="0"/>
          <c:showCatName val="0"/>
          <c:showSerName val="0"/>
          <c:showPercent val="0"/>
          <c:showBubbleSize val="0"/>
        </c:dLbls>
        <c:marker val="1"/>
        <c:smooth val="0"/>
        <c:axId val="50010001"/>
        <c:axId val="50010002"/>
      </c:lineChart>
      <c:lineChart>
        <c:grouping val="standard"/>
        <c:varyColors val="0"/>
        <c:ser>
          <c:idx val="2"/>
          <c:order val="2"/>
          <c:tx>
            <c:strRef>
              <c:f>[D_Section_2A_WA_government_sector_workforce_headcount.xlsx]Input_Headcount!$G$1</c:f>
              <c:strCache>
                <c:ptCount val="1"/>
                <c:pt idx="0">
                  <c:v>Other government entities headcount, March</c:v>
                </c:pt>
              </c:strCache>
            </c:strRef>
          </c:tx>
          <c:spPr>
            <a:ln w="28575">
              <a:solidFill>
                <a:srgbClr val="6390C6"/>
              </a:solidFill>
            </a:ln>
          </c:spPr>
          <c:marker>
            <c:symbol val="circle"/>
            <c:size val="7"/>
            <c:spPr>
              <a:solidFill>
                <a:srgbClr val="6390C6"/>
              </a:solidFill>
              <a:ln>
                <a:solidFill>
                  <a:srgbClr val="6390C6"/>
                </a:solidFill>
              </a:ln>
            </c:spPr>
          </c:marker>
          <c:dLbls>
            <c:numFmt formatCode="#,##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[D_Section_2A_WA_government_sector_workforce_headcount.xlsx]Input_Headcount!$B$2:$B$21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[D_Section_2A_WA_government_sector_workforce_headcount.xlsx]Input_Headcount!$G$2:$G$21</c:f>
              <c:numCache>
                <c:formatCode>General</c:formatCode>
                <c:ptCount val="20"/>
                <c:pt idx="2" formatCode="_(* #,##0.00_);_(* \(#,##0.00\);_(* &quot;-&quot;??_);_(@_)">
                  <c:v>61824</c:v>
                </c:pt>
                <c:pt idx="6" formatCode="_(* #,##0.00_);_(* \(#,##0.00\);_(* &quot;-&quot;??_);_(@_)">
                  <c:v>62510</c:v>
                </c:pt>
                <c:pt idx="10" formatCode="_(* #,##0.00_);_(* \(#,##0.00\);_(* &quot;-&quot;??_);_(@_)">
                  <c:v>63546</c:v>
                </c:pt>
                <c:pt idx="14" formatCode="_(* #,##0.00_);_(* \(#,##0.00\);_(* &quot;-&quot;??_);_(@_)">
                  <c:v>64488</c:v>
                </c:pt>
                <c:pt idx="18" formatCode="_(* #,##0.00_);_(* \(#,##0.00\);_(* &quot;-&quot;??_);_(@_)">
                  <c:v>67118</c:v>
                </c:pt>
              </c:numCache>
            </c:numRef>
          </c:val>
          <c:smooth val="1"/>
          <c:extLst>
            <c:ext xmlns:c16="http://schemas.microsoft.com/office/drawing/2014/chart" uri="{C3380CC4-5D6E-409C-BE32-E72D297353CC}">
              <c16:uniqueId val="{00000011-9BB5-4EC6-99F9-4A16172011BE}"/>
            </c:ext>
          </c:extLst>
        </c:ser>
        <c:dLbls>
          <c:showLegendKey val="0"/>
          <c:showVal val="0"/>
          <c:showCatName val="0"/>
          <c:showSerName val="0"/>
          <c:showPercent val="0"/>
          <c:showBubbleSize val="0"/>
        </c:dLbls>
        <c:marker val="1"/>
        <c:smooth val="0"/>
        <c:axId val="50010003"/>
        <c:axId val="50010004"/>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170000"/>
          <c:min val="110000"/>
        </c:scaling>
        <c:delete val="0"/>
        <c:axPos val="l"/>
        <c:numFmt formatCode="_(* #,##0.00_);_(* \(#,##0.00\);_(* &quot;-&quot;??_);_(@_)" sourceLinked="1"/>
        <c:majorTickMark val="none"/>
        <c:minorTickMark val="none"/>
        <c:tickLblPos val="none"/>
        <c:spPr>
          <a:ln>
            <a:noFill/>
          </a:ln>
        </c:spPr>
        <c:crossAx val="50010001"/>
        <c:crosses val="autoZero"/>
        <c:crossBetween val="between"/>
      </c:valAx>
      <c:valAx>
        <c:axId val="50010004"/>
        <c:scaling>
          <c:orientation val="minMax"/>
          <c:max val="160000"/>
          <c:min val="40000"/>
        </c:scaling>
        <c:delete val="0"/>
        <c:axPos val="r"/>
        <c:numFmt formatCode="General" sourceLinked="1"/>
        <c:majorTickMark val="none"/>
        <c:minorTickMark val="none"/>
        <c:tickLblPos val="none"/>
        <c:spPr>
          <a:ln>
            <a:noFill/>
          </a:ln>
        </c:spPr>
        <c:crossAx val="50010003"/>
        <c:crosses val="max"/>
        <c:crossBetween val="between"/>
      </c:valAx>
      <c:catAx>
        <c:axId val="50010003"/>
        <c:scaling>
          <c:orientation val="minMax"/>
        </c:scaling>
        <c:delete val="1"/>
        <c:axPos val="b"/>
        <c:numFmt formatCode="General" sourceLinked="1"/>
        <c:majorTickMark val="out"/>
        <c:minorTickMark val="none"/>
        <c:tickLblPos val="none"/>
        <c:crossAx val="50010004"/>
        <c:crosses val="autoZero"/>
        <c:auto val="1"/>
        <c:lblAlgn val="ctr"/>
        <c:lblOffset val="100"/>
        <c:noMultiLvlLbl val="0"/>
      </c:catAx>
    </c:plotArea>
    <c:legend>
      <c:legendPos val="b"/>
      <c:overlay val="0"/>
      <c:txPr>
        <a:bodyPr/>
        <a:lstStyle/>
        <a:p>
          <a:pPr>
            <a:defRPr sz="800" baseline="0">
              <a:latin typeface="Arial"/>
            </a:defRPr>
          </a:pPr>
          <a:endParaRPr lang="en-US"/>
        </a:p>
      </c:txPr>
    </c:legend>
    <c:plotVisOnly val="1"/>
    <c:dispBlanksAs val="span"/>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6700990055787"/>
          <c:y val="3.0654434705095827E-2"/>
          <c:w val="0.71411732857424515"/>
          <c:h val="0.85684247016292792"/>
        </c:manualLayout>
      </c:layout>
      <c:bubbleChart>
        <c:varyColors val="0"/>
        <c:ser>
          <c:idx val="0"/>
          <c:order val="0"/>
          <c:tx>
            <c:strRef>
              <c:f>Figure_Key_occ_groups_Bubble!$D$1</c:f>
              <c:strCache>
                <c:ptCount val="1"/>
                <c:pt idx="0">
                  <c:v>Median salary</c:v>
                </c:pt>
              </c:strCache>
            </c:strRef>
          </c:tx>
          <c:spPr>
            <a:solidFill>
              <a:srgbClr val="B1388D"/>
            </a:solidFill>
            <a:ln w="12700">
              <a:solidFill>
                <a:srgbClr val="3C455A"/>
              </a:solidFill>
            </a:ln>
            <a:effectLst/>
          </c:spPr>
          <c:invertIfNegative val="0"/>
          <c:dLbls>
            <c:dLbl>
              <c:idx val="0"/>
              <c:layout>
                <c:manualLayout>
                  <c:x val="-1.6216216216216217E-2"/>
                  <c:y val="-0.17800167926112512"/>
                </c:manualLayout>
              </c:layout>
              <c:tx>
                <c:rich>
                  <a:bodyPr/>
                  <a:lstStyle/>
                  <a:p>
                    <a:fld id="{606012F0-120D-438B-BD65-A9B3453F47B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879-4D62-8669-75F4C631AF25}"/>
                </c:ext>
              </c:extLst>
            </c:dLbl>
            <c:dLbl>
              <c:idx val="1"/>
              <c:layout>
                <c:manualLayout>
                  <c:x val="9.1515210757867546E-2"/>
                  <c:y val="-3.2151488139454384E-2"/>
                </c:manualLayout>
              </c:layout>
              <c:tx>
                <c:rich>
                  <a:bodyPr/>
                  <a:lstStyle/>
                  <a:p>
                    <a:fld id="{60D43547-617F-4321-AD50-EBADECEA4EF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879-4D62-8669-75F4C631AF25}"/>
                </c:ext>
              </c:extLst>
            </c:dLbl>
            <c:dLbl>
              <c:idx val="2"/>
              <c:layout>
                <c:manualLayout>
                  <c:x val="1.8018034851434828E-2"/>
                  <c:y val="-2.4014458899906607E-2"/>
                </c:manualLayout>
              </c:layout>
              <c:tx>
                <c:rich>
                  <a:bodyPr/>
                  <a:lstStyle/>
                  <a:p>
                    <a:fld id="{236A0658-5D58-4229-A098-440826675A3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879-4D62-8669-75F4C631AF25}"/>
                </c:ext>
              </c:extLst>
            </c:dLbl>
            <c:dLbl>
              <c:idx val="3"/>
              <c:layout>
                <c:manualLayout>
                  <c:x val="2.7943228684980718E-2"/>
                  <c:y val="-1.4317813251011117E-2"/>
                </c:manualLayout>
              </c:layout>
              <c:tx>
                <c:rich>
                  <a:bodyPr/>
                  <a:lstStyle/>
                  <a:p>
                    <a:fld id="{EEE9DB48-F29F-4137-B182-0509327AADF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879-4D62-8669-75F4C631AF25}"/>
                </c:ext>
              </c:extLst>
            </c:dLbl>
            <c:dLbl>
              <c:idx val="4"/>
              <c:layout>
                <c:manualLayout>
                  <c:x val="-3.9639639639639575E-2"/>
                  <c:y val="-0.18807724601175482"/>
                </c:manualLayout>
              </c:layout>
              <c:tx>
                <c:rich>
                  <a:bodyPr/>
                  <a:lstStyle/>
                  <a:p>
                    <a:fld id="{5D81FE27-0D60-4F68-86D3-682D5FF7F82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879-4D62-8669-75F4C631AF25}"/>
                </c:ext>
              </c:extLst>
            </c:dLbl>
            <c:dLbl>
              <c:idx val="5"/>
              <c:layout>
                <c:manualLayout>
                  <c:x val="4.3243243243243246E-2"/>
                  <c:y val="-0.27875734676742231"/>
                </c:manualLayout>
              </c:layout>
              <c:tx>
                <c:rich>
                  <a:bodyPr/>
                  <a:lstStyle/>
                  <a:p>
                    <a:fld id="{A938A435-B798-494F-8331-6C5EE68871D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879-4D62-8669-75F4C631AF25}"/>
                </c:ext>
              </c:extLst>
            </c:dLbl>
            <c:dLbl>
              <c:idx val="6"/>
              <c:layout>
                <c:manualLayout>
                  <c:x val="-0.20455394923929379"/>
                  <c:y val="-1.4184169906801367E-2"/>
                </c:manualLayout>
              </c:layout>
              <c:tx>
                <c:rich>
                  <a:bodyPr/>
                  <a:lstStyle/>
                  <a:p>
                    <a:fld id="{415A7EBE-93BE-4967-97BF-62C0C238B27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879-4D62-8669-75F4C631AF25}"/>
                </c:ext>
              </c:extLst>
            </c:dLbl>
            <c:dLbl>
              <c:idx val="7"/>
              <c:layout>
                <c:manualLayout>
                  <c:x val="4.5389710306323411E-2"/>
                  <c:y val="-0.24640770591298877"/>
                </c:manualLayout>
              </c:layout>
              <c:tx>
                <c:rich>
                  <a:bodyPr/>
                  <a:lstStyle/>
                  <a:p>
                    <a:fld id="{67B4C93F-BFF2-4C28-88C0-B2DA66E0030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879-4D62-8669-75F4C631AF25}"/>
                </c:ext>
              </c:extLst>
            </c:dLbl>
            <c:dLbl>
              <c:idx val="8"/>
              <c:layout>
                <c:manualLayout>
                  <c:x val="-0.13864257005975492"/>
                  <c:y val="0.24262848774551524"/>
                </c:manualLayout>
              </c:layout>
              <c:tx>
                <c:rich>
                  <a:bodyPr/>
                  <a:lstStyle/>
                  <a:p>
                    <a:fld id="{CBBFE7EF-8C05-4F99-84B5-6D2C03BF9BF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879-4D62-8669-75F4C631AF25}"/>
                </c:ext>
              </c:extLst>
            </c:dLbl>
            <c:dLbl>
              <c:idx val="9"/>
              <c:layout>
                <c:manualLayout>
                  <c:x val="4.9449572204803456E-2"/>
                  <c:y val="-0.11301752187656305"/>
                </c:manualLayout>
              </c:layout>
              <c:tx>
                <c:rich>
                  <a:bodyPr/>
                  <a:lstStyle/>
                  <a:p>
                    <a:fld id="{AAF786A6-0DC5-4630-AB8F-054F90235EB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6404156685713001"/>
                      <c:h val="8.3671343636072995E-2"/>
                    </c:manualLayout>
                  </c15:layout>
                  <c15:dlblFieldTable/>
                  <c15:showDataLabelsRange val="1"/>
                </c:ext>
                <c:ext xmlns:c16="http://schemas.microsoft.com/office/drawing/2014/chart" uri="{C3380CC4-5D6E-409C-BE32-E72D297353CC}">
                  <c16:uniqueId val="{00000009-8879-4D62-8669-75F4C631AF25}"/>
                </c:ext>
              </c:extLst>
            </c:dLbl>
            <c:dLbl>
              <c:idx val="10"/>
              <c:layout>
                <c:manualLayout>
                  <c:x val="-7.1186465642660818E-2"/>
                  <c:y val="0.2255450264746682"/>
                </c:manualLayout>
              </c:layout>
              <c:tx>
                <c:rich>
                  <a:bodyPr/>
                  <a:lstStyle/>
                  <a:p>
                    <a:fld id="{9F3B9C07-650B-4314-ACCD-59A93474C6F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277918283229976"/>
                      <c:h val="0.12306051073640607"/>
                    </c:manualLayout>
                  </c15:layout>
                  <c15:dlblFieldTable/>
                  <c15:showDataLabelsRange val="1"/>
                </c:ext>
                <c:ext xmlns:c16="http://schemas.microsoft.com/office/drawing/2014/chart" uri="{C3380CC4-5D6E-409C-BE32-E72D297353CC}">
                  <c16:uniqueId val="{0000000A-8879-4D62-8669-75F4C631AF25}"/>
                </c:ext>
              </c:extLst>
            </c:dLbl>
            <c:dLbl>
              <c:idx val="11"/>
              <c:layout>
                <c:manualLayout>
                  <c:x val="-0.13619830822748177"/>
                  <c:y val="-0.17683984291045504"/>
                </c:manualLayout>
              </c:layout>
              <c:tx>
                <c:rich>
                  <a:bodyPr/>
                  <a:lstStyle/>
                  <a:p>
                    <a:fld id="{ABFD2088-6675-4B3B-8CA5-523CDB97A6B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879-4D62-8669-75F4C631AF25}"/>
                </c:ext>
              </c:extLst>
            </c:dLbl>
            <c:dLbl>
              <c:idx val="12"/>
              <c:layout>
                <c:manualLayout>
                  <c:x val="0.11306256142724212"/>
                  <c:y val="0.17983282541548712"/>
                </c:manualLayout>
              </c:layout>
              <c:tx>
                <c:rich>
                  <a:bodyPr/>
                  <a:lstStyle/>
                  <a:p>
                    <a:fld id="{45E206C9-A88F-48CB-BA25-31A8949D2AB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8879-4D62-8669-75F4C631AF25}"/>
                </c:ext>
              </c:extLst>
            </c:dLbl>
            <c:dLbl>
              <c:idx val="13"/>
              <c:layout>
                <c:manualLayout>
                  <c:x val="0.12336818553418527"/>
                  <c:y val="0.15675773961989681"/>
                </c:manualLayout>
              </c:layout>
              <c:tx>
                <c:rich>
                  <a:bodyPr/>
                  <a:lstStyle/>
                  <a:p>
                    <a:fld id="{4E41A507-BAE9-4CA1-AF80-648890D7D0B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6409353477108893"/>
                      <c:h val="8.2373961604504747E-2"/>
                    </c:manualLayout>
                  </c15:layout>
                  <c15:dlblFieldTable/>
                  <c15:showDataLabelsRange val="1"/>
                </c:ext>
                <c:ext xmlns:c16="http://schemas.microsoft.com/office/drawing/2014/chart" uri="{C3380CC4-5D6E-409C-BE32-E72D297353CC}">
                  <c16:uniqueId val="{0000000D-8879-4D62-8669-75F4C631AF25}"/>
                </c:ext>
              </c:extLst>
            </c:dLbl>
            <c:dLbl>
              <c:idx val="14"/>
              <c:layout>
                <c:manualLayout>
                  <c:x val="-0.19203522233391757"/>
                  <c:y val="0.10704536196236768"/>
                </c:manualLayout>
              </c:layout>
              <c:tx>
                <c:rich>
                  <a:bodyPr/>
                  <a:lstStyle/>
                  <a:p>
                    <a:fld id="{D0C17327-D6D9-4718-8C57-E729AF2F053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2463470643850923"/>
                      <c:h val="7.7570399476096924E-2"/>
                    </c:manualLayout>
                  </c15:layout>
                  <c15:dlblFieldTable/>
                  <c15:showDataLabelsRange val="1"/>
                </c:ext>
                <c:ext xmlns:c16="http://schemas.microsoft.com/office/drawing/2014/chart" uri="{C3380CC4-5D6E-409C-BE32-E72D297353CC}">
                  <c16:uniqueId val="{0000000E-8879-4D62-8669-75F4C631AF25}"/>
                </c:ext>
              </c:extLst>
            </c:dLbl>
            <c:dLbl>
              <c:idx val="15"/>
              <c:layout>
                <c:manualLayout>
                  <c:x val="-0.20935507696308234"/>
                  <c:y val="0.15907046996483917"/>
                </c:manualLayout>
              </c:layout>
              <c:tx>
                <c:rich>
                  <a:bodyPr/>
                  <a:lstStyle/>
                  <a:p>
                    <a:fld id="{F550BCEF-B3C0-4C4F-8476-9A2F6224C4E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4760073578590557"/>
                      <c:h val="0.16028301886792454"/>
                    </c:manualLayout>
                  </c15:layout>
                  <c15:dlblFieldTable/>
                  <c15:showDataLabelsRange val="1"/>
                </c:ext>
                <c:ext xmlns:c16="http://schemas.microsoft.com/office/drawing/2014/chart" uri="{C3380CC4-5D6E-409C-BE32-E72D297353CC}">
                  <c16:uniqueId val="{0000000F-8879-4D62-8669-75F4C631AF25}"/>
                </c:ext>
              </c:extLst>
            </c:dLbl>
            <c:dLbl>
              <c:idx val="16"/>
              <c:layout>
                <c:manualLayout>
                  <c:x val="-0.19813714155289933"/>
                  <c:y val="9.4680334769474572E-2"/>
                </c:manualLayout>
              </c:layout>
              <c:tx>
                <c:rich>
                  <a:bodyPr/>
                  <a:lstStyle/>
                  <a:p>
                    <a:fld id="{9ACF9ADC-1AB0-4F13-838D-1EA4C047BDF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8879-4D62-8669-75F4C631AF25}"/>
                </c:ext>
              </c:extLst>
            </c:dLbl>
            <c:dLbl>
              <c:idx val="17"/>
              <c:layout>
                <c:manualLayout>
                  <c:x val="-0.16848044027149958"/>
                  <c:y val="0.27565125078968106"/>
                </c:manualLayout>
              </c:layout>
              <c:tx>
                <c:rich>
                  <a:bodyPr/>
                  <a:lstStyle/>
                  <a:p>
                    <a:fld id="{EF0BC1F9-6B5D-4112-B493-117D0697607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8879-4D62-8669-75F4C631AF25}"/>
                </c:ext>
              </c:extLst>
            </c:dLbl>
            <c:dLbl>
              <c:idx val="18"/>
              <c:layout>
                <c:manualLayout>
                  <c:x val="-5.0450450450450469E-2"/>
                  <c:y val="-0.11418975650713686"/>
                </c:manualLayout>
              </c:layout>
              <c:tx>
                <c:rich>
                  <a:bodyPr/>
                  <a:lstStyle/>
                  <a:p>
                    <a:fld id="{BF132101-3E26-48FF-AD3D-298FD0D60A0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879-4D62-8669-75F4C631AF25}"/>
                </c:ext>
              </c:extLst>
            </c:dLbl>
            <c:dLbl>
              <c:idx val="19"/>
              <c:layout>
                <c:manualLayout>
                  <c:x val="-0.15498552367566484"/>
                  <c:y val="3.9082355271628781E-2"/>
                </c:manualLayout>
              </c:layout>
              <c:tx>
                <c:rich>
                  <a:bodyPr/>
                  <a:lstStyle/>
                  <a:p>
                    <a:fld id="{CA9771B0-98D2-4D70-A64C-968BE628203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8879-4D62-8669-75F4C631AF25}"/>
                </c:ext>
              </c:extLst>
            </c:dLbl>
            <c:dLbl>
              <c:idx val="20"/>
              <c:layout>
                <c:manualLayout>
                  <c:x val="0.10116552936736002"/>
                  <c:y val="0.13902459147419932"/>
                </c:manualLayout>
              </c:layout>
              <c:tx>
                <c:rich>
                  <a:bodyPr/>
                  <a:lstStyle/>
                  <a:p>
                    <a:fld id="{8316B72E-33EE-4A72-A274-0CDFA5109A8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9139046985534"/>
                      <c:h val="8.7393582187295357E-2"/>
                    </c:manualLayout>
                  </c15:layout>
                  <c15:dlblFieldTable/>
                  <c15:showDataLabelsRange val="1"/>
                </c:ext>
                <c:ext xmlns:c16="http://schemas.microsoft.com/office/drawing/2014/chart" uri="{C3380CC4-5D6E-409C-BE32-E72D297353CC}">
                  <c16:uniqueId val="{00000014-8879-4D62-8669-75F4C631AF25}"/>
                </c:ext>
              </c:extLst>
            </c:dLbl>
            <c:dLbl>
              <c:idx val="21"/>
              <c:layout>
                <c:manualLayout>
                  <c:x val="-0.19459459459459461"/>
                  <c:y val="0.14441645675902604"/>
                </c:manualLayout>
              </c:layout>
              <c:tx>
                <c:rich>
                  <a:bodyPr/>
                  <a:lstStyle/>
                  <a:p>
                    <a:fld id="{B1BF1725-345C-42C4-9D4D-3F798129AD2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8879-4D62-8669-75F4C631AF25}"/>
                </c:ext>
              </c:extLst>
            </c:dLbl>
            <c:dLbl>
              <c:idx val="22"/>
              <c:layout>
                <c:manualLayout>
                  <c:x val="-0.2290325006331882"/>
                  <c:y val="5.7194922594973392E-2"/>
                </c:manualLayout>
              </c:layout>
              <c:tx>
                <c:rich>
                  <a:bodyPr/>
                  <a:lstStyle/>
                  <a:p>
                    <a:fld id="{0ADE4F6C-DF10-4AA6-8C12-FCE065F4C7E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8879-4D62-8669-75F4C631AF25}"/>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Figure_Key_occ_groups_Bubble!$C$2:$C$24</c:f>
              <c:numCache>
                <c:formatCode>0.0%</c:formatCode>
                <c:ptCount val="23"/>
                <c:pt idx="0">
                  <c:v>0.77157340436921917</c:v>
                </c:pt>
                <c:pt idx="1">
                  <c:v>0.80109410389813063</c:v>
                </c:pt>
                <c:pt idx="2">
                  <c:v>0.89751495465673548</c:v>
                </c:pt>
                <c:pt idx="3">
                  <c:v>0.94026608492455477</c:v>
                </c:pt>
                <c:pt idx="4">
                  <c:v>0.56071075170156326</c:v>
                </c:pt>
                <c:pt idx="5">
                  <c:v>0.65149639896289091</c:v>
                </c:pt>
                <c:pt idx="6">
                  <c:v>0.49690469302328727</c:v>
                </c:pt>
                <c:pt idx="7">
                  <c:v>0.65217560887657133</c:v>
                </c:pt>
                <c:pt idx="8">
                  <c:v>0.33479882905854091</c:v>
                </c:pt>
                <c:pt idx="9">
                  <c:v>0.81680428920107373</c:v>
                </c:pt>
                <c:pt idx="10">
                  <c:v>0.77329580930659203</c:v>
                </c:pt>
                <c:pt idx="11">
                  <c:v>0.41738507784355078</c:v>
                </c:pt>
                <c:pt idx="12">
                  <c:v>0.8543583812818164</c:v>
                </c:pt>
                <c:pt idx="13">
                  <c:v>0.7938121660868912</c:v>
                </c:pt>
                <c:pt idx="14">
                  <c:v>0.69561113660599205</c:v>
                </c:pt>
                <c:pt idx="15">
                  <c:v>0.22531001791714189</c:v>
                </c:pt>
                <c:pt idx="16">
                  <c:v>0.57172070289738774</c:v>
                </c:pt>
                <c:pt idx="17">
                  <c:v>0.73726329054604955</c:v>
                </c:pt>
                <c:pt idx="18">
                  <c:v>8.6550667976440676E-2</c:v>
                </c:pt>
                <c:pt idx="19">
                  <c:v>0.57538892700284616</c:v>
                </c:pt>
                <c:pt idx="20">
                  <c:v>0.80698171742068692</c:v>
                </c:pt>
                <c:pt idx="21">
                  <c:v>0.2834680241343171</c:v>
                </c:pt>
                <c:pt idx="22">
                  <c:v>0.67210914218260942</c:v>
                </c:pt>
              </c:numCache>
            </c:numRef>
          </c:xVal>
          <c:yVal>
            <c:numRef>
              <c:f>Figure_Key_occ_groups_Bubble!$D$2:$D$24</c:f>
              <c:numCache>
                <c:formatCode>General</c:formatCode>
                <c:ptCount val="23"/>
                <c:pt idx="0">
                  <c:v>111803</c:v>
                </c:pt>
                <c:pt idx="1">
                  <c:v>71642</c:v>
                </c:pt>
                <c:pt idx="2">
                  <c:v>92017</c:v>
                </c:pt>
                <c:pt idx="3">
                  <c:v>55974</c:v>
                </c:pt>
                <c:pt idx="4">
                  <c:v>131965</c:v>
                </c:pt>
                <c:pt idx="5">
                  <c:v>106334</c:v>
                </c:pt>
                <c:pt idx="6">
                  <c:v>171604</c:v>
                </c:pt>
                <c:pt idx="7">
                  <c:v>135710</c:v>
                </c:pt>
                <c:pt idx="8">
                  <c:v>71604</c:v>
                </c:pt>
                <c:pt idx="9">
                  <c:v>108340</c:v>
                </c:pt>
                <c:pt idx="10">
                  <c:v>70821</c:v>
                </c:pt>
                <c:pt idx="11">
                  <c:v>108008</c:v>
                </c:pt>
                <c:pt idx="12">
                  <c:v>107061</c:v>
                </c:pt>
                <c:pt idx="13">
                  <c:v>55906</c:v>
                </c:pt>
                <c:pt idx="14">
                  <c:v>59271</c:v>
                </c:pt>
                <c:pt idx="15">
                  <c:v>88620</c:v>
                </c:pt>
                <c:pt idx="16">
                  <c:v>104822</c:v>
                </c:pt>
                <c:pt idx="17">
                  <c:v>72300</c:v>
                </c:pt>
                <c:pt idx="18">
                  <c:v>103321</c:v>
                </c:pt>
                <c:pt idx="19">
                  <c:v>56662</c:v>
                </c:pt>
                <c:pt idx="20">
                  <c:v>69451</c:v>
                </c:pt>
                <c:pt idx="21">
                  <c:v>68460</c:v>
                </c:pt>
                <c:pt idx="22">
                  <c:v>76186</c:v>
                </c:pt>
              </c:numCache>
            </c:numRef>
          </c:yVal>
          <c:bubbleSize>
            <c:numRef>
              <c:f>Figure_Key_occ_groups_Bubble!$E$2:$E$24</c:f>
              <c:numCache>
                <c:formatCode>#,##0</c:formatCode>
                <c:ptCount val="23"/>
                <c:pt idx="0">
                  <c:v>23431</c:v>
                </c:pt>
                <c:pt idx="1">
                  <c:v>21292</c:v>
                </c:pt>
                <c:pt idx="2">
                  <c:v>14221</c:v>
                </c:pt>
                <c:pt idx="3">
                  <c:v>9926</c:v>
                </c:pt>
                <c:pt idx="4">
                  <c:v>8018</c:v>
                </c:pt>
                <c:pt idx="5">
                  <c:v>6660</c:v>
                </c:pt>
                <c:pt idx="6">
                  <c:v>5160</c:v>
                </c:pt>
                <c:pt idx="7">
                  <c:v>3824</c:v>
                </c:pt>
                <c:pt idx="8">
                  <c:v>3596</c:v>
                </c:pt>
                <c:pt idx="9">
                  <c:v>3565</c:v>
                </c:pt>
                <c:pt idx="10">
                  <c:v>3361</c:v>
                </c:pt>
                <c:pt idx="11">
                  <c:v>3331</c:v>
                </c:pt>
                <c:pt idx="12">
                  <c:v>3193</c:v>
                </c:pt>
                <c:pt idx="13">
                  <c:v>3149</c:v>
                </c:pt>
                <c:pt idx="14">
                  <c:v>2982</c:v>
                </c:pt>
                <c:pt idx="15">
                  <c:v>2885</c:v>
                </c:pt>
                <c:pt idx="16">
                  <c:v>2577</c:v>
                </c:pt>
                <c:pt idx="17">
                  <c:v>1426</c:v>
                </c:pt>
                <c:pt idx="18">
                  <c:v>1316</c:v>
                </c:pt>
                <c:pt idx="19">
                  <c:v>1193</c:v>
                </c:pt>
                <c:pt idx="20">
                  <c:v>883</c:v>
                </c:pt>
                <c:pt idx="21">
                  <c:v>861</c:v>
                </c:pt>
                <c:pt idx="22">
                  <c:v>671</c:v>
                </c:pt>
              </c:numCache>
            </c:numRef>
          </c:bubbleSize>
          <c:bubble3D val="0"/>
          <c:extLst>
            <c:ext xmlns:c15="http://schemas.microsoft.com/office/drawing/2012/chart" uri="{02D57815-91ED-43cb-92C2-25804820EDAC}">
              <c15:datalabelsRange>
                <c15:f>Figure_Key_occ_groups_Bubble!$B$2:$B$24</c15:f>
                <c15:dlblRangeCache>
                  <c:ptCount val="23"/>
                  <c:pt idx="0">
                    <c:v>Education professionals (teachers)</c:v>
                  </c:pt>
                  <c:pt idx="1">
                    <c:v>Clerical and administrative workers</c:v>
                  </c:pt>
                  <c:pt idx="2">
                    <c:v>Nurses and midwives</c:v>
                  </c:pt>
                  <c:pt idx="3">
                    <c:v>Education aides</c:v>
                  </c:pt>
                  <c:pt idx="4">
                    <c:v>Managers</c:v>
                  </c:pt>
                  <c:pt idx="5">
                    <c:v>Business, human resource and marketing professionals</c:v>
                  </c:pt>
                  <c:pt idx="6">
                    <c:v>Medical practitioners</c:v>
                  </c:pt>
                  <c:pt idx="7">
                    <c:v>Education managers</c:v>
                  </c:pt>
                  <c:pt idx="8">
                    <c:v>Other technicians and trades workers</c:v>
                  </c:pt>
                  <c:pt idx="9">
                    <c:v>Health professionals</c:v>
                  </c:pt>
                  <c:pt idx="10">
                    <c:v>Health and welfare support workers</c:v>
                  </c:pt>
                  <c:pt idx="11">
                    <c:v>Other professionals</c:v>
                  </c:pt>
                  <c:pt idx="12">
                    <c:v>Social and welfare professionals</c:v>
                  </c:pt>
                  <c:pt idx="13">
                    <c:v>Cleaners (mainly schools and hospitals)</c:v>
                  </c:pt>
                  <c:pt idx="14">
                    <c:v>Nursing support and personal care workers</c:v>
                  </c:pt>
                  <c:pt idx="15">
                    <c:v>Prison, transit and security officers</c:v>
                  </c:pt>
                  <c:pt idx="16">
                    <c:v>Natural and physical science professionals</c:v>
                  </c:pt>
                  <c:pt idx="17">
                    <c:v>Medical technicians</c:v>
                  </c:pt>
                  <c:pt idx="18">
                    <c:v>Fire and emergency workers</c:v>
                  </c:pt>
                  <c:pt idx="19">
                    <c:v>Other labourers</c:v>
                  </c:pt>
                  <c:pt idx="20">
                    <c:v>Other community and personal service workers</c:v>
                  </c:pt>
                  <c:pt idx="21">
                    <c:v>Machinery operators and drivers</c:v>
                  </c:pt>
                  <c:pt idx="22">
                    <c:v>Sales workers</c:v>
                  </c:pt>
                </c15:dlblRangeCache>
              </c15:datalabelsRange>
            </c:ext>
            <c:ext xmlns:c16="http://schemas.microsoft.com/office/drawing/2014/chart" uri="{C3380CC4-5D6E-409C-BE32-E72D297353CC}">
              <c16:uniqueId val="{00000017-8879-4D62-8669-75F4C631AF25}"/>
            </c:ext>
          </c:extLst>
        </c:ser>
        <c:dLbls>
          <c:showLegendKey val="0"/>
          <c:showVal val="0"/>
          <c:showCatName val="0"/>
          <c:showSerName val="0"/>
          <c:showPercent val="0"/>
          <c:showBubbleSize val="0"/>
        </c:dLbls>
        <c:bubbleScale val="100"/>
        <c:showNegBubbles val="0"/>
        <c:axId val="623255296"/>
        <c:axId val="623255624"/>
      </c:bubbleChart>
      <c:valAx>
        <c:axId val="623255296"/>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aseline="0"/>
                  <a:t>% female (Headcount)</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23255624"/>
        <c:crosses val="autoZero"/>
        <c:crossBetween val="midCat"/>
      </c:valAx>
      <c:valAx>
        <c:axId val="623255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aseline="0"/>
                  <a:t>Median salary</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23255296"/>
        <c:crosses val="autoZero"/>
        <c:crossBetween val="midCat"/>
        <c:majorUnit val="50000"/>
      </c:valAx>
      <c:spPr>
        <a:noFill/>
        <a:ln>
          <a:noFill/>
        </a:ln>
        <a:effectLst/>
      </c:spPr>
    </c:plotArea>
    <c:plotVisOnly val="1"/>
    <c:dispBlanksAs val="gap"/>
    <c:showDLblsOverMax val="0"/>
  </c:chart>
  <c:spPr>
    <a:solidFill>
      <a:schemeClr val="bg1"/>
    </a:solidFill>
    <a:ln w="19050" cap="flat" cmpd="sng" algn="ctr">
      <a:solidFill>
        <a:schemeClr val="accent1">
          <a:lumMod val="7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7615886857117"/>
          <c:y val="4.861950898113044E-2"/>
          <c:w val="0.88092384113142874"/>
          <c:h val="0.7915789528629108"/>
        </c:manualLayout>
      </c:layout>
      <c:barChart>
        <c:barDir val="col"/>
        <c:grouping val="clustered"/>
        <c:varyColors val="0"/>
        <c:ser>
          <c:idx val="0"/>
          <c:order val="0"/>
          <c:tx>
            <c:strRef>
              <c:f>'[Temporary Personel.xlsx]Sheet1'!$A$3:$A$7</c:f>
              <c:strCache>
                <c:ptCount val="5"/>
                <c:pt idx="0">
                  <c:v>2018-19</c:v>
                </c:pt>
                <c:pt idx="1">
                  <c:v>2019-20</c:v>
                </c:pt>
                <c:pt idx="2">
                  <c:v>2020-21</c:v>
                </c:pt>
                <c:pt idx="3">
                  <c:v>2021-22</c:v>
                </c:pt>
                <c:pt idx="4">
                  <c:v>2022-23</c:v>
                </c:pt>
              </c:strCache>
            </c:strRef>
          </c:tx>
          <c:spPr>
            <a:solidFill>
              <a:srgbClr val="B1388D"/>
            </a:solidFill>
            <a:ln>
              <a:noFill/>
            </a:ln>
            <a:effectLst/>
          </c:spPr>
          <c:invertIfNegative val="0"/>
          <c:dPt>
            <c:idx val="2"/>
            <c:invertIfNegative val="0"/>
            <c:bubble3D val="0"/>
            <c:spPr>
              <a:solidFill>
                <a:srgbClr val="B1388D"/>
              </a:solidFill>
              <a:ln>
                <a:solidFill>
                  <a:srgbClr val="B1388D"/>
                </a:solidFill>
              </a:ln>
              <a:effectLst/>
            </c:spPr>
            <c:extLst>
              <c:ext xmlns:c16="http://schemas.microsoft.com/office/drawing/2014/chart" uri="{C3380CC4-5D6E-409C-BE32-E72D297353CC}">
                <c16:uniqueId val="{00000001-F34E-411C-99CB-41AE775ECA1A}"/>
              </c:ext>
            </c:extLst>
          </c:dPt>
          <c:dLbls>
            <c:dLbl>
              <c:idx val="0"/>
              <c:tx>
                <c:rich>
                  <a:bodyPr/>
                  <a:lstStyle/>
                  <a:p>
                    <a:r>
                      <a:rPr lang="en-US"/>
                      <a:t>$88.5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34E-411C-99CB-41AE775ECA1A}"/>
                </c:ext>
              </c:extLst>
            </c:dLbl>
            <c:dLbl>
              <c:idx val="1"/>
              <c:layout>
                <c:manualLayout>
                  <c:x val="1.3774104683195087E-3"/>
                  <c:y val="-9.8214575029973109E-3"/>
                </c:manualLayout>
              </c:layout>
              <c:tx>
                <c:rich>
                  <a:bodyPr/>
                  <a:lstStyle/>
                  <a:p>
                    <a:r>
                      <a:rPr lang="en-US"/>
                      <a:t>$87.2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4E-411C-99CB-41AE775ECA1A}"/>
                </c:ext>
              </c:extLst>
            </c:dLbl>
            <c:dLbl>
              <c:idx val="2"/>
              <c:layout>
                <c:manualLayout>
                  <c:x val="0"/>
                  <c:y val="-7.6083082207316927E-3"/>
                </c:manualLayout>
              </c:layout>
              <c:tx>
                <c:rich>
                  <a:bodyPr/>
                  <a:lstStyle/>
                  <a:p>
                    <a:r>
                      <a:rPr lang="en-US"/>
                      <a:t>$117.8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4E-411C-99CB-41AE775ECA1A}"/>
                </c:ext>
              </c:extLst>
            </c:dLbl>
            <c:dLbl>
              <c:idx val="3"/>
              <c:tx>
                <c:rich>
                  <a:bodyPr/>
                  <a:lstStyle/>
                  <a:p>
                    <a:r>
                      <a:rPr lang="en-US"/>
                      <a:t>$</a:t>
                    </a:r>
                    <a:fld id="{3D6321FC-5077-4FD8-871D-EF13408DF65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34E-411C-99CB-41AE775ECA1A}"/>
                </c:ext>
              </c:extLst>
            </c:dLbl>
            <c:dLbl>
              <c:idx val="4"/>
              <c:layout>
                <c:manualLayout>
                  <c:x val="-1.3774104683196603E-3"/>
                  <c:y val="-5.4869684499314125E-3"/>
                </c:manualLayout>
              </c:layout>
              <c:tx>
                <c:rich>
                  <a:bodyPr/>
                  <a:lstStyle/>
                  <a:p>
                    <a:r>
                      <a:rPr lang="en-US"/>
                      <a:t>$</a:t>
                    </a:r>
                    <a:fld id="{16C12A77-BD33-4FE1-A524-5B9562BF7374}"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34E-411C-99CB-41AE775ECA1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'[Temporary Personel.xlsx]Sheet1'!$A$3:$A$7</c:f>
              <c:strCache>
                <c:ptCount val="5"/>
                <c:pt idx="0">
                  <c:v>2018-19</c:v>
                </c:pt>
                <c:pt idx="1">
                  <c:v>2019-20</c:v>
                </c:pt>
                <c:pt idx="2">
                  <c:v>2020-21</c:v>
                </c:pt>
                <c:pt idx="3">
                  <c:v>2021-22</c:v>
                </c:pt>
                <c:pt idx="4">
                  <c:v>2022-23</c:v>
                </c:pt>
              </c:strCache>
            </c:strRef>
          </c:cat>
          <c:val>
            <c:numRef>
              <c:f>'[Temporary Personel.xlsx]Sheet1'!$B$3:$B$7</c:f>
              <c:numCache>
                <c:formatCode>General</c:formatCode>
                <c:ptCount val="5"/>
                <c:pt idx="0">
                  <c:v>88.5</c:v>
                </c:pt>
                <c:pt idx="1">
                  <c:v>87.2</c:v>
                </c:pt>
                <c:pt idx="2">
                  <c:v>117.8</c:v>
                </c:pt>
                <c:pt idx="3">
                  <c:v>125.3</c:v>
                </c:pt>
                <c:pt idx="4">
                  <c:v>130.30000000000001</c:v>
                </c:pt>
              </c:numCache>
            </c:numRef>
          </c:val>
          <c:extLst>
            <c:ext xmlns:c16="http://schemas.microsoft.com/office/drawing/2014/chart" uri="{C3380CC4-5D6E-409C-BE32-E72D297353CC}">
              <c16:uniqueId val="{00000006-F34E-411C-99CB-41AE775ECA1A}"/>
            </c:ext>
          </c:extLst>
        </c:ser>
        <c:dLbls>
          <c:showLegendKey val="0"/>
          <c:showVal val="0"/>
          <c:showCatName val="0"/>
          <c:showSerName val="0"/>
          <c:showPercent val="0"/>
          <c:showBubbleSize val="0"/>
        </c:dLbls>
        <c:gapWidth val="219"/>
        <c:overlap val="-91"/>
        <c:axId val="734153183"/>
        <c:axId val="563158287"/>
      </c:barChart>
      <c:catAx>
        <c:axId val="73415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3158287"/>
        <c:crosses val="autoZero"/>
        <c:auto val="1"/>
        <c:lblAlgn val="ctr"/>
        <c:lblOffset val="100"/>
        <c:noMultiLvlLbl val="0"/>
      </c:catAx>
      <c:valAx>
        <c:axId val="563158287"/>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AU" sz="1050">
                    <a:solidFill>
                      <a:schemeClr val="tx1"/>
                    </a:solidFill>
                  </a:rPr>
                  <a:t>Expenditure in  $millions</a:t>
                </a:r>
              </a:p>
            </c:rich>
          </c:tx>
          <c:layout>
            <c:manualLayout>
              <c:xMode val="edge"/>
              <c:yMode val="edge"/>
              <c:x val="1.5151563322417808E-2"/>
              <c:y val="0.1502263390055327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7341531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Input_Leave_liability_PS!$C$1</c:f>
              <c:strCache>
                <c:ptCount val="1"/>
                <c:pt idx="0">
                  <c:v>Annual leave liability (million hours)</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3FAD-4C4B-9AE2-22C368B5290A}"/>
                </c:ext>
              </c:extLst>
            </c:dLbl>
            <c:dLbl>
              <c:idx val="1"/>
              <c:delete val="1"/>
              <c:extLst>
                <c:ext xmlns:c15="http://schemas.microsoft.com/office/drawing/2012/chart" uri="{CE6537A1-D6FC-4f65-9D91-7224C49458BB}"/>
                <c:ext xmlns:c16="http://schemas.microsoft.com/office/drawing/2014/chart" uri="{C3380CC4-5D6E-409C-BE32-E72D297353CC}">
                  <c16:uniqueId val="{00000001-3FAD-4C4B-9AE2-22C368B5290A}"/>
                </c:ext>
              </c:extLst>
            </c:dLbl>
            <c:dLbl>
              <c:idx val="2"/>
              <c:delete val="1"/>
              <c:extLst>
                <c:ext xmlns:c15="http://schemas.microsoft.com/office/drawing/2012/chart" uri="{CE6537A1-D6FC-4f65-9D91-7224C49458BB}"/>
                <c:ext xmlns:c16="http://schemas.microsoft.com/office/drawing/2014/chart" uri="{C3380CC4-5D6E-409C-BE32-E72D297353CC}">
                  <c16:uniqueId val="{00000002-3FAD-4C4B-9AE2-22C368B5290A}"/>
                </c:ext>
              </c:extLst>
            </c:dLbl>
            <c:dLbl>
              <c:idx val="4"/>
              <c:delete val="1"/>
              <c:extLst>
                <c:ext xmlns:c15="http://schemas.microsoft.com/office/drawing/2012/chart" uri="{CE6537A1-D6FC-4f65-9D91-7224C49458BB}"/>
                <c:ext xmlns:c16="http://schemas.microsoft.com/office/drawing/2014/chart" uri="{C3380CC4-5D6E-409C-BE32-E72D297353CC}">
                  <c16:uniqueId val="{00000003-3FAD-4C4B-9AE2-22C368B5290A}"/>
                </c:ext>
              </c:extLst>
            </c:dLbl>
            <c:dLbl>
              <c:idx val="5"/>
              <c:delete val="1"/>
              <c:extLst>
                <c:ext xmlns:c15="http://schemas.microsoft.com/office/drawing/2012/chart" uri="{CE6537A1-D6FC-4f65-9D91-7224C49458BB}"/>
                <c:ext xmlns:c16="http://schemas.microsoft.com/office/drawing/2014/chart" uri="{C3380CC4-5D6E-409C-BE32-E72D297353CC}">
                  <c16:uniqueId val="{00000004-3FAD-4C4B-9AE2-22C368B5290A}"/>
                </c:ext>
              </c:extLst>
            </c:dLbl>
            <c:dLbl>
              <c:idx val="6"/>
              <c:delete val="1"/>
              <c:extLst>
                <c:ext xmlns:c15="http://schemas.microsoft.com/office/drawing/2012/chart" uri="{CE6537A1-D6FC-4f65-9D91-7224C49458BB}"/>
                <c:ext xmlns:c16="http://schemas.microsoft.com/office/drawing/2014/chart" uri="{C3380CC4-5D6E-409C-BE32-E72D297353CC}">
                  <c16:uniqueId val="{00000005-3FAD-4C4B-9AE2-22C368B5290A}"/>
                </c:ext>
              </c:extLst>
            </c:dLbl>
            <c:dLbl>
              <c:idx val="8"/>
              <c:delete val="1"/>
              <c:extLst>
                <c:ext xmlns:c15="http://schemas.microsoft.com/office/drawing/2012/chart" uri="{CE6537A1-D6FC-4f65-9D91-7224C49458BB}"/>
                <c:ext xmlns:c16="http://schemas.microsoft.com/office/drawing/2014/chart" uri="{C3380CC4-5D6E-409C-BE32-E72D297353CC}">
                  <c16:uniqueId val="{00000006-3FAD-4C4B-9AE2-22C368B5290A}"/>
                </c:ext>
              </c:extLst>
            </c:dLbl>
            <c:dLbl>
              <c:idx val="9"/>
              <c:delete val="1"/>
              <c:extLst>
                <c:ext xmlns:c15="http://schemas.microsoft.com/office/drawing/2012/chart" uri="{CE6537A1-D6FC-4f65-9D91-7224C49458BB}"/>
                <c:ext xmlns:c16="http://schemas.microsoft.com/office/drawing/2014/chart" uri="{C3380CC4-5D6E-409C-BE32-E72D297353CC}">
                  <c16:uniqueId val="{00000007-3FAD-4C4B-9AE2-22C368B5290A}"/>
                </c:ext>
              </c:extLst>
            </c:dLbl>
            <c:dLbl>
              <c:idx val="10"/>
              <c:delete val="1"/>
              <c:extLst>
                <c:ext xmlns:c15="http://schemas.microsoft.com/office/drawing/2012/chart" uri="{CE6537A1-D6FC-4f65-9D91-7224C49458BB}"/>
                <c:ext xmlns:c16="http://schemas.microsoft.com/office/drawing/2014/chart" uri="{C3380CC4-5D6E-409C-BE32-E72D297353CC}">
                  <c16:uniqueId val="{00000008-3FAD-4C4B-9AE2-22C368B5290A}"/>
                </c:ext>
              </c:extLst>
            </c:dLbl>
            <c:dLbl>
              <c:idx val="12"/>
              <c:delete val="1"/>
              <c:extLst>
                <c:ext xmlns:c15="http://schemas.microsoft.com/office/drawing/2012/chart" uri="{CE6537A1-D6FC-4f65-9D91-7224C49458BB}"/>
                <c:ext xmlns:c16="http://schemas.microsoft.com/office/drawing/2014/chart" uri="{C3380CC4-5D6E-409C-BE32-E72D297353CC}">
                  <c16:uniqueId val="{00000009-3FAD-4C4B-9AE2-22C368B5290A}"/>
                </c:ext>
              </c:extLst>
            </c:dLbl>
            <c:dLbl>
              <c:idx val="13"/>
              <c:delete val="1"/>
              <c:extLst>
                <c:ext xmlns:c15="http://schemas.microsoft.com/office/drawing/2012/chart" uri="{CE6537A1-D6FC-4f65-9D91-7224C49458BB}"/>
                <c:ext xmlns:c16="http://schemas.microsoft.com/office/drawing/2014/chart" uri="{C3380CC4-5D6E-409C-BE32-E72D297353CC}">
                  <c16:uniqueId val="{0000000A-3FAD-4C4B-9AE2-22C368B5290A}"/>
                </c:ext>
              </c:extLst>
            </c:dLbl>
            <c:dLbl>
              <c:idx val="14"/>
              <c:delete val="1"/>
              <c:extLst>
                <c:ext xmlns:c15="http://schemas.microsoft.com/office/drawing/2012/chart" uri="{CE6537A1-D6FC-4f65-9D91-7224C49458BB}"/>
                <c:ext xmlns:c16="http://schemas.microsoft.com/office/drawing/2014/chart" uri="{C3380CC4-5D6E-409C-BE32-E72D297353CC}">
                  <c16:uniqueId val="{0000000B-3FAD-4C4B-9AE2-22C368B5290A}"/>
                </c:ext>
              </c:extLst>
            </c:dLbl>
            <c:dLbl>
              <c:idx val="16"/>
              <c:delete val="1"/>
              <c:extLst>
                <c:ext xmlns:c15="http://schemas.microsoft.com/office/drawing/2012/chart" uri="{CE6537A1-D6FC-4f65-9D91-7224C49458BB}"/>
                <c:ext xmlns:c16="http://schemas.microsoft.com/office/drawing/2014/chart" uri="{C3380CC4-5D6E-409C-BE32-E72D297353CC}">
                  <c16:uniqueId val="{0000000C-3FAD-4C4B-9AE2-22C368B5290A}"/>
                </c:ext>
              </c:extLst>
            </c:dLbl>
            <c:dLbl>
              <c:idx val="17"/>
              <c:delete val="1"/>
              <c:extLst>
                <c:ext xmlns:c15="http://schemas.microsoft.com/office/drawing/2012/chart" uri="{CE6537A1-D6FC-4f65-9D91-7224C49458BB}"/>
                <c:ext xmlns:c16="http://schemas.microsoft.com/office/drawing/2014/chart" uri="{C3380CC4-5D6E-409C-BE32-E72D297353CC}">
                  <c16:uniqueId val="{0000000D-3FAD-4C4B-9AE2-22C368B5290A}"/>
                </c:ext>
              </c:extLst>
            </c:dLbl>
            <c:dLbl>
              <c:idx val="18"/>
              <c:delete val="1"/>
              <c:extLst>
                <c:ext xmlns:c15="http://schemas.microsoft.com/office/drawing/2012/chart" uri="{CE6537A1-D6FC-4f65-9D91-7224C49458BB}"/>
                <c:ext xmlns:c16="http://schemas.microsoft.com/office/drawing/2014/chart" uri="{C3380CC4-5D6E-409C-BE32-E72D297353CC}">
                  <c16:uniqueId val="{0000000E-3FAD-4C4B-9AE2-22C368B5290A}"/>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Input_Leave_liability_PS!$B$2:$B$21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Input_Leave_liability_PS!$C$2:$C$21</c:f>
              <c:numCache>
                <c:formatCode>General</c:formatCode>
                <c:ptCount val="20"/>
                <c:pt idx="0">
                  <c:v>10.911839479999999</c:v>
                </c:pt>
                <c:pt idx="1">
                  <c:v>10.714748309999999</c:v>
                </c:pt>
                <c:pt idx="2">
                  <c:v>10.2487151</c:v>
                </c:pt>
                <c:pt idx="3">
                  <c:v>11.09384865</c:v>
                </c:pt>
                <c:pt idx="4">
                  <c:v>11.179948477747979</c:v>
                </c:pt>
                <c:pt idx="5">
                  <c:v>11.08232311549391</c:v>
                </c:pt>
                <c:pt idx="6">
                  <c:v>11.2935218965375</c:v>
                </c:pt>
                <c:pt idx="7">
                  <c:v>12.65346012783062</c:v>
                </c:pt>
                <c:pt idx="8">
                  <c:v>13.2145881844</c:v>
                </c:pt>
                <c:pt idx="9">
                  <c:v>13.11812620096384</c:v>
                </c:pt>
                <c:pt idx="10">
                  <c:v>13.046061082610541</c:v>
                </c:pt>
                <c:pt idx="11">
                  <c:v>13.722740829999999</c:v>
                </c:pt>
                <c:pt idx="12">
                  <c:v>14.2002128685</c:v>
                </c:pt>
                <c:pt idx="13">
                  <c:v>13.967223602300001</c:v>
                </c:pt>
                <c:pt idx="14">
                  <c:v>13.952132475999999</c:v>
                </c:pt>
                <c:pt idx="15">
                  <c:v>14.209758044060001</c:v>
                </c:pt>
                <c:pt idx="16">
                  <c:v>14.545916739999999</c:v>
                </c:pt>
                <c:pt idx="17">
                  <c:v>14.314860850000001</c:v>
                </c:pt>
                <c:pt idx="18">
                  <c:v>13.814601</c:v>
                </c:pt>
                <c:pt idx="19">
                  <c:v>14.35834178</c:v>
                </c:pt>
              </c:numCache>
            </c:numRef>
          </c:val>
          <c:smooth val="0"/>
          <c:extLst>
            <c:ext xmlns:c16="http://schemas.microsoft.com/office/drawing/2014/chart" uri="{C3380CC4-5D6E-409C-BE32-E72D297353CC}">
              <c16:uniqueId val="{0000000F-3FAD-4C4B-9AE2-22C368B5290A}"/>
            </c:ext>
          </c:extLst>
        </c:ser>
        <c:ser>
          <c:idx val="1"/>
          <c:order val="1"/>
          <c:tx>
            <c:strRef>
              <c:f>Input_Leave_liability_PS!$D$1</c:f>
              <c:strCache>
                <c:ptCount val="1"/>
                <c:pt idx="0">
                  <c:v>Long service leave liability (million hours)</c:v>
                </c:pt>
              </c:strCache>
            </c:strRef>
          </c:tx>
          <c:spPr>
            <a:ln w="28575">
              <a:solidFill>
                <a:srgbClr val="AF85B7"/>
              </a:solidFill>
            </a:ln>
          </c:spPr>
          <c:marker>
            <c:symbol val="circle"/>
            <c:size val="7"/>
            <c:spPr>
              <a:solidFill>
                <a:srgbClr val="AF85B7"/>
              </a:solidFill>
              <a:ln>
                <a:solidFill>
                  <a:srgbClr val="AF85B7"/>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10-3FAD-4C4B-9AE2-22C368B5290A}"/>
                </c:ext>
              </c:extLst>
            </c:dLbl>
            <c:dLbl>
              <c:idx val="1"/>
              <c:delete val="1"/>
              <c:extLst>
                <c:ext xmlns:c15="http://schemas.microsoft.com/office/drawing/2012/chart" uri="{CE6537A1-D6FC-4f65-9D91-7224C49458BB}"/>
                <c:ext xmlns:c16="http://schemas.microsoft.com/office/drawing/2014/chart" uri="{C3380CC4-5D6E-409C-BE32-E72D297353CC}">
                  <c16:uniqueId val="{00000011-3FAD-4C4B-9AE2-22C368B5290A}"/>
                </c:ext>
              </c:extLst>
            </c:dLbl>
            <c:dLbl>
              <c:idx val="2"/>
              <c:delete val="1"/>
              <c:extLst>
                <c:ext xmlns:c15="http://schemas.microsoft.com/office/drawing/2012/chart" uri="{CE6537A1-D6FC-4f65-9D91-7224C49458BB}"/>
                <c:ext xmlns:c16="http://schemas.microsoft.com/office/drawing/2014/chart" uri="{C3380CC4-5D6E-409C-BE32-E72D297353CC}">
                  <c16:uniqueId val="{00000012-3FAD-4C4B-9AE2-22C368B5290A}"/>
                </c:ext>
              </c:extLst>
            </c:dLbl>
            <c:dLbl>
              <c:idx val="4"/>
              <c:delete val="1"/>
              <c:extLst>
                <c:ext xmlns:c15="http://schemas.microsoft.com/office/drawing/2012/chart" uri="{CE6537A1-D6FC-4f65-9D91-7224C49458BB}"/>
                <c:ext xmlns:c16="http://schemas.microsoft.com/office/drawing/2014/chart" uri="{C3380CC4-5D6E-409C-BE32-E72D297353CC}">
                  <c16:uniqueId val="{00000013-3FAD-4C4B-9AE2-22C368B5290A}"/>
                </c:ext>
              </c:extLst>
            </c:dLbl>
            <c:dLbl>
              <c:idx val="5"/>
              <c:delete val="1"/>
              <c:extLst>
                <c:ext xmlns:c15="http://schemas.microsoft.com/office/drawing/2012/chart" uri="{CE6537A1-D6FC-4f65-9D91-7224C49458BB}"/>
                <c:ext xmlns:c16="http://schemas.microsoft.com/office/drawing/2014/chart" uri="{C3380CC4-5D6E-409C-BE32-E72D297353CC}">
                  <c16:uniqueId val="{00000014-3FAD-4C4B-9AE2-22C368B5290A}"/>
                </c:ext>
              </c:extLst>
            </c:dLbl>
            <c:dLbl>
              <c:idx val="6"/>
              <c:delete val="1"/>
              <c:extLst>
                <c:ext xmlns:c15="http://schemas.microsoft.com/office/drawing/2012/chart" uri="{CE6537A1-D6FC-4f65-9D91-7224C49458BB}"/>
                <c:ext xmlns:c16="http://schemas.microsoft.com/office/drawing/2014/chart" uri="{C3380CC4-5D6E-409C-BE32-E72D297353CC}">
                  <c16:uniqueId val="{00000015-3FAD-4C4B-9AE2-22C368B5290A}"/>
                </c:ext>
              </c:extLst>
            </c:dLbl>
            <c:dLbl>
              <c:idx val="8"/>
              <c:delete val="1"/>
              <c:extLst>
                <c:ext xmlns:c15="http://schemas.microsoft.com/office/drawing/2012/chart" uri="{CE6537A1-D6FC-4f65-9D91-7224C49458BB}"/>
                <c:ext xmlns:c16="http://schemas.microsoft.com/office/drawing/2014/chart" uri="{C3380CC4-5D6E-409C-BE32-E72D297353CC}">
                  <c16:uniqueId val="{00000016-3FAD-4C4B-9AE2-22C368B5290A}"/>
                </c:ext>
              </c:extLst>
            </c:dLbl>
            <c:dLbl>
              <c:idx val="9"/>
              <c:delete val="1"/>
              <c:extLst>
                <c:ext xmlns:c15="http://schemas.microsoft.com/office/drawing/2012/chart" uri="{CE6537A1-D6FC-4f65-9D91-7224C49458BB}"/>
                <c:ext xmlns:c16="http://schemas.microsoft.com/office/drawing/2014/chart" uri="{C3380CC4-5D6E-409C-BE32-E72D297353CC}">
                  <c16:uniqueId val="{00000017-3FAD-4C4B-9AE2-22C368B5290A}"/>
                </c:ext>
              </c:extLst>
            </c:dLbl>
            <c:dLbl>
              <c:idx val="10"/>
              <c:delete val="1"/>
              <c:extLst>
                <c:ext xmlns:c15="http://schemas.microsoft.com/office/drawing/2012/chart" uri="{CE6537A1-D6FC-4f65-9D91-7224C49458BB}"/>
                <c:ext xmlns:c16="http://schemas.microsoft.com/office/drawing/2014/chart" uri="{C3380CC4-5D6E-409C-BE32-E72D297353CC}">
                  <c16:uniqueId val="{00000018-3FAD-4C4B-9AE2-22C368B5290A}"/>
                </c:ext>
              </c:extLst>
            </c:dLbl>
            <c:dLbl>
              <c:idx val="12"/>
              <c:delete val="1"/>
              <c:extLst>
                <c:ext xmlns:c15="http://schemas.microsoft.com/office/drawing/2012/chart" uri="{CE6537A1-D6FC-4f65-9D91-7224C49458BB}"/>
                <c:ext xmlns:c16="http://schemas.microsoft.com/office/drawing/2014/chart" uri="{C3380CC4-5D6E-409C-BE32-E72D297353CC}">
                  <c16:uniqueId val="{00000019-3FAD-4C4B-9AE2-22C368B5290A}"/>
                </c:ext>
              </c:extLst>
            </c:dLbl>
            <c:dLbl>
              <c:idx val="13"/>
              <c:delete val="1"/>
              <c:extLst>
                <c:ext xmlns:c15="http://schemas.microsoft.com/office/drawing/2012/chart" uri="{CE6537A1-D6FC-4f65-9D91-7224C49458BB}"/>
                <c:ext xmlns:c16="http://schemas.microsoft.com/office/drawing/2014/chart" uri="{C3380CC4-5D6E-409C-BE32-E72D297353CC}">
                  <c16:uniqueId val="{0000001A-3FAD-4C4B-9AE2-22C368B5290A}"/>
                </c:ext>
              </c:extLst>
            </c:dLbl>
            <c:dLbl>
              <c:idx val="14"/>
              <c:delete val="1"/>
              <c:extLst>
                <c:ext xmlns:c15="http://schemas.microsoft.com/office/drawing/2012/chart" uri="{CE6537A1-D6FC-4f65-9D91-7224C49458BB}"/>
                <c:ext xmlns:c16="http://schemas.microsoft.com/office/drawing/2014/chart" uri="{C3380CC4-5D6E-409C-BE32-E72D297353CC}">
                  <c16:uniqueId val="{0000001B-3FAD-4C4B-9AE2-22C368B5290A}"/>
                </c:ext>
              </c:extLst>
            </c:dLbl>
            <c:dLbl>
              <c:idx val="16"/>
              <c:delete val="1"/>
              <c:extLst>
                <c:ext xmlns:c15="http://schemas.microsoft.com/office/drawing/2012/chart" uri="{CE6537A1-D6FC-4f65-9D91-7224C49458BB}"/>
                <c:ext xmlns:c16="http://schemas.microsoft.com/office/drawing/2014/chart" uri="{C3380CC4-5D6E-409C-BE32-E72D297353CC}">
                  <c16:uniqueId val="{0000001C-3FAD-4C4B-9AE2-22C368B5290A}"/>
                </c:ext>
              </c:extLst>
            </c:dLbl>
            <c:dLbl>
              <c:idx val="17"/>
              <c:delete val="1"/>
              <c:extLst>
                <c:ext xmlns:c15="http://schemas.microsoft.com/office/drawing/2012/chart" uri="{CE6537A1-D6FC-4f65-9D91-7224C49458BB}"/>
                <c:ext xmlns:c16="http://schemas.microsoft.com/office/drawing/2014/chart" uri="{C3380CC4-5D6E-409C-BE32-E72D297353CC}">
                  <c16:uniqueId val="{0000001D-3FAD-4C4B-9AE2-22C368B5290A}"/>
                </c:ext>
              </c:extLst>
            </c:dLbl>
            <c:dLbl>
              <c:idx val="18"/>
              <c:delete val="1"/>
              <c:extLst>
                <c:ext xmlns:c15="http://schemas.microsoft.com/office/drawing/2012/chart" uri="{CE6537A1-D6FC-4f65-9D91-7224C49458BB}"/>
                <c:ext xmlns:c16="http://schemas.microsoft.com/office/drawing/2014/chart" uri="{C3380CC4-5D6E-409C-BE32-E72D297353CC}">
                  <c16:uniqueId val="{0000001E-3FAD-4C4B-9AE2-22C368B5290A}"/>
                </c:ext>
              </c:extLst>
            </c:dLbl>
            <c:numFmt formatCode="#,##0.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Input_Leave_liability_PS!$B$2:$B$21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Input_Leave_liability_PS!$D$2:$D$21</c:f>
              <c:numCache>
                <c:formatCode>General</c:formatCode>
                <c:ptCount val="20"/>
                <c:pt idx="0">
                  <c:v>9.8861738300000006</c:v>
                </c:pt>
                <c:pt idx="1">
                  <c:v>9.843849220000001</c:v>
                </c:pt>
                <c:pt idx="2">
                  <c:v>9.9187150000000006</c:v>
                </c:pt>
                <c:pt idx="3">
                  <c:v>10.270793830000001</c:v>
                </c:pt>
                <c:pt idx="4">
                  <c:v>10.210027527929951</c:v>
                </c:pt>
                <c:pt idx="5">
                  <c:v>10.06675350633131</c:v>
                </c:pt>
                <c:pt idx="6">
                  <c:v>10.309369644860841</c:v>
                </c:pt>
                <c:pt idx="7">
                  <c:v>10.691758300561199</c:v>
                </c:pt>
                <c:pt idx="8">
                  <c:v>10.85089333</c:v>
                </c:pt>
                <c:pt idx="9">
                  <c:v>10.852149259933819</c:v>
                </c:pt>
                <c:pt idx="10">
                  <c:v>11.20483017552141</c:v>
                </c:pt>
                <c:pt idx="11">
                  <c:v>11.22945722</c:v>
                </c:pt>
                <c:pt idx="12">
                  <c:v>11.2480956267</c:v>
                </c:pt>
                <c:pt idx="13">
                  <c:v>11.0733762882</c:v>
                </c:pt>
                <c:pt idx="14">
                  <c:v>11.272066499999999</c:v>
                </c:pt>
                <c:pt idx="15">
                  <c:v>11.0698879715</c:v>
                </c:pt>
                <c:pt idx="16">
                  <c:v>11.17786128</c:v>
                </c:pt>
                <c:pt idx="17">
                  <c:v>11.11492471</c:v>
                </c:pt>
                <c:pt idx="18">
                  <c:v>11.239495379999999</c:v>
                </c:pt>
                <c:pt idx="19">
                  <c:v>11.15006711</c:v>
                </c:pt>
              </c:numCache>
            </c:numRef>
          </c:val>
          <c:smooth val="0"/>
          <c:extLst>
            <c:ext xmlns:c16="http://schemas.microsoft.com/office/drawing/2014/chart" uri="{C3380CC4-5D6E-409C-BE32-E72D297353CC}">
              <c16:uniqueId val="{0000001F-3FAD-4C4B-9AE2-22C368B5290A}"/>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15"/>
          <c:min val="8"/>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[E_Section_3D_Diversity_women.xlsx]Input_Diversity_women!$C$1</c:f>
              <c:strCache>
                <c:ptCount val="1"/>
                <c:pt idx="0">
                  <c:v>Public sector headcount, percent women - quarterly point in time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8922-4309-BE9B-06A75ACF7A76}"/>
                </c:ext>
              </c:extLst>
            </c:dLbl>
            <c:dLbl>
              <c:idx val="1"/>
              <c:delete val="1"/>
              <c:extLst>
                <c:ext xmlns:c15="http://schemas.microsoft.com/office/drawing/2012/chart" uri="{CE6537A1-D6FC-4f65-9D91-7224C49458BB}"/>
                <c:ext xmlns:c16="http://schemas.microsoft.com/office/drawing/2014/chart" uri="{C3380CC4-5D6E-409C-BE32-E72D297353CC}">
                  <c16:uniqueId val="{00000001-8922-4309-BE9B-06A75ACF7A76}"/>
                </c:ext>
              </c:extLst>
            </c:dLbl>
            <c:dLbl>
              <c:idx val="3"/>
              <c:delete val="1"/>
              <c:extLst>
                <c:ext xmlns:c15="http://schemas.microsoft.com/office/drawing/2012/chart" uri="{CE6537A1-D6FC-4f65-9D91-7224C49458BB}"/>
                <c:ext xmlns:c16="http://schemas.microsoft.com/office/drawing/2014/chart" uri="{C3380CC4-5D6E-409C-BE32-E72D297353CC}">
                  <c16:uniqueId val="{00000002-8922-4309-BE9B-06A75ACF7A76}"/>
                </c:ext>
              </c:extLst>
            </c:dLbl>
            <c:dLbl>
              <c:idx val="4"/>
              <c:delete val="1"/>
              <c:extLst>
                <c:ext xmlns:c15="http://schemas.microsoft.com/office/drawing/2012/chart" uri="{CE6537A1-D6FC-4f65-9D91-7224C49458BB}"/>
                <c:ext xmlns:c16="http://schemas.microsoft.com/office/drawing/2014/chart" uri="{C3380CC4-5D6E-409C-BE32-E72D297353CC}">
                  <c16:uniqueId val="{00000003-8922-4309-BE9B-06A75ACF7A76}"/>
                </c:ext>
              </c:extLst>
            </c:dLbl>
            <c:dLbl>
              <c:idx val="5"/>
              <c:delete val="1"/>
              <c:extLst>
                <c:ext xmlns:c15="http://schemas.microsoft.com/office/drawing/2012/chart" uri="{CE6537A1-D6FC-4f65-9D91-7224C49458BB}"/>
                <c:ext xmlns:c16="http://schemas.microsoft.com/office/drawing/2014/chart" uri="{C3380CC4-5D6E-409C-BE32-E72D297353CC}">
                  <c16:uniqueId val="{00000004-8922-4309-BE9B-06A75ACF7A76}"/>
                </c:ext>
              </c:extLst>
            </c:dLbl>
            <c:dLbl>
              <c:idx val="7"/>
              <c:delete val="1"/>
              <c:extLst>
                <c:ext xmlns:c15="http://schemas.microsoft.com/office/drawing/2012/chart" uri="{CE6537A1-D6FC-4f65-9D91-7224C49458BB}"/>
                <c:ext xmlns:c16="http://schemas.microsoft.com/office/drawing/2014/chart" uri="{C3380CC4-5D6E-409C-BE32-E72D297353CC}">
                  <c16:uniqueId val="{00000005-8922-4309-BE9B-06A75ACF7A76}"/>
                </c:ext>
              </c:extLst>
            </c:dLbl>
            <c:dLbl>
              <c:idx val="8"/>
              <c:delete val="1"/>
              <c:extLst>
                <c:ext xmlns:c15="http://schemas.microsoft.com/office/drawing/2012/chart" uri="{CE6537A1-D6FC-4f65-9D91-7224C49458BB}"/>
                <c:ext xmlns:c16="http://schemas.microsoft.com/office/drawing/2014/chart" uri="{C3380CC4-5D6E-409C-BE32-E72D297353CC}">
                  <c16:uniqueId val="{00000006-8922-4309-BE9B-06A75ACF7A76}"/>
                </c:ext>
              </c:extLst>
            </c:dLbl>
            <c:dLbl>
              <c:idx val="9"/>
              <c:delete val="1"/>
              <c:extLst>
                <c:ext xmlns:c15="http://schemas.microsoft.com/office/drawing/2012/chart" uri="{CE6537A1-D6FC-4f65-9D91-7224C49458BB}"/>
                <c:ext xmlns:c16="http://schemas.microsoft.com/office/drawing/2014/chart" uri="{C3380CC4-5D6E-409C-BE32-E72D297353CC}">
                  <c16:uniqueId val="{00000007-8922-4309-BE9B-06A75ACF7A76}"/>
                </c:ext>
              </c:extLst>
            </c:dLbl>
            <c:dLbl>
              <c:idx val="11"/>
              <c:delete val="1"/>
              <c:extLst>
                <c:ext xmlns:c15="http://schemas.microsoft.com/office/drawing/2012/chart" uri="{CE6537A1-D6FC-4f65-9D91-7224C49458BB}"/>
                <c:ext xmlns:c16="http://schemas.microsoft.com/office/drawing/2014/chart" uri="{C3380CC4-5D6E-409C-BE32-E72D297353CC}">
                  <c16:uniqueId val="{00000008-8922-4309-BE9B-06A75ACF7A76}"/>
                </c:ext>
              </c:extLst>
            </c:dLbl>
            <c:dLbl>
              <c:idx val="12"/>
              <c:delete val="1"/>
              <c:extLst>
                <c:ext xmlns:c15="http://schemas.microsoft.com/office/drawing/2012/chart" uri="{CE6537A1-D6FC-4f65-9D91-7224C49458BB}"/>
                <c:ext xmlns:c16="http://schemas.microsoft.com/office/drawing/2014/chart" uri="{C3380CC4-5D6E-409C-BE32-E72D297353CC}">
                  <c16:uniqueId val="{00000009-8922-4309-BE9B-06A75ACF7A76}"/>
                </c:ext>
              </c:extLst>
            </c:dLbl>
            <c:dLbl>
              <c:idx val="13"/>
              <c:delete val="1"/>
              <c:extLst>
                <c:ext xmlns:c15="http://schemas.microsoft.com/office/drawing/2012/chart" uri="{CE6537A1-D6FC-4f65-9D91-7224C49458BB}"/>
                <c:ext xmlns:c16="http://schemas.microsoft.com/office/drawing/2014/chart" uri="{C3380CC4-5D6E-409C-BE32-E72D297353CC}">
                  <c16:uniqueId val="{0000000A-8922-4309-BE9B-06A75ACF7A76}"/>
                </c:ext>
              </c:extLst>
            </c:dLbl>
            <c:dLbl>
              <c:idx val="15"/>
              <c:delete val="1"/>
              <c:extLst>
                <c:ext xmlns:c15="http://schemas.microsoft.com/office/drawing/2012/chart" uri="{CE6537A1-D6FC-4f65-9D91-7224C49458BB}"/>
                <c:ext xmlns:c16="http://schemas.microsoft.com/office/drawing/2014/chart" uri="{C3380CC4-5D6E-409C-BE32-E72D297353CC}">
                  <c16:uniqueId val="{0000000B-8922-4309-BE9B-06A75ACF7A76}"/>
                </c:ext>
              </c:extLst>
            </c:dLbl>
            <c:dLbl>
              <c:idx val="16"/>
              <c:delete val="1"/>
              <c:extLst>
                <c:ext xmlns:c15="http://schemas.microsoft.com/office/drawing/2012/chart" uri="{CE6537A1-D6FC-4f65-9D91-7224C49458BB}"/>
                <c:ext xmlns:c16="http://schemas.microsoft.com/office/drawing/2014/chart" uri="{C3380CC4-5D6E-409C-BE32-E72D297353CC}">
                  <c16:uniqueId val="{0000000C-8922-4309-BE9B-06A75ACF7A76}"/>
                </c:ext>
              </c:extLst>
            </c:dLbl>
            <c:dLbl>
              <c:idx val="17"/>
              <c:delete val="1"/>
              <c:extLst>
                <c:ext xmlns:c15="http://schemas.microsoft.com/office/drawing/2012/chart" uri="{CE6537A1-D6FC-4f65-9D91-7224C49458BB}"/>
                <c:ext xmlns:c16="http://schemas.microsoft.com/office/drawing/2014/chart" uri="{C3380CC4-5D6E-409C-BE32-E72D297353CC}">
                  <c16:uniqueId val="{0000000D-8922-4309-BE9B-06A75ACF7A76}"/>
                </c:ext>
              </c:extLst>
            </c:dLbl>
            <c:dLbl>
              <c:idx val="19"/>
              <c:delete val="1"/>
              <c:extLst>
                <c:ext xmlns:c15="http://schemas.microsoft.com/office/drawing/2012/chart" uri="{CE6537A1-D6FC-4f65-9D91-7224C49458BB}"/>
                <c:ext xmlns:c16="http://schemas.microsoft.com/office/drawing/2014/chart" uri="{C3380CC4-5D6E-409C-BE32-E72D297353CC}">
                  <c16:uniqueId val="{0000000E-8922-4309-BE9B-06A75ACF7A76}"/>
                </c:ext>
              </c:extLst>
            </c:dLbl>
            <c:numFmt formatCode="0.0\%" sourceLinked="0"/>
            <c:spPr>
              <a:noFill/>
              <a:ln>
                <a:noFill/>
              </a:ln>
              <a:effectLst/>
            </c:spPr>
            <c:txPr>
              <a:bodyPr/>
              <a:lstStyle/>
              <a:p>
                <a:pPr>
                  <a:defRPr sz="10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[E_Section_3D_Diversity_women.xlsx]Input_Diversity_women!$B$2:$B$21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[E_Section_3D_Diversity_women.xlsx]Input_Diversity_women!$C$2:$C$21</c:f>
              <c:numCache>
                <c:formatCode>General</c:formatCode>
                <c:ptCount val="20"/>
                <c:pt idx="0">
                  <c:v>72.737470369116153</c:v>
                </c:pt>
                <c:pt idx="1">
                  <c:v>72.486623689409996</c:v>
                </c:pt>
                <c:pt idx="2">
                  <c:v>72.767399035690687</c:v>
                </c:pt>
                <c:pt idx="3">
                  <c:v>72.636704382246819</c:v>
                </c:pt>
                <c:pt idx="4">
                  <c:v>72.947313510693789</c:v>
                </c:pt>
                <c:pt idx="5">
                  <c:v>72.745950162272095</c:v>
                </c:pt>
                <c:pt idx="6">
                  <c:v>72.740752888761335</c:v>
                </c:pt>
                <c:pt idx="7">
                  <c:v>72.675727678388668</c:v>
                </c:pt>
                <c:pt idx="8">
                  <c:v>72.736644924801894</c:v>
                </c:pt>
                <c:pt idx="9">
                  <c:v>72.61936821694988</c:v>
                </c:pt>
                <c:pt idx="10">
                  <c:v>72.708282538071728</c:v>
                </c:pt>
                <c:pt idx="11">
                  <c:v>72.950402878823439</c:v>
                </c:pt>
                <c:pt idx="12">
                  <c:v>73.070781307116604</c:v>
                </c:pt>
                <c:pt idx="13">
                  <c:v>73.066047716445567</c:v>
                </c:pt>
                <c:pt idx="14">
                  <c:v>73.21867629301984</c:v>
                </c:pt>
                <c:pt idx="15">
                  <c:v>73.237002514334208</c:v>
                </c:pt>
                <c:pt idx="16">
                  <c:v>73.237788646071934</c:v>
                </c:pt>
                <c:pt idx="17">
                  <c:v>73.131870521926629</c:v>
                </c:pt>
                <c:pt idx="18">
                  <c:v>73.21327395349121</c:v>
                </c:pt>
                <c:pt idx="19">
                  <c:v>73.278228549217758</c:v>
                </c:pt>
              </c:numCache>
            </c:numRef>
          </c:val>
          <c:smooth val="0"/>
          <c:extLst>
            <c:ext xmlns:c16="http://schemas.microsoft.com/office/drawing/2014/chart" uri="{C3380CC4-5D6E-409C-BE32-E72D297353CC}">
              <c16:uniqueId val="{0000000F-8922-4309-BE9B-06A75ACF7A76}"/>
            </c:ext>
          </c:extLst>
        </c:ser>
        <c:ser>
          <c:idx val="1"/>
          <c:order val="1"/>
          <c:tx>
            <c:strRef>
              <c:f>[E_Section_3D_Diversity_women.xlsx]Input_Diversity_women!$D$1</c:f>
              <c:strCache>
                <c:ptCount val="1"/>
                <c:pt idx="0">
                  <c:v>Public sector headcount, percent women - moving average</c:v>
                </c:pt>
              </c:strCache>
            </c:strRef>
          </c:tx>
          <c:spPr>
            <a:ln w="28575">
              <a:solidFill>
                <a:srgbClr val="AF85B7"/>
              </a:solidFill>
              <a:prstDash val="sysDot"/>
            </a:ln>
          </c:spPr>
          <c:marker>
            <c:symbol val="none"/>
          </c:marker>
          <c:cat>
            <c:strRef>
              <c:f>[E_Section_3D_Diversity_women.xlsx]Input_Diversity_women!$B$2:$B$21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[E_Section_3D_Diversity_women.xlsx]Input_Diversity_women!$D$2:$D$21</c:f>
              <c:numCache>
                <c:formatCode>General</c:formatCode>
                <c:ptCount val="20"/>
                <c:pt idx="0">
                  <c:v>72.486128501811663</c:v>
                </c:pt>
                <c:pt idx="1">
                  <c:v>72.565747260874886</c:v>
                </c:pt>
                <c:pt idx="2">
                  <c:v>72.666914557564169</c:v>
                </c:pt>
                <c:pt idx="3">
                  <c:v>72.65704936911591</c:v>
                </c:pt>
                <c:pt idx="4">
                  <c:v>72.709510154510326</c:v>
                </c:pt>
                <c:pt idx="5">
                  <c:v>72.774341772725847</c:v>
                </c:pt>
                <c:pt idx="6">
                  <c:v>72.76768023599351</c:v>
                </c:pt>
                <c:pt idx="7">
                  <c:v>72.777436060028975</c:v>
                </c:pt>
                <c:pt idx="8">
                  <c:v>72.724768913555991</c:v>
                </c:pt>
                <c:pt idx="9">
                  <c:v>72.693123427225444</c:v>
                </c:pt>
                <c:pt idx="10">
                  <c:v>72.685005839553043</c:v>
                </c:pt>
                <c:pt idx="11">
                  <c:v>72.753674639661739</c:v>
                </c:pt>
                <c:pt idx="12">
                  <c:v>72.837208735240409</c:v>
                </c:pt>
                <c:pt idx="13">
                  <c:v>72.948878610114335</c:v>
                </c:pt>
                <c:pt idx="14">
                  <c:v>73.076477048851359</c:v>
                </c:pt>
                <c:pt idx="15">
                  <c:v>73.148126957729048</c:v>
                </c:pt>
                <c:pt idx="16">
                  <c:v>73.18987879246788</c:v>
                </c:pt>
                <c:pt idx="17">
                  <c:v>73.206334493838156</c:v>
                </c:pt>
                <c:pt idx="18">
                  <c:v>73.204983908955995</c:v>
                </c:pt>
                <c:pt idx="19">
                  <c:v>73.215290417676883</c:v>
                </c:pt>
              </c:numCache>
            </c:numRef>
          </c:val>
          <c:smooth val="1"/>
          <c:extLst>
            <c:ext xmlns:c16="http://schemas.microsoft.com/office/drawing/2014/chart" uri="{C3380CC4-5D6E-409C-BE32-E72D297353CC}">
              <c16:uniqueId val="{00000010-8922-4309-BE9B-06A75ACF7A76}"/>
            </c:ext>
          </c:extLst>
        </c:ser>
        <c:dLbls>
          <c:showLegendKey val="0"/>
          <c:showVal val="0"/>
          <c:showCatName val="0"/>
          <c:showSerName val="0"/>
          <c:showPercent val="0"/>
          <c:showBubbleSize val="0"/>
        </c:dLbls>
        <c:marker val="1"/>
        <c:smooth val="0"/>
        <c:axId val="50010001"/>
        <c:axId val="50010002"/>
      </c:lineChart>
      <c:lineChart>
        <c:grouping val="standard"/>
        <c:varyColors val="0"/>
        <c:ser>
          <c:idx val="2"/>
          <c:order val="2"/>
          <c:tx>
            <c:strRef>
              <c:f>[E_Section_3D_Diversity_women.xlsx]Input_Diversity_women!$E$1</c:f>
              <c:strCache>
                <c:ptCount val="1"/>
                <c:pt idx="0">
                  <c:v>Other government entities headcount, percent women - March</c:v>
                </c:pt>
              </c:strCache>
            </c:strRef>
          </c:tx>
          <c:spPr>
            <a:ln w="28575">
              <a:solidFill>
                <a:srgbClr val="6390C6"/>
              </a:solidFill>
            </a:ln>
          </c:spPr>
          <c:marker>
            <c:symbol val="circle"/>
            <c:size val="7"/>
            <c:spPr>
              <a:solidFill>
                <a:srgbClr val="6390C6"/>
              </a:solidFill>
              <a:ln>
                <a:solidFill>
                  <a:srgbClr val="6390C6"/>
                </a:solidFill>
              </a:ln>
            </c:spPr>
          </c:marker>
          <c:dLbls>
            <c:numFmt formatCode="0.0\%" sourceLinked="0"/>
            <c:spPr>
              <a:noFill/>
              <a:ln>
                <a:noFill/>
              </a:ln>
              <a:effectLst/>
            </c:spPr>
            <c:txPr>
              <a:bodyPr/>
              <a:lstStyle/>
              <a:p>
                <a:pPr>
                  <a:defRPr sz="10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[E_Section_3D_Diversity_women.xlsx]Input_Diversity_women!$B$2:$B$21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[E_Section_3D_Diversity_women.xlsx]Input_Diversity_women!$E$2:$E$21</c:f>
              <c:numCache>
                <c:formatCode>General</c:formatCode>
                <c:ptCount val="20"/>
                <c:pt idx="2">
                  <c:v>49.036072176836498</c:v>
                </c:pt>
                <c:pt idx="6">
                  <c:v>50.129579267317233</c:v>
                </c:pt>
                <c:pt idx="10">
                  <c:v>49.89613823057315</c:v>
                </c:pt>
                <c:pt idx="14">
                  <c:v>49.962764141868618</c:v>
                </c:pt>
                <c:pt idx="18">
                  <c:v>50.543559418212233</c:v>
                </c:pt>
              </c:numCache>
            </c:numRef>
          </c:val>
          <c:smooth val="1"/>
          <c:extLst>
            <c:ext xmlns:c16="http://schemas.microsoft.com/office/drawing/2014/chart" uri="{C3380CC4-5D6E-409C-BE32-E72D297353CC}">
              <c16:uniqueId val="{00000011-8922-4309-BE9B-06A75ACF7A76}"/>
            </c:ext>
          </c:extLst>
        </c:ser>
        <c:dLbls>
          <c:showLegendKey val="0"/>
          <c:showVal val="0"/>
          <c:showCatName val="0"/>
          <c:showSerName val="0"/>
          <c:showPercent val="0"/>
          <c:showBubbleSize val="0"/>
        </c:dLbls>
        <c:marker val="1"/>
        <c:smooth val="0"/>
        <c:axId val="50010003"/>
        <c:axId val="50010004"/>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73.5"/>
          <c:min val="70"/>
        </c:scaling>
        <c:delete val="0"/>
        <c:axPos val="l"/>
        <c:numFmt formatCode="General" sourceLinked="1"/>
        <c:majorTickMark val="none"/>
        <c:minorTickMark val="none"/>
        <c:tickLblPos val="none"/>
        <c:spPr>
          <a:ln>
            <a:noFill/>
          </a:ln>
        </c:spPr>
        <c:crossAx val="50010001"/>
        <c:crosses val="autoZero"/>
        <c:crossBetween val="midCat"/>
      </c:valAx>
      <c:valAx>
        <c:axId val="50010004"/>
        <c:scaling>
          <c:orientation val="minMax"/>
          <c:max val="70"/>
          <c:min val="40"/>
        </c:scaling>
        <c:delete val="0"/>
        <c:axPos val="r"/>
        <c:numFmt formatCode="General" sourceLinked="1"/>
        <c:majorTickMark val="none"/>
        <c:minorTickMark val="none"/>
        <c:tickLblPos val="none"/>
        <c:spPr>
          <a:ln>
            <a:noFill/>
          </a:ln>
        </c:spPr>
        <c:crossAx val="50010003"/>
        <c:crosses val="max"/>
        <c:crossBetween val="between"/>
      </c:valAx>
      <c:catAx>
        <c:axId val="50010003"/>
        <c:scaling>
          <c:orientation val="minMax"/>
        </c:scaling>
        <c:delete val="1"/>
        <c:axPos val="b"/>
        <c:numFmt formatCode="General" sourceLinked="1"/>
        <c:majorTickMark val="out"/>
        <c:minorTickMark val="none"/>
        <c:tickLblPos val="none"/>
        <c:crossAx val="50010004"/>
        <c:crosses val="autoZero"/>
        <c:auto val="1"/>
        <c:lblAlgn val="ctr"/>
        <c:lblOffset val="100"/>
        <c:noMultiLvlLbl val="0"/>
      </c:cat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[E_Section_3E_Diversity_ATSI.xlsx]Input_Diversity_ATSI!$C$1</c:f>
              <c:strCache>
                <c:ptCount val="1"/>
                <c:pt idx="0">
                  <c:v>Aboriginal and Torres Strait Islander staff, public sector (percent of staff with known diversity status - quarterly point in time)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A5F2-41A3-802D-2A94C14E60C7}"/>
                </c:ext>
              </c:extLst>
            </c:dLbl>
            <c:dLbl>
              <c:idx val="1"/>
              <c:delete val="1"/>
              <c:extLst>
                <c:ext xmlns:c15="http://schemas.microsoft.com/office/drawing/2012/chart" uri="{CE6537A1-D6FC-4f65-9D91-7224C49458BB}"/>
                <c:ext xmlns:c16="http://schemas.microsoft.com/office/drawing/2014/chart" uri="{C3380CC4-5D6E-409C-BE32-E72D297353CC}">
                  <c16:uniqueId val="{00000001-A5F2-41A3-802D-2A94C14E60C7}"/>
                </c:ext>
              </c:extLst>
            </c:dLbl>
            <c:dLbl>
              <c:idx val="3"/>
              <c:delete val="1"/>
              <c:extLst>
                <c:ext xmlns:c15="http://schemas.microsoft.com/office/drawing/2012/chart" uri="{CE6537A1-D6FC-4f65-9D91-7224C49458BB}"/>
                <c:ext xmlns:c16="http://schemas.microsoft.com/office/drawing/2014/chart" uri="{C3380CC4-5D6E-409C-BE32-E72D297353CC}">
                  <c16:uniqueId val="{00000002-A5F2-41A3-802D-2A94C14E60C7}"/>
                </c:ext>
              </c:extLst>
            </c:dLbl>
            <c:dLbl>
              <c:idx val="4"/>
              <c:delete val="1"/>
              <c:extLst>
                <c:ext xmlns:c15="http://schemas.microsoft.com/office/drawing/2012/chart" uri="{CE6537A1-D6FC-4f65-9D91-7224C49458BB}"/>
                <c:ext xmlns:c16="http://schemas.microsoft.com/office/drawing/2014/chart" uri="{C3380CC4-5D6E-409C-BE32-E72D297353CC}">
                  <c16:uniqueId val="{00000003-A5F2-41A3-802D-2A94C14E60C7}"/>
                </c:ext>
              </c:extLst>
            </c:dLbl>
            <c:dLbl>
              <c:idx val="5"/>
              <c:delete val="1"/>
              <c:extLst>
                <c:ext xmlns:c15="http://schemas.microsoft.com/office/drawing/2012/chart" uri="{CE6537A1-D6FC-4f65-9D91-7224C49458BB}"/>
                <c:ext xmlns:c16="http://schemas.microsoft.com/office/drawing/2014/chart" uri="{C3380CC4-5D6E-409C-BE32-E72D297353CC}">
                  <c16:uniqueId val="{00000004-A5F2-41A3-802D-2A94C14E60C7}"/>
                </c:ext>
              </c:extLst>
            </c:dLbl>
            <c:dLbl>
              <c:idx val="7"/>
              <c:delete val="1"/>
              <c:extLst>
                <c:ext xmlns:c15="http://schemas.microsoft.com/office/drawing/2012/chart" uri="{CE6537A1-D6FC-4f65-9D91-7224C49458BB}"/>
                <c:ext xmlns:c16="http://schemas.microsoft.com/office/drawing/2014/chart" uri="{C3380CC4-5D6E-409C-BE32-E72D297353CC}">
                  <c16:uniqueId val="{00000005-A5F2-41A3-802D-2A94C14E60C7}"/>
                </c:ext>
              </c:extLst>
            </c:dLbl>
            <c:dLbl>
              <c:idx val="8"/>
              <c:delete val="1"/>
              <c:extLst>
                <c:ext xmlns:c15="http://schemas.microsoft.com/office/drawing/2012/chart" uri="{CE6537A1-D6FC-4f65-9D91-7224C49458BB}"/>
                <c:ext xmlns:c16="http://schemas.microsoft.com/office/drawing/2014/chart" uri="{C3380CC4-5D6E-409C-BE32-E72D297353CC}">
                  <c16:uniqueId val="{00000006-A5F2-41A3-802D-2A94C14E60C7}"/>
                </c:ext>
              </c:extLst>
            </c:dLbl>
            <c:dLbl>
              <c:idx val="9"/>
              <c:delete val="1"/>
              <c:extLst>
                <c:ext xmlns:c15="http://schemas.microsoft.com/office/drawing/2012/chart" uri="{CE6537A1-D6FC-4f65-9D91-7224C49458BB}"/>
                <c:ext xmlns:c16="http://schemas.microsoft.com/office/drawing/2014/chart" uri="{C3380CC4-5D6E-409C-BE32-E72D297353CC}">
                  <c16:uniqueId val="{00000007-A5F2-41A3-802D-2A94C14E60C7}"/>
                </c:ext>
              </c:extLst>
            </c:dLbl>
            <c:dLbl>
              <c:idx val="10"/>
              <c:layout>
                <c:manualLayout>
                  <c:x val="-4.0513489991296781E-2"/>
                  <c:y val="4.1431500534622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50-4020-9A12-CBFB42E9F436}"/>
                </c:ext>
              </c:extLst>
            </c:dLbl>
            <c:dLbl>
              <c:idx val="11"/>
              <c:delete val="1"/>
              <c:extLst>
                <c:ext xmlns:c15="http://schemas.microsoft.com/office/drawing/2012/chart" uri="{CE6537A1-D6FC-4f65-9D91-7224C49458BB}"/>
                <c:ext xmlns:c16="http://schemas.microsoft.com/office/drawing/2014/chart" uri="{C3380CC4-5D6E-409C-BE32-E72D297353CC}">
                  <c16:uniqueId val="{00000008-A5F2-41A3-802D-2A94C14E60C7}"/>
                </c:ext>
              </c:extLst>
            </c:dLbl>
            <c:dLbl>
              <c:idx val="12"/>
              <c:delete val="1"/>
              <c:extLst>
                <c:ext xmlns:c15="http://schemas.microsoft.com/office/drawing/2012/chart" uri="{CE6537A1-D6FC-4f65-9D91-7224C49458BB}"/>
                <c:ext xmlns:c16="http://schemas.microsoft.com/office/drawing/2014/chart" uri="{C3380CC4-5D6E-409C-BE32-E72D297353CC}">
                  <c16:uniqueId val="{00000009-A5F2-41A3-802D-2A94C14E60C7}"/>
                </c:ext>
              </c:extLst>
            </c:dLbl>
            <c:dLbl>
              <c:idx val="13"/>
              <c:delete val="1"/>
              <c:extLst>
                <c:ext xmlns:c15="http://schemas.microsoft.com/office/drawing/2012/chart" uri="{CE6537A1-D6FC-4f65-9D91-7224C49458BB}"/>
                <c:ext xmlns:c16="http://schemas.microsoft.com/office/drawing/2014/chart" uri="{C3380CC4-5D6E-409C-BE32-E72D297353CC}">
                  <c16:uniqueId val="{0000000A-A5F2-41A3-802D-2A94C14E60C7}"/>
                </c:ext>
              </c:extLst>
            </c:dLbl>
            <c:dLbl>
              <c:idx val="14"/>
              <c:layout>
                <c:manualLayout>
                  <c:x val="-4.268929503916457E-2"/>
                  <c:y val="3.8090929296941245E-2"/>
                </c:manualLayout>
              </c:layout>
              <c:tx>
                <c:rich>
                  <a:bodyPr/>
                  <a:lstStyle/>
                  <a:p>
                    <a:fld id="{F91D05D2-B27C-48E1-9BCC-3D25CEFBAB04}" type="VALUE">
                      <a:rPr lang="en-US"/>
                      <a:pPr/>
                      <a:t>[VALUE]</a:t>
                    </a:fld>
                    <a:r>
                      <a:rPr 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150-4020-9A12-CBFB42E9F436}"/>
                </c:ext>
              </c:extLst>
            </c:dLbl>
            <c:dLbl>
              <c:idx val="15"/>
              <c:delete val="1"/>
              <c:extLst>
                <c:ext xmlns:c15="http://schemas.microsoft.com/office/drawing/2012/chart" uri="{CE6537A1-D6FC-4f65-9D91-7224C49458BB}"/>
                <c:ext xmlns:c16="http://schemas.microsoft.com/office/drawing/2014/chart" uri="{C3380CC4-5D6E-409C-BE32-E72D297353CC}">
                  <c16:uniqueId val="{0000000B-A5F2-41A3-802D-2A94C14E60C7}"/>
                </c:ext>
              </c:extLst>
            </c:dLbl>
            <c:dLbl>
              <c:idx val="16"/>
              <c:delete val="1"/>
              <c:extLst>
                <c:ext xmlns:c15="http://schemas.microsoft.com/office/drawing/2012/chart" uri="{CE6537A1-D6FC-4f65-9D91-7224C49458BB}"/>
                <c:ext xmlns:c16="http://schemas.microsoft.com/office/drawing/2014/chart" uri="{C3380CC4-5D6E-409C-BE32-E72D297353CC}">
                  <c16:uniqueId val="{0000000C-A5F2-41A3-802D-2A94C14E60C7}"/>
                </c:ext>
              </c:extLst>
            </c:dLbl>
            <c:dLbl>
              <c:idx val="17"/>
              <c:delete val="1"/>
              <c:extLst>
                <c:ext xmlns:c15="http://schemas.microsoft.com/office/drawing/2012/chart" uri="{CE6537A1-D6FC-4f65-9D91-7224C49458BB}"/>
                <c:ext xmlns:c16="http://schemas.microsoft.com/office/drawing/2014/chart" uri="{C3380CC4-5D6E-409C-BE32-E72D297353CC}">
                  <c16:uniqueId val="{0000000D-A5F2-41A3-802D-2A94C14E60C7}"/>
                </c:ext>
              </c:extLst>
            </c:dLbl>
            <c:dLbl>
              <c:idx val="18"/>
              <c:layout>
                <c:manualLayout>
                  <c:x val="-3.8337684943429227E-2"/>
                  <c:y val="4.4772071772304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50-4020-9A12-CBFB42E9F436}"/>
                </c:ext>
              </c:extLst>
            </c:dLbl>
            <c:dLbl>
              <c:idx val="19"/>
              <c:delete val="1"/>
              <c:extLst>
                <c:ext xmlns:c15="http://schemas.microsoft.com/office/drawing/2012/chart" uri="{CE6537A1-D6FC-4f65-9D91-7224C49458BB}"/>
                <c:ext xmlns:c16="http://schemas.microsoft.com/office/drawing/2014/chart" uri="{C3380CC4-5D6E-409C-BE32-E72D297353CC}">
                  <c16:uniqueId val="{0000000E-A5F2-41A3-802D-2A94C14E60C7}"/>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[E_Section_3E_Diversity_ATSI.xlsx]Input_Diversity_ATSI!$B$2:$B$21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[E_Section_3E_Diversity_ATSI.xlsx]Input_Diversity_ATSI!$C$2:$C$21</c:f>
              <c:numCache>
                <c:formatCode>General</c:formatCode>
                <c:ptCount val="20"/>
                <c:pt idx="0">
                  <c:v>2.6676629564576082</c:v>
                </c:pt>
                <c:pt idx="1">
                  <c:v>2.6981549815498149</c:v>
                </c:pt>
                <c:pt idx="2">
                  <c:v>2.6865557686985229</c:v>
                </c:pt>
                <c:pt idx="3">
                  <c:v>2.6556898154295578</c:v>
                </c:pt>
                <c:pt idx="4">
                  <c:v>2.674427309477466</c:v>
                </c:pt>
                <c:pt idx="5">
                  <c:v>2.7087260537287929</c:v>
                </c:pt>
                <c:pt idx="6">
                  <c:v>2.7419779660863011</c:v>
                </c:pt>
                <c:pt idx="7">
                  <c:v>2.67839314563706</c:v>
                </c:pt>
                <c:pt idx="8">
                  <c:v>2.7039417501910199</c:v>
                </c:pt>
                <c:pt idx="9">
                  <c:v>2.7169932655722482</c:v>
                </c:pt>
                <c:pt idx="10">
                  <c:v>2.7393525806196299</c:v>
                </c:pt>
                <c:pt idx="11">
                  <c:v>2.7170882988361562</c:v>
                </c:pt>
                <c:pt idx="12">
                  <c:v>2.7321474168014301</c:v>
                </c:pt>
                <c:pt idx="13">
                  <c:v>2.736146016849383</c:v>
                </c:pt>
                <c:pt idx="14">
                  <c:v>2.7538486734359648</c:v>
                </c:pt>
                <c:pt idx="15">
                  <c:v>2.74210513441452</c:v>
                </c:pt>
                <c:pt idx="16">
                  <c:v>2.736787362673081</c:v>
                </c:pt>
                <c:pt idx="17">
                  <c:v>2.7612405737937289</c:v>
                </c:pt>
                <c:pt idx="18">
                  <c:v>2.741445474896067</c:v>
                </c:pt>
                <c:pt idx="19">
                  <c:v>2.753457784304493</c:v>
                </c:pt>
              </c:numCache>
            </c:numRef>
          </c:val>
          <c:smooth val="0"/>
          <c:extLst>
            <c:ext xmlns:c16="http://schemas.microsoft.com/office/drawing/2014/chart" uri="{C3380CC4-5D6E-409C-BE32-E72D297353CC}">
              <c16:uniqueId val="{0000000F-A5F2-41A3-802D-2A94C14E60C7}"/>
            </c:ext>
          </c:extLst>
        </c:ser>
        <c:ser>
          <c:idx val="1"/>
          <c:order val="1"/>
          <c:tx>
            <c:strRef>
              <c:f>[E_Section_3E_Diversity_ATSI.xlsx]Input_Diversity_ATSI!$D$1</c:f>
              <c:strCache>
                <c:ptCount val="1"/>
                <c:pt idx="0">
                  <c:v>Aboriginal and Torres Strait Islander staff, public sector (percent of staff with known diversity status - moving average)</c:v>
                </c:pt>
              </c:strCache>
            </c:strRef>
          </c:tx>
          <c:spPr>
            <a:ln w="28575">
              <a:solidFill>
                <a:srgbClr val="AF85B7"/>
              </a:solidFill>
              <a:prstDash val="sysDot"/>
            </a:ln>
          </c:spPr>
          <c:marker>
            <c:symbol val="none"/>
          </c:marker>
          <c:cat>
            <c:strRef>
              <c:f>[E_Section_3E_Diversity_ATSI.xlsx]Input_Diversity_ATSI!$B$2:$B$21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[E_Section_3E_Diversity_ATSI.xlsx]Input_Diversity_ATSI!$D$2:$D$21</c:f>
              <c:numCache>
                <c:formatCode>General</c:formatCode>
                <c:ptCount val="20"/>
                <c:pt idx="0">
                  <c:v>2.6964481687380339</c:v>
                </c:pt>
                <c:pt idx="1">
                  <c:v>2.6888504263727091</c:v>
                </c:pt>
                <c:pt idx="2">
                  <c:v>2.6864824728813348</c:v>
                </c:pt>
                <c:pt idx="3">
                  <c:v>2.677015880533876</c:v>
                </c:pt>
                <c:pt idx="4">
                  <c:v>2.6787069687888412</c:v>
                </c:pt>
                <c:pt idx="5">
                  <c:v>2.6813497368335848</c:v>
                </c:pt>
                <c:pt idx="6">
                  <c:v>2.69520528618053</c:v>
                </c:pt>
                <c:pt idx="7">
                  <c:v>2.7008811187324051</c:v>
                </c:pt>
                <c:pt idx="8">
                  <c:v>2.708259728910793</c:v>
                </c:pt>
                <c:pt idx="9">
                  <c:v>2.7103265318716572</c:v>
                </c:pt>
                <c:pt idx="10">
                  <c:v>2.7096701855049901</c:v>
                </c:pt>
                <c:pt idx="11">
                  <c:v>2.7193439738047629</c:v>
                </c:pt>
                <c:pt idx="12">
                  <c:v>2.7263953904573661</c:v>
                </c:pt>
                <c:pt idx="13">
                  <c:v>2.7311835782766489</c:v>
                </c:pt>
                <c:pt idx="14">
                  <c:v>2.7348076014807332</c:v>
                </c:pt>
                <c:pt idx="15">
                  <c:v>2.7410618103753239</c:v>
                </c:pt>
                <c:pt idx="16">
                  <c:v>2.742221796843237</c:v>
                </c:pt>
                <c:pt idx="17">
                  <c:v>2.748495436079323</c:v>
                </c:pt>
                <c:pt idx="18">
                  <c:v>2.7453946364443489</c:v>
                </c:pt>
                <c:pt idx="19">
                  <c:v>2.7482327989168418</c:v>
                </c:pt>
              </c:numCache>
            </c:numRef>
          </c:val>
          <c:smooth val="1"/>
          <c:extLst>
            <c:ext xmlns:c16="http://schemas.microsoft.com/office/drawing/2014/chart" uri="{C3380CC4-5D6E-409C-BE32-E72D297353CC}">
              <c16:uniqueId val="{00000010-A5F2-41A3-802D-2A94C14E60C7}"/>
            </c:ext>
          </c:extLst>
        </c:ser>
        <c:ser>
          <c:idx val="2"/>
          <c:order val="2"/>
          <c:tx>
            <c:strRef>
              <c:f>[E_Section_3E_Diversity_ATSI.xlsx]Input_Diversity_ATSI!$E$1</c:f>
              <c:strCache>
                <c:ptCount val="1"/>
                <c:pt idx="0">
                  <c:v>Aboriginal and Torres Strait Islander staff, other government entities (percent of staff with known diversity status - March)</c:v>
                </c:pt>
              </c:strCache>
            </c:strRef>
          </c:tx>
          <c:spPr>
            <a:ln w="28575">
              <a:solidFill>
                <a:srgbClr val="6390C6"/>
              </a:solidFill>
            </a:ln>
          </c:spPr>
          <c:marker>
            <c:symbol val="circle"/>
            <c:size val="7"/>
            <c:spPr>
              <a:solidFill>
                <a:srgbClr val="6390C6"/>
              </a:solidFill>
              <a:ln>
                <a:solidFill>
                  <a:srgbClr val="6390C6"/>
                </a:solidFill>
              </a:ln>
            </c:spPr>
          </c:marker>
          <c:dLbls>
            <c:dLbl>
              <c:idx val="10"/>
              <c:layout>
                <c:manualLayout>
                  <c:x val="-4.0513489991296781E-2"/>
                  <c:y val="-3.80906662598359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50-4020-9A12-CBFB42E9F436}"/>
                </c:ext>
              </c:extLst>
            </c:dLbl>
            <c:dLbl>
              <c:idx val="14"/>
              <c:layout>
                <c:manualLayout>
                  <c:x val="-4.0513489991296781E-2"/>
                  <c:y val="-3.80906662598359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50-4020-9A12-CBFB42E9F436}"/>
                </c:ext>
              </c:extLst>
            </c:dLbl>
            <c:dLbl>
              <c:idx val="18"/>
              <c:layout>
                <c:manualLayout>
                  <c:x val="-4.0513489991296781E-2"/>
                  <c:y val="-4.143123749751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50-4020-9A12-CBFB42E9F436}"/>
                </c:ext>
              </c:extLst>
            </c:dLbl>
            <c:numFmt formatCode="0.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[E_Section_3E_Diversity_ATSI.xlsx]Input_Diversity_ATSI!$B$2:$B$21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[E_Section_3E_Diversity_ATSI.xlsx]Input_Diversity_ATSI!$E$2:$E$21</c:f>
              <c:numCache>
                <c:formatCode>General</c:formatCode>
                <c:ptCount val="20"/>
                <c:pt idx="2">
                  <c:v>2.2393018516877818</c:v>
                </c:pt>
                <c:pt idx="6">
                  <c:v>2.5669317566723571</c:v>
                </c:pt>
                <c:pt idx="10">
                  <c:v>2.8092360638681031</c:v>
                </c:pt>
                <c:pt idx="14">
                  <c:v>2.9042293455146879</c:v>
                </c:pt>
                <c:pt idx="18">
                  <c:v>3.03345667591736</c:v>
                </c:pt>
              </c:numCache>
            </c:numRef>
          </c:val>
          <c:smooth val="1"/>
          <c:extLst>
            <c:ext xmlns:c16="http://schemas.microsoft.com/office/drawing/2014/chart" uri="{C3380CC4-5D6E-409C-BE32-E72D297353CC}">
              <c16:uniqueId val="{00000011-A5F2-41A3-802D-2A94C14E60C7}"/>
            </c:ext>
          </c:extLst>
        </c:ser>
        <c:ser>
          <c:idx val="3"/>
          <c:order val="3"/>
          <c:tx>
            <c:strRef>
              <c:f>[E_Section_3E_Diversity_ATSI.xlsx]Input_Diversity_ATSI!$F$1</c:f>
              <c:strCache>
                <c:ptCount val="1"/>
                <c:pt idx="0">
                  <c:v>Future target for representation of Aboriginal and Torres Strait Island people: 3.7%</c:v>
                </c:pt>
              </c:strCache>
            </c:strRef>
          </c:tx>
          <c:spPr>
            <a:ln w="28575">
              <a:solidFill>
                <a:srgbClr val="6FBD77"/>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A5F2-41A3-802D-2A94C14E60C7}"/>
                </c:ext>
              </c:extLst>
            </c:dLbl>
            <c:dLbl>
              <c:idx val="1"/>
              <c:delete val="1"/>
              <c:extLst>
                <c:ext xmlns:c15="http://schemas.microsoft.com/office/drawing/2012/chart" uri="{CE6537A1-D6FC-4f65-9D91-7224C49458BB}"/>
                <c:ext xmlns:c16="http://schemas.microsoft.com/office/drawing/2014/chart" uri="{C3380CC4-5D6E-409C-BE32-E72D297353CC}">
                  <c16:uniqueId val="{00000013-A5F2-41A3-802D-2A94C14E60C7}"/>
                </c:ext>
              </c:extLst>
            </c:dLbl>
            <c:dLbl>
              <c:idx val="2"/>
              <c:delete val="1"/>
              <c:extLst>
                <c:ext xmlns:c15="http://schemas.microsoft.com/office/drawing/2012/chart" uri="{CE6537A1-D6FC-4f65-9D91-7224C49458BB}"/>
                <c:ext xmlns:c16="http://schemas.microsoft.com/office/drawing/2014/chart" uri="{C3380CC4-5D6E-409C-BE32-E72D297353CC}">
                  <c16:uniqueId val="{00000014-A5F2-41A3-802D-2A94C14E60C7}"/>
                </c:ext>
              </c:extLst>
            </c:dLbl>
            <c:dLbl>
              <c:idx val="3"/>
              <c:delete val="1"/>
              <c:extLst>
                <c:ext xmlns:c15="http://schemas.microsoft.com/office/drawing/2012/chart" uri="{CE6537A1-D6FC-4f65-9D91-7224C49458BB}"/>
                <c:ext xmlns:c16="http://schemas.microsoft.com/office/drawing/2014/chart" uri="{C3380CC4-5D6E-409C-BE32-E72D297353CC}">
                  <c16:uniqueId val="{00000015-A5F2-41A3-802D-2A94C14E60C7}"/>
                </c:ext>
              </c:extLst>
            </c:dLbl>
            <c:dLbl>
              <c:idx val="4"/>
              <c:delete val="1"/>
              <c:extLst>
                <c:ext xmlns:c15="http://schemas.microsoft.com/office/drawing/2012/chart" uri="{CE6537A1-D6FC-4f65-9D91-7224C49458BB}"/>
                <c:ext xmlns:c16="http://schemas.microsoft.com/office/drawing/2014/chart" uri="{C3380CC4-5D6E-409C-BE32-E72D297353CC}">
                  <c16:uniqueId val="{00000016-A5F2-41A3-802D-2A94C14E60C7}"/>
                </c:ext>
              </c:extLst>
            </c:dLbl>
            <c:dLbl>
              <c:idx val="5"/>
              <c:delete val="1"/>
              <c:extLst>
                <c:ext xmlns:c15="http://schemas.microsoft.com/office/drawing/2012/chart" uri="{CE6537A1-D6FC-4f65-9D91-7224C49458BB}"/>
                <c:ext xmlns:c16="http://schemas.microsoft.com/office/drawing/2014/chart" uri="{C3380CC4-5D6E-409C-BE32-E72D297353CC}">
                  <c16:uniqueId val="{00000017-A5F2-41A3-802D-2A94C14E60C7}"/>
                </c:ext>
              </c:extLst>
            </c:dLbl>
            <c:dLbl>
              <c:idx val="6"/>
              <c:delete val="1"/>
              <c:extLst>
                <c:ext xmlns:c15="http://schemas.microsoft.com/office/drawing/2012/chart" uri="{CE6537A1-D6FC-4f65-9D91-7224C49458BB}"/>
                <c:ext xmlns:c16="http://schemas.microsoft.com/office/drawing/2014/chart" uri="{C3380CC4-5D6E-409C-BE32-E72D297353CC}">
                  <c16:uniqueId val="{00000018-A5F2-41A3-802D-2A94C14E60C7}"/>
                </c:ext>
              </c:extLst>
            </c:dLbl>
            <c:dLbl>
              <c:idx val="7"/>
              <c:delete val="1"/>
              <c:extLst>
                <c:ext xmlns:c15="http://schemas.microsoft.com/office/drawing/2012/chart" uri="{CE6537A1-D6FC-4f65-9D91-7224C49458BB}"/>
                <c:ext xmlns:c16="http://schemas.microsoft.com/office/drawing/2014/chart" uri="{C3380CC4-5D6E-409C-BE32-E72D297353CC}">
                  <c16:uniqueId val="{00000019-A5F2-41A3-802D-2A94C14E60C7}"/>
                </c:ext>
              </c:extLst>
            </c:dLbl>
            <c:dLbl>
              <c:idx val="8"/>
              <c:delete val="1"/>
              <c:extLst>
                <c:ext xmlns:c15="http://schemas.microsoft.com/office/drawing/2012/chart" uri="{CE6537A1-D6FC-4f65-9D91-7224C49458BB}"/>
                <c:ext xmlns:c16="http://schemas.microsoft.com/office/drawing/2014/chart" uri="{C3380CC4-5D6E-409C-BE32-E72D297353CC}">
                  <c16:uniqueId val="{0000001A-A5F2-41A3-802D-2A94C14E60C7}"/>
                </c:ext>
              </c:extLst>
            </c:dLbl>
            <c:dLbl>
              <c:idx val="9"/>
              <c:delete val="1"/>
              <c:extLst>
                <c:ext xmlns:c15="http://schemas.microsoft.com/office/drawing/2012/chart" uri="{CE6537A1-D6FC-4f65-9D91-7224C49458BB}"/>
                <c:ext xmlns:c16="http://schemas.microsoft.com/office/drawing/2014/chart" uri="{C3380CC4-5D6E-409C-BE32-E72D297353CC}">
                  <c16:uniqueId val="{0000001B-A5F2-41A3-802D-2A94C14E60C7}"/>
                </c:ext>
              </c:extLst>
            </c:dLbl>
            <c:dLbl>
              <c:idx val="10"/>
              <c:delete val="1"/>
              <c:extLst>
                <c:ext xmlns:c15="http://schemas.microsoft.com/office/drawing/2012/chart" uri="{CE6537A1-D6FC-4f65-9D91-7224C49458BB}"/>
                <c:ext xmlns:c16="http://schemas.microsoft.com/office/drawing/2014/chart" uri="{C3380CC4-5D6E-409C-BE32-E72D297353CC}">
                  <c16:uniqueId val="{0000001C-A5F2-41A3-802D-2A94C14E60C7}"/>
                </c:ext>
              </c:extLst>
            </c:dLbl>
            <c:dLbl>
              <c:idx val="11"/>
              <c:delete val="1"/>
              <c:extLst>
                <c:ext xmlns:c15="http://schemas.microsoft.com/office/drawing/2012/chart" uri="{CE6537A1-D6FC-4f65-9D91-7224C49458BB}"/>
                <c:ext xmlns:c16="http://schemas.microsoft.com/office/drawing/2014/chart" uri="{C3380CC4-5D6E-409C-BE32-E72D297353CC}">
                  <c16:uniqueId val="{0000001D-A5F2-41A3-802D-2A94C14E60C7}"/>
                </c:ext>
              </c:extLst>
            </c:dLbl>
            <c:dLbl>
              <c:idx val="12"/>
              <c:delete val="1"/>
              <c:extLst>
                <c:ext xmlns:c15="http://schemas.microsoft.com/office/drawing/2012/chart" uri="{CE6537A1-D6FC-4f65-9D91-7224C49458BB}"/>
                <c:ext xmlns:c16="http://schemas.microsoft.com/office/drawing/2014/chart" uri="{C3380CC4-5D6E-409C-BE32-E72D297353CC}">
                  <c16:uniqueId val="{0000001E-A5F2-41A3-802D-2A94C14E60C7}"/>
                </c:ext>
              </c:extLst>
            </c:dLbl>
            <c:dLbl>
              <c:idx val="13"/>
              <c:delete val="1"/>
              <c:extLst>
                <c:ext xmlns:c15="http://schemas.microsoft.com/office/drawing/2012/chart" uri="{CE6537A1-D6FC-4f65-9D91-7224C49458BB}"/>
                <c:ext xmlns:c16="http://schemas.microsoft.com/office/drawing/2014/chart" uri="{C3380CC4-5D6E-409C-BE32-E72D297353CC}">
                  <c16:uniqueId val="{0000001F-A5F2-41A3-802D-2A94C14E60C7}"/>
                </c:ext>
              </c:extLst>
            </c:dLbl>
            <c:dLbl>
              <c:idx val="14"/>
              <c:delete val="1"/>
              <c:extLst>
                <c:ext xmlns:c15="http://schemas.microsoft.com/office/drawing/2012/chart" uri="{CE6537A1-D6FC-4f65-9D91-7224C49458BB}"/>
                <c:ext xmlns:c16="http://schemas.microsoft.com/office/drawing/2014/chart" uri="{C3380CC4-5D6E-409C-BE32-E72D297353CC}">
                  <c16:uniqueId val="{00000020-A5F2-41A3-802D-2A94C14E60C7}"/>
                </c:ext>
              </c:extLst>
            </c:dLbl>
            <c:dLbl>
              <c:idx val="15"/>
              <c:delete val="1"/>
              <c:extLst>
                <c:ext xmlns:c15="http://schemas.microsoft.com/office/drawing/2012/chart" uri="{CE6537A1-D6FC-4f65-9D91-7224C49458BB}"/>
                <c:ext xmlns:c16="http://schemas.microsoft.com/office/drawing/2014/chart" uri="{C3380CC4-5D6E-409C-BE32-E72D297353CC}">
                  <c16:uniqueId val="{00000021-A5F2-41A3-802D-2A94C14E60C7}"/>
                </c:ext>
              </c:extLst>
            </c:dLbl>
            <c:dLbl>
              <c:idx val="16"/>
              <c:delete val="1"/>
              <c:extLst>
                <c:ext xmlns:c15="http://schemas.microsoft.com/office/drawing/2012/chart" uri="{CE6537A1-D6FC-4f65-9D91-7224C49458BB}"/>
                <c:ext xmlns:c16="http://schemas.microsoft.com/office/drawing/2014/chart" uri="{C3380CC4-5D6E-409C-BE32-E72D297353CC}">
                  <c16:uniqueId val="{00000022-A5F2-41A3-802D-2A94C14E60C7}"/>
                </c:ext>
              </c:extLst>
            </c:dLbl>
            <c:dLbl>
              <c:idx val="17"/>
              <c:layout>
                <c:manualLayout>
                  <c:x val="-1.2572726712033138E-2"/>
                  <c:y val="-4.2700917604941949E-2"/>
                </c:manualLayout>
              </c:layout>
              <c:tx>
                <c:rich>
                  <a:bodyPr/>
                  <a:lstStyle/>
                  <a:p>
                    <a:r>
                      <a:rPr lang="en-US"/>
                      <a:t>Aspirational target for representation of Aboriginal and </a:t>
                    </a:r>
                  </a:p>
                  <a:p>
                    <a:r>
                      <a:rPr lang="en-US"/>
                      <a:t>Torres Strait Islander employees in the public sector: 3.7%</a:t>
                    </a:r>
                  </a:p>
                </c:rich>
              </c:tx>
              <c:dLblPos val="r"/>
              <c:showLegendKey val="0"/>
              <c:showVal val="1"/>
              <c:showCatName val="0"/>
              <c:showSerName val="0"/>
              <c:showPercent val="0"/>
              <c:showBubbleSize val="0"/>
              <c:extLst>
                <c:ext xmlns:c15="http://schemas.microsoft.com/office/drawing/2012/chart" uri="{CE6537A1-D6FC-4f65-9D91-7224C49458BB}">
                  <c15:layout>
                    <c:manualLayout>
                      <c:w val="0.5155965817588728"/>
                      <c:h val="0.12750960414230836"/>
                    </c:manualLayout>
                  </c15:layout>
                  <c15:showDataLabelsRange val="0"/>
                </c:ext>
                <c:ext xmlns:c16="http://schemas.microsoft.com/office/drawing/2014/chart" uri="{C3380CC4-5D6E-409C-BE32-E72D297353CC}">
                  <c16:uniqueId val="{00000023-A5F2-41A3-802D-2A94C14E60C7}"/>
                </c:ext>
              </c:extLst>
            </c:dLbl>
            <c:dLbl>
              <c:idx val="18"/>
              <c:delete val="1"/>
              <c:extLst>
                <c:ext xmlns:c15="http://schemas.microsoft.com/office/drawing/2012/chart" uri="{CE6537A1-D6FC-4f65-9D91-7224C49458BB}"/>
                <c:ext xmlns:c16="http://schemas.microsoft.com/office/drawing/2014/chart" uri="{C3380CC4-5D6E-409C-BE32-E72D297353CC}">
                  <c16:uniqueId val="{00000024-A5F2-41A3-802D-2A94C14E60C7}"/>
                </c:ext>
              </c:extLst>
            </c:dLbl>
            <c:dLbl>
              <c:idx val="19"/>
              <c:delete val="1"/>
              <c:extLst>
                <c:ext xmlns:c15="http://schemas.microsoft.com/office/drawing/2012/chart" uri="{CE6537A1-D6FC-4f65-9D91-7224C49458BB}"/>
                <c:ext xmlns:c16="http://schemas.microsoft.com/office/drawing/2014/chart" uri="{C3380CC4-5D6E-409C-BE32-E72D297353CC}">
                  <c16:uniqueId val="{00000025-A5F2-41A3-802D-2A94C14E60C7}"/>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[E_Section_3E_Diversity_ATSI.xlsx]Input_Diversity_ATSI!$B$2:$B$21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[E_Section_3E_Diversity_ATSI.xlsx]Input_Diversity_ATSI!$F$2:$F$21</c:f>
              <c:numCache>
                <c:formatCode>General</c:formatCode>
                <c:ptCount val="20"/>
                <c:pt idx="0">
                  <c:v>3.7</c:v>
                </c:pt>
                <c:pt idx="1">
                  <c:v>3.7</c:v>
                </c:pt>
                <c:pt idx="2">
                  <c:v>3.7</c:v>
                </c:pt>
                <c:pt idx="3">
                  <c:v>3.7</c:v>
                </c:pt>
                <c:pt idx="4">
                  <c:v>3.7</c:v>
                </c:pt>
                <c:pt idx="5">
                  <c:v>3.7</c:v>
                </c:pt>
                <c:pt idx="6">
                  <c:v>3.7</c:v>
                </c:pt>
                <c:pt idx="7">
                  <c:v>3.7</c:v>
                </c:pt>
                <c:pt idx="8">
                  <c:v>3.7</c:v>
                </c:pt>
                <c:pt idx="9">
                  <c:v>3.7</c:v>
                </c:pt>
                <c:pt idx="10">
                  <c:v>3.7</c:v>
                </c:pt>
                <c:pt idx="11">
                  <c:v>3.7</c:v>
                </c:pt>
                <c:pt idx="12">
                  <c:v>3.7</c:v>
                </c:pt>
                <c:pt idx="13">
                  <c:v>3.7</c:v>
                </c:pt>
                <c:pt idx="14">
                  <c:v>3.7</c:v>
                </c:pt>
                <c:pt idx="15">
                  <c:v>3.7</c:v>
                </c:pt>
                <c:pt idx="16">
                  <c:v>3.7</c:v>
                </c:pt>
                <c:pt idx="17">
                  <c:v>3.7</c:v>
                </c:pt>
                <c:pt idx="18">
                  <c:v>3.7</c:v>
                </c:pt>
                <c:pt idx="19">
                  <c:v>3.7</c:v>
                </c:pt>
              </c:numCache>
            </c:numRef>
          </c:val>
          <c:smooth val="0"/>
          <c:extLst>
            <c:ext xmlns:c16="http://schemas.microsoft.com/office/drawing/2014/chart" uri="{C3380CC4-5D6E-409C-BE32-E72D297353CC}">
              <c16:uniqueId val="{00000026-A5F2-41A3-802D-2A94C14E60C7}"/>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4.5"/>
          <c:min val="1.5"/>
        </c:scaling>
        <c:delete val="1"/>
        <c:axPos val="l"/>
        <c:numFmt formatCode="General" sourceLinked="1"/>
        <c:majorTickMark val="out"/>
        <c:minorTickMark val="none"/>
        <c:tickLblPos val="nextTo"/>
        <c:crossAx val="50010001"/>
        <c:crosses val="autoZero"/>
        <c:crossBetween val="between"/>
        <c:minorUnit val="0.1"/>
      </c:valAx>
    </c:plotArea>
    <c:legend>
      <c:legendPos val="b"/>
      <c:legendEntry>
        <c:idx val="3"/>
        <c:delete val="1"/>
      </c:legendEntry>
      <c:layout>
        <c:manualLayout>
          <c:xMode val="edge"/>
          <c:yMode val="edge"/>
          <c:x val="6.1714225995901949E-2"/>
          <c:y val="0.77040937779887919"/>
          <c:w val="0.87657154800819614"/>
          <c:h val="0.20286605229966764"/>
        </c:manualLayout>
      </c:layout>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[E_Section_3F_Diversity_PWD.xlsx]Input_Diversity_PWD!$C$1</c:f>
              <c:strCache>
                <c:ptCount val="1"/>
                <c:pt idx="0">
                  <c:v>People with disability, public sector (percent of staff with known diversity status - quarterly point in time)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B02F-4A5B-BF71-C0E700810B54}"/>
                </c:ext>
              </c:extLst>
            </c:dLbl>
            <c:dLbl>
              <c:idx val="1"/>
              <c:delete val="1"/>
              <c:extLst>
                <c:ext xmlns:c15="http://schemas.microsoft.com/office/drawing/2012/chart" uri="{CE6537A1-D6FC-4f65-9D91-7224C49458BB}"/>
                <c:ext xmlns:c16="http://schemas.microsoft.com/office/drawing/2014/chart" uri="{C3380CC4-5D6E-409C-BE32-E72D297353CC}">
                  <c16:uniqueId val="{00000001-B02F-4A5B-BF71-C0E700810B54}"/>
                </c:ext>
              </c:extLst>
            </c:dLbl>
            <c:dLbl>
              <c:idx val="3"/>
              <c:delete val="1"/>
              <c:extLst>
                <c:ext xmlns:c15="http://schemas.microsoft.com/office/drawing/2012/chart" uri="{CE6537A1-D6FC-4f65-9D91-7224C49458BB}"/>
                <c:ext xmlns:c16="http://schemas.microsoft.com/office/drawing/2014/chart" uri="{C3380CC4-5D6E-409C-BE32-E72D297353CC}">
                  <c16:uniqueId val="{00000002-B02F-4A5B-BF71-C0E700810B54}"/>
                </c:ext>
              </c:extLst>
            </c:dLbl>
            <c:dLbl>
              <c:idx val="4"/>
              <c:delete val="1"/>
              <c:extLst>
                <c:ext xmlns:c15="http://schemas.microsoft.com/office/drawing/2012/chart" uri="{CE6537A1-D6FC-4f65-9D91-7224C49458BB}"/>
                <c:ext xmlns:c16="http://schemas.microsoft.com/office/drawing/2014/chart" uri="{C3380CC4-5D6E-409C-BE32-E72D297353CC}">
                  <c16:uniqueId val="{00000003-B02F-4A5B-BF71-C0E700810B54}"/>
                </c:ext>
              </c:extLst>
            </c:dLbl>
            <c:dLbl>
              <c:idx val="5"/>
              <c:delete val="1"/>
              <c:extLst>
                <c:ext xmlns:c15="http://schemas.microsoft.com/office/drawing/2012/chart" uri="{CE6537A1-D6FC-4f65-9D91-7224C49458BB}"/>
                <c:ext xmlns:c16="http://schemas.microsoft.com/office/drawing/2014/chart" uri="{C3380CC4-5D6E-409C-BE32-E72D297353CC}">
                  <c16:uniqueId val="{00000004-B02F-4A5B-BF71-C0E700810B54}"/>
                </c:ext>
              </c:extLst>
            </c:dLbl>
            <c:dLbl>
              <c:idx val="7"/>
              <c:delete val="1"/>
              <c:extLst>
                <c:ext xmlns:c15="http://schemas.microsoft.com/office/drawing/2012/chart" uri="{CE6537A1-D6FC-4f65-9D91-7224C49458BB}"/>
                <c:ext xmlns:c16="http://schemas.microsoft.com/office/drawing/2014/chart" uri="{C3380CC4-5D6E-409C-BE32-E72D297353CC}">
                  <c16:uniqueId val="{00000005-B02F-4A5B-BF71-C0E700810B54}"/>
                </c:ext>
              </c:extLst>
            </c:dLbl>
            <c:dLbl>
              <c:idx val="8"/>
              <c:delete val="1"/>
              <c:extLst>
                <c:ext xmlns:c15="http://schemas.microsoft.com/office/drawing/2012/chart" uri="{CE6537A1-D6FC-4f65-9D91-7224C49458BB}"/>
                <c:ext xmlns:c16="http://schemas.microsoft.com/office/drawing/2014/chart" uri="{C3380CC4-5D6E-409C-BE32-E72D297353CC}">
                  <c16:uniqueId val="{00000006-B02F-4A5B-BF71-C0E700810B54}"/>
                </c:ext>
              </c:extLst>
            </c:dLbl>
            <c:dLbl>
              <c:idx val="9"/>
              <c:delete val="1"/>
              <c:extLst>
                <c:ext xmlns:c15="http://schemas.microsoft.com/office/drawing/2012/chart" uri="{CE6537A1-D6FC-4f65-9D91-7224C49458BB}"/>
                <c:ext xmlns:c16="http://schemas.microsoft.com/office/drawing/2014/chart" uri="{C3380CC4-5D6E-409C-BE32-E72D297353CC}">
                  <c16:uniqueId val="{00000007-B02F-4A5B-BF71-C0E700810B54}"/>
                </c:ext>
              </c:extLst>
            </c:dLbl>
            <c:dLbl>
              <c:idx val="11"/>
              <c:delete val="1"/>
              <c:extLst>
                <c:ext xmlns:c15="http://schemas.microsoft.com/office/drawing/2012/chart" uri="{CE6537A1-D6FC-4f65-9D91-7224C49458BB}"/>
                <c:ext xmlns:c16="http://schemas.microsoft.com/office/drawing/2014/chart" uri="{C3380CC4-5D6E-409C-BE32-E72D297353CC}">
                  <c16:uniqueId val="{00000008-B02F-4A5B-BF71-C0E700810B54}"/>
                </c:ext>
              </c:extLst>
            </c:dLbl>
            <c:dLbl>
              <c:idx val="12"/>
              <c:delete val="1"/>
              <c:extLst>
                <c:ext xmlns:c15="http://schemas.microsoft.com/office/drawing/2012/chart" uri="{CE6537A1-D6FC-4f65-9D91-7224C49458BB}"/>
                <c:ext xmlns:c16="http://schemas.microsoft.com/office/drawing/2014/chart" uri="{C3380CC4-5D6E-409C-BE32-E72D297353CC}">
                  <c16:uniqueId val="{00000009-B02F-4A5B-BF71-C0E700810B54}"/>
                </c:ext>
              </c:extLst>
            </c:dLbl>
            <c:dLbl>
              <c:idx val="13"/>
              <c:delete val="1"/>
              <c:extLst>
                <c:ext xmlns:c15="http://schemas.microsoft.com/office/drawing/2012/chart" uri="{CE6537A1-D6FC-4f65-9D91-7224C49458BB}"/>
                <c:ext xmlns:c16="http://schemas.microsoft.com/office/drawing/2014/chart" uri="{C3380CC4-5D6E-409C-BE32-E72D297353CC}">
                  <c16:uniqueId val="{0000000A-B02F-4A5B-BF71-C0E700810B54}"/>
                </c:ext>
              </c:extLst>
            </c:dLbl>
            <c:dLbl>
              <c:idx val="15"/>
              <c:delete val="1"/>
              <c:extLst>
                <c:ext xmlns:c15="http://schemas.microsoft.com/office/drawing/2012/chart" uri="{CE6537A1-D6FC-4f65-9D91-7224C49458BB}"/>
                <c:ext xmlns:c16="http://schemas.microsoft.com/office/drawing/2014/chart" uri="{C3380CC4-5D6E-409C-BE32-E72D297353CC}">
                  <c16:uniqueId val="{0000000B-B02F-4A5B-BF71-C0E700810B54}"/>
                </c:ext>
              </c:extLst>
            </c:dLbl>
            <c:dLbl>
              <c:idx val="16"/>
              <c:delete val="1"/>
              <c:extLst>
                <c:ext xmlns:c15="http://schemas.microsoft.com/office/drawing/2012/chart" uri="{CE6537A1-D6FC-4f65-9D91-7224C49458BB}"/>
                <c:ext xmlns:c16="http://schemas.microsoft.com/office/drawing/2014/chart" uri="{C3380CC4-5D6E-409C-BE32-E72D297353CC}">
                  <c16:uniqueId val="{0000000C-B02F-4A5B-BF71-C0E700810B54}"/>
                </c:ext>
              </c:extLst>
            </c:dLbl>
            <c:dLbl>
              <c:idx val="17"/>
              <c:delete val="1"/>
              <c:extLst>
                <c:ext xmlns:c15="http://schemas.microsoft.com/office/drawing/2012/chart" uri="{CE6537A1-D6FC-4f65-9D91-7224C49458BB}"/>
                <c:ext xmlns:c16="http://schemas.microsoft.com/office/drawing/2014/chart" uri="{C3380CC4-5D6E-409C-BE32-E72D297353CC}">
                  <c16:uniqueId val="{0000000D-B02F-4A5B-BF71-C0E700810B54}"/>
                </c:ext>
              </c:extLst>
            </c:dLbl>
            <c:dLbl>
              <c:idx val="19"/>
              <c:delete val="1"/>
              <c:extLst>
                <c:ext xmlns:c15="http://schemas.microsoft.com/office/drawing/2012/chart" uri="{CE6537A1-D6FC-4f65-9D91-7224C49458BB}"/>
                <c:ext xmlns:c16="http://schemas.microsoft.com/office/drawing/2014/chart" uri="{C3380CC4-5D6E-409C-BE32-E72D297353CC}">
                  <c16:uniqueId val="{0000000E-B02F-4A5B-BF71-C0E700810B54}"/>
                </c:ext>
              </c:extLst>
            </c:dLbl>
            <c:numFmt formatCode="0.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[E_Section_3F_Diversity_PWD.xlsx]Input_Diversity_PWD!$B$2:$B$21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[E_Section_3F_Diversity_PWD.xlsx]Input_Diversity_PWD!$C$2:$C$21</c:f>
              <c:numCache>
                <c:formatCode>General</c:formatCode>
                <c:ptCount val="20"/>
                <c:pt idx="0">
                  <c:v>1.5899996114845181</c:v>
                </c:pt>
                <c:pt idx="1">
                  <c:v>1.576802692966397</c:v>
                </c:pt>
                <c:pt idx="2">
                  <c:v>1.541613072269068</c:v>
                </c:pt>
                <c:pt idx="3">
                  <c:v>1.569608735213831</c:v>
                </c:pt>
                <c:pt idx="4">
                  <c:v>1.6398647765264001</c:v>
                </c:pt>
                <c:pt idx="5">
                  <c:v>1.5640074211502779</c:v>
                </c:pt>
                <c:pt idx="6">
                  <c:v>1.5448533613940869</c:v>
                </c:pt>
                <c:pt idx="7">
                  <c:v>1.5314366637012291</c:v>
                </c:pt>
                <c:pt idx="8">
                  <c:v>1.5296916378652541</c:v>
                </c:pt>
                <c:pt idx="9">
                  <c:v>1.5035648317524339</c:v>
                </c:pt>
                <c:pt idx="10">
                  <c:v>1.5240874372654321</c:v>
                </c:pt>
                <c:pt idx="11">
                  <c:v>1.5219984501388779</c:v>
                </c:pt>
                <c:pt idx="12">
                  <c:v>1.5024419972744429</c:v>
                </c:pt>
                <c:pt idx="13">
                  <c:v>1.5277928269584999</c:v>
                </c:pt>
                <c:pt idx="14">
                  <c:v>1.5236711742959039</c:v>
                </c:pt>
                <c:pt idx="15">
                  <c:v>1.5231126825116219</c:v>
                </c:pt>
                <c:pt idx="16">
                  <c:v>1.515572177491793</c:v>
                </c:pt>
                <c:pt idx="17">
                  <c:v>1.5316930096138179</c:v>
                </c:pt>
                <c:pt idx="18">
                  <c:v>1.5510728923892949</c:v>
                </c:pt>
                <c:pt idx="19">
                  <c:v>1.571370070900346</c:v>
                </c:pt>
              </c:numCache>
            </c:numRef>
          </c:val>
          <c:smooth val="0"/>
          <c:extLst>
            <c:ext xmlns:c16="http://schemas.microsoft.com/office/drawing/2014/chart" uri="{C3380CC4-5D6E-409C-BE32-E72D297353CC}">
              <c16:uniqueId val="{0000000F-B02F-4A5B-BF71-C0E700810B54}"/>
            </c:ext>
          </c:extLst>
        </c:ser>
        <c:ser>
          <c:idx val="1"/>
          <c:order val="1"/>
          <c:tx>
            <c:strRef>
              <c:f>[E_Section_3F_Diversity_PWD.xlsx]Input_Diversity_PWD!$D$1</c:f>
              <c:strCache>
                <c:ptCount val="1"/>
                <c:pt idx="0">
                  <c:v>People with disability, public sector (percent of staff with known diversity status - moving average)</c:v>
                </c:pt>
              </c:strCache>
            </c:strRef>
          </c:tx>
          <c:spPr>
            <a:ln w="28575">
              <a:solidFill>
                <a:srgbClr val="AF85B7"/>
              </a:solidFill>
              <a:prstDash val="sysDot"/>
            </a:ln>
          </c:spPr>
          <c:marker>
            <c:symbol val="none"/>
          </c:marker>
          <c:cat>
            <c:strRef>
              <c:f>[E_Section_3F_Diversity_PWD.xlsx]Input_Diversity_PWD!$B$2:$B$21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[E_Section_3F_Diversity_PWD.xlsx]Input_Diversity_PWD!$D$2:$D$21</c:f>
              <c:numCache>
                <c:formatCode>General</c:formatCode>
                <c:ptCount val="20"/>
                <c:pt idx="0">
                  <c:v>1.6078087575735669</c:v>
                </c:pt>
                <c:pt idx="1">
                  <c:v>1.5744764044544</c:v>
                </c:pt>
                <c:pt idx="2">
                  <c:v>1.574386656341332</c:v>
                </c:pt>
                <c:pt idx="3">
                  <c:v>1.569506027983453</c:v>
                </c:pt>
                <c:pt idx="4">
                  <c:v>1.5819723192439239</c:v>
                </c:pt>
                <c:pt idx="5">
                  <c:v>1.578773501289894</c:v>
                </c:pt>
                <c:pt idx="6">
                  <c:v>1.579583573571149</c:v>
                </c:pt>
                <c:pt idx="7">
                  <c:v>1.5700405556929991</c:v>
                </c:pt>
                <c:pt idx="8">
                  <c:v>1.5424972710277121</c:v>
                </c:pt>
                <c:pt idx="9">
                  <c:v>1.527386623678251</c:v>
                </c:pt>
                <c:pt idx="10">
                  <c:v>1.5221951426460869</c:v>
                </c:pt>
                <c:pt idx="11">
                  <c:v>1.5198355892555</c:v>
                </c:pt>
                <c:pt idx="12">
                  <c:v>1.513023179107797</c:v>
                </c:pt>
                <c:pt idx="13">
                  <c:v>1.519080177909313</c:v>
                </c:pt>
                <c:pt idx="14">
                  <c:v>1.518976112166931</c:v>
                </c:pt>
                <c:pt idx="15">
                  <c:v>1.5192546702601171</c:v>
                </c:pt>
                <c:pt idx="16">
                  <c:v>1.522537215314455</c:v>
                </c:pt>
                <c:pt idx="17">
                  <c:v>1.5235122609782841</c:v>
                </c:pt>
                <c:pt idx="18">
                  <c:v>1.5303626905016321</c:v>
                </c:pt>
                <c:pt idx="19">
                  <c:v>1.5424270375988129</c:v>
                </c:pt>
              </c:numCache>
            </c:numRef>
          </c:val>
          <c:smooth val="1"/>
          <c:extLst>
            <c:ext xmlns:c16="http://schemas.microsoft.com/office/drawing/2014/chart" uri="{C3380CC4-5D6E-409C-BE32-E72D297353CC}">
              <c16:uniqueId val="{00000010-B02F-4A5B-BF71-C0E700810B54}"/>
            </c:ext>
          </c:extLst>
        </c:ser>
        <c:ser>
          <c:idx val="2"/>
          <c:order val="2"/>
          <c:tx>
            <c:strRef>
              <c:f>[E_Section_3F_Diversity_PWD.xlsx]Input_Diversity_PWD!$E$1</c:f>
              <c:strCache>
                <c:ptCount val="1"/>
                <c:pt idx="0">
                  <c:v>People with disability, other government entities (percent of staff with known diversity status - March)</c:v>
                </c:pt>
              </c:strCache>
            </c:strRef>
          </c:tx>
          <c:spPr>
            <a:ln w="28575">
              <a:solidFill>
                <a:srgbClr val="6390C6"/>
              </a:solidFill>
            </a:ln>
          </c:spPr>
          <c:marker>
            <c:symbol val="circle"/>
            <c:size val="7"/>
            <c:spPr>
              <a:solidFill>
                <a:srgbClr val="6390C6"/>
              </a:solidFill>
              <a:ln>
                <a:solidFill>
                  <a:srgbClr val="6390C6"/>
                </a:solidFill>
              </a:ln>
            </c:spPr>
          </c:marker>
          <c:dLbls>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[E_Section_3F_Diversity_PWD.xlsx]Input_Diversity_PWD!$B$2:$B$21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[E_Section_3F_Diversity_PWD.xlsx]Input_Diversity_PWD!$E$2:$E$21</c:f>
              <c:numCache>
                <c:formatCode>General</c:formatCode>
                <c:ptCount val="20"/>
                <c:pt idx="2">
                  <c:v>1.7041581458759369</c:v>
                </c:pt>
                <c:pt idx="6">
                  <c:v>1.5987835342674059</c:v>
                </c:pt>
                <c:pt idx="10">
                  <c:v>1.677599966573351</c:v>
                </c:pt>
                <c:pt idx="14">
                  <c:v>1.823474017635476</c:v>
                </c:pt>
                <c:pt idx="18">
                  <c:v>2.1293750387628951</c:v>
                </c:pt>
              </c:numCache>
            </c:numRef>
          </c:val>
          <c:smooth val="1"/>
          <c:extLst>
            <c:ext xmlns:c16="http://schemas.microsoft.com/office/drawing/2014/chart" uri="{C3380CC4-5D6E-409C-BE32-E72D297353CC}">
              <c16:uniqueId val="{00000011-B02F-4A5B-BF71-C0E700810B54}"/>
            </c:ext>
          </c:extLst>
        </c:ser>
        <c:ser>
          <c:idx val="3"/>
          <c:order val="3"/>
          <c:tx>
            <c:strRef>
              <c:f>[E_Section_3F_Diversity_PWD.xlsx]Input_Diversity_PWD!$F$1</c:f>
              <c:strCache>
                <c:ptCount val="1"/>
                <c:pt idx="0">
                  <c:v>Future target for representation of people with disability:5.0%</c:v>
                </c:pt>
              </c:strCache>
            </c:strRef>
          </c:tx>
          <c:spPr>
            <a:ln w="28575">
              <a:solidFill>
                <a:srgbClr val="6FBD77"/>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B02F-4A5B-BF71-C0E700810B54}"/>
                </c:ext>
              </c:extLst>
            </c:dLbl>
            <c:dLbl>
              <c:idx val="1"/>
              <c:delete val="1"/>
              <c:extLst>
                <c:ext xmlns:c15="http://schemas.microsoft.com/office/drawing/2012/chart" uri="{CE6537A1-D6FC-4f65-9D91-7224C49458BB}"/>
                <c:ext xmlns:c16="http://schemas.microsoft.com/office/drawing/2014/chart" uri="{C3380CC4-5D6E-409C-BE32-E72D297353CC}">
                  <c16:uniqueId val="{00000013-B02F-4A5B-BF71-C0E700810B54}"/>
                </c:ext>
              </c:extLst>
            </c:dLbl>
            <c:dLbl>
              <c:idx val="2"/>
              <c:delete val="1"/>
              <c:extLst>
                <c:ext xmlns:c15="http://schemas.microsoft.com/office/drawing/2012/chart" uri="{CE6537A1-D6FC-4f65-9D91-7224C49458BB}"/>
                <c:ext xmlns:c16="http://schemas.microsoft.com/office/drawing/2014/chart" uri="{C3380CC4-5D6E-409C-BE32-E72D297353CC}">
                  <c16:uniqueId val="{00000014-B02F-4A5B-BF71-C0E700810B54}"/>
                </c:ext>
              </c:extLst>
            </c:dLbl>
            <c:dLbl>
              <c:idx val="3"/>
              <c:delete val="1"/>
              <c:extLst>
                <c:ext xmlns:c15="http://schemas.microsoft.com/office/drawing/2012/chart" uri="{CE6537A1-D6FC-4f65-9D91-7224C49458BB}"/>
                <c:ext xmlns:c16="http://schemas.microsoft.com/office/drawing/2014/chart" uri="{C3380CC4-5D6E-409C-BE32-E72D297353CC}">
                  <c16:uniqueId val="{00000015-B02F-4A5B-BF71-C0E700810B54}"/>
                </c:ext>
              </c:extLst>
            </c:dLbl>
            <c:dLbl>
              <c:idx val="4"/>
              <c:delete val="1"/>
              <c:extLst>
                <c:ext xmlns:c15="http://schemas.microsoft.com/office/drawing/2012/chart" uri="{CE6537A1-D6FC-4f65-9D91-7224C49458BB}"/>
                <c:ext xmlns:c16="http://schemas.microsoft.com/office/drawing/2014/chart" uri="{C3380CC4-5D6E-409C-BE32-E72D297353CC}">
                  <c16:uniqueId val="{00000016-B02F-4A5B-BF71-C0E700810B54}"/>
                </c:ext>
              </c:extLst>
            </c:dLbl>
            <c:dLbl>
              <c:idx val="5"/>
              <c:delete val="1"/>
              <c:extLst>
                <c:ext xmlns:c15="http://schemas.microsoft.com/office/drawing/2012/chart" uri="{CE6537A1-D6FC-4f65-9D91-7224C49458BB}"/>
                <c:ext xmlns:c16="http://schemas.microsoft.com/office/drawing/2014/chart" uri="{C3380CC4-5D6E-409C-BE32-E72D297353CC}">
                  <c16:uniqueId val="{00000017-B02F-4A5B-BF71-C0E700810B54}"/>
                </c:ext>
              </c:extLst>
            </c:dLbl>
            <c:dLbl>
              <c:idx val="6"/>
              <c:delete val="1"/>
              <c:extLst>
                <c:ext xmlns:c15="http://schemas.microsoft.com/office/drawing/2012/chart" uri="{CE6537A1-D6FC-4f65-9D91-7224C49458BB}"/>
                <c:ext xmlns:c16="http://schemas.microsoft.com/office/drawing/2014/chart" uri="{C3380CC4-5D6E-409C-BE32-E72D297353CC}">
                  <c16:uniqueId val="{00000018-B02F-4A5B-BF71-C0E700810B54}"/>
                </c:ext>
              </c:extLst>
            </c:dLbl>
            <c:dLbl>
              <c:idx val="7"/>
              <c:delete val="1"/>
              <c:extLst>
                <c:ext xmlns:c15="http://schemas.microsoft.com/office/drawing/2012/chart" uri="{CE6537A1-D6FC-4f65-9D91-7224C49458BB}"/>
                <c:ext xmlns:c16="http://schemas.microsoft.com/office/drawing/2014/chart" uri="{C3380CC4-5D6E-409C-BE32-E72D297353CC}">
                  <c16:uniqueId val="{00000019-B02F-4A5B-BF71-C0E700810B54}"/>
                </c:ext>
              </c:extLst>
            </c:dLbl>
            <c:dLbl>
              <c:idx val="8"/>
              <c:delete val="1"/>
              <c:extLst>
                <c:ext xmlns:c15="http://schemas.microsoft.com/office/drawing/2012/chart" uri="{CE6537A1-D6FC-4f65-9D91-7224C49458BB}"/>
                <c:ext xmlns:c16="http://schemas.microsoft.com/office/drawing/2014/chart" uri="{C3380CC4-5D6E-409C-BE32-E72D297353CC}">
                  <c16:uniqueId val="{0000001A-B02F-4A5B-BF71-C0E700810B54}"/>
                </c:ext>
              </c:extLst>
            </c:dLbl>
            <c:dLbl>
              <c:idx val="9"/>
              <c:delete val="1"/>
              <c:extLst>
                <c:ext xmlns:c15="http://schemas.microsoft.com/office/drawing/2012/chart" uri="{CE6537A1-D6FC-4f65-9D91-7224C49458BB}"/>
                <c:ext xmlns:c16="http://schemas.microsoft.com/office/drawing/2014/chart" uri="{C3380CC4-5D6E-409C-BE32-E72D297353CC}">
                  <c16:uniqueId val="{0000001B-B02F-4A5B-BF71-C0E700810B54}"/>
                </c:ext>
              </c:extLst>
            </c:dLbl>
            <c:dLbl>
              <c:idx val="10"/>
              <c:delete val="1"/>
              <c:extLst>
                <c:ext xmlns:c15="http://schemas.microsoft.com/office/drawing/2012/chart" uri="{CE6537A1-D6FC-4f65-9D91-7224C49458BB}"/>
                <c:ext xmlns:c16="http://schemas.microsoft.com/office/drawing/2014/chart" uri="{C3380CC4-5D6E-409C-BE32-E72D297353CC}">
                  <c16:uniqueId val="{0000001C-B02F-4A5B-BF71-C0E700810B54}"/>
                </c:ext>
              </c:extLst>
            </c:dLbl>
            <c:dLbl>
              <c:idx val="11"/>
              <c:delete val="1"/>
              <c:extLst>
                <c:ext xmlns:c15="http://schemas.microsoft.com/office/drawing/2012/chart" uri="{CE6537A1-D6FC-4f65-9D91-7224C49458BB}"/>
                <c:ext xmlns:c16="http://schemas.microsoft.com/office/drawing/2014/chart" uri="{C3380CC4-5D6E-409C-BE32-E72D297353CC}">
                  <c16:uniqueId val="{0000001D-B02F-4A5B-BF71-C0E700810B54}"/>
                </c:ext>
              </c:extLst>
            </c:dLbl>
            <c:dLbl>
              <c:idx val="12"/>
              <c:delete val="1"/>
              <c:extLst>
                <c:ext xmlns:c15="http://schemas.microsoft.com/office/drawing/2012/chart" uri="{CE6537A1-D6FC-4f65-9D91-7224C49458BB}"/>
                <c:ext xmlns:c16="http://schemas.microsoft.com/office/drawing/2014/chart" uri="{C3380CC4-5D6E-409C-BE32-E72D297353CC}">
                  <c16:uniqueId val="{0000001E-B02F-4A5B-BF71-C0E700810B54}"/>
                </c:ext>
              </c:extLst>
            </c:dLbl>
            <c:dLbl>
              <c:idx val="13"/>
              <c:delete val="1"/>
              <c:extLst>
                <c:ext xmlns:c15="http://schemas.microsoft.com/office/drawing/2012/chart" uri="{CE6537A1-D6FC-4f65-9D91-7224C49458BB}"/>
                <c:ext xmlns:c16="http://schemas.microsoft.com/office/drawing/2014/chart" uri="{C3380CC4-5D6E-409C-BE32-E72D297353CC}">
                  <c16:uniqueId val="{0000001F-B02F-4A5B-BF71-C0E700810B54}"/>
                </c:ext>
              </c:extLst>
            </c:dLbl>
            <c:dLbl>
              <c:idx val="14"/>
              <c:delete val="1"/>
              <c:extLst>
                <c:ext xmlns:c15="http://schemas.microsoft.com/office/drawing/2012/chart" uri="{CE6537A1-D6FC-4f65-9D91-7224C49458BB}"/>
                <c:ext xmlns:c16="http://schemas.microsoft.com/office/drawing/2014/chart" uri="{C3380CC4-5D6E-409C-BE32-E72D297353CC}">
                  <c16:uniqueId val="{00000020-B02F-4A5B-BF71-C0E700810B54}"/>
                </c:ext>
              </c:extLst>
            </c:dLbl>
            <c:dLbl>
              <c:idx val="15"/>
              <c:delete val="1"/>
              <c:extLst>
                <c:ext xmlns:c15="http://schemas.microsoft.com/office/drawing/2012/chart" uri="{CE6537A1-D6FC-4f65-9D91-7224C49458BB}"/>
                <c:ext xmlns:c16="http://schemas.microsoft.com/office/drawing/2014/chart" uri="{C3380CC4-5D6E-409C-BE32-E72D297353CC}">
                  <c16:uniqueId val="{00000021-B02F-4A5B-BF71-C0E700810B54}"/>
                </c:ext>
              </c:extLst>
            </c:dLbl>
            <c:dLbl>
              <c:idx val="16"/>
              <c:delete val="1"/>
              <c:extLst>
                <c:ext xmlns:c15="http://schemas.microsoft.com/office/drawing/2012/chart" uri="{CE6537A1-D6FC-4f65-9D91-7224C49458BB}"/>
                <c:ext xmlns:c16="http://schemas.microsoft.com/office/drawing/2014/chart" uri="{C3380CC4-5D6E-409C-BE32-E72D297353CC}">
                  <c16:uniqueId val="{00000022-B02F-4A5B-BF71-C0E700810B54}"/>
                </c:ext>
              </c:extLst>
            </c:dLbl>
            <c:dLbl>
              <c:idx val="17"/>
              <c:layout>
                <c:manualLayout>
                  <c:x val="-4.4614882506527495E-2"/>
                  <c:y val="-4.058583624098934E-2"/>
                </c:manualLayout>
              </c:layout>
              <c:tx>
                <c:rich>
                  <a:bodyPr/>
                  <a:lstStyle/>
                  <a:p>
                    <a:r>
                      <a:rPr lang="en-US" sz="800"/>
                      <a:t>Aspirational target for representation</a:t>
                    </a:r>
                    <a:r>
                      <a:rPr lang="en-US" sz="800" baseline="0"/>
                      <a:t> </a:t>
                    </a:r>
                    <a:r>
                      <a:rPr lang="en-US" sz="800"/>
                      <a:t>of </a:t>
                    </a:r>
                  </a:p>
                  <a:p>
                    <a:r>
                      <a:rPr lang="en-US" sz="800"/>
                      <a:t>employees with disability</a:t>
                    </a:r>
                    <a:r>
                      <a:rPr lang="en-US" sz="800" baseline="0"/>
                      <a:t> </a:t>
                    </a:r>
                    <a:r>
                      <a:rPr lang="en-US" sz="800"/>
                      <a:t>in the public sector: 5.0%</a:t>
                    </a:r>
                  </a:p>
                </c:rich>
              </c:tx>
              <c:dLblPos val="r"/>
              <c:showLegendKey val="0"/>
              <c:showVal val="1"/>
              <c:showCatName val="0"/>
              <c:showSerName val="0"/>
              <c:showPercent val="0"/>
              <c:showBubbleSize val="0"/>
              <c:extLst>
                <c:ext xmlns:c15="http://schemas.microsoft.com/office/drawing/2012/chart" uri="{CE6537A1-D6FC-4f65-9D91-7224C49458BB}">
                  <c15:layout>
                    <c:manualLayout>
                      <c:w val="0.40990025561426224"/>
                      <c:h val="0.18030746407241938"/>
                    </c:manualLayout>
                  </c15:layout>
                  <c15:showDataLabelsRange val="0"/>
                </c:ext>
                <c:ext xmlns:c16="http://schemas.microsoft.com/office/drawing/2014/chart" uri="{C3380CC4-5D6E-409C-BE32-E72D297353CC}">
                  <c16:uniqueId val="{00000023-B02F-4A5B-BF71-C0E700810B54}"/>
                </c:ext>
              </c:extLst>
            </c:dLbl>
            <c:dLbl>
              <c:idx val="18"/>
              <c:delete val="1"/>
              <c:extLst>
                <c:ext xmlns:c15="http://schemas.microsoft.com/office/drawing/2012/chart" uri="{CE6537A1-D6FC-4f65-9D91-7224C49458BB}"/>
                <c:ext xmlns:c16="http://schemas.microsoft.com/office/drawing/2014/chart" uri="{C3380CC4-5D6E-409C-BE32-E72D297353CC}">
                  <c16:uniqueId val="{00000024-B02F-4A5B-BF71-C0E700810B54}"/>
                </c:ext>
              </c:extLst>
            </c:dLbl>
            <c:dLbl>
              <c:idx val="19"/>
              <c:delete val="1"/>
              <c:extLst>
                <c:ext xmlns:c15="http://schemas.microsoft.com/office/drawing/2012/chart" uri="{CE6537A1-D6FC-4f65-9D91-7224C49458BB}"/>
                <c:ext xmlns:c16="http://schemas.microsoft.com/office/drawing/2014/chart" uri="{C3380CC4-5D6E-409C-BE32-E72D297353CC}">
                  <c16:uniqueId val="{00000025-B02F-4A5B-BF71-C0E700810B54}"/>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[E_Section_3F_Diversity_PWD.xlsx]Input_Diversity_PWD!$B$2:$B$21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[E_Section_3F_Diversity_PWD.xlsx]Input_Diversity_PWD!$F$2:$F$21</c:f>
              <c:numCache>
                <c:formatCode>General</c:formatCode>
                <c:ptCount val="2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numCache>
            </c:numRef>
          </c:val>
          <c:smooth val="0"/>
          <c:extLst>
            <c:ext xmlns:c16="http://schemas.microsoft.com/office/drawing/2014/chart" uri="{C3380CC4-5D6E-409C-BE32-E72D297353CC}">
              <c16:uniqueId val="{00000026-B02F-4A5B-BF71-C0E700810B54}"/>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6"/>
          <c:min val="0"/>
        </c:scaling>
        <c:delete val="1"/>
        <c:axPos val="l"/>
        <c:numFmt formatCode="General" sourceLinked="1"/>
        <c:majorTickMark val="out"/>
        <c:minorTickMark val="none"/>
        <c:tickLblPos val="nextTo"/>
        <c:crossAx val="50010001"/>
        <c:crosses val="autoZero"/>
        <c:crossBetween val="between"/>
      </c:valAx>
    </c:plotArea>
    <c:legend>
      <c:legendPos val="b"/>
      <c:legendEntry>
        <c:idx val="3"/>
        <c:delete val="1"/>
      </c:legendEntry>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[E_Section_3G_Diversity_CALD.xlsx]Input_Diversity_CALD!$C$1</c:f>
              <c:strCache>
                <c:ptCount val="1"/>
                <c:pt idx="0">
                  <c:v>Culturally and linguistically diverse staff, public sector (percent of staff with known diversity status - quarterly point in time)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FF47-4610-8701-03C02A8F887E}"/>
                </c:ext>
              </c:extLst>
            </c:dLbl>
            <c:dLbl>
              <c:idx val="1"/>
              <c:delete val="1"/>
              <c:extLst>
                <c:ext xmlns:c15="http://schemas.microsoft.com/office/drawing/2012/chart" uri="{CE6537A1-D6FC-4f65-9D91-7224C49458BB}"/>
                <c:ext xmlns:c16="http://schemas.microsoft.com/office/drawing/2014/chart" uri="{C3380CC4-5D6E-409C-BE32-E72D297353CC}">
                  <c16:uniqueId val="{00000001-FF47-4610-8701-03C02A8F887E}"/>
                </c:ext>
              </c:extLst>
            </c:dLbl>
            <c:dLbl>
              <c:idx val="3"/>
              <c:delete val="1"/>
              <c:extLst>
                <c:ext xmlns:c15="http://schemas.microsoft.com/office/drawing/2012/chart" uri="{CE6537A1-D6FC-4f65-9D91-7224C49458BB}"/>
                <c:ext xmlns:c16="http://schemas.microsoft.com/office/drawing/2014/chart" uri="{C3380CC4-5D6E-409C-BE32-E72D297353CC}">
                  <c16:uniqueId val="{00000002-FF47-4610-8701-03C02A8F887E}"/>
                </c:ext>
              </c:extLst>
            </c:dLbl>
            <c:dLbl>
              <c:idx val="4"/>
              <c:delete val="1"/>
              <c:extLst>
                <c:ext xmlns:c15="http://schemas.microsoft.com/office/drawing/2012/chart" uri="{CE6537A1-D6FC-4f65-9D91-7224C49458BB}"/>
                <c:ext xmlns:c16="http://schemas.microsoft.com/office/drawing/2014/chart" uri="{C3380CC4-5D6E-409C-BE32-E72D297353CC}">
                  <c16:uniqueId val="{00000003-FF47-4610-8701-03C02A8F887E}"/>
                </c:ext>
              </c:extLst>
            </c:dLbl>
            <c:dLbl>
              <c:idx val="5"/>
              <c:delete val="1"/>
              <c:extLst>
                <c:ext xmlns:c15="http://schemas.microsoft.com/office/drawing/2012/chart" uri="{CE6537A1-D6FC-4f65-9D91-7224C49458BB}"/>
                <c:ext xmlns:c16="http://schemas.microsoft.com/office/drawing/2014/chart" uri="{C3380CC4-5D6E-409C-BE32-E72D297353CC}">
                  <c16:uniqueId val="{00000004-FF47-4610-8701-03C02A8F887E}"/>
                </c:ext>
              </c:extLst>
            </c:dLbl>
            <c:dLbl>
              <c:idx val="7"/>
              <c:delete val="1"/>
              <c:extLst>
                <c:ext xmlns:c15="http://schemas.microsoft.com/office/drawing/2012/chart" uri="{CE6537A1-D6FC-4f65-9D91-7224C49458BB}"/>
                <c:ext xmlns:c16="http://schemas.microsoft.com/office/drawing/2014/chart" uri="{C3380CC4-5D6E-409C-BE32-E72D297353CC}">
                  <c16:uniqueId val="{00000005-FF47-4610-8701-03C02A8F887E}"/>
                </c:ext>
              </c:extLst>
            </c:dLbl>
            <c:dLbl>
              <c:idx val="8"/>
              <c:delete val="1"/>
              <c:extLst>
                <c:ext xmlns:c15="http://schemas.microsoft.com/office/drawing/2012/chart" uri="{CE6537A1-D6FC-4f65-9D91-7224C49458BB}"/>
                <c:ext xmlns:c16="http://schemas.microsoft.com/office/drawing/2014/chart" uri="{C3380CC4-5D6E-409C-BE32-E72D297353CC}">
                  <c16:uniqueId val="{00000006-FF47-4610-8701-03C02A8F887E}"/>
                </c:ext>
              </c:extLst>
            </c:dLbl>
            <c:dLbl>
              <c:idx val="9"/>
              <c:delete val="1"/>
              <c:extLst>
                <c:ext xmlns:c15="http://schemas.microsoft.com/office/drawing/2012/chart" uri="{CE6537A1-D6FC-4f65-9D91-7224C49458BB}"/>
                <c:ext xmlns:c16="http://schemas.microsoft.com/office/drawing/2014/chart" uri="{C3380CC4-5D6E-409C-BE32-E72D297353CC}">
                  <c16:uniqueId val="{00000007-FF47-4610-8701-03C02A8F887E}"/>
                </c:ext>
              </c:extLst>
            </c:dLbl>
            <c:dLbl>
              <c:idx val="11"/>
              <c:delete val="1"/>
              <c:extLst>
                <c:ext xmlns:c15="http://schemas.microsoft.com/office/drawing/2012/chart" uri="{CE6537A1-D6FC-4f65-9D91-7224C49458BB}"/>
                <c:ext xmlns:c16="http://schemas.microsoft.com/office/drawing/2014/chart" uri="{C3380CC4-5D6E-409C-BE32-E72D297353CC}">
                  <c16:uniqueId val="{00000008-FF47-4610-8701-03C02A8F887E}"/>
                </c:ext>
              </c:extLst>
            </c:dLbl>
            <c:dLbl>
              <c:idx val="12"/>
              <c:delete val="1"/>
              <c:extLst>
                <c:ext xmlns:c15="http://schemas.microsoft.com/office/drawing/2012/chart" uri="{CE6537A1-D6FC-4f65-9D91-7224C49458BB}"/>
                <c:ext xmlns:c16="http://schemas.microsoft.com/office/drawing/2014/chart" uri="{C3380CC4-5D6E-409C-BE32-E72D297353CC}">
                  <c16:uniqueId val="{00000009-FF47-4610-8701-03C02A8F887E}"/>
                </c:ext>
              </c:extLst>
            </c:dLbl>
            <c:dLbl>
              <c:idx val="13"/>
              <c:delete val="1"/>
              <c:extLst>
                <c:ext xmlns:c15="http://schemas.microsoft.com/office/drawing/2012/chart" uri="{CE6537A1-D6FC-4f65-9D91-7224C49458BB}"/>
                <c:ext xmlns:c16="http://schemas.microsoft.com/office/drawing/2014/chart" uri="{C3380CC4-5D6E-409C-BE32-E72D297353CC}">
                  <c16:uniqueId val="{0000000A-FF47-4610-8701-03C02A8F887E}"/>
                </c:ext>
              </c:extLst>
            </c:dLbl>
            <c:dLbl>
              <c:idx val="15"/>
              <c:delete val="1"/>
              <c:extLst>
                <c:ext xmlns:c15="http://schemas.microsoft.com/office/drawing/2012/chart" uri="{CE6537A1-D6FC-4f65-9D91-7224C49458BB}"/>
                <c:ext xmlns:c16="http://schemas.microsoft.com/office/drawing/2014/chart" uri="{C3380CC4-5D6E-409C-BE32-E72D297353CC}">
                  <c16:uniqueId val="{0000000B-FF47-4610-8701-03C02A8F887E}"/>
                </c:ext>
              </c:extLst>
            </c:dLbl>
            <c:dLbl>
              <c:idx val="16"/>
              <c:delete val="1"/>
              <c:extLst>
                <c:ext xmlns:c15="http://schemas.microsoft.com/office/drawing/2012/chart" uri="{CE6537A1-D6FC-4f65-9D91-7224C49458BB}"/>
                <c:ext xmlns:c16="http://schemas.microsoft.com/office/drawing/2014/chart" uri="{C3380CC4-5D6E-409C-BE32-E72D297353CC}">
                  <c16:uniqueId val="{0000000C-FF47-4610-8701-03C02A8F887E}"/>
                </c:ext>
              </c:extLst>
            </c:dLbl>
            <c:dLbl>
              <c:idx val="17"/>
              <c:delete val="1"/>
              <c:extLst>
                <c:ext xmlns:c15="http://schemas.microsoft.com/office/drawing/2012/chart" uri="{CE6537A1-D6FC-4f65-9D91-7224C49458BB}"/>
                <c:ext xmlns:c16="http://schemas.microsoft.com/office/drawing/2014/chart" uri="{C3380CC4-5D6E-409C-BE32-E72D297353CC}">
                  <c16:uniqueId val="{0000000D-FF47-4610-8701-03C02A8F887E}"/>
                </c:ext>
              </c:extLst>
            </c:dLbl>
            <c:dLbl>
              <c:idx val="18"/>
              <c:layout>
                <c:manualLayout>
                  <c:x val="-4.5354741884418653E-2"/>
                  <c:y val="-4.4771808735199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47-4610-8701-03C02A8F887E}"/>
                </c:ext>
              </c:extLst>
            </c:dLbl>
            <c:dLbl>
              <c:idx val="19"/>
              <c:delete val="1"/>
              <c:extLst>
                <c:ext xmlns:c15="http://schemas.microsoft.com/office/drawing/2012/chart" uri="{CE6537A1-D6FC-4f65-9D91-7224C49458BB}"/>
                <c:ext xmlns:c16="http://schemas.microsoft.com/office/drawing/2014/chart" uri="{C3380CC4-5D6E-409C-BE32-E72D297353CC}">
                  <c16:uniqueId val="{0000000F-FF47-4610-8701-03C02A8F887E}"/>
                </c:ext>
              </c:extLst>
            </c:dLbl>
            <c:numFmt formatCode="0.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[E_Section_3G_Diversity_CALD.xlsx]Input_Diversity_CALD!$B$2:$B$21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[E_Section_3G_Diversity_CALD.xlsx]Input_Diversity_CALD!$C$2:$C$21</c:f>
              <c:numCache>
                <c:formatCode>General</c:formatCode>
                <c:ptCount val="20"/>
                <c:pt idx="0">
                  <c:v>13.37988619626376</c:v>
                </c:pt>
                <c:pt idx="1">
                  <c:v>13.19569874406687</c:v>
                </c:pt>
                <c:pt idx="2">
                  <c:v>13.34844849322868</c:v>
                </c:pt>
                <c:pt idx="3">
                  <c:v>13.479747501315099</c:v>
                </c:pt>
                <c:pt idx="4">
                  <c:v>13.48034803480348</c:v>
                </c:pt>
                <c:pt idx="5">
                  <c:v>13.671836215969339</c:v>
                </c:pt>
                <c:pt idx="6">
                  <c:v>13.924136791030991</c:v>
                </c:pt>
                <c:pt idx="7">
                  <c:v>14.101201906674341</c:v>
                </c:pt>
                <c:pt idx="8">
                  <c:v>14.15405126025254</c:v>
                </c:pt>
                <c:pt idx="9">
                  <c:v>14.373003616272261</c:v>
                </c:pt>
                <c:pt idx="10">
                  <c:v>14.55429712263571</c:v>
                </c:pt>
                <c:pt idx="11">
                  <c:v>14.78932821930171</c:v>
                </c:pt>
                <c:pt idx="12">
                  <c:v>15.07930693431994</c:v>
                </c:pt>
                <c:pt idx="13">
                  <c:v>15.31437165954932</c:v>
                </c:pt>
                <c:pt idx="14">
                  <c:v>15.678226784552921</c:v>
                </c:pt>
                <c:pt idx="15">
                  <c:v>15.995516912273329</c:v>
                </c:pt>
                <c:pt idx="16">
                  <c:v>16.166880548935389</c:v>
                </c:pt>
                <c:pt idx="17">
                  <c:v>16.249380806298831</c:v>
                </c:pt>
                <c:pt idx="18">
                  <c:v>16.466187346637611</c:v>
                </c:pt>
                <c:pt idx="19">
                  <c:v>16.747063309142941</c:v>
                </c:pt>
              </c:numCache>
            </c:numRef>
          </c:val>
          <c:smooth val="0"/>
          <c:extLst>
            <c:ext xmlns:c16="http://schemas.microsoft.com/office/drawing/2014/chart" uri="{C3380CC4-5D6E-409C-BE32-E72D297353CC}">
              <c16:uniqueId val="{00000010-FF47-4610-8701-03C02A8F887E}"/>
            </c:ext>
          </c:extLst>
        </c:ser>
        <c:ser>
          <c:idx val="1"/>
          <c:order val="1"/>
          <c:tx>
            <c:strRef>
              <c:f>[E_Section_3G_Diversity_CALD.xlsx]Input_Diversity_CALD!$D$1</c:f>
              <c:strCache>
                <c:ptCount val="1"/>
                <c:pt idx="0">
                  <c:v>Culturally and linguistically diverse staff, public sector (percent of staff with known diversity status - moving average)</c:v>
                </c:pt>
              </c:strCache>
            </c:strRef>
          </c:tx>
          <c:spPr>
            <a:ln w="28575">
              <a:solidFill>
                <a:srgbClr val="AF85B7"/>
              </a:solidFill>
              <a:prstDash val="sysDot"/>
            </a:ln>
          </c:spPr>
          <c:marker>
            <c:symbol val="none"/>
          </c:marker>
          <c:cat>
            <c:strRef>
              <c:f>[E_Section_3G_Diversity_CALD.xlsx]Input_Diversity_CALD!$B$2:$B$21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[E_Section_3G_Diversity_CALD.xlsx]Input_Diversity_CALD!$D$2:$D$21</c:f>
              <c:numCache>
                <c:formatCode>General</c:formatCode>
                <c:ptCount val="20"/>
                <c:pt idx="0">
                  <c:v>13.162436652277959</c:v>
                </c:pt>
                <c:pt idx="1">
                  <c:v>13.220559797374939</c:v>
                </c:pt>
                <c:pt idx="2">
                  <c:v>13.27648245923306</c:v>
                </c:pt>
                <c:pt idx="3">
                  <c:v>13.350945233718599</c:v>
                </c:pt>
                <c:pt idx="4">
                  <c:v>13.37606069335353</c:v>
                </c:pt>
                <c:pt idx="5">
                  <c:v>13.495095061329151</c:v>
                </c:pt>
                <c:pt idx="6">
                  <c:v>13.63901713577973</c:v>
                </c:pt>
                <c:pt idx="7">
                  <c:v>13.794380737119541</c:v>
                </c:pt>
                <c:pt idx="8">
                  <c:v>13.962806543481801</c:v>
                </c:pt>
                <c:pt idx="9">
                  <c:v>14.138098393557531</c:v>
                </c:pt>
                <c:pt idx="10">
                  <c:v>14.295638476458709</c:v>
                </c:pt>
                <c:pt idx="11">
                  <c:v>14.467670054615549</c:v>
                </c:pt>
                <c:pt idx="12">
                  <c:v>14.6989839731324</c:v>
                </c:pt>
                <c:pt idx="13">
                  <c:v>14.93432598395167</c:v>
                </c:pt>
                <c:pt idx="14">
                  <c:v>15.21530839943097</c:v>
                </c:pt>
                <c:pt idx="15">
                  <c:v>15.516855572673879</c:v>
                </c:pt>
                <c:pt idx="16">
                  <c:v>15.78874897632774</c:v>
                </c:pt>
                <c:pt idx="17">
                  <c:v>16.022501263015119</c:v>
                </c:pt>
                <c:pt idx="18">
                  <c:v>16.219491403536288</c:v>
                </c:pt>
                <c:pt idx="19">
                  <c:v>16.407378002753688</c:v>
                </c:pt>
              </c:numCache>
            </c:numRef>
          </c:val>
          <c:smooth val="1"/>
          <c:extLst>
            <c:ext xmlns:c16="http://schemas.microsoft.com/office/drawing/2014/chart" uri="{C3380CC4-5D6E-409C-BE32-E72D297353CC}">
              <c16:uniqueId val="{00000011-FF47-4610-8701-03C02A8F887E}"/>
            </c:ext>
          </c:extLst>
        </c:ser>
        <c:ser>
          <c:idx val="2"/>
          <c:order val="2"/>
          <c:tx>
            <c:strRef>
              <c:f>[E_Section_3G_Diversity_CALD.xlsx]Input_Diversity_CALD!$E$1</c:f>
              <c:strCache>
                <c:ptCount val="1"/>
                <c:pt idx="0">
                  <c:v>Culturally and linguistically diverse staff, other government entities (percent of staff with known diversity status - March)</c:v>
                </c:pt>
              </c:strCache>
            </c:strRef>
          </c:tx>
          <c:spPr>
            <a:ln w="28575">
              <a:solidFill>
                <a:srgbClr val="6390C6"/>
              </a:solidFill>
            </a:ln>
          </c:spPr>
          <c:marker>
            <c:symbol val="circle"/>
            <c:size val="7"/>
            <c:spPr>
              <a:solidFill>
                <a:srgbClr val="6390C6"/>
              </a:solidFill>
              <a:ln>
                <a:solidFill>
                  <a:srgbClr val="6390C6"/>
                </a:solidFill>
              </a:ln>
            </c:spPr>
          </c:marker>
          <c:dLbls>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[E_Section_3G_Diversity_CALD.xlsx]Input_Diversity_CALD!$B$2:$B$21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[E_Section_3G_Diversity_CALD.xlsx]Input_Diversity_CALD!$E$2:$E$21</c:f>
              <c:numCache>
                <c:formatCode>General</c:formatCode>
                <c:ptCount val="20"/>
                <c:pt idx="2">
                  <c:v>18.406336357899779</c:v>
                </c:pt>
                <c:pt idx="6">
                  <c:v>17.6706665322174</c:v>
                </c:pt>
                <c:pt idx="10">
                  <c:v>18.609665868760999</c:v>
                </c:pt>
                <c:pt idx="14">
                  <c:v>20.488838764875169</c:v>
                </c:pt>
                <c:pt idx="18">
                  <c:v>22.620702437216199</c:v>
                </c:pt>
              </c:numCache>
            </c:numRef>
          </c:val>
          <c:smooth val="1"/>
          <c:extLst>
            <c:ext xmlns:c16="http://schemas.microsoft.com/office/drawing/2014/chart" uri="{C3380CC4-5D6E-409C-BE32-E72D297353CC}">
              <c16:uniqueId val="{00000012-FF47-4610-8701-03C02A8F887E}"/>
            </c:ext>
          </c:extLst>
        </c:ser>
        <c:ser>
          <c:idx val="3"/>
          <c:order val="3"/>
          <c:tx>
            <c:strRef>
              <c:f>[E_Section_3G_Diversity_CALD.xlsx]Input_Diversity_CALD!$F$1</c:f>
              <c:strCache>
                <c:ptCount val="1"/>
                <c:pt idx="0">
                  <c:v>Future target for representation of culturally and linguistically diverse people in the public sector: 15.5%</c:v>
                </c:pt>
              </c:strCache>
            </c:strRef>
          </c:tx>
          <c:spPr>
            <a:ln w="28575">
              <a:solidFill>
                <a:srgbClr val="6FBD77"/>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3-FF47-4610-8701-03C02A8F887E}"/>
                </c:ext>
              </c:extLst>
            </c:dLbl>
            <c:dLbl>
              <c:idx val="1"/>
              <c:delete val="1"/>
              <c:extLst>
                <c:ext xmlns:c15="http://schemas.microsoft.com/office/drawing/2012/chart" uri="{CE6537A1-D6FC-4f65-9D91-7224C49458BB}"/>
                <c:ext xmlns:c16="http://schemas.microsoft.com/office/drawing/2014/chart" uri="{C3380CC4-5D6E-409C-BE32-E72D297353CC}">
                  <c16:uniqueId val="{00000014-FF47-4610-8701-03C02A8F887E}"/>
                </c:ext>
              </c:extLst>
            </c:dLbl>
            <c:dLbl>
              <c:idx val="2"/>
              <c:delete val="1"/>
              <c:extLst>
                <c:ext xmlns:c15="http://schemas.microsoft.com/office/drawing/2012/chart" uri="{CE6537A1-D6FC-4f65-9D91-7224C49458BB}"/>
                <c:ext xmlns:c16="http://schemas.microsoft.com/office/drawing/2014/chart" uri="{C3380CC4-5D6E-409C-BE32-E72D297353CC}">
                  <c16:uniqueId val="{00000015-FF47-4610-8701-03C02A8F887E}"/>
                </c:ext>
              </c:extLst>
            </c:dLbl>
            <c:dLbl>
              <c:idx val="3"/>
              <c:delete val="1"/>
              <c:extLst>
                <c:ext xmlns:c15="http://schemas.microsoft.com/office/drawing/2012/chart" uri="{CE6537A1-D6FC-4f65-9D91-7224C49458BB}"/>
                <c:ext xmlns:c16="http://schemas.microsoft.com/office/drawing/2014/chart" uri="{C3380CC4-5D6E-409C-BE32-E72D297353CC}">
                  <c16:uniqueId val="{00000016-FF47-4610-8701-03C02A8F887E}"/>
                </c:ext>
              </c:extLst>
            </c:dLbl>
            <c:dLbl>
              <c:idx val="4"/>
              <c:delete val="1"/>
              <c:extLst>
                <c:ext xmlns:c15="http://schemas.microsoft.com/office/drawing/2012/chart" uri="{CE6537A1-D6FC-4f65-9D91-7224C49458BB}"/>
                <c:ext xmlns:c16="http://schemas.microsoft.com/office/drawing/2014/chart" uri="{C3380CC4-5D6E-409C-BE32-E72D297353CC}">
                  <c16:uniqueId val="{00000017-FF47-4610-8701-03C02A8F887E}"/>
                </c:ext>
              </c:extLst>
            </c:dLbl>
            <c:dLbl>
              <c:idx val="5"/>
              <c:delete val="1"/>
              <c:extLst>
                <c:ext xmlns:c15="http://schemas.microsoft.com/office/drawing/2012/chart" uri="{CE6537A1-D6FC-4f65-9D91-7224C49458BB}"/>
                <c:ext xmlns:c16="http://schemas.microsoft.com/office/drawing/2014/chart" uri="{C3380CC4-5D6E-409C-BE32-E72D297353CC}">
                  <c16:uniqueId val="{00000018-FF47-4610-8701-03C02A8F887E}"/>
                </c:ext>
              </c:extLst>
            </c:dLbl>
            <c:dLbl>
              <c:idx val="6"/>
              <c:delete val="1"/>
              <c:extLst>
                <c:ext xmlns:c15="http://schemas.microsoft.com/office/drawing/2012/chart" uri="{CE6537A1-D6FC-4f65-9D91-7224C49458BB}"/>
                <c:ext xmlns:c16="http://schemas.microsoft.com/office/drawing/2014/chart" uri="{C3380CC4-5D6E-409C-BE32-E72D297353CC}">
                  <c16:uniqueId val="{00000019-FF47-4610-8701-03C02A8F887E}"/>
                </c:ext>
              </c:extLst>
            </c:dLbl>
            <c:dLbl>
              <c:idx val="7"/>
              <c:delete val="1"/>
              <c:extLst>
                <c:ext xmlns:c15="http://schemas.microsoft.com/office/drawing/2012/chart" uri="{CE6537A1-D6FC-4f65-9D91-7224C49458BB}"/>
                <c:ext xmlns:c16="http://schemas.microsoft.com/office/drawing/2014/chart" uri="{C3380CC4-5D6E-409C-BE32-E72D297353CC}">
                  <c16:uniqueId val="{0000001A-FF47-4610-8701-03C02A8F887E}"/>
                </c:ext>
              </c:extLst>
            </c:dLbl>
            <c:dLbl>
              <c:idx val="8"/>
              <c:delete val="1"/>
              <c:extLst>
                <c:ext xmlns:c15="http://schemas.microsoft.com/office/drawing/2012/chart" uri="{CE6537A1-D6FC-4f65-9D91-7224C49458BB}"/>
                <c:ext xmlns:c16="http://schemas.microsoft.com/office/drawing/2014/chart" uri="{C3380CC4-5D6E-409C-BE32-E72D297353CC}">
                  <c16:uniqueId val="{0000001B-FF47-4610-8701-03C02A8F887E}"/>
                </c:ext>
              </c:extLst>
            </c:dLbl>
            <c:dLbl>
              <c:idx val="9"/>
              <c:delete val="1"/>
              <c:extLst>
                <c:ext xmlns:c15="http://schemas.microsoft.com/office/drawing/2012/chart" uri="{CE6537A1-D6FC-4f65-9D91-7224C49458BB}"/>
                <c:ext xmlns:c16="http://schemas.microsoft.com/office/drawing/2014/chart" uri="{C3380CC4-5D6E-409C-BE32-E72D297353CC}">
                  <c16:uniqueId val="{0000001C-FF47-4610-8701-03C02A8F887E}"/>
                </c:ext>
              </c:extLst>
            </c:dLbl>
            <c:dLbl>
              <c:idx val="10"/>
              <c:delete val="1"/>
              <c:extLst>
                <c:ext xmlns:c15="http://schemas.microsoft.com/office/drawing/2012/chart" uri="{CE6537A1-D6FC-4f65-9D91-7224C49458BB}"/>
                <c:ext xmlns:c16="http://schemas.microsoft.com/office/drawing/2014/chart" uri="{C3380CC4-5D6E-409C-BE32-E72D297353CC}">
                  <c16:uniqueId val="{0000001D-FF47-4610-8701-03C02A8F887E}"/>
                </c:ext>
              </c:extLst>
            </c:dLbl>
            <c:dLbl>
              <c:idx val="11"/>
              <c:layout>
                <c:manualLayout>
                  <c:x val="-0.52852480417754566"/>
                  <c:y val="-3.2698844002339196E-2"/>
                </c:manualLayout>
              </c:layout>
              <c:tx>
                <c:rich>
                  <a:bodyPr/>
                  <a:lstStyle/>
                  <a:p>
                    <a:r>
                      <a:rPr lang="en-US"/>
                      <a:t>Aspirational target for representation of culturally and </a:t>
                    </a:r>
                  </a:p>
                  <a:p>
                    <a:r>
                      <a:rPr lang="en-US"/>
                      <a:t>linguistically diverseemployees in the public sector: 15.5%</a:t>
                    </a:r>
                  </a:p>
                </c:rich>
              </c:tx>
              <c:dLblPos val="r"/>
              <c:showLegendKey val="0"/>
              <c:showVal val="1"/>
              <c:showCatName val="0"/>
              <c:showSerName val="0"/>
              <c:showPercent val="0"/>
              <c:showBubbleSize val="0"/>
              <c:extLst>
                <c:ext xmlns:c15="http://schemas.microsoft.com/office/drawing/2012/chart" uri="{CE6537A1-D6FC-4f65-9D91-7224C49458BB}">
                  <c15:layout>
                    <c:manualLayout>
                      <c:w val="0.47147519582245428"/>
                      <c:h val="0.12750960414230836"/>
                    </c:manualLayout>
                  </c15:layout>
                  <c15:showDataLabelsRange val="0"/>
                </c:ext>
                <c:ext xmlns:c16="http://schemas.microsoft.com/office/drawing/2014/chart" uri="{C3380CC4-5D6E-409C-BE32-E72D297353CC}">
                  <c16:uniqueId val="{0000001E-FF47-4610-8701-03C02A8F887E}"/>
                </c:ext>
              </c:extLst>
            </c:dLbl>
            <c:dLbl>
              <c:idx val="12"/>
              <c:delete val="1"/>
              <c:extLst>
                <c:ext xmlns:c15="http://schemas.microsoft.com/office/drawing/2012/chart" uri="{CE6537A1-D6FC-4f65-9D91-7224C49458BB}"/>
                <c:ext xmlns:c16="http://schemas.microsoft.com/office/drawing/2014/chart" uri="{C3380CC4-5D6E-409C-BE32-E72D297353CC}">
                  <c16:uniqueId val="{0000001F-FF47-4610-8701-03C02A8F887E}"/>
                </c:ext>
              </c:extLst>
            </c:dLbl>
            <c:dLbl>
              <c:idx val="13"/>
              <c:delete val="1"/>
              <c:extLst>
                <c:ext xmlns:c15="http://schemas.microsoft.com/office/drawing/2012/chart" uri="{CE6537A1-D6FC-4f65-9D91-7224C49458BB}"/>
                <c:ext xmlns:c16="http://schemas.microsoft.com/office/drawing/2014/chart" uri="{C3380CC4-5D6E-409C-BE32-E72D297353CC}">
                  <c16:uniqueId val="{00000020-FF47-4610-8701-03C02A8F887E}"/>
                </c:ext>
              </c:extLst>
            </c:dLbl>
            <c:dLbl>
              <c:idx val="14"/>
              <c:delete val="1"/>
              <c:extLst>
                <c:ext xmlns:c15="http://schemas.microsoft.com/office/drawing/2012/chart" uri="{CE6537A1-D6FC-4f65-9D91-7224C49458BB}"/>
                <c:ext xmlns:c16="http://schemas.microsoft.com/office/drawing/2014/chart" uri="{C3380CC4-5D6E-409C-BE32-E72D297353CC}">
                  <c16:uniqueId val="{00000021-FF47-4610-8701-03C02A8F887E}"/>
                </c:ext>
              </c:extLst>
            </c:dLbl>
            <c:dLbl>
              <c:idx val="15"/>
              <c:delete val="1"/>
              <c:extLst>
                <c:ext xmlns:c15="http://schemas.microsoft.com/office/drawing/2012/chart" uri="{CE6537A1-D6FC-4f65-9D91-7224C49458BB}"/>
                <c:ext xmlns:c16="http://schemas.microsoft.com/office/drawing/2014/chart" uri="{C3380CC4-5D6E-409C-BE32-E72D297353CC}">
                  <c16:uniqueId val="{00000022-FF47-4610-8701-03C02A8F887E}"/>
                </c:ext>
              </c:extLst>
            </c:dLbl>
            <c:dLbl>
              <c:idx val="16"/>
              <c:delete val="1"/>
              <c:extLst>
                <c:ext xmlns:c15="http://schemas.microsoft.com/office/drawing/2012/chart" uri="{CE6537A1-D6FC-4f65-9D91-7224C49458BB}"/>
                <c:ext xmlns:c16="http://schemas.microsoft.com/office/drawing/2014/chart" uri="{C3380CC4-5D6E-409C-BE32-E72D297353CC}">
                  <c16:uniqueId val="{00000023-FF47-4610-8701-03C02A8F887E}"/>
                </c:ext>
              </c:extLst>
            </c:dLbl>
            <c:dLbl>
              <c:idx val="17"/>
              <c:delete val="1"/>
              <c:extLst>
                <c:ext xmlns:c15="http://schemas.microsoft.com/office/drawing/2012/chart" uri="{CE6537A1-D6FC-4f65-9D91-7224C49458BB}"/>
                <c:ext xmlns:c16="http://schemas.microsoft.com/office/drawing/2014/chart" uri="{C3380CC4-5D6E-409C-BE32-E72D297353CC}">
                  <c16:uniqueId val="{00000024-FF47-4610-8701-03C02A8F887E}"/>
                </c:ext>
              </c:extLst>
            </c:dLbl>
            <c:dLbl>
              <c:idx val="18"/>
              <c:delete val="1"/>
              <c:extLst>
                <c:ext xmlns:c15="http://schemas.microsoft.com/office/drawing/2012/chart" uri="{CE6537A1-D6FC-4f65-9D91-7224C49458BB}"/>
                <c:ext xmlns:c16="http://schemas.microsoft.com/office/drawing/2014/chart" uri="{C3380CC4-5D6E-409C-BE32-E72D297353CC}">
                  <c16:uniqueId val="{00000025-FF47-4610-8701-03C02A8F887E}"/>
                </c:ext>
              </c:extLst>
            </c:dLbl>
            <c:dLbl>
              <c:idx val="19"/>
              <c:delete val="1"/>
              <c:extLst>
                <c:ext xmlns:c15="http://schemas.microsoft.com/office/drawing/2012/chart" uri="{CE6537A1-D6FC-4f65-9D91-7224C49458BB}"/>
                <c:ext xmlns:c16="http://schemas.microsoft.com/office/drawing/2014/chart" uri="{C3380CC4-5D6E-409C-BE32-E72D297353CC}">
                  <c16:uniqueId val="{00000026-FF47-4610-8701-03C02A8F887E}"/>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[E_Section_3G_Diversity_CALD.xlsx]Input_Diversity_CALD!$B$2:$B$21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[E_Section_3G_Diversity_CALD.xlsx]Input_Diversity_CALD!$F$2:$F$21</c:f>
              <c:numCache>
                <c:formatCode>General</c:formatCode>
                <c:ptCount val="20"/>
                <c:pt idx="0">
                  <c:v>15.5</c:v>
                </c:pt>
                <c:pt idx="1">
                  <c:v>15.5</c:v>
                </c:pt>
                <c:pt idx="2">
                  <c:v>15.5</c:v>
                </c:pt>
                <c:pt idx="3">
                  <c:v>15.5</c:v>
                </c:pt>
                <c:pt idx="4">
                  <c:v>15.5</c:v>
                </c:pt>
                <c:pt idx="5">
                  <c:v>15.5</c:v>
                </c:pt>
                <c:pt idx="6">
                  <c:v>15.5</c:v>
                </c:pt>
                <c:pt idx="7">
                  <c:v>15.5</c:v>
                </c:pt>
                <c:pt idx="8">
                  <c:v>15.5</c:v>
                </c:pt>
                <c:pt idx="9">
                  <c:v>15.5</c:v>
                </c:pt>
                <c:pt idx="10">
                  <c:v>15.5</c:v>
                </c:pt>
                <c:pt idx="11">
                  <c:v>15.5</c:v>
                </c:pt>
                <c:pt idx="12">
                  <c:v>15.5</c:v>
                </c:pt>
                <c:pt idx="13">
                  <c:v>15.5</c:v>
                </c:pt>
                <c:pt idx="14">
                  <c:v>15.5</c:v>
                </c:pt>
                <c:pt idx="15">
                  <c:v>15.5</c:v>
                </c:pt>
                <c:pt idx="16">
                  <c:v>15.5</c:v>
                </c:pt>
                <c:pt idx="17">
                  <c:v>15.5</c:v>
                </c:pt>
                <c:pt idx="18">
                  <c:v>15.5</c:v>
                </c:pt>
                <c:pt idx="19">
                  <c:v>15.5</c:v>
                </c:pt>
              </c:numCache>
            </c:numRef>
          </c:val>
          <c:smooth val="0"/>
          <c:extLst>
            <c:ext xmlns:c16="http://schemas.microsoft.com/office/drawing/2014/chart" uri="{C3380CC4-5D6E-409C-BE32-E72D297353CC}">
              <c16:uniqueId val="{00000027-FF47-4610-8701-03C02A8F887E}"/>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23"/>
          <c:min val="9"/>
        </c:scaling>
        <c:delete val="1"/>
        <c:axPos val="l"/>
        <c:numFmt formatCode="General" sourceLinked="1"/>
        <c:majorTickMark val="out"/>
        <c:minorTickMark val="none"/>
        <c:tickLblPos val="nextTo"/>
        <c:crossAx val="50010001"/>
        <c:crosses val="autoZero"/>
        <c:crossBetween val="between"/>
      </c:valAx>
    </c:plotArea>
    <c:legend>
      <c:legendPos val="b"/>
      <c:legendEntry>
        <c:idx val="3"/>
        <c:delete val="1"/>
      </c:legendEntry>
      <c:layout>
        <c:manualLayout>
          <c:xMode val="edge"/>
          <c:yMode val="edge"/>
          <c:x val="5.6437813093206682E-2"/>
          <c:y val="0.78764816802726556"/>
          <c:w val="0.88712420249035451"/>
          <c:h val="0.20286605229966764"/>
        </c:manualLayout>
      </c:layout>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[E_Section_3H_Diversity_YOUTH.xlsx]Input_Diversity_YOUTH!$C$1</c:f>
              <c:strCache>
                <c:ptCount val="1"/>
                <c:pt idx="0">
                  <c:v>Youth, public sector (quarterly point in time)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81BA-4602-908E-EAE79ACCF3C7}"/>
                </c:ext>
              </c:extLst>
            </c:dLbl>
            <c:dLbl>
              <c:idx val="1"/>
              <c:delete val="1"/>
              <c:extLst>
                <c:ext xmlns:c15="http://schemas.microsoft.com/office/drawing/2012/chart" uri="{CE6537A1-D6FC-4f65-9D91-7224C49458BB}"/>
                <c:ext xmlns:c16="http://schemas.microsoft.com/office/drawing/2014/chart" uri="{C3380CC4-5D6E-409C-BE32-E72D297353CC}">
                  <c16:uniqueId val="{00000001-81BA-4602-908E-EAE79ACCF3C7}"/>
                </c:ext>
              </c:extLst>
            </c:dLbl>
            <c:dLbl>
              <c:idx val="3"/>
              <c:delete val="1"/>
              <c:extLst>
                <c:ext xmlns:c15="http://schemas.microsoft.com/office/drawing/2012/chart" uri="{CE6537A1-D6FC-4f65-9D91-7224C49458BB}"/>
                <c:ext xmlns:c16="http://schemas.microsoft.com/office/drawing/2014/chart" uri="{C3380CC4-5D6E-409C-BE32-E72D297353CC}">
                  <c16:uniqueId val="{00000002-81BA-4602-908E-EAE79ACCF3C7}"/>
                </c:ext>
              </c:extLst>
            </c:dLbl>
            <c:dLbl>
              <c:idx val="4"/>
              <c:delete val="1"/>
              <c:extLst>
                <c:ext xmlns:c15="http://schemas.microsoft.com/office/drawing/2012/chart" uri="{CE6537A1-D6FC-4f65-9D91-7224C49458BB}"/>
                <c:ext xmlns:c16="http://schemas.microsoft.com/office/drawing/2014/chart" uri="{C3380CC4-5D6E-409C-BE32-E72D297353CC}">
                  <c16:uniqueId val="{00000003-81BA-4602-908E-EAE79ACCF3C7}"/>
                </c:ext>
              </c:extLst>
            </c:dLbl>
            <c:dLbl>
              <c:idx val="5"/>
              <c:delete val="1"/>
              <c:extLst>
                <c:ext xmlns:c15="http://schemas.microsoft.com/office/drawing/2012/chart" uri="{CE6537A1-D6FC-4f65-9D91-7224C49458BB}"/>
                <c:ext xmlns:c16="http://schemas.microsoft.com/office/drawing/2014/chart" uri="{C3380CC4-5D6E-409C-BE32-E72D297353CC}">
                  <c16:uniqueId val="{00000004-81BA-4602-908E-EAE79ACCF3C7}"/>
                </c:ext>
              </c:extLst>
            </c:dLbl>
            <c:dLbl>
              <c:idx val="7"/>
              <c:delete val="1"/>
              <c:extLst>
                <c:ext xmlns:c15="http://schemas.microsoft.com/office/drawing/2012/chart" uri="{CE6537A1-D6FC-4f65-9D91-7224C49458BB}"/>
                <c:ext xmlns:c16="http://schemas.microsoft.com/office/drawing/2014/chart" uri="{C3380CC4-5D6E-409C-BE32-E72D297353CC}">
                  <c16:uniqueId val="{00000005-81BA-4602-908E-EAE79ACCF3C7}"/>
                </c:ext>
              </c:extLst>
            </c:dLbl>
            <c:dLbl>
              <c:idx val="8"/>
              <c:delete val="1"/>
              <c:extLst>
                <c:ext xmlns:c15="http://schemas.microsoft.com/office/drawing/2012/chart" uri="{CE6537A1-D6FC-4f65-9D91-7224C49458BB}"/>
                <c:ext xmlns:c16="http://schemas.microsoft.com/office/drawing/2014/chart" uri="{C3380CC4-5D6E-409C-BE32-E72D297353CC}">
                  <c16:uniqueId val="{00000006-81BA-4602-908E-EAE79ACCF3C7}"/>
                </c:ext>
              </c:extLst>
            </c:dLbl>
            <c:dLbl>
              <c:idx val="9"/>
              <c:delete val="1"/>
              <c:extLst>
                <c:ext xmlns:c15="http://schemas.microsoft.com/office/drawing/2012/chart" uri="{CE6537A1-D6FC-4f65-9D91-7224C49458BB}"/>
                <c:ext xmlns:c16="http://schemas.microsoft.com/office/drawing/2014/chart" uri="{C3380CC4-5D6E-409C-BE32-E72D297353CC}">
                  <c16:uniqueId val="{00000007-81BA-4602-908E-EAE79ACCF3C7}"/>
                </c:ext>
              </c:extLst>
            </c:dLbl>
            <c:dLbl>
              <c:idx val="11"/>
              <c:delete val="1"/>
              <c:extLst>
                <c:ext xmlns:c15="http://schemas.microsoft.com/office/drawing/2012/chart" uri="{CE6537A1-D6FC-4f65-9D91-7224C49458BB}"/>
                <c:ext xmlns:c16="http://schemas.microsoft.com/office/drawing/2014/chart" uri="{C3380CC4-5D6E-409C-BE32-E72D297353CC}">
                  <c16:uniqueId val="{00000008-81BA-4602-908E-EAE79ACCF3C7}"/>
                </c:ext>
              </c:extLst>
            </c:dLbl>
            <c:dLbl>
              <c:idx val="12"/>
              <c:delete val="1"/>
              <c:extLst>
                <c:ext xmlns:c15="http://schemas.microsoft.com/office/drawing/2012/chart" uri="{CE6537A1-D6FC-4f65-9D91-7224C49458BB}"/>
                <c:ext xmlns:c16="http://schemas.microsoft.com/office/drawing/2014/chart" uri="{C3380CC4-5D6E-409C-BE32-E72D297353CC}">
                  <c16:uniqueId val="{00000009-81BA-4602-908E-EAE79ACCF3C7}"/>
                </c:ext>
              </c:extLst>
            </c:dLbl>
            <c:dLbl>
              <c:idx val="13"/>
              <c:delete val="1"/>
              <c:extLst>
                <c:ext xmlns:c15="http://schemas.microsoft.com/office/drawing/2012/chart" uri="{CE6537A1-D6FC-4f65-9D91-7224C49458BB}"/>
                <c:ext xmlns:c16="http://schemas.microsoft.com/office/drawing/2014/chart" uri="{C3380CC4-5D6E-409C-BE32-E72D297353CC}">
                  <c16:uniqueId val="{0000000A-81BA-4602-908E-EAE79ACCF3C7}"/>
                </c:ext>
              </c:extLst>
            </c:dLbl>
            <c:dLbl>
              <c:idx val="14"/>
              <c:layout>
                <c:manualLayout>
                  <c:x val="-4.0513489991296781E-2"/>
                  <c:y val="-6.2126207833508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1B-43CE-94CF-6A8D32FEB41E}"/>
                </c:ext>
              </c:extLst>
            </c:dLbl>
            <c:dLbl>
              <c:idx val="15"/>
              <c:delete val="1"/>
              <c:extLst>
                <c:ext xmlns:c15="http://schemas.microsoft.com/office/drawing/2012/chart" uri="{CE6537A1-D6FC-4f65-9D91-7224C49458BB}"/>
                <c:ext xmlns:c16="http://schemas.microsoft.com/office/drawing/2014/chart" uri="{C3380CC4-5D6E-409C-BE32-E72D297353CC}">
                  <c16:uniqueId val="{0000000B-81BA-4602-908E-EAE79ACCF3C7}"/>
                </c:ext>
              </c:extLst>
            </c:dLbl>
            <c:dLbl>
              <c:idx val="16"/>
              <c:delete val="1"/>
              <c:extLst>
                <c:ext xmlns:c15="http://schemas.microsoft.com/office/drawing/2012/chart" uri="{CE6537A1-D6FC-4f65-9D91-7224C49458BB}"/>
                <c:ext xmlns:c16="http://schemas.microsoft.com/office/drawing/2014/chart" uri="{C3380CC4-5D6E-409C-BE32-E72D297353CC}">
                  <c16:uniqueId val="{0000000C-81BA-4602-908E-EAE79ACCF3C7}"/>
                </c:ext>
              </c:extLst>
            </c:dLbl>
            <c:dLbl>
              <c:idx val="17"/>
              <c:delete val="1"/>
              <c:extLst>
                <c:ext xmlns:c15="http://schemas.microsoft.com/office/drawing/2012/chart" uri="{CE6537A1-D6FC-4f65-9D91-7224C49458BB}"/>
                <c:ext xmlns:c16="http://schemas.microsoft.com/office/drawing/2014/chart" uri="{C3380CC4-5D6E-409C-BE32-E72D297353CC}">
                  <c16:uniqueId val="{0000000D-81BA-4602-908E-EAE79ACCF3C7}"/>
                </c:ext>
              </c:extLst>
            </c:dLbl>
            <c:dLbl>
              <c:idx val="19"/>
              <c:delete val="1"/>
              <c:extLst>
                <c:ext xmlns:c15="http://schemas.microsoft.com/office/drawing/2012/chart" uri="{CE6537A1-D6FC-4f65-9D91-7224C49458BB}"/>
                <c:ext xmlns:c16="http://schemas.microsoft.com/office/drawing/2014/chart" uri="{C3380CC4-5D6E-409C-BE32-E72D297353CC}">
                  <c16:uniqueId val="{0000000E-81BA-4602-908E-EAE79ACCF3C7}"/>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[E_Section_3H_Diversity_YOUTH.xlsx]Input_Diversity_YOUTH!$B$2:$B$21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[E_Section_3H_Diversity_YOUTH.xlsx]Input_Diversity_YOUTH!$C$2:$C$21</c:f>
              <c:numCache>
                <c:formatCode>General</c:formatCode>
                <c:ptCount val="20"/>
                <c:pt idx="0">
                  <c:v>4.0142792640252836</c:v>
                </c:pt>
                <c:pt idx="1">
                  <c:v>3.9790017162058868</c:v>
                </c:pt>
                <c:pt idx="2">
                  <c:v>4.1749251465440897</c:v>
                </c:pt>
                <c:pt idx="3">
                  <c:v>3.898132903632606</c:v>
                </c:pt>
                <c:pt idx="4">
                  <c:v>3.9137541297165712</c:v>
                </c:pt>
                <c:pt idx="5">
                  <c:v>3.9314417840179399</c:v>
                </c:pt>
                <c:pt idx="6">
                  <c:v>4.0664739686899951</c:v>
                </c:pt>
                <c:pt idx="7">
                  <c:v>3.9334888988960302</c:v>
                </c:pt>
                <c:pt idx="8">
                  <c:v>3.8798447523044581</c:v>
                </c:pt>
                <c:pt idx="9">
                  <c:v>4.0752161150459161</c:v>
                </c:pt>
                <c:pt idx="10">
                  <c:v>4.3023861142778062</c:v>
                </c:pt>
                <c:pt idx="11">
                  <c:v>4.3235067864453631</c:v>
                </c:pt>
                <c:pt idx="12">
                  <c:v>4.4552042583210421</c:v>
                </c:pt>
                <c:pt idx="13">
                  <c:v>4.7171444509274636</c:v>
                </c:pt>
                <c:pt idx="14">
                  <c:v>5.2841001514032957</c:v>
                </c:pt>
                <c:pt idx="15">
                  <c:v>5.272614969959009</c:v>
                </c:pt>
                <c:pt idx="16">
                  <c:v>5.2398935182319084</c:v>
                </c:pt>
                <c:pt idx="17">
                  <c:v>5.1801171989087953</c:v>
                </c:pt>
                <c:pt idx="18">
                  <c:v>5.4325244759079094</c:v>
                </c:pt>
                <c:pt idx="19">
                  <c:v>5.2302665541094511</c:v>
                </c:pt>
              </c:numCache>
            </c:numRef>
          </c:val>
          <c:smooth val="0"/>
          <c:extLst>
            <c:ext xmlns:c16="http://schemas.microsoft.com/office/drawing/2014/chart" uri="{C3380CC4-5D6E-409C-BE32-E72D297353CC}">
              <c16:uniqueId val="{0000000F-81BA-4602-908E-EAE79ACCF3C7}"/>
            </c:ext>
          </c:extLst>
        </c:ser>
        <c:ser>
          <c:idx val="1"/>
          <c:order val="1"/>
          <c:tx>
            <c:strRef>
              <c:f>[E_Section_3H_Diversity_YOUTH.xlsx]Input_Diversity_YOUTH!$D$1</c:f>
              <c:strCache>
                <c:ptCount val="1"/>
                <c:pt idx="0">
                  <c:v>Youth, public sector (moving average)</c:v>
                </c:pt>
              </c:strCache>
            </c:strRef>
          </c:tx>
          <c:spPr>
            <a:ln w="28575">
              <a:solidFill>
                <a:srgbClr val="AF85B7"/>
              </a:solidFill>
              <a:prstDash val="sysDot"/>
            </a:ln>
          </c:spPr>
          <c:marker>
            <c:symbol val="none"/>
          </c:marker>
          <c:cat>
            <c:strRef>
              <c:f>[E_Section_3H_Diversity_YOUTH.xlsx]Input_Diversity_YOUTH!$B$2:$B$21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[E_Section_3H_Diversity_YOUTH.xlsx]Input_Diversity_YOUTH!$D$2:$D$21</c:f>
              <c:numCache>
                <c:formatCode>General</c:formatCode>
                <c:ptCount val="20"/>
                <c:pt idx="0">
                  <c:v>4.1178006089476904</c:v>
                </c:pt>
                <c:pt idx="1">
                  <c:v>4.0948034640569819</c:v>
                </c:pt>
                <c:pt idx="2">
                  <c:v>4.0630654646895534</c:v>
                </c:pt>
                <c:pt idx="3">
                  <c:v>4.0165847576019669</c:v>
                </c:pt>
                <c:pt idx="4">
                  <c:v>3.9914534740247891</c:v>
                </c:pt>
                <c:pt idx="5">
                  <c:v>3.9795634909778022</c:v>
                </c:pt>
                <c:pt idx="6">
                  <c:v>3.9524506965142781</c:v>
                </c:pt>
                <c:pt idx="7">
                  <c:v>3.9612896953301342</c:v>
                </c:pt>
                <c:pt idx="8">
                  <c:v>3.9528123509771058</c:v>
                </c:pt>
                <c:pt idx="9">
                  <c:v>3.9887559337341001</c:v>
                </c:pt>
                <c:pt idx="10">
                  <c:v>4.0477339701310528</c:v>
                </c:pt>
                <c:pt idx="11">
                  <c:v>4.1452384420183863</c:v>
                </c:pt>
                <c:pt idx="12">
                  <c:v>4.2890783185225319</c:v>
                </c:pt>
                <c:pt idx="13">
                  <c:v>4.449560402492919</c:v>
                </c:pt>
                <c:pt idx="14">
                  <c:v>4.6949889117742911</c:v>
                </c:pt>
                <c:pt idx="15">
                  <c:v>4.9322659576527021</c:v>
                </c:pt>
                <c:pt idx="16">
                  <c:v>5.1284382726304187</c:v>
                </c:pt>
                <c:pt idx="17">
                  <c:v>5.2441814596257519</c:v>
                </c:pt>
                <c:pt idx="18">
                  <c:v>5.2812875407519053</c:v>
                </c:pt>
                <c:pt idx="19">
                  <c:v>5.2707004367895163</c:v>
                </c:pt>
              </c:numCache>
            </c:numRef>
          </c:val>
          <c:smooth val="1"/>
          <c:extLst>
            <c:ext xmlns:c16="http://schemas.microsoft.com/office/drawing/2014/chart" uri="{C3380CC4-5D6E-409C-BE32-E72D297353CC}">
              <c16:uniqueId val="{00000010-81BA-4602-908E-EAE79ACCF3C7}"/>
            </c:ext>
          </c:extLst>
        </c:ser>
        <c:ser>
          <c:idx val="2"/>
          <c:order val="2"/>
          <c:tx>
            <c:strRef>
              <c:f>[E_Section_3H_Diversity_YOUTH.xlsx]Input_Diversity_YOUTH!$E$1</c:f>
              <c:strCache>
                <c:ptCount val="1"/>
                <c:pt idx="0">
                  <c:v>Youth, other government entities (March)</c:v>
                </c:pt>
              </c:strCache>
            </c:strRef>
          </c:tx>
          <c:spPr>
            <a:ln w="28575">
              <a:solidFill>
                <a:srgbClr val="6390C6"/>
              </a:solidFill>
            </a:ln>
          </c:spPr>
          <c:marker>
            <c:symbol val="circle"/>
            <c:size val="7"/>
            <c:spPr>
              <a:solidFill>
                <a:srgbClr val="6390C6"/>
              </a:solidFill>
              <a:ln>
                <a:solidFill>
                  <a:srgbClr val="6390C6"/>
                </a:solidFill>
              </a:ln>
            </c:spPr>
          </c:marker>
          <c:dLbls>
            <c:numFmt formatCode="0.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[E_Section_3H_Diversity_YOUTH.xlsx]Input_Diversity_YOUTH!$B$2:$B$21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[E_Section_3H_Diversity_YOUTH.xlsx]Input_Diversity_YOUTH!$E$2:$E$21</c:f>
              <c:numCache>
                <c:formatCode>General</c:formatCode>
                <c:ptCount val="20"/>
                <c:pt idx="2">
                  <c:v>9.0399701158012693</c:v>
                </c:pt>
                <c:pt idx="6">
                  <c:v>9.2801151815709488</c:v>
                </c:pt>
                <c:pt idx="10">
                  <c:v>9.0941994775438317</c:v>
                </c:pt>
                <c:pt idx="14">
                  <c:v>10.039699770485701</c:v>
                </c:pt>
                <c:pt idx="18">
                  <c:v>10.71055537318332</c:v>
                </c:pt>
              </c:numCache>
            </c:numRef>
          </c:val>
          <c:smooth val="1"/>
          <c:extLst>
            <c:ext xmlns:c16="http://schemas.microsoft.com/office/drawing/2014/chart" uri="{C3380CC4-5D6E-409C-BE32-E72D297353CC}">
              <c16:uniqueId val="{00000011-81BA-4602-908E-EAE79ACCF3C7}"/>
            </c:ext>
          </c:extLst>
        </c:ser>
        <c:ser>
          <c:idx val="3"/>
          <c:order val="3"/>
          <c:tx>
            <c:strRef>
              <c:f>[E_Section_3H_Diversity_YOUTH.xlsx]Input_Diversity_YOUTH!$F$1</c:f>
              <c:strCache>
                <c:ptCount val="1"/>
                <c:pt idx="0">
                  <c:v>Future target for youth representation in the public sector: 5.8%</c:v>
                </c:pt>
              </c:strCache>
            </c:strRef>
          </c:tx>
          <c:spPr>
            <a:ln w="28575">
              <a:solidFill>
                <a:srgbClr val="6FBD77"/>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81BA-4602-908E-EAE79ACCF3C7}"/>
                </c:ext>
              </c:extLst>
            </c:dLbl>
            <c:dLbl>
              <c:idx val="1"/>
              <c:delete val="1"/>
              <c:extLst>
                <c:ext xmlns:c15="http://schemas.microsoft.com/office/drawing/2012/chart" uri="{CE6537A1-D6FC-4f65-9D91-7224C49458BB}"/>
                <c:ext xmlns:c16="http://schemas.microsoft.com/office/drawing/2014/chart" uri="{C3380CC4-5D6E-409C-BE32-E72D297353CC}">
                  <c16:uniqueId val="{00000013-81BA-4602-908E-EAE79ACCF3C7}"/>
                </c:ext>
              </c:extLst>
            </c:dLbl>
            <c:dLbl>
              <c:idx val="2"/>
              <c:delete val="1"/>
              <c:extLst>
                <c:ext xmlns:c15="http://schemas.microsoft.com/office/drawing/2012/chart" uri="{CE6537A1-D6FC-4f65-9D91-7224C49458BB}"/>
                <c:ext xmlns:c16="http://schemas.microsoft.com/office/drawing/2014/chart" uri="{C3380CC4-5D6E-409C-BE32-E72D297353CC}">
                  <c16:uniqueId val="{00000014-81BA-4602-908E-EAE79ACCF3C7}"/>
                </c:ext>
              </c:extLst>
            </c:dLbl>
            <c:dLbl>
              <c:idx val="3"/>
              <c:delete val="1"/>
              <c:extLst>
                <c:ext xmlns:c15="http://schemas.microsoft.com/office/drawing/2012/chart" uri="{CE6537A1-D6FC-4f65-9D91-7224C49458BB}"/>
                <c:ext xmlns:c16="http://schemas.microsoft.com/office/drawing/2014/chart" uri="{C3380CC4-5D6E-409C-BE32-E72D297353CC}">
                  <c16:uniqueId val="{00000015-81BA-4602-908E-EAE79ACCF3C7}"/>
                </c:ext>
              </c:extLst>
            </c:dLbl>
            <c:dLbl>
              <c:idx val="4"/>
              <c:delete val="1"/>
              <c:extLst>
                <c:ext xmlns:c15="http://schemas.microsoft.com/office/drawing/2012/chart" uri="{CE6537A1-D6FC-4f65-9D91-7224C49458BB}"/>
                <c:ext xmlns:c16="http://schemas.microsoft.com/office/drawing/2014/chart" uri="{C3380CC4-5D6E-409C-BE32-E72D297353CC}">
                  <c16:uniqueId val="{00000016-81BA-4602-908E-EAE79ACCF3C7}"/>
                </c:ext>
              </c:extLst>
            </c:dLbl>
            <c:dLbl>
              <c:idx val="5"/>
              <c:delete val="1"/>
              <c:extLst>
                <c:ext xmlns:c15="http://schemas.microsoft.com/office/drawing/2012/chart" uri="{CE6537A1-D6FC-4f65-9D91-7224C49458BB}"/>
                <c:ext xmlns:c16="http://schemas.microsoft.com/office/drawing/2014/chart" uri="{C3380CC4-5D6E-409C-BE32-E72D297353CC}">
                  <c16:uniqueId val="{00000017-81BA-4602-908E-EAE79ACCF3C7}"/>
                </c:ext>
              </c:extLst>
            </c:dLbl>
            <c:dLbl>
              <c:idx val="6"/>
              <c:delete val="1"/>
              <c:extLst>
                <c:ext xmlns:c15="http://schemas.microsoft.com/office/drawing/2012/chart" uri="{CE6537A1-D6FC-4f65-9D91-7224C49458BB}"/>
                <c:ext xmlns:c16="http://schemas.microsoft.com/office/drawing/2014/chart" uri="{C3380CC4-5D6E-409C-BE32-E72D297353CC}">
                  <c16:uniqueId val="{00000018-81BA-4602-908E-EAE79ACCF3C7}"/>
                </c:ext>
              </c:extLst>
            </c:dLbl>
            <c:dLbl>
              <c:idx val="7"/>
              <c:delete val="1"/>
              <c:extLst>
                <c:ext xmlns:c15="http://schemas.microsoft.com/office/drawing/2012/chart" uri="{CE6537A1-D6FC-4f65-9D91-7224C49458BB}"/>
                <c:ext xmlns:c16="http://schemas.microsoft.com/office/drawing/2014/chart" uri="{C3380CC4-5D6E-409C-BE32-E72D297353CC}">
                  <c16:uniqueId val="{00000019-81BA-4602-908E-EAE79ACCF3C7}"/>
                </c:ext>
              </c:extLst>
            </c:dLbl>
            <c:dLbl>
              <c:idx val="8"/>
              <c:delete val="1"/>
              <c:extLst>
                <c:ext xmlns:c15="http://schemas.microsoft.com/office/drawing/2012/chart" uri="{CE6537A1-D6FC-4f65-9D91-7224C49458BB}"/>
                <c:ext xmlns:c16="http://schemas.microsoft.com/office/drawing/2014/chart" uri="{C3380CC4-5D6E-409C-BE32-E72D297353CC}">
                  <c16:uniqueId val="{0000001A-81BA-4602-908E-EAE79ACCF3C7}"/>
                </c:ext>
              </c:extLst>
            </c:dLbl>
            <c:dLbl>
              <c:idx val="9"/>
              <c:delete val="1"/>
              <c:extLst>
                <c:ext xmlns:c15="http://schemas.microsoft.com/office/drawing/2012/chart" uri="{CE6537A1-D6FC-4f65-9D91-7224C49458BB}"/>
                <c:ext xmlns:c16="http://schemas.microsoft.com/office/drawing/2014/chart" uri="{C3380CC4-5D6E-409C-BE32-E72D297353CC}">
                  <c16:uniqueId val="{0000001B-81BA-4602-908E-EAE79ACCF3C7}"/>
                </c:ext>
              </c:extLst>
            </c:dLbl>
            <c:dLbl>
              <c:idx val="10"/>
              <c:delete val="1"/>
              <c:extLst>
                <c:ext xmlns:c15="http://schemas.microsoft.com/office/drawing/2012/chart" uri="{CE6537A1-D6FC-4f65-9D91-7224C49458BB}"/>
                <c:ext xmlns:c16="http://schemas.microsoft.com/office/drawing/2014/chart" uri="{C3380CC4-5D6E-409C-BE32-E72D297353CC}">
                  <c16:uniqueId val="{0000001C-81BA-4602-908E-EAE79ACCF3C7}"/>
                </c:ext>
              </c:extLst>
            </c:dLbl>
            <c:dLbl>
              <c:idx val="11"/>
              <c:delete val="1"/>
              <c:extLst>
                <c:ext xmlns:c15="http://schemas.microsoft.com/office/drawing/2012/chart" uri="{CE6537A1-D6FC-4f65-9D91-7224C49458BB}"/>
                <c:ext xmlns:c16="http://schemas.microsoft.com/office/drawing/2014/chart" uri="{C3380CC4-5D6E-409C-BE32-E72D297353CC}">
                  <c16:uniqueId val="{0000001D-81BA-4602-908E-EAE79ACCF3C7}"/>
                </c:ext>
              </c:extLst>
            </c:dLbl>
            <c:dLbl>
              <c:idx val="12"/>
              <c:delete val="1"/>
              <c:extLst>
                <c:ext xmlns:c15="http://schemas.microsoft.com/office/drawing/2012/chart" uri="{CE6537A1-D6FC-4f65-9D91-7224C49458BB}"/>
                <c:ext xmlns:c16="http://schemas.microsoft.com/office/drawing/2014/chart" uri="{C3380CC4-5D6E-409C-BE32-E72D297353CC}">
                  <c16:uniqueId val="{0000001E-81BA-4602-908E-EAE79ACCF3C7}"/>
                </c:ext>
              </c:extLst>
            </c:dLbl>
            <c:dLbl>
              <c:idx val="13"/>
              <c:delete val="1"/>
              <c:extLst>
                <c:ext xmlns:c15="http://schemas.microsoft.com/office/drawing/2012/chart" uri="{CE6537A1-D6FC-4f65-9D91-7224C49458BB}"/>
                <c:ext xmlns:c16="http://schemas.microsoft.com/office/drawing/2014/chart" uri="{C3380CC4-5D6E-409C-BE32-E72D297353CC}">
                  <c16:uniqueId val="{0000001F-81BA-4602-908E-EAE79ACCF3C7}"/>
                </c:ext>
              </c:extLst>
            </c:dLbl>
            <c:dLbl>
              <c:idx val="14"/>
              <c:delete val="1"/>
              <c:extLst>
                <c:ext xmlns:c15="http://schemas.microsoft.com/office/drawing/2012/chart" uri="{CE6537A1-D6FC-4f65-9D91-7224C49458BB}"/>
                <c:ext xmlns:c16="http://schemas.microsoft.com/office/drawing/2014/chart" uri="{C3380CC4-5D6E-409C-BE32-E72D297353CC}">
                  <c16:uniqueId val="{00000020-81BA-4602-908E-EAE79ACCF3C7}"/>
                </c:ext>
              </c:extLst>
            </c:dLbl>
            <c:dLbl>
              <c:idx val="15"/>
              <c:delete val="1"/>
              <c:extLst>
                <c:ext xmlns:c15="http://schemas.microsoft.com/office/drawing/2012/chart" uri="{CE6537A1-D6FC-4f65-9D91-7224C49458BB}"/>
                <c:ext xmlns:c16="http://schemas.microsoft.com/office/drawing/2014/chart" uri="{C3380CC4-5D6E-409C-BE32-E72D297353CC}">
                  <c16:uniqueId val="{00000021-81BA-4602-908E-EAE79ACCF3C7}"/>
                </c:ext>
              </c:extLst>
            </c:dLbl>
            <c:dLbl>
              <c:idx val="16"/>
              <c:delete val="1"/>
              <c:extLst>
                <c:ext xmlns:c15="http://schemas.microsoft.com/office/drawing/2012/chart" uri="{CE6537A1-D6FC-4f65-9D91-7224C49458BB}"/>
                <c:ext xmlns:c16="http://schemas.microsoft.com/office/drawing/2014/chart" uri="{C3380CC4-5D6E-409C-BE32-E72D297353CC}">
                  <c16:uniqueId val="{00000022-81BA-4602-908E-EAE79ACCF3C7}"/>
                </c:ext>
              </c:extLst>
            </c:dLbl>
            <c:dLbl>
              <c:idx val="17"/>
              <c:layout>
                <c:manualLayout>
                  <c:x val="-0.58066240414465164"/>
                  <c:y val="-4.1389677634875562E-2"/>
                </c:manualLayout>
              </c:layout>
              <c:tx>
                <c:rich>
                  <a:bodyPr/>
                  <a:lstStyle/>
                  <a:p>
                    <a:r>
                      <a:rPr lang="en-US"/>
                      <a:t>Aspirational target for youth </a:t>
                    </a:r>
                  </a:p>
                  <a:p>
                    <a:r>
                      <a:rPr lang="en-US"/>
                      <a:t>representation in the public sector: 5.8%</a:t>
                    </a:r>
                  </a:p>
                </c:rich>
              </c:tx>
              <c:dLblPos val="r"/>
              <c:showLegendKey val="0"/>
              <c:showVal val="1"/>
              <c:showCatName val="0"/>
              <c:showSerName val="0"/>
              <c:showPercent val="0"/>
              <c:showBubbleSize val="0"/>
              <c:extLst>
                <c:ext xmlns:c15="http://schemas.microsoft.com/office/drawing/2012/chart" uri="{CE6537A1-D6FC-4f65-9D91-7224C49458BB}">
                  <c15:layout>
                    <c:manualLayout>
                      <c:w val="0.41933759585534836"/>
                      <c:h val="0.10616335393352264"/>
                    </c:manualLayout>
                  </c15:layout>
                  <c15:showDataLabelsRange val="0"/>
                </c:ext>
                <c:ext xmlns:c16="http://schemas.microsoft.com/office/drawing/2014/chart" uri="{C3380CC4-5D6E-409C-BE32-E72D297353CC}">
                  <c16:uniqueId val="{00000023-81BA-4602-908E-EAE79ACCF3C7}"/>
                </c:ext>
              </c:extLst>
            </c:dLbl>
            <c:dLbl>
              <c:idx val="18"/>
              <c:delete val="1"/>
              <c:extLst>
                <c:ext xmlns:c15="http://schemas.microsoft.com/office/drawing/2012/chart" uri="{CE6537A1-D6FC-4f65-9D91-7224C49458BB}"/>
                <c:ext xmlns:c16="http://schemas.microsoft.com/office/drawing/2014/chart" uri="{C3380CC4-5D6E-409C-BE32-E72D297353CC}">
                  <c16:uniqueId val="{00000024-81BA-4602-908E-EAE79ACCF3C7}"/>
                </c:ext>
              </c:extLst>
            </c:dLbl>
            <c:dLbl>
              <c:idx val="19"/>
              <c:delete val="1"/>
              <c:extLst>
                <c:ext xmlns:c15="http://schemas.microsoft.com/office/drawing/2012/chart" uri="{CE6537A1-D6FC-4f65-9D91-7224C49458BB}"/>
                <c:ext xmlns:c16="http://schemas.microsoft.com/office/drawing/2014/chart" uri="{C3380CC4-5D6E-409C-BE32-E72D297353CC}">
                  <c16:uniqueId val="{00000025-81BA-4602-908E-EAE79ACCF3C7}"/>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[E_Section_3H_Diversity_YOUTH.xlsx]Input_Diversity_YOUTH!$B$2:$B$21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[E_Section_3H_Diversity_YOUTH.xlsx]Input_Diversity_YOUTH!$F$2:$F$21</c:f>
              <c:numCache>
                <c:formatCode>General</c:formatCode>
                <c:ptCount val="20"/>
                <c:pt idx="0">
                  <c:v>5.8</c:v>
                </c:pt>
                <c:pt idx="1">
                  <c:v>5.8</c:v>
                </c:pt>
                <c:pt idx="2">
                  <c:v>5.8</c:v>
                </c:pt>
                <c:pt idx="3">
                  <c:v>5.8</c:v>
                </c:pt>
                <c:pt idx="4">
                  <c:v>5.8</c:v>
                </c:pt>
                <c:pt idx="5">
                  <c:v>5.8</c:v>
                </c:pt>
                <c:pt idx="6">
                  <c:v>5.8</c:v>
                </c:pt>
                <c:pt idx="7">
                  <c:v>5.8</c:v>
                </c:pt>
                <c:pt idx="8">
                  <c:v>5.8</c:v>
                </c:pt>
                <c:pt idx="9">
                  <c:v>5.8</c:v>
                </c:pt>
                <c:pt idx="10">
                  <c:v>5.8</c:v>
                </c:pt>
                <c:pt idx="11">
                  <c:v>5.8</c:v>
                </c:pt>
                <c:pt idx="12">
                  <c:v>5.8</c:v>
                </c:pt>
                <c:pt idx="13">
                  <c:v>5.8</c:v>
                </c:pt>
                <c:pt idx="14">
                  <c:v>5.8</c:v>
                </c:pt>
                <c:pt idx="15">
                  <c:v>5.8</c:v>
                </c:pt>
                <c:pt idx="16">
                  <c:v>5.8</c:v>
                </c:pt>
                <c:pt idx="17">
                  <c:v>5.8</c:v>
                </c:pt>
                <c:pt idx="18">
                  <c:v>5.8</c:v>
                </c:pt>
                <c:pt idx="19">
                  <c:v>5.8</c:v>
                </c:pt>
              </c:numCache>
            </c:numRef>
          </c:val>
          <c:smooth val="0"/>
          <c:extLst>
            <c:ext xmlns:c16="http://schemas.microsoft.com/office/drawing/2014/chart" uri="{C3380CC4-5D6E-409C-BE32-E72D297353CC}">
              <c16:uniqueId val="{00000026-81BA-4602-908E-EAE79ACCF3C7}"/>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11"/>
          <c:min val="2"/>
        </c:scaling>
        <c:delete val="1"/>
        <c:axPos val="l"/>
        <c:numFmt formatCode="General" sourceLinked="1"/>
        <c:majorTickMark val="out"/>
        <c:minorTickMark val="none"/>
        <c:tickLblPos val="nextTo"/>
        <c:crossAx val="50010001"/>
        <c:crosses val="autoZero"/>
        <c:crossBetween val="between"/>
      </c:valAx>
      <c:spPr>
        <a:ln>
          <a:noFill/>
        </a:ln>
      </c:spPr>
    </c:plotArea>
    <c:legend>
      <c:legendPos val="b"/>
      <c:legendEntry>
        <c:idx val="3"/>
        <c:delete val="1"/>
      </c:legendEntry>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[F_Section_4F_Women_in_the_SES.xlsx]Input_Women_in_the_SES!$C$1</c:f>
              <c:strCache>
                <c:ptCount val="1"/>
                <c:pt idx="0">
                  <c:v>SES officers, percent women - quarterly point in time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076B-454E-9F87-244A66B1C04D}"/>
                </c:ext>
              </c:extLst>
            </c:dLbl>
            <c:dLbl>
              <c:idx val="1"/>
              <c:delete val="1"/>
              <c:extLst>
                <c:ext xmlns:c15="http://schemas.microsoft.com/office/drawing/2012/chart" uri="{CE6537A1-D6FC-4f65-9D91-7224C49458BB}"/>
                <c:ext xmlns:c16="http://schemas.microsoft.com/office/drawing/2014/chart" uri="{C3380CC4-5D6E-409C-BE32-E72D297353CC}">
                  <c16:uniqueId val="{00000001-076B-454E-9F87-244A66B1C04D}"/>
                </c:ext>
              </c:extLst>
            </c:dLbl>
            <c:dLbl>
              <c:idx val="3"/>
              <c:delete val="1"/>
              <c:extLst>
                <c:ext xmlns:c15="http://schemas.microsoft.com/office/drawing/2012/chart" uri="{CE6537A1-D6FC-4f65-9D91-7224C49458BB}"/>
                <c:ext xmlns:c16="http://schemas.microsoft.com/office/drawing/2014/chart" uri="{C3380CC4-5D6E-409C-BE32-E72D297353CC}">
                  <c16:uniqueId val="{00000002-076B-454E-9F87-244A66B1C04D}"/>
                </c:ext>
              </c:extLst>
            </c:dLbl>
            <c:dLbl>
              <c:idx val="4"/>
              <c:delete val="1"/>
              <c:extLst>
                <c:ext xmlns:c15="http://schemas.microsoft.com/office/drawing/2012/chart" uri="{CE6537A1-D6FC-4f65-9D91-7224C49458BB}"/>
                <c:ext xmlns:c16="http://schemas.microsoft.com/office/drawing/2014/chart" uri="{C3380CC4-5D6E-409C-BE32-E72D297353CC}">
                  <c16:uniqueId val="{00000003-076B-454E-9F87-244A66B1C04D}"/>
                </c:ext>
              </c:extLst>
            </c:dLbl>
            <c:dLbl>
              <c:idx val="5"/>
              <c:delete val="1"/>
              <c:extLst>
                <c:ext xmlns:c15="http://schemas.microsoft.com/office/drawing/2012/chart" uri="{CE6537A1-D6FC-4f65-9D91-7224C49458BB}"/>
                <c:ext xmlns:c16="http://schemas.microsoft.com/office/drawing/2014/chart" uri="{C3380CC4-5D6E-409C-BE32-E72D297353CC}">
                  <c16:uniqueId val="{00000004-076B-454E-9F87-244A66B1C04D}"/>
                </c:ext>
              </c:extLst>
            </c:dLbl>
            <c:dLbl>
              <c:idx val="7"/>
              <c:delete val="1"/>
              <c:extLst>
                <c:ext xmlns:c15="http://schemas.microsoft.com/office/drawing/2012/chart" uri="{CE6537A1-D6FC-4f65-9D91-7224C49458BB}"/>
                <c:ext xmlns:c16="http://schemas.microsoft.com/office/drawing/2014/chart" uri="{C3380CC4-5D6E-409C-BE32-E72D297353CC}">
                  <c16:uniqueId val="{00000005-076B-454E-9F87-244A66B1C04D}"/>
                </c:ext>
              </c:extLst>
            </c:dLbl>
            <c:dLbl>
              <c:idx val="8"/>
              <c:delete val="1"/>
              <c:extLst>
                <c:ext xmlns:c15="http://schemas.microsoft.com/office/drawing/2012/chart" uri="{CE6537A1-D6FC-4f65-9D91-7224C49458BB}"/>
                <c:ext xmlns:c16="http://schemas.microsoft.com/office/drawing/2014/chart" uri="{C3380CC4-5D6E-409C-BE32-E72D297353CC}">
                  <c16:uniqueId val="{00000006-076B-454E-9F87-244A66B1C04D}"/>
                </c:ext>
              </c:extLst>
            </c:dLbl>
            <c:dLbl>
              <c:idx val="9"/>
              <c:delete val="1"/>
              <c:extLst>
                <c:ext xmlns:c15="http://schemas.microsoft.com/office/drawing/2012/chart" uri="{CE6537A1-D6FC-4f65-9D91-7224C49458BB}"/>
                <c:ext xmlns:c16="http://schemas.microsoft.com/office/drawing/2014/chart" uri="{C3380CC4-5D6E-409C-BE32-E72D297353CC}">
                  <c16:uniqueId val="{00000007-076B-454E-9F87-244A66B1C04D}"/>
                </c:ext>
              </c:extLst>
            </c:dLbl>
            <c:dLbl>
              <c:idx val="11"/>
              <c:delete val="1"/>
              <c:extLst>
                <c:ext xmlns:c15="http://schemas.microsoft.com/office/drawing/2012/chart" uri="{CE6537A1-D6FC-4f65-9D91-7224C49458BB}"/>
                <c:ext xmlns:c16="http://schemas.microsoft.com/office/drawing/2014/chart" uri="{C3380CC4-5D6E-409C-BE32-E72D297353CC}">
                  <c16:uniqueId val="{00000008-076B-454E-9F87-244A66B1C04D}"/>
                </c:ext>
              </c:extLst>
            </c:dLbl>
            <c:dLbl>
              <c:idx val="12"/>
              <c:delete val="1"/>
              <c:extLst>
                <c:ext xmlns:c15="http://schemas.microsoft.com/office/drawing/2012/chart" uri="{CE6537A1-D6FC-4f65-9D91-7224C49458BB}"/>
                <c:ext xmlns:c16="http://schemas.microsoft.com/office/drawing/2014/chart" uri="{C3380CC4-5D6E-409C-BE32-E72D297353CC}">
                  <c16:uniqueId val="{00000009-076B-454E-9F87-244A66B1C04D}"/>
                </c:ext>
              </c:extLst>
            </c:dLbl>
            <c:dLbl>
              <c:idx val="13"/>
              <c:delete val="1"/>
              <c:extLst>
                <c:ext xmlns:c15="http://schemas.microsoft.com/office/drawing/2012/chart" uri="{CE6537A1-D6FC-4f65-9D91-7224C49458BB}"/>
                <c:ext xmlns:c16="http://schemas.microsoft.com/office/drawing/2014/chart" uri="{C3380CC4-5D6E-409C-BE32-E72D297353CC}">
                  <c16:uniqueId val="{0000000A-076B-454E-9F87-244A66B1C04D}"/>
                </c:ext>
              </c:extLst>
            </c:dLbl>
            <c:dLbl>
              <c:idx val="15"/>
              <c:delete val="1"/>
              <c:extLst>
                <c:ext xmlns:c15="http://schemas.microsoft.com/office/drawing/2012/chart" uri="{CE6537A1-D6FC-4f65-9D91-7224C49458BB}"/>
                <c:ext xmlns:c16="http://schemas.microsoft.com/office/drawing/2014/chart" uri="{C3380CC4-5D6E-409C-BE32-E72D297353CC}">
                  <c16:uniqueId val="{0000000B-076B-454E-9F87-244A66B1C04D}"/>
                </c:ext>
              </c:extLst>
            </c:dLbl>
            <c:dLbl>
              <c:idx val="16"/>
              <c:delete val="1"/>
              <c:extLst>
                <c:ext xmlns:c15="http://schemas.microsoft.com/office/drawing/2012/chart" uri="{CE6537A1-D6FC-4f65-9D91-7224C49458BB}"/>
                <c:ext xmlns:c16="http://schemas.microsoft.com/office/drawing/2014/chart" uri="{C3380CC4-5D6E-409C-BE32-E72D297353CC}">
                  <c16:uniqueId val="{0000000C-076B-454E-9F87-244A66B1C04D}"/>
                </c:ext>
              </c:extLst>
            </c:dLbl>
            <c:dLbl>
              <c:idx val="17"/>
              <c:delete val="1"/>
              <c:extLst>
                <c:ext xmlns:c15="http://schemas.microsoft.com/office/drawing/2012/chart" uri="{CE6537A1-D6FC-4f65-9D91-7224C49458BB}"/>
                <c:ext xmlns:c16="http://schemas.microsoft.com/office/drawing/2014/chart" uri="{C3380CC4-5D6E-409C-BE32-E72D297353CC}">
                  <c16:uniqueId val="{0000000D-076B-454E-9F87-244A66B1C04D}"/>
                </c:ext>
              </c:extLst>
            </c:dLbl>
            <c:dLbl>
              <c:idx val="19"/>
              <c:delete val="1"/>
              <c:extLst>
                <c:ext xmlns:c15="http://schemas.microsoft.com/office/drawing/2012/chart" uri="{CE6537A1-D6FC-4f65-9D91-7224C49458BB}"/>
                <c:ext xmlns:c16="http://schemas.microsoft.com/office/drawing/2014/chart" uri="{C3380CC4-5D6E-409C-BE32-E72D297353CC}">
                  <c16:uniqueId val="{0000000E-076B-454E-9F87-244A66B1C04D}"/>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[F_Section_4F_Women_in_the_SES.xlsx]Input_Women_in_the_SES!$B$2:$B$21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[F_Section_4F_Women_in_the_SES.xlsx]Input_Women_in_the_SES!$C$2:$C$21</c:f>
              <c:numCache>
                <c:formatCode>General</c:formatCode>
                <c:ptCount val="20"/>
                <c:pt idx="0">
                  <c:v>33.241758241758248</c:v>
                </c:pt>
                <c:pt idx="1">
                  <c:v>34.840425531914889</c:v>
                </c:pt>
                <c:pt idx="2">
                  <c:v>36.000000000000007</c:v>
                </c:pt>
                <c:pt idx="3">
                  <c:v>37.336814621409928</c:v>
                </c:pt>
                <c:pt idx="4">
                  <c:v>39.743589743589737</c:v>
                </c:pt>
                <c:pt idx="5">
                  <c:v>41.481481481481481</c:v>
                </c:pt>
                <c:pt idx="6">
                  <c:v>42.475728155339802</c:v>
                </c:pt>
                <c:pt idx="7">
                  <c:v>41.888619854721547</c:v>
                </c:pt>
                <c:pt idx="8">
                  <c:v>42.372881355932201</c:v>
                </c:pt>
                <c:pt idx="9">
                  <c:v>43.103448275862057</c:v>
                </c:pt>
                <c:pt idx="10">
                  <c:v>43.5</c:v>
                </c:pt>
                <c:pt idx="11">
                  <c:v>43.576826196473547</c:v>
                </c:pt>
                <c:pt idx="12">
                  <c:v>44.117647058823529</c:v>
                </c:pt>
                <c:pt idx="13">
                  <c:v>44.474393530997297</c:v>
                </c:pt>
                <c:pt idx="14">
                  <c:v>43.78378378378379</c:v>
                </c:pt>
                <c:pt idx="15">
                  <c:v>45.161290322580641</c:v>
                </c:pt>
                <c:pt idx="16">
                  <c:v>47.7</c:v>
                </c:pt>
                <c:pt idx="17">
                  <c:v>49.4</c:v>
                </c:pt>
                <c:pt idx="18">
                  <c:v>50.2</c:v>
                </c:pt>
                <c:pt idx="19">
                  <c:v>49.8</c:v>
                </c:pt>
              </c:numCache>
            </c:numRef>
          </c:val>
          <c:smooth val="0"/>
          <c:extLst>
            <c:ext xmlns:c16="http://schemas.microsoft.com/office/drawing/2014/chart" uri="{C3380CC4-5D6E-409C-BE32-E72D297353CC}">
              <c16:uniqueId val="{0000000F-076B-454E-9F87-244A66B1C04D}"/>
            </c:ext>
          </c:extLst>
        </c:ser>
        <c:ser>
          <c:idx val="1"/>
          <c:order val="1"/>
          <c:tx>
            <c:strRef>
              <c:f>[F_Section_4F_Women_in_the_SES.xlsx]Input_Women_in_the_SES!$D$1</c:f>
              <c:strCache>
                <c:ptCount val="1"/>
                <c:pt idx="0">
                  <c:v>SES officers, percent women - moving average</c:v>
                </c:pt>
              </c:strCache>
            </c:strRef>
          </c:tx>
          <c:spPr>
            <a:ln w="28575">
              <a:solidFill>
                <a:srgbClr val="AF85B7"/>
              </a:solidFill>
              <a:prstDash val="sysDot"/>
            </a:ln>
          </c:spPr>
          <c:marker>
            <c:symbol val="none"/>
          </c:marker>
          <c:cat>
            <c:strRef>
              <c:f>[F_Section_4F_Women_in_the_SES.xlsx]Input_Women_in_the_SES!$B$2:$B$21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[F_Section_4F_Women_in_the_SES.xlsx]Input_Women_in_the_SES!$D$2:$D$21</c:f>
              <c:numCache>
                <c:formatCode>General</c:formatCode>
                <c:ptCount val="20"/>
                <c:pt idx="0">
                  <c:v>33.134381514011842</c:v>
                </c:pt>
                <c:pt idx="1">
                  <c:v>33.492469959770837</c:v>
                </c:pt>
                <c:pt idx="2">
                  <c:v>34.179814872922201</c:v>
                </c:pt>
                <c:pt idx="3">
                  <c:v>35.354749598770773</c:v>
                </c:pt>
                <c:pt idx="4">
                  <c:v>36.980207474228642</c:v>
                </c:pt>
                <c:pt idx="5">
                  <c:v>38.640471461620287</c:v>
                </c:pt>
                <c:pt idx="6">
                  <c:v>40.259403500455242</c:v>
                </c:pt>
                <c:pt idx="7">
                  <c:v>41.397354808783149</c:v>
                </c:pt>
                <c:pt idx="8">
                  <c:v>42.054677711868763</c:v>
                </c:pt>
                <c:pt idx="9">
                  <c:v>42.460169410463912</c:v>
                </c:pt>
                <c:pt idx="10">
                  <c:v>42.716237371628957</c:v>
                </c:pt>
                <c:pt idx="11">
                  <c:v>43.138288957066948</c:v>
                </c:pt>
                <c:pt idx="12">
                  <c:v>43.574480382789787</c:v>
                </c:pt>
                <c:pt idx="13">
                  <c:v>43.91721669657359</c:v>
                </c:pt>
                <c:pt idx="14">
                  <c:v>43.988162642519541</c:v>
                </c:pt>
                <c:pt idx="15">
                  <c:v>44.384278674046307</c:v>
                </c:pt>
                <c:pt idx="16">
                  <c:v>45.279866909340427</c:v>
                </c:pt>
                <c:pt idx="17">
                  <c:v>46.511268526591103</c:v>
                </c:pt>
                <c:pt idx="18">
                  <c:v>48.115322580645163</c:v>
                </c:pt>
                <c:pt idx="19">
                  <c:v>49.274999999999999</c:v>
                </c:pt>
              </c:numCache>
            </c:numRef>
          </c:val>
          <c:smooth val="1"/>
          <c:extLst>
            <c:ext xmlns:c16="http://schemas.microsoft.com/office/drawing/2014/chart" uri="{C3380CC4-5D6E-409C-BE32-E72D297353CC}">
              <c16:uniqueId val="{00000010-076B-454E-9F87-244A66B1C04D}"/>
            </c:ext>
          </c:extLst>
        </c:ser>
        <c:ser>
          <c:idx val="2"/>
          <c:order val="2"/>
          <c:tx>
            <c:strRef>
              <c:f>[F_Section_4F_Women_in_the_SES.xlsx]Input_Women_in_the_SES!$E$1</c:f>
              <c:strCache>
                <c:ptCount val="1"/>
                <c:pt idx="0">
                  <c:v>Parity (50%)</c:v>
                </c:pt>
              </c:strCache>
            </c:strRef>
          </c:tx>
          <c:spPr>
            <a:ln w="28575">
              <a:solidFill>
                <a:srgbClr val="6FBD77"/>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076B-454E-9F87-244A66B1C04D}"/>
                </c:ext>
              </c:extLst>
            </c:dLbl>
            <c:dLbl>
              <c:idx val="1"/>
              <c:tx>
                <c:rich>
                  <a:bodyPr/>
                  <a:lstStyle/>
                  <a:p>
                    <a:r>
                      <a:rPr lang="en-US"/>
                      <a:t>Parity (50%)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76B-454E-9F87-244A66B1C04D}"/>
                </c:ext>
              </c:extLst>
            </c:dLbl>
            <c:dLbl>
              <c:idx val="2"/>
              <c:delete val="1"/>
              <c:extLst>
                <c:ext xmlns:c15="http://schemas.microsoft.com/office/drawing/2012/chart" uri="{CE6537A1-D6FC-4f65-9D91-7224C49458BB}"/>
                <c:ext xmlns:c16="http://schemas.microsoft.com/office/drawing/2014/chart" uri="{C3380CC4-5D6E-409C-BE32-E72D297353CC}">
                  <c16:uniqueId val="{00000013-076B-454E-9F87-244A66B1C04D}"/>
                </c:ext>
              </c:extLst>
            </c:dLbl>
            <c:dLbl>
              <c:idx val="3"/>
              <c:delete val="1"/>
              <c:extLst>
                <c:ext xmlns:c15="http://schemas.microsoft.com/office/drawing/2012/chart" uri="{CE6537A1-D6FC-4f65-9D91-7224C49458BB}"/>
                <c:ext xmlns:c16="http://schemas.microsoft.com/office/drawing/2014/chart" uri="{C3380CC4-5D6E-409C-BE32-E72D297353CC}">
                  <c16:uniqueId val="{00000014-076B-454E-9F87-244A66B1C04D}"/>
                </c:ext>
              </c:extLst>
            </c:dLbl>
            <c:dLbl>
              <c:idx val="4"/>
              <c:delete val="1"/>
              <c:extLst>
                <c:ext xmlns:c15="http://schemas.microsoft.com/office/drawing/2012/chart" uri="{CE6537A1-D6FC-4f65-9D91-7224C49458BB}"/>
                <c:ext xmlns:c16="http://schemas.microsoft.com/office/drawing/2014/chart" uri="{C3380CC4-5D6E-409C-BE32-E72D297353CC}">
                  <c16:uniqueId val="{00000015-076B-454E-9F87-244A66B1C04D}"/>
                </c:ext>
              </c:extLst>
            </c:dLbl>
            <c:dLbl>
              <c:idx val="5"/>
              <c:delete val="1"/>
              <c:extLst>
                <c:ext xmlns:c15="http://schemas.microsoft.com/office/drawing/2012/chart" uri="{CE6537A1-D6FC-4f65-9D91-7224C49458BB}"/>
                <c:ext xmlns:c16="http://schemas.microsoft.com/office/drawing/2014/chart" uri="{C3380CC4-5D6E-409C-BE32-E72D297353CC}">
                  <c16:uniqueId val="{00000016-076B-454E-9F87-244A66B1C04D}"/>
                </c:ext>
              </c:extLst>
            </c:dLbl>
            <c:dLbl>
              <c:idx val="6"/>
              <c:delete val="1"/>
              <c:extLst>
                <c:ext xmlns:c15="http://schemas.microsoft.com/office/drawing/2012/chart" uri="{CE6537A1-D6FC-4f65-9D91-7224C49458BB}"/>
                <c:ext xmlns:c16="http://schemas.microsoft.com/office/drawing/2014/chart" uri="{C3380CC4-5D6E-409C-BE32-E72D297353CC}">
                  <c16:uniqueId val="{00000017-076B-454E-9F87-244A66B1C04D}"/>
                </c:ext>
              </c:extLst>
            </c:dLbl>
            <c:dLbl>
              <c:idx val="7"/>
              <c:delete val="1"/>
              <c:extLst>
                <c:ext xmlns:c15="http://schemas.microsoft.com/office/drawing/2012/chart" uri="{CE6537A1-D6FC-4f65-9D91-7224C49458BB}"/>
                <c:ext xmlns:c16="http://schemas.microsoft.com/office/drawing/2014/chart" uri="{C3380CC4-5D6E-409C-BE32-E72D297353CC}">
                  <c16:uniqueId val="{00000018-076B-454E-9F87-244A66B1C04D}"/>
                </c:ext>
              </c:extLst>
            </c:dLbl>
            <c:dLbl>
              <c:idx val="8"/>
              <c:delete val="1"/>
              <c:extLst>
                <c:ext xmlns:c15="http://schemas.microsoft.com/office/drawing/2012/chart" uri="{CE6537A1-D6FC-4f65-9D91-7224C49458BB}"/>
                <c:ext xmlns:c16="http://schemas.microsoft.com/office/drawing/2014/chart" uri="{C3380CC4-5D6E-409C-BE32-E72D297353CC}">
                  <c16:uniqueId val="{00000019-076B-454E-9F87-244A66B1C04D}"/>
                </c:ext>
              </c:extLst>
            </c:dLbl>
            <c:dLbl>
              <c:idx val="9"/>
              <c:delete val="1"/>
              <c:extLst>
                <c:ext xmlns:c15="http://schemas.microsoft.com/office/drawing/2012/chart" uri="{CE6537A1-D6FC-4f65-9D91-7224C49458BB}"/>
                <c:ext xmlns:c16="http://schemas.microsoft.com/office/drawing/2014/chart" uri="{C3380CC4-5D6E-409C-BE32-E72D297353CC}">
                  <c16:uniqueId val="{0000001A-076B-454E-9F87-244A66B1C04D}"/>
                </c:ext>
              </c:extLst>
            </c:dLbl>
            <c:dLbl>
              <c:idx val="10"/>
              <c:delete val="1"/>
              <c:extLst>
                <c:ext xmlns:c15="http://schemas.microsoft.com/office/drawing/2012/chart" uri="{CE6537A1-D6FC-4f65-9D91-7224C49458BB}"/>
                <c:ext xmlns:c16="http://schemas.microsoft.com/office/drawing/2014/chart" uri="{C3380CC4-5D6E-409C-BE32-E72D297353CC}">
                  <c16:uniqueId val="{0000001B-076B-454E-9F87-244A66B1C04D}"/>
                </c:ext>
              </c:extLst>
            </c:dLbl>
            <c:dLbl>
              <c:idx val="11"/>
              <c:delete val="1"/>
              <c:extLst>
                <c:ext xmlns:c15="http://schemas.microsoft.com/office/drawing/2012/chart" uri="{CE6537A1-D6FC-4f65-9D91-7224C49458BB}"/>
                <c:ext xmlns:c16="http://schemas.microsoft.com/office/drawing/2014/chart" uri="{C3380CC4-5D6E-409C-BE32-E72D297353CC}">
                  <c16:uniqueId val="{0000001C-076B-454E-9F87-244A66B1C04D}"/>
                </c:ext>
              </c:extLst>
            </c:dLbl>
            <c:dLbl>
              <c:idx val="12"/>
              <c:delete val="1"/>
              <c:extLst>
                <c:ext xmlns:c15="http://schemas.microsoft.com/office/drawing/2012/chart" uri="{CE6537A1-D6FC-4f65-9D91-7224C49458BB}"/>
                <c:ext xmlns:c16="http://schemas.microsoft.com/office/drawing/2014/chart" uri="{C3380CC4-5D6E-409C-BE32-E72D297353CC}">
                  <c16:uniqueId val="{0000001D-076B-454E-9F87-244A66B1C04D}"/>
                </c:ext>
              </c:extLst>
            </c:dLbl>
            <c:dLbl>
              <c:idx val="13"/>
              <c:delete val="1"/>
              <c:extLst>
                <c:ext xmlns:c15="http://schemas.microsoft.com/office/drawing/2012/chart" uri="{CE6537A1-D6FC-4f65-9D91-7224C49458BB}"/>
                <c:ext xmlns:c16="http://schemas.microsoft.com/office/drawing/2014/chart" uri="{C3380CC4-5D6E-409C-BE32-E72D297353CC}">
                  <c16:uniqueId val="{0000001E-076B-454E-9F87-244A66B1C04D}"/>
                </c:ext>
              </c:extLst>
            </c:dLbl>
            <c:dLbl>
              <c:idx val="14"/>
              <c:delete val="1"/>
              <c:extLst>
                <c:ext xmlns:c15="http://schemas.microsoft.com/office/drawing/2012/chart" uri="{CE6537A1-D6FC-4f65-9D91-7224C49458BB}"/>
                <c:ext xmlns:c16="http://schemas.microsoft.com/office/drawing/2014/chart" uri="{C3380CC4-5D6E-409C-BE32-E72D297353CC}">
                  <c16:uniqueId val="{0000001F-076B-454E-9F87-244A66B1C04D}"/>
                </c:ext>
              </c:extLst>
            </c:dLbl>
            <c:dLbl>
              <c:idx val="15"/>
              <c:delete val="1"/>
              <c:extLst>
                <c:ext xmlns:c15="http://schemas.microsoft.com/office/drawing/2012/chart" uri="{CE6537A1-D6FC-4f65-9D91-7224C49458BB}"/>
                <c:ext xmlns:c16="http://schemas.microsoft.com/office/drawing/2014/chart" uri="{C3380CC4-5D6E-409C-BE32-E72D297353CC}">
                  <c16:uniqueId val="{00000020-076B-454E-9F87-244A66B1C04D}"/>
                </c:ext>
              </c:extLst>
            </c:dLbl>
            <c:dLbl>
              <c:idx val="16"/>
              <c:delete val="1"/>
              <c:extLst>
                <c:ext xmlns:c15="http://schemas.microsoft.com/office/drawing/2012/chart" uri="{CE6537A1-D6FC-4f65-9D91-7224C49458BB}"/>
                <c:ext xmlns:c16="http://schemas.microsoft.com/office/drawing/2014/chart" uri="{C3380CC4-5D6E-409C-BE32-E72D297353CC}">
                  <c16:uniqueId val="{00000021-076B-454E-9F87-244A66B1C04D}"/>
                </c:ext>
              </c:extLst>
            </c:dLbl>
            <c:dLbl>
              <c:idx val="17"/>
              <c:delete val="1"/>
              <c:extLst>
                <c:ext xmlns:c15="http://schemas.microsoft.com/office/drawing/2012/chart" uri="{CE6537A1-D6FC-4f65-9D91-7224C49458BB}"/>
                <c:ext xmlns:c16="http://schemas.microsoft.com/office/drawing/2014/chart" uri="{C3380CC4-5D6E-409C-BE32-E72D297353CC}">
                  <c16:uniqueId val="{00000022-076B-454E-9F87-244A66B1C04D}"/>
                </c:ext>
              </c:extLst>
            </c:dLbl>
            <c:dLbl>
              <c:idx val="18"/>
              <c:delete val="1"/>
              <c:extLst>
                <c:ext xmlns:c15="http://schemas.microsoft.com/office/drawing/2012/chart" uri="{CE6537A1-D6FC-4f65-9D91-7224C49458BB}"/>
                <c:ext xmlns:c16="http://schemas.microsoft.com/office/drawing/2014/chart" uri="{C3380CC4-5D6E-409C-BE32-E72D297353CC}">
                  <c16:uniqueId val="{00000023-076B-454E-9F87-244A66B1C04D}"/>
                </c:ext>
              </c:extLst>
            </c:dLbl>
            <c:dLbl>
              <c:idx val="19"/>
              <c:delete val="1"/>
              <c:extLst>
                <c:ext xmlns:c15="http://schemas.microsoft.com/office/drawing/2012/chart" uri="{CE6537A1-D6FC-4f65-9D91-7224C49458BB}"/>
                <c:ext xmlns:c16="http://schemas.microsoft.com/office/drawing/2014/chart" uri="{C3380CC4-5D6E-409C-BE32-E72D297353CC}">
                  <c16:uniqueId val="{00000024-076B-454E-9F87-244A66B1C04D}"/>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[F_Section_4F_Women_in_the_SES.xlsx]Input_Women_in_the_SES!$B$2:$B$21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[F_Section_4F_Women_in_the_SES.xlsx]Input_Women_in_the_SES!$E$2:$E$21</c:f>
              <c:numCache>
                <c:formatCode>General</c:formatCode>
                <c:ptCount val="2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numCache>
            </c:numRef>
          </c:val>
          <c:smooth val="0"/>
          <c:extLst>
            <c:ext xmlns:c16="http://schemas.microsoft.com/office/drawing/2014/chart" uri="{C3380CC4-5D6E-409C-BE32-E72D297353CC}">
              <c16:uniqueId val="{00000025-076B-454E-9F87-244A66B1C04D}"/>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60"/>
          <c:min val="25"/>
        </c:scaling>
        <c:delete val="1"/>
        <c:axPos val="l"/>
        <c:numFmt formatCode="General" sourceLinked="1"/>
        <c:majorTickMark val="out"/>
        <c:minorTickMark val="none"/>
        <c:tickLblPos val="nextTo"/>
        <c:crossAx val="50010001"/>
        <c:crosses val="autoZero"/>
        <c:crossBetween val="between"/>
      </c:valAx>
    </c:plotArea>
    <c:legend>
      <c:legendPos val="b"/>
      <c:legendEntry>
        <c:idx val="2"/>
        <c:delete val="1"/>
      </c:legendEntry>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'[F_Section_4H_Women_in_management_tiers_WA_government sector.xlsx]Input_Women_in_management'!$C$1</c:f>
              <c:strCache>
                <c:ptCount val="1"/>
                <c:pt idx="0">
                  <c:v>Women in management tiers 1-3 combined, public sector quarterly point in time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6A1F-4C87-851B-1AA68D4D9589}"/>
                </c:ext>
              </c:extLst>
            </c:dLbl>
            <c:dLbl>
              <c:idx val="1"/>
              <c:delete val="1"/>
              <c:extLst>
                <c:ext xmlns:c15="http://schemas.microsoft.com/office/drawing/2012/chart" uri="{CE6537A1-D6FC-4f65-9D91-7224C49458BB}"/>
                <c:ext xmlns:c16="http://schemas.microsoft.com/office/drawing/2014/chart" uri="{C3380CC4-5D6E-409C-BE32-E72D297353CC}">
                  <c16:uniqueId val="{00000001-6A1F-4C87-851B-1AA68D4D9589}"/>
                </c:ext>
              </c:extLst>
            </c:dLbl>
            <c:dLbl>
              <c:idx val="3"/>
              <c:delete val="1"/>
              <c:extLst>
                <c:ext xmlns:c15="http://schemas.microsoft.com/office/drawing/2012/chart" uri="{CE6537A1-D6FC-4f65-9D91-7224C49458BB}"/>
                <c:ext xmlns:c16="http://schemas.microsoft.com/office/drawing/2014/chart" uri="{C3380CC4-5D6E-409C-BE32-E72D297353CC}">
                  <c16:uniqueId val="{00000002-6A1F-4C87-851B-1AA68D4D9589}"/>
                </c:ext>
              </c:extLst>
            </c:dLbl>
            <c:dLbl>
              <c:idx val="4"/>
              <c:delete val="1"/>
              <c:extLst>
                <c:ext xmlns:c15="http://schemas.microsoft.com/office/drawing/2012/chart" uri="{CE6537A1-D6FC-4f65-9D91-7224C49458BB}"/>
                <c:ext xmlns:c16="http://schemas.microsoft.com/office/drawing/2014/chart" uri="{C3380CC4-5D6E-409C-BE32-E72D297353CC}">
                  <c16:uniqueId val="{00000003-6A1F-4C87-851B-1AA68D4D9589}"/>
                </c:ext>
              </c:extLst>
            </c:dLbl>
            <c:dLbl>
              <c:idx val="5"/>
              <c:delete val="1"/>
              <c:extLst>
                <c:ext xmlns:c15="http://schemas.microsoft.com/office/drawing/2012/chart" uri="{CE6537A1-D6FC-4f65-9D91-7224C49458BB}"/>
                <c:ext xmlns:c16="http://schemas.microsoft.com/office/drawing/2014/chart" uri="{C3380CC4-5D6E-409C-BE32-E72D297353CC}">
                  <c16:uniqueId val="{00000004-6A1F-4C87-851B-1AA68D4D9589}"/>
                </c:ext>
              </c:extLst>
            </c:dLbl>
            <c:dLbl>
              <c:idx val="7"/>
              <c:delete val="1"/>
              <c:extLst>
                <c:ext xmlns:c15="http://schemas.microsoft.com/office/drawing/2012/chart" uri="{CE6537A1-D6FC-4f65-9D91-7224C49458BB}"/>
                <c:ext xmlns:c16="http://schemas.microsoft.com/office/drawing/2014/chart" uri="{C3380CC4-5D6E-409C-BE32-E72D297353CC}">
                  <c16:uniqueId val="{00000005-6A1F-4C87-851B-1AA68D4D9589}"/>
                </c:ext>
              </c:extLst>
            </c:dLbl>
            <c:dLbl>
              <c:idx val="8"/>
              <c:delete val="1"/>
              <c:extLst>
                <c:ext xmlns:c15="http://schemas.microsoft.com/office/drawing/2012/chart" uri="{CE6537A1-D6FC-4f65-9D91-7224C49458BB}"/>
                <c:ext xmlns:c16="http://schemas.microsoft.com/office/drawing/2014/chart" uri="{C3380CC4-5D6E-409C-BE32-E72D297353CC}">
                  <c16:uniqueId val="{00000006-6A1F-4C87-851B-1AA68D4D9589}"/>
                </c:ext>
              </c:extLst>
            </c:dLbl>
            <c:dLbl>
              <c:idx val="9"/>
              <c:delete val="1"/>
              <c:extLst>
                <c:ext xmlns:c15="http://schemas.microsoft.com/office/drawing/2012/chart" uri="{CE6537A1-D6FC-4f65-9D91-7224C49458BB}"/>
                <c:ext xmlns:c16="http://schemas.microsoft.com/office/drawing/2014/chart" uri="{C3380CC4-5D6E-409C-BE32-E72D297353CC}">
                  <c16:uniqueId val="{00000007-6A1F-4C87-851B-1AA68D4D9589}"/>
                </c:ext>
              </c:extLst>
            </c:dLbl>
            <c:dLbl>
              <c:idx val="11"/>
              <c:delete val="1"/>
              <c:extLst>
                <c:ext xmlns:c15="http://schemas.microsoft.com/office/drawing/2012/chart" uri="{CE6537A1-D6FC-4f65-9D91-7224C49458BB}"/>
                <c:ext xmlns:c16="http://schemas.microsoft.com/office/drawing/2014/chart" uri="{C3380CC4-5D6E-409C-BE32-E72D297353CC}">
                  <c16:uniqueId val="{00000008-6A1F-4C87-851B-1AA68D4D9589}"/>
                </c:ext>
              </c:extLst>
            </c:dLbl>
            <c:dLbl>
              <c:idx val="12"/>
              <c:delete val="1"/>
              <c:extLst>
                <c:ext xmlns:c15="http://schemas.microsoft.com/office/drawing/2012/chart" uri="{CE6537A1-D6FC-4f65-9D91-7224C49458BB}"/>
                <c:ext xmlns:c16="http://schemas.microsoft.com/office/drawing/2014/chart" uri="{C3380CC4-5D6E-409C-BE32-E72D297353CC}">
                  <c16:uniqueId val="{00000009-6A1F-4C87-851B-1AA68D4D9589}"/>
                </c:ext>
              </c:extLst>
            </c:dLbl>
            <c:dLbl>
              <c:idx val="13"/>
              <c:delete val="1"/>
              <c:extLst>
                <c:ext xmlns:c15="http://schemas.microsoft.com/office/drawing/2012/chart" uri="{CE6537A1-D6FC-4f65-9D91-7224C49458BB}"/>
                <c:ext xmlns:c16="http://schemas.microsoft.com/office/drawing/2014/chart" uri="{C3380CC4-5D6E-409C-BE32-E72D297353CC}">
                  <c16:uniqueId val="{0000000A-6A1F-4C87-851B-1AA68D4D9589}"/>
                </c:ext>
              </c:extLst>
            </c:dLbl>
            <c:dLbl>
              <c:idx val="15"/>
              <c:delete val="1"/>
              <c:extLst>
                <c:ext xmlns:c15="http://schemas.microsoft.com/office/drawing/2012/chart" uri="{CE6537A1-D6FC-4f65-9D91-7224C49458BB}"/>
                <c:ext xmlns:c16="http://schemas.microsoft.com/office/drawing/2014/chart" uri="{C3380CC4-5D6E-409C-BE32-E72D297353CC}">
                  <c16:uniqueId val="{0000000B-6A1F-4C87-851B-1AA68D4D9589}"/>
                </c:ext>
              </c:extLst>
            </c:dLbl>
            <c:dLbl>
              <c:idx val="16"/>
              <c:delete val="1"/>
              <c:extLst>
                <c:ext xmlns:c15="http://schemas.microsoft.com/office/drawing/2012/chart" uri="{CE6537A1-D6FC-4f65-9D91-7224C49458BB}"/>
                <c:ext xmlns:c16="http://schemas.microsoft.com/office/drawing/2014/chart" uri="{C3380CC4-5D6E-409C-BE32-E72D297353CC}">
                  <c16:uniqueId val="{0000000C-6A1F-4C87-851B-1AA68D4D9589}"/>
                </c:ext>
              </c:extLst>
            </c:dLbl>
            <c:dLbl>
              <c:idx val="17"/>
              <c:delete val="1"/>
              <c:extLst>
                <c:ext xmlns:c15="http://schemas.microsoft.com/office/drawing/2012/chart" uri="{CE6537A1-D6FC-4f65-9D91-7224C49458BB}"/>
                <c:ext xmlns:c16="http://schemas.microsoft.com/office/drawing/2014/chart" uri="{C3380CC4-5D6E-409C-BE32-E72D297353CC}">
                  <c16:uniqueId val="{0000000D-6A1F-4C87-851B-1AA68D4D9589}"/>
                </c:ext>
              </c:extLst>
            </c:dLbl>
            <c:dLbl>
              <c:idx val="19"/>
              <c:delete val="1"/>
              <c:extLst>
                <c:ext xmlns:c15="http://schemas.microsoft.com/office/drawing/2012/chart" uri="{CE6537A1-D6FC-4f65-9D91-7224C49458BB}"/>
                <c:ext xmlns:c16="http://schemas.microsoft.com/office/drawing/2014/chart" uri="{C3380CC4-5D6E-409C-BE32-E72D297353CC}">
                  <c16:uniqueId val="{0000000E-6A1F-4C87-851B-1AA68D4D9589}"/>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'[F_Section_4H_Women_in_management_tiers_WA_government sector.xlsx]Input_Women_in_management'!$B$2:$B$21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'[F_Section_4H_Women_in_management_tiers_WA_government sector.xlsx]Input_Women_in_management'!$C$2:$C$21</c:f>
              <c:numCache>
                <c:formatCode>General</c:formatCode>
                <c:ptCount val="20"/>
                <c:pt idx="0">
                  <c:v>47.756410256410263</c:v>
                </c:pt>
                <c:pt idx="1">
                  <c:v>47.091243110838953</c:v>
                </c:pt>
                <c:pt idx="2">
                  <c:v>47.095959595959599</c:v>
                </c:pt>
                <c:pt idx="3">
                  <c:v>47.945205479452049</c:v>
                </c:pt>
                <c:pt idx="4">
                  <c:v>49.053254437869818</c:v>
                </c:pt>
                <c:pt idx="5">
                  <c:v>48.622273249138921</c:v>
                </c:pt>
                <c:pt idx="6">
                  <c:v>49.032258064516128</c:v>
                </c:pt>
                <c:pt idx="7">
                  <c:v>48.683404776484998</c:v>
                </c:pt>
                <c:pt idx="8">
                  <c:v>49.305135951661633</c:v>
                </c:pt>
                <c:pt idx="9">
                  <c:v>49.480369515011553</c:v>
                </c:pt>
                <c:pt idx="10">
                  <c:v>49.702026221692492</c:v>
                </c:pt>
                <c:pt idx="11">
                  <c:v>49.97036158861885</c:v>
                </c:pt>
                <c:pt idx="12">
                  <c:v>49.44606413994169</c:v>
                </c:pt>
                <c:pt idx="13">
                  <c:v>48.914167528438469</c:v>
                </c:pt>
                <c:pt idx="14">
                  <c:v>49.073064340239917</c:v>
                </c:pt>
                <c:pt idx="15">
                  <c:v>50.648648648648653</c:v>
                </c:pt>
                <c:pt idx="16">
                  <c:v>50.160085378868743</c:v>
                </c:pt>
                <c:pt idx="17">
                  <c:v>49.971799210377903</c:v>
                </c:pt>
                <c:pt idx="18">
                  <c:v>51.657754010695193</c:v>
                </c:pt>
                <c:pt idx="19">
                  <c:v>52.232383001613769</c:v>
                </c:pt>
              </c:numCache>
            </c:numRef>
          </c:val>
          <c:smooth val="0"/>
          <c:extLst>
            <c:ext xmlns:c16="http://schemas.microsoft.com/office/drawing/2014/chart" uri="{C3380CC4-5D6E-409C-BE32-E72D297353CC}">
              <c16:uniqueId val="{0000000F-6A1F-4C87-851B-1AA68D4D9589}"/>
            </c:ext>
          </c:extLst>
        </c:ser>
        <c:ser>
          <c:idx val="1"/>
          <c:order val="1"/>
          <c:tx>
            <c:strRef>
              <c:f>'[F_Section_4H_Women_in_management_tiers_WA_government sector.xlsx]Input_Women_in_management'!$D$1</c:f>
              <c:strCache>
                <c:ptCount val="1"/>
                <c:pt idx="0">
                  <c:v>Women in management tiers 1-3 combined, public sector moving average</c:v>
                </c:pt>
              </c:strCache>
            </c:strRef>
          </c:tx>
          <c:spPr>
            <a:ln w="28575">
              <a:solidFill>
                <a:srgbClr val="AF85B7"/>
              </a:solidFill>
              <a:prstDash val="sysDot"/>
            </a:ln>
          </c:spPr>
          <c:marker>
            <c:symbol val="none"/>
          </c:marker>
          <c:cat>
            <c:strRef>
              <c:f>'[F_Section_4H_Women_in_management_tiers_WA_government sector.xlsx]Input_Women_in_management'!$B$2:$B$21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'[F_Section_4H_Women_in_management_tiers_WA_government sector.xlsx]Input_Women_in_management'!$D$2:$D$21</c:f>
              <c:numCache>
                <c:formatCode>General</c:formatCode>
                <c:ptCount val="20"/>
                <c:pt idx="0">
                  <c:v>46.240679955112718</c:v>
                </c:pt>
                <c:pt idx="1">
                  <c:v>46.837704935383577</c:v>
                </c:pt>
                <c:pt idx="2">
                  <c:v>47.000098824398407</c:v>
                </c:pt>
                <c:pt idx="3">
                  <c:v>47.472204610665223</c:v>
                </c:pt>
                <c:pt idx="4">
                  <c:v>47.796415656030099</c:v>
                </c:pt>
                <c:pt idx="5">
                  <c:v>48.179173190605098</c:v>
                </c:pt>
                <c:pt idx="6">
                  <c:v>48.663247807744227</c:v>
                </c:pt>
                <c:pt idx="7">
                  <c:v>48.847797632002468</c:v>
                </c:pt>
                <c:pt idx="8">
                  <c:v>48.910768010450433</c:v>
                </c:pt>
                <c:pt idx="9">
                  <c:v>49.125292076918583</c:v>
                </c:pt>
                <c:pt idx="10">
                  <c:v>49.292734116212657</c:v>
                </c:pt>
                <c:pt idx="11">
                  <c:v>49.61447331924613</c:v>
                </c:pt>
                <c:pt idx="12">
                  <c:v>49.649705366316148</c:v>
                </c:pt>
                <c:pt idx="13">
                  <c:v>49.508154869672872</c:v>
                </c:pt>
                <c:pt idx="14">
                  <c:v>49.35091439930973</c:v>
                </c:pt>
                <c:pt idx="15">
                  <c:v>49.520486164317177</c:v>
                </c:pt>
                <c:pt idx="16">
                  <c:v>49.698991474048952</c:v>
                </c:pt>
                <c:pt idx="17">
                  <c:v>49.963399394533802</c:v>
                </c:pt>
                <c:pt idx="18">
                  <c:v>50.609571812147621</c:v>
                </c:pt>
                <c:pt idx="19">
                  <c:v>51.005505400388898</c:v>
                </c:pt>
              </c:numCache>
            </c:numRef>
          </c:val>
          <c:smooth val="1"/>
          <c:extLst>
            <c:ext xmlns:c16="http://schemas.microsoft.com/office/drawing/2014/chart" uri="{C3380CC4-5D6E-409C-BE32-E72D297353CC}">
              <c16:uniqueId val="{00000010-6A1F-4C87-851B-1AA68D4D9589}"/>
            </c:ext>
          </c:extLst>
        </c:ser>
        <c:ser>
          <c:idx val="2"/>
          <c:order val="2"/>
          <c:tx>
            <c:strRef>
              <c:f>'[F_Section_4H_Women_in_management_tiers_WA_government sector.xlsx]Input_Women_in_management'!$E$1</c:f>
              <c:strCache>
                <c:ptCount val="1"/>
                <c:pt idx="0">
                  <c:v>Women in management tiers 1-3 combined, other government entities, March</c:v>
                </c:pt>
              </c:strCache>
            </c:strRef>
          </c:tx>
          <c:spPr>
            <a:ln w="28575">
              <a:solidFill>
                <a:srgbClr val="6390C6"/>
              </a:solidFill>
            </a:ln>
          </c:spPr>
          <c:marker>
            <c:symbol val="circle"/>
            <c:size val="7"/>
            <c:spPr>
              <a:solidFill>
                <a:srgbClr val="6390C6"/>
              </a:solidFill>
              <a:ln>
                <a:solidFill>
                  <a:srgbClr val="6390C6"/>
                </a:solidFill>
              </a:ln>
            </c:spPr>
          </c:marker>
          <c:dLbls>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'[F_Section_4H_Women_in_management_tiers_WA_government sector.xlsx]Input_Women_in_management'!$B$2:$B$21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'[F_Section_4H_Women_in_management_tiers_WA_government sector.xlsx]Input_Women_in_management'!$E$2:$E$21</c:f>
              <c:numCache>
                <c:formatCode>General</c:formatCode>
                <c:ptCount val="20"/>
                <c:pt idx="2">
                  <c:v>35.633116883116877</c:v>
                </c:pt>
                <c:pt idx="6">
                  <c:v>35.633116883116877</c:v>
                </c:pt>
                <c:pt idx="10">
                  <c:v>36.340746957616453</c:v>
                </c:pt>
                <c:pt idx="14">
                  <c:v>37.9237288135593</c:v>
                </c:pt>
                <c:pt idx="18">
                  <c:v>38.978388998035363</c:v>
                </c:pt>
              </c:numCache>
            </c:numRef>
          </c:val>
          <c:smooth val="1"/>
          <c:extLst>
            <c:ext xmlns:c16="http://schemas.microsoft.com/office/drawing/2014/chart" uri="{C3380CC4-5D6E-409C-BE32-E72D297353CC}">
              <c16:uniqueId val="{00000011-6A1F-4C87-851B-1AA68D4D9589}"/>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55"/>
          <c:min val="25"/>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Input_FTE!$C$1</c:f>
              <c:strCache>
                <c:ptCount val="1"/>
                <c:pt idx="0">
                  <c:v>Public sector FTE, quarterly point in time</c:v>
                </c:pt>
              </c:strCache>
            </c:strRef>
          </c:tx>
          <c:spPr>
            <a:ln w="28575">
              <a:solidFill>
                <a:srgbClr val="AF85B7"/>
              </a:solidFill>
              <a:prstDash val="sysDot"/>
            </a:ln>
          </c:spPr>
          <c:marker>
            <c:symbol val="diamond"/>
            <c:size val="7"/>
            <c:spPr>
              <a:solidFill>
                <a:srgbClr val="AF85B7"/>
              </a:solidFill>
              <a:ln>
                <a:solidFill>
                  <a:srgbClr val="AF85B7"/>
                </a:solidFill>
              </a:ln>
            </c:spPr>
          </c:marker>
          <c:cat>
            <c:strRef>
              <c:f>Input_FTE!$B$2:$B$21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Input_FTE!$C$2:$C$21</c:f>
              <c:numCache>
                <c:formatCode>_-* #,##0_-;\-* #,##0_-;_-* "-"??_-;_-@_-</c:formatCode>
                <c:ptCount val="20"/>
                <c:pt idx="0">
                  <c:v>111254.96696400001</c:v>
                </c:pt>
                <c:pt idx="1">
                  <c:v>108601.292671667</c:v>
                </c:pt>
                <c:pt idx="2">
                  <c:v>112099.215923</c:v>
                </c:pt>
                <c:pt idx="3">
                  <c:v>111931.656561</c:v>
                </c:pt>
                <c:pt idx="4">
                  <c:v>113367.198565</c:v>
                </c:pt>
                <c:pt idx="5">
                  <c:v>113142.78094500001</c:v>
                </c:pt>
                <c:pt idx="6">
                  <c:v>115548.44232099999</c:v>
                </c:pt>
                <c:pt idx="7">
                  <c:v>116878.059557</c:v>
                </c:pt>
                <c:pt idx="8">
                  <c:v>117772.919803</c:v>
                </c:pt>
                <c:pt idx="9">
                  <c:v>117664.08295900001</c:v>
                </c:pt>
                <c:pt idx="10">
                  <c:v>120357.16883973499</c:v>
                </c:pt>
                <c:pt idx="11">
                  <c:v>121297.54170183701</c:v>
                </c:pt>
                <c:pt idx="12">
                  <c:v>123033.98164621</c:v>
                </c:pt>
                <c:pt idx="13">
                  <c:v>122361.042839413</c:v>
                </c:pt>
                <c:pt idx="14">
                  <c:v>125623.096612465</c:v>
                </c:pt>
                <c:pt idx="15">
                  <c:v>125622.940729532</c:v>
                </c:pt>
                <c:pt idx="16">
                  <c:v>126421.130783224</c:v>
                </c:pt>
                <c:pt idx="17">
                  <c:v>126135.568286669</c:v>
                </c:pt>
                <c:pt idx="18">
                  <c:v>128783.99820391</c:v>
                </c:pt>
                <c:pt idx="19">
                  <c:v>128745.211551734</c:v>
                </c:pt>
              </c:numCache>
            </c:numRef>
          </c:val>
          <c:smooth val="0"/>
          <c:extLst>
            <c:ext xmlns:c16="http://schemas.microsoft.com/office/drawing/2014/chart" uri="{C3380CC4-5D6E-409C-BE32-E72D297353CC}">
              <c16:uniqueId val="{00000000-F20B-4976-948F-7AE6CACEC863}"/>
            </c:ext>
          </c:extLst>
        </c:ser>
        <c:ser>
          <c:idx val="1"/>
          <c:order val="1"/>
          <c:tx>
            <c:strRef>
              <c:f>Input_FTE!$D$1</c:f>
              <c:strCache>
                <c:ptCount val="1"/>
                <c:pt idx="0">
                  <c:v>Public sector FTE, annual average</c:v>
                </c:pt>
              </c:strCache>
            </c:strRef>
          </c:tx>
          <c:spPr>
            <a:ln w="28575">
              <a:solidFill>
                <a:srgbClr val="B1388D"/>
              </a:solidFill>
            </a:ln>
          </c:spPr>
          <c:marker>
            <c:symbol val="circle"/>
            <c:size val="7"/>
            <c:spPr>
              <a:solidFill>
                <a:srgbClr val="B1388D"/>
              </a:solidFill>
              <a:ln>
                <a:solidFill>
                  <a:srgbClr val="B1388D"/>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1-F20B-4976-948F-7AE6CACEC863}"/>
                </c:ext>
              </c:extLst>
            </c:dLbl>
            <c:dLbl>
              <c:idx val="1"/>
              <c:delete val="1"/>
              <c:extLst>
                <c:ext xmlns:c15="http://schemas.microsoft.com/office/drawing/2012/chart" uri="{CE6537A1-D6FC-4f65-9D91-7224C49458BB}"/>
                <c:ext xmlns:c16="http://schemas.microsoft.com/office/drawing/2014/chart" uri="{C3380CC4-5D6E-409C-BE32-E72D297353CC}">
                  <c16:uniqueId val="{00000002-F20B-4976-948F-7AE6CACEC863}"/>
                </c:ext>
              </c:extLst>
            </c:dLbl>
            <c:dLbl>
              <c:idx val="2"/>
              <c:delete val="1"/>
              <c:extLst>
                <c:ext xmlns:c15="http://schemas.microsoft.com/office/drawing/2012/chart" uri="{CE6537A1-D6FC-4f65-9D91-7224C49458BB}"/>
                <c:ext xmlns:c16="http://schemas.microsoft.com/office/drawing/2014/chart" uri="{C3380CC4-5D6E-409C-BE32-E72D297353CC}">
                  <c16:uniqueId val="{00000003-F20B-4976-948F-7AE6CACEC863}"/>
                </c:ext>
              </c:extLst>
            </c:dLbl>
            <c:dLbl>
              <c:idx val="4"/>
              <c:delete val="1"/>
              <c:extLst>
                <c:ext xmlns:c15="http://schemas.microsoft.com/office/drawing/2012/chart" uri="{CE6537A1-D6FC-4f65-9D91-7224C49458BB}"/>
                <c:ext xmlns:c16="http://schemas.microsoft.com/office/drawing/2014/chart" uri="{C3380CC4-5D6E-409C-BE32-E72D297353CC}">
                  <c16:uniqueId val="{00000004-F20B-4976-948F-7AE6CACEC863}"/>
                </c:ext>
              </c:extLst>
            </c:dLbl>
            <c:dLbl>
              <c:idx val="5"/>
              <c:delete val="1"/>
              <c:extLst>
                <c:ext xmlns:c15="http://schemas.microsoft.com/office/drawing/2012/chart" uri="{CE6537A1-D6FC-4f65-9D91-7224C49458BB}"/>
                <c:ext xmlns:c16="http://schemas.microsoft.com/office/drawing/2014/chart" uri="{C3380CC4-5D6E-409C-BE32-E72D297353CC}">
                  <c16:uniqueId val="{00000005-F20B-4976-948F-7AE6CACEC863}"/>
                </c:ext>
              </c:extLst>
            </c:dLbl>
            <c:dLbl>
              <c:idx val="6"/>
              <c:delete val="1"/>
              <c:extLst>
                <c:ext xmlns:c15="http://schemas.microsoft.com/office/drawing/2012/chart" uri="{CE6537A1-D6FC-4f65-9D91-7224C49458BB}"/>
                <c:ext xmlns:c16="http://schemas.microsoft.com/office/drawing/2014/chart" uri="{C3380CC4-5D6E-409C-BE32-E72D297353CC}">
                  <c16:uniqueId val="{00000006-F20B-4976-948F-7AE6CACEC863}"/>
                </c:ext>
              </c:extLst>
            </c:dLbl>
            <c:dLbl>
              <c:idx val="8"/>
              <c:delete val="1"/>
              <c:extLst>
                <c:ext xmlns:c15="http://schemas.microsoft.com/office/drawing/2012/chart" uri="{CE6537A1-D6FC-4f65-9D91-7224C49458BB}"/>
                <c:ext xmlns:c16="http://schemas.microsoft.com/office/drawing/2014/chart" uri="{C3380CC4-5D6E-409C-BE32-E72D297353CC}">
                  <c16:uniqueId val="{00000007-F20B-4976-948F-7AE6CACEC863}"/>
                </c:ext>
              </c:extLst>
            </c:dLbl>
            <c:dLbl>
              <c:idx val="9"/>
              <c:delete val="1"/>
              <c:extLst>
                <c:ext xmlns:c15="http://schemas.microsoft.com/office/drawing/2012/chart" uri="{CE6537A1-D6FC-4f65-9D91-7224C49458BB}"/>
                <c:ext xmlns:c16="http://schemas.microsoft.com/office/drawing/2014/chart" uri="{C3380CC4-5D6E-409C-BE32-E72D297353CC}">
                  <c16:uniqueId val="{00000008-F20B-4976-948F-7AE6CACEC863}"/>
                </c:ext>
              </c:extLst>
            </c:dLbl>
            <c:dLbl>
              <c:idx val="10"/>
              <c:delete val="1"/>
              <c:extLst>
                <c:ext xmlns:c15="http://schemas.microsoft.com/office/drawing/2012/chart" uri="{CE6537A1-D6FC-4f65-9D91-7224C49458BB}"/>
                <c:ext xmlns:c16="http://schemas.microsoft.com/office/drawing/2014/chart" uri="{C3380CC4-5D6E-409C-BE32-E72D297353CC}">
                  <c16:uniqueId val="{00000009-F20B-4976-948F-7AE6CACEC863}"/>
                </c:ext>
              </c:extLst>
            </c:dLbl>
            <c:dLbl>
              <c:idx val="12"/>
              <c:delete val="1"/>
              <c:extLst>
                <c:ext xmlns:c15="http://schemas.microsoft.com/office/drawing/2012/chart" uri="{CE6537A1-D6FC-4f65-9D91-7224C49458BB}"/>
                <c:ext xmlns:c16="http://schemas.microsoft.com/office/drawing/2014/chart" uri="{C3380CC4-5D6E-409C-BE32-E72D297353CC}">
                  <c16:uniqueId val="{0000000A-F20B-4976-948F-7AE6CACEC863}"/>
                </c:ext>
              </c:extLst>
            </c:dLbl>
            <c:dLbl>
              <c:idx val="13"/>
              <c:delete val="1"/>
              <c:extLst>
                <c:ext xmlns:c15="http://schemas.microsoft.com/office/drawing/2012/chart" uri="{CE6537A1-D6FC-4f65-9D91-7224C49458BB}"/>
                <c:ext xmlns:c16="http://schemas.microsoft.com/office/drawing/2014/chart" uri="{C3380CC4-5D6E-409C-BE32-E72D297353CC}">
                  <c16:uniqueId val="{0000000B-F20B-4976-948F-7AE6CACEC863}"/>
                </c:ext>
              </c:extLst>
            </c:dLbl>
            <c:dLbl>
              <c:idx val="14"/>
              <c:delete val="1"/>
              <c:extLst>
                <c:ext xmlns:c15="http://schemas.microsoft.com/office/drawing/2012/chart" uri="{CE6537A1-D6FC-4f65-9D91-7224C49458BB}"/>
                <c:ext xmlns:c16="http://schemas.microsoft.com/office/drawing/2014/chart" uri="{C3380CC4-5D6E-409C-BE32-E72D297353CC}">
                  <c16:uniqueId val="{0000000C-F20B-4976-948F-7AE6CACEC863}"/>
                </c:ext>
              </c:extLst>
            </c:dLbl>
            <c:dLbl>
              <c:idx val="16"/>
              <c:delete val="1"/>
              <c:extLst>
                <c:ext xmlns:c15="http://schemas.microsoft.com/office/drawing/2012/chart" uri="{CE6537A1-D6FC-4f65-9D91-7224C49458BB}"/>
                <c:ext xmlns:c16="http://schemas.microsoft.com/office/drawing/2014/chart" uri="{C3380CC4-5D6E-409C-BE32-E72D297353CC}">
                  <c16:uniqueId val="{0000000D-F20B-4976-948F-7AE6CACEC863}"/>
                </c:ext>
              </c:extLst>
            </c:dLbl>
            <c:dLbl>
              <c:idx val="17"/>
              <c:delete val="1"/>
              <c:extLst>
                <c:ext xmlns:c15="http://schemas.microsoft.com/office/drawing/2012/chart" uri="{CE6537A1-D6FC-4f65-9D91-7224C49458BB}"/>
                <c:ext xmlns:c16="http://schemas.microsoft.com/office/drawing/2014/chart" uri="{C3380CC4-5D6E-409C-BE32-E72D297353CC}">
                  <c16:uniqueId val="{0000000E-F20B-4976-948F-7AE6CACEC863}"/>
                </c:ext>
              </c:extLst>
            </c:dLbl>
            <c:dLbl>
              <c:idx val="18"/>
              <c:delete val="1"/>
              <c:extLst>
                <c:ext xmlns:c15="http://schemas.microsoft.com/office/drawing/2012/chart" uri="{CE6537A1-D6FC-4f65-9D91-7224C49458BB}"/>
                <c:ext xmlns:c16="http://schemas.microsoft.com/office/drawing/2014/chart" uri="{C3380CC4-5D6E-409C-BE32-E72D297353CC}">
                  <c16:uniqueId val="{0000000F-F20B-4976-948F-7AE6CACEC863}"/>
                </c:ext>
              </c:extLst>
            </c:dLbl>
            <c:numFmt formatCode="#,##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Input_FTE!$B$2:$B$21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Input_FTE!$D$2:$D$21</c:f>
              <c:numCache>
                <c:formatCode>_-* #,##0_-;\-* #,##0_-;_-* "-"??_-;_-@_-</c:formatCode>
                <c:ptCount val="20"/>
                <c:pt idx="0">
                  <c:v>110100.77795824999</c:v>
                </c:pt>
                <c:pt idx="1">
                  <c:v>110158.2261834168</c:v>
                </c:pt>
                <c:pt idx="2">
                  <c:v>110582.0078246667</c:v>
                </c:pt>
                <c:pt idx="3">
                  <c:v>110971.7830299168</c:v>
                </c:pt>
                <c:pt idx="4">
                  <c:v>111499.8409301667</c:v>
                </c:pt>
                <c:pt idx="5">
                  <c:v>112635.21299850001</c:v>
                </c:pt>
                <c:pt idx="6">
                  <c:v>113497.519598</c:v>
                </c:pt>
                <c:pt idx="7">
                  <c:v>114734.120347</c:v>
                </c:pt>
                <c:pt idx="8">
                  <c:v>115835.5506565</c:v>
                </c:pt>
                <c:pt idx="9">
                  <c:v>116965.87616</c:v>
                </c:pt>
                <c:pt idx="10">
                  <c:v>118168.05778968371</c:v>
                </c:pt>
                <c:pt idx="11">
                  <c:v>119272.92832589299</c:v>
                </c:pt>
                <c:pt idx="12">
                  <c:v>120588.1937866955</c:v>
                </c:pt>
                <c:pt idx="13">
                  <c:v>121762.4337567988</c:v>
                </c:pt>
                <c:pt idx="14">
                  <c:v>123078.9156999812</c:v>
                </c:pt>
                <c:pt idx="15">
                  <c:v>124160.26545690501</c:v>
                </c:pt>
                <c:pt idx="16">
                  <c:v>125007.05274115851</c:v>
                </c:pt>
                <c:pt idx="17">
                  <c:v>125950.6841029725</c:v>
                </c:pt>
                <c:pt idx="18">
                  <c:v>126740.9095008337</c:v>
                </c:pt>
                <c:pt idx="19">
                  <c:v>127521.4772063842</c:v>
                </c:pt>
              </c:numCache>
            </c:numRef>
          </c:val>
          <c:smooth val="1"/>
          <c:extLst>
            <c:ext xmlns:c16="http://schemas.microsoft.com/office/drawing/2014/chart" uri="{C3380CC4-5D6E-409C-BE32-E72D297353CC}">
              <c16:uniqueId val="{00000010-F20B-4976-948F-7AE6CACEC863}"/>
            </c:ext>
          </c:extLst>
        </c:ser>
        <c:dLbls>
          <c:showLegendKey val="0"/>
          <c:showVal val="0"/>
          <c:showCatName val="0"/>
          <c:showSerName val="0"/>
          <c:showPercent val="0"/>
          <c:showBubbleSize val="0"/>
        </c:dLbls>
        <c:marker val="1"/>
        <c:smooth val="0"/>
        <c:axId val="50010001"/>
        <c:axId val="50010002"/>
      </c:lineChart>
      <c:lineChart>
        <c:grouping val="standard"/>
        <c:varyColors val="0"/>
        <c:ser>
          <c:idx val="2"/>
          <c:order val="2"/>
          <c:tx>
            <c:strRef>
              <c:f>Input_FTE!$E$1</c:f>
              <c:strCache>
                <c:ptCount val="1"/>
                <c:pt idx="0">
                  <c:v>Other government entities FTE, March</c:v>
                </c:pt>
              </c:strCache>
            </c:strRef>
          </c:tx>
          <c:spPr>
            <a:ln w="28575">
              <a:solidFill>
                <a:srgbClr val="6390C6"/>
              </a:solidFill>
            </a:ln>
          </c:spPr>
          <c:marker>
            <c:symbol val="circle"/>
            <c:size val="7"/>
            <c:spPr>
              <a:solidFill>
                <a:srgbClr val="6390C6"/>
              </a:solidFill>
              <a:ln>
                <a:solidFill>
                  <a:srgbClr val="6390C6"/>
                </a:solidFill>
              </a:ln>
            </c:spPr>
          </c:marker>
          <c:dLbls>
            <c:numFmt formatCode="#,##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Input_FTE!$B$2:$B$21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Input_FTE!$E$2:$E$21</c:f>
              <c:numCache>
                <c:formatCode>General</c:formatCode>
                <c:ptCount val="20"/>
                <c:pt idx="2" formatCode="_-* #,##0_-;\-* #,##0_-;_-* &quot;-&quot;??_-;_-@_-">
                  <c:v>43020</c:v>
                </c:pt>
                <c:pt idx="6" formatCode="_-* #,##0_-;\-* #,##0_-;_-* &quot;-&quot;??_-;_-@_-">
                  <c:v>44102</c:v>
                </c:pt>
                <c:pt idx="10" formatCode="_-* #,##0_-;\-* #,##0_-;_-* &quot;-&quot;??_-;_-@_-">
                  <c:v>45506</c:v>
                </c:pt>
                <c:pt idx="14" formatCode="_-* #,##0_-;\-* #,##0_-;_-* &quot;-&quot;??_-;_-@_-">
                  <c:v>46308</c:v>
                </c:pt>
                <c:pt idx="18" formatCode="_-* #,##0_-;\-* #,##0_-;_-* &quot;-&quot;??_-;_-@_-">
                  <c:v>47938.702122620249</c:v>
                </c:pt>
              </c:numCache>
            </c:numRef>
          </c:val>
          <c:smooth val="1"/>
          <c:extLst>
            <c:ext xmlns:c16="http://schemas.microsoft.com/office/drawing/2014/chart" uri="{C3380CC4-5D6E-409C-BE32-E72D297353CC}">
              <c16:uniqueId val="{00000011-F20B-4976-948F-7AE6CACEC863}"/>
            </c:ext>
          </c:extLst>
        </c:ser>
        <c:dLbls>
          <c:showLegendKey val="0"/>
          <c:showVal val="0"/>
          <c:showCatName val="0"/>
          <c:showSerName val="0"/>
          <c:showPercent val="0"/>
          <c:showBubbleSize val="0"/>
        </c:dLbls>
        <c:marker val="1"/>
        <c:smooth val="0"/>
        <c:axId val="50010003"/>
        <c:axId val="50010004"/>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140000"/>
          <c:min val="80000"/>
        </c:scaling>
        <c:delete val="0"/>
        <c:axPos val="l"/>
        <c:numFmt formatCode="_-* #,##0_-;\-* #,##0_-;_-* &quot;-&quot;??_-;_-@_-" sourceLinked="1"/>
        <c:majorTickMark val="none"/>
        <c:minorTickMark val="none"/>
        <c:tickLblPos val="none"/>
        <c:spPr>
          <a:ln>
            <a:noFill/>
          </a:ln>
        </c:spPr>
        <c:crossAx val="50010001"/>
        <c:crosses val="autoZero"/>
        <c:crossBetween val="between"/>
      </c:valAx>
      <c:valAx>
        <c:axId val="50010004"/>
        <c:scaling>
          <c:orientation val="minMax"/>
          <c:max val="200000"/>
          <c:min val="0"/>
        </c:scaling>
        <c:delete val="0"/>
        <c:axPos val="r"/>
        <c:numFmt formatCode="General" sourceLinked="1"/>
        <c:majorTickMark val="none"/>
        <c:minorTickMark val="none"/>
        <c:tickLblPos val="none"/>
        <c:spPr>
          <a:ln>
            <a:noFill/>
          </a:ln>
        </c:spPr>
        <c:crossAx val="50010003"/>
        <c:crosses val="max"/>
        <c:crossBetween val="between"/>
      </c:valAx>
      <c:catAx>
        <c:axId val="50010003"/>
        <c:scaling>
          <c:orientation val="minMax"/>
        </c:scaling>
        <c:delete val="1"/>
        <c:axPos val="b"/>
        <c:numFmt formatCode="General" sourceLinked="1"/>
        <c:majorTickMark val="out"/>
        <c:minorTickMark val="none"/>
        <c:tickLblPos val="none"/>
        <c:crossAx val="50010004"/>
        <c:crosses val="autoZero"/>
        <c:auto val="1"/>
        <c:lblAlgn val="ctr"/>
        <c:lblOffset val="100"/>
        <c:noMultiLvlLbl val="0"/>
      </c:cat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933855526544822E-2"/>
          <c:y val="3.4591194968553458E-2"/>
          <c:w val="0.95213228894691038"/>
          <c:h val="0.58784479770217402"/>
        </c:manualLayout>
      </c:layout>
      <c:lineChart>
        <c:grouping val="standard"/>
        <c:varyColors val="0"/>
        <c:ser>
          <c:idx val="0"/>
          <c:order val="0"/>
          <c:tx>
            <c:strRef>
              <c:f>[F_Section_4I_Women_in_management_tiers_WA_public_sector.xlsx]Input_Women_in_management_PS!$C$1</c:f>
              <c:strCache>
                <c:ptCount val="1"/>
                <c:pt idx="0">
                  <c:v>Public sector women in MT1, quarterly point in time</c:v>
                </c:pt>
              </c:strCache>
            </c:strRef>
          </c:tx>
          <c:spPr>
            <a:ln w="28575">
              <a:solidFill>
                <a:srgbClr val="3C455A"/>
              </a:solidFill>
            </a:ln>
          </c:spPr>
          <c:marker>
            <c:symbol val="circle"/>
            <c:size val="7"/>
            <c:spPr>
              <a:solidFill>
                <a:srgbClr val="3C455A"/>
              </a:solidFill>
              <a:ln>
                <a:solidFill>
                  <a:srgbClr val="3C455A"/>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0-5FCB-4205-83E7-B1FDD04EF6E8}"/>
                </c:ext>
              </c:extLst>
            </c:dLbl>
            <c:dLbl>
              <c:idx val="1"/>
              <c:delete val="1"/>
              <c:extLst>
                <c:ext xmlns:c15="http://schemas.microsoft.com/office/drawing/2012/chart" uri="{CE6537A1-D6FC-4f65-9D91-7224C49458BB}"/>
                <c:ext xmlns:c16="http://schemas.microsoft.com/office/drawing/2014/chart" uri="{C3380CC4-5D6E-409C-BE32-E72D297353CC}">
                  <c16:uniqueId val="{00000001-5FCB-4205-83E7-B1FDD04EF6E8}"/>
                </c:ext>
              </c:extLst>
            </c:dLbl>
            <c:dLbl>
              <c:idx val="3"/>
              <c:delete val="1"/>
              <c:extLst>
                <c:ext xmlns:c15="http://schemas.microsoft.com/office/drawing/2012/chart" uri="{CE6537A1-D6FC-4f65-9D91-7224C49458BB}"/>
                <c:ext xmlns:c16="http://schemas.microsoft.com/office/drawing/2014/chart" uri="{C3380CC4-5D6E-409C-BE32-E72D297353CC}">
                  <c16:uniqueId val="{00000002-5FCB-4205-83E7-B1FDD04EF6E8}"/>
                </c:ext>
              </c:extLst>
            </c:dLbl>
            <c:dLbl>
              <c:idx val="4"/>
              <c:delete val="1"/>
              <c:extLst>
                <c:ext xmlns:c15="http://schemas.microsoft.com/office/drawing/2012/chart" uri="{CE6537A1-D6FC-4f65-9D91-7224C49458BB}"/>
                <c:ext xmlns:c16="http://schemas.microsoft.com/office/drawing/2014/chart" uri="{C3380CC4-5D6E-409C-BE32-E72D297353CC}">
                  <c16:uniqueId val="{00000003-5FCB-4205-83E7-B1FDD04EF6E8}"/>
                </c:ext>
              </c:extLst>
            </c:dLbl>
            <c:dLbl>
              <c:idx val="5"/>
              <c:delete val="1"/>
              <c:extLst>
                <c:ext xmlns:c15="http://schemas.microsoft.com/office/drawing/2012/chart" uri="{CE6537A1-D6FC-4f65-9D91-7224C49458BB}"/>
                <c:ext xmlns:c16="http://schemas.microsoft.com/office/drawing/2014/chart" uri="{C3380CC4-5D6E-409C-BE32-E72D297353CC}">
                  <c16:uniqueId val="{00000004-5FCB-4205-83E7-B1FDD04EF6E8}"/>
                </c:ext>
              </c:extLst>
            </c:dLbl>
            <c:dLbl>
              <c:idx val="7"/>
              <c:delete val="1"/>
              <c:extLst>
                <c:ext xmlns:c15="http://schemas.microsoft.com/office/drawing/2012/chart" uri="{CE6537A1-D6FC-4f65-9D91-7224C49458BB}"/>
                <c:ext xmlns:c16="http://schemas.microsoft.com/office/drawing/2014/chart" uri="{C3380CC4-5D6E-409C-BE32-E72D297353CC}">
                  <c16:uniqueId val="{00000005-5FCB-4205-83E7-B1FDD04EF6E8}"/>
                </c:ext>
              </c:extLst>
            </c:dLbl>
            <c:dLbl>
              <c:idx val="8"/>
              <c:delete val="1"/>
              <c:extLst>
                <c:ext xmlns:c15="http://schemas.microsoft.com/office/drawing/2012/chart" uri="{CE6537A1-D6FC-4f65-9D91-7224C49458BB}"/>
                <c:ext xmlns:c16="http://schemas.microsoft.com/office/drawing/2014/chart" uri="{C3380CC4-5D6E-409C-BE32-E72D297353CC}">
                  <c16:uniqueId val="{00000006-5FCB-4205-83E7-B1FDD04EF6E8}"/>
                </c:ext>
              </c:extLst>
            </c:dLbl>
            <c:dLbl>
              <c:idx val="9"/>
              <c:delete val="1"/>
              <c:extLst>
                <c:ext xmlns:c15="http://schemas.microsoft.com/office/drawing/2012/chart" uri="{CE6537A1-D6FC-4f65-9D91-7224C49458BB}"/>
                <c:ext xmlns:c16="http://schemas.microsoft.com/office/drawing/2014/chart" uri="{C3380CC4-5D6E-409C-BE32-E72D297353CC}">
                  <c16:uniqueId val="{00000007-5FCB-4205-83E7-B1FDD04EF6E8}"/>
                </c:ext>
              </c:extLst>
            </c:dLbl>
            <c:dLbl>
              <c:idx val="10"/>
              <c:layout>
                <c:manualLayout>
                  <c:x val="-4.5354741884418494E-2"/>
                  <c:y val="6.6488749974955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EE-4056-9B65-753F153CE052}"/>
                </c:ext>
              </c:extLst>
            </c:dLbl>
            <c:dLbl>
              <c:idx val="11"/>
              <c:delete val="1"/>
              <c:extLst>
                <c:ext xmlns:c15="http://schemas.microsoft.com/office/drawing/2012/chart" uri="{CE6537A1-D6FC-4f65-9D91-7224C49458BB}"/>
                <c:ext xmlns:c16="http://schemas.microsoft.com/office/drawing/2014/chart" uri="{C3380CC4-5D6E-409C-BE32-E72D297353CC}">
                  <c16:uniqueId val="{00000008-5FCB-4205-83E7-B1FDD04EF6E8}"/>
                </c:ext>
              </c:extLst>
            </c:dLbl>
            <c:dLbl>
              <c:idx val="12"/>
              <c:delete val="1"/>
              <c:extLst>
                <c:ext xmlns:c15="http://schemas.microsoft.com/office/drawing/2012/chart" uri="{CE6537A1-D6FC-4f65-9D91-7224C49458BB}"/>
                <c:ext xmlns:c16="http://schemas.microsoft.com/office/drawing/2014/chart" uri="{C3380CC4-5D6E-409C-BE32-E72D297353CC}">
                  <c16:uniqueId val="{00000009-5FCB-4205-83E7-B1FDD04EF6E8}"/>
                </c:ext>
              </c:extLst>
            </c:dLbl>
            <c:dLbl>
              <c:idx val="13"/>
              <c:delete val="1"/>
              <c:extLst>
                <c:ext xmlns:c15="http://schemas.microsoft.com/office/drawing/2012/chart" uri="{CE6537A1-D6FC-4f65-9D91-7224C49458BB}"/>
                <c:ext xmlns:c16="http://schemas.microsoft.com/office/drawing/2014/chart" uri="{C3380CC4-5D6E-409C-BE32-E72D297353CC}">
                  <c16:uniqueId val="{0000000A-5FCB-4205-83E7-B1FDD04EF6E8}"/>
                </c:ext>
              </c:extLst>
            </c:dLbl>
            <c:dLbl>
              <c:idx val="15"/>
              <c:delete val="1"/>
              <c:extLst>
                <c:ext xmlns:c15="http://schemas.microsoft.com/office/drawing/2012/chart" uri="{CE6537A1-D6FC-4f65-9D91-7224C49458BB}"/>
                <c:ext xmlns:c16="http://schemas.microsoft.com/office/drawing/2014/chart" uri="{C3380CC4-5D6E-409C-BE32-E72D297353CC}">
                  <c16:uniqueId val="{0000000B-5FCB-4205-83E7-B1FDD04EF6E8}"/>
                </c:ext>
              </c:extLst>
            </c:dLbl>
            <c:dLbl>
              <c:idx val="16"/>
              <c:delete val="1"/>
              <c:extLst>
                <c:ext xmlns:c15="http://schemas.microsoft.com/office/drawing/2012/chart" uri="{CE6537A1-D6FC-4f65-9D91-7224C49458BB}"/>
                <c:ext xmlns:c16="http://schemas.microsoft.com/office/drawing/2014/chart" uri="{C3380CC4-5D6E-409C-BE32-E72D297353CC}">
                  <c16:uniqueId val="{0000000C-5FCB-4205-83E7-B1FDD04EF6E8}"/>
                </c:ext>
              </c:extLst>
            </c:dLbl>
            <c:dLbl>
              <c:idx val="17"/>
              <c:delete val="1"/>
              <c:extLst>
                <c:ext xmlns:c15="http://schemas.microsoft.com/office/drawing/2012/chart" uri="{CE6537A1-D6FC-4f65-9D91-7224C49458BB}"/>
                <c:ext xmlns:c16="http://schemas.microsoft.com/office/drawing/2014/chart" uri="{C3380CC4-5D6E-409C-BE32-E72D297353CC}">
                  <c16:uniqueId val="{0000000D-5FCB-4205-83E7-B1FDD04EF6E8}"/>
                </c:ext>
              </c:extLst>
            </c:dLbl>
            <c:dLbl>
              <c:idx val="18"/>
              <c:layout>
                <c:manualLayout>
                  <c:x val="-1.0541861118535117E-2"/>
                  <c:y val="2.0273420020970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EE-4056-9B65-753F153CE052}"/>
                </c:ext>
              </c:extLst>
            </c:dLbl>
            <c:dLbl>
              <c:idx val="19"/>
              <c:delete val="1"/>
              <c:extLst>
                <c:ext xmlns:c15="http://schemas.microsoft.com/office/drawing/2012/chart" uri="{CE6537A1-D6FC-4f65-9D91-7224C49458BB}"/>
                <c:ext xmlns:c16="http://schemas.microsoft.com/office/drawing/2014/chart" uri="{C3380CC4-5D6E-409C-BE32-E72D297353CC}">
                  <c16:uniqueId val="{0000000E-5FCB-4205-83E7-B1FDD04EF6E8}"/>
                </c:ext>
              </c:extLst>
            </c:dLbl>
            <c:numFmt formatCode="0.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[F_Section_4I_Women_in_management_tiers_WA_public_sector.xlsx]Input_Women_in_management_PS!$B$2:$B$21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[F_Section_4I_Women_in_management_tiers_WA_public_sector.xlsx]Input_Women_in_management_PS!$C$2:$C$21</c:f>
              <c:numCache>
                <c:formatCode>General</c:formatCode>
                <c:ptCount val="20"/>
                <c:pt idx="0">
                  <c:v>35.61643835616438</c:v>
                </c:pt>
                <c:pt idx="1">
                  <c:v>35.443037974683541</c:v>
                </c:pt>
                <c:pt idx="2">
                  <c:v>30.666666666666661</c:v>
                </c:pt>
                <c:pt idx="3">
                  <c:v>32.894736842105267</c:v>
                </c:pt>
                <c:pt idx="4">
                  <c:v>32</c:v>
                </c:pt>
                <c:pt idx="5">
                  <c:v>39.473684210526322</c:v>
                </c:pt>
                <c:pt idx="6">
                  <c:v>35.135135135135137</c:v>
                </c:pt>
                <c:pt idx="7">
                  <c:v>35.526315789473678</c:v>
                </c:pt>
                <c:pt idx="8">
                  <c:v>37.179487179487182</c:v>
                </c:pt>
                <c:pt idx="9">
                  <c:v>37.179487179487182</c:v>
                </c:pt>
                <c:pt idx="10">
                  <c:v>38.666666666666657</c:v>
                </c:pt>
                <c:pt idx="11">
                  <c:v>41.558441558441558</c:v>
                </c:pt>
                <c:pt idx="12">
                  <c:v>41.025641025641022</c:v>
                </c:pt>
                <c:pt idx="13">
                  <c:v>44.155844155844157</c:v>
                </c:pt>
                <c:pt idx="14">
                  <c:v>42.105263157894733</c:v>
                </c:pt>
                <c:pt idx="15">
                  <c:v>42.307692307692307</c:v>
                </c:pt>
                <c:pt idx="16">
                  <c:v>42.307692307692307</c:v>
                </c:pt>
                <c:pt idx="17">
                  <c:v>43.243243243243242</c:v>
                </c:pt>
                <c:pt idx="18">
                  <c:v>45.333333333333329</c:v>
                </c:pt>
                <c:pt idx="19">
                  <c:v>47.945205479452049</c:v>
                </c:pt>
              </c:numCache>
            </c:numRef>
          </c:val>
          <c:smooth val="0"/>
          <c:extLst>
            <c:ext xmlns:c16="http://schemas.microsoft.com/office/drawing/2014/chart" uri="{C3380CC4-5D6E-409C-BE32-E72D297353CC}">
              <c16:uniqueId val="{0000000F-5FCB-4205-83E7-B1FDD04EF6E8}"/>
            </c:ext>
          </c:extLst>
        </c:ser>
        <c:ser>
          <c:idx val="1"/>
          <c:order val="1"/>
          <c:tx>
            <c:strRef>
              <c:f>[F_Section_4I_Women_in_management_tiers_WA_public_sector.xlsx]Input_Women_in_management_PS!$D$1</c:f>
              <c:strCache>
                <c:ptCount val="1"/>
                <c:pt idx="0">
                  <c:v>Public sector women in MT1, moving average</c:v>
                </c:pt>
              </c:strCache>
            </c:strRef>
          </c:tx>
          <c:spPr>
            <a:ln w="28575">
              <a:solidFill>
                <a:srgbClr val="3C455A"/>
              </a:solidFill>
              <a:prstDash val="sysDot"/>
            </a:ln>
          </c:spPr>
          <c:marker>
            <c:symbol val="none"/>
          </c:marker>
          <c:cat>
            <c:strRef>
              <c:f>[F_Section_4I_Women_in_management_tiers_WA_public_sector.xlsx]Input_Women_in_management_PS!$B$2:$B$21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[F_Section_4I_Women_in_management_tiers_WA_public_sector.xlsx]Input_Women_in_management_PS!$D$2:$D$21</c:f>
              <c:numCache>
                <c:formatCode>General</c:formatCode>
                <c:ptCount val="20"/>
                <c:pt idx="0">
                  <c:v>31.879674194742691</c:v>
                </c:pt>
                <c:pt idx="1">
                  <c:v>33.740433688413567</c:v>
                </c:pt>
                <c:pt idx="2">
                  <c:v>34.215319533162429</c:v>
                </c:pt>
                <c:pt idx="3">
                  <c:v>33.655219959904969</c:v>
                </c:pt>
                <c:pt idx="4">
                  <c:v>32.75111037086387</c:v>
                </c:pt>
                <c:pt idx="5">
                  <c:v>33.758771929824562</c:v>
                </c:pt>
                <c:pt idx="6">
                  <c:v>34.87588904694168</c:v>
                </c:pt>
                <c:pt idx="7">
                  <c:v>35.533783783783782</c:v>
                </c:pt>
                <c:pt idx="8">
                  <c:v>36.828655578655578</c:v>
                </c:pt>
                <c:pt idx="9">
                  <c:v>36.255106320895798</c:v>
                </c:pt>
                <c:pt idx="10">
                  <c:v>37.13798920377868</c:v>
                </c:pt>
                <c:pt idx="11">
                  <c:v>38.646020646020652</c:v>
                </c:pt>
                <c:pt idx="12">
                  <c:v>39.607559107559098</c:v>
                </c:pt>
                <c:pt idx="13">
                  <c:v>41.35164835164835</c:v>
                </c:pt>
                <c:pt idx="14">
                  <c:v>42.211297474455357</c:v>
                </c:pt>
                <c:pt idx="15">
                  <c:v>42.398610161768048</c:v>
                </c:pt>
                <c:pt idx="16">
                  <c:v>42.719122982280879</c:v>
                </c:pt>
                <c:pt idx="17">
                  <c:v>42.490972754130652</c:v>
                </c:pt>
                <c:pt idx="18">
                  <c:v>43.297990297990303</c:v>
                </c:pt>
                <c:pt idx="19">
                  <c:v>44.70736859093023</c:v>
                </c:pt>
              </c:numCache>
            </c:numRef>
          </c:val>
          <c:smooth val="1"/>
          <c:extLst>
            <c:ext xmlns:c16="http://schemas.microsoft.com/office/drawing/2014/chart" uri="{C3380CC4-5D6E-409C-BE32-E72D297353CC}">
              <c16:uniqueId val="{00000010-5FCB-4205-83E7-B1FDD04EF6E8}"/>
            </c:ext>
          </c:extLst>
        </c:ser>
        <c:ser>
          <c:idx val="2"/>
          <c:order val="2"/>
          <c:tx>
            <c:strRef>
              <c:f>[F_Section_4I_Women_in_management_tiers_WA_public_sector.xlsx]Input_Women_in_management_PS!$E$1</c:f>
              <c:strCache>
                <c:ptCount val="1"/>
                <c:pt idx="0">
                  <c:v>Public sector women in MT2, quarterly point in time</c:v>
                </c:pt>
              </c:strCache>
            </c:strRef>
          </c:tx>
          <c:spPr>
            <a:ln w="28575">
              <a:solidFill>
                <a:srgbClr val="DF6162"/>
              </a:solidFill>
            </a:ln>
          </c:spPr>
          <c:marker>
            <c:symbol val="circle"/>
            <c:size val="7"/>
            <c:spPr>
              <a:solidFill>
                <a:srgbClr val="DF6162"/>
              </a:solidFill>
              <a:ln>
                <a:solidFill>
                  <a:srgbClr val="DF6162"/>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11-5FCB-4205-83E7-B1FDD04EF6E8}"/>
                </c:ext>
              </c:extLst>
            </c:dLbl>
            <c:dLbl>
              <c:idx val="1"/>
              <c:delete val="1"/>
              <c:extLst>
                <c:ext xmlns:c15="http://schemas.microsoft.com/office/drawing/2012/chart" uri="{CE6537A1-D6FC-4f65-9D91-7224C49458BB}"/>
                <c:ext xmlns:c16="http://schemas.microsoft.com/office/drawing/2014/chart" uri="{C3380CC4-5D6E-409C-BE32-E72D297353CC}">
                  <c16:uniqueId val="{00000012-5FCB-4205-83E7-B1FDD04EF6E8}"/>
                </c:ext>
              </c:extLst>
            </c:dLbl>
            <c:dLbl>
              <c:idx val="3"/>
              <c:delete val="1"/>
              <c:extLst>
                <c:ext xmlns:c15="http://schemas.microsoft.com/office/drawing/2012/chart" uri="{CE6537A1-D6FC-4f65-9D91-7224C49458BB}"/>
                <c:ext xmlns:c16="http://schemas.microsoft.com/office/drawing/2014/chart" uri="{C3380CC4-5D6E-409C-BE32-E72D297353CC}">
                  <c16:uniqueId val="{00000013-5FCB-4205-83E7-B1FDD04EF6E8}"/>
                </c:ext>
              </c:extLst>
            </c:dLbl>
            <c:dLbl>
              <c:idx val="4"/>
              <c:delete val="1"/>
              <c:extLst>
                <c:ext xmlns:c15="http://schemas.microsoft.com/office/drawing/2012/chart" uri="{CE6537A1-D6FC-4f65-9D91-7224C49458BB}"/>
                <c:ext xmlns:c16="http://schemas.microsoft.com/office/drawing/2014/chart" uri="{C3380CC4-5D6E-409C-BE32-E72D297353CC}">
                  <c16:uniqueId val="{00000014-5FCB-4205-83E7-B1FDD04EF6E8}"/>
                </c:ext>
              </c:extLst>
            </c:dLbl>
            <c:dLbl>
              <c:idx val="5"/>
              <c:delete val="1"/>
              <c:extLst>
                <c:ext xmlns:c15="http://schemas.microsoft.com/office/drawing/2012/chart" uri="{CE6537A1-D6FC-4f65-9D91-7224C49458BB}"/>
                <c:ext xmlns:c16="http://schemas.microsoft.com/office/drawing/2014/chart" uri="{C3380CC4-5D6E-409C-BE32-E72D297353CC}">
                  <c16:uniqueId val="{00000015-5FCB-4205-83E7-B1FDD04EF6E8}"/>
                </c:ext>
              </c:extLst>
            </c:dLbl>
            <c:dLbl>
              <c:idx val="7"/>
              <c:delete val="1"/>
              <c:extLst>
                <c:ext xmlns:c15="http://schemas.microsoft.com/office/drawing/2012/chart" uri="{CE6537A1-D6FC-4f65-9D91-7224C49458BB}"/>
                <c:ext xmlns:c16="http://schemas.microsoft.com/office/drawing/2014/chart" uri="{C3380CC4-5D6E-409C-BE32-E72D297353CC}">
                  <c16:uniqueId val="{00000016-5FCB-4205-83E7-B1FDD04EF6E8}"/>
                </c:ext>
              </c:extLst>
            </c:dLbl>
            <c:dLbl>
              <c:idx val="8"/>
              <c:delete val="1"/>
              <c:extLst>
                <c:ext xmlns:c15="http://schemas.microsoft.com/office/drawing/2012/chart" uri="{CE6537A1-D6FC-4f65-9D91-7224C49458BB}"/>
                <c:ext xmlns:c16="http://schemas.microsoft.com/office/drawing/2014/chart" uri="{C3380CC4-5D6E-409C-BE32-E72D297353CC}">
                  <c16:uniqueId val="{00000017-5FCB-4205-83E7-B1FDD04EF6E8}"/>
                </c:ext>
              </c:extLst>
            </c:dLbl>
            <c:dLbl>
              <c:idx val="9"/>
              <c:delete val="1"/>
              <c:extLst>
                <c:ext xmlns:c15="http://schemas.microsoft.com/office/drawing/2012/chart" uri="{CE6537A1-D6FC-4f65-9D91-7224C49458BB}"/>
                <c:ext xmlns:c16="http://schemas.microsoft.com/office/drawing/2014/chart" uri="{C3380CC4-5D6E-409C-BE32-E72D297353CC}">
                  <c16:uniqueId val="{00000018-5FCB-4205-83E7-B1FDD04EF6E8}"/>
                </c:ext>
              </c:extLst>
            </c:dLbl>
            <c:dLbl>
              <c:idx val="10"/>
              <c:layout>
                <c:manualLayout>
                  <c:x val="-4.5354741884418494E-2"/>
                  <c:y val="5.2917927243827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EE-4056-9B65-753F153CE052}"/>
                </c:ext>
              </c:extLst>
            </c:dLbl>
            <c:dLbl>
              <c:idx val="11"/>
              <c:delete val="1"/>
              <c:extLst>
                <c:ext xmlns:c15="http://schemas.microsoft.com/office/drawing/2012/chart" uri="{CE6537A1-D6FC-4f65-9D91-7224C49458BB}"/>
                <c:ext xmlns:c16="http://schemas.microsoft.com/office/drawing/2014/chart" uri="{C3380CC4-5D6E-409C-BE32-E72D297353CC}">
                  <c16:uniqueId val="{00000019-5FCB-4205-83E7-B1FDD04EF6E8}"/>
                </c:ext>
              </c:extLst>
            </c:dLbl>
            <c:dLbl>
              <c:idx val="12"/>
              <c:delete val="1"/>
              <c:extLst>
                <c:ext xmlns:c15="http://schemas.microsoft.com/office/drawing/2012/chart" uri="{CE6537A1-D6FC-4f65-9D91-7224C49458BB}"/>
                <c:ext xmlns:c16="http://schemas.microsoft.com/office/drawing/2014/chart" uri="{C3380CC4-5D6E-409C-BE32-E72D297353CC}">
                  <c16:uniqueId val="{0000001A-5FCB-4205-83E7-B1FDD04EF6E8}"/>
                </c:ext>
              </c:extLst>
            </c:dLbl>
            <c:dLbl>
              <c:idx val="13"/>
              <c:delete val="1"/>
              <c:extLst>
                <c:ext xmlns:c15="http://schemas.microsoft.com/office/drawing/2012/chart" uri="{CE6537A1-D6FC-4f65-9D91-7224C49458BB}"/>
                <c:ext xmlns:c16="http://schemas.microsoft.com/office/drawing/2014/chart" uri="{C3380CC4-5D6E-409C-BE32-E72D297353CC}">
                  <c16:uniqueId val="{0000001B-5FCB-4205-83E7-B1FDD04EF6E8}"/>
                </c:ext>
              </c:extLst>
            </c:dLbl>
            <c:dLbl>
              <c:idx val="14"/>
              <c:layout>
                <c:manualLayout>
                  <c:x val="-3.8827326740815363E-2"/>
                  <c:y val="2.57762817815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EE-4056-9B65-753F153CE052}"/>
                </c:ext>
              </c:extLst>
            </c:dLbl>
            <c:dLbl>
              <c:idx val="15"/>
              <c:delete val="1"/>
              <c:extLst>
                <c:ext xmlns:c15="http://schemas.microsoft.com/office/drawing/2012/chart" uri="{CE6537A1-D6FC-4f65-9D91-7224C49458BB}"/>
                <c:ext xmlns:c16="http://schemas.microsoft.com/office/drawing/2014/chart" uri="{C3380CC4-5D6E-409C-BE32-E72D297353CC}">
                  <c16:uniqueId val="{0000001C-5FCB-4205-83E7-B1FDD04EF6E8}"/>
                </c:ext>
              </c:extLst>
            </c:dLbl>
            <c:dLbl>
              <c:idx val="16"/>
              <c:delete val="1"/>
              <c:extLst>
                <c:ext xmlns:c15="http://schemas.microsoft.com/office/drawing/2012/chart" uri="{CE6537A1-D6FC-4f65-9D91-7224C49458BB}"/>
                <c:ext xmlns:c16="http://schemas.microsoft.com/office/drawing/2014/chart" uri="{C3380CC4-5D6E-409C-BE32-E72D297353CC}">
                  <c16:uniqueId val="{0000001D-5FCB-4205-83E7-B1FDD04EF6E8}"/>
                </c:ext>
              </c:extLst>
            </c:dLbl>
            <c:dLbl>
              <c:idx val="17"/>
              <c:delete val="1"/>
              <c:extLst>
                <c:ext xmlns:c15="http://schemas.microsoft.com/office/drawing/2012/chart" uri="{CE6537A1-D6FC-4f65-9D91-7224C49458BB}"/>
                <c:ext xmlns:c16="http://schemas.microsoft.com/office/drawing/2014/chart" uri="{C3380CC4-5D6E-409C-BE32-E72D297353CC}">
                  <c16:uniqueId val="{0000001E-5FCB-4205-83E7-B1FDD04EF6E8}"/>
                </c:ext>
              </c:extLst>
            </c:dLbl>
            <c:dLbl>
              <c:idx val="18"/>
              <c:layout>
                <c:manualLayout>
                  <c:x val="-3.4475716645079937E-2"/>
                  <c:y val="1.8990870416007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EE-4056-9B65-753F153CE052}"/>
                </c:ext>
              </c:extLst>
            </c:dLbl>
            <c:dLbl>
              <c:idx val="19"/>
              <c:delete val="1"/>
              <c:extLst>
                <c:ext xmlns:c15="http://schemas.microsoft.com/office/drawing/2012/chart" uri="{CE6537A1-D6FC-4f65-9D91-7224C49458BB}"/>
                <c:ext xmlns:c16="http://schemas.microsoft.com/office/drawing/2014/chart" uri="{C3380CC4-5D6E-409C-BE32-E72D297353CC}">
                  <c16:uniqueId val="{0000001F-5FCB-4205-83E7-B1FDD04EF6E8}"/>
                </c:ext>
              </c:extLst>
            </c:dLbl>
            <c:numFmt formatCode="0.0\%" sourceLinked="0"/>
            <c:spPr>
              <a:noFill/>
              <a:ln>
                <a:noFill/>
              </a:ln>
              <a:effectLst/>
            </c:spPr>
            <c:txPr>
              <a:bodyPr/>
              <a:lstStyle/>
              <a:p>
                <a:pPr>
                  <a:defRPr sz="800" baseline="0">
                    <a:latin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[F_Section_4I_Women_in_management_tiers_WA_public_sector.xlsx]Input_Women_in_management_PS!$B$2:$B$21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[F_Section_4I_Women_in_management_tiers_WA_public_sector.xlsx]Input_Women_in_management_PS!$E$2:$E$21</c:f>
              <c:numCache>
                <c:formatCode>General</c:formatCode>
                <c:ptCount val="20"/>
                <c:pt idx="0">
                  <c:v>42.622950819672127</c:v>
                </c:pt>
                <c:pt idx="1">
                  <c:v>41.944444444444443</c:v>
                </c:pt>
                <c:pt idx="2">
                  <c:v>43.977591036414573</c:v>
                </c:pt>
                <c:pt idx="3">
                  <c:v>44.117647058823529</c:v>
                </c:pt>
                <c:pt idx="4">
                  <c:v>43.27956989247312</c:v>
                </c:pt>
                <c:pt idx="5">
                  <c:v>44.389027431421447</c:v>
                </c:pt>
                <c:pt idx="6">
                  <c:v>44.210526315789473</c:v>
                </c:pt>
                <c:pt idx="7">
                  <c:v>44.680851063829778</c:v>
                </c:pt>
                <c:pt idx="8">
                  <c:v>44.623655913978503</c:v>
                </c:pt>
                <c:pt idx="9">
                  <c:v>47.837150127226472</c:v>
                </c:pt>
                <c:pt idx="10">
                  <c:v>47.480106100795751</c:v>
                </c:pt>
                <c:pt idx="11">
                  <c:v>47.341772151898738</c:v>
                </c:pt>
                <c:pt idx="12">
                  <c:v>46.666666666666657</c:v>
                </c:pt>
                <c:pt idx="13">
                  <c:v>46.634615384615387</c:v>
                </c:pt>
                <c:pt idx="14">
                  <c:v>45.478036175710592</c:v>
                </c:pt>
                <c:pt idx="15">
                  <c:v>46.700507614213201</c:v>
                </c:pt>
                <c:pt idx="16">
                  <c:v>47.441860465116278</c:v>
                </c:pt>
                <c:pt idx="17">
                  <c:v>46.386946386946377</c:v>
                </c:pt>
                <c:pt idx="18">
                  <c:v>49.379652605459057</c:v>
                </c:pt>
                <c:pt idx="19">
                  <c:v>48.681055155875299</c:v>
                </c:pt>
              </c:numCache>
            </c:numRef>
          </c:val>
          <c:smooth val="0"/>
          <c:extLst>
            <c:ext xmlns:c16="http://schemas.microsoft.com/office/drawing/2014/chart" uri="{C3380CC4-5D6E-409C-BE32-E72D297353CC}">
              <c16:uniqueId val="{00000020-5FCB-4205-83E7-B1FDD04EF6E8}"/>
            </c:ext>
          </c:extLst>
        </c:ser>
        <c:ser>
          <c:idx val="3"/>
          <c:order val="3"/>
          <c:tx>
            <c:strRef>
              <c:f>[F_Section_4I_Women_in_management_tiers_WA_public_sector.xlsx]Input_Women_in_management_PS!$F$1</c:f>
              <c:strCache>
                <c:ptCount val="1"/>
                <c:pt idx="0">
                  <c:v>Public sector women in MT2, moving average</c:v>
                </c:pt>
              </c:strCache>
            </c:strRef>
          </c:tx>
          <c:spPr>
            <a:ln w="28575">
              <a:solidFill>
                <a:srgbClr val="DF6162"/>
              </a:solidFill>
              <a:prstDash val="sysDot"/>
            </a:ln>
          </c:spPr>
          <c:marker>
            <c:symbol val="none"/>
          </c:marker>
          <c:cat>
            <c:strRef>
              <c:f>[F_Section_4I_Women_in_management_tiers_WA_public_sector.xlsx]Input_Women_in_management_PS!$B$2:$B$21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[F_Section_4I_Women_in_management_tiers_WA_public_sector.xlsx]Input_Women_in_management_PS!$F$2:$F$21</c:f>
              <c:numCache>
                <c:formatCode>General</c:formatCode>
                <c:ptCount val="20"/>
                <c:pt idx="0">
                  <c:v>42.373808702152637</c:v>
                </c:pt>
                <c:pt idx="1">
                  <c:v>42.523381351725291</c:v>
                </c:pt>
                <c:pt idx="2">
                  <c:v>42.68001315338212</c:v>
                </c:pt>
                <c:pt idx="3">
                  <c:v>43.165658339838672</c:v>
                </c:pt>
                <c:pt idx="4">
                  <c:v>43.329813108038913</c:v>
                </c:pt>
                <c:pt idx="5">
                  <c:v>43.940958854783162</c:v>
                </c:pt>
                <c:pt idx="6">
                  <c:v>43.99919267462689</c:v>
                </c:pt>
                <c:pt idx="7">
                  <c:v>44.139993675878458</c:v>
                </c:pt>
                <c:pt idx="8">
                  <c:v>44.476015181254787</c:v>
                </c:pt>
                <c:pt idx="9">
                  <c:v>45.338045855206062</c:v>
                </c:pt>
                <c:pt idx="10">
                  <c:v>46.15544080145763</c:v>
                </c:pt>
                <c:pt idx="11">
                  <c:v>46.82067107347487</c:v>
                </c:pt>
                <c:pt idx="12">
                  <c:v>47.33142376164691</c:v>
                </c:pt>
                <c:pt idx="13">
                  <c:v>47.03079007599414</c:v>
                </c:pt>
                <c:pt idx="14">
                  <c:v>46.530272594722852</c:v>
                </c:pt>
                <c:pt idx="15">
                  <c:v>46.369956460301459</c:v>
                </c:pt>
                <c:pt idx="16">
                  <c:v>46.563754909913861</c:v>
                </c:pt>
                <c:pt idx="17">
                  <c:v>46.501837660496612</c:v>
                </c:pt>
                <c:pt idx="18">
                  <c:v>47.477241767933727</c:v>
                </c:pt>
                <c:pt idx="19">
                  <c:v>47.972378653349253</c:v>
                </c:pt>
              </c:numCache>
            </c:numRef>
          </c:val>
          <c:smooth val="1"/>
          <c:extLst>
            <c:ext xmlns:c16="http://schemas.microsoft.com/office/drawing/2014/chart" uri="{C3380CC4-5D6E-409C-BE32-E72D297353CC}">
              <c16:uniqueId val="{00000021-5FCB-4205-83E7-B1FDD04EF6E8}"/>
            </c:ext>
          </c:extLst>
        </c:ser>
        <c:ser>
          <c:idx val="4"/>
          <c:order val="4"/>
          <c:tx>
            <c:strRef>
              <c:f>[F_Section_4I_Women_in_management_tiers_WA_public_sector.xlsx]Input_Women_in_management_PS!$G$1</c:f>
              <c:strCache>
                <c:ptCount val="1"/>
                <c:pt idx="0">
                  <c:v>Public sector women in MT3, quarterly point in time</c:v>
                </c:pt>
              </c:strCache>
            </c:strRef>
          </c:tx>
          <c:spPr>
            <a:ln w="28575">
              <a:solidFill>
                <a:srgbClr val="C3D534"/>
              </a:solidFill>
            </a:ln>
          </c:spPr>
          <c:marker>
            <c:symbol val="circle"/>
            <c:size val="7"/>
            <c:spPr>
              <a:solidFill>
                <a:srgbClr val="C3D534"/>
              </a:solidFill>
              <a:ln>
                <a:solidFill>
                  <a:srgbClr val="C3D534"/>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22-5FCB-4205-83E7-B1FDD04EF6E8}"/>
                </c:ext>
              </c:extLst>
            </c:dLbl>
            <c:dLbl>
              <c:idx val="1"/>
              <c:delete val="1"/>
              <c:extLst>
                <c:ext xmlns:c15="http://schemas.microsoft.com/office/drawing/2012/chart" uri="{CE6537A1-D6FC-4f65-9D91-7224C49458BB}"/>
                <c:ext xmlns:c16="http://schemas.microsoft.com/office/drawing/2014/chart" uri="{C3380CC4-5D6E-409C-BE32-E72D297353CC}">
                  <c16:uniqueId val="{00000023-5FCB-4205-83E7-B1FDD04EF6E8}"/>
                </c:ext>
              </c:extLst>
            </c:dLbl>
            <c:dLbl>
              <c:idx val="3"/>
              <c:delete val="1"/>
              <c:extLst>
                <c:ext xmlns:c15="http://schemas.microsoft.com/office/drawing/2012/chart" uri="{CE6537A1-D6FC-4f65-9D91-7224C49458BB}"/>
                <c:ext xmlns:c16="http://schemas.microsoft.com/office/drawing/2014/chart" uri="{C3380CC4-5D6E-409C-BE32-E72D297353CC}">
                  <c16:uniqueId val="{00000024-5FCB-4205-83E7-B1FDD04EF6E8}"/>
                </c:ext>
              </c:extLst>
            </c:dLbl>
            <c:dLbl>
              <c:idx val="4"/>
              <c:delete val="1"/>
              <c:extLst>
                <c:ext xmlns:c15="http://schemas.microsoft.com/office/drawing/2012/chart" uri="{CE6537A1-D6FC-4f65-9D91-7224C49458BB}"/>
                <c:ext xmlns:c16="http://schemas.microsoft.com/office/drawing/2014/chart" uri="{C3380CC4-5D6E-409C-BE32-E72D297353CC}">
                  <c16:uniqueId val="{00000025-5FCB-4205-83E7-B1FDD04EF6E8}"/>
                </c:ext>
              </c:extLst>
            </c:dLbl>
            <c:dLbl>
              <c:idx val="5"/>
              <c:delete val="1"/>
              <c:extLst>
                <c:ext xmlns:c15="http://schemas.microsoft.com/office/drawing/2012/chart" uri="{CE6537A1-D6FC-4f65-9D91-7224C49458BB}"/>
                <c:ext xmlns:c16="http://schemas.microsoft.com/office/drawing/2014/chart" uri="{C3380CC4-5D6E-409C-BE32-E72D297353CC}">
                  <c16:uniqueId val="{00000026-5FCB-4205-83E7-B1FDD04EF6E8}"/>
                </c:ext>
              </c:extLst>
            </c:dLbl>
            <c:dLbl>
              <c:idx val="7"/>
              <c:delete val="1"/>
              <c:extLst>
                <c:ext xmlns:c15="http://schemas.microsoft.com/office/drawing/2012/chart" uri="{CE6537A1-D6FC-4f65-9D91-7224C49458BB}"/>
                <c:ext xmlns:c16="http://schemas.microsoft.com/office/drawing/2014/chart" uri="{C3380CC4-5D6E-409C-BE32-E72D297353CC}">
                  <c16:uniqueId val="{00000027-5FCB-4205-83E7-B1FDD04EF6E8}"/>
                </c:ext>
              </c:extLst>
            </c:dLbl>
            <c:dLbl>
              <c:idx val="8"/>
              <c:delete val="1"/>
              <c:extLst>
                <c:ext xmlns:c15="http://schemas.microsoft.com/office/drawing/2012/chart" uri="{CE6537A1-D6FC-4f65-9D91-7224C49458BB}"/>
                <c:ext xmlns:c16="http://schemas.microsoft.com/office/drawing/2014/chart" uri="{C3380CC4-5D6E-409C-BE32-E72D297353CC}">
                  <c16:uniqueId val="{00000028-5FCB-4205-83E7-B1FDD04EF6E8}"/>
                </c:ext>
              </c:extLst>
            </c:dLbl>
            <c:dLbl>
              <c:idx val="9"/>
              <c:delete val="1"/>
              <c:extLst>
                <c:ext xmlns:c15="http://schemas.microsoft.com/office/drawing/2012/chart" uri="{CE6537A1-D6FC-4f65-9D91-7224C49458BB}"/>
                <c:ext xmlns:c16="http://schemas.microsoft.com/office/drawing/2014/chart" uri="{C3380CC4-5D6E-409C-BE32-E72D297353CC}">
                  <c16:uniqueId val="{00000029-5FCB-4205-83E7-B1FDD04EF6E8}"/>
                </c:ext>
              </c:extLst>
            </c:dLbl>
            <c:dLbl>
              <c:idx val="11"/>
              <c:delete val="1"/>
              <c:extLst>
                <c:ext xmlns:c15="http://schemas.microsoft.com/office/drawing/2012/chart" uri="{CE6537A1-D6FC-4f65-9D91-7224C49458BB}"/>
                <c:ext xmlns:c16="http://schemas.microsoft.com/office/drawing/2014/chart" uri="{C3380CC4-5D6E-409C-BE32-E72D297353CC}">
                  <c16:uniqueId val="{0000002A-5FCB-4205-83E7-B1FDD04EF6E8}"/>
                </c:ext>
              </c:extLst>
            </c:dLbl>
            <c:dLbl>
              <c:idx val="12"/>
              <c:delete val="1"/>
              <c:extLst>
                <c:ext xmlns:c15="http://schemas.microsoft.com/office/drawing/2012/chart" uri="{CE6537A1-D6FC-4f65-9D91-7224C49458BB}"/>
                <c:ext xmlns:c16="http://schemas.microsoft.com/office/drawing/2014/chart" uri="{C3380CC4-5D6E-409C-BE32-E72D297353CC}">
                  <c16:uniqueId val="{0000002B-5FCB-4205-83E7-B1FDD04EF6E8}"/>
                </c:ext>
              </c:extLst>
            </c:dLbl>
            <c:dLbl>
              <c:idx val="13"/>
              <c:delete val="1"/>
              <c:extLst>
                <c:ext xmlns:c15="http://schemas.microsoft.com/office/drawing/2012/chart" uri="{CE6537A1-D6FC-4f65-9D91-7224C49458BB}"/>
                <c:ext xmlns:c16="http://schemas.microsoft.com/office/drawing/2014/chart" uri="{C3380CC4-5D6E-409C-BE32-E72D297353CC}">
                  <c16:uniqueId val="{0000002C-5FCB-4205-83E7-B1FDD04EF6E8}"/>
                </c:ext>
              </c:extLst>
            </c:dLbl>
            <c:dLbl>
              <c:idx val="15"/>
              <c:delete val="1"/>
              <c:extLst>
                <c:ext xmlns:c15="http://schemas.microsoft.com/office/drawing/2012/chart" uri="{CE6537A1-D6FC-4f65-9D91-7224C49458BB}"/>
                <c:ext xmlns:c16="http://schemas.microsoft.com/office/drawing/2014/chart" uri="{C3380CC4-5D6E-409C-BE32-E72D297353CC}">
                  <c16:uniqueId val="{0000002D-5FCB-4205-83E7-B1FDD04EF6E8}"/>
                </c:ext>
              </c:extLst>
            </c:dLbl>
            <c:dLbl>
              <c:idx val="16"/>
              <c:delete val="1"/>
              <c:extLst>
                <c:ext xmlns:c15="http://schemas.microsoft.com/office/drawing/2012/chart" uri="{CE6537A1-D6FC-4f65-9D91-7224C49458BB}"/>
                <c:ext xmlns:c16="http://schemas.microsoft.com/office/drawing/2014/chart" uri="{C3380CC4-5D6E-409C-BE32-E72D297353CC}">
                  <c16:uniqueId val="{0000002E-5FCB-4205-83E7-B1FDD04EF6E8}"/>
                </c:ext>
              </c:extLst>
            </c:dLbl>
            <c:dLbl>
              <c:idx val="17"/>
              <c:delete val="1"/>
              <c:extLst>
                <c:ext xmlns:c15="http://schemas.microsoft.com/office/drawing/2012/chart" uri="{CE6537A1-D6FC-4f65-9D91-7224C49458BB}"/>
                <c:ext xmlns:c16="http://schemas.microsoft.com/office/drawing/2014/chart" uri="{C3380CC4-5D6E-409C-BE32-E72D297353CC}">
                  <c16:uniqueId val="{0000002F-5FCB-4205-83E7-B1FDD04EF6E8}"/>
                </c:ext>
              </c:extLst>
            </c:dLbl>
            <c:dLbl>
              <c:idx val="19"/>
              <c:delete val="1"/>
              <c:extLst>
                <c:ext xmlns:c15="http://schemas.microsoft.com/office/drawing/2012/chart" uri="{CE6537A1-D6FC-4f65-9D91-7224C49458BB}"/>
                <c:ext xmlns:c16="http://schemas.microsoft.com/office/drawing/2014/chart" uri="{C3380CC4-5D6E-409C-BE32-E72D297353CC}">
                  <c16:uniqueId val="{00000030-5FCB-4205-83E7-B1FDD04EF6E8}"/>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[F_Section_4I_Women_in_management_tiers_WA_public_sector.xlsx]Input_Women_in_management_PS!$B$2:$B$21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[F_Section_4I_Women_in_management_tiers_WA_public_sector.xlsx]Input_Women_in_management_PS!$G$2:$G$21</c:f>
              <c:numCache>
                <c:formatCode>General</c:formatCode>
                <c:ptCount val="20"/>
                <c:pt idx="0">
                  <c:v>50.223015165031228</c:v>
                </c:pt>
                <c:pt idx="1">
                  <c:v>49.413735343383593</c:v>
                </c:pt>
                <c:pt idx="2">
                  <c:v>49.131944444444443</c:v>
                </c:pt>
                <c:pt idx="3">
                  <c:v>50.040683482506097</c:v>
                </c:pt>
                <c:pt idx="4">
                  <c:v>51.810136765888977</c:v>
                </c:pt>
                <c:pt idx="5">
                  <c:v>50.51383399209486</c:v>
                </c:pt>
                <c:pt idx="6">
                  <c:v>51.318944844124701</c:v>
                </c:pt>
                <c:pt idx="7">
                  <c:v>50.804403048264177</c:v>
                </c:pt>
                <c:pt idx="8">
                  <c:v>51.535269709543563</c:v>
                </c:pt>
                <c:pt idx="9">
                  <c:v>50.753370340999197</c:v>
                </c:pt>
                <c:pt idx="10">
                  <c:v>51.060358890701472</c:v>
                </c:pt>
                <c:pt idx="11">
                  <c:v>51.358024691358032</c:v>
                </c:pt>
                <c:pt idx="12">
                  <c:v>50.842020850040093</c:v>
                </c:pt>
                <c:pt idx="13">
                  <c:v>49.826509368494101</c:v>
                </c:pt>
                <c:pt idx="14">
                  <c:v>50.474106491611963</c:v>
                </c:pt>
                <c:pt idx="15">
                  <c:v>52.249637155297528</c:v>
                </c:pt>
                <c:pt idx="16">
                  <c:v>51.464128843338209</c:v>
                </c:pt>
                <c:pt idx="17">
                  <c:v>51.574803149606304</c:v>
                </c:pt>
                <c:pt idx="18">
                  <c:v>52.65804597701149</c:v>
                </c:pt>
                <c:pt idx="19">
                  <c:v>53.542731921110303</c:v>
                </c:pt>
              </c:numCache>
            </c:numRef>
          </c:val>
          <c:smooth val="0"/>
          <c:extLst>
            <c:ext xmlns:c16="http://schemas.microsoft.com/office/drawing/2014/chart" uri="{C3380CC4-5D6E-409C-BE32-E72D297353CC}">
              <c16:uniqueId val="{00000031-5FCB-4205-83E7-B1FDD04EF6E8}"/>
            </c:ext>
          </c:extLst>
        </c:ser>
        <c:ser>
          <c:idx val="5"/>
          <c:order val="5"/>
          <c:tx>
            <c:strRef>
              <c:f>[F_Section_4I_Women_in_management_tiers_WA_public_sector.xlsx]Input_Women_in_management_PS!$H$1</c:f>
              <c:strCache>
                <c:ptCount val="1"/>
                <c:pt idx="0">
                  <c:v>Public sector women in MT3, moving average</c:v>
                </c:pt>
              </c:strCache>
            </c:strRef>
          </c:tx>
          <c:spPr>
            <a:ln w="28575">
              <a:solidFill>
                <a:srgbClr val="C3D534"/>
              </a:solidFill>
              <a:prstDash val="sysDot"/>
            </a:ln>
          </c:spPr>
          <c:marker>
            <c:symbol val="none"/>
          </c:marker>
          <c:cat>
            <c:strRef>
              <c:f>[F_Section_4I_Women_in_management_tiers_WA_public_sector.xlsx]Input_Women_in_management_PS!$B$2:$B$21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[F_Section_4I_Women_in_management_tiers_WA_public_sector.xlsx]Input_Women_in_management_PS!$H$2:$H$21</c:f>
              <c:numCache>
                <c:formatCode>General</c:formatCode>
                <c:ptCount val="20"/>
                <c:pt idx="0">
                  <c:v>48.429168537940683</c:v>
                </c:pt>
                <c:pt idx="1">
                  <c:v>49.067035951618692</c:v>
                </c:pt>
                <c:pt idx="2">
                  <c:v>49.207164919872667</c:v>
                </c:pt>
                <c:pt idx="3">
                  <c:v>49.702344608841337</c:v>
                </c:pt>
                <c:pt idx="4">
                  <c:v>50.099125009055783</c:v>
                </c:pt>
                <c:pt idx="5">
                  <c:v>50.374149671233603</c:v>
                </c:pt>
                <c:pt idx="6">
                  <c:v>50.920899771153657</c:v>
                </c:pt>
                <c:pt idx="7">
                  <c:v>51.111829662593181</c:v>
                </c:pt>
                <c:pt idx="8">
                  <c:v>51.043112898506827</c:v>
                </c:pt>
                <c:pt idx="9">
                  <c:v>51.102996985732908</c:v>
                </c:pt>
                <c:pt idx="10">
                  <c:v>51.038350497377102</c:v>
                </c:pt>
                <c:pt idx="11">
                  <c:v>51.176755908150568</c:v>
                </c:pt>
                <c:pt idx="12">
                  <c:v>51.003443693274697</c:v>
                </c:pt>
                <c:pt idx="13">
                  <c:v>50.771728450148423</c:v>
                </c:pt>
                <c:pt idx="14">
                  <c:v>50.625165350376037</c:v>
                </c:pt>
                <c:pt idx="15">
                  <c:v>50.848068466360921</c:v>
                </c:pt>
                <c:pt idx="16">
                  <c:v>51.003595464685453</c:v>
                </c:pt>
                <c:pt idx="17">
                  <c:v>51.440668909963499</c:v>
                </c:pt>
                <c:pt idx="18">
                  <c:v>51.986653781313379</c:v>
                </c:pt>
                <c:pt idx="19">
                  <c:v>52.309927472766567</c:v>
                </c:pt>
              </c:numCache>
            </c:numRef>
          </c:val>
          <c:smooth val="1"/>
          <c:extLst>
            <c:ext xmlns:c16="http://schemas.microsoft.com/office/drawing/2014/chart" uri="{C3380CC4-5D6E-409C-BE32-E72D297353CC}">
              <c16:uniqueId val="{00000032-5FCB-4205-83E7-B1FDD04EF6E8}"/>
            </c:ext>
          </c:extLst>
        </c:ser>
        <c:ser>
          <c:idx val="6"/>
          <c:order val="6"/>
          <c:tx>
            <c:strRef>
              <c:f>[F_Section_4I_Women_in_management_tiers_WA_public_sector.xlsx]Input_Women_in_management_PS!$I$1</c:f>
              <c:strCache>
                <c:ptCount val="1"/>
                <c:pt idx="0">
                  <c:v>Parity (50%)</c:v>
                </c:pt>
              </c:strCache>
            </c:strRef>
          </c:tx>
          <c:spPr>
            <a:ln w="28575">
              <a:solidFill>
                <a:srgbClr val="6FBD77"/>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33-5FCB-4205-83E7-B1FDD04EF6E8}"/>
                </c:ext>
              </c:extLst>
            </c:dLbl>
            <c:dLbl>
              <c:idx val="1"/>
              <c:layout>
                <c:manualLayout>
                  <c:x val="-0.10554830287206267"/>
                  <c:y val="-4.1509353315568376E-2"/>
                </c:manualLayout>
              </c:layout>
              <c:tx>
                <c:rich>
                  <a:bodyPr/>
                  <a:lstStyle/>
                  <a:p>
                    <a:r>
                      <a:rPr lang="en-US"/>
                      <a:t>Parity (50%)</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5FCB-4205-83E7-B1FDD04EF6E8}"/>
                </c:ext>
              </c:extLst>
            </c:dLbl>
            <c:dLbl>
              <c:idx val="2"/>
              <c:delete val="1"/>
              <c:extLst>
                <c:ext xmlns:c15="http://schemas.microsoft.com/office/drawing/2012/chart" uri="{CE6537A1-D6FC-4f65-9D91-7224C49458BB}"/>
                <c:ext xmlns:c16="http://schemas.microsoft.com/office/drawing/2014/chart" uri="{C3380CC4-5D6E-409C-BE32-E72D297353CC}">
                  <c16:uniqueId val="{00000035-5FCB-4205-83E7-B1FDD04EF6E8}"/>
                </c:ext>
              </c:extLst>
            </c:dLbl>
            <c:dLbl>
              <c:idx val="3"/>
              <c:delete val="1"/>
              <c:extLst>
                <c:ext xmlns:c15="http://schemas.microsoft.com/office/drawing/2012/chart" uri="{CE6537A1-D6FC-4f65-9D91-7224C49458BB}"/>
                <c:ext xmlns:c16="http://schemas.microsoft.com/office/drawing/2014/chart" uri="{C3380CC4-5D6E-409C-BE32-E72D297353CC}">
                  <c16:uniqueId val="{00000036-5FCB-4205-83E7-B1FDD04EF6E8}"/>
                </c:ext>
              </c:extLst>
            </c:dLbl>
            <c:dLbl>
              <c:idx val="4"/>
              <c:delete val="1"/>
              <c:extLst>
                <c:ext xmlns:c15="http://schemas.microsoft.com/office/drawing/2012/chart" uri="{CE6537A1-D6FC-4f65-9D91-7224C49458BB}"/>
                <c:ext xmlns:c16="http://schemas.microsoft.com/office/drawing/2014/chart" uri="{C3380CC4-5D6E-409C-BE32-E72D297353CC}">
                  <c16:uniqueId val="{00000037-5FCB-4205-83E7-B1FDD04EF6E8}"/>
                </c:ext>
              </c:extLst>
            </c:dLbl>
            <c:dLbl>
              <c:idx val="5"/>
              <c:delete val="1"/>
              <c:extLst>
                <c:ext xmlns:c15="http://schemas.microsoft.com/office/drawing/2012/chart" uri="{CE6537A1-D6FC-4f65-9D91-7224C49458BB}"/>
                <c:ext xmlns:c16="http://schemas.microsoft.com/office/drawing/2014/chart" uri="{C3380CC4-5D6E-409C-BE32-E72D297353CC}">
                  <c16:uniqueId val="{00000038-5FCB-4205-83E7-B1FDD04EF6E8}"/>
                </c:ext>
              </c:extLst>
            </c:dLbl>
            <c:dLbl>
              <c:idx val="6"/>
              <c:delete val="1"/>
              <c:extLst>
                <c:ext xmlns:c15="http://schemas.microsoft.com/office/drawing/2012/chart" uri="{CE6537A1-D6FC-4f65-9D91-7224C49458BB}"/>
                <c:ext xmlns:c16="http://schemas.microsoft.com/office/drawing/2014/chart" uri="{C3380CC4-5D6E-409C-BE32-E72D297353CC}">
                  <c16:uniqueId val="{00000039-5FCB-4205-83E7-B1FDD04EF6E8}"/>
                </c:ext>
              </c:extLst>
            </c:dLbl>
            <c:dLbl>
              <c:idx val="7"/>
              <c:delete val="1"/>
              <c:extLst>
                <c:ext xmlns:c15="http://schemas.microsoft.com/office/drawing/2012/chart" uri="{CE6537A1-D6FC-4f65-9D91-7224C49458BB}"/>
                <c:ext xmlns:c16="http://schemas.microsoft.com/office/drawing/2014/chart" uri="{C3380CC4-5D6E-409C-BE32-E72D297353CC}">
                  <c16:uniqueId val="{0000003A-5FCB-4205-83E7-B1FDD04EF6E8}"/>
                </c:ext>
              </c:extLst>
            </c:dLbl>
            <c:dLbl>
              <c:idx val="8"/>
              <c:delete val="1"/>
              <c:extLst>
                <c:ext xmlns:c15="http://schemas.microsoft.com/office/drawing/2012/chart" uri="{CE6537A1-D6FC-4f65-9D91-7224C49458BB}"/>
                <c:ext xmlns:c16="http://schemas.microsoft.com/office/drawing/2014/chart" uri="{C3380CC4-5D6E-409C-BE32-E72D297353CC}">
                  <c16:uniqueId val="{0000003B-5FCB-4205-83E7-B1FDD04EF6E8}"/>
                </c:ext>
              </c:extLst>
            </c:dLbl>
            <c:dLbl>
              <c:idx val="9"/>
              <c:delete val="1"/>
              <c:extLst>
                <c:ext xmlns:c15="http://schemas.microsoft.com/office/drawing/2012/chart" uri="{CE6537A1-D6FC-4f65-9D91-7224C49458BB}"/>
                <c:ext xmlns:c16="http://schemas.microsoft.com/office/drawing/2014/chart" uri="{C3380CC4-5D6E-409C-BE32-E72D297353CC}">
                  <c16:uniqueId val="{0000003C-5FCB-4205-83E7-B1FDD04EF6E8}"/>
                </c:ext>
              </c:extLst>
            </c:dLbl>
            <c:dLbl>
              <c:idx val="10"/>
              <c:delete val="1"/>
              <c:extLst>
                <c:ext xmlns:c15="http://schemas.microsoft.com/office/drawing/2012/chart" uri="{CE6537A1-D6FC-4f65-9D91-7224C49458BB}"/>
                <c:ext xmlns:c16="http://schemas.microsoft.com/office/drawing/2014/chart" uri="{C3380CC4-5D6E-409C-BE32-E72D297353CC}">
                  <c16:uniqueId val="{0000003D-5FCB-4205-83E7-B1FDD04EF6E8}"/>
                </c:ext>
              </c:extLst>
            </c:dLbl>
            <c:dLbl>
              <c:idx val="11"/>
              <c:delete val="1"/>
              <c:extLst>
                <c:ext xmlns:c15="http://schemas.microsoft.com/office/drawing/2012/chart" uri="{CE6537A1-D6FC-4f65-9D91-7224C49458BB}"/>
                <c:ext xmlns:c16="http://schemas.microsoft.com/office/drawing/2014/chart" uri="{C3380CC4-5D6E-409C-BE32-E72D297353CC}">
                  <c16:uniqueId val="{0000003E-5FCB-4205-83E7-B1FDD04EF6E8}"/>
                </c:ext>
              </c:extLst>
            </c:dLbl>
            <c:dLbl>
              <c:idx val="12"/>
              <c:delete val="1"/>
              <c:extLst>
                <c:ext xmlns:c15="http://schemas.microsoft.com/office/drawing/2012/chart" uri="{CE6537A1-D6FC-4f65-9D91-7224C49458BB}"/>
                <c:ext xmlns:c16="http://schemas.microsoft.com/office/drawing/2014/chart" uri="{C3380CC4-5D6E-409C-BE32-E72D297353CC}">
                  <c16:uniqueId val="{0000003F-5FCB-4205-83E7-B1FDD04EF6E8}"/>
                </c:ext>
              </c:extLst>
            </c:dLbl>
            <c:dLbl>
              <c:idx val="13"/>
              <c:delete val="1"/>
              <c:extLst>
                <c:ext xmlns:c15="http://schemas.microsoft.com/office/drawing/2012/chart" uri="{CE6537A1-D6FC-4f65-9D91-7224C49458BB}"/>
                <c:ext xmlns:c16="http://schemas.microsoft.com/office/drawing/2014/chart" uri="{C3380CC4-5D6E-409C-BE32-E72D297353CC}">
                  <c16:uniqueId val="{00000040-5FCB-4205-83E7-B1FDD04EF6E8}"/>
                </c:ext>
              </c:extLst>
            </c:dLbl>
            <c:dLbl>
              <c:idx val="14"/>
              <c:delete val="1"/>
              <c:extLst>
                <c:ext xmlns:c15="http://schemas.microsoft.com/office/drawing/2012/chart" uri="{CE6537A1-D6FC-4f65-9D91-7224C49458BB}"/>
                <c:ext xmlns:c16="http://schemas.microsoft.com/office/drawing/2014/chart" uri="{C3380CC4-5D6E-409C-BE32-E72D297353CC}">
                  <c16:uniqueId val="{00000041-5FCB-4205-83E7-B1FDD04EF6E8}"/>
                </c:ext>
              </c:extLst>
            </c:dLbl>
            <c:dLbl>
              <c:idx val="15"/>
              <c:delete val="1"/>
              <c:extLst>
                <c:ext xmlns:c15="http://schemas.microsoft.com/office/drawing/2012/chart" uri="{CE6537A1-D6FC-4f65-9D91-7224C49458BB}"/>
                <c:ext xmlns:c16="http://schemas.microsoft.com/office/drawing/2014/chart" uri="{C3380CC4-5D6E-409C-BE32-E72D297353CC}">
                  <c16:uniqueId val="{00000042-5FCB-4205-83E7-B1FDD04EF6E8}"/>
                </c:ext>
              </c:extLst>
            </c:dLbl>
            <c:dLbl>
              <c:idx val="16"/>
              <c:delete val="1"/>
              <c:extLst>
                <c:ext xmlns:c15="http://schemas.microsoft.com/office/drawing/2012/chart" uri="{CE6537A1-D6FC-4f65-9D91-7224C49458BB}"/>
                <c:ext xmlns:c16="http://schemas.microsoft.com/office/drawing/2014/chart" uri="{C3380CC4-5D6E-409C-BE32-E72D297353CC}">
                  <c16:uniqueId val="{00000043-5FCB-4205-83E7-B1FDD04EF6E8}"/>
                </c:ext>
              </c:extLst>
            </c:dLbl>
            <c:dLbl>
              <c:idx val="17"/>
              <c:delete val="1"/>
              <c:extLst>
                <c:ext xmlns:c15="http://schemas.microsoft.com/office/drawing/2012/chart" uri="{CE6537A1-D6FC-4f65-9D91-7224C49458BB}"/>
                <c:ext xmlns:c16="http://schemas.microsoft.com/office/drawing/2014/chart" uri="{C3380CC4-5D6E-409C-BE32-E72D297353CC}">
                  <c16:uniqueId val="{00000044-5FCB-4205-83E7-B1FDD04EF6E8}"/>
                </c:ext>
              </c:extLst>
            </c:dLbl>
            <c:dLbl>
              <c:idx val="18"/>
              <c:delete val="1"/>
              <c:extLst>
                <c:ext xmlns:c15="http://schemas.microsoft.com/office/drawing/2012/chart" uri="{CE6537A1-D6FC-4f65-9D91-7224C49458BB}"/>
                <c:ext xmlns:c16="http://schemas.microsoft.com/office/drawing/2014/chart" uri="{C3380CC4-5D6E-409C-BE32-E72D297353CC}">
                  <c16:uniqueId val="{00000045-5FCB-4205-83E7-B1FDD04EF6E8}"/>
                </c:ext>
              </c:extLst>
            </c:dLbl>
            <c:dLbl>
              <c:idx val="19"/>
              <c:delete val="1"/>
              <c:extLst>
                <c:ext xmlns:c15="http://schemas.microsoft.com/office/drawing/2012/chart" uri="{CE6537A1-D6FC-4f65-9D91-7224C49458BB}"/>
                <c:ext xmlns:c16="http://schemas.microsoft.com/office/drawing/2014/chart" uri="{C3380CC4-5D6E-409C-BE32-E72D297353CC}">
                  <c16:uniqueId val="{00000046-5FCB-4205-83E7-B1FDD04EF6E8}"/>
                </c:ext>
              </c:extLst>
            </c:dLbl>
            <c:numFmt formatCode="0.0\%" sourceLinked="0"/>
            <c:spPr>
              <a:noFill/>
              <a:ln>
                <a:noFill/>
              </a:ln>
              <a:effectLst/>
            </c:spPr>
            <c:txPr>
              <a:bodyPr/>
              <a:lstStyle/>
              <a:p>
                <a:pPr>
                  <a:defRPr sz="800" baseline="0">
                    <a:latin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[F_Section_4I_Women_in_management_tiers_WA_public_sector.xlsx]Input_Women_in_management_PS!$B$2:$B$21</c:f>
              <c:strCache>
                <c:ptCount val="20"/>
                <c:pt idx="0">
                  <c:v>September 2018</c:v>
                </c:pt>
                <c:pt idx="1">
                  <c:v>December 2018</c:v>
                </c:pt>
                <c:pt idx="2">
                  <c:v>March 2019</c:v>
                </c:pt>
                <c:pt idx="3">
                  <c:v>June 2019</c:v>
                </c:pt>
                <c:pt idx="4">
                  <c:v>September 2019</c:v>
                </c:pt>
                <c:pt idx="5">
                  <c:v>December 2019</c:v>
                </c:pt>
                <c:pt idx="6">
                  <c:v>March 2020</c:v>
                </c:pt>
                <c:pt idx="7">
                  <c:v>June 2020</c:v>
                </c:pt>
                <c:pt idx="8">
                  <c:v>September 2020</c:v>
                </c:pt>
                <c:pt idx="9">
                  <c:v>December 2020</c:v>
                </c:pt>
                <c:pt idx="10">
                  <c:v>March 2021</c:v>
                </c:pt>
                <c:pt idx="11">
                  <c:v>June 2021</c:v>
                </c:pt>
                <c:pt idx="12">
                  <c:v>September 2021</c:v>
                </c:pt>
                <c:pt idx="13">
                  <c:v>December 2021</c:v>
                </c:pt>
                <c:pt idx="14">
                  <c:v>March 2022</c:v>
                </c:pt>
                <c:pt idx="15">
                  <c:v>June 2022</c:v>
                </c:pt>
                <c:pt idx="16">
                  <c:v>September 2022</c:v>
                </c:pt>
                <c:pt idx="17">
                  <c:v>December 2022</c:v>
                </c:pt>
                <c:pt idx="18">
                  <c:v>March 2023</c:v>
                </c:pt>
                <c:pt idx="19">
                  <c:v>June 2023</c:v>
                </c:pt>
              </c:strCache>
            </c:strRef>
          </c:cat>
          <c:val>
            <c:numRef>
              <c:f>[F_Section_4I_Women_in_management_tiers_WA_public_sector.xlsx]Input_Women_in_management_PS!$I$2:$I$21</c:f>
              <c:numCache>
                <c:formatCode>General</c:formatCode>
                <c:ptCount val="2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numCache>
            </c:numRef>
          </c:val>
          <c:smooth val="0"/>
          <c:extLst>
            <c:ext xmlns:c16="http://schemas.microsoft.com/office/drawing/2014/chart" uri="{C3380CC4-5D6E-409C-BE32-E72D297353CC}">
              <c16:uniqueId val="{00000047-5FCB-4205-83E7-B1FDD04EF6E8}"/>
            </c:ext>
          </c:extLst>
        </c:ser>
        <c:dLbls>
          <c:showLegendKey val="0"/>
          <c:showVal val="0"/>
          <c:showCatName val="0"/>
          <c:showSerName val="0"/>
          <c:showPercent val="0"/>
          <c:showBubbleSize val="0"/>
        </c:dLbls>
        <c:marker val="1"/>
        <c:smooth val="0"/>
        <c:axId val="50010001"/>
        <c:axId val="50010002"/>
      </c:lineChart>
      <c:catAx>
        <c:axId val="50010001"/>
        <c:scaling>
          <c:orientation val="minMax"/>
        </c:scaling>
        <c:delete val="0"/>
        <c:axPos val="b"/>
        <c:numFmt formatCode="General" sourceLinked="0"/>
        <c:majorTickMark val="out"/>
        <c:minorTickMark val="none"/>
        <c:tickLblPos val="nextTo"/>
        <c:txPr>
          <a:bodyPr rot="-540000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55"/>
          <c:min val="25"/>
        </c:scaling>
        <c:delete val="1"/>
        <c:axPos val="l"/>
        <c:numFmt formatCode="General" sourceLinked="1"/>
        <c:majorTickMark val="out"/>
        <c:minorTickMark val="none"/>
        <c:tickLblPos val="nextTo"/>
        <c:crossAx val="50010001"/>
        <c:crosses val="autoZero"/>
        <c:crossBetween val="between"/>
      </c:valAx>
    </c:plotArea>
    <c:legend>
      <c:legendPos val="b"/>
      <c:legendEntry>
        <c:idx val="6"/>
        <c:delete val="1"/>
      </c:legendEntry>
      <c:layout>
        <c:manualLayout>
          <c:xMode val="edge"/>
          <c:yMode val="edge"/>
          <c:x val="3.1183398093515079E-2"/>
          <c:y val="0.8572223047590749"/>
          <c:w val="0.95068786277694406"/>
          <c:h val="0.12273436339325507"/>
        </c:manualLayout>
      </c:layout>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[F_Section_4J_Age_profile_of_SES.xlsx]Input_Age_profile_of_SES!$C$1</c:f>
              <c:strCache>
                <c:ptCount val="1"/>
                <c:pt idx="0">
                  <c:v>SES headcount as percent of SES total 2018-19 (average)</c:v>
                </c:pt>
              </c:strCache>
            </c:strRef>
          </c:tx>
          <c:spPr>
            <a:solidFill>
              <a:srgbClr val="B1388D"/>
            </a:solidFill>
            <a:ln>
              <a:solidFill>
                <a:srgbClr val="B1388D"/>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[F_Section_4J_Age_profile_of_SES.xlsx]Input_Age_profile_of_SES!$A$2:$A$13</c:f>
              <c:strCache>
                <c:ptCount val="12"/>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strCache>
            </c:strRef>
          </c:cat>
          <c:val>
            <c:numRef>
              <c:f>[F_Section_4J_Age_profile_of_SES.xlsx]Input_Age_profile_of_SES!$C$2:$C$13</c:f>
              <c:numCache>
                <c:formatCode>General</c:formatCode>
                <c:ptCount val="12"/>
                <c:pt idx="3">
                  <c:v>0.66616381507498657</c:v>
                </c:pt>
                <c:pt idx="4">
                  <c:v>6.203416797357411</c:v>
                </c:pt>
                <c:pt idx="5">
                  <c:v>8.939628628690345</c:v>
                </c:pt>
                <c:pt idx="6">
                  <c:v>16.823640490668708</c:v>
                </c:pt>
                <c:pt idx="7">
                  <c:v>22.083676619105201</c:v>
                </c:pt>
                <c:pt idx="8">
                  <c:v>24.11902790606057</c:v>
                </c:pt>
                <c:pt idx="9">
                  <c:v>16.153208908011411</c:v>
                </c:pt>
                <c:pt idx="10">
                  <c:v>4.7427328213145676</c:v>
                </c:pt>
                <c:pt idx="11">
                  <c:v>0.26850401371677962</c:v>
                </c:pt>
              </c:numCache>
            </c:numRef>
          </c:val>
          <c:extLst>
            <c:ext xmlns:c16="http://schemas.microsoft.com/office/drawing/2014/chart" uri="{C3380CC4-5D6E-409C-BE32-E72D297353CC}">
              <c16:uniqueId val="{00000000-CF92-4B20-B968-AEDD17EA4B8F}"/>
            </c:ext>
          </c:extLst>
        </c:ser>
        <c:ser>
          <c:idx val="1"/>
          <c:order val="1"/>
          <c:tx>
            <c:strRef>
              <c:f>[F_Section_4J_Age_profile_of_SES.xlsx]Input_Age_profile_of_SES!$D$1</c:f>
              <c:strCache>
                <c:ptCount val="1"/>
                <c:pt idx="0">
                  <c:v>SES headcount as percent of SES total 2022-23 (average)</c:v>
                </c:pt>
              </c:strCache>
            </c:strRef>
          </c:tx>
          <c:spPr>
            <a:solidFill>
              <a:srgbClr val="AF85B7"/>
            </a:solidFill>
            <a:ln>
              <a:solidFill>
                <a:srgbClr val="AF85B7"/>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[F_Section_4J_Age_profile_of_SES.xlsx]Input_Age_profile_of_SES!$A$2:$A$13</c:f>
              <c:strCache>
                <c:ptCount val="12"/>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strCache>
            </c:strRef>
          </c:cat>
          <c:val>
            <c:numRef>
              <c:f>[F_Section_4J_Age_profile_of_SES.xlsx]Input_Age_profile_of_SES!$D$2:$D$13</c:f>
              <c:numCache>
                <c:formatCode>General</c:formatCode>
                <c:ptCount val="12"/>
                <c:pt idx="3">
                  <c:v>0.60040269480052311</c:v>
                </c:pt>
                <c:pt idx="4">
                  <c:v>3.5562266613753288</c:v>
                </c:pt>
                <c:pt idx="5">
                  <c:v>11.209318485467611</c:v>
                </c:pt>
                <c:pt idx="6">
                  <c:v>16.109329993995491</c:v>
                </c:pt>
                <c:pt idx="7">
                  <c:v>22.514971106341889</c:v>
                </c:pt>
                <c:pt idx="8">
                  <c:v>22.335642544134188</c:v>
                </c:pt>
                <c:pt idx="9">
                  <c:v>18.564921680805259</c:v>
                </c:pt>
                <c:pt idx="10">
                  <c:v>4.6052813781614619</c:v>
                </c:pt>
                <c:pt idx="11">
                  <c:v>0.50390545491823324</c:v>
                </c:pt>
              </c:numCache>
            </c:numRef>
          </c:val>
          <c:extLst>
            <c:ext xmlns:c16="http://schemas.microsoft.com/office/drawing/2014/chart" uri="{C3380CC4-5D6E-409C-BE32-E72D297353CC}">
              <c16:uniqueId val="{00000001-CF92-4B20-B968-AEDD17EA4B8F}"/>
            </c:ext>
          </c:extLst>
        </c:ser>
        <c:dLbls>
          <c:showLegendKey val="0"/>
          <c:showVal val="0"/>
          <c:showCatName val="0"/>
          <c:showSerName val="0"/>
          <c:showPercent val="0"/>
          <c:showBubbleSize val="0"/>
        </c:dLbls>
        <c:gapWidth val="50"/>
        <c:axId val="50010001"/>
        <c:axId val="50010002"/>
      </c:barChart>
      <c:areaChart>
        <c:grouping val="standard"/>
        <c:varyColors val="0"/>
        <c:ser>
          <c:idx val="2"/>
          <c:order val="2"/>
          <c:tx>
            <c:strRef>
              <c:f>[F_Section_4J_Age_profile_of_SES.xlsx]Input_Age_profile_of_SES!$B$1</c:f>
              <c:strCache>
                <c:ptCount val="1"/>
                <c:pt idx="0">
                  <c:v>Public sector headcount as percent of total 2022-23 (average)</c:v>
                </c:pt>
              </c:strCache>
            </c:strRef>
          </c:tx>
          <c:spPr>
            <a:noFill/>
            <a:ln w="28575">
              <a:solidFill>
                <a:srgbClr val="6FBD77"/>
              </a:solidFill>
            </a:ln>
          </c:spPr>
          <c:cat>
            <c:strRef>
              <c:f>[F_Section_4J_Age_profile_of_SES.xlsx]Input_Age_profile_of_SES!$A$2:$A$13</c:f>
              <c:strCache>
                <c:ptCount val="12"/>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strCache>
            </c:strRef>
          </c:cat>
          <c:val>
            <c:numRef>
              <c:f>[F_Section_4J_Age_profile_of_SES.xlsx]Input_Age_profile_of_SES!$B$2:$B$13</c:f>
              <c:numCache>
                <c:formatCode>General</c:formatCode>
                <c:ptCount val="12"/>
                <c:pt idx="0">
                  <c:v>0.63539249843762236</c:v>
                </c:pt>
                <c:pt idx="1">
                  <c:v>4.6358470082963414</c:v>
                </c:pt>
                <c:pt idx="2">
                  <c:v>9.1020205727131316</c:v>
                </c:pt>
                <c:pt idx="3">
                  <c:v>10.946777816847881</c:v>
                </c:pt>
                <c:pt idx="4">
                  <c:v>12.477677577462449</c:v>
                </c:pt>
                <c:pt idx="5">
                  <c:v>12.18961659943708</c:v>
                </c:pt>
                <c:pt idx="6">
                  <c:v>11.87683397031252</c:v>
                </c:pt>
                <c:pt idx="7">
                  <c:v>12.47690982432273</c:v>
                </c:pt>
                <c:pt idx="8">
                  <c:v>10.922363267004579</c:v>
                </c:pt>
                <c:pt idx="9">
                  <c:v>8.9289690150187866</c:v>
                </c:pt>
                <c:pt idx="10">
                  <c:v>4.2379973312900869</c:v>
                </c:pt>
                <c:pt idx="11">
                  <c:v>1.569594518856785</c:v>
                </c:pt>
              </c:numCache>
            </c:numRef>
          </c:val>
          <c:extLst>
            <c:ext xmlns:c16="http://schemas.microsoft.com/office/drawing/2014/chart" uri="{C3380CC4-5D6E-409C-BE32-E72D297353CC}">
              <c16:uniqueId val="{00000002-CF92-4B20-B968-AEDD17EA4B8F}"/>
            </c:ext>
          </c:extLst>
        </c:ser>
        <c:dLbls>
          <c:showLegendKey val="0"/>
          <c:showVal val="0"/>
          <c:showCatName val="0"/>
          <c:showSerName val="0"/>
          <c:showPercent val="0"/>
          <c:showBubbleSize val="0"/>
        </c:dLbls>
        <c:axId val="50010001"/>
        <c:axId val="50010002"/>
      </c:areaChart>
      <c:catAx>
        <c:axId val="50010001"/>
        <c:scaling>
          <c:orientation val="minMax"/>
        </c:scaling>
        <c:delete val="0"/>
        <c:axPos val="b"/>
        <c:title>
          <c:tx>
            <c:rich>
              <a:bodyPr/>
              <a:lstStyle/>
              <a:p>
                <a:pPr>
                  <a:defRPr sz="800" b="0" baseline="0">
                    <a:latin typeface="Arial"/>
                  </a:defRPr>
                </a:pPr>
                <a:r>
                  <a:rPr lang="en-US" sz="800" b="0" baseline="0">
                    <a:latin typeface="Arial"/>
                  </a:rPr>
                  <a:t>
Age group</a:t>
                </a:r>
              </a:p>
            </c:rich>
          </c:tx>
          <c:overlay val="0"/>
        </c:title>
        <c:numFmt formatCode="General" sourceLinked="0"/>
        <c:majorTickMark val="out"/>
        <c:minorTickMark val="none"/>
        <c:tickLblPos val="nextTo"/>
        <c:txPr>
          <a:bodyPr rot="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30"/>
          <c:min val="0"/>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800" baseline="0">
              <a:latin typeface="Arial"/>
            </a:defRPr>
          </a:pPr>
          <a:endParaRPr lang="en-US"/>
        </a:p>
      </c:txPr>
    </c:legend>
    <c:plotVisOnly val="1"/>
    <c:dispBlanksAs val="gap"/>
    <c:showDLblsOverMax val="0"/>
  </c:chart>
  <c:spPr>
    <a:ln w="19050">
      <a:solidFill>
        <a:schemeClr val="accent1">
          <a:lumMod val="7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1"/>
          <c:order val="0"/>
          <c:tx>
            <c:strRef>
              <c:f>'[RAMS Advertisement.xlsx]Graph'!$E$25</c:f>
              <c:strCache>
                <c:ptCount val="1"/>
                <c:pt idx="0">
                  <c:v>2020-21</c:v>
                </c:pt>
              </c:strCache>
            </c:strRef>
          </c:tx>
          <c:spPr>
            <a:ln w="28575" cap="rnd">
              <a:solidFill>
                <a:srgbClr val="C3D534"/>
              </a:solidFill>
              <a:prstDash val="sysDot"/>
              <a:round/>
            </a:ln>
            <a:effectLst/>
          </c:spPr>
          <c:marker>
            <c:symbol val="circle"/>
            <c:size val="5"/>
            <c:spPr>
              <a:solidFill>
                <a:srgbClr val="C3D534"/>
              </a:solidFill>
              <a:ln w="9525">
                <a:solidFill>
                  <a:srgbClr val="C3D534"/>
                </a:solidFill>
              </a:ln>
              <a:effectLst/>
            </c:spPr>
          </c:marker>
          <c:cat>
            <c:strRef>
              <c:f>'[RAMS Advertisement.xlsx]Graph'!$B$26:$B$37</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'[RAMS Advertisement.xlsx]Graph'!$E$26:$E$37</c:f>
              <c:numCache>
                <c:formatCode>General</c:formatCode>
                <c:ptCount val="12"/>
                <c:pt idx="0">
                  <c:v>1375</c:v>
                </c:pt>
                <c:pt idx="1">
                  <c:v>1552</c:v>
                </c:pt>
                <c:pt idx="2">
                  <c:v>1596</c:v>
                </c:pt>
                <c:pt idx="3">
                  <c:v>1741</c:v>
                </c:pt>
                <c:pt idx="4">
                  <c:v>1855</c:v>
                </c:pt>
                <c:pt idx="5">
                  <c:v>989</c:v>
                </c:pt>
                <c:pt idx="6">
                  <c:v>1290</c:v>
                </c:pt>
                <c:pt idx="7">
                  <c:v>1606</c:v>
                </c:pt>
                <c:pt idx="8">
                  <c:v>1829</c:v>
                </c:pt>
                <c:pt idx="9">
                  <c:v>1503</c:v>
                </c:pt>
                <c:pt idx="10">
                  <c:v>1927</c:v>
                </c:pt>
                <c:pt idx="11">
                  <c:v>1747</c:v>
                </c:pt>
              </c:numCache>
            </c:numRef>
          </c:val>
          <c:smooth val="0"/>
          <c:extLst>
            <c:ext xmlns:c16="http://schemas.microsoft.com/office/drawing/2014/chart" uri="{C3380CC4-5D6E-409C-BE32-E72D297353CC}">
              <c16:uniqueId val="{00000000-A7FB-4B75-A50C-8FE1BBADFC35}"/>
            </c:ext>
          </c:extLst>
        </c:ser>
        <c:ser>
          <c:idx val="2"/>
          <c:order val="1"/>
          <c:tx>
            <c:strRef>
              <c:f>'[RAMS Advertisement.xlsx]Graph'!$F$25</c:f>
              <c:strCache>
                <c:ptCount val="1"/>
                <c:pt idx="0">
                  <c:v>2021-22</c:v>
                </c:pt>
              </c:strCache>
            </c:strRef>
          </c:tx>
          <c:spPr>
            <a:ln w="28575" cap="rnd">
              <a:solidFill>
                <a:srgbClr val="DF6162"/>
              </a:solidFill>
              <a:prstDash val="sysDash"/>
              <a:round/>
            </a:ln>
            <a:effectLst/>
          </c:spPr>
          <c:marker>
            <c:symbol val="circle"/>
            <c:size val="5"/>
            <c:spPr>
              <a:solidFill>
                <a:srgbClr val="DF6162"/>
              </a:solidFill>
              <a:ln w="9525">
                <a:solidFill>
                  <a:srgbClr val="DF6162"/>
                </a:solidFill>
              </a:ln>
              <a:effectLst/>
            </c:spPr>
          </c:marker>
          <c:cat>
            <c:strRef>
              <c:f>'[RAMS Advertisement.xlsx]Graph'!$B$26:$B$37</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'[RAMS Advertisement.xlsx]Graph'!$F$26:$F$37</c:f>
              <c:numCache>
                <c:formatCode>General</c:formatCode>
                <c:ptCount val="12"/>
                <c:pt idx="0">
                  <c:v>1880</c:v>
                </c:pt>
                <c:pt idx="1">
                  <c:v>1994</c:v>
                </c:pt>
                <c:pt idx="2">
                  <c:v>2014</c:v>
                </c:pt>
                <c:pt idx="3">
                  <c:v>2136</c:v>
                </c:pt>
                <c:pt idx="4">
                  <c:v>2445</c:v>
                </c:pt>
                <c:pt idx="5">
                  <c:v>1152</c:v>
                </c:pt>
                <c:pt idx="6">
                  <c:v>1716</c:v>
                </c:pt>
                <c:pt idx="7">
                  <c:v>2288</c:v>
                </c:pt>
                <c:pt idx="8">
                  <c:v>2290</c:v>
                </c:pt>
                <c:pt idx="9">
                  <c:v>1722</c:v>
                </c:pt>
                <c:pt idx="10">
                  <c:v>2454</c:v>
                </c:pt>
                <c:pt idx="11">
                  <c:v>2094</c:v>
                </c:pt>
              </c:numCache>
            </c:numRef>
          </c:val>
          <c:smooth val="0"/>
          <c:extLst>
            <c:ext xmlns:c16="http://schemas.microsoft.com/office/drawing/2014/chart" uri="{C3380CC4-5D6E-409C-BE32-E72D297353CC}">
              <c16:uniqueId val="{00000001-A7FB-4B75-A50C-8FE1BBADFC35}"/>
            </c:ext>
          </c:extLst>
        </c:ser>
        <c:ser>
          <c:idx val="3"/>
          <c:order val="2"/>
          <c:tx>
            <c:strRef>
              <c:f>'[RAMS Advertisement.xlsx]Graph'!$G$25</c:f>
              <c:strCache>
                <c:ptCount val="1"/>
                <c:pt idx="0">
                  <c:v>2022-23</c:v>
                </c:pt>
              </c:strCache>
            </c:strRef>
          </c:tx>
          <c:spPr>
            <a:ln w="28575" cap="rnd">
              <a:solidFill>
                <a:srgbClr val="3C455A"/>
              </a:solidFill>
              <a:round/>
            </a:ln>
            <a:effectLst/>
          </c:spPr>
          <c:marker>
            <c:symbol val="circle"/>
            <c:size val="5"/>
            <c:spPr>
              <a:solidFill>
                <a:srgbClr val="3C455A"/>
              </a:solidFill>
              <a:ln w="9525">
                <a:solidFill>
                  <a:srgbClr val="3C455A"/>
                </a:solidFill>
              </a:ln>
              <a:effectLst/>
            </c:spPr>
          </c:marker>
          <c:cat>
            <c:strRef>
              <c:f>'[RAMS Advertisement.xlsx]Graph'!$B$26:$B$37</c:f>
              <c:strCache>
                <c:ptCount val="12"/>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strCache>
            </c:strRef>
          </c:cat>
          <c:val>
            <c:numRef>
              <c:f>'[RAMS Advertisement.xlsx]Graph'!$G$26:$G$37</c:f>
              <c:numCache>
                <c:formatCode>General</c:formatCode>
                <c:ptCount val="12"/>
                <c:pt idx="0">
                  <c:v>2075</c:v>
                </c:pt>
                <c:pt idx="1">
                  <c:v>2646</c:v>
                </c:pt>
                <c:pt idx="2">
                  <c:v>2281</c:v>
                </c:pt>
                <c:pt idx="3">
                  <c:v>2361</c:v>
                </c:pt>
                <c:pt idx="4">
                  <c:v>2258</c:v>
                </c:pt>
                <c:pt idx="5">
                  <c:v>1046</c:v>
                </c:pt>
                <c:pt idx="6">
                  <c:v>1676</c:v>
                </c:pt>
                <c:pt idx="7">
                  <c:v>2102</c:v>
                </c:pt>
                <c:pt idx="8">
                  <c:v>2248</c:v>
                </c:pt>
                <c:pt idx="9">
                  <c:v>1561</c:v>
                </c:pt>
                <c:pt idx="10">
                  <c:v>2365</c:v>
                </c:pt>
                <c:pt idx="11">
                  <c:v>2028</c:v>
                </c:pt>
              </c:numCache>
            </c:numRef>
          </c:val>
          <c:smooth val="0"/>
          <c:extLst>
            <c:ext xmlns:c16="http://schemas.microsoft.com/office/drawing/2014/chart" uri="{C3380CC4-5D6E-409C-BE32-E72D297353CC}">
              <c16:uniqueId val="{00000002-A7FB-4B75-A50C-8FE1BBADFC35}"/>
            </c:ext>
          </c:extLst>
        </c:ser>
        <c:dLbls>
          <c:showLegendKey val="0"/>
          <c:showVal val="0"/>
          <c:showCatName val="0"/>
          <c:showSerName val="0"/>
          <c:showPercent val="0"/>
          <c:showBubbleSize val="0"/>
        </c:dLbls>
        <c:marker val="1"/>
        <c:smooth val="0"/>
        <c:axId val="574752800"/>
        <c:axId val="491656712"/>
      </c:lineChart>
      <c:catAx>
        <c:axId val="57475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1656712"/>
        <c:crosses val="autoZero"/>
        <c:auto val="1"/>
        <c:lblAlgn val="ctr"/>
        <c:lblOffset val="100"/>
        <c:noMultiLvlLbl val="0"/>
      </c:catAx>
      <c:valAx>
        <c:axId val="4916567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47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9050" cap="flat" cmpd="sng" algn="ctr">
      <a:solidFill>
        <a:schemeClr val="accent1">
          <a:lumMod val="7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Input_Distribution_by_age_PS!$B$1</c:f>
              <c:strCache>
                <c:ptCount val="1"/>
                <c:pt idx="0">
                  <c:v>Percent of females (headcount), 2022-23</c:v>
                </c:pt>
              </c:strCache>
            </c:strRef>
          </c:tx>
          <c:spPr>
            <a:solidFill>
              <a:srgbClr val="B1388D"/>
            </a:solidFill>
            <a:ln>
              <a:solidFill>
                <a:srgbClr val="B1388D"/>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Input_Distribution_by_age_PS!$A$2:$A$13</c:f>
              <c:strCache>
                <c:ptCount val="12"/>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strCache>
            </c:strRef>
          </c:cat>
          <c:val>
            <c:numRef>
              <c:f>Input_Distribution_by_age_PS!$B$2:$B$13</c:f>
              <c:numCache>
                <c:formatCode>General</c:formatCode>
                <c:ptCount val="12"/>
                <c:pt idx="0">
                  <c:v>0.63378612759192732</c:v>
                </c:pt>
                <c:pt idx="1">
                  <c:v>4.8897165998695513</c:v>
                </c:pt>
                <c:pt idx="2">
                  <c:v>9.2708523395768179</c:v>
                </c:pt>
                <c:pt idx="3">
                  <c:v>11.143897973436349</c:v>
                </c:pt>
                <c:pt idx="4">
                  <c:v>12.612805332024649</c:v>
                </c:pt>
                <c:pt idx="5">
                  <c:v>12.35065024946678</c:v>
                </c:pt>
                <c:pt idx="6">
                  <c:v>12.113242606702361</c:v>
                </c:pt>
                <c:pt idx="7">
                  <c:v>12.646570906658109</c:v>
                </c:pt>
                <c:pt idx="8">
                  <c:v>10.837281388876651</c:v>
                </c:pt>
                <c:pt idx="9">
                  <c:v>8.4881621250920158</c:v>
                </c:pt>
                <c:pt idx="10">
                  <c:v>3.7947472510418039</c:v>
                </c:pt>
                <c:pt idx="11">
                  <c:v>1.2182870996629731</c:v>
                </c:pt>
              </c:numCache>
            </c:numRef>
          </c:val>
          <c:extLst>
            <c:ext xmlns:c16="http://schemas.microsoft.com/office/drawing/2014/chart" uri="{C3380CC4-5D6E-409C-BE32-E72D297353CC}">
              <c16:uniqueId val="{00000000-28CC-4450-9AD9-80A0314FA769}"/>
            </c:ext>
          </c:extLst>
        </c:ser>
        <c:ser>
          <c:idx val="1"/>
          <c:order val="1"/>
          <c:tx>
            <c:strRef>
              <c:f>Input_Distribution_by_age_PS!$C$1</c:f>
              <c:strCache>
                <c:ptCount val="1"/>
                <c:pt idx="0">
                  <c:v>Percent of males (headcount), 2022-23</c:v>
                </c:pt>
              </c:strCache>
            </c:strRef>
          </c:tx>
          <c:spPr>
            <a:solidFill>
              <a:srgbClr val="AF85B7"/>
            </a:solidFill>
            <a:ln>
              <a:solidFill>
                <a:srgbClr val="AF85B7"/>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Input_Distribution_by_age_PS!$A$2:$B$13</c:f>
              <c:multiLvlStrCache>
                <c:ptCount val="12"/>
                <c:lvl>
                  <c:pt idx="0">
                    <c:v>0.633786128</c:v>
                  </c:pt>
                  <c:pt idx="1">
                    <c:v>4.8897166</c:v>
                  </c:pt>
                  <c:pt idx="2">
                    <c:v>9.27085234</c:v>
                  </c:pt>
                  <c:pt idx="3">
                    <c:v>11.14389797</c:v>
                  </c:pt>
                  <c:pt idx="4">
                    <c:v>12.61280533</c:v>
                  </c:pt>
                  <c:pt idx="5">
                    <c:v>12.35065025</c:v>
                  </c:pt>
                  <c:pt idx="6">
                    <c:v>12.11324261</c:v>
                  </c:pt>
                  <c:pt idx="7">
                    <c:v>12.64657091</c:v>
                  </c:pt>
                  <c:pt idx="8">
                    <c:v>10.83728139</c:v>
                  </c:pt>
                  <c:pt idx="9">
                    <c:v>8.488162125</c:v>
                  </c:pt>
                  <c:pt idx="10">
                    <c:v>3.794747251</c:v>
                  </c:pt>
                  <c:pt idx="11">
                    <c:v>1.2182871</c:v>
                  </c:pt>
                </c:lvl>
                <c:lvl>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lvl>
              </c:multiLvlStrCache>
            </c:multiLvlStrRef>
          </c:cat>
          <c:val>
            <c:numRef>
              <c:f>Input_Distribution_by_age_PS!$C$2:$C$13</c:f>
              <c:numCache>
                <c:formatCode>General</c:formatCode>
                <c:ptCount val="12"/>
                <c:pt idx="0">
                  <c:v>0.63720204638785016</c:v>
                </c:pt>
                <c:pt idx="1">
                  <c:v>3.935625960678153</c:v>
                </c:pt>
                <c:pt idx="2">
                  <c:v>8.6352061299869227</c:v>
                </c:pt>
                <c:pt idx="3">
                  <c:v>10.40629516621166</c:v>
                </c:pt>
                <c:pt idx="4">
                  <c:v>12.10741242056482</c:v>
                </c:pt>
                <c:pt idx="5">
                  <c:v>11.752391658445941</c:v>
                </c:pt>
                <c:pt idx="6">
                  <c:v>11.232765147170159</c:v>
                </c:pt>
                <c:pt idx="7">
                  <c:v>12.01794030604051</c:v>
                </c:pt>
                <c:pt idx="8">
                  <c:v>11.15763151253757</c:v>
                </c:pt>
                <c:pt idx="9">
                  <c:v>10.136731744247401</c:v>
                </c:pt>
                <c:pt idx="10">
                  <c:v>5.449769437243341</c:v>
                </c:pt>
                <c:pt idx="11">
                  <c:v>2.5310284704856731</c:v>
                </c:pt>
              </c:numCache>
            </c:numRef>
          </c:val>
          <c:extLst>
            <c:ext xmlns:c16="http://schemas.microsoft.com/office/drawing/2014/chart" uri="{C3380CC4-5D6E-409C-BE32-E72D297353CC}">
              <c16:uniqueId val="{00000001-28CC-4450-9AD9-80A0314FA769}"/>
            </c:ext>
          </c:extLst>
        </c:ser>
        <c:dLbls>
          <c:showLegendKey val="0"/>
          <c:showVal val="0"/>
          <c:showCatName val="0"/>
          <c:showSerName val="0"/>
          <c:showPercent val="0"/>
          <c:showBubbleSize val="0"/>
        </c:dLbls>
        <c:gapWidth val="50"/>
        <c:axId val="50010001"/>
        <c:axId val="50010002"/>
      </c:barChart>
      <c:catAx>
        <c:axId val="50010001"/>
        <c:scaling>
          <c:orientation val="minMax"/>
        </c:scaling>
        <c:delete val="0"/>
        <c:axPos val="b"/>
        <c:title>
          <c:tx>
            <c:rich>
              <a:bodyPr/>
              <a:lstStyle/>
              <a:p>
                <a:pPr>
                  <a:defRPr sz="800" b="0" baseline="0">
                    <a:latin typeface="Arial"/>
                  </a:defRPr>
                </a:pPr>
                <a:r>
                  <a:rPr lang="en-US" sz="800" b="0" baseline="0">
                    <a:latin typeface="Arial"/>
                  </a:rPr>
                  <a:t>
Age group</a:t>
                </a:r>
              </a:p>
            </c:rich>
          </c:tx>
          <c:overlay val="0"/>
        </c:title>
        <c:numFmt formatCode="General" sourceLinked="1"/>
        <c:majorTickMark val="out"/>
        <c:minorTickMark val="none"/>
        <c:tickLblPos val="nextTo"/>
        <c:txPr>
          <a:bodyPr rot="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15"/>
          <c:min val="0"/>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Input_Distribution_by_age_OTH!$B$1</c:f>
              <c:strCache>
                <c:ptCount val="1"/>
                <c:pt idx="0">
                  <c:v>Percent of females (headcount), March 2023</c:v>
                </c:pt>
              </c:strCache>
            </c:strRef>
          </c:tx>
          <c:spPr>
            <a:solidFill>
              <a:srgbClr val="6390C6"/>
            </a:solidFill>
            <a:ln>
              <a:solidFill>
                <a:srgbClr val="6390C6"/>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Input_Distribution_by_age_OTH!$A$2:$A$13</c:f>
              <c:strCache>
                <c:ptCount val="12"/>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strCache>
            </c:strRef>
          </c:cat>
          <c:val>
            <c:numRef>
              <c:f>Input_Distribution_by_age_OTH!$B$2:$B$13</c:f>
              <c:numCache>
                <c:formatCode>General</c:formatCode>
                <c:ptCount val="12"/>
                <c:pt idx="0">
                  <c:v>3.330471594777821</c:v>
                </c:pt>
                <c:pt idx="1">
                  <c:v>8.3069362621747249</c:v>
                </c:pt>
                <c:pt idx="2">
                  <c:v>9.5473519050297515</c:v>
                </c:pt>
                <c:pt idx="3">
                  <c:v>11.86832055419047</c:v>
                </c:pt>
                <c:pt idx="4">
                  <c:v>13.360371828650941</c:v>
                </c:pt>
                <c:pt idx="5">
                  <c:v>12.599544095443919</c:v>
                </c:pt>
                <c:pt idx="6">
                  <c:v>11.270315876728141</c:v>
                </c:pt>
                <c:pt idx="7">
                  <c:v>10.97427395719234</c:v>
                </c:pt>
                <c:pt idx="8">
                  <c:v>8.7095532727434204</c:v>
                </c:pt>
                <c:pt idx="9">
                  <c:v>6.2405636638147959</c:v>
                </c:pt>
                <c:pt idx="10">
                  <c:v>2.5992480535243789</c:v>
                </c:pt>
                <c:pt idx="11">
                  <c:v>1.193048935729299</c:v>
                </c:pt>
              </c:numCache>
            </c:numRef>
          </c:val>
          <c:extLst>
            <c:ext xmlns:c16="http://schemas.microsoft.com/office/drawing/2014/chart" uri="{C3380CC4-5D6E-409C-BE32-E72D297353CC}">
              <c16:uniqueId val="{00000000-1159-440B-A9CA-1EB85BDC9038}"/>
            </c:ext>
          </c:extLst>
        </c:ser>
        <c:ser>
          <c:idx val="1"/>
          <c:order val="1"/>
          <c:tx>
            <c:strRef>
              <c:f>Input_Distribution_by_age_OTH!$C$1</c:f>
              <c:strCache>
                <c:ptCount val="1"/>
                <c:pt idx="0">
                  <c:v>Percent of males (headcount), March 2023</c:v>
                </c:pt>
              </c:strCache>
            </c:strRef>
          </c:tx>
          <c:spPr>
            <a:solidFill>
              <a:srgbClr val="92B9C9"/>
            </a:solidFill>
            <a:ln>
              <a:solidFill>
                <a:srgbClr val="92B9C9"/>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Input_Distribution_by_age_OTH!$A$2:$B$13</c:f>
              <c:multiLvlStrCache>
                <c:ptCount val="12"/>
                <c:lvl>
                  <c:pt idx="0">
                    <c:v>3.330471595</c:v>
                  </c:pt>
                  <c:pt idx="1">
                    <c:v>8.306936262</c:v>
                  </c:pt>
                  <c:pt idx="2">
                    <c:v>9.547351905</c:v>
                  </c:pt>
                  <c:pt idx="3">
                    <c:v>11.86832055</c:v>
                  </c:pt>
                  <c:pt idx="4">
                    <c:v>13.36037183</c:v>
                  </c:pt>
                  <c:pt idx="5">
                    <c:v>12.5995441</c:v>
                  </c:pt>
                  <c:pt idx="6">
                    <c:v>11.27031588</c:v>
                  </c:pt>
                  <c:pt idx="7">
                    <c:v>10.97427396</c:v>
                  </c:pt>
                  <c:pt idx="8">
                    <c:v>8.709553273</c:v>
                  </c:pt>
                  <c:pt idx="9">
                    <c:v>6.240563664</c:v>
                  </c:pt>
                  <c:pt idx="10">
                    <c:v>2.599248054</c:v>
                  </c:pt>
                  <c:pt idx="11">
                    <c:v>1.193048936</c:v>
                  </c:pt>
                </c:lvl>
                <c:lvl>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lvl>
              </c:multiLvlStrCache>
            </c:multiLvlStrRef>
          </c:cat>
          <c:val>
            <c:numRef>
              <c:f>Input_Distribution_by_age_OTH!$C$2:$C$13</c:f>
              <c:numCache>
                <c:formatCode>General</c:formatCode>
                <c:ptCount val="12"/>
                <c:pt idx="0">
                  <c:v>2.668526548806744</c:v>
                </c:pt>
                <c:pt idx="1">
                  <c:v>6.9442338599630036</c:v>
                </c:pt>
                <c:pt idx="2">
                  <c:v>8.9031749401097731</c:v>
                </c:pt>
                <c:pt idx="3">
                  <c:v>10.740819358947141</c:v>
                </c:pt>
                <c:pt idx="4">
                  <c:v>11.632349819571219</c:v>
                </c:pt>
                <c:pt idx="5">
                  <c:v>11.486793825999939</c:v>
                </c:pt>
                <c:pt idx="6">
                  <c:v>11.35033508202687</c:v>
                </c:pt>
                <c:pt idx="7">
                  <c:v>11.647511902234889</c:v>
                </c:pt>
                <c:pt idx="8">
                  <c:v>10.66804136216151</c:v>
                </c:pt>
                <c:pt idx="9">
                  <c:v>8.5514146223125209</c:v>
                </c:pt>
                <c:pt idx="10">
                  <c:v>3.872395912302514</c:v>
                </c:pt>
                <c:pt idx="11">
                  <c:v>1.5344027655638779</c:v>
                </c:pt>
              </c:numCache>
            </c:numRef>
          </c:val>
          <c:extLst>
            <c:ext xmlns:c16="http://schemas.microsoft.com/office/drawing/2014/chart" uri="{C3380CC4-5D6E-409C-BE32-E72D297353CC}">
              <c16:uniqueId val="{00000001-1159-440B-A9CA-1EB85BDC9038}"/>
            </c:ext>
          </c:extLst>
        </c:ser>
        <c:dLbls>
          <c:showLegendKey val="0"/>
          <c:showVal val="0"/>
          <c:showCatName val="0"/>
          <c:showSerName val="0"/>
          <c:showPercent val="0"/>
          <c:showBubbleSize val="0"/>
        </c:dLbls>
        <c:gapWidth val="50"/>
        <c:axId val="50020001"/>
        <c:axId val="50020002"/>
      </c:barChart>
      <c:catAx>
        <c:axId val="50020001"/>
        <c:scaling>
          <c:orientation val="minMax"/>
        </c:scaling>
        <c:delete val="0"/>
        <c:axPos val="b"/>
        <c:title>
          <c:tx>
            <c:rich>
              <a:bodyPr/>
              <a:lstStyle/>
              <a:p>
                <a:pPr>
                  <a:defRPr sz="800" b="0" baseline="0">
                    <a:latin typeface="Arial"/>
                  </a:defRPr>
                </a:pPr>
                <a:r>
                  <a:rPr lang="en-US" sz="800" b="0" baseline="0">
                    <a:latin typeface="Arial"/>
                  </a:rPr>
                  <a:t>
Age group</a:t>
                </a:r>
              </a:p>
            </c:rich>
          </c:tx>
          <c:overlay val="0"/>
        </c:title>
        <c:numFmt formatCode="General" sourceLinked="1"/>
        <c:majorTickMark val="out"/>
        <c:minorTickMark val="none"/>
        <c:tickLblPos val="nextTo"/>
        <c:txPr>
          <a:bodyPr rot="0" vert="horz"/>
          <a:lstStyle/>
          <a:p>
            <a:pPr>
              <a:defRPr sz="800" baseline="0">
                <a:latin typeface="Arial"/>
              </a:defRPr>
            </a:pPr>
            <a:endParaRPr lang="en-US"/>
          </a:p>
        </c:txPr>
        <c:crossAx val="50020002"/>
        <c:crosses val="autoZero"/>
        <c:auto val="1"/>
        <c:lblAlgn val="ctr"/>
        <c:lblOffset val="100"/>
        <c:noMultiLvlLbl val="0"/>
      </c:catAx>
      <c:valAx>
        <c:axId val="50020002"/>
        <c:scaling>
          <c:orientation val="minMax"/>
          <c:max val="15"/>
          <c:min val="0"/>
        </c:scaling>
        <c:delete val="1"/>
        <c:axPos val="l"/>
        <c:numFmt formatCode="General" sourceLinked="1"/>
        <c:majorTickMark val="out"/>
        <c:minorTickMark val="none"/>
        <c:tickLblPos val="nextTo"/>
        <c:crossAx val="5002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Input_Headcount_by_age_PS!$B$1</c:f>
              <c:strCache>
                <c:ptCount val="1"/>
                <c:pt idx="0">
                  <c:v>Public sector headcount as percent of total 2018-19</c:v>
                </c:pt>
              </c:strCache>
            </c:strRef>
          </c:tx>
          <c:spPr>
            <a:solidFill>
              <a:srgbClr val="B1388D"/>
            </a:solidFill>
            <a:ln>
              <a:solidFill>
                <a:srgbClr val="B1388D"/>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Input_Headcount_by_age_PS!$A$2:$A$13</c:f>
              <c:strCache>
                <c:ptCount val="12"/>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strCache>
            </c:strRef>
          </c:cat>
          <c:val>
            <c:numRef>
              <c:f>Input_Headcount_by_age_PS!$B$2:$B$13</c:f>
              <c:numCache>
                <c:formatCode>General</c:formatCode>
                <c:ptCount val="12"/>
                <c:pt idx="0">
                  <c:v>0.37387144410940248</c:v>
                </c:pt>
                <c:pt idx="1">
                  <c:v>3.6428590377320118</c:v>
                </c:pt>
                <c:pt idx="2">
                  <c:v>8.6968440227435515</c:v>
                </c:pt>
                <c:pt idx="3">
                  <c:v>11.09340596178164</c:v>
                </c:pt>
                <c:pt idx="4">
                  <c:v>11.677204276353599</c:v>
                </c:pt>
                <c:pt idx="5">
                  <c:v>12.011106493230869</c:v>
                </c:pt>
                <c:pt idx="6">
                  <c:v>13.40348581180861</c:v>
                </c:pt>
                <c:pt idx="7">
                  <c:v>12.61931079611273</c:v>
                </c:pt>
                <c:pt idx="8">
                  <c:v>12.51160610857128</c:v>
                </c:pt>
                <c:pt idx="9">
                  <c:v>9.1460556916356435</c:v>
                </c:pt>
                <c:pt idx="10">
                  <c:v>3.578837532165501</c:v>
                </c:pt>
                <c:pt idx="11">
                  <c:v>1.245412823755162</c:v>
                </c:pt>
              </c:numCache>
            </c:numRef>
          </c:val>
          <c:extLst>
            <c:ext xmlns:c16="http://schemas.microsoft.com/office/drawing/2014/chart" uri="{C3380CC4-5D6E-409C-BE32-E72D297353CC}">
              <c16:uniqueId val="{00000000-17EF-4016-99C8-0D9D2B9FF01B}"/>
            </c:ext>
          </c:extLst>
        </c:ser>
        <c:ser>
          <c:idx val="1"/>
          <c:order val="1"/>
          <c:tx>
            <c:strRef>
              <c:f>Input_Headcount_by_age_PS!$C$1</c:f>
              <c:strCache>
                <c:ptCount val="1"/>
                <c:pt idx="0">
                  <c:v>Public sector headcount as percent of total 2022-23</c:v>
                </c:pt>
              </c:strCache>
            </c:strRef>
          </c:tx>
          <c:spPr>
            <a:solidFill>
              <a:srgbClr val="AF85B7"/>
            </a:solidFill>
            <a:ln>
              <a:solidFill>
                <a:srgbClr val="AF85B7"/>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Input_Headcount_by_age_PS!$A$2:$B$13</c:f>
              <c:multiLvlStrCache>
                <c:ptCount val="12"/>
                <c:lvl>
                  <c:pt idx="0">
                    <c:v>0.373871444</c:v>
                  </c:pt>
                  <c:pt idx="1">
                    <c:v>3.642859038</c:v>
                  </c:pt>
                  <c:pt idx="2">
                    <c:v>8.696844023</c:v>
                  </c:pt>
                  <c:pt idx="3">
                    <c:v>11.09340596</c:v>
                  </c:pt>
                  <c:pt idx="4">
                    <c:v>11.67720428</c:v>
                  </c:pt>
                  <c:pt idx="5">
                    <c:v>12.01110649</c:v>
                  </c:pt>
                  <c:pt idx="6">
                    <c:v>13.40348581</c:v>
                  </c:pt>
                  <c:pt idx="7">
                    <c:v>12.6193108</c:v>
                  </c:pt>
                  <c:pt idx="8">
                    <c:v>12.51160611</c:v>
                  </c:pt>
                  <c:pt idx="9">
                    <c:v>9.146055692</c:v>
                  </c:pt>
                  <c:pt idx="10">
                    <c:v>3.578837532</c:v>
                  </c:pt>
                  <c:pt idx="11">
                    <c:v>1.245412824</c:v>
                  </c:pt>
                </c:lvl>
                <c:lvl>
                  <c:pt idx="0">
                    <c:v>19 and under</c:v>
                  </c:pt>
                  <c:pt idx="1">
                    <c:v>20 to 24</c:v>
                  </c:pt>
                  <c:pt idx="2">
                    <c:v>25 to 29</c:v>
                  </c:pt>
                  <c:pt idx="3">
                    <c:v>30 to 34</c:v>
                  </c:pt>
                  <c:pt idx="4">
                    <c:v>35 to 39</c:v>
                  </c:pt>
                  <c:pt idx="5">
                    <c:v>40 to 44</c:v>
                  </c:pt>
                  <c:pt idx="6">
                    <c:v>45 to 49</c:v>
                  </c:pt>
                  <c:pt idx="7">
                    <c:v>50 to 54</c:v>
                  </c:pt>
                  <c:pt idx="8">
                    <c:v>55 to 59</c:v>
                  </c:pt>
                  <c:pt idx="9">
                    <c:v>60 to 64</c:v>
                  </c:pt>
                  <c:pt idx="10">
                    <c:v>65 to 69</c:v>
                  </c:pt>
                  <c:pt idx="11">
                    <c:v>70 and above</c:v>
                  </c:pt>
                </c:lvl>
              </c:multiLvlStrCache>
            </c:multiLvlStrRef>
          </c:cat>
          <c:val>
            <c:numRef>
              <c:f>Input_Headcount_by_age_PS!$C$2:$C$13</c:f>
              <c:numCache>
                <c:formatCode>General</c:formatCode>
                <c:ptCount val="12"/>
                <c:pt idx="0">
                  <c:v>0.63539347408829183</c:v>
                </c:pt>
                <c:pt idx="1">
                  <c:v>4.6358541266794626</c:v>
                </c:pt>
                <c:pt idx="2">
                  <c:v>9.1020345489443386</c:v>
                </c:pt>
                <c:pt idx="3">
                  <c:v>10.94679462571977</c:v>
                </c:pt>
                <c:pt idx="4">
                  <c:v>12.47769673704415</c:v>
                </c:pt>
                <c:pt idx="5">
                  <c:v>12.18948176583493</c:v>
                </c:pt>
                <c:pt idx="6">
                  <c:v>11.87685220729367</c:v>
                </c:pt>
                <c:pt idx="7">
                  <c:v>12.47692898272553</c:v>
                </c:pt>
                <c:pt idx="8">
                  <c:v>10.92238003838772</c:v>
                </c:pt>
                <c:pt idx="9">
                  <c:v>8.9289827255278311</c:v>
                </c:pt>
                <c:pt idx="10">
                  <c:v>4.2380038387715926</c:v>
                </c:pt>
                <c:pt idx="11">
                  <c:v>1.5695969289827261</c:v>
                </c:pt>
              </c:numCache>
            </c:numRef>
          </c:val>
          <c:extLst>
            <c:ext xmlns:c16="http://schemas.microsoft.com/office/drawing/2014/chart" uri="{C3380CC4-5D6E-409C-BE32-E72D297353CC}">
              <c16:uniqueId val="{00000001-17EF-4016-99C8-0D9D2B9FF01B}"/>
            </c:ext>
          </c:extLst>
        </c:ser>
        <c:dLbls>
          <c:showLegendKey val="0"/>
          <c:showVal val="0"/>
          <c:showCatName val="0"/>
          <c:showSerName val="0"/>
          <c:showPercent val="0"/>
          <c:showBubbleSize val="0"/>
        </c:dLbls>
        <c:gapWidth val="50"/>
        <c:axId val="50030001"/>
        <c:axId val="50030002"/>
      </c:barChart>
      <c:catAx>
        <c:axId val="50030001"/>
        <c:scaling>
          <c:orientation val="minMax"/>
        </c:scaling>
        <c:delete val="0"/>
        <c:axPos val="b"/>
        <c:title>
          <c:tx>
            <c:rich>
              <a:bodyPr/>
              <a:lstStyle/>
              <a:p>
                <a:pPr>
                  <a:defRPr sz="800" b="0" baseline="0">
                    <a:latin typeface="Arial"/>
                  </a:defRPr>
                </a:pPr>
                <a:r>
                  <a:rPr lang="en-US" sz="800" b="0" baseline="0">
                    <a:latin typeface="Arial"/>
                  </a:rPr>
                  <a:t>
Age group</a:t>
                </a:r>
              </a:p>
            </c:rich>
          </c:tx>
          <c:overlay val="0"/>
        </c:title>
        <c:numFmt formatCode="General" sourceLinked="1"/>
        <c:majorTickMark val="out"/>
        <c:minorTickMark val="none"/>
        <c:tickLblPos val="nextTo"/>
        <c:txPr>
          <a:bodyPr rot="0" vert="horz"/>
          <a:lstStyle/>
          <a:p>
            <a:pPr>
              <a:defRPr sz="800" baseline="0">
                <a:latin typeface="Arial"/>
              </a:defRPr>
            </a:pPr>
            <a:endParaRPr lang="en-US"/>
          </a:p>
        </c:txPr>
        <c:crossAx val="50030002"/>
        <c:crosses val="autoZero"/>
        <c:auto val="1"/>
        <c:lblAlgn val="ctr"/>
        <c:lblOffset val="100"/>
        <c:noMultiLvlLbl val="0"/>
      </c:catAx>
      <c:valAx>
        <c:axId val="50030002"/>
        <c:scaling>
          <c:orientation val="minMax"/>
          <c:max val="15"/>
          <c:min val="0"/>
        </c:scaling>
        <c:delete val="1"/>
        <c:axPos val="l"/>
        <c:numFmt formatCode="General" sourceLinked="1"/>
        <c:majorTickMark val="out"/>
        <c:minorTickMark val="none"/>
        <c:tickLblPos val="nextTo"/>
        <c:crossAx val="5003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Input_Headcount_by_age_OTH!$B$1</c:f>
              <c:strCache>
                <c:ptCount val="1"/>
                <c:pt idx="0">
                  <c:v>Percent of headcount, March 2019</c:v>
                </c:pt>
              </c:strCache>
            </c:strRef>
          </c:tx>
          <c:spPr>
            <a:solidFill>
              <a:srgbClr val="6390C6"/>
            </a:solidFill>
            <a:ln>
              <a:solidFill>
                <a:srgbClr val="6390C6"/>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Input_Headcount_by_age_OTH!$A$2:$A$4</c:f>
              <c:strCache>
                <c:ptCount val="3"/>
                <c:pt idx="0">
                  <c:v>Youth (aged 24 and under)</c:v>
                </c:pt>
                <c:pt idx="1">
                  <c:v>Aged 25 to 44</c:v>
                </c:pt>
                <c:pt idx="2">
                  <c:v>Mature (aged 45 and over)</c:v>
                </c:pt>
              </c:strCache>
            </c:strRef>
          </c:cat>
          <c:val>
            <c:numRef>
              <c:f>Input_Headcount_by_age_OTH!$B$2:$B$4</c:f>
              <c:numCache>
                <c:formatCode>General</c:formatCode>
                <c:ptCount val="3"/>
                <c:pt idx="0">
                  <c:v>8.8509316770186341</c:v>
                </c:pt>
                <c:pt idx="1">
                  <c:v>46.881469979296057</c:v>
                </c:pt>
                <c:pt idx="2">
                  <c:v>44.2675983436853</c:v>
                </c:pt>
              </c:numCache>
            </c:numRef>
          </c:val>
          <c:extLst>
            <c:ext xmlns:c16="http://schemas.microsoft.com/office/drawing/2014/chart" uri="{C3380CC4-5D6E-409C-BE32-E72D297353CC}">
              <c16:uniqueId val="{00000000-A280-41E5-A79C-C8390CE65012}"/>
            </c:ext>
          </c:extLst>
        </c:ser>
        <c:ser>
          <c:idx val="1"/>
          <c:order val="1"/>
          <c:tx>
            <c:strRef>
              <c:f>Input_Headcount_by_age_OTH!$C$1</c:f>
              <c:strCache>
                <c:ptCount val="1"/>
                <c:pt idx="0">
                  <c:v>Percent of headcount, March 2023</c:v>
                </c:pt>
              </c:strCache>
            </c:strRef>
          </c:tx>
          <c:spPr>
            <a:solidFill>
              <a:srgbClr val="92B9C9"/>
            </a:solidFill>
            <a:ln>
              <a:solidFill>
                <a:srgbClr val="92B9C9"/>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Input_Headcount_by_age_OTH!$A$2:$B$4</c:f>
              <c:multiLvlStrCache>
                <c:ptCount val="3"/>
                <c:lvl>
                  <c:pt idx="0">
                    <c:v>8.850931677</c:v>
                  </c:pt>
                  <c:pt idx="1">
                    <c:v>46.88146998</c:v>
                  </c:pt>
                  <c:pt idx="2">
                    <c:v>44.26759834</c:v>
                  </c:pt>
                </c:lvl>
                <c:lvl>
                  <c:pt idx="0">
                    <c:v>Youth (aged 24 and under)</c:v>
                  </c:pt>
                  <c:pt idx="1">
                    <c:v>Aged 25 to 44</c:v>
                  </c:pt>
                  <c:pt idx="2">
                    <c:v>Mature (aged 45 and over)</c:v>
                  </c:pt>
                </c:lvl>
              </c:multiLvlStrCache>
            </c:multiLvlStrRef>
          </c:cat>
          <c:val>
            <c:numRef>
              <c:f>Input_Headcount_by_age_OTH!$C$2:$C$4</c:f>
              <c:numCache>
                <c:formatCode>General</c:formatCode>
                <c:ptCount val="3"/>
                <c:pt idx="0">
                  <c:v>10.71055537318332</c:v>
                </c:pt>
                <c:pt idx="1">
                  <c:v>45.119221701632391</c:v>
                </c:pt>
                <c:pt idx="2">
                  <c:v>44.170222925184277</c:v>
                </c:pt>
              </c:numCache>
            </c:numRef>
          </c:val>
          <c:extLst>
            <c:ext xmlns:c16="http://schemas.microsoft.com/office/drawing/2014/chart" uri="{C3380CC4-5D6E-409C-BE32-E72D297353CC}">
              <c16:uniqueId val="{00000001-A280-41E5-A79C-C8390CE65012}"/>
            </c:ext>
          </c:extLst>
        </c:ser>
        <c:dLbls>
          <c:showLegendKey val="0"/>
          <c:showVal val="0"/>
          <c:showCatName val="0"/>
          <c:showSerName val="0"/>
          <c:showPercent val="0"/>
          <c:showBubbleSize val="0"/>
        </c:dLbls>
        <c:gapWidth val="50"/>
        <c:axId val="50040001"/>
        <c:axId val="50040002"/>
      </c:barChart>
      <c:catAx>
        <c:axId val="50040001"/>
        <c:scaling>
          <c:orientation val="minMax"/>
        </c:scaling>
        <c:delete val="0"/>
        <c:axPos val="b"/>
        <c:title>
          <c:tx>
            <c:rich>
              <a:bodyPr/>
              <a:lstStyle/>
              <a:p>
                <a:pPr>
                  <a:defRPr sz="800" b="0" baseline="0">
                    <a:latin typeface="Arial"/>
                  </a:defRPr>
                </a:pPr>
                <a:r>
                  <a:rPr lang="en-US" sz="800" b="0" baseline="0">
                    <a:latin typeface="Arial"/>
                  </a:rPr>
                  <a:t>
Age group</a:t>
                </a:r>
              </a:p>
            </c:rich>
          </c:tx>
          <c:overlay val="0"/>
        </c:title>
        <c:numFmt formatCode="General" sourceLinked="1"/>
        <c:majorTickMark val="out"/>
        <c:minorTickMark val="none"/>
        <c:tickLblPos val="nextTo"/>
        <c:txPr>
          <a:bodyPr rot="0" vert="horz"/>
          <a:lstStyle/>
          <a:p>
            <a:pPr>
              <a:defRPr sz="800" baseline="0">
                <a:latin typeface="Arial"/>
              </a:defRPr>
            </a:pPr>
            <a:endParaRPr lang="en-US"/>
          </a:p>
        </c:txPr>
        <c:crossAx val="50040002"/>
        <c:crosses val="autoZero"/>
        <c:auto val="1"/>
        <c:lblAlgn val="ctr"/>
        <c:lblOffset val="100"/>
        <c:noMultiLvlLbl val="0"/>
      </c:catAx>
      <c:valAx>
        <c:axId val="50040002"/>
        <c:scaling>
          <c:orientation val="minMax"/>
          <c:max val="60"/>
          <c:min val="0"/>
        </c:scaling>
        <c:delete val="1"/>
        <c:axPos val="l"/>
        <c:numFmt formatCode="General" sourceLinked="1"/>
        <c:majorTickMark val="out"/>
        <c:minorTickMark val="none"/>
        <c:tickLblPos val="nextTo"/>
        <c:crossAx val="5004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Input_By_PSCSAA_proportion!$B$1</c:f>
              <c:strCache>
                <c:ptCount val="1"/>
                <c:pt idx="0">
                  <c:v>Percent of total FTE 2018-19</c:v>
                </c:pt>
              </c:strCache>
            </c:strRef>
          </c:tx>
          <c:spPr>
            <a:solidFill>
              <a:srgbClr val="B1388D"/>
            </a:solidFill>
            <a:ln>
              <a:solidFill>
                <a:srgbClr val="B1388D"/>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Input_By_PSCSAA_proportion!$A$2:$A$11</c:f>
              <c:strCache>
                <c:ptCount val="10"/>
                <c:pt idx="0">
                  <c:v>Level 1 and below</c:v>
                </c:pt>
                <c:pt idx="1">
                  <c:v>Level 2</c:v>
                </c:pt>
                <c:pt idx="2">
                  <c:v>Level 3</c:v>
                </c:pt>
                <c:pt idx="3">
                  <c:v>Level 4</c:v>
                </c:pt>
                <c:pt idx="4">
                  <c:v>Level 5</c:v>
                </c:pt>
                <c:pt idx="5">
                  <c:v>Level 6</c:v>
                </c:pt>
                <c:pt idx="6">
                  <c:v>Level 7</c:v>
                </c:pt>
                <c:pt idx="7">
                  <c:v>Level 8</c:v>
                </c:pt>
                <c:pt idx="8">
                  <c:v>Level 9</c:v>
                </c:pt>
                <c:pt idx="9">
                  <c:v>Class 1+</c:v>
                </c:pt>
              </c:strCache>
            </c:strRef>
          </c:cat>
          <c:val>
            <c:numRef>
              <c:f>Input_By_PSCSAA_proportion!$B$2:$B$11</c:f>
              <c:numCache>
                <c:formatCode>General</c:formatCode>
                <c:ptCount val="10"/>
                <c:pt idx="0">
                  <c:v>17.7973038393243</c:v>
                </c:pt>
                <c:pt idx="1">
                  <c:v>11.434383348749749</c:v>
                </c:pt>
                <c:pt idx="2">
                  <c:v>9.8197356087317313</c:v>
                </c:pt>
                <c:pt idx="3">
                  <c:v>12.14816282557357</c:v>
                </c:pt>
                <c:pt idx="4">
                  <c:v>15.329360091246979</c:v>
                </c:pt>
                <c:pt idx="5">
                  <c:v>20.211855413163921</c:v>
                </c:pt>
                <c:pt idx="6">
                  <c:v>6.7929012547282266</c:v>
                </c:pt>
                <c:pt idx="7">
                  <c:v>2.991246423521118</c:v>
                </c:pt>
                <c:pt idx="8">
                  <c:v>1.406496308687067</c:v>
                </c:pt>
                <c:pt idx="9">
                  <c:v>2.0685548862733469</c:v>
                </c:pt>
              </c:numCache>
            </c:numRef>
          </c:val>
          <c:extLst>
            <c:ext xmlns:c16="http://schemas.microsoft.com/office/drawing/2014/chart" uri="{C3380CC4-5D6E-409C-BE32-E72D297353CC}">
              <c16:uniqueId val="{00000000-560B-4E7F-93E4-FB19438D2653}"/>
            </c:ext>
          </c:extLst>
        </c:ser>
        <c:ser>
          <c:idx val="1"/>
          <c:order val="1"/>
          <c:tx>
            <c:strRef>
              <c:f>Input_By_PSCSAA_proportion!$C$1</c:f>
              <c:strCache>
                <c:ptCount val="1"/>
                <c:pt idx="0">
                  <c:v>Percent of total FTE 2022-23</c:v>
                </c:pt>
              </c:strCache>
            </c:strRef>
          </c:tx>
          <c:spPr>
            <a:solidFill>
              <a:srgbClr val="AF85B7"/>
            </a:solidFill>
            <a:ln>
              <a:solidFill>
                <a:srgbClr val="AF85B7"/>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Input_By_PSCSAA_proportion!$A$2:$A$11</c:f>
              <c:strCache>
                <c:ptCount val="10"/>
                <c:pt idx="0">
                  <c:v>Level 1 and below</c:v>
                </c:pt>
                <c:pt idx="1">
                  <c:v>Level 2</c:v>
                </c:pt>
                <c:pt idx="2">
                  <c:v>Level 3</c:v>
                </c:pt>
                <c:pt idx="3">
                  <c:v>Level 4</c:v>
                </c:pt>
                <c:pt idx="4">
                  <c:v>Level 5</c:v>
                </c:pt>
                <c:pt idx="5">
                  <c:v>Level 6</c:v>
                </c:pt>
                <c:pt idx="6">
                  <c:v>Level 7</c:v>
                </c:pt>
                <c:pt idx="7">
                  <c:v>Level 8</c:v>
                </c:pt>
                <c:pt idx="8">
                  <c:v>Level 9</c:v>
                </c:pt>
                <c:pt idx="9">
                  <c:v>Class 1+</c:v>
                </c:pt>
              </c:strCache>
            </c:strRef>
          </c:cat>
          <c:val>
            <c:numRef>
              <c:f>Input_By_PSCSAA_proportion!$C$2:$C$11</c:f>
              <c:numCache>
                <c:formatCode>_(* #,##0.0_);_(* \(#,##0.0\);_(* "-"??_);_(@_)</c:formatCode>
                <c:ptCount val="10"/>
                <c:pt idx="0">
                  <c:v>18.998650735612969</c:v>
                </c:pt>
                <c:pt idx="1">
                  <c:v>10.547679135929791</c:v>
                </c:pt>
                <c:pt idx="2">
                  <c:v>9.5628448898059304</c:v>
                </c:pt>
                <c:pt idx="3">
                  <c:v>9.4149456066475246</c:v>
                </c:pt>
                <c:pt idx="4">
                  <c:v>17.618729264134831</c:v>
                </c:pt>
                <c:pt idx="5">
                  <c:v>19.016764693040798</c:v>
                </c:pt>
                <c:pt idx="6">
                  <c:v>7.9322548685946641</c:v>
                </c:pt>
                <c:pt idx="7">
                  <c:v>3.3763307253983461</c:v>
                </c:pt>
                <c:pt idx="8">
                  <c:v>1.2517191808148509</c:v>
                </c:pt>
                <c:pt idx="9">
                  <c:v>2.2800809000202942</c:v>
                </c:pt>
              </c:numCache>
            </c:numRef>
          </c:val>
          <c:extLst>
            <c:ext xmlns:c16="http://schemas.microsoft.com/office/drawing/2014/chart" uri="{C3380CC4-5D6E-409C-BE32-E72D297353CC}">
              <c16:uniqueId val="{00000001-560B-4E7F-93E4-FB19438D2653}"/>
            </c:ext>
          </c:extLst>
        </c:ser>
        <c:dLbls>
          <c:showLegendKey val="0"/>
          <c:showVal val="0"/>
          <c:showCatName val="0"/>
          <c:showSerName val="0"/>
          <c:showPercent val="0"/>
          <c:showBubbleSize val="0"/>
        </c:dLbls>
        <c:gapWidth val="50"/>
        <c:axId val="50010001"/>
        <c:axId val="50010002"/>
      </c:barChart>
      <c:catAx>
        <c:axId val="50010001"/>
        <c:scaling>
          <c:orientation val="minMax"/>
        </c:scaling>
        <c:delete val="0"/>
        <c:axPos val="b"/>
        <c:title>
          <c:tx>
            <c:rich>
              <a:bodyPr/>
              <a:lstStyle/>
              <a:p>
                <a:pPr>
                  <a:defRPr sz="800" b="0" baseline="0">
                    <a:latin typeface="Arial"/>
                  </a:defRPr>
                </a:pPr>
                <a:r>
                  <a:rPr lang="en-US" sz="800" b="0" baseline="0">
                    <a:latin typeface="Arial"/>
                  </a:rPr>
                  <a:t>
PSCSAA equivalent salary band</a:t>
                </a:r>
              </a:p>
            </c:rich>
          </c:tx>
          <c:overlay val="0"/>
        </c:title>
        <c:numFmt formatCode="General" sourceLinked="0"/>
        <c:majorTickMark val="out"/>
        <c:minorTickMark val="none"/>
        <c:tickLblPos val="nextTo"/>
        <c:txPr>
          <a:bodyPr rot="0" vert="horz"/>
          <a:lstStyle/>
          <a:p>
            <a:pPr>
              <a:defRPr sz="800" baseline="0">
                <a:latin typeface="Arial"/>
              </a:defRPr>
            </a:pPr>
            <a:endParaRPr lang="en-US"/>
          </a:p>
        </c:txPr>
        <c:crossAx val="50010002"/>
        <c:crosses val="autoZero"/>
        <c:auto val="1"/>
        <c:lblAlgn val="ctr"/>
        <c:lblOffset val="100"/>
        <c:noMultiLvlLbl val="0"/>
      </c:catAx>
      <c:valAx>
        <c:axId val="50010002"/>
        <c:scaling>
          <c:orientation val="minMax"/>
          <c:max val="25"/>
          <c:min val="0"/>
        </c:scaling>
        <c:delete val="1"/>
        <c:axPos val="l"/>
        <c:numFmt formatCode="General" sourceLinked="1"/>
        <c:majorTickMark val="out"/>
        <c:minorTickMark val="none"/>
        <c:tickLblPos val="nextTo"/>
        <c:crossAx val="5001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Input_By_PSCSAA_female!$B$1</c:f>
              <c:strCache>
                <c:ptCount val="1"/>
                <c:pt idx="0">
                  <c:v>Female FTE as percent of level 2018-19</c:v>
                </c:pt>
              </c:strCache>
            </c:strRef>
          </c:tx>
          <c:spPr>
            <a:solidFill>
              <a:srgbClr val="B1388D"/>
            </a:solidFill>
            <a:ln>
              <a:solidFill>
                <a:srgbClr val="B1388D"/>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Input_By_PSCSAA_female!$A$2:$A$11</c:f>
              <c:strCache>
                <c:ptCount val="10"/>
                <c:pt idx="0">
                  <c:v>Level 1 and below</c:v>
                </c:pt>
                <c:pt idx="1">
                  <c:v>Level 2</c:v>
                </c:pt>
                <c:pt idx="2">
                  <c:v>Level 3</c:v>
                </c:pt>
                <c:pt idx="3">
                  <c:v>Level 4</c:v>
                </c:pt>
                <c:pt idx="4">
                  <c:v>Level 5</c:v>
                </c:pt>
                <c:pt idx="5">
                  <c:v>Level 6</c:v>
                </c:pt>
                <c:pt idx="6">
                  <c:v>Level 7</c:v>
                </c:pt>
                <c:pt idx="7">
                  <c:v>Level 8</c:v>
                </c:pt>
                <c:pt idx="8">
                  <c:v>Level 9</c:v>
                </c:pt>
                <c:pt idx="9">
                  <c:v>Class 1+</c:v>
                </c:pt>
              </c:strCache>
            </c:strRef>
          </c:cat>
          <c:val>
            <c:numRef>
              <c:f>Input_By_PSCSAA_female!$B$2:$B$11</c:f>
              <c:numCache>
                <c:formatCode>General</c:formatCode>
                <c:ptCount val="10"/>
                <c:pt idx="0">
                  <c:v>79.54188248593853</c:v>
                </c:pt>
                <c:pt idx="1">
                  <c:v>79.279287637425597</c:v>
                </c:pt>
                <c:pt idx="2">
                  <c:v>70.318859034394137</c:v>
                </c:pt>
                <c:pt idx="3">
                  <c:v>68.086917175236906</c:v>
                </c:pt>
                <c:pt idx="4">
                  <c:v>68.350078805051169</c:v>
                </c:pt>
                <c:pt idx="5">
                  <c:v>70.270155455630004</c:v>
                </c:pt>
                <c:pt idx="6">
                  <c:v>55.329232052545578</c:v>
                </c:pt>
                <c:pt idx="7">
                  <c:v>45.962028164290473</c:v>
                </c:pt>
                <c:pt idx="8">
                  <c:v>44.705301541010243</c:v>
                </c:pt>
                <c:pt idx="9">
                  <c:v>35.941381286651144</c:v>
                </c:pt>
              </c:numCache>
            </c:numRef>
          </c:val>
          <c:extLst>
            <c:ext xmlns:c16="http://schemas.microsoft.com/office/drawing/2014/chart" uri="{C3380CC4-5D6E-409C-BE32-E72D297353CC}">
              <c16:uniqueId val="{00000000-D3A9-4E52-B5DF-E08A06E89E28}"/>
            </c:ext>
          </c:extLst>
        </c:ser>
        <c:ser>
          <c:idx val="1"/>
          <c:order val="1"/>
          <c:tx>
            <c:strRef>
              <c:f>Input_By_PSCSAA_female!$C$1</c:f>
              <c:strCache>
                <c:ptCount val="1"/>
                <c:pt idx="0">
                  <c:v>Female FTE as percent of level 2022-23</c:v>
                </c:pt>
              </c:strCache>
            </c:strRef>
          </c:tx>
          <c:spPr>
            <a:solidFill>
              <a:srgbClr val="AF85B7"/>
            </a:solidFill>
            <a:ln>
              <a:solidFill>
                <a:srgbClr val="AF85B7"/>
              </a:solidFill>
            </a:ln>
          </c:spPr>
          <c:invertIfNegative val="0"/>
          <c:dLbls>
            <c:numFmt formatCode="0.0\%" sourceLinked="0"/>
            <c:spPr>
              <a:noFill/>
              <a:ln>
                <a:noFill/>
              </a:ln>
              <a:effectLst/>
            </c:spPr>
            <c:txPr>
              <a:bodyPr rot="-5400000" vert="horz"/>
              <a:lstStyle/>
              <a:p>
                <a:pPr>
                  <a:defRPr sz="800" baseline="0">
                    <a:latin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Input_By_PSCSAA_female!$A$2:$A$11</c:f>
              <c:strCache>
                <c:ptCount val="10"/>
                <c:pt idx="0">
                  <c:v>Level 1 and below</c:v>
                </c:pt>
                <c:pt idx="1">
                  <c:v>Level 2</c:v>
                </c:pt>
                <c:pt idx="2">
                  <c:v>Level 3</c:v>
                </c:pt>
                <c:pt idx="3">
                  <c:v>Level 4</c:v>
                </c:pt>
                <c:pt idx="4">
                  <c:v>Level 5</c:v>
                </c:pt>
                <c:pt idx="5">
                  <c:v>Level 6</c:v>
                </c:pt>
                <c:pt idx="6">
                  <c:v>Level 7</c:v>
                </c:pt>
                <c:pt idx="7">
                  <c:v>Level 8</c:v>
                </c:pt>
                <c:pt idx="8">
                  <c:v>Level 9</c:v>
                </c:pt>
                <c:pt idx="9">
                  <c:v>Class 1+</c:v>
                </c:pt>
              </c:strCache>
            </c:strRef>
          </c:cat>
          <c:val>
            <c:numRef>
              <c:f>Input_By_PSCSAA_female!$C$2:$C$11</c:f>
              <c:numCache>
                <c:formatCode>_(* #,##0.0_);_(* \(#,##0.0\);_(* "-"??_);_(@_)</c:formatCode>
                <c:ptCount val="10"/>
                <c:pt idx="0">
                  <c:v>80.336614908503805</c:v>
                </c:pt>
                <c:pt idx="1">
                  <c:v>78.844915121604473</c:v>
                </c:pt>
                <c:pt idx="2">
                  <c:v>70.277962258670883</c:v>
                </c:pt>
                <c:pt idx="3">
                  <c:v>64.624417673607269</c:v>
                </c:pt>
                <c:pt idx="4">
                  <c:v>70.197555806804843</c:v>
                </c:pt>
                <c:pt idx="5">
                  <c:v>70.548967419564462</c:v>
                </c:pt>
                <c:pt idx="6">
                  <c:v>60.358674013497151</c:v>
                </c:pt>
                <c:pt idx="7">
                  <c:v>51.694631127486844</c:v>
                </c:pt>
                <c:pt idx="8">
                  <c:v>50.100843513078587</c:v>
                </c:pt>
                <c:pt idx="9">
                  <c:v>41.528421816698469</c:v>
                </c:pt>
              </c:numCache>
            </c:numRef>
          </c:val>
          <c:extLst>
            <c:ext xmlns:c16="http://schemas.microsoft.com/office/drawing/2014/chart" uri="{C3380CC4-5D6E-409C-BE32-E72D297353CC}">
              <c16:uniqueId val="{00000001-D3A9-4E52-B5DF-E08A06E89E28}"/>
            </c:ext>
          </c:extLst>
        </c:ser>
        <c:dLbls>
          <c:showLegendKey val="0"/>
          <c:showVal val="0"/>
          <c:showCatName val="0"/>
          <c:showSerName val="0"/>
          <c:showPercent val="0"/>
          <c:showBubbleSize val="0"/>
        </c:dLbls>
        <c:gapWidth val="50"/>
        <c:axId val="50020001"/>
        <c:axId val="50020002"/>
      </c:barChart>
      <c:catAx>
        <c:axId val="50020001"/>
        <c:scaling>
          <c:orientation val="minMax"/>
        </c:scaling>
        <c:delete val="0"/>
        <c:axPos val="b"/>
        <c:title>
          <c:tx>
            <c:rich>
              <a:bodyPr/>
              <a:lstStyle/>
              <a:p>
                <a:pPr>
                  <a:defRPr sz="800" b="0" baseline="0">
                    <a:latin typeface="Arial"/>
                  </a:defRPr>
                </a:pPr>
                <a:r>
                  <a:rPr lang="en-US" sz="800" b="0" baseline="0">
                    <a:latin typeface="Arial"/>
                  </a:rPr>
                  <a:t>
PSCSAA equivalent salary band</a:t>
                </a:r>
              </a:p>
            </c:rich>
          </c:tx>
          <c:overlay val="0"/>
        </c:title>
        <c:numFmt formatCode="General" sourceLinked="0"/>
        <c:majorTickMark val="out"/>
        <c:minorTickMark val="none"/>
        <c:tickLblPos val="nextTo"/>
        <c:txPr>
          <a:bodyPr rot="0" vert="horz"/>
          <a:lstStyle/>
          <a:p>
            <a:pPr>
              <a:defRPr sz="800" baseline="0">
                <a:latin typeface="Arial"/>
              </a:defRPr>
            </a:pPr>
            <a:endParaRPr lang="en-US"/>
          </a:p>
        </c:txPr>
        <c:crossAx val="50020002"/>
        <c:crosses val="autoZero"/>
        <c:auto val="1"/>
        <c:lblAlgn val="ctr"/>
        <c:lblOffset val="100"/>
        <c:noMultiLvlLbl val="0"/>
      </c:catAx>
      <c:valAx>
        <c:axId val="50020002"/>
        <c:scaling>
          <c:orientation val="minMax"/>
          <c:max val="87.5"/>
          <c:min val="0"/>
        </c:scaling>
        <c:delete val="1"/>
        <c:axPos val="l"/>
        <c:numFmt formatCode="General" sourceLinked="1"/>
        <c:majorTickMark val="out"/>
        <c:minorTickMark val="none"/>
        <c:tickLblPos val="nextTo"/>
        <c:crossAx val="50020001"/>
        <c:crosses val="autoZero"/>
        <c:crossBetween val="between"/>
      </c:valAx>
    </c:plotArea>
    <c:legend>
      <c:legendPos val="b"/>
      <c:overlay val="0"/>
      <c:txPr>
        <a:bodyPr/>
        <a:lstStyle/>
        <a:p>
          <a:pPr>
            <a:defRPr sz="800" baseline="0">
              <a:latin typeface="Arial"/>
            </a:defRPr>
          </a:pPr>
          <a:endParaRPr lang="en-US"/>
        </a:p>
      </c:txPr>
    </c:legend>
    <c:plotVisOnly val="1"/>
    <c:dispBlanksAs val="span"/>
    <c:showDLblsOverMax val="0"/>
  </c:chart>
  <c:spPr>
    <a:ln w="19050">
      <a:solidFill>
        <a:schemeClr val="accent1">
          <a:lumMod val="75000"/>
        </a:schemeClr>
      </a:solid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D9EDCAF-D7DA-4805-B1C2-F6E796C75C6D}">
    <t:Anchor>
      <t:Comment id="1264434058"/>
    </t:Anchor>
    <t:History>
      <t:Event id="{C3D64133-DA22-42FD-B961-27E8A9EFC980}" time="2022-10-07T08:37:55.424Z">
        <t:Attribution userId="S::shane.richardson@psc.wa.gov.au::c9d6ecb3-7e22-4710-974a-35cd9e2cb63c" userProvider="AD" userName="Richardson, Shane"/>
        <t:Anchor>
          <t:Comment id="1264434058"/>
        </t:Anchor>
        <t:Create/>
      </t:Event>
      <t:Event id="{52A2F142-1B50-45F0-AE7C-436C4BE0C06F}" time="2022-10-07T08:37:55.424Z">
        <t:Attribution userId="S::shane.richardson@psc.wa.gov.au::c9d6ecb3-7e22-4710-974a-35cd9e2cb63c" userProvider="AD" userName="Richardson, Shane"/>
        <t:Anchor>
          <t:Comment id="1264434058"/>
        </t:Anchor>
        <t:Assign userId="S::Rose.Finck@psc.wa.gov.au::7b3de7aa-42b5-4969-b012-338276d939e5" userProvider="AD" userName="Finck, Rose"/>
      </t:Event>
      <t:Event id="{4A3A8C11-6C96-40CF-9817-4E3DDA5E0FD7}" time="2022-10-07T08:37:55.424Z">
        <t:Attribution userId="S::shane.richardson@psc.wa.gov.au::c9d6ecb3-7e22-4710-974a-35cd9e2cb63c" userProvider="AD" userName="Richardson, Shane"/>
        <t:Anchor>
          <t:Comment id="1264434058"/>
        </t:Anchor>
        <t:SetTitle title="I don't fully understand the working here @Finck, Rose but it looks to me like it's the other way aroun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 xmlns="f43641ba-05c2-4f8d-b827-f6b0d3c2bfe6" xsi:nil="true"/>
    <Notes xmlns="f43641ba-05c2-4f8d-b827-f6b0d3c2bfe6" xsi:nil="true"/>
    <lcf76f155ced4ddcb4097134ff3c332f xmlns="f43641ba-05c2-4f8d-b827-f6b0d3c2bfe6">
      <Terms xmlns="http://schemas.microsoft.com/office/infopath/2007/PartnerControls"/>
    </lcf76f155ced4ddcb4097134ff3c332f>
    <TaxCatchAll xmlns="de7e9adc-1c58-45f6-90e4-74f490ecf10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AC71801CBBEE4F9FCA2DD085F92561" ma:contentTypeVersion="18" ma:contentTypeDescription="Create a new document." ma:contentTypeScope="" ma:versionID="83da9e6bd1d71940ae85a715fd8e0eb6">
  <xsd:schema xmlns:xsd="http://www.w3.org/2001/XMLSchema" xmlns:xs="http://www.w3.org/2001/XMLSchema" xmlns:p="http://schemas.microsoft.com/office/2006/metadata/properties" xmlns:ns2="f43641ba-05c2-4f8d-b827-f6b0d3c2bfe6" xmlns:ns3="de7e9adc-1c58-45f6-90e4-74f490ecf101" targetNamespace="http://schemas.microsoft.com/office/2006/metadata/properties" ma:root="true" ma:fieldsID="ea12db7e51922d73b89a4567196e8b05" ns2:_="" ns3:_="">
    <xsd:import namespace="f43641ba-05c2-4f8d-b827-f6b0d3c2bfe6"/>
    <xsd:import namespace="de7e9adc-1c58-45f6-90e4-74f490ecf1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RIM" minOccurs="0"/>
                <xsd:element ref="ns2:Note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641ba-05c2-4f8d-b827-f6b0d3c2bf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RIM" ma:index="14" nillable="true" ma:displayName="TRIM" ma:description="The TRIM reference for the final document" ma:format="Dropdown" ma:internalName="TRIM">
      <xsd:simpleType>
        <xsd:restriction base="dms:Text">
          <xsd:maxLength value="255"/>
        </xsd:restriction>
      </xsd:simpleType>
    </xsd:element>
    <xsd:element name="Notes" ma:index="15" nillable="true" ma:displayName="Notes" ma:format="Dropdown" ma:internalName="Notes">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dd5136-d8d3-43bd-8536-49417bb068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e9adc-1c58-45f6-90e4-74f490ecf1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f2a30b5-1879-4bf3-8b0c-738d376e0674}" ma:internalName="TaxCatchAll" ma:showField="CatchAllData" ma:web="de7e9adc-1c58-45f6-90e4-74f490ecf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9CB12-5378-4263-976A-36F5AC10BCB4}">
  <ds:schemaRefs>
    <ds:schemaRef ds:uri="http://schemas.openxmlformats.org/officeDocument/2006/bibliography"/>
  </ds:schemaRefs>
</ds:datastoreItem>
</file>

<file path=customXml/itemProps2.xml><?xml version="1.0" encoding="utf-8"?>
<ds:datastoreItem xmlns:ds="http://schemas.openxmlformats.org/officeDocument/2006/customXml" ds:itemID="{89F8508B-4FFE-48A2-8D25-2C6062B20164}">
  <ds:schemaRefs>
    <ds:schemaRef ds:uri="http://schemas.microsoft.com/sharepoint/v3/contenttype/forms"/>
  </ds:schemaRefs>
</ds:datastoreItem>
</file>

<file path=customXml/itemProps3.xml><?xml version="1.0" encoding="utf-8"?>
<ds:datastoreItem xmlns:ds="http://schemas.openxmlformats.org/officeDocument/2006/customXml" ds:itemID="{DCAEFB0C-C676-42FD-B401-F994EACA4EEF}">
  <ds:schemaRefs>
    <ds:schemaRef ds:uri="http://schemas.microsoft.com/office/2006/metadata/properties"/>
    <ds:schemaRef ds:uri="http://schemas.microsoft.com/office/infopath/2007/PartnerControls"/>
    <ds:schemaRef ds:uri="f43641ba-05c2-4f8d-b827-f6b0d3c2bfe6"/>
    <ds:schemaRef ds:uri="de7e9adc-1c58-45f6-90e4-74f490ecf101"/>
  </ds:schemaRefs>
</ds:datastoreItem>
</file>

<file path=customXml/itemProps4.xml><?xml version="1.0" encoding="utf-8"?>
<ds:datastoreItem xmlns:ds="http://schemas.openxmlformats.org/officeDocument/2006/customXml" ds:itemID="{F44BCD24-344E-4164-B7D0-344E931B9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641ba-05c2-4f8d-b827-f6b0d3c2bfe6"/>
    <ds:schemaRef ds:uri="de7e9adc-1c58-45f6-90e4-74f490ecf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69</Pages>
  <Words>17981</Words>
  <Characters>102494</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DPC</Company>
  <LinksUpToDate>false</LinksUpToDate>
  <CharactersWithSpaces>120235</CharactersWithSpaces>
  <SharedDoc>false</SharedDoc>
  <HLinks>
    <vt:vector size="546" baseType="variant">
      <vt:variant>
        <vt:i4>2097258</vt:i4>
      </vt:variant>
      <vt:variant>
        <vt:i4>717</vt:i4>
      </vt:variant>
      <vt:variant>
        <vt:i4>0</vt:i4>
      </vt:variant>
      <vt:variant>
        <vt:i4>5</vt:i4>
      </vt:variant>
      <vt:variant>
        <vt:lpwstr>https://www.wa.gov.au/government/document-collections/state-of-the-western-australian-government-sector-workforce-statistical-bulletins</vt:lpwstr>
      </vt:variant>
      <vt:variant>
        <vt:lpwstr/>
      </vt:variant>
      <vt:variant>
        <vt:i4>5767181</vt:i4>
      </vt:variant>
      <vt:variant>
        <vt:i4>714</vt:i4>
      </vt:variant>
      <vt:variant>
        <vt:i4>0</vt:i4>
      </vt:variant>
      <vt:variant>
        <vt:i4>5</vt:i4>
      </vt:variant>
      <vt:variant>
        <vt:lpwstr>https://www.wa.gov.au/government/document-collections/state-of-the-western-australian-government-sector-workforce</vt:lpwstr>
      </vt:variant>
      <vt:variant>
        <vt:lpwstr/>
      </vt:variant>
      <vt:variant>
        <vt:i4>2097258</vt:i4>
      </vt:variant>
      <vt:variant>
        <vt:i4>711</vt:i4>
      </vt:variant>
      <vt:variant>
        <vt:i4>0</vt:i4>
      </vt:variant>
      <vt:variant>
        <vt:i4>5</vt:i4>
      </vt:variant>
      <vt:variant>
        <vt:lpwstr>https://www.wa.gov.au/government/document-collections/state-of-the-western-australian-government-sector-workforce-statistical-bulletins</vt:lpwstr>
      </vt:variant>
      <vt:variant>
        <vt:lpwstr/>
      </vt:variant>
      <vt:variant>
        <vt:i4>2097258</vt:i4>
      </vt:variant>
      <vt:variant>
        <vt:i4>708</vt:i4>
      </vt:variant>
      <vt:variant>
        <vt:i4>0</vt:i4>
      </vt:variant>
      <vt:variant>
        <vt:i4>5</vt:i4>
      </vt:variant>
      <vt:variant>
        <vt:lpwstr>https://www.wa.gov.au/government/document-collections/state-of-the-western-australian-government-sector-workforce-statistical-bulletins</vt:lpwstr>
      </vt:variant>
      <vt:variant>
        <vt:lpwstr/>
      </vt:variant>
      <vt:variant>
        <vt:i4>6684788</vt:i4>
      </vt:variant>
      <vt:variant>
        <vt:i4>705</vt:i4>
      </vt:variant>
      <vt:variant>
        <vt:i4>0</vt:i4>
      </vt:variant>
      <vt:variant>
        <vt:i4>5</vt:i4>
      </vt:variant>
      <vt:variant>
        <vt:lpwstr>https://www.wa.gov.au/government/document-collections/western-australian-public-sector-quarterly-workforce-reports</vt:lpwstr>
      </vt:variant>
      <vt:variant>
        <vt:lpwstr/>
      </vt:variant>
      <vt:variant>
        <vt:i4>5111898</vt:i4>
      </vt:variant>
      <vt:variant>
        <vt:i4>702</vt:i4>
      </vt:variant>
      <vt:variant>
        <vt:i4>0</vt:i4>
      </vt:variant>
      <vt:variant>
        <vt:i4>5</vt:i4>
      </vt:variant>
      <vt:variant>
        <vt:lpwstr>https://www.wa.gov.au/government/publications/human-resource-minimum-obligatory-information-requirements-data-definitions</vt:lpwstr>
      </vt:variant>
      <vt:variant>
        <vt:lpwstr/>
      </vt:variant>
      <vt:variant>
        <vt:i4>7733363</vt:i4>
      </vt:variant>
      <vt:variant>
        <vt:i4>699</vt:i4>
      </vt:variant>
      <vt:variant>
        <vt:i4>0</vt:i4>
      </vt:variant>
      <vt:variant>
        <vt:i4>5</vt:i4>
      </vt:variant>
      <vt:variant>
        <vt:lpwstr>https://www.wa.gov.au/government/publications/about-our-workforce-data</vt:lpwstr>
      </vt:variant>
      <vt:variant>
        <vt:lpwstr/>
      </vt:variant>
      <vt:variant>
        <vt:i4>7077950</vt:i4>
      </vt:variant>
      <vt:variant>
        <vt:i4>642</vt:i4>
      </vt:variant>
      <vt:variant>
        <vt:i4>0</vt:i4>
      </vt:variant>
      <vt:variant>
        <vt:i4>5</vt:i4>
      </vt:variant>
      <vt:variant>
        <vt:lpwstr>https://www.wa.gov.au/government/publications/commissioners-instruction-40-ethical-foundations</vt:lpwstr>
      </vt:variant>
      <vt:variant>
        <vt:lpwstr/>
      </vt:variant>
      <vt:variant>
        <vt:i4>1507405</vt:i4>
      </vt:variant>
      <vt:variant>
        <vt:i4>639</vt:i4>
      </vt:variant>
      <vt:variant>
        <vt:i4>0</vt:i4>
      </vt:variant>
      <vt:variant>
        <vt:i4>5</vt:i4>
      </vt:variant>
      <vt:variant>
        <vt:lpwstr>https://www.wa.gov.au/organisation/public-sector-commission/governance-of-wa-government-boards-and-committees</vt:lpwstr>
      </vt:variant>
      <vt:variant>
        <vt:lpwstr/>
      </vt:variant>
      <vt:variant>
        <vt:i4>65609</vt:i4>
      </vt:variant>
      <vt:variant>
        <vt:i4>636</vt:i4>
      </vt:variant>
      <vt:variant>
        <vt:i4>0</vt:i4>
      </vt:variant>
      <vt:variant>
        <vt:i4>5</vt:i4>
      </vt:variant>
      <vt:variant>
        <vt:lpwstr>https://www.wa.gov.au/organisation/public-sector-commission/integrity-framework-resources</vt:lpwstr>
      </vt:variant>
      <vt:variant>
        <vt:lpwstr/>
      </vt:variant>
      <vt:variant>
        <vt:i4>2031681</vt:i4>
      </vt:variant>
      <vt:variant>
        <vt:i4>630</vt:i4>
      </vt:variant>
      <vt:variant>
        <vt:i4>0</vt:i4>
      </vt:variant>
      <vt:variant>
        <vt:i4>5</vt:i4>
      </vt:variant>
      <vt:variant>
        <vt:lpwstr>https://www.wa.gov.au/government/publications/integrity-strategy-wa-public-authorities-2020-2023</vt:lpwstr>
      </vt:variant>
      <vt:variant>
        <vt:lpwstr/>
      </vt:variant>
      <vt:variant>
        <vt:i4>3866735</vt:i4>
      </vt:variant>
      <vt:variant>
        <vt:i4>621</vt:i4>
      </vt:variant>
      <vt:variant>
        <vt:i4>0</vt:i4>
      </vt:variant>
      <vt:variant>
        <vt:i4>5</vt:i4>
      </vt:variant>
      <vt:variant>
        <vt:lpwstr>https://www.wa.gov.au/organisation/public-sector-commission/building-leadership-impact</vt:lpwstr>
      </vt:variant>
      <vt:variant>
        <vt:lpwstr/>
      </vt:variant>
      <vt:variant>
        <vt:i4>1179712</vt:i4>
      </vt:variant>
      <vt:variant>
        <vt:i4>603</vt:i4>
      </vt:variant>
      <vt:variant>
        <vt:i4>0</vt:i4>
      </vt:variant>
      <vt:variant>
        <vt:i4>5</vt:i4>
      </vt:variant>
      <vt:variant>
        <vt:lpwstr>https://www.wa.gov.au/government/publications/workforce-diversification-and-inclusion-strategy-wa-public-sector-employment-2020-2025</vt:lpwstr>
      </vt:variant>
      <vt:variant>
        <vt:lpwstr/>
      </vt:variant>
      <vt:variant>
        <vt:i4>3866735</vt:i4>
      </vt:variant>
      <vt:variant>
        <vt:i4>597</vt:i4>
      </vt:variant>
      <vt:variant>
        <vt:i4>0</vt:i4>
      </vt:variant>
      <vt:variant>
        <vt:i4>5</vt:i4>
      </vt:variant>
      <vt:variant>
        <vt:lpwstr>https://www.wa.gov.au/organisation/public-sector-commission/building-leadership-impact</vt:lpwstr>
      </vt:variant>
      <vt:variant>
        <vt:lpwstr/>
      </vt:variant>
      <vt:variant>
        <vt:i4>1245184</vt:i4>
      </vt:variant>
      <vt:variant>
        <vt:i4>594</vt:i4>
      </vt:variant>
      <vt:variant>
        <vt:i4>0</vt:i4>
      </vt:variant>
      <vt:variant>
        <vt:i4>5</vt:i4>
      </vt:variant>
      <vt:variant>
        <vt:lpwstr>https://www.wa.gov.au/organisation/public-sector-commission/leadership-conversations</vt:lpwstr>
      </vt:variant>
      <vt:variant>
        <vt:lpwstr/>
      </vt:variant>
      <vt:variant>
        <vt:i4>655380</vt:i4>
      </vt:variant>
      <vt:variant>
        <vt:i4>591</vt:i4>
      </vt:variant>
      <vt:variant>
        <vt:i4>0</vt:i4>
      </vt:variant>
      <vt:variant>
        <vt:i4>5</vt:i4>
      </vt:variant>
      <vt:variant>
        <vt:lpwstr>https://www.wa.gov.au/government/multi-step-guides/elev8</vt:lpwstr>
      </vt:variant>
      <vt:variant>
        <vt:lpwstr/>
      </vt:variant>
      <vt:variant>
        <vt:i4>4718604</vt:i4>
      </vt:variant>
      <vt:variant>
        <vt:i4>588</vt:i4>
      </vt:variant>
      <vt:variant>
        <vt:i4>0</vt:i4>
      </vt:variant>
      <vt:variant>
        <vt:i4>5</vt:i4>
      </vt:variant>
      <vt:variant>
        <vt:lpwstr>https://www.wa.gov.au/government/multi-step-guides/propel</vt:lpwstr>
      </vt:variant>
      <vt:variant>
        <vt:lpwstr/>
      </vt:variant>
      <vt:variant>
        <vt:i4>4718593</vt:i4>
      </vt:variant>
      <vt:variant>
        <vt:i4>585</vt:i4>
      </vt:variant>
      <vt:variant>
        <vt:i4>0</vt:i4>
      </vt:variant>
      <vt:variant>
        <vt:i4>5</vt:i4>
      </vt:variant>
      <vt:variant>
        <vt:lpwstr>https://www.wa.gov.au/government/multi-step-guides/launch</vt:lpwstr>
      </vt:variant>
      <vt:variant>
        <vt:lpwstr/>
      </vt:variant>
      <vt:variant>
        <vt:i4>7340159</vt:i4>
      </vt:variant>
      <vt:variant>
        <vt:i4>582</vt:i4>
      </vt:variant>
      <vt:variant>
        <vt:i4>0</vt:i4>
      </vt:variant>
      <vt:variant>
        <vt:i4>5</vt:i4>
      </vt:variant>
      <vt:variant>
        <vt:lpwstr>https://www.wa.gov.au/organisation/public-sector-commission/leadership-expectations</vt:lpwstr>
      </vt:variant>
      <vt:variant>
        <vt:lpwstr/>
      </vt:variant>
      <vt:variant>
        <vt:i4>3866735</vt:i4>
      </vt:variant>
      <vt:variant>
        <vt:i4>579</vt:i4>
      </vt:variant>
      <vt:variant>
        <vt:i4>0</vt:i4>
      </vt:variant>
      <vt:variant>
        <vt:i4>5</vt:i4>
      </vt:variant>
      <vt:variant>
        <vt:lpwstr>https://www.wa.gov.au/organisation/public-sector-commission/building-leadership-impact</vt:lpwstr>
      </vt:variant>
      <vt:variant>
        <vt:lpwstr/>
      </vt:variant>
      <vt:variant>
        <vt:i4>3866735</vt:i4>
      </vt:variant>
      <vt:variant>
        <vt:i4>576</vt:i4>
      </vt:variant>
      <vt:variant>
        <vt:i4>0</vt:i4>
      </vt:variant>
      <vt:variant>
        <vt:i4>5</vt:i4>
      </vt:variant>
      <vt:variant>
        <vt:lpwstr>https://www.wa.gov.au/organisation/public-sector-commission/building-leadership-impact</vt:lpwstr>
      </vt:variant>
      <vt:variant>
        <vt:lpwstr/>
      </vt:variant>
      <vt:variant>
        <vt:i4>131081</vt:i4>
      </vt:variant>
      <vt:variant>
        <vt:i4>573</vt:i4>
      </vt:variant>
      <vt:variant>
        <vt:i4>0</vt:i4>
      </vt:variant>
      <vt:variant>
        <vt:i4>5</vt:i4>
      </vt:variant>
      <vt:variant>
        <vt:lpwstr>https://www.wa.gov.au/government/multi-step-guides/classifying-and-remunerating-positions-the-public-service/executive-salary-expenditure-limit</vt:lpwstr>
      </vt:variant>
      <vt:variant>
        <vt:lpwstr>:~:text=The%20Executive%20Salary%20Expenditure%20Limit,strengthens%20accountability%20and%20enhances%20responsiveness.</vt:lpwstr>
      </vt:variant>
      <vt:variant>
        <vt:i4>3866735</vt:i4>
      </vt:variant>
      <vt:variant>
        <vt:i4>570</vt:i4>
      </vt:variant>
      <vt:variant>
        <vt:i4>0</vt:i4>
      </vt:variant>
      <vt:variant>
        <vt:i4>5</vt:i4>
      </vt:variant>
      <vt:variant>
        <vt:lpwstr>https://www.wa.gov.au/organisation/public-sector-commission/building-leadership-impact</vt:lpwstr>
      </vt:variant>
      <vt:variant>
        <vt:lpwstr/>
      </vt:variant>
      <vt:variant>
        <vt:i4>5767252</vt:i4>
      </vt:variant>
      <vt:variant>
        <vt:i4>567</vt:i4>
      </vt:variant>
      <vt:variant>
        <vt:i4>0</vt:i4>
      </vt:variant>
      <vt:variant>
        <vt:i4>5</vt:i4>
      </vt:variant>
      <vt:variant>
        <vt:lpwstr>https://www.wa.gov.au/government/publications/future-enabled</vt:lpwstr>
      </vt:variant>
      <vt:variant>
        <vt:lpwstr/>
      </vt:variant>
      <vt:variant>
        <vt:i4>5767252</vt:i4>
      </vt:variant>
      <vt:variant>
        <vt:i4>564</vt:i4>
      </vt:variant>
      <vt:variant>
        <vt:i4>0</vt:i4>
      </vt:variant>
      <vt:variant>
        <vt:i4>5</vt:i4>
      </vt:variant>
      <vt:variant>
        <vt:lpwstr>https://www.wa.gov.au/government/publications/future-enabled</vt:lpwstr>
      </vt:variant>
      <vt:variant>
        <vt:lpwstr/>
      </vt:variant>
      <vt:variant>
        <vt:i4>7733363</vt:i4>
      </vt:variant>
      <vt:variant>
        <vt:i4>561</vt:i4>
      </vt:variant>
      <vt:variant>
        <vt:i4>0</vt:i4>
      </vt:variant>
      <vt:variant>
        <vt:i4>5</vt:i4>
      </vt:variant>
      <vt:variant>
        <vt:lpwstr>https://www.wa.gov.au/government/publications/about-our-workforce-data</vt:lpwstr>
      </vt:variant>
      <vt:variant>
        <vt:lpwstr/>
      </vt:variant>
      <vt:variant>
        <vt:i4>7536725</vt:i4>
      </vt:variant>
      <vt:variant>
        <vt:i4>555</vt:i4>
      </vt:variant>
      <vt:variant>
        <vt:i4>0</vt:i4>
      </vt:variant>
      <vt:variant>
        <vt:i4>5</vt:i4>
      </vt:variant>
      <vt:variant>
        <vt:lpwstr/>
      </vt:variant>
      <vt:variant>
        <vt:lpwstr>_Section_3:_Workforce</vt:lpwstr>
      </vt:variant>
      <vt:variant>
        <vt:i4>1179712</vt:i4>
      </vt:variant>
      <vt:variant>
        <vt:i4>546</vt:i4>
      </vt:variant>
      <vt:variant>
        <vt:i4>0</vt:i4>
      </vt:variant>
      <vt:variant>
        <vt:i4>5</vt:i4>
      </vt:variant>
      <vt:variant>
        <vt:lpwstr>https://www.wa.gov.au/government/publications/workforce-diversification-and-inclusion-strategy-wa-public-sector-employment-2020-2025</vt:lpwstr>
      </vt:variant>
      <vt:variant>
        <vt:lpwstr/>
      </vt:variant>
      <vt:variant>
        <vt:i4>1179712</vt:i4>
      </vt:variant>
      <vt:variant>
        <vt:i4>537</vt:i4>
      </vt:variant>
      <vt:variant>
        <vt:i4>0</vt:i4>
      </vt:variant>
      <vt:variant>
        <vt:i4>5</vt:i4>
      </vt:variant>
      <vt:variant>
        <vt:lpwstr>https://www.wa.gov.au/government/publications/workforce-diversification-and-inclusion-strategy-wa-public-sector-employment-2020-2025</vt:lpwstr>
      </vt:variant>
      <vt:variant>
        <vt:lpwstr/>
      </vt:variant>
      <vt:variant>
        <vt:i4>4194315</vt:i4>
      </vt:variant>
      <vt:variant>
        <vt:i4>525</vt:i4>
      </vt:variant>
      <vt:variant>
        <vt:i4>0</vt:i4>
      </vt:variant>
      <vt:variant>
        <vt:i4>5</vt:i4>
      </vt:variant>
      <vt:variant>
        <vt:lpwstr>https://www.wa.gov.au/government/publications/commissioners-instruction-29-aboriginal-and-torres-strait-islander-cultural-awareness-training</vt:lpwstr>
      </vt:variant>
      <vt:variant>
        <vt:lpwstr/>
      </vt:variant>
      <vt:variant>
        <vt:i4>1179739</vt:i4>
      </vt:variant>
      <vt:variant>
        <vt:i4>492</vt:i4>
      </vt:variant>
      <vt:variant>
        <vt:i4>0</vt:i4>
      </vt:variant>
      <vt:variant>
        <vt:i4>5</vt:i4>
      </vt:variant>
      <vt:variant>
        <vt:lpwstr>https://www.wa.gov.au/government/publications/commissioners-instruction-41-contracts-services</vt:lpwstr>
      </vt:variant>
      <vt:variant>
        <vt:lpwstr/>
      </vt:variant>
      <vt:variant>
        <vt:i4>1441810</vt:i4>
      </vt:variant>
      <vt:variant>
        <vt:i4>381</vt:i4>
      </vt:variant>
      <vt:variant>
        <vt:i4>0</vt:i4>
      </vt:variant>
      <vt:variant>
        <vt:i4>5</vt:i4>
      </vt:variant>
      <vt:variant>
        <vt:lpwstr>https://www.wa.gov.au/government/publications/commissioners-instruction-23-conversion-and-appointment-of-fixed-term-contract-and-casual-employees-permanency</vt:lpwstr>
      </vt:variant>
      <vt:variant>
        <vt:lpwstr/>
      </vt:variant>
      <vt:variant>
        <vt:i4>6357097</vt:i4>
      </vt:variant>
      <vt:variant>
        <vt:i4>378</vt:i4>
      </vt:variant>
      <vt:variant>
        <vt:i4>0</vt:i4>
      </vt:variant>
      <vt:variant>
        <vt:i4>5</vt:i4>
      </vt:variant>
      <vt:variant>
        <vt:lpwstr>https://www.wa.gov.au/government/publications/commissioners-instruction-2-filling-public-sector-vacancy</vt:lpwstr>
      </vt:variant>
      <vt:variant>
        <vt:lpwstr/>
      </vt:variant>
      <vt:variant>
        <vt:i4>8192043</vt:i4>
      </vt:variant>
      <vt:variant>
        <vt:i4>360</vt:i4>
      </vt:variant>
      <vt:variant>
        <vt:i4>0</vt:i4>
      </vt:variant>
      <vt:variant>
        <vt:i4>5</vt:i4>
      </vt:variant>
      <vt:variant>
        <vt:lpwstr>https://www.wa.gov.au/government/announcements/solid-futures-aboriginal-traineeship-program</vt:lpwstr>
      </vt:variant>
      <vt:variant>
        <vt:lpwstr/>
      </vt:variant>
      <vt:variant>
        <vt:i4>4718593</vt:i4>
      </vt:variant>
      <vt:variant>
        <vt:i4>357</vt:i4>
      </vt:variant>
      <vt:variant>
        <vt:i4>0</vt:i4>
      </vt:variant>
      <vt:variant>
        <vt:i4>5</vt:i4>
      </vt:variant>
      <vt:variant>
        <vt:lpwstr>https://www.wa.gov.au/government/multi-step-guides/launch</vt:lpwstr>
      </vt:variant>
      <vt:variant>
        <vt:lpwstr/>
      </vt:variant>
      <vt:variant>
        <vt:i4>7667771</vt:i4>
      </vt:variant>
      <vt:variant>
        <vt:i4>354</vt:i4>
      </vt:variant>
      <vt:variant>
        <vt:i4>0</vt:i4>
      </vt:variant>
      <vt:variant>
        <vt:i4>5</vt:i4>
      </vt:variant>
      <vt:variant>
        <vt:lpwstr>https://www.wa.gov.au/government/multi-step-guides/place-of-opportunity</vt:lpwstr>
      </vt:variant>
      <vt:variant>
        <vt:lpwstr/>
      </vt:variant>
      <vt:variant>
        <vt:i4>3342369</vt:i4>
      </vt:variant>
      <vt:variant>
        <vt:i4>333</vt:i4>
      </vt:variant>
      <vt:variant>
        <vt:i4>0</vt:i4>
      </vt:variant>
      <vt:variant>
        <vt:i4>5</vt:i4>
      </vt:variant>
      <vt:variant>
        <vt:lpwstr>http://www.jobs.wa.gov.au/</vt:lpwstr>
      </vt:variant>
      <vt:variant>
        <vt:lpwstr/>
      </vt:variant>
      <vt:variant>
        <vt:i4>6357097</vt:i4>
      </vt:variant>
      <vt:variant>
        <vt:i4>330</vt:i4>
      </vt:variant>
      <vt:variant>
        <vt:i4>0</vt:i4>
      </vt:variant>
      <vt:variant>
        <vt:i4>5</vt:i4>
      </vt:variant>
      <vt:variant>
        <vt:lpwstr>https://www.wa.gov.au/government/publications/commissioners-instruction-2-filling-public-sector-vacancy</vt:lpwstr>
      </vt:variant>
      <vt:variant>
        <vt:lpwstr/>
      </vt:variant>
      <vt:variant>
        <vt:i4>983117</vt:i4>
      </vt:variant>
      <vt:variant>
        <vt:i4>327</vt:i4>
      </vt:variant>
      <vt:variant>
        <vt:i4>0</vt:i4>
      </vt:variant>
      <vt:variant>
        <vt:i4>5</vt:i4>
      </vt:variant>
      <vt:variant>
        <vt:lpwstr>https://www.wa.gov.au/government/publications/commissioners-instruction-39-interim-arrangements-fill-public-sector-vacancies</vt:lpwstr>
      </vt:variant>
      <vt:variant>
        <vt:lpwstr/>
      </vt:variant>
      <vt:variant>
        <vt:i4>4259847</vt:i4>
      </vt:variant>
      <vt:variant>
        <vt:i4>324</vt:i4>
      </vt:variant>
      <vt:variant>
        <vt:i4>0</vt:i4>
      </vt:variant>
      <vt:variant>
        <vt:i4>5</vt:i4>
      </vt:variant>
      <vt:variant>
        <vt:lpwstr>https://www.wa.gov.au/government/publications/commissioners-instruction-38-temporary-regional-attraction-and-retention-incentives</vt:lpwstr>
      </vt:variant>
      <vt:variant>
        <vt:lpwstr/>
      </vt:variant>
      <vt:variant>
        <vt:i4>8192034</vt:i4>
      </vt:variant>
      <vt:variant>
        <vt:i4>315</vt:i4>
      </vt:variant>
      <vt:variant>
        <vt:i4>0</vt:i4>
      </vt:variant>
      <vt:variant>
        <vt:i4>5</vt:i4>
      </vt:variant>
      <vt:variant>
        <vt:lpwstr>https://www.wa.gov.au/government/document-collections/annual-report-state-finances</vt:lpwstr>
      </vt:variant>
      <vt:variant>
        <vt:lpwstr/>
      </vt:variant>
      <vt:variant>
        <vt:i4>8192036</vt:i4>
      </vt:variant>
      <vt:variant>
        <vt:i4>312</vt:i4>
      </vt:variant>
      <vt:variant>
        <vt:i4>0</vt:i4>
      </vt:variant>
      <vt:variant>
        <vt:i4>5</vt:i4>
      </vt:variant>
      <vt:variant>
        <vt:lpwstr>https://www.wa.gov.au/government/publications/commissioners-instruction-36-interim-arrangements-fill-vacancies-main-roads-western-australia</vt:lpwstr>
      </vt:variant>
      <vt:variant>
        <vt:lpwstr/>
      </vt:variant>
      <vt:variant>
        <vt:i4>655439</vt:i4>
      </vt:variant>
      <vt:variant>
        <vt:i4>309</vt:i4>
      </vt:variant>
      <vt:variant>
        <vt:i4>0</vt:i4>
      </vt:variant>
      <vt:variant>
        <vt:i4>5</vt:i4>
      </vt:variant>
      <vt:variant>
        <vt:lpwstr>https://www.wa.gov.au/government/publications/commissioners-instruction-37-interim-arrangements-fill-vacancies-south-metropolitan-health-service</vt:lpwstr>
      </vt:variant>
      <vt:variant>
        <vt:lpwstr/>
      </vt:variant>
      <vt:variant>
        <vt:i4>5636163</vt:i4>
      </vt:variant>
      <vt:variant>
        <vt:i4>282</vt:i4>
      </vt:variant>
      <vt:variant>
        <vt:i4>0</vt:i4>
      </vt:variant>
      <vt:variant>
        <vt:i4>5</vt:i4>
      </vt:variant>
      <vt:variant>
        <vt:lpwstr>https://www.wa.gov.au/organisation/public-sector-commission/the-structure-of-the-western-australian-government-sector</vt:lpwstr>
      </vt:variant>
      <vt:variant>
        <vt:lpwstr/>
      </vt:variant>
      <vt:variant>
        <vt:i4>1441895</vt:i4>
      </vt:variant>
      <vt:variant>
        <vt:i4>276</vt:i4>
      </vt:variant>
      <vt:variant>
        <vt:i4>0</vt:i4>
      </vt:variant>
      <vt:variant>
        <vt:i4>5</vt:i4>
      </vt:variant>
      <vt:variant>
        <vt:lpwstr/>
      </vt:variant>
      <vt:variant>
        <vt:lpwstr>_APPENDIX_1_-</vt:lpwstr>
      </vt:variant>
      <vt:variant>
        <vt:i4>3735587</vt:i4>
      </vt:variant>
      <vt:variant>
        <vt:i4>273</vt:i4>
      </vt:variant>
      <vt:variant>
        <vt:i4>0</vt:i4>
      </vt:variant>
      <vt:variant>
        <vt:i4>5</vt:i4>
      </vt:variant>
      <vt:variant>
        <vt:lpwstr>https://www.wa.gov.au/organisation/public-sector-commission/our-remit-and-responsibilities</vt:lpwstr>
      </vt:variant>
      <vt:variant>
        <vt:lpwstr/>
      </vt:variant>
      <vt:variant>
        <vt:i4>1638448</vt:i4>
      </vt:variant>
      <vt:variant>
        <vt:i4>266</vt:i4>
      </vt:variant>
      <vt:variant>
        <vt:i4>0</vt:i4>
      </vt:variant>
      <vt:variant>
        <vt:i4>5</vt:i4>
      </vt:variant>
      <vt:variant>
        <vt:lpwstr/>
      </vt:variant>
      <vt:variant>
        <vt:lpwstr>_Toc150179636</vt:lpwstr>
      </vt:variant>
      <vt:variant>
        <vt:i4>1638448</vt:i4>
      </vt:variant>
      <vt:variant>
        <vt:i4>260</vt:i4>
      </vt:variant>
      <vt:variant>
        <vt:i4>0</vt:i4>
      </vt:variant>
      <vt:variant>
        <vt:i4>5</vt:i4>
      </vt:variant>
      <vt:variant>
        <vt:lpwstr/>
      </vt:variant>
      <vt:variant>
        <vt:lpwstr>_Toc150179635</vt:lpwstr>
      </vt:variant>
      <vt:variant>
        <vt:i4>1638448</vt:i4>
      </vt:variant>
      <vt:variant>
        <vt:i4>254</vt:i4>
      </vt:variant>
      <vt:variant>
        <vt:i4>0</vt:i4>
      </vt:variant>
      <vt:variant>
        <vt:i4>5</vt:i4>
      </vt:variant>
      <vt:variant>
        <vt:lpwstr/>
      </vt:variant>
      <vt:variant>
        <vt:lpwstr>_Toc150179634</vt:lpwstr>
      </vt:variant>
      <vt:variant>
        <vt:i4>1638448</vt:i4>
      </vt:variant>
      <vt:variant>
        <vt:i4>248</vt:i4>
      </vt:variant>
      <vt:variant>
        <vt:i4>0</vt:i4>
      </vt:variant>
      <vt:variant>
        <vt:i4>5</vt:i4>
      </vt:variant>
      <vt:variant>
        <vt:lpwstr/>
      </vt:variant>
      <vt:variant>
        <vt:lpwstr>_Toc150179633</vt:lpwstr>
      </vt:variant>
      <vt:variant>
        <vt:i4>1638448</vt:i4>
      </vt:variant>
      <vt:variant>
        <vt:i4>242</vt:i4>
      </vt:variant>
      <vt:variant>
        <vt:i4>0</vt:i4>
      </vt:variant>
      <vt:variant>
        <vt:i4>5</vt:i4>
      </vt:variant>
      <vt:variant>
        <vt:lpwstr/>
      </vt:variant>
      <vt:variant>
        <vt:lpwstr>_Toc150179632</vt:lpwstr>
      </vt:variant>
      <vt:variant>
        <vt:i4>1638448</vt:i4>
      </vt:variant>
      <vt:variant>
        <vt:i4>236</vt:i4>
      </vt:variant>
      <vt:variant>
        <vt:i4>0</vt:i4>
      </vt:variant>
      <vt:variant>
        <vt:i4>5</vt:i4>
      </vt:variant>
      <vt:variant>
        <vt:lpwstr/>
      </vt:variant>
      <vt:variant>
        <vt:lpwstr>_Toc150179631</vt:lpwstr>
      </vt:variant>
      <vt:variant>
        <vt:i4>1638448</vt:i4>
      </vt:variant>
      <vt:variant>
        <vt:i4>230</vt:i4>
      </vt:variant>
      <vt:variant>
        <vt:i4>0</vt:i4>
      </vt:variant>
      <vt:variant>
        <vt:i4>5</vt:i4>
      </vt:variant>
      <vt:variant>
        <vt:lpwstr/>
      </vt:variant>
      <vt:variant>
        <vt:lpwstr>_Toc150179630</vt:lpwstr>
      </vt:variant>
      <vt:variant>
        <vt:i4>1572912</vt:i4>
      </vt:variant>
      <vt:variant>
        <vt:i4>224</vt:i4>
      </vt:variant>
      <vt:variant>
        <vt:i4>0</vt:i4>
      </vt:variant>
      <vt:variant>
        <vt:i4>5</vt:i4>
      </vt:variant>
      <vt:variant>
        <vt:lpwstr/>
      </vt:variant>
      <vt:variant>
        <vt:lpwstr>_Toc150179629</vt:lpwstr>
      </vt:variant>
      <vt:variant>
        <vt:i4>1572912</vt:i4>
      </vt:variant>
      <vt:variant>
        <vt:i4>218</vt:i4>
      </vt:variant>
      <vt:variant>
        <vt:i4>0</vt:i4>
      </vt:variant>
      <vt:variant>
        <vt:i4>5</vt:i4>
      </vt:variant>
      <vt:variant>
        <vt:lpwstr/>
      </vt:variant>
      <vt:variant>
        <vt:lpwstr>_Toc150179628</vt:lpwstr>
      </vt:variant>
      <vt:variant>
        <vt:i4>1572912</vt:i4>
      </vt:variant>
      <vt:variant>
        <vt:i4>212</vt:i4>
      </vt:variant>
      <vt:variant>
        <vt:i4>0</vt:i4>
      </vt:variant>
      <vt:variant>
        <vt:i4>5</vt:i4>
      </vt:variant>
      <vt:variant>
        <vt:lpwstr/>
      </vt:variant>
      <vt:variant>
        <vt:lpwstr>_Toc150179627</vt:lpwstr>
      </vt:variant>
      <vt:variant>
        <vt:i4>1572912</vt:i4>
      </vt:variant>
      <vt:variant>
        <vt:i4>206</vt:i4>
      </vt:variant>
      <vt:variant>
        <vt:i4>0</vt:i4>
      </vt:variant>
      <vt:variant>
        <vt:i4>5</vt:i4>
      </vt:variant>
      <vt:variant>
        <vt:lpwstr/>
      </vt:variant>
      <vt:variant>
        <vt:lpwstr>_Toc150179626</vt:lpwstr>
      </vt:variant>
      <vt:variant>
        <vt:i4>1572912</vt:i4>
      </vt:variant>
      <vt:variant>
        <vt:i4>200</vt:i4>
      </vt:variant>
      <vt:variant>
        <vt:i4>0</vt:i4>
      </vt:variant>
      <vt:variant>
        <vt:i4>5</vt:i4>
      </vt:variant>
      <vt:variant>
        <vt:lpwstr/>
      </vt:variant>
      <vt:variant>
        <vt:lpwstr>_Toc150179625</vt:lpwstr>
      </vt:variant>
      <vt:variant>
        <vt:i4>1572912</vt:i4>
      </vt:variant>
      <vt:variant>
        <vt:i4>194</vt:i4>
      </vt:variant>
      <vt:variant>
        <vt:i4>0</vt:i4>
      </vt:variant>
      <vt:variant>
        <vt:i4>5</vt:i4>
      </vt:variant>
      <vt:variant>
        <vt:lpwstr/>
      </vt:variant>
      <vt:variant>
        <vt:lpwstr>_Toc150179624</vt:lpwstr>
      </vt:variant>
      <vt:variant>
        <vt:i4>1572912</vt:i4>
      </vt:variant>
      <vt:variant>
        <vt:i4>188</vt:i4>
      </vt:variant>
      <vt:variant>
        <vt:i4>0</vt:i4>
      </vt:variant>
      <vt:variant>
        <vt:i4>5</vt:i4>
      </vt:variant>
      <vt:variant>
        <vt:lpwstr/>
      </vt:variant>
      <vt:variant>
        <vt:lpwstr>_Toc150179623</vt:lpwstr>
      </vt:variant>
      <vt:variant>
        <vt:i4>1572912</vt:i4>
      </vt:variant>
      <vt:variant>
        <vt:i4>182</vt:i4>
      </vt:variant>
      <vt:variant>
        <vt:i4>0</vt:i4>
      </vt:variant>
      <vt:variant>
        <vt:i4>5</vt:i4>
      </vt:variant>
      <vt:variant>
        <vt:lpwstr/>
      </vt:variant>
      <vt:variant>
        <vt:lpwstr>_Toc150179622</vt:lpwstr>
      </vt:variant>
      <vt:variant>
        <vt:i4>1572912</vt:i4>
      </vt:variant>
      <vt:variant>
        <vt:i4>176</vt:i4>
      </vt:variant>
      <vt:variant>
        <vt:i4>0</vt:i4>
      </vt:variant>
      <vt:variant>
        <vt:i4>5</vt:i4>
      </vt:variant>
      <vt:variant>
        <vt:lpwstr/>
      </vt:variant>
      <vt:variant>
        <vt:lpwstr>_Toc150179621</vt:lpwstr>
      </vt:variant>
      <vt:variant>
        <vt:i4>1572912</vt:i4>
      </vt:variant>
      <vt:variant>
        <vt:i4>170</vt:i4>
      </vt:variant>
      <vt:variant>
        <vt:i4>0</vt:i4>
      </vt:variant>
      <vt:variant>
        <vt:i4>5</vt:i4>
      </vt:variant>
      <vt:variant>
        <vt:lpwstr/>
      </vt:variant>
      <vt:variant>
        <vt:lpwstr>_Toc150179620</vt:lpwstr>
      </vt:variant>
      <vt:variant>
        <vt:i4>1769520</vt:i4>
      </vt:variant>
      <vt:variant>
        <vt:i4>164</vt:i4>
      </vt:variant>
      <vt:variant>
        <vt:i4>0</vt:i4>
      </vt:variant>
      <vt:variant>
        <vt:i4>5</vt:i4>
      </vt:variant>
      <vt:variant>
        <vt:lpwstr/>
      </vt:variant>
      <vt:variant>
        <vt:lpwstr>_Toc150179619</vt:lpwstr>
      </vt:variant>
      <vt:variant>
        <vt:i4>1769520</vt:i4>
      </vt:variant>
      <vt:variant>
        <vt:i4>158</vt:i4>
      </vt:variant>
      <vt:variant>
        <vt:i4>0</vt:i4>
      </vt:variant>
      <vt:variant>
        <vt:i4>5</vt:i4>
      </vt:variant>
      <vt:variant>
        <vt:lpwstr/>
      </vt:variant>
      <vt:variant>
        <vt:lpwstr>_Toc150179618</vt:lpwstr>
      </vt:variant>
      <vt:variant>
        <vt:i4>1769520</vt:i4>
      </vt:variant>
      <vt:variant>
        <vt:i4>152</vt:i4>
      </vt:variant>
      <vt:variant>
        <vt:i4>0</vt:i4>
      </vt:variant>
      <vt:variant>
        <vt:i4>5</vt:i4>
      </vt:variant>
      <vt:variant>
        <vt:lpwstr/>
      </vt:variant>
      <vt:variant>
        <vt:lpwstr>_Toc150179617</vt:lpwstr>
      </vt:variant>
      <vt:variant>
        <vt:i4>1769520</vt:i4>
      </vt:variant>
      <vt:variant>
        <vt:i4>146</vt:i4>
      </vt:variant>
      <vt:variant>
        <vt:i4>0</vt:i4>
      </vt:variant>
      <vt:variant>
        <vt:i4>5</vt:i4>
      </vt:variant>
      <vt:variant>
        <vt:lpwstr/>
      </vt:variant>
      <vt:variant>
        <vt:lpwstr>_Toc150179616</vt:lpwstr>
      </vt:variant>
      <vt:variant>
        <vt:i4>1769520</vt:i4>
      </vt:variant>
      <vt:variant>
        <vt:i4>140</vt:i4>
      </vt:variant>
      <vt:variant>
        <vt:i4>0</vt:i4>
      </vt:variant>
      <vt:variant>
        <vt:i4>5</vt:i4>
      </vt:variant>
      <vt:variant>
        <vt:lpwstr/>
      </vt:variant>
      <vt:variant>
        <vt:lpwstr>_Toc150179615</vt:lpwstr>
      </vt:variant>
      <vt:variant>
        <vt:i4>1769520</vt:i4>
      </vt:variant>
      <vt:variant>
        <vt:i4>134</vt:i4>
      </vt:variant>
      <vt:variant>
        <vt:i4>0</vt:i4>
      </vt:variant>
      <vt:variant>
        <vt:i4>5</vt:i4>
      </vt:variant>
      <vt:variant>
        <vt:lpwstr/>
      </vt:variant>
      <vt:variant>
        <vt:lpwstr>_Toc150179614</vt:lpwstr>
      </vt:variant>
      <vt:variant>
        <vt:i4>1769520</vt:i4>
      </vt:variant>
      <vt:variant>
        <vt:i4>128</vt:i4>
      </vt:variant>
      <vt:variant>
        <vt:i4>0</vt:i4>
      </vt:variant>
      <vt:variant>
        <vt:i4>5</vt:i4>
      </vt:variant>
      <vt:variant>
        <vt:lpwstr/>
      </vt:variant>
      <vt:variant>
        <vt:lpwstr>_Toc150179613</vt:lpwstr>
      </vt:variant>
      <vt:variant>
        <vt:i4>1769520</vt:i4>
      </vt:variant>
      <vt:variant>
        <vt:i4>122</vt:i4>
      </vt:variant>
      <vt:variant>
        <vt:i4>0</vt:i4>
      </vt:variant>
      <vt:variant>
        <vt:i4>5</vt:i4>
      </vt:variant>
      <vt:variant>
        <vt:lpwstr/>
      </vt:variant>
      <vt:variant>
        <vt:lpwstr>_Toc150179612</vt:lpwstr>
      </vt:variant>
      <vt:variant>
        <vt:i4>1769520</vt:i4>
      </vt:variant>
      <vt:variant>
        <vt:i4>116</vt:i4>
      </vt:variant>
      <vt:variant>
        <vt:i4>0</vt:i4>
      </vt:variant>
      <vt:variant>
        <vt:i4>5</vt:i4>
      </vt:variant>
      <vt:variant>
        <vt:lpwstr/>
      </vt:variant>
      <vt:variant>
        <vt:lpwstr>_Toc150179611</vt:lpwstr>
      </vt:variant>
      <vt:variant>
        <vt:i4>1769520</vt:i4>
      </vt:variant>
      <vt:variant>
        <vt:i4>110</vt:i4>
      </vt:variant>
      <vt:variant>
        <vt:i4>0</vt:i4>
      </vt:variant>
      <vt:variant>
        <vt:i4>5</vt:i4>
      </vt:variant>
      <vt:variant>
        <vt:lpwstr/>
      </vt:variant>
      <vt:variant>
        <vt:lpwstr>_Toc150179610</vt:lpwstr>
      </vt:variant>
      <vt:variant>
        <vt:i4>1703984</vt:i4>
      </vt:variant>
      <vt:variant>
        <vt:i4>104</vt:i4>
      </vt:variant>
      <vt:variant>
        <vt:i4>0</vt:i4>
      </vt:variant>
      <vt:variant>
        <vt:i4>5</vt:i4>
      </vt:variant>
      <vt:variant>
        <vt:lpwstr/>
      </vt:variant>
      <vt:variant>
        <vt:lpwstr>_Toc150179609</vt:lpwstr>
      </vt:variant>
      <vt:variant>
        <vt:i4>1703984</vt:i4>
      </vt:variant>
      <vt:variant>
        <vt:i4>98</vt:i4>
      </vt:variant>
      <vt:variant>
        <vt:i4>0</vt:i4>
      </vt:variant>
      <vt:variant>
        <vt:i4>5</vt:i4>
      </vt:variant>
      <vt:variant>
        <vt:lpwstr/>
      </vt:variant>
      <vt:variant>
        <vt:lpwstr>_Toc150179608</vt:lpwstr>
      </vt:variant>
      <vt:variant>
        <vt:i4>1703984</vt:i4>
      </vt:variant>
      <vt:variant>
        <vt:i4>92</vt:i4>
      </vt:variant>
      <vt:variant>
        <vt:i4>0</vt:i4>
      </vt:variant>
      <vt:variant>
        <vt:i4>5</vt:i4>
      </vt:variant>
      <vt:variant>
        <vt:lpwstr/>
      </vt:variant>
      <vt:variant>
        <vt:lpwstr>_Toc150179607</vt:lpwstr>
      </vt:variant>
      <vt:variant>
        <vt:i4>1703984</vt:i4>
      </vt:variant>
      <vt:variant>
        <vt:i4>86</vt:i4>
      </vt:variant>
      <vt:variant>
        <vt:i4>0</vt:i4>
      </vt:variant>
      <vt:variant>
        <vt:i4>5</vt:i4>
      </vt:variant>
      <vt:variant>
        <vt:lpwstr/>
      </vt:variant>
      <vt:variant>
        <vt:lpwstr>_Toc150179606</vt:lpwstr>
      </vt:variant>
      <vt:variant>
        <vt:i4>1703984</vt:i4>
      </vt:variant>
      <vt:variant>
        <vt:i4>80</vt:i4>
      </vt:variant>
      <vt:variant>
        <vt:i4>0</vt:i4>
      </vt:variant>
      <vt:variant>
        <vt:i4>5</vt:i4>
      </vt:variant>
      <vt:variant>
        <vt:lpwstr/>
      </vt:variant>
      <vt:variant>
        <vt:lpwstr>_Toc150179605</vt:lpwstr>
      </vt:variant>
      <vt:variant>
        <vt:i4>1703984</vt:i4>
      </vt:variant>
      <vt:variant>
        <vt:i4>74</vt:i4>
      </vt:variant>
      <vt:variant>
        <vt:i4>0</vt:i4>
      </vt:variant>
      <vt:variant>
        <vt:i4>5</vt:i4>
      </vt:variant>
      <vt:variant>
        <vt:lpwstr/>
      </vt:variant>
      <vt:variant>
        <vt:lpwstr>_Toc150179604</vt:lpwstr>
      </vt:variant>
      <vt:variant>
        <vt:i4>1703984</vt:i4>
      </vt:variant>
      <vt:variant>
        <vt:i4>68</vt:i4>
      </vt:variant>
      <vt:variant>
        <vt:i4>0</vt:i4>
      </vt:variant>
      <vt:variant>
        <vt:i4>5</vt:i4>
      </vt:variant>
      <vt:variant>
        <vt:lpwstr/>
      </vt:variant>
      <vt:variant>
        <vt:lpwstr>_Toc150179603</vt:lpwstr>
      </vt:variant>
      <vt:variant>
        <vt:i4>1703984</vt:i4>
      </vt:variant>
      <vt:variant>
        <vt:i4>62</vt:i4>
      </vt:variant>
      <vt:variant>
        <vt:i4>0</vt:i4>
      </vt:variant>
      <vt:variant>
        <vt:i4>5</vt:i4>
      </vt:variant>
      <vt:variant>
        <vt:lpwstr/>
      </vt:variant>
      <vt:variant>
        <vt:lpwstr>_Toc150179602</vt:lpwstr>
      </vt:variant>
      <vt:variant>
        <vt:i4>1703984</vt:i4>
      </vt:variant>
      <vt:variant>
        <vt:i4>56</vt:i4>
      </vt:variant>
      <vt:variant>
        <vt:i4>0</vt:i4>
      </vt:variant>
      <vt:variant>
        <vt:i4>5</vt:i4>
      </vt:variant>
      <vt:variant>
        <vt:lpwstr/>
      </vt:variant>
      <vt:variant>
        <vt:lpwstr>_Toc150179601</vt:lpwstr>
      </vt:variant>
      <vt:variant>
        <vt:i4>1703984</vt:i4>
      </vt:variant>
      <vt:variant>
        <vt:i4>50</vt:i4>
      </vt:variant>
      <vt:variant>
        <vt:i4>0</vt:i4>
      </vt:variant>
      <vt:variant>
        <vt:i4>5</vt:i4>
      </vt:variant>
      <vt:variant>
        <vt:lpwstr/>
      </vt:variant>
      <vt:variant>
        <vt:lpwstr>_Toc150179600</vt:lpwstr>
      </vt:variant>
      <vt:variant>
        <vt:i4>1245235</vt:i4>
      </vt:variant>
      <vt:variant>
        <vt:i4>44</vt:i4>
      </vt:variant>
      <vt:variant>
        <vt:i4>0</vt:i4>
      </vt:variant>
      <vt:variant>
        <vt:i4>5</vt:i4>
      </vt:variant>
      <vt:variant>
        <vt:lpwstr/>
      </vt:variant>
      <vt:variant>
        <vt:lpwstr>_Toc150179599</vt:lpwstr>
      </vt:variant>
      <vt:variant>
        <vt:i4>1245235</vt:i4>
      </vt:variant>
      <vt:variant>
        <vt:i4>38</vt:i4>
      </vt:variant>
      <vt:variant>
        <vt:i4>0</vt:i4>
      </vt:variant>
      <vt:variant>
        <vt:i4>5</vt:i4>
      </vt:variant>
      <vt:variant>
        <vt:lpwstr/>
      </vt:variant>
      <vt:variant>
        <vt:lpwstr>_Toc150179598</vt:lpwstr>
      </vt:variant>
      <vt:variant>
        <vt:i4>1245235</vt:i4>
      </vt:variant>
      <vt:variant>
        <vt:i4>32</vt:i4>
      </vt:variant>
      <vt:variant>
        <vt:i4>0</vt:i4>
      </vt:variant>
      <vt:variant>
        <vt:i4>5</vt:i4>
      </vt:variant>
      <vt:variant>
        <vt:lpwstr/>
      </vt:variant>
      <vt:variant>
        <vt:lpwstr>_Toc150179597</vt:lpwstr>
      </vt:variant>
      <vt:variant>
        <vt:i4>1245235</vt:i4>
      </vt:variant>
      <vt:variant>
        <vt:i4>26</vt:i4>
      </vt:variant>
      <vt:variant>
        <vt:i4>0</vt:i4>
      </vt:variant>
      <vt:variant>
        <vt:i4>5</vt:i4>
      </vt:variant>
      <vt:variant>
        <vt:lpwstr/>
      </vt:variant>
      <vt:variant>
        <vt:lpwstr>_Toc150179596</vt:lpwstr>
      </vt:variant>
      <vt:variant>
        <vt:i4>1245235</vt:i4>
      </vt:variant>
      <vt:variant>
        <vt:i4>20</vt:i4>
      </vt:variant>
      <vt:variant>
        <vt:i4>0</vt:i4>
      </vt:variant>
      <vt:variant>
        <vt:i4>5</vt:i4>
      </vt:variant>
      <vt:variant>
        <vt:lpwstr/>
      </vt:variant>
      <vt:variant>
        <vt:lpwstr>_Toc150179595</vt:lpwstr>
      </vt:variant>
      <vt:variant>
        <vt:i4>1245235</vt:i4>
      </vt:variant>
      <vt:variant>
        <vt:i4>14</vt:i4>
      </vt:variant>
      <vt:variant>
        <vt:i4>0</vt:i4>
      </vt:variant>
      <vt:variant>
        <vt:i4>5</vt:i4>
      </vt:variant>
      <vt:variant>
        <vt:lpwstr/>
      </vt:variant>
      <vt:variant>
        <vt:lpwstr>_Toc150179594</vt:lpwstr>
      </vt:variant>
      <vt:variant>
        <vt:i4>1245235</vt:i4>
      </vt:variant>
      <vt:variant>
        <vt:i4>8</vt:i4>
      </vt:variant>
      <vt:variant>
        <vt:i4>0</vt:i4>
      </vt:variant>
      <vt:variant>
        <vt:i4>5</vt:i4>
      </vt:variant>
      <vt:variant>
        <vt:lpwstr/>
      </vt:variant>
      <vt:variant>
        <vt:lpwstr>_Toc150179593</vt:lpwstr>
      </vt:variant>
      <vt:variant>
        <vt:i4>1245235</vt:i4>
      </vt:variant>
      <vt:variant>
        <vt:i4>2</vt:i4>
      </vt:variant>
      <vt:variant>
        <vt:i4>0</vt:i4>
      </vt:variant>
      <vt:variant>
        <vt:i4>5</vt:i4>
      </vt:variant>
      <vt:variant>
        <vt:lpwstr/>
      </vt:variant>
      <vt:variant>
        <vt:lpwstr>_Toc150179592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WA Government Sector Workforce 2022-23</dc:title>
  <dc:subject/>
  <dc:creator>Public Sector Commission</dc:creator>
  <cp:keywords/>
  <dc:description/>
  <cp:lastModifiedBy>Partridge, Julian</cp:lastModifiedBy>
  <cp:revision>5</cp:revision>
  <cp:lastPrinted>2023-11-07T01:35:00Z</cp:lastPrinted>
  <dcterms:created xsi:type="dcterms:W3CDTF">2023-12-06T02:56:00Z</dcterms:created>
  <dcterms:modified xsi:type="dcterms:W3CDTF">2023-12-06T04:22:00Z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ubject">
    <vt:lpwstr>State of the Sector - final draft for review</vt:lpwstr>
  </property>
  <property fmtid="{D5CDD505-2E9C-101B-9397-08002B2CF9AE}" pid="4" name="_AuthorEmail">
    <vt:lpwstr>Jane.MachinEverill@psc.wa.gov.au</vt:lpwstr>
  </property>
  <property fmtid="{D5CDD505-2E9C-101B-9397-08002B2CF9AE}" pid="5" name="_AuthorEmailDisplayName">
    <vt:lpwstr>Machin-Everill, Jane</vt:lpwstr>
  </property>
  <property fmtid="{D5CDD505-2E9C-101B-9397-08002B2CF9AE}" pid="6" name="_PreviousAdHocReviewCycleID">
    <vt:i4>1676906182</vt:i4>
  </property>
  <property fmtid="{D5CDD505-2E9C-101B-9397-08002B2CF9AE}" pid="7" name="ContentTypeId">
    <vt:lpwstr>0x010100F5AC71801CBBEE4F9FCA2DD085F92561</vt:lpwstr>
  </property>
  <property fmtid="{D5CDD505-2E9C-101B-9397-08002B2CF9AE}" pid="8" name="MediaServiceImageTags">
    <vt:lpwstr/>
  </property>
  <property fmtid="{D5CDD505-2E9C-101B-9397-08002B2CF9AE}" pid="9" name="MSIP_Label_9debd643-ebde-44ed-8e8b-40a2ae139fe2_Enabled">
    <vt:lpwstr>true</vt:lpwstr>
  </property>
  <property fmtid="{D5CDD505-2E9C-101B-9397-08002B2CF9AE}" pid="10" name="MSIP_Label_9debd643-ebde-44ed-8e8b-40a2ae139fe2_SetDate">
    <vt:lpwstr>2023-08-25T03:37:11Z</vt:lpwstr>
  </property>
  <property fmtid="{D5CDD505-2E9C-101B-9397-08002B2CF9AE}" pid="11" name="MSIP_Label_9debd643-ebde-44ed-8e8b-40a2ae139fe2_Method">
    <vt:lpwstr>Standard</vt:lpwstr>
  </property>
  <property fmtid="{D5CDD505-2E9C-101B-9397-08002B2CF9AE}" pid="12" name="MSIP_Label_9debd643-ebde-44ed-8e8b-40a2ae139fe2_Name">
    <vt:lpwstr>OFFICIAL PSC.</vt:lpwstr>
  </property>
  <property fmtid="{D5CDD505-2E9C-101B-9397-08002B2CF9AE}" pid="13" name="MSIP_Label_9debd643-ebde-44ed-8e8b-40a2ae139fe2_SiteId">
    <vt:lpwstr>d48144b5-571f-4b68-9721-e41bc0071e17</vt:lpwstr>
  </property>
  <property fmtid="{D5CDD505-2E9C-101B-9397-08002B2CF9AE}" pid="14" name="MSIP_Label_9debd643-ebde-44ed-8e8b-40a2ae139fe2_ActionId">
    <vt:lpwstr>15d5acf9-525b-4006-998f-a763e70f988d</vt:lpwstr>
  </property>
  <property fmtid="{D5CDD505-2E9C-101B-9397-08002B2CF9AE}" pid="15" name="MSIP_Label_9debd643-ebde-44ed-8e8b-40a2ae139fe2_ContentBits">
    <vt:lpwstr>0</vt:lpwstr>
  </property>
</Properties>
</file>