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679DF9E8" w:rsidR="00F140D9" w:rsidRPr="004D0F80" w:rsidRDefault="00F140D9" w:rsidP="00607466">
      <w:pPr>
        <w:pStyle w:val="Heading1"/>
      </w:pPr>
      <w:r w:rsidRPr="004D0F80">
        <w:t xml:space="preserve">Western Australian </w:t>
      </w:r>
      <w:r w:rsidR="0026119B" w:rsidRPr="004D0F80">
        <w:t xml:space="preserve">Public Sector </w:t>
      </w:r>
      <w:r w:rsidR="00C51C2E" w:rsidRPr="004D0F80">
        <w:t xml:space="preserve">Quarterly </w:t>
      </w:r>
      <w:r w:rsidR="0026119B" w:rsidRPr="004D0F80">
        <w:t>Workfo</w:t>
      </w:r>
      <w:r w:rsidR="00390269">
        <w:rPr>
          <w:noProof/>
        </w:rPr>
        <w:drawing>
          <wp:anchor distT="0" distB="0" distL="114300" distR="114300" simplePos="0" relativeHeight="251659264" behindDoc="0" locked="0" layoutInCell="1" allowOverlap="1" wp14:anchorId="49CFD1FE" wp14:editId="3ADA3224">
            <wp:simplePos x="0" y="0"/>
            <wp:positionH relativeFrom="page">
              <wp:align>center</wp:align>
            </wp:positionH>
            <wp:positionV relativeFrom="page">
              <wp:align>top</wp:align>
            </wp:positionV>
            <wp:extent cx="7549200" cy="12960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119B" w:rsidRPr="004D0F80">
        <w:t>rce Report</w:t>
      </w:r>
      <w:r w:rsidR="0026119B">
        <w:t xml:space="preserve"> – </w:t>
      </w:r>
      <w:r w:rsidR="00607466" w:rsidRPr="006A5FF7">
        <w:t xml:space="preserve">September </w:t>
      </w:r>
      <w:r w:rsidR="0026119B" w:rsidRPr="006A5FF7">
        <w:t>2020</w:t>
      </w:r>
    </w:p>
    <w:p w14:paraId="6D273999" w14:textId="11743C42" w:rsidR="00CC76B7" w:rsidRDefault="00CC76B7" w:rsidP="00607466">
      <w:pPr>
        <w:pStyle w:val="Heading2"/>
        <w:spacing w:before="400" w:beforeAutospacing="0" w:line="240" w:lineRule="exact"/>
      </w:pPr>
      <w:r w:rsidRPr="004D0F80">
        <w:t>About</w:t>
      </w:r>
      <w:r>
        <w:t xml:space="preserve"> this information</w:t>
      </w:r>
    </w:p>
    <w:p w14:paraId="14D98CE9" w14:textId="0B37E7D8" w:rsidR="00CC76B7" w:rsidRPr="008B64B5" w:rsidRDefault="00CC76B7" w:rsidP="00607466">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0B67A1" w:rsidRPr="008B64B5">
          <w:rPr>
            <w:rStyle w:val="Hyperlink"/>
          </w:rPr>
          <w:t>State of the WA Government Sector Workforce 2019-20</w:t>
        </w:r>
      </w:hyperlink>
      <w:r w:rsidR="00EB09F0" w:rsidRPr="008B64B5">
        <w:t>.</w:t>
      </w:r>
      <w:r w:rsidR="004D0F80" w:rsidRPr="008B64B5">
        <w:rPr>
          <w:noProof/>
        </w:rPr>
        <w:t xml:space="preserve"> </w:t>
      </w:r>
    </w:p>
    <w:p w14:paraId="787158A3" w14:textId="58733DE2" w:rsidR="00C910D3" w:rsidRPr="008B64B5" w:rsidRDefault="00C910D3" w:rsidP="00607466">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403A735A" w:rsidR="00F140D9" w:rsidRPr="006258A2" w:rsidRDefault="006258A2" w:rsidP="00607466">
      <w:pPr>
        <w:pStyle w:val="Heading2"/>
        <w:spacing w:before="400" w:beforeAutospacing="0" w:line="240" w:lineRule="exact"/>
      </w:pPr>
      <w:r w:rsidRPr="006258A2">
        <w:t>Overview</w:t>
      </w:r>
      <w:r w:rsidR="002500BA">
        <w:t xml:space="preserve"> of the </w:t>
      </w:r>
      <w:r w:rsidR="000E1883">
        <w:t>p</w:t>
      </w:r>
      <w:r w:rsidR="002500BA">
        <w:t xml:space="preserve">ublic </w:t>
      </w:r>
      <w:r w:rsidR="000E1883">
        <w:t>s</w:t>
      </w:r>
      <w:r w:rsidR="002500BA">
        <w:t>ector as of</w:t>
      </w:r>
      <w:r w:rsidR="00CC76B7">
        <w:t xml:space="preserve"> </w:t>
      </w:r>
      <w:r w:rsidR="005F66C6">
        <w:t xml:space="preserve">30 </w:t>
      </w:r>
      <w:r w:rsidR="00F60192">
        <w:t>September</w:t>
      </w:r>
      <w:r w:rsidR="00E47A3C">
        <w:t xml:space="preserve"> 2020</w:t>
      </w:r>
    </w:p>
    <w:tbl>
      <w:tblPr>
        <w:tblStyle w:val="GridTable1Light-Accent6"/>
        <w:tblW w:w="6800"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704"/>
        <w:gridCol w:w="1418"/>
      </w:tblGrid>
      <w:tr w:rsidR="00F86D38" w:rsidRPr="004D0F80" w14:paraId="4F4C340A" w14:textId="77777777" w:rsidTr="006A5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Borders>
              <w:bottom w:val="none" w:sz="0" w:space="0" w:color="auto"/>
            </w:tcBorders>
          </w:tcPr>
          <w:p w14:paraId="5A966609" w14:textId="48F826EB" w:rsidR="00F86D38" w:rsidRPr="006A5FF7" w:rsidRDefault="00F86D38" w:rsidP="00390269">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Headcount</w:t>
            </w:r>
          </w:p>
        </w:tc>
        <w:tc>
          <w:tcPr>
            <w:tcW w:w="1418" w:type="dxa"/>
            <w:tcBorders>
              <w:bottom w:val="none" w:sz="0" w:space="0" w:color="auto"/>
            </w:tcBorders>
          </w:tcPr>
          <w:p w14:paraId="56D54886" w14:textId="04D3B007" w:rsidR="00F86D38" w:rsidRPr="006A5FF7" w:rsidRDefault="00F60192" w:rsidP="00390269">
            <w:pPr>
              <w:pStyle w:val="TableText"/>
              <w:spacing w:before="0" w:beforeAutospacing="0" w:after="0" w:line="240" w:lineRule="auto"/>
              <w:jc w:val="right"/>
              <w:cnfStyle w:val="100000000000" w:firstRow="1" w:lastRow="0" w:firstColumn="0" w:lastColumn="0" w:oddVBand="0" w:evenVBand="0" w:oddHBand="0" w:evenHBand="0" w:firstRowFirstColumn="0" w:firstRowLastColumn="0" w:lastRowFirstColumn="0" w:lastRowLastColumn="0"/>
              <w:rPr>
                <w:b w:val="0"/>
                <w:sz w:val="21"/>
                <w:szCs w:val="21"/>
                <w:shd w:val="clear" w:color="auto" w:fill="FFFFFF"/>
              </w:rPr>
            </w:pPr>
            <w:r w:rsidRPr="006A5FF7">
              <w:rPr>
                <w:b w:val="0"/>
                <w:sz w:val="21"/>
                <w:szCs w:val="21"/>
                <w:shd w:val="clear" w:color="auto" w:fill="FFFFFF"/>
              </w:rPr>
              <w:t>148,408</w:t>
            </w:r>
          </w:p>
        </w:tc>
      </w:tr>
      <w:tr w:rsidR="00F86D38" w:rsidRPr="004D0F80" w14:paraId="33540417"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39754B09" w14:textId="23F91C90" w:rsidR="00F86D38" w:rsidRPr="006A5FF7" w:rsidRDefault="00F86D38" w:rsidP="00390269">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Full-time equivalent (FTE)</w:t>
            </w:r>
          </w:p>
        </w:tc>
        <w:tc>
          <w:tcPr>
            <w:tcW w:w="1418" w:type="dxa"/>
          </w:tcPr>
          <w:p w14:paraId="63CC6538" w14:textId="6E3B2483" w:rsidR="00F86D38" w:rsidRPr="006A5FF7" w:rsidRDefault="00F60192"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117,773</w:t>
            </w:r>
          </w:p>
        </w:tc>
      </w:tr>
      <w:tr w:rsidR="00F86D38" w:rsidRPr="000610C7" w14:paraId="3C63FF01"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6BC13504" w14:textId="214C7969" w:rsidR="00F86D38" w:rsidRPr="006A5FF7" w:rsidRDefault="00F86D38" w:rsidP="00390269">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General government expenses (</w:t>
            </w:r>
            <w:r w:rsidR="000D7AD8" w:rsidRPr="006A5FF7">
              <w:rPr>
                <w:b w:val="0"/>
                <w:sz w:val="21"/>
                <w:szCs w:val="21"/>
                <w:shd w:val="clear" w:color="auto" w:fill="FFFFFF"/>
              </w:rPr>
              <w:t xml:space="preserve">September </w:t>
            </w:r>
            <w:r w:rsidRPr="006A5FF7">
              <w:rPr>
                <w:b w:val="0"/>
                <w:sz w:val="21"/>
                <w:szCs w:val="21"/>
                <w:shd w:val="clear" w:color="auto" w:fill="FFFFFF"/>
              </w:rPr>
              <w:t>quarter)</w:t>
            </w:r>
          </w:p>
        </w:tc>
        <w:tc>
          <w:tcPr>
            <w:tcW w:w="1418" w:type="dxa"/>
          </w:tcPr>
          <w:p w14:paraId="6E1BD269" w14:textId="2F917619" w:rsidR="00F86D38" w:rsidRPr="006A5FF7" w:rsidRDefault="000D7AD8"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$3,319</w:t>
            </w:r>
            <w:r w:rsidR="002E40BB" w:rsidRPr="006A5FF7">
              <w:rPr>
                <w:sz w:val="21"/>
                <w:szCs w:val="21"/>
                <w:shd w:val="clear" w:color="auto" w:fill="FFFFFF"/>
              </w:rPr>
              <w:t>M</w:t>
            </w:r>
          </w:p>
        </w:tc>
      </w:tr>
      <w:tr w:rsidR="00F86D38" w:rsidRPr="000610C7" w14:paraId="3971AAC8"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75E52A65" w14:textId="27E8ECD3" w:rsidR="00F86D38" w:rsidRPr="006A5FF7" w:rsidRDefault="00F86D38" w:rsidP="00390269">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Senior Executive Service (SES)</w:t>
            </w:r>
          </w:p>
        </w:tc>
        <w:tc>
          <w:tcPr>
            <w:tcW w:w="1418" w:type="dxa"/>
          </w:tcPr>
          <w:p w14:paraId="73986BEF" w14:textId="0D757AF9" w:rsidR="00F86D38" w:rsidRPr="006A5FF7" w:rsidRDefault="008B2549"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4</w:t>
            </w:r>
            <w:r w:rsidR="007B4FC7" w:rsidRPr="006A5FF7">
              <w:rPr>
                <w:sz w:val="21"/>
                <w:szCs w:val="21"/>
                <w:shd w:val="clear" w:color="auto" w:fill="FFFFFF"/>
              </w:rPr>
              <w:t>13</w:t>
            </w:r>
          </w:p>
        </w:tc>
      </w:tr>
      <w:tr w:rsidR="00F86D38" w:rsidRPr="000610C7" w14:paraId="2903238C"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5B9D79AB" w14:textId="75D1B13D" w:rsidR="00F86D38" w:rsidRPr="006A5FF7" w:rsidRDefault="006A5FF7" w:rsidP="00390269">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Public sector m</w:t>
            </w:r>
            <w:r w:rsidR="00F86D38" w:rsidRPr="006A5FF7">
              <w:rPr>
                <w:b w:val="0"/>
                <w:sz w:val="21"/>
                <w:szCs w:val="21"/>
                <w:shd w:val="clear" w:color="auto" w:fill="FFFFFF"/>
              </w:rPr>
              <w:t>edian age</w:t>
            </w:r>
          </w:p>
        </w:tc>
        <w:tc>
          <w:tcPr>
            <w:tcW w:w="1418" w:type="dxa"/>
          </w:tcPr>
          <w:p w14:paraId="4351825E" w14:textId="1BC2E872" w:rsidR="00F86D38" w:rsidRPr="006A5FF7" w:rsidRDefault="00F86D38"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46</w:t>
            </w:r>
          </w:p>
        </w:tc>
      </w:tr>
      <w:tr w:rsidR="00F86D38" w:rsidRPr="000610C7" w14:paraId="609145EC"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6A5FF7" w:rsidRDefault="00F86D38" w:rsidP="00390269">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Top 3 occupation groups (FTE)</w:t>
            </w:r>
          </w:p>
        </w:tc>
        <w:tc>
          <w:tcPr>
            <w:tcW w:w="3704" w:type="dxa"/>
          </w:tcPr>
          <w:p w14:paraId="0B019051" w14:textId="3955FB6D" w:rsidR="00F86D38" w:rsidRPr="006A5FF7" w:rsidRDefault="00F86D38" w:rsidP="00390269">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Teachers</w:t>
            </w:r>
          </w:p>
        </w:tc>
        <w:tc>
          <w:tcPr>
            <w:tcW w:w="1418" w:type="dxa"/>
          </w:tcPr>
          <w:p w14:paraId="560A349D" w14:textId="5619E47B" w:rsidR="00F86D38" w:rsidRPr="006A5FF7" w:rsidRDefault="00CE4FCA"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19.3</w:t>
            </w:r>
            <w:r w:rsidR="00F86D38" w:rsidRPr="006A5FF7">
              <w:rPr>
                <w:sz w:val="21"/>
                <w:szCs w:val="21"/>
                <w:shd w:val="clear" w:color="auto" w:fill="FFFFFF"/>
              </w:rPr>
              <w:t>%</w:t>
            </w:r>
          </w:p>
        </w:tc>
      </w:tr>
      <w:tr w:rsidR="00F86D38" w:rsidRPr="000610C7" w14:paraId="526F70BD"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6A5FF7" w:rsidRDefault="00F86D38" w:rsidP="00390269">
            <w:pPr>
              <w:pStyle w:val="TableText"/>
              <w:spacing w:before="0" w:beforeAutospacing="0" w:after="0" w:line="240" w:lineRule="auto"/>
              <w:rPr>
                <w:b w:val="0"/>
                <w:sz w:val="21"/>
                <w:szCs w:val="21"/>
                <w:shd w:val="clear" w:color="auto" w:fill="FFFFFF"/>
              </w:rPr>
            </w:pPr>
          </w:p>
        </w:tc>
        <w:tc>
          <w:tcPr>
            <w:tcW w:w="3704" w:type="dxa"/>
          </w:tcPr>
          <w:p w14:paraId="32B6CB38" w14:textId="0EE45075" w:rsidR="00F86D38" w:rsidRPr="006A5FF7" w:rsidRDefault="00F86D38" w:rsidP="00390269">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Clerical workers</w:t>
            </w:r>
          </w:p>
        </w:tc>
        <w:tc>
          <w:tcPr>
            <w:tcW w:w="1418" w:type="dxa"/>
          </w:tcPr>
          <w:p w14:paraId="299EF6D1" w14:textId="1952674E" w:rsidR="00F86D38" w:rsidRPr="006A5FF7" w:rsidRDefault="002677BA"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16.5</w:t>
            </w:r>
            <w:r w:rsidR="00F86D38" w:rsidRPr="006A5FF7">
              <w:rPr>
                <w:sz w:val="21"/>
                <w:szCs w:val="21"/>
                <w:shd w:val="clear" w:color="auto" w:fill="FFFFFF"/>
              </w:rPr>
              <w:t>%</w:t>
            </w:r>
          </w:p>
        </w:tc>
      </w:tr>
      <w:tr w:rsidR="00F86D38" w:rsidRPr="000610C7" w14:paraId="2278A679"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6A5FF7" w:rsidRDefault="00F86D38" w:rsidP="00390269">
            <w:pPr>
              <w:pStyle w:val="TableText"/>
              <w:spacing w:before="0" w:beforeAutospacing="0" w:after="0" w:line="240" w:lineRule="auto"/>
              <w:rPr>
                <w:b w:val="0"/>
                <w:sz w:val="21"/>
                <w:szCs w:val="21"/>
                <w:shd w:val="clear" w:color="auto" w:fill="FFFFFF"/>
              </w:rPr>
            </w:pPr>
          </w:p>
        </w:tc>
        <w:tc>
          <w:tcPr>
            <w:tcW w:w="3704" w:type="dxa"/>
          </w:tcPr>
          <w:p w14:paraId="257B4449" w14:textId="60F81CBA" w:rsidR="00F86D38" w:rsidRPr="006A5FF7" w:rsidRDefault="00F86D38" w:rsidP="00390269">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Nurses and midwives</w:t>
            </w:r>
          </w:p>
        </w:tc>
        <w:tc>
          <w:tcPr>
            <w:tcW w:w="1418" w:type="dxa"/>
          </w:tcPr>
          <w:p w14:paraId="04F768B5" w14:textId="3BB585F0" w:rsidR="00F86D38" w:rsidRPr="006A5FF7" w:rsidRDefault="002677BA" w:rsidP="00390269">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10.</w:t>
            </w:r>
            <w:r w:rsidR="000B67A1" w:rsidRPr="006A5FF7">
              <w:rPr>
                <w:sz w:val="21"/>
                <w:szCs w:val="21"/>
                <w:shd w:val="clear" w:color="auto" w:fill="FFFFFF"/>
              </w:rPr>
              <w:t>9</w:t>
            </w:r>
            <w:r w:rsidR="00F86D38" w:rsidRPr="006A5FF7">
              <w:rPr>
                <w:sz w:val="21"/>
                <w:szCs w:val="21"/>
                <w:shd w:val="clear" w:color="auto" w:fill="FFFFFF"/>
              </w:rPr>
              <w:t>%</w:t>
            </w:r>
          </w:p>
        </w:tc>
      </w:tr>
    </w:tbl>
    <w:p w14:paraId="7A27DC3C" w14:textId="2F7FA16C" w:rsidR="005211EB" w:rsidRPr="006A5FF7" w:rsidRDefault="005211EB" w:rsidP="00607466">
      <w:pPr>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6A5FF7" w:rsidRDefault="00B271FA" w:rsidP="006A5FF7">
            <w:pPr>
              <w:spacing w:before="40" w:after="40"/>
              <w:ind w:right="245"/>
              <w:rPr>
                <w:color w:val="FFFFFF" w:themeColor="background1"/>
              </w:rPr>
            </w:pPr>
            <w:r w:rsidRPr="006A5FF7">
              <w:rPr>
                <w:color w:val="FFFFFF" w:themeColor="background1"/>
              </w:rPr>
              <w:t>Diversity groups</w:t>
            </w:r>
          </w:p>
        </w:tc>
        <w:tc>
          <w:tcPr>
            <w:tcW w:w="3301" w:type="dxa"/>
            <w:gridSpan w:val="2"/>
            <w:tcBorders>
              <w:bottom w:val="single" w:sz="4" w:space="0" w:color="2B9947"/>
            </w:tcBorders>
          </w:tcPr>
          <w:p w14:paraId="3D126E53" w14:textId="77777777" w:rsidR="00B271FA" w:rsidRPr="006A5FF7" w:rsidRDefault="00B271FA" w:rsidP="006A5FF7">
            <w:pPr>
              <w:spacing w:before="40" w:after="40"/>
              <w:ind w:right="245"/>
              <w:jc w:val="center"/>
              <w:rPr>
                <w:color w:val="FFFFFF" w:themeColor="background1"/>
              </w:rPr>
            </w:pPr>
            <w:r w:rsidRPr="006A5FF7">
              <w:rPr>
                <w:color w:val="FFFFFF" w:themeColor="background1"/>
              </w:rPr>
              <w:t>Sep 2020</w:t>
            </w:r>
          </w:p>
        </w:tc>
        <w:tc>
          <w:tcPr>
            <w:tcW w:w="1971" w:type="dxa"/>
            <w:tcBorders>
              <w:bottom w:val="single" w:sz="4" w:space="0" w:color="2B9947"/>
            </w:tcBorders>
            <w:vAlign w:val="bottom"/>
          </w:tcPr>
          <w:p w14:paraId="071F40F8" w14:textId="77777777" w:rsidR="00B271FA" w:rsidRPr="006A5FF7" w:rsidRDefault="00B271FA" w:rsidP="006A5FF7">
            <w:pPr>
              <w:spacing w:before="40" w:after="40"/>
              <w:jc w:val="center"/>
              <w:rPr>
                <w:color w:val="FFFFFF" w:themeColor="background1"/>
                <w:shd w:val="clear" w:color="auto" w:fill="FFFFFF"/>
              </w:rPr>
            </w:pPr>
            <w:r w:rsidRPr="006A5FF7">
              <w:rPr>
                <w:color w:val="FFFFFF" w:themeColor="background1"/>
              </w:rPr>
              <w:t>Aspirational target</w:t>
            </w:r>
          </w:p>
        </w:tc>
      </w:tr>
      <w:tr w:rsidR="00B271FA" w:rsidRPr="009308A2" w14:paraId="28E26A0F" w14:textId="77777777" w:rsidTr="006A5FF7">
        <w:tc>
          <w:tcPr>
            <w:tcW w:w="3539" w:type="dxa"/>
            <w:vMerge w:val="restart"/>
          </w:tcPr>
          <w:p w14:paraId="4DB1B1E2"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Women in SES</w:t>
            </w:r>
          </w:p>
        </w:tc>
        <w:tc>
          <w:tcPr>
            <w:tcW w:w="1776" w:type="dxa"/>
            <w:tcBorders>
              <w:right w:val="nil"/>
            </w:tcBorders>
          </w:tcPr>
          <w:p w14:paraId="3501FE3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2881AEDD"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42.4%</w:t>
            </w:r>
          </w:p>
        </w:tc>
        <w:tc>
          <w:tcPr>
            <w:tcW w:w="1971" w:type="dxa"/>
            <w:tcBorders>
              <w:bottom w:val="nil"/>
            </w:tcBorders>
          </w:tcPr>
          <w:p w14:paraId="121E20F1"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50.0%</w:t>
            </w:r>
          </w:p>
        </w:tc>
      </w:tr>
      <w:tr w:rsidR="00B271FA" w:rsidRPr="009308A2" w14:paraId="4E9B6E30" w14:textId="77777777" w:rsidTr="006A5FF7">
        <w:trPr>
          <w:trHeight w:val="63"/>
        </w:trPr>
        <w:tc>
          <w:tcPr>
            <w:tcW w:w="3539" w:type="dxa"/>
            <w:vMerge/>
          </w:tcPr>
          <w:p w14:paraId="110B973F"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04B5FE8B"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54F2C5E1"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175</w:t>
            </w:r>
          </w:p>
        </w:tc>
        <w:tc>
          <w:tcPr>
            <w:tcW w:w="1971" w:type="dxa"/>
            <w:tcBorders>
              <w:top w:val="nil"/>
              <w:bottom w:val="single" w:sz="4" w:space="0" w:color="2B9947"/>
            </w:tcBorders>
          </w:tcPr>
          <w:p w14:paraId="009E291A"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6AECC508" w14:textId="77777777" w:rsidTr="006A5FF7">
        <w:tc>
          <w:tcPr>
            <w:tcW w:w="3539" w:type="dxa"/>
            <w:vMerge w:val="restart"/>
          </w:tcPr>
          <w:p w14:paraId="3BDEF391"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Aboriginal and Torres Strait Islander people</w:t>
            </w:r>
          </w:p>
        </w:tc>
        <w:tc>
          <w:tcPr>
            <w:tcW w:w="1776" w:type="dxa"/>
            <w:tcBorders>
              <w:right w:val="nil"/>
            </w:tcBorders>
          </w:tcPr>
          <w:p w14:paraId="7332D5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003912D9"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2.7%</w:t>
            </w:r>
          </w:p>
        </w:tc>
        <w:tc>
          <w:tcPr>
            <w:tcW w:w="1971" w:type="dxa"/>
            <w:tcBorders>
              <w:bottom w:val="nil"/>
            </w:tcBorders>
          </w:tcPr>
          <w:p w14:paraId="2894AE3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3.7%</w:t>
            </w:r>
          </w:p>
        </w:tc>
      </w:tr>
      <w:tr w:rsidR="00B271FA" w:rsidRPr="009308A2" w14:paraId="0979DF9F" w14:textId="77777777" w:rsidTr="006A5FF7">
        <w:tc>
          <w:tcPr>
            <w:tcW w:w="3539" w:type="dxa"/>
            <w:vMerge/>
          </w:tcPr>
          <w:p w14:paraId="184FA39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4243B00C"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39C58E2F"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3,011</w:t>
            </w:r>
          </w:p>
        </w:tc>
        <w:tc>
          <w:tcPr>
            <w:tcW w:w="1971" w:type="dxa"/>
            <w:tcBorders>
              <w:top w:val="nil"/>
              <w:bottom w:val="single" w:sz="4" w:space="0" w:color="2B9947"/>
            </w:tcBorders>
          </w:tcPr>
          <w:p w14:paraId="6AEC6209"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02B3A48F" w14:textId="77777777" w:rsidTr="006A5FF7">
        <w:tc>
          <w:tcPr>
            <w:tcW w:w="3539" w:type="dxa"/>
            <w:vMerge w:val="restart"/>
          </w:tcPr>
          <w:p w14:paraId="23847D0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People with disability</w:t>
            </w:r>
          </w:p>
        </w:tc>
        <w:tc>
          <w:tcPr>
            <w:tcW w:w="1776" w:type="dxa"/>
            <w:tcBorders>
              <w:right w:val="nil"/>
            </w:tcBorders>
          </w:tcPr>
          <w:p w14:paraId="2CBE2E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170E5304"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1.5%</w:t>
            </w:r>
          </w:p>
        </w:tc>
        <w:tc>
          <w:tcPr>
            <w:tcW w:w="1971" w:type="dxa"/>
            <w:tcBorders>
              <w:bottom w:val="nil"/>
            </w:tcBorders>
          </w:tcPr>
          <w:p w14:paraId="1B93731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5.0%</w:t>
            </w:r>
          </w:p>
        </w:tc>
      </w:tr>
      <w:tr w:rsidR="00B271FA" w:rsidRPr="009308A2" w14:paraId="029D7560" w14:textId="77777777" w:rsidTr="006A5FF7">
        <w:tc>
          <w:tcPr>
            <w:tcW w:w="3539" w:type="dxa"/>
            <w:vMerge/>
          </w:tcPr>
          <w:p w14:paraId="40BCBBF2"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2382FD06"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318BF2"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1,704</w:t>
            </w:r>
          </w:p>
        </w:tc>
        <w:tc>
          <w:tcPr>
            <w:tcW w:w="1971" w:type="dxa"/>
            <w:tcBorders>
              <w:top w:val="nil"/>
              <w:bottom w:val="single" w:sz="4" w:space="0" w:color="2B9947"/>
            </w:tcBorders>
          </w:tcPr>
          <w:p w14:paraId="4ED2A8A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B27020C" w14:textId="77777777" w:rsidTr="006A5FF7">
        <w:tc>
          <w:tcPr>
            <w:tcW w:w="3539" w:type="dxa"/>
            <w:vMerge w:val="restart"/>
          </w:tcPr>
          <w:p w14:paraId="6DACA1C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Culturally and linguistically diverse people</w:t>
            </w:r>
          </w:p>
        </w:tc>
        <w:tc>
          <w:tcPr>
            <w:tcW w:w="1776" w:type="dxa"/>
            <w:tcBorders>
              <w:right w:val="nil"/>
            </w:tcBorders>
          </w:tcPr>
          <w:p w14:paraId="12C6B76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6C766A57"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14.2%</w:t>
            </w:r>
          </w:p>
        </w:tc>
        <w:tc>
          <w:tcPr>
            <w:tcW w:w="1971" w:type="dxa"/>
            <w:tcBorders>
              <w:bottom w:val="nil"/>
            </w:tcBorders>
          </w:tcPr>
          <w:p w14:paraId="15DA84D8"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15.5%</w:t>
            </w:r>
          </w:p>
        </w:tc>
      </w:tr>
      <w:tr w:rsidR="00B271FA" w:rsidRPr="009308A2" w14:paraId="57293750" w14:textId="77777777" w:rsidTr="006A5FF7">
        <w:tc>
          <w:tcPr>
            <w:tcW w:w="3539" w:type="dxa"/>
            <w:vMerge/>
          </w:tcPr>
          <w:p w14:paraId="22866D50"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A1C5FB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4D90DE86"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14,651</w:t>
            </w:r>
          </w:p>
        </w:tc>
        <w:tc>
          <w:tcPr>
            <w:tcW w:w="1971" w:type="dxa"/>
            <w:tcBorders>
              <w:top w:val="nil"/>
              <w:bottom w:val="single" w:sz="4" w:space="0" w:color="2B9947"/>
            </w:tcBorders>
          </w:tcPr>
          <w:p w14:paraId="49B59BD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2A45285F" w14:textId="77777777" w:rsidTr="006A5FF7">
        <w:tc>
          <w:tcPr>
            <w:tcW w:w="3539" w:type="dxa"/>
            <w:vMerge w:val="restart"/>
          </w:tcPr>
          <w:p w14:paraId="633BE39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Youth </w:t>
            </w:r>
            <w:r w:rsidRPr="006A5FF7">
              <w:rPr>
                <w:sz w:val="21"/>
                <w:szCs w:val="21"/>
                <w:shd w:val="clear" w:color="auto" w:fill="FFFFFF"/>
              </w:rPr>
              <w:br/>
              <w:t>(aged 24 and under)</w:t>
            </w:r>
          </w:p>
        </w:tc>
        <w:tc>
          <w:tcPr>
            <w:tcW w:w="1776" w:type="dxa"/>
            <w:tcBorders>
              <w:right w:val="nil"/>
            </w:tcBorders>
          </w:tcPr>
          <w:p w14:paraId="0B96BE1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31068471"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3.9%</w:t>
            </w:r>
          </w:p>
        </w:tc>
        <w:tc>
          <w:tcPr>
            <w:tcW w:w="1971" w:type="dxa"/>
            <w:tcBorders>
              <w:bottom w:val="nil"/>
            </w:tcBorders>
          </w:tcPr>
          <w:p w14:paraId="6213BCF7"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5.8%</w:t>
            </w:r>
          </w:p>
        </w:tc>
      </w:tr>
      <w:tr w:rsidR="006A5FF7" w:rsidRPr="009308A2" w14:paraId="16C27AAB" w14:textId="77777777" w:rsidTr="006A5FF7">
        <w:tc>
          <w:tcPr>
            <w:tcW w:w="3539" w:type="dxa"/>
            <w:vMerge/>
          </w:tcPr>
          <w:p w14:paraId="3A2A99C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bottom w:val="single" w:sz="4" w:space="0" w:color="2B9947"/>
              <w:right w:val="nil"/>
            </w:tcBorders>
          </w:tcPr>
          <w:p w14:paraId="0F5A5C42"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bottom w:val="single" w:sz="4" w:space="0" w:color="2B9947"/>
            </w:tcBorders>
          </w:tcPr>
          <w:p w14:paraId="18921836"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5,758</w:t>
            </w:r>
          </w:p>
        </w:tc>
        <w:tc>
          <w:tcPr>
            <w:tcW w:w="1971" w:type="dxa"/>
            <w:tcBorders>
              <w:top w:val="nil"/>
              <w:bottom w:val="single" w:sz="4" w:space="0" w:color="2B9947"/>
            </w:tcBorders>
          </w:tcPr>
          <w:p w14:paraId="37B786F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2F15DC5" w14:textId="77777777" w:rsidTr="006A5FF7">
        <w:tc>
          <w:tcPr>
            <w:tcW w:w="3539" w:type="dxa"/>
            <w:vMerge w:val="restart"/>
          </w:tcPr>
          <w:p w14:paraId="3DE8B50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Mature </w:t>
            </w:r>
            <w:r w:rsidRPr="006A5FF7">
              <w:rPr>
                <w:sz w:val="21"/>
                <w:szCs w:val="21"/>
                <w:shd w:val="clear" w:color="auto" w:fill="FFFFFF"/>
              </w:rPr>
              <w:br/>
              <w:t>(aged 45 and over)</w:t>
            </w:r>
          </w:p>
        </w:tc>
        <w:tc>
          <w:tcPr>
            <w:tcW w:w="1776" w:type="dxa"/>
            <w:tcBorders>
              <w:right w:val="nil"/>
            </w:tcBorders>
          </w:tcPr>
          <w:p w14:paraId="2375D59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7A90BC7A"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52.6%</w:t>
            </w:r>
          </w:p>
        </w:tc>
        <w:tc>
          <w:tcPr>
            <w:tcW w:w="1971" w:type="dxa"/>
            <w:tcBorders>
              <w:bottom w:val="nil"/>
            </w:tcBorders>
          </w:tcPr>
          <w:p w14:paraId="1D9B895C"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n/a</w:t>
            </w:r>
          </w:p>
        </w:tc>
      </w:tr>
      <w:tr w:rsidR="00B271FA" w:rsidRPr="009308A2" w14:paraId="5EA0B89C" w14:textId="77777777" w:rsidTr="006A5FF7">
        <w:tc>
          <w:tcPr>
            <w:tcW w:w="3539" w:type="dxa"/>
            <w:vMerge/>
          </w:tcPr>
          <w:p w14:paraId="30A7361E"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9D3F7F0"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DB8043"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r w:rsidRPr="006A5FF7">
              <w:rPr>
                <w:sz w:val="21"/>
                <w:szCs w:val="21"/>
                <w:shd w:val="clear" w:color="auto" w:fill="FFFFFF"/>
              </w:rPr>
              <w:t>78,106</w:t>
            </w:r>
          </w:p>
        </w:tc>
        <w:tc>
          <w:tcPr>
            <w:tcW w:w="1971" w:type="dxa"/>
            <w:tcBorders>
              <w:top w:val="nil"/>
            </w:tcBorders>
          </w:tcPr>
          <w:p w14:paraId="46D46E85"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p>
        </w:tc>
      </w:tr>
    </w:tbl>
    <w:p w14:paraId="4D724E11" w14:textId="7CCB0A9B" w:rsidR="00CC76B7" w:rsidRPr="000610C7" w:rsidRDefault="00CC76B7" w:rsidP="00607466">
      <w:pPr>
        <w:pStyle w:val="Heading2"/>
      </w:pPr>
      <w:r w:rsidRPr="000610C7">
        <w:lastRenderedPageBreak/>
        <w:t>Sector profile</w:t>
      </w:r>
    </w:p>
    <w:p w14:paraId="3529C276" w14:textId="77777777" w:rsidR="004375DD" w:rsidRPr="004D0F80" w:rsidRDefault="004375DD" w:rsidP="00607466">
      <w:pPr>
        <w:pStyle w:val="Heading3"/>
      </w:pPr>
      <w:r w:rsidRPr="004D0F80">
        <w:t>Employment trends</w:t>
      </w:r>
    </w:p>
    <w:p w14:paraId="6D763C64" w14:textId="77777777" w:rsidR="00931992" w:rsidRDefault="00931992" w:rsidP="00931992">
      <w:pPr>
        <w:spacing w:after="0" w:line="240" w:lineRule="auto"/>
      </w:pPr>
      <w:r w:rsidRPr="006243F1">
        <w:t xml:space="preserve">In September 2020 the WA public sector employed </w:t>
      </w:r>
      <w:r w:rsidRPr="006243F1">
        <w:rPr>
          <w:shd w:val="clear" w:color="auto" w:fill="FFFFFF"/>
        </w:rPr>
        <w:t xml:space="preserve">148,408 </w:t>
      </w:r>
      <w:r w:rsidRPr="006243F1">
        <w:t xml:space="preserve">people, equating to </w:t>
      </w:r>
      <w:r w:rsidRPr="006243F1">
        <w:rPr>
          <w:shd w:val="clear" w:color="auto" w:fill="FFFFFF"/>
        </w:rPr>
        <w:t xml:space="preserve">117,773 </w:t>
      </w:r>
      <w:r w:rsidRPr="006243F1">
        <w:t>full-time equivalent (FTE) employees.</w:t>
      </w:r>
    </w:p>
    <w:p w14:paraId="18EF3C86" w14:textId="618C437F" w:rsidR="00931992" w:rsidRDefault="00931992" w:rsidP="00931992">
      <w:pPr>
        <w:spacing w:after="0" w:line="240" w:lineRule="auto"/>
      </w:pPr>
      <w:r w:rsidRPr="006243F1">
        <w:t>In headcount terms, this reflected a quarterly increase of 1,846 (+1.3%) since June 2020, and an annual increase of 4,633 (3.2%) since September 2019.</w:t>
      </w:r>
      <w:r w:rsidR="0074648E">
        <w:t xml:space="preserve"> </w:t>
      </w:r>
      <w:r w:rsidRPr="006243F1">
        <w:t>In FTE terms, this reflects a quarterly increase of 895 (+1.2 per cent) since June 2020 and an annual increase of 4,406 (+3.9 per cent) since September 2019.</w:t>
      </w:r>
    </w:p>
    <w:p w14:paraId="4FC76A9F" w14:textId="1C00AD42" w:rsidR="00931992" w:rsidRDefault="00931992" w:rsidP="00931992">
      <w:pPr>
        <w:spacing w:after="0" w:line="240" w:lineRule="auto"/>
      </w:pPr>
      <w:r w:rsidRPr="008E261C">
        <w:t>WA Health continues to drive growth in staffing levels, accounting for o</w:t>
      </w:r>
      <w:r w:rsidRPr="006243F1">
        <w:t xml:space="preserve">ver </w:t>
      </w:r>
      <w:r w:rsidRPr="008E261C">
        <w:t xml:space="preserve">60% of the </w:t>
      </w:r>
      <w:r>
        <w:t>1,846</w:t>
      </w:r>
      <w:r w:rsidRPr="008E261C">
        <w:t xml:space="preserve"> </w:t>
      </w:r>
      <w:proofErr w:type="gramStart"/>
      <w:r w:rsidRPr="008E261C">
        <w:t>increase</w:t>
      </w:r>
      <w:proofErr w:type="gramEnd"/>
      <w:r>
        <w:t xml:space="preserve"> in headcount</w:t>
      </w:r>
      <w:r w:rsidRPr="008E261C">
        <w:t xml:space="preserve"> this quarter. Between June and September 2020, WA Health headcount increased by 1,138 (+2.3%) while FTE increased by 653 (+1.7%). These increases reflect WA Health maintaining preparedness to respond to COVID-19</w:t>
      </w:r>
      <w:r>
        <w:t>, through both COVID-19 specific positions and</w:t>
      </w:r>
      <w:r w:rsidRPr="00292267">
        <w:t xml:space="preserve"> </w:t>
      </w:r>
      <w:r>
        <w:t>coverage of</w:t>
      </w:r>
      <w:r w:rsidRPr="00292267">
        <w:t xml:space="preserve"> positions where </w:t>
      </w:r>
      <w:r>
        <w:t>staff</w:t>
      </w:r>
      <w:r w:rsidRPr="00292267">
        <w:t xml:space="preserve"> have been reallocated to COVID</w:t>
      </w:r>
      <w:r>
        <w:t>-19</w:t>
      </w:r>
      <w:r w:rsidRPr="00292267">
        <w:t xml:space="preserve"> response</w:t>
      </w:r>
      <w:r w:rsidRPr="008E261C">
        <w:t>.</w:t>
      </w:r>
    </w:p>
    <w:p w14:paraId="5CB98FF3" w14:textId="77777777" w:rsidR="00931992" w:rsidRDefault="00931992" w:rsidP="00931992">
      <w:pPr>
        <w:spacing w:after="0" w:line="240" w:lineRule="auto"/>
      </w:pPr>
      <w:r w:rsidRPr="008E261C">
        <w:t>The Department of Education also contributed to the increase, with headcount up by 468 (+0.8%) and FTE up by 39 (+0.1%) between June and September 2020</w:t>
      </w:r>
      <w:r>
        <w:t>:</w:t>
      </w:r>
    </w:p>
    <w:p w14:paraId="55D45576" w14:textId="0460250C" w:rsidR="00931992" w:rsidRDefault="00931992" w:rsidP="00931992">
      <w:pPr>
        <w:pStyle w:val="ListParagraph"/>
        <w:widowControl w:val="0"/>
        <w:numPr>
          <w:ilvl w:val="0"/>
          <w:numId w:val="12"/>
        </w:numPr>
        <w:autoSpaceDE w:val="0"/>
        <w:autoSpaceDN w:val="0"/>
        <w:adjustRightInd w:val="0"/>
        <w:spacing w:before="0" w:beforeAutospacing="0" w:after="0" w:line="240" w:lineRule="auto"/>
        <w:rPr>
          <w:shd w:val="clear" w:color="auto" w:fill="FFFFFF"/>
        </w:rPr>
      </w:pPr>
      <w:r w:rsidRPr="00F62FAF">
        <w:t xml:space="preserve">Growth was due largely to ongoing growth in student numbers, resulting in an additional headcount of 452 teachers and 393 education assistants. Most of these staff were </w:t>
      </w:r>
      <w:r w:rsidRPr="00F62FAF">
        <w:rPr>
          <w:shd w:val="clear" w:color="auto" w:fill="FFFFFF"/>
        </w:rPr>
        <w:t>casual</w:t>
      </w:r>
      <w:r w:rsidR="00155969">
        <w:rPr>
          <w:shd w:val="clear" w:color="auto" w:fill="FFFFFF"/>
        </w:rPr>
        <w:t xml:space="preserve"> and worked less than one FTE</w:t>
      </w:r>
      <w:r w:rsidRPr="00F62FAF">
        <w:rPr>
          <w:shd w:val="clear" w:color="auto" w:fill="FFFFFF"/>
        </w:rPr>
        <w:t>, resulting in a smaller increase in FTE than headcount.</w:t>
      </w:r>
    </w:p>
    <w:p w14:paraId="4DDF7731" w14:textId="77777777" w:rsidR="00931992" w:rsidRPr="00F33FC7" w:rsidRDefault="00931992" w:rsidP="00931992">
      <w:pPr>
        <w:pStyle w:val="ListParagraph"/>
        <w:widowControl w:val="0"/>
        <w:numPr>
          <w:ilvl w:val="0"/>
          <w:numId w:val="12"/>
        </w:numPr>
        <w:autoSpaceDE w:val="0"/>
        <w:autoSpaceDN w:val="0"/>
        <w:adjustRightInd w:val="0"/>
        <w:spacing w:before="0" w:beforeAutospacing="0" w:after="0" w:line="240" w:lineRule="auto"/>
        <w:rPr>
          <w:shd w:val="clear" w:color="auto" w:fill="FFFFFF"/>
        </w:rPr>
      </w:pPr>
      <w:r w:rsidRPr="00F33FC7">
        <w:t xml:space="preserve">Increases in teaching staff were offset by a decrease of 348 fixed term cleaners (headcount) in the Department of Education, occurring approximately six months from the end of March 2020 when staff were engaged to respond to emerging COVID-19 related health and safety requirements. </w:t>
      </w:r>
    </w:p>
    <w:p w14:paraId="5BD6A14E" w14:textId="77777777" w:rsidR="00931992" w:rsidRDefault="00931992" w:rsidP="00931992">
      <w:pPr>
        <w:spacing w:after="0" w:line="240" w:lineRule="auto"/>
        <w:rPr>
          <w:rFonts w:eastAsia="Calibri"/>
          <w:lang w:eastAsia="en-US"/>
        </w:rPr>
      </w:pPr>
      <w:r w:rsidRPr="008E261C">
        <w:rPr>
          <w:rFonts w:eastAsia="Calibri"/>
          <w:shd w:val="clear" w:color="auto" w:fill="FFFFFF"/>
          <w:lang w:eastAsia="en-US"/>
        </w:rPr>
        <w:t>TAFE colleges also increased, up 205 headcount (211 FTE) since June 2020</w:t>
      </w:r>
      <w:r>
        <w:rPr>
          <w:rFonts w:eastAsia="Calibri"/>
          <w:shd w:val="clear" w:color="auto" w:fill="FFFFFF"/>
          <w:lang w:eastAsia="en-US"/>
        </w:rPr>
        <w:t>,</w:t>
      </w:r>
      <w:r w:rsidRPr="008E261C">
        <w:rPr>
          <w:rFonts w:eastAsia="Calibri"/>
          <w:shd w:val="clear" w:color="auto" w:fill="FFFFFF"/>
          <w:lang w:eastAsia="en-US"/>
        </w:rPr>
        <w:t xml:space="preserve"> in line with the </w:t>
      </w:r>
      <w:r w:rsidRPr="008E261C">
        <w:t xml:space="preserve">resumption </w:t>
      </w:r>
      <w:r w:rsidRPr="008E261C">
        <w:rPr>
          <w:rFonts w:eastAsia="Calibri"/>
          <w:shd w:val="clear" w:color="auto" w:fill="FFFFFF"/>
          <w:lang w:eastAsia="en-US"/>
        </w:rPr>
        <w:t>of semester</w:t>
      </w:r>
      <w:r w:rsidRPr="008E261C">
        <w:rPr>
          <w:rFonts w:eastAsia="Calibri"/>
          <w:lang w:eastAsia="en-US"/>
        </w:rPr>
        <w:t>.</w:t>
      </w:r>
    </w:p>
    <w:p w14:paraId="4978DCE3" w14:textId="700AABCE" w:rsidR="00931992" w:rsidRDefault="00684AFE" w:rsidP="00931992">
      <w:pPr>
        <w:spacing w:after="0" w:line="240" w:lineRule="auto"/>
        <w:rPr>
          <w:shd w:val="clear" w:color="auto" w:fill="FFFFFF"/>
        </w:rPr>
      </w:pPr>
      <w:r>
        <w:rPr>
          <w:shd w:val="clear" w:color="auto" w:fill="FFFFFF"/>
        </w:rPr>
        <w:t>I</w:t>
      </w:r>
      <w:r w:rsidR="00155969">
        <w:rPr>
          <w:shd w:val="clear" w:color="auto" w:fill="FFFFFF"/>
        </w:rPr>
        <w:t>n response to t</w:t>
      </w:r>
      <w:r w:rsidR="00155969" w:rsidRPr="008E261C">
        <w:rPr>
          <w:shd w:val="clear" w:color="auto" w:fill="FFFFFF"/>
        </w:rPr>
        <w:t xml:space="preserve">he </w:t>
      </w:r>
      <w:r w:rsidR="00931992" w:rsidRPr="008E261C">
        <w:rPr>
          <w:shd w:val="clear" w:color="auto" w:fill="FFFFFF"/>
        </w:rPr>
        <w:t>COVID-19 pandemic</w:t>
      </w:r>
      <w:r w:rsidR="00155969">
        <w:rPr>
          <w:shd w:val="clear" w:color="auto" w:fill="FFFFFF"/>
        </w:rPr>
        <w:t xml:space="preserve">, </w:t>
      </w:r>
      <w:proofErr w:type="spellStart"/>
      <w:r w:rsidR="00155969">
        <w:rPr>
          <w:shd w:val="clear" w:color="auto" w:fill="FFFFFF"/>
        </w:rPr>
        <w:t>VenuesWest</w:t>
      </w:r>
      <w:proofErr w:type="spellEnd"/>
      <w:r w:rsidR="00155969">
        <w:rPr>
          <w:shd w:val="clear" w:color="auto" w:fill="FFFFFF"/>
        </w:rPr>
        <w:t xml:space="preserve"> reduced </w:t>
      </w:r>
      <w:r>
        <w:rPr>
          <w:shd w:val="clear" w:color="auto" w:fill="FFFFFF"/>
        </w:rPr>
        <w:t>its</w:t>
      </w:r>
      <w:r w:rsidR="00931992" w:rsidRPr="008E261C">
        <w:rPr>
          <w:shd w:val="clear" w:color="auto" w:fill="FFFFFF"/>
        </w:rPr>
        <w:t xml:space="preserve"> workforce from 518 employees (262 FTE) in September 2019 to 233 employees (107 FTE) in September 2020. </w:t>
      </w:r>
      <w:proofErr w:type="spellStart"/>
      <w:r w:rsidR="0074648E">
        <w:rPr>
          <w:shd w:val="clear" w:color="auto" w:fill="FFFFFF"/>
        </w:rPr>
        <w:t>VenuesWest</w:t>
      </w:r>
      <w:proofErr w:type="spellEnd"/>
      <w:r w:rsidR="0074648E">
        <w:rPr>
          <w:shd w:val="clear" w:color="auto" w:fill="FFFFFF"/>
        </w:rPr>
        <w:t xml:space="preserve"> reported that c</w:t>
      </w:r>
      <w:r w:rsidR="00931992" w:rsidRPr="008E261C">
        <w:rPr>
          <w:shd w:val="clear" w:color="auto" w:fill="FFFFFF"/>
        </w:rPr>
        <w:t xml:space="preserve">asual employees </w:t>
      </w:r>
      <w:r w:rsidR="0074648E">
        <w:rPr>
          <w:shd w:val="clear" w:color="auto" w:fill="FFFFFF"/>
        </w:rPr>
        <w:t>have started to be</w:t>
      </w:r>
      <w:r w:rsidR="00931992" w:rsidRPr="008E261C">
        <w:rPr>
          <w:shd w:val="clear" w:color="auto" w:fill="FFFFFF"/>
        </w:rPr>
        <w:t xml:space="preserve"> re-engaged as normal business at </w:t>
      </w:r>
      <w:proofErr w:type="spellStart"/>
      <w:r w:rsidR="00931992" w:rsidRPr="008E261C">
        <w:rPr>
          <w:shd w:val="clear" w:color="auto" w:fill="FFFFFF"/>
        </w:rPr>
        <w:t>VenuesWest</w:t>
      </w:r>
      <w:proofErr w:type="spellEnd"/>
      <w:r w:rsidR="00931992" w:rsidRPr="008E261C">
        <w:rPr>
          <w:shd w:val="clear" w:color="auto" w:fill="FFFFFF"/>
        </w:rPr>
        <w:t xml:space="preserve"> venues resume</w:t>
      </w:r>
      <w:r w:rsidR="00677EE7">
        <w:rPr>
          <w:shd w:val="clear" w:color="auto" w:fill="FFFFFF"/>
        </w:rPr>
        <w:t>s</w:t>
      </w:r>
      <w:r w:rsidR="00931992" w:rsidRPr="008E261C">
        <w:rPr>
          <w:shd w:val="clear" w:color="auto" w:fill="FFFFFF"/>
        </w:rPr>
        <w:t xml:space="preserve">. </w:t>
      </w:r>
    </w:p>
    <w:p w14:paraId="4D684A69" w14:textId="77777777" w:rsidR="00931992" w:rsidRPr="008E261C" w:rsidRDefault="00931992" w:rsidP="00931992">
      <w:pPr>
        <w:spacing w:after="0" w:line="240" w:lineRule="auto"/>
      </w:pPr>
    </w:p>
    <w:p w14:paraId="4D203EB1" w14:textId="77777777" w:rsidR="0088303B" w:rsidRDefault="0088303B">
      <w:pPr>
        <w:spacing w:before="0" w:beforeAutospacing="0" w:after="160"/>
        <w:rPr>
          <w:rFonts w:ascii="Century Gothic" w:eastAsiaTheme="majorEastAsia" w:hAnsi="Century Gothic" w:cstheme="majorBidi"/>
          <w:color w:val="404040" w:themeColor="text1" w:themeTint="BF"/>
          <w:sz w:val="26"/>
          <w:szCs w:val="26"/>
          <w:shd w:val="clear" w:color="auto" w:fill="FFFFFF"/>
        </w:rPr>
      </w:pPr>
      <w:r>
        <w:rPr>
          <w:shd w:val="clear" w:color="auto" w:fill="FFFFFF"/>
        </w:rPr>
        <w:br w:type="page"/>
      </w:r>
    </w:p>
    <w:p w14:paraId="1C8695B5" w14:textId="532F0002" w:rsidR="00CC76B7" w:rsidRPr="00CC76B7" w:rsidRDefault="00CC76B7" w:rsidP="00607466">
      <w:pPr>
        <w:pStyle w:val="Heading3"/>
        <w:rPr>
          <w:shd w:val="clear" w:color="auto" w:fill="FFFFFF"/>
        </w:rPr>
      </w:pPr>
      <w:r w:rsidRPr="00CC76B7">
        <w:rPr>
          <w:shd w:val="clear" w:color="auto" w:fill="FFFFFF"/>
        </w:rPr>
        <w:lastRenderedPageBreak/>
        <w:t>Salaries expenditure</w:t>
      </w:r>
    </w:p>
    <w:p w14:paraId="53C4D425" w14:textId="2C0A2658" w:rsidR="00905088" w:rsidRDefault="00905088" w:rsidP="00607466">
      <w:r>
        <w:t>Salaries</w:t>
      </w:r>
      <w:r w:rsidR="000D7AD8">
        <w:t xml:space="preserve"> represent</w:t>
      </w:r>
      <w:r>
        <w:t xml:space="preserve"> </w:t>
      </w:r>
      <w:r w:rsidR="007E0645">
        <w:t xml:space="preserve">the single largest component of general government </w:t>
      </w:r>
      <w:r>
        <w:t xml:space="preserve">expenses (42% </w:t>
      </w:r>
      <w:r w:rsidR="000D7AD8">
        <w:t>for the September 2020 quarter</w:t>
      </w:r>
      <w:r>
        <w:t>).</w:t>
      </w:r>
    </w:p>
    <w:p w14:paraId="1F0A71F9" w14:textId="7D4E05DB" w:rsidR="00D7121A" w:rsidRDefault="000D7AD8" w:rsidP="00607466">
      <w:r>
        <w:t>General</w:t>
      </w:r>
      <w:r w:rsidR="00905088">
        <w:t xml:space="preserve"> government salaries </w:t>
      </w:r>
      <w:r>
        <w:t>totalled $3,319 million in the first three months of 2020–21 (an increase of 5.7% compared to the same period in the prior year), with a decade average of 4.5% per annum.</w:t>
      </w:r>
    </w:p>
    <w:p w14:paraId="25CCE7A9" w14:textId="150AA503" w:rsidR="00235732" w:rsidRPr="00607466" w:rsidRDefault="00235732" w:rsidP="00607466">
      <w:pPr>
        <w:rPr>
          <w:sz w:val="20"/>
          <w:szCs w:val="20"/>
          <w:shd w:val="clear" w:color="auto" w:fill="FFFFFF"/>
        </w:rPr>
      </w:pPr>
      <w:r w:rsidRPr="00607466">
        <w:rPr>
          <w:sz w:val="20"/>
          <w:szCs w:val="20"/>
          <w:shd w:val="clear" w:color="auto" w:fill="FFFFFF"/>
        </w:rPr>
        <w:t xml:space="preserve">Figure 1. Salaries growth for the </w:t>
      </w:r>
      <w:r w:rsidR="00BA26FE" w:rsidRPr="00607466">
        <w:rPr>
          <w:sz w:val="20"/>
          <w:szCs w:val="20"/>
          <w:shd w:val="clear" w:color="auto" w:fill="FFFFFF"/>
        </w:rPr>
        <w:t>September quarter since 2010–11</w:t>
      </w:r>
      <w:r w:rsidR="00583006" w:rsidRPr="00607466">
        <w:rPr>
          <w:sz w:val="20"/>
          <w:szCs w:val="20"/>
          <w:shd w:val="clear" w:color="auto" w:fill="FFFFFF"/>
        </w:rPr>
        <w:t xml:space="preserve"> </w:t>
      </w:r>
      <w:r w:rsidRPr="00607466">
        <w:rPr>
          <w:sz w:val="20"/>
          <w:szCs w:val="20"/>
          <w:shd w:val="clear" w:color="auto" w:fill="FFFFFF"/>
        </w:rPr>
        <w:t>(general government)</w:t>
      </w:r>
    </w:p>
    <w:p w14:paraId="5943E043" w14:textId="3393E50C" w:rsidR="00194F4C" w:rsidRDefault="006122AC" w:rsidP="00607466">
      <w:pPr>
        <w:pStyle w:val="Caption"/>
      </w:pPr>
      <w:r>
        <w:rPr>
          <w:noProof/>
          <w:lang w:val="en-AU" w:eastAsia="en-AU"/>
        </w:rPr>
        <w:drawing>
          <wp:inline distT="0" distB="0" distL="0" distR="0" wp14:anchorId="44DC2F42" wp14:editId="5FC2549C">
            <wp:extent cx="5708915" cy="2494280"/>
            <wp:effectExtent l="0" t="0" r="635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19144"/>
                    <a:stretch/>
                  </pic:blipFill>
                  <pic:spPr bwMode="auto">
                    <a:xfrm>
                      <a:off x="0" y="0"/>
                      <a:ext cx="5709600" cy="2494579"/>
                    </a:xfrm>
                    <a:prstGeom prst="rect">
                      <a:avLst/>
                    </a:prstGeom>
                    <a:noFill/>
                    <a:ln>
                      <a:noFill/>
                    </a:ln>
                    <a:extLst>
                      <a:ext uri="{53640926-AAD7-44D8-BBD7-CCE9431645EC}">
                        <a14:shadowObscured xmlns:a14="http://schemas.microsoft.com/office/drawing/2010/main"/>
                      </a:ext>
                    </a:extLst>
                  </pic:spPr>
                </pic:pic>
              </a:graphicData>
            </a:graphic>
          </wp:inline>
        </w:drawing>
      </w:r>
    </w:p>
    <w:p w14:paraId="6FBB2B37" w14:textId="0E590DBF" w:rsidR="00A81B43" w:rsidRPr="00607466" w:rsidRDefault="00A81B43" w:rsidP="00607466">
      <w:pPr>
        <w:rPr>
          <w:sz w:val="20"/>
          <w:szCs w:val="20"/>
          <w:lang w:eastAsia="zh-CN"/>
        </w:rPr>
      </w:pPr>
      <w:r w:rsidRPr="00607466">
        <w:rPr>
          <w:sz w:val="20"/>
          <w:szCs w:val="20"/>
          <w:lang w:eastAsia="zh-CN"/>
        </w:rPr>
        <w:t xml:space="preserve">[ALT text - </w:t>
      </w:r>
      <w:r w:rsidR="00F84448" w:rsidRPr="00607466">
        <w:rPr>
          <w:sz w:val="20"/>
          <w:szCs w:val="20"/>
        </w:rPr>
        <w:t xml:space="preserve">Salaries growth for the </w:t>
      </w:r>
      <w:r w:rsidR="00BA26FE" w:rsidRPr="00607466">
        <w:rPr>
          <w:sz w:val="20"/>
          <w:szCs w:val="20"/>
        </w:rPr>
        <w:t>September quarter was 5.7</w:t>
      </w:r>
      <w:r w:rsidR="007E0645" w:rsidRPr="00607466">
        <w:rPr>
          <w:sz w:val="20"/>
          <w:szCs w:val="20"/>
        </w:rPr>
        <w:t xml:space="preserve"> per cent, </w:t>
      </w:r>
      <w:r w:rsidR="00F84448" w:rsidRPr="00607466">
        <w:rPr>
          <w:sz w:val="20"/>
          <w:szCs w:val="20"/>
        </w:rPr>
        <w:t xml:space="preserve">compared to a ten-year average of </w:t>
      </w:r>
      <w:r w:rsidR="00BA26FE" w:rsidRPr="00607466">
        <w:rPr>
          <w:sz w:val="20"/>
          <w:szCs w:val="20"/>
        </w:rPr>
        <w:t>4.5</w:t>
      </w:r>
      <w:r w:rsidR="00F84448" w:rsidRPr="00607466">
        <w:rPr>
          <w:sz w:val="20"/>
          <w:szCs w:val="20"/>
        </w:rPr>
        <w:t xml:space="preserve"> percent</w:t>
      </w:r>
      <w:r w:rsidRPr="00607466">
        <w:rPr>
          <w:noProof/>
          <w:sz w:val="20"/>
          <w:szCs w:val="20"/>
        </w:rPr>
        <w:t>.]</w:t>
      </w:r>
    </w:p>
    <w:p w14:paraId="7A75E127" w14:textId="3359B4F9" w:rsidR="007C147E" w:rsidRPr="000610C7" w:rsidRDefault="00235732" w:rsidP="00607466">
      <w:pPr>
        <w:rPr>
          <w:shd w:val="clear" w:color="auto" w:fill="FFFFFF"/>
        </w:rPr>
      </w:pPr>
      <w:r w:rsidRPr="000610C7">
        <w:rPr>
          <w:shd w:val="clear" w:color="auto" w:fill="FFFFFF"/>
        </w:rPr>
        <w:t xml:space="preserve">Source: Department of Treasury </w:t>
      </w:r>
    </w:p>
    <w:p w14:paraId="730694A5" w14:textId="77777777" w:rsidR="00763D60" w:rsidRDefault="00763D60" w:rsidP="00607466">
      <w:pPr>
        <w:rPr>
          <w:color w:val="1A1A1A"/>
          <w:sz w:val="32"/>
          <w:szCs w:val="32"/>
        </w:rPr>
      </w:pPr>
      <w:r>
        <w:br w:type="page"/>
      </w:r>
    </w:p>
    <w:p w14:paraId="464FD60E" w14:textId="157DC352"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268"/>
      </w:tblGrid>
      <w:tr w:rsidR="00607466" w:rsidRPr="00607466" w14:paraId="244B2CDB" w14:textId="77777777" w:rsidTr="0060746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1648F9">
            <w:pPr>
              <w:spacing w:before="60" w:beforeAutospacing="0" w:after="60"/>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0" w:name="_Ref501379223"/>
            <w:bookmarkEnd w:id="0"/>
          </w:p>
        </w:tc>
        <w:tc>
          <w:tcPr>
            <w:tcW w:w="1701" w:type="dxa"/>
            <w:shd w:val="clear" w:color="auto" w:fill="2B9947"/>
            <w:vAlign w:val="bottom"/>
          </w:tcPr>
          <w:p w14:paraId="105267D7" w14:textId="677A67F1"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1" w:name="_Ref501379429"/>
            <w:bookmarkEnd w:id="1"/>
          </w:p>
        </w:tc>
        <w:tc>
          <w:tcPr>
            <w:tcW w:w="2268" w:type="dxa"/>
            <w:shd w:val="clear" w:color="auto" w:fill="2B9947"/>
          </w:tcPr>
          <w:p w14:paraId="44665156" w14:textId="321D982D"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 xml:space="preserve">Salaries </w:t>
            </w:r>
            <w:r w:rsidR="00F27804" w:rsidRPr="00607466">
              <w:rPr>
                <w:b w:val="0"/>
                <w:color w:val="FFFFFF" w:themeColor="background1"/>
                <w:lang w:val="en-US" w:eastAsia="zh-CN"/>
              </w:rPr>
              <w:br/>
            </w:r>
            <w:r w:rsidRPr="00607466">
              <w:rPr>
                <w:b w:val="0"/>
                <w:color w:val="FFFFFF" w:themeColor="background1"/>
                <w:lang w:val="en-US" w:eastAsia="zh-CN"/>
              </w:rPr>
              <w:t>expenditure ($M)</w:t>
            </w:r>
          </w:p>
        </w:tc>
      </w:tr>
      <w:tr w:rsidR="007C147E" w:rsidRPr="00EB09F0" w14:paraId="6C73D5C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304948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2015</w:t>
            </w:r>
          </w:p>
        </w:tc>
        <w:tc>
          <w:tcPr>
            <w:tcW w:w="1845" w:type="dxa"/>
            <w:tcBorders>
              <w:top w:val="none" w:sz="0" w:space="0" w:color="auto"/>
              <w:bottom w:val="none" w:sz="0" w:space="0" w:color="auto"/>
            </w:tcBorders>
            <w:shd w:val="clear" w:color="auto" w:fill="auto"/>
          </w:tcPr>
          <w:p w14:paraId="11C26652" w14:textId="72A5394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277</w:t>
            </w:r>
          </w:p>
        </w:tc>
        <w:tc>
          <w:tcPr>
            <w:tcW w:w="1701" w:type="dxa"/>
            <w:tcBorders>
              <w:top w:val="none" w:sz="0" w:space="0" w:color="auto"/>
              <w:bottom w:val="none" w:sz="0" w:space="0" w:color="auto"/>
            </w:tcBorders>
            <w:shd w:val="clear" w:color="auto" w:fill="auto"/>
          </w:tcPr>
          <w:p w14:paraId="69DC0DA9" w14:textId="5A9BB308"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919</w:t>
            </w:r>
          </w:p>
        </w:tc>
        <w:tc>
          <w:tcPr>
            <w:tcW w:w="2268" w:type="dxa"/>
            <w:tcBorders>
              <w:top w:val="none" w:sz="0" w:space="0" w:color="auto"/>
              <w:bottom w:val="none" w:sz="0" w:space="0" w:color="auto"/>
            </w:tcBorders>
            <w:shd w:val="clear" w:color="auto" w:fill="auto"/>
          </w:tcPr>
          <w:p w14:paraId="3A04FD3D" w14:textId="65649D0B"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837</w:t>
            </w:r>
          </w:p>
        </w:tc>
      </w:tr>
      <w:tr w:rsidR="007C147E" w:rsidRPr="00EB09F0" w14:paraId="586CB399"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2DC9A6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2015</w:t>
            </w:r>
          </w:p>
        </w:tc>
        <w:tc>
          <w:tcPr>
            <w:tcW w:w="1845" w:type="dxa"/>
            <w:shd w:val="clear" w:color="auto" w:fill="auto"/>
          </w:tcPr>
          <w:p w14:paraId="541CC905" w14:textId="29AEB55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520</w:t>
            </w:r>
          </w:p>
        </w:tc>
        <w:tc>
          <w:tcPr>
            <w:tcW w:w="1701" w:type="dxa"/>
            <w:shd w:val="clear" w:color="auto" w:fill="auto"/>
          </w:tcPr>
          <w:p w14:paraId="6F58AFF6" w14:textId="103A6A9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325</w:t>
            </w:r>
          </w:p>
        </w:tc>
        <w:tc>
          <w:tcPr>
            <w:tcW w:w="2268" w:type="dxa"/>
            <w:shd w:val="clear" w:color="auto" w:fill="auto"/>
          </w:tcPr>
          <w:p w14:paraId="386366D4" w14:textId="22662F8A"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888</w:t>
            </w:r>
          </w:p>
        </w:tc>
      </w:tr>
      <w:tr w:rsidR="007C147E" w:rsidRPr="00EB09F0" w14:paraId="14B66C56"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D32D397"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2016</w:t>
            </w:r>
          </w:p>
        </w:tc>
        <w:tc>
          <w:tcPr>
            <w:tcW w:w="1845" w:type="dxa"/>
            <w:tcBorders>
              <w:top w:val="none" w:sz="0" w:space="0" w:color="auto"/>
              <w:bottom w:val="none" w:sz="0" w:space="0" w:color="auto"/>
            </w:tcBorders>
            <w:shd w:val="clear" w:color="auto" w:fill="auto"/>
          </w:tcPr>
          <w:p w14:paraId="01EC2DFD" w14:textId="2D93FDD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371</w:t>
            </w:r>
          </w:p>
        </w:tc>
        <w:tc>
          <w:tcPr>
            <w:tcW w:w="1701" w:type="dxa"/>
            <w:tcBorders>
              <w:top w:val="none" w:sz="0" w:space="0" w:color="auto"/>
              <w:bottom w:val="none" w:sz="0" w:space="0" w:color="auto"/>
            </w:tcBorders>
            <w:shd w:val="clear" w:color="auto" w:fill="auto"/>
          </w:tcPr>
          <w:p w14:paraId="5CACE620" w14:textId="1CC2EC76"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722</w:t>
            </w:r>
          </w:p>
        </w:tc>
        <w:tc>
          <w:tcPr>
            <w:tcW w:w="2268" w:type="dxa"/>
            <w:tcBorders>
              <w:top w:val="none" w:sz="0" w:space="0" w:color="auto"/>
              <w:bottom w:val="none" w:sz="0" w:space="0" w:color="auto"/>
            </w:tcBorders>
            <w:shd w:val="clear" w:color="auto" w:fill="auto"/>
          </w:tcPr>
          <w:p w14:paraId="700541B3" w14:textId="700B25A8"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801</w:t>
            </w:r>
          </w:p>
        </w:tc>
      </w:tr>
      <w:tr w:rsidR="007C147E" w:rsidRPr="00EB09F0" w14:paraId="19A26FDD"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566DF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2016</w:t>
            </w:r>
          </w:p>
        </w:tc>
        <w:tc>
          <w:tcPr>
            <w:tcW w:w="1845" w:type="dxa"/>
            <w:shd w:val="clear" w:color="auto" w:fill="auto"/>
          </w:tcPr>
          <w:p w14:paraId="46A897C1" w14:textId="0BCE26E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770</w:t>
            </w:r>
          </w:p>
        </w:tc>
        <w:tc>
          <w:tcPr>
            <w:tcW w:w="1701" w:type="dxa"/>
            <w:shd w:val="clear" w:color="auto" w:fill="auto"/>
          </w:tcPr>
          <w:p w14:paraId="4CD2A419" w14:textId="73A6B67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107</w:t>
            </w:r>
            <w:r w:rsidR="005F66C6">
              <w:rPr>
                <w:shd w:val="clear" w:color="auto" w:fill="FFFFFF"/>
              </w:rPr>
              <w:t>,</w:t>
            </w:r>
            <w:r w:rsidRPr="00EB09F0">
              <w:rPr>
                <w:shd w:val="clear" w:color="auto" w:fill="FFFFFF"/>
              </w:rPr>
              <w:t>809</w:t>
            </w:r>
          </w:p>
        </w:tc>
        <w:tc>
          <w:tcPr>
            <w:tcW w:w="2268" w:type="dxa"/>
            <w:shd w:val="clear" w:color="auto" w:fill="auto"/>
          </w:tcPr>
          <w:p w14:paraId="47EE3CE1" w14:textId="7173CCF3"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857</w:t>
            </w:r>
          </w:p>
        </w:tc>
      </w:tr>
      <w:tr w:rsidR="007C147E" w:rsidRPr="00EB09F0" w14:paraId="05750C3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7AA28E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2016</w:t>
            </w:r>
          </w:p>
        </w:tc>
        <w:tc>
          <w:tcPr>
            <w:tcW w:w="1845" w:type="dxa"/>
            <w:tcBorders>
              <w:top w:val="none" w:sz="0" w:space="0" w:color="auto"/>
              <w:bottom w:val="none" w:sz="0" w:space="0" w:color="auto"/>
            </w:tcBorders>
            <w:shd w:val="clear" w:color="auto" w:fill="auto"/>
          </w:tcPr>
          <w:p w14:paraId="25EF3767" w14:textId="53B0DBD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746</w:t>
            </w:r>
          </w:p>
        </w:tc>
        <w:tc>
          <w:tcPr>
            <w:tcW w:w="1701" w:type="dxa"/>
            <w:tcBorders>
              <w:top w:val="none" w:sz="0" w:space="0" w:color="auto"/>
              <w:bottom w:val="none" w:sz="0" w:space="0" w:color="auto"/>
            </w:tcBorders>
            <w:shd w:val="clear" w:color="auto" w:fill="auto"/>
          </w:tcPr>
          <w:p w14:paraId="652D20F7" w14:textId="3D41055F"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295</w:t>
            </w:r>
          </w:p>
        </w:tc>
        <w:tc>
          <w:tcPr>
            <w:tcW w:w="2268" w:type="dxa"/>
            <w:tcBorders>
              <w:top w:val="none" w:sz="0" w:space="0" w:color="auto"/>
              <w:bottom w:val="none" w:sz="0" w:space="0" w:color="auto"/>
            </w:tcBorders>
            <w:shd w:val="clear" w:color="auto" w:fill="auto"/>
          </w:tcPr>
          <w:p w14:paraId="0F568690" w14:textId="183BE416"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887</w:t>
            </w:r>
          </w:p>
        </w:tc>
      </w:tr>
      <w:tr w:rsidR="007C147E" w:rsidRPr="00EB09F0" w14:paraId="37DFFE0A"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619162"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2016</w:t>
            </w:r>
          </w:p>
        </w:tc>
        <w:tc>
          <w:tcPr>
            <w:tcW w:w="1845" w:type="dxa"/>
            <w:shd w:val="clear" w:color="auto" w:fill="auto"/>
          </w:tcPr>
          <w:p w14:paraId="181357C9" w14:textId="4ECD8407"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936</w:t>
            </w:r>
          </w:p>
        </w:tc>
        <w:tc>
          <w:tcPr>
            <w:tcW w:w="1701" w:type="dxa"/>
            <w:shd w:val="clear" w:color="auto" w:fill="auto"/>
          </w:tcPr>
          <w:p w14:paraId="391B852C" w14:textId="16A0D8D2"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106</w:t>
            </w:r>
            <w:r w:rsidR="005F66C6">
              <w:rPr>
                <w:shd w:val="clear" w:color="auto" w:fill="FFFFFF"/>
              </w:rPr>
              <w:t>,</w:t>
            </w:r>
            <w:r w:rsidRPr="00EB09F0">
              <w:rPr>
                <w:shd w:val="clear" w:color="auto" w:fill="FFFFFF"/>
              </w:rPr>
              <w:t>830</w:t>
            </w:r>
          </w:p>
        </w:tc>
        <w:tc>
          <w:tcPr>
            <w:tcW w:w="2268" w:type="dxa"/>
            <w:shd w:val="clear" w:color="auto" w:fill="auto"/>
          </w:tcPr>
          <w:p w14:paraId="6FD0C9F0" w14:textId="2D72851E"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931</w:t>
            </w:r>
          </w:p>
        </w:tc>
      </w:tr>
      <w:tr w:rsidR="007C147E" w:rsidRPr="00EB09F0" w14:paraId="4474A4E5"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721973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2017</w:t>
            </w:r>
          </w:p>
        </w:tc>
        <w:tc>
          <w:tcPr>
            <w:tcW w:w="1845" w:type="dxa"/>
            <w:tcBorders>
              <w:top w:val="none" w:sz="0" w:space="0" w:color="auto"/>
              <w:bottom w:val="none" w:sz="0" w:space="0" w:color="auto"/>
            </w:tcBorders>
            <w:shd w:val="clear" w:color="auto" w:fill="auto"/>
          </w:tcPr>
          <w:p w14:paraId="4EB384DB" w14:textId="35C9575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144</w:t>
            </w:r>
          </w:p>
        </w:tc>
        <w:tc>
          <w:tcPr>
            <w:tcW w:w="1701" w:type="dxa"/>
            <w:tcBorders>
              <w:top w:val="none" w:sz="0" w:space="0" w:color="auto"/>
              <w:bottom w:val="none" w:sz="0" w:space="0" w:color="auto"/>
            </w:tcBorders>
            <w:shd w:val="clear" w:color="auto" w:fill="auto"/>
          </w:tcPr>
          <w:p w14:paraId="57FC97E7" w14:textId="7927A861"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895</w:t>
            </w:r>
          </w:p>
        </w:tc>
        <w:tc>
          <w:tcPr>
            <w:tcW w:w="2268" w:type="dxa"/>
            <w:tcBorders>
              <w:top w:val="none" w:sz="0" w:space="0" w:color="auto"/>
              <w:bottom w:val="none" w:sz="0" w:space="0" w:color="auto"/>
            </w:tcBorders>
            <w:shd w:val="clear" w:color="auto" w:fill="auto"/>
          </w:tcPr>
          <w:p w14:paraId="105C6AAA" w14:textId="79FD853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880</w:t>
            </w:r>
          </w:p>
        </w:tc>
      </w:tr>
      <w:tr w:rsidR="007C147E" w:rsidRPr="00EB09F0" w14:paraId="3DBA2E77"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9E6B451"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2017</w:t>
            </w:r>
          </w:p>
        </w:tc>
        <w:tc>
          <w:tcPr>
            <w:tcW w:w="1845" w:type="dxa"/>
            <w:shd w:val="clear" w:color="auto" w:fill="auto"/>
          </w:tcPr>
          <w:p w14:paraId="32A05A13" w14:textId="48F2F58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403</w:t>
            </w:r>
          </w:p>
        </w:tc>
        <w:tc>
          <w:tcPr>
            <w:tcW w:w="1701" w:type="dxa"/>
            <w:shd w:val="clear" w:color="auto" w:fill="auto"/>
          </w:tcPr>
          <w:p w14:paraId="4CAC4BCA" w14:textId="7B9603FE"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662</w:t>
            </w:r>
          </w:p>
        </w:tc>
        <w:tc>
          <w:tcPr>
            <w:tcW w:w="2268" w:type="dxa"/>
            <w:shd w:val="clear" w:color="auto" w:fill="auto"/>
          </w:tcPr>
          <w:p w14:paraId="08E469C4" w14:textId="222A3ADB"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912</w:t>
            </w:r>
          </w:p>
        </w:tc>
      </w:tr>
      <w:tr w:rsidR="007C147E" w:rsidRPr="00EB09F0" w14:paraId="00C7239A"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A954FC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2017</w:t>
            </w:r>
          </w:p>
        </w:tc>
        <w:tc>
          <w:tcPr>
            <w:tcW w:w="1845" w:type="dxa"/>
            <w:tcBorders>
              <w:top w:val="none" w:sz="0" w:space="0" w:color="auto"/>
              <w:bottom w:val="none" w:sz="0" w:space="0" w:color="auto"/>
            </w:tcBorders>
            <w:shd w:val="clear" w:color="auto" w:fill="auto"/>
          </w:tcPr>
          <w:p w14:paraId="3D22D9F1" w14:textId="16B508F3"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609</w:t>
            </w:r>
          </w:p>
        </w:tc>
        <w:tc>
          <w:tcPr>
            <w:tcW w:w="1701" w:type="dxa"/>
            <w:tcBorders>
              <w:top w:val="none" w:sz="0" w:space="0" w:color="auto"/>
              <w:bottom w:val="none" w:sz="0" w:space="0" w:color="auto"/>
            </w:tcBorders>
            <w:shd w:val="clear" w:color="auto" w:fill="auto"/>
          </w:tcPr>
          <w:p w14:paraId="7D0FB90E" w14:textId="3B9C54C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472</w:t>
            </w:r>
          </w:p>
        </w:tc>
        <w:tc>
          <w:tcPr>
            <w:tcW w:w="2268" w:type="dxa"/>
            <w:tcBorders>
              <w:top w:val="none" w:sz="0" w:space="0" w:color="auto"/>
              <w:bottom w:val="none" w:sz="0" w:space="0" w:color="auto"/>
            </w:tcBorders>
            <w:shd w:val="clear" w:color="auto" w:fill="auto"/>
          </w:tcPr>
          <w:p w14:paraId="5F3B4B5D" w14:textId="0759ABE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980</w:t>
            </w:r>
          </w:p>
        </w:tc>
      </w:tr>
      <w:tr w:rsidR="007C147E" w:rsidRPr="00EB09F0" w14:paraId="5124A480"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2AD853D"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2017</w:t>
            </w:r>
          </w:p>
        </w:tc>
        <w:tc>
          <w:tcPr>
            <w:tcW w:w="1845" w:type="dxa"/>
            <w:shd w:val="clear" w:color="auto" w:fill="auto"/>
          </w:tcPr>
          <w:p w14:paraId="05DD5B25" w14:textId="4663192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878</w:t>
            </w:r>
          </w:p>
        </w:tc>
        <w:tc>
          <w:tcPr>
            <w:tcW w:w="1701" w:type="dxa"/>
            <w:shd w:val="clear" w:color="auto" w:fill="auto"/>
          </w:tcPr>
          <w:p w14:paraId="17FE3B56" w14:textId="24576CB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371</w:t>
            </w:r>
          </w:p>
        </w:tc>
        <w:tc>
          <w:tcPr>
            <w:tcW w:w="2268" w:type="dxa"/>
            <w:shd w:val="clear" w:color="auto" w:fill="auto"/>
          </w:tcPr>
          <w:p w14:paraId="0F37221E" w14:textId="6B12E1D1"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029</w:t>
            </w:r>
          </w:p>
        </w:tc>
      </w:tr>
      <w:tr w:rsidR="007C147E" w:rsidRPr="00EB09F0" w14:paraId="2D2891C1"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5C7A6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2018</w:t>
            </w:r>
          </w:p>
        </w:tc>
        <w:tc>
          <w:tcPr>
            <w:tcW w:w="1845" w:type="dxa"/>
            <w:tcBorders>
              <w:top w:val="none" w:sz="0" w:space="0" w:color="auto"/>
              <w:bottom w:val="none" w:sz="0" w:space="0" w:color="auto"/>
            </w:tcBorders>
            <w:shd w:val="clear" w:color="auto" w:fill="auto"/>
          </w:tcPr>
          <w:p w14:paraId="575AD50B" w14:textId="47DB4AFC"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799</w:t>
            </w:r>
          </w:p>
        </w:tc>
        <w:tc>
          <w:tcPr>
            <w:tcW w:w="1701" w:type="dxa"/>
            <w:tcBorders>
              <w:top w:val="none" w:sz="0" w:space="0" w:color="auto"/>
              <w:bottom w:val="none" w:sz="0" w:space="0" w:color="auto"/>
            </w:tcBorders>
            <w:shd w:val="clear" w:color="auto" w:fill="auto"/>
          </w:tcPr>
          <w:p w14:paraId="52ABDAC4" w14:textId="06A18A6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404</w:t>
            </w:r>
          </w:p>
        </w:tc>
        <w:tc>
          <w:tcPr>
            <w:tcW w:w="2268" w:type="dxa"/>
            <w:tcBorders>
              <w:top w:val="none" w:sz="0" w:space="0" w:color="auto"/>
              <w:bottom w:val="none" w:sz="0" w:space="0" w:color="auto"/>
            </w:tcBorders>
            <w:shd w:val="clear" w:color="auto" w:fill="auto"/>
          </w:tcPr>
          <w:p w14:paraId="25F46DE4" w14:textId="6BEBBD54"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049</w:t>
            </w:r>
          </w:p>
        </w:tc>
      </w:tr>
      <w:tr w:rsidR="007C147E" w:rsidRPr="00EB09F0" w14:paraId="1D75F231"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6C6F5C"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2018</w:t>
            </w:r>
          </w:p>
        </w:tc>
        <w:tc>
          <w:tcPr>
            <w:tcW w:w="1845" w:type="dxa"/>
            <w:shd w:val="clear" w:color="auto" w:fill="auto"/>
          </w:tcPr>
          <w:p w14:paraId="42F8D285" w14:textId="711EB0F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812</w:t>
            </w:r>
          </w:p>
        </w:tc>
        <w:tc>
          <w:tcPr>
            <w:tcW w:w="1701" w:type="dxa"/>
            <w:shd w:val="clear" w:color="auto" w:fill="auto"/>
          </w:tcPr>
          <w:p w14:paraId="5EB117B3" w14:textId="0672DD4A"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373</w:t>
            </w:r>
          </w:p>
        </w:tc>
        <w:tc>
          <w:tcPr>
            <w:tcW w:w="2268" w:type="dxa"/>
            <w:shd w:val="clear" w:color="auto" w:fill="auto"/>
          </w:tcPr>
          <w:p w14:paraId="4AE710A2" w14:textId="0436A2C5"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135</w:t>
            </w:r>
          </w:p>
        </w:tc>
      </w:tr>
      <w:tr w:rsidR="007C147E" w:rsidRPr="00EB09F0" w14:paraId="7198FF1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0D9056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2018</w:t>
            </w:r>
          </w:p>
        </w:tc>
        <w:tc>
          <w:tcPr>
            <w:tcW w:w="1845" w:type="dxa"/>
            <w:tcBorders>
              <w:top w:val="none" w:sz="0" w:space="0" w:color="auto"/>
              <w:bottom w:val="none" w:sz="0" w:space="0" w:color="auto"/>
            </w:tcBorders>
            <w:shd w:val="clear" w:color="auto" w:fill="auto"/>
          </w:tcPr>
          <w:p w14:paraId="30B07AA9" w14:textId="3C8091A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744</w:t>
            </w:r>
          </w:p>
        </w:tc>
        <w:tc>
          <w:tcPr>
            <w:tcW w:w="1701" w:type="dxa"/>
            <w:tcBorders>
              <w:top w:val="none" w:sz="0" w:space="0" w:color="auto"/>
              <w:bottom w:val="none" w:sz="0" w:space="0" w:color="auto"/>
            </w:tcBorders>
            <w:shd w:val="clear" w:color="auto" w:fill="auto"/>
          </w:tcPr>
          <w:p w14:paraId="7D5E7B1C" w14:textId="4B20260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255</w:t>
            </w:r>
          </w:p>
        </w:tc>
        <w:tc>
          <w:tcPr>
            <w:tcW w:w="2268" w:type="dxa"/>
            <w:tcBorders>
              <w:top w:val="none" w:sz="0" w:space="0" w:color="auto"/>
              <w:bottom w:val="none" w:sz="0" w:space="0" w:color="auto"/>
            </w:tcBorders>
            <w:shd w:val="clear" w:color="auto" w:fill="auto"/>
          </w:tcPr>
          <w:p w14:paraId="2CA5D995" w14:textId="42E6E150"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023</w:t>
            </w:r>
          </w:p>
        </w:tc>
      </w:tr>
      <w:tr w:rsidR="007C147E" w:rsidRPr="00EB09F0" w14:paraId="3494DDF2"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2018</w:t>
            </w:r>
          </w:p>
        </w:tc>
        <w:tc>
          <w:tcPr>
            <w:tcW w:w="1845" w:type="dxa"/>
            <w:shd w:val="clear" w:color="auto" w:fill="auto"/>
          </w:tcPr>
          <w:p w14:paraId="26E3776E" w14:textId="0554F28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138</w:t>
            </w:r>
            <w:r w:rsidR="005F66C6">
              <w:rPr>
                <w:shd w:val="clear" w:color="auto" w:fill="FFFFFF"/>
              </w:rPr>
              <w:t>,</w:t>
            </w:r>
            <w:r w:rsidRPr="00EB09F0">
              <w:rPr>
                <w:shd w:val="clear" w:color="auto" w:fill="FFFFFF"/>
              </w:rPr>
              <w:t>678</w:t>
            </w:r>
          </w:p>
        </w:tc>
        <w:tc>
          <w:tcPr>
            <w:tcW w:w="1701" w:type="dxa"/>
            <w:shd w:val="clear" w:color="auto" w:fill="auto"/>
          </w:tcPr>
          <w:p w14:paraId="7F697FA3" w14:textId="2738341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40739E">
              <w:rPr>
                <w:shd w:val="clear" w:color="auto" w:fill="FFFFFF"/>
              </w:rPr>
              <w:t>108</w:t>
            </w:r>
            <w:r w:rsidR="005F66C6">
              <w:rPr>
                <w:shd w:val="clear" w:color="auto" w:fill="FFFFFF"/>
              </w:rPr>
              <w:t>,</w:t>
            </w:r>
            <w:r w:rsidR="0040739E" w:rsidRPr="0040739E">
              <w:rPr>
                <w:shd w:val="clear" w:color="auto" w:fill="FFFFFF"/>
              </w:rPr>
              <w:t>601</w:t>
            </w:r>
          </w:p>
        </w:tc>
        <w:tc>
          <w:tcPr>
            <w:tcW w:w="2268" w:type="dxa"/>
            <w:shd w:val="clear" w:color="auto" w:fill="auto"/>
          </w:tcPr>
          <w:p w14:paraId="0D5297C3" w14:textId="7B1550D7"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091</w:t>
            </w:r>
          </w:p>
        </w:tc>
      </w:tr>
      <w:tr w:rsidR="007C147E" w:rsidRPr="00EB09F0" w14:paraId="4028E4BD"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4E13590A"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2019</w:t>
            </w:r>
          </w:p>
        </w:tc>
        <w:tc>
          <w:tcPr>
            <w:tcW w:w="1845" w:type="dxa"/>
            <w:tcBorders>
              <w:top w:val="none" w:sz="0" w:space="0" w:color="auto"/>
              <w:bottom w:val="none" w:sz="0" w:space="0" w:color="auto"/>
            </w:tcBorders>
            <w:shd w:val="clear" w:color="auto" w:fill="auto"/>
          </w:tcPr>
          <w:p w14:paraId="574BC373" w14:textId="75D485E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278</w:t>
            </w:r>
          </w:p>
        </w:tc>
        <w:tc>
          <w:tcPr>
            <w:tcW w:w="1701" w:type="dxa"/>
            <w:tcBorders>
              <w:top w:val="none" w:sz="0" w:space="0" w:color="auto"/>
              <w:bottom w:val="none" w:sz="0" w:space="0" w:color="auto"/>
            </w:tcBorders>
            <w:shd w:val="clear" w:color="auto" w:fill="auto"/>
          </w:tcPr>
          <w:p w14:paraId="1096056C" w14:textId="2596977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sidR="005F66C6">
              <w:rPr>
                <w:shd w:val="clear" w:color="auto" w:fill="FFFFFF"/>
              </w:rPr>
              <w:t>,</w:t>
            </w:r>
            <w:r w:rsidRPr="00EB09F0">
              <w:rPr>
                <w:shd w:val="clear" w:color="auto" w:fill="FFFFFF"/>
              </w:rPr>
              <w:t>099</w:t>
            </w:r>
          </w:p>
        </w:tc>
        <w:tc>
          <w:tcPr>
            <w:tcW w:w="2268" w:type="dxa"/>
            <w:tcBorders>
              <w:top w:val="none" w:sz="0" w:space="0" w:color="auto"/>
              <w:bottom w:val="none" w:sz="0" w:space="0" w:color="auto"/>
            </w:tcBorders>
            <w:shd w:val="clear" w:color="auto" w:fill="auto"/>
          </w:tcPr>
          <w:p w14:paraId="665AB043" w14:textId="3F73FE1A"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982</w:t>
            </w:r>
          </w:p>
        </w:tc>
      </w:tr>
      <w:tr w:rsidR="00623A1B" w:rsidRPr="00EB09F0" w14:paraId="15A2096C"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0610CC2B" w:rsidR="00623A1B" w:rsidRPr="00607466" w:rsidRDefault="00623A1B" w:rsidP="001648F9">
            <w:pPr>
              <w:spacing w:before="60" w:beforeAutospacing="0" w:after="60"/>
              <w:rPr>
                <w:b w:val="0"/>
                <w:bCs w:val="0"/>
                <w:shd w:val="clear" w:color="auto" w:fill="FFFFFF"/>
              </w:rPr>
            </w:pPr>
            <w:r w:rsidRPr="00607466">
              <w:rPr>
                <w:b w:val="0"/>
                <w:shd w:val="clear" w:color="auto" w:fill="FFFFFF"/>
              </w:rPr>
              <w:t>June 2019</w:t>
            </w:r>
          </w:p>
        </w:tc>
        <w:tc>
          <w:tcPr>
            <w:tcW w:w="1845" w:type="dxa"/>
            <w:shd w:val="clear" w:color="auto" w:fill="auto"/>
          </w:tcPr>
          <w:p w14:paraId="2C826C39" w14:textId="035EAB25"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735</w:t>
            </w:r>
          </w:p>
        </w:tc>
        <w:tc>
          <w:tcPr>
            <w:tcW w:w="1701" w:type="dxa"/>
            <w:shd w:val="clear" w:color="auto" w:fill="auto"/>
          </w:tcPr>
          <w:p w14:paraId="227E9EC0" w14:textId="445E54A1"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932</w:t>
            </w:r>
          </w:p>
        </w:tc>
        <w:tc>
          <w:tcPr>
            <w:tcW w:w="2268" w:type="dxa"/>
            <w:shd w:val="clear" w:color="auto" w:fill="auto"/>
          </w:tcPr>
          <w:p w14:paraId="6E9CEFA2" w14:textId="61032B81"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172</w:t>
            </w:r>
          </w:p>
        </w:tc>
      </w:tr>
      <w:tr w:rsidR="00623A1B" w:rsidRPr="00EB09F0" w14:paraId="302B54F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3432A0D" w14:textId="0B0D9C86" w:rsidR="00623A1B" w:rsidRPr="00607466" w:rsidRDefault="00623A1B" w:rsidP="001648F9">
            <w:pPr>
              <w:spacing w:before="60" w:beforeAutospacing="0" w:after="60"/>
              <w:rPr>
                <w:b w:val="0"/>
                <w:bCs w:val="0"/>
                <w:shd w:val="clear" w:color="auto" w:fill="FFFFFF"/>
              </w:rPr>
            </w:pPr>
            <w:r w:rsidRPr="00607466">
              <w:rPr>
                <w:b w:val="0"/>
                <w:shd w:val="clear" w:color="auto" w:fill="FFFFFF"/>
              </w:rPr>
              <w:t>September 2019</w:t>
            </w:r>
          </w:p>
        </w:tc>
        <w:tc>
          <w:tcPr>
            <w:tcW w:w="1845" w:type="dxa"/>
            <w:tcBorders>
              <w:top w:val="none" w:sz="0" w:space="0" w:color="auto"/>
              <w:bottom w:val="none" w:sz="0" w:space="0" w:color="auto"/>
            </w:tcBorders>
            <w:shd w:val="clear" w:color="auto" w:fill="auto"/>
          </w:tcPr>
          <w:p w14:paraId="42B0F9F5" w14:textId="73816522"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775</w:t>
            </w:r>
          </w:p>
        </w:tc>
        <w:tc>
          <w:tcPr>
            <w:tcW w:w="1701" w:type="dxa"/>
            <w:tcBorders>
              <w:top w:val="none" w:sz="0" w:space="0" w:color="auto"/>
              <w:bottom w:val="none" w:sz="0" w:space="0" w:color="auto"/>
            </w:tcBorders>
            <w:shd w:val="clear" w:color="auto" w:fill="auto"/>
          </w:tcPr>
          <w:p w14:paraId="1A71FF8E" w14:textId="30604183"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sidR="005F66C6">
              <w:rPr>
                <w:shd w:val="clear" w:color="auto" w:fill="FFFFFF"/>
              </w:rPr>
              <w:t>,</w:t>
            </w:r>
            <w:r w:rsidRPr="00EB09F0">
              <w:rPr>
                <w:shd w:val="clear" w:color="auto" w:fill="FFFFFF"/>
              </w:rPr>
              <w:t>367</w:t>
            </w:r>
          </w:p>
        </w:tc>
        <w:tc>
          <w:tcPr>
            <w:tcW w:w="2268" w:type="dxa"/>
            <w:tcBorders>
              <w:top w:val="none" w:sz="0" w:space="0" w:color="auto"/>
              <w:bottom w:val="none" w:sz="0" w:space="0" w:color="auto"/>
            </w:tcBorders>
            <w:shd w:val="clear" w:color="auto" w:fill="auto"/>
          </w:tcPr>
          <w:p w14:paraId="2265A302" w14:textId="54F677E8" w:rsidR="00623A1B"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140</w:t>
            </w:r>
          </w:p>
        </w:tc>
      </w:tr>
      <w:tr w:rsidR="00623A1B" w:rsidRPr="00EB09F0" w14:paraId="101147DA"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6E985AB0" w:rsidR="00623A1B" w:rsidRPr="00607466" w:rsidRDefault="00623A1B" w:rsidP="001648F9">
            <w:pPr>
              <w:spacing w:before="60" w:beforeAutospacing="0" w:after="60"/>
              <w:rPr>
                <w:b w:val="0"/>
                <w:bCs w:val="0"/>
                <w:shd w:val="clear" w:color="auto" w:fill="FFFFFF"/>
              </w:rPr>
            </w:pPr>
            <w:r w:rsidRPr="00607466">
              <w:rPr>
                <w:b w:val="0"/>
                <w:shd w:val="clear" w:color="auto" w:fill="FFFFFF"/>
              </w:rPr>
              <w:t>December 2019</w:t>
            </w:r>
          </w:p>
        </w:tc>
        <w:tc>
          <w:tcPr>
            <w:tcW w:w="1845" w:type="dxa"/>
            <w:shd w:val="clear" w:color="auto" w:fill="auto"/>
          </w:tcPr>
          <w:p w14:paraId="160FD679" w14:textId="4F384E1C"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586</w:t>
            </w:r>
          </w:p>
        </w:tc>
        <w:tc>
          <w:tcPr>
            <w:tcW w:w="1701" w:type="dxa"/>
            <w:shd w:val="clear" w:color="auto" w:fill="auto"/>
          </w:tcPr>
          <w:p w14:paraId="78A3A989" w14:textId="72587627"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sidR="005F66C6">
              <w:rPr>
                <w:shd w:val="clear" w:color="auto" w:fill="FFFFFF"/>
              </w:rPr>
              <w:t>,</w:t>
            </w:r>
            <w:r w:rsidRPr="00BB1612">
              <w:rPr>
                <w:shd w:val="clear" w:color="auto" w:fill="FFFFFF"/>
              </w:rPr>
              <w:t>143</w:t>
            </w:r>
          </w:p>
        </w:tc>
        <w:tc>
          <w:tcPr>
            <w:tcW w:w="2268" w:type="dxa"/>
            <w:shd w:val="clear" w:color="auto" w:fill="auto"/>
          </w:tcPr>
          <w:p w14:paraId="39ABD4D8" w14:textId="008F532E"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212</w:t>
            </w:r>
          </w:p>
        </w:tc>
      </w:tr>
      <w:tr w:rsidR="004E0EE5" w:rsidRPr="00EB09F0" w14:paraId="1701671A"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2287206" w14:textId="483ED3C0" w:rsidR="004E0EE5" w:rsidRPr="00607466" w:rsidRDefault="004E0EE5" w:rsidP="001648F9">
            <w:pPr>
              <w:spacing w:before="60" w:beforeAutospacing="0" w:after="60"/>
              <w:rPr>
                <w:b w:val="0"/>
                <w:bCs w:val="0"/>
                <w:shd w:val="clear" w:color="auto" w:fill="FFFFFF"/>
              </w:rPr>
            </w:pPr>
            <w:r w:rsidRPr="00607466">
              <w:rPr>
                <w:b w:val="0"/>
                <w:shd w:val="clear" w:color="auto" w:fill="FFFFFF"/>
              </w:rPr>
              <w:t>March 2020</w:t>
            </w:r>
          </w:p>
        </w:tc>
        <w:tc>
          <w:tcPr>
            <w:tcW w:w="1845" w:type="dxa"/>
            <w:tcBorders>
              <w:top w:val="none" w:sz="0" w:space="0" w:color="auto"/>
              <w:bottom w:val="none" w:sz="0" w:space="0" w:color="auto"/>
            </w:tcBorders>
            <w:shd w:val="clear" w:color="auto" w:fill="auto"/>
          </w:tcPr>
          <w:p w14:paraId="04AB24A1" w14:textId="5951DD67" w:rsidR="004E0EE5" w:rsidRPr="00EB09F0" w:rsidRDefault="00D55AAF"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w:t>
            </w:r>
            <w:r w:rsidR="005F66C6">
              <w:rPr>
                <w:shd w:val="clear" w:color="auto" w:fill="FFFFFF"/>
              </w:rPr>
              <w:t>,</w:t>
            </w:r>
            <w:r>
              <w:rPr>
                <w:shd w:val="clear" w:color="auto" w:fill="FFFFFF"/>
              </w:rPr>
              <w:t>343</w:t>
            </w:r>
          </w:p>
        </w:tc>
        <w:tc>
          <w:tcPr>
            <w:tcW w:w="1701" w:type="dxa"/>
            <w:tcBorders>
              <w:top w:val="none" w:sz="0" w:space="0" w:color="auto"/>
              <w:bottom w:val="none" w:sz="0" w:space="0" w:color="auto"/>
            </w:tcBorders>
            <w:shd w:val="clear" w:color="auto" w:fill="auto"/>
          </w:tcPr>
          <w:p w14:paraId="34A8DCCD" w14:textId="1B94604C" w:rsidR="004E0EE5" w:rsidRPr="00BB1612" w:rsidRDefault="004E0EE5"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w:t>
            </w:r>
            <w:r w:rsidR="005F66C6">
              <w:rPr>
                <w:shd w:val="clear" w:color="auto" w:fill="FFFFFF"/>
              </w:rPr>
              <w:t>,</w:t>
            </w:r>
            <w:r w:rsidR="00D55AAF">
              <w:rPr>
                <w:shd w:val="clear" w:color="auto" w:fill="FFFFFF"/>
              </w:rPr>
              <w:t>548</w:t>
            </w:r>
          </w:p>
        </w:tc>
        <w:tc>
          <w:tcPr>
            <w:tcW w:w="2268" w:type="dxa"/>
            <w:tcBorders>
              <w:top w:val="none" w:sz="0" w:space="0" w:color="auto"/>
              <w:bottom w:val="none" w:sz="0" w:space="0" w:color="auto"/>
            </w:tcBorders>
            <w:shd w:val="clear" w:color="auto" w:fill="auto"/>
          </w:tcPr>
          <w:p w14:paraId="4D2B73AC" w14:textId="079725DB" w:rsidR="004E0EE5" w:rsidRDefault="008374F7"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DC38B1">
              <w:rPr>
                <w:shd w:val="clear" w:color="auto" w:fill="FFFFFF"/>
              </w:rPr>
              <w:t>147</w:t>
            </w:r>
          </w:p>
        </w:tc>
      </w:tr>
      <w:tr w:rsidR="005F66C6" w:rsidRPr="00EB09F0" w14:paraId="0C2153E8"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35C44291" w:rsidR="005F66C6" w:rsidRPr="00607466" w:rsidRDefault="005F66C6" w:rsidP="001648F9">
            <w:pPr>
              <w:spacing w:before="60" w:beforeAutospacing="0" w:after="60"/>
              <w:rPr>
                <w:b w:val="0"/>
                <w:bCs w:val="0"/>
                <w:shd w:val="clear" w:color="auto" w:fill="FFFFFF"/>
              </w:rPr>
            </w:pPr>
            <w:r w:rsidRPr="00607466">
              <w:rPr>
                <w:b w:val="0"/>
                <w:shd w:val="clear" w:color="auto" w:fill="FFFFFF"/>
              </w:rPr>
              <w:t>June 2020</w:t>
            </w:r>
          </w:p>
        </w:tc>
        <w:tc>
          <w:tcPr>
            <w:tcW w:w="1845" w:type="dxa"/>
            <w:shd w:val="clear" w:color="auto" w:fill="auto"/>
          </w:tcPr>
          <w:p w14:paraId="5266F07B" w14:textId="5B9F15E0"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5224839C" w14:textId="5FF91F7C"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268" w:type="dxa"/>
            <w:shd w:val="clear" w:color="auto" w:fill="auto"/>
          </w:tcPr>
          <w:p w14:paraId="5DD9EB36" w14:textId="0E156689" w:rsidR="005F66C6" w:rsidRDefault="00905088"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5C4AC3" w:rsidRPr="00EB09F0" w14:paraId="1F59F06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655105E" w14:textId="1EA1D218" w:rsidR="005C4AC3" w:rsidRPr="00607466" w:rsidRDefault="005C4AC3" w:rsidP="001648F9">
            <w:pPr>
              <w:spacing w:before="60" w:beforeAutospacing="0" w:after="60"/>
              <w:rPr>
                <w:b w:val="0"/>
                <w:bCs w:val="0"/>
                <w:shd w:val="clear" w:color="auto" w:fill="FFFFFF"/>
              </w:rPr>
            </w:pPr>
            <w:r w:rsidRPr="00607466">
              <w:rPr>
                <w:b w:val="0"/>
                <w:shd w:val="clear" w:color="auto" w:fill="FFFFFF"/>
              </w:rPr>
              <w:t>September 2020</w:t>
            </w:r>
          </w:p>
        </w:tc>
        <w:tc>
          <w:tcPr>
            <w:tcW w:w="1845" w:type="dxa"/>
            <w:tcBorders>
              <w:top w:val="none" w:sz="0" w:space="0" w:color="auto"/>
              <w:bottom w:val="none" w:sz="0" w:space="0" w:color="auto"/>
            </w:tcBorders>
            <w:shd w:val="clear" w:color="auto" w:fill="auto"/>
          </w:tcPr>
          <w:p w14:paraId="3861E48E" w14:textId="4481C8BA"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tcBorders>
              <w:top w:val="none" w:sz="0" w:space="0" w:color="auto"/>
              <w:bottom w:val="none" w:sz="0" w:space="0" w:color="auto"/>
            </w:tcBorders>
            <w:shd w:val="clear" w:color="auto" w:fill="auto"/>
          </w:tcPr>
          <w:p w14:paraId="1E89DF8C" w14:textId="04A514B0"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117,773</w:t>
            </w:r>
          </w:p>
        </w:tc>
        <w:tc>
          <w:tcPr>
            <w:tcW w:w="2268" w:type="dxa"/>
            <w:tcBorders>
              <w:top w:val="none" w:sz="0" w:space="0" w:color="auto"/>
              <w:bottom w:val="none" w:sz="0" w:space="0" w:color="auto"/>
            </w:tcBorders>
            <w:shd w:val="clear" w:color="auto" w:fill="auto"/>
          </w:tcPr>
          <w:p w14:paraId="2A51CE09" w14:textId="349FE50D"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bl>
    <w:p w14:paraId="464080CB" w14:textId="77777777" w:rsidR="005211EB" w:rsidRDefault="005211EB" w:rsidP="00647C0A"/>
    <w:p w14:paraId="2BFBEBA6" w14:textId="77777777" w:rsidR="005211EB" w:rsidRDefault="005211EB" w:rsidP="00DD61C1">
      <w:pPr>
        <w:rPr>
          <w:rFonts w:eastAsiaTheme="majorEastAsia"/>
        </w:rPr>
      </w:pPr>
      <w:r>
        <w:br w:type="page"/>
      </w:r>
    </w:p>
    <w:p w14:paraId="4DCCC76B" w14:textId="3399BD32" w:rsidR="00B72D78" w:rsidRDefault="00C96AD0" w:rsidP="00607466">
      <w:pPr>
        <w:pStyle w:val="Heading2"/>
      </w:pPr>
      <w:r w:rsidRPr="00C96AD0">
        <w:lastRenderedPageBreak/>
        <w:t>WA public sector entities staffing levels</w:t>
      </w:r>
    </w:p>
    <w:tbl>
      <w:tblPr>
        <w:tblStyle w:val="CommissionTable1"/>
        <w:tblW w:w="1011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093"/>
        <w:gridCol w:w="1347"/>
        <w:gridCol w:w="1347"/>
        <w:gridCol w:w="1163"/>
        <w:gridCol w:w="1164"/>
      </w:tblGrid>
      <w:tr w:rsidR="00607466" w:rsidRPr="00607466" w14:paraId="4EDFC1D0" w14:textId="77777777" w:rsidTr="001648F9">
        <w:trPr>
          <w:cnfStyle w:val="100000000000" w:firstRow="1" w:lastRow="0" w:firstColumn="0" w:lastColumn="0" w:oddVBand="0" w:evenVBand="0" w:oddHBand="0" w:evenHBand="0" w:firstRowFirstColumn="0" w:firstRowLastColumn="0" w:lastRowFirstColumn="0" w:lastRowLastColumn="0"/>
          <w:trHeight w:val="1035"/>
          <w:tblHeader/>
        </w:trPr>
        <w:tc>
          <w:tcPr>
            <w:tcW w:w="5093" w:type="dxa"/>
            <w:vAlign w:val="bottom"/>
            <w:hideMark/>
          </w:tcPr>
          <w:p w14:paraId="0E04D857" w14:textId="77777777" w:rsidR="0017783C" w:rsidRPr="00607466" w:rsidRDefault="0017783C" w:rsidP="001648F9">
            <w:pPr>
              <w:spacing w:before="60" w:beforeAutospacing="0" w:after="60"/>
              <w:contextualSpacing w:val="0"/>
              <w:rPr>
                <w:b w:val="0"/>
                <w:color w:val="FFFFFF" w:themeColor="background1"/>
              </w:rPr>
            </w:pPr>
            <w:r w:rsidRPr="00607466">
              <w:rPr>
                <w:b w:val="0"/>
                <w:color w:val="FFFFFF" w:themeColor="background1"/>
              </w:rPr>
              <w:t>Agency</w:t>
            </w:r>
          </w:p>
        </w:tc>
        <w:tc>
          <w:tcPr>
            <w:tcW w:w="1347" w:type="dxa"/>
            <w:vAlign w:val="bottom"/>
            <w:hideMark/>
          </w:tcPr>
          <w:p w14:paraId="6AEC38FA" w14:textId="05E85DBE" w:rsidR="0017783C" w:rsidRPr="00607466" w:rsidRDefault="000B67A1" w:rsidP="001648F9">
            <w:pPr>
              <w:spacing w:before="60" w:beforeAutospacing="0" w:after="60"/>
              <w:contextualSpacing w:val="0"/>
              <w:jc w:val="center"/>
              <w:rPr>
                <w:b w:val="0"/>
                <w:color w:val="FFFFFF" w:themeColor="background1"/>
              </w:rPr>
            </w:pPr>
            <w:r w:rsidRPr="00607466">
              <w:rPr>
                <w:b w:val="0"/>
                <w:color w:val="FFFFFF" w:themeColor="background1"/>
              </w:rPr>
              <w:t>Sep</w:t>
            </w:r>
            <w:r w:rsidR="0017783C" w:rsidRPr="00607466">
              <w:rPr>
                <w:b w:val="0"/>
                <w:color w:val="FFFFFF" w:themeColor="background1"/>
              </w:rPr>
              <w:t>-20 Headcount</w:t>
            </w:r>
          </w:p>
        </w:tc>
        <w:tc>
          <w:tcPr>
            <w:tcW w:w="1347" w:type="dxa"/>
            <w:vAlign w:val="bottom"/>
            <w:hideMark/>
          </w:tcPr>
          <w:p w14:paraId="0352B194" w14:textId="3E60E76A" w:rsidR="0017783C" w:rsidRPr="00607466" w:rsidRDefault="000B67A1" w:rsidP="001648F9">
            <w:pPr>
              <w:spacing w:before="60" w:beforeAutospacing="0" w:after="60"/>
              <w:contextualSpacing w:val="0"/>
              <w:jc w:val="center"/>
              <w:rPr>
                <w:b w:val="0"/>
                <w:color w:val="FFFFFF" w:themeColor="background1"/>
              </w:rPr>
            </w:pPr>
            <w:r w:rsidRPr="00607466">
              <w:rPr>
                <w:b w:val="0"/>
                <w:color w:val="FFFFFF" w:themeColor="background1"/>
              </w:rPr>
              <w:t>Sep</w:t>
            </w:r>
            <w:r w:rsidR="0017783C" w:rsidRPr="00607466">
              <w:rPr>
                <w:b w:val="0"/>
                <w:color w:val="FFFFFF" w:themeColor="background1"/>
              </w:rPr>
              <w:t>-20 FTE</w:t>
            </w:r>
          </w:p>
        </w:tc>
        <w:tc>
          <w:tcPr>
            <w:tcW w:w="1163" w:type="dxa"/>
            <w:vAlign w:val="bottom"/>
            <w:hideMark/>
          </w:tcPr>
          <w:p w14:paraId="16733DD4" w14:textId="4961DA34" w:rsidR="0017783C" w:rsidRPr="00607466" w:rsidRDefault="0017783C" w:rsidP="001648F9">
            <w:pPr>
              <w:spacing w:before="60" w:beforeAutospacing="0" w:after="60"/>
              <w:contextualSpacing w:val="0"/>
              <w:jc w:val="center"/>
              <w:rPr>
                <w:b w:val="0"/>
                <w:color w:val="FFFFFF" w:themeColor="background1"/>
              </w:rPr>
            </w:pPr>
            <w:r w:rsidRPr="00607466">
              <w:rPr>
                <w:b w:val="0"/>
                <w:color w:val="FFFFFF" w:themeColor="background1"/>
              </w:rPr>
              <w:t xml:space="preserve">FTE change from </w:t>
            </w:r>
            <w:r w:rsidR="001648F9">
              <w:rPr>
                <w:b w:val="0"/>
                <w:color w:val="FFFFFF" w:themeColor="background1"/>
              </w:rPr>
              <w:br/>
            </w:r>
            <w:r w:rsidR="000B67A1" w:rsidRPr="00607466">
              <w:rPr>
                <w:b w:val="0"/>
                <w:color w:val="FFFFFF" w:themeColor="background1"/>
              </w:rPr>
              <w:t>Jun</w:t>
            </w:r>
            <w:r w:rsidRPr="00607466">
              <w:rPr>
                <w:b w:val="0"/>
                <w:color w:val="FFFFFF" w:themeColor="background1"/>
              </w:rPr>
              <w:t>-</w:t>
            </w:r>
            <w:r w:rsidR="00F73E21" w:rsidRPr="00607466">
              <w:rPr>
                <w:b w:val="0"/>
                <w:color w:val="FFFFFF" w:themeColor="background1"/>
              </w:rPr>
              <w:t>20</w:t>
            </w:r>
          </w:p>
        </w:tc>
        <w:tc>
          <w:tcPr>
            <w:tcW w:w="1164" w:type="dxa"/>
            <w:vAlign w:val="bottom"/>
            <w:hideMark/>
          </w:tcPr>
          <w:p w14:paraId="5E17B74C" w14:textId="13FF0AEF" w:rsidR="0017783C" w:rsidRPr="00607466" w:rsidRDefault="0017783C" w:rsidP="001648F9">
            <w:pPr>
              <w:spacing w:before="60" w:beforeAutospacing="0" w:after="60"/>
              <w:contextualSpacing w:val="0"/>
              <w:jc w:val="center"/>
              <w:rPr>
                <w:b w:val="0"/>
                <w:color w:val="FFFFFF" w:themeColor="background1"/>
              </w:rPr>
            </w:pPr>
            <w:r w:rsidRPr="00607466">
              <w:rPr>
                <w:b w:val="0"/>
                <w:color w:val="FFFFFF" w:themeColor="background1"/>
              </w:rPr>
              <w:t xml:space="preserve">FTE change from </w:t>
            </w:r>
            <w:r w:rsidR="00C36EDA" w:rsidRPr="00607466">
              <w:rPr>
                <w:b w:val="0"/>
                <w:color w:val="FFFFFF" w:themeColor="background1"/>
              </w:rPr>
              <w:t>Sep</w:t>
            </w:r>
            <w:r w:rsidR="00F73E21" w:rsidRPr="00607466">
              <w:rPr>
                <w:b w:val="0"/>
                <w:color w:val="FFFFFF" w:themeColor="background1"/>
              </w:rPr>
              <w:t>-19</w:t>
            </w:r>
          </w:p>
        </w:tc>
      </w:tr>
      <w:tr w:rsidR="005E0E6E" w:rsidRPr="00A9236C" w14:paraId="3D02EF30" w14:textId="77777777" w:rsidTr="001648F9">
        <w:trPr>
          <w:trHeight w:val="315"/>
        </w:trPr>
        <w:tc>
          <w:tcPr>
            <w:tcW w:w="5093" w:type="dxa"/>
            <w:noWrap/>
            <w:hideMark/>
          </w:tcPr>
          <w:p w14:paraId="791B3548" w14:textId="414F8ECD" w:rsidR="005E0E6E" w:rsidRPr="00A9236C" w:rsidRDefault="005E0E6E" w:rsidP="001648F9">
            <w:pPr>
              <w:spacing w:before="60" w:beforeAutospacing="0" w:after="60"/>
              <w:contextualSpacing w:val="0"/>
              <w:rPr>
                <w:b/>
                <w:bCs/>
              </w:rPr>
            </w:pPr>
            <w:r w:rsidRPr="00A9236C">
              <w:rPr>
                <w:b/>
              </w:rPr>
              <w:t>Western Australian Public Sector</w:t>
            </w:r>
          </w:p>
        </w:tc>
        <w:tc>
          <w:tcPr>
            <w:tcW w:w="1347" w:type="dxa"/>
            <w:noWrap/>
            <w:hideMark/>
          </w:tcPr>
          <w:p w14:paraId="23D7FA80" w14:textId="49D6C7B3" w:rsidR="005E0E6E" w:rsidRPr="00A9236C" w:rsidRDefault="005E0E6E" w:rsidP="001648F9">
            <w:pPr>
              <w:spacing w:before="60" w:beforeAutospacing="0" w:after="60"/>
              <w:contextualSpacing w:val="0"/>
              <w:jc w:val="right"/>
              <w:rPr>
                <w:b/>
              </w:rPr>
            </w:pPr>
            <w:r w:rsidRPr="00A9236C">
              <w:rPr>
                <w:b/>
              </w:rPr>
              <w:t>148,408</w:t>
            </w:r>
          </w:p>
        </w:tc>
        <w:tc>
          <w:tcPr>
            <w:tcW w:w="1347" w:type="dxa"/>
            <w:noWrap/>
            <w:hideMark/>
          </w:tcPr>
          <w:p w14:paraId="2FB1D758" w14:textId="5FD7EF61" w:rsidR="005E0E6E" w:rsidRPr="00A9236C" w:rsidRDefault="005E0E6E" w:rsidP="001648F9">
            <w:pPr>
              <w:spacing w:before="60" w:beforeAutospacing="0" w:after="60"/>
              <w:contextualSpacing w:val="0"/>
              <w:jc w:val="right"/>
              <w:rPr>
                <w:b/>
              </w:rPr>
            </w:pPr>
            <w:r w:rsidRPr="00A9236C">
              <w:rPr>
                <w:b/>
              </w:rPr>
              <w:t>117,773</w:t>
            </w:r>
          </w:p>
        </w:tc>
        <w:tc>
          <w:tcPr>
            <w:tcW w:w="1163" w:type="dxa"/>
            <w:noWrap/>
            <w:hideMark/>
          </w:tcPr>
          <w:p w14:paraId="549F1273" w14:textId="6AA19F1C" w:rsidR="005E0E6E" w:rsidRPr="00A9236C" w:rsidRDefault="00A41CC5" w:rsidP="001648F9">
            <w:pPr>
              <w:spacing w:before="60" w:beforeAutospacing="0" w:after="60"/>
              <w:contextualSpacing w:val="0"/>
              <w:jc w:val="right"/>
              <w:rPr>
                <w:b/>
              </w:rPr>
            </w:pPr>
            <w:r w:rsidRPr="00A9236C">
              <w:rPr>
                <w:b/>
              </w:rPr>
              <w:t>+</w:t>
            </w:r>
            <w:r w:rsidR="005E0E6E" w:rsidRPr="00A9236C">
              <w:rPr>
                <w:b/>
              </w:rPr>
              <w:t>895</w:t>
            </w:r>
          </w:p>
        </w:tc>
        <w:tc>
          <w:tcPr>
            <w:tcW w:w="1164" w:type="dxa"/>
            <w:noWrap/>
            <w:hideMark/>
          </w:tcPr>
          <w:p w14:paraId="7593AA8E" w14:textId="2C38E7AD" w:rsidR="005E0E6E" w:rsidRPr="00A9236C" w:rsidRDefault="00A41CC5" w:rsidP="001648F9">
            <w:pPr>
              <w:spacing w:before="60" w:beforeAutospacing="0" w:after="60"/>
              <w:contextualSpacing w:val="0"/>
              <w:jc w:val="right"/>
              <w:rPr>
                <w:b/>
              </w:rPr>
            </w:pPr>
            <w:r w:rsidRPr="00A9236C">
              <w:rPr>
                <w:b/>
              </w:rPr>
              <w:t>+</w:t>
            </w:r>
            <w:r w:rsidR="005E0E6E" w:rsidRPr="00A9236C">
              <w:rPr>
                <w:b/>
              </w:rPr>
              <w:t>4,406</w:t>
            </w:r>
          </w:p>
        </w:tc>
      </w:tr>
      <w:tr w:rsidR="005E0E6E" w:rsidRPr="00C14672" w14:paraId="793EA623" w14:textId="77777777" w:rsidTr="001648F9">
        <w:trPr>
          <w:trHeight w:val="315"/>
        </w:trPr>
        <w:tc>
          <w:tcPr>
            <w:tcW w:w="5093" w:type="dxa"/>
            <w:noWrap/>
            <w:hideMark/>
          </w:tcPr>
          <w:p w14:paraId="349EE9F7" w14:textId="547CA569" w:rsidR="005E0E6E" w:rsidRPr="005211EB" w:rsidRDefault="005E0E6E" w:rsidP="001648F9">
            <w:pPr>
              <w:spacing w:before="60" w:beforeAutospacing="0" w:after="60"/>
              <w:contextualSpacing w:val="0"/>
            </w:pPr>
            <w:r w:rsidRPr="005211EB">
              <w:t>Department of Education</w:t>
            </w:r>
          </w:p>
        </w:tc>
        <w:tc>
          <w:tcPr>
            <w:tcW w:w="1347" w:type="dxa"/>
            <w:noWrap/>
            <w:hideMark/>
          </w:tcPr>
          <w:p w14:paraId="4F82874A" w14:textId="3B32EB1A" w:rsidR="005E0E6E" w:rsidRPr="004D2D10" w:rsidRDefault="005E0E6E" w:rsidP="001648F9">
            <w:pPr>
              <w:spacing w:before="60" w:beforeAutospacing="0" w:after="60"/>
              <w:contextualSpacing w:val="0"/>
              <w:jc w:val="right"/>
            </w:pPr>
            <w:r>
              <w:t>55,530</w:t>
            </w:r>
          </w:p>
        </w:tc>
        <w:tc>
          <w:tcPr>
            <w:tcW w:w="1347" w:type="dxa"/>
            <w:noWrap/>
            <w:hideMark/>
          </w:tcPr>
          <w:p w14:paraId="5D8D0490" w14:textId="5074510F" w:rsidR="005E0E6E" w:rsidRPr="004D2D10" w:rsidRDefault="005E0E6E" w:rsidP="001648F9">
            <w:pPr>
              <w:spacing w:before="60" w:beforeAutospacing="0" w:after="60"/>
              <w:contextualSpacing w:val="0"/>
              <w:jc w:val="right"/>
            </w:pPr>
            <w:r>
              <w:t>41,748</w:t>
            </w:r>
          </w:p>
        </w:tc>
        <w:tc>
          <w:tcPr>
            <w:tcW w:w="1163" w:type="dxa"/>
            <w:noWrap/>
            <w:hideMark/>
          </w:tcPr>
          <w:p w14:paraId="05F4EA9F" w14:textId="5561D381" w:rsidR="005E0E6E" w:rsidRPr="004D2D10" w:rsidRDefault="00A41CC5" w:rsidP="001648F9">
            <w:pPr>
              <w:spacing w:before="60" w:beforeAutospacing="0" w:after="60"/>
              <w:contextualSpacing w:val="0"/>
              <w:jc w:val="right"/>
            </w:pPr>
            <w:r>
              <w:t>+</w:t>
            </w:r>
            <w:r w:rsidR="005E0E6E">
              <w:t>39</w:t>
            </w:r>
          </w:p>
        </w:tc>
        <w:tc>
          <w:tcPr>
            <w:tcW w:w="1164" w:type="dxa"/>
            <w:noWrap/>
            <w:hideMark/>
          </w:tcPr>
          <w:p w14:paraId="1FD9953A" w14:textId="1E1C9225" w:rsidR="005E0E6E" w:rsidRPr="004D2D10" w:rsidRDefault="00A41CC5" w:rsidP="001648F9">
            <w:pPr>
              <w:spacing w:before="60" w:beforeAutospacing="0" w:after="60"/>
              <w:contextualSpacing w:val="0"/>
              <w:jc w:val="right"/>
            </w:pPr>
            <w:r>
              <w:t>+</w:t>
            </w:r>
            <w:r w:rsidR="005E0E6E">
              <w:t>1,200</w:t>
            </w:r>
          </w:p>
        </w:tc>
      </w:tr>
      <w:tr w:rsidR="005E0E6E" w:rsidRPr="00C14672" w14:paraId="4AE236CC" w14:textId="77777777" w:rsidTr="001648F9">
        <w:trPr>
          <w:trHeight w:val="315"/>
        </w:trPr>
        <w:tc>
          <w:tcPr>
            <w:tcW w:w="5093" w:type="dxa"/>
            <w:noWrap/>
          </w:tcPr>
          <w:p w14:paraId="28CC9079" w14:textId="01BEA695" w:rsidR="005E0E6E" w:rsidRPr="005211EB" w:rsidRDefault="005E0E6E" w:rsidP="001648F9">
            <w:pPr>
              <w:spacing w:before="60" w:beforeAutospacing="0" w:after="60"/>
              <w:contextualSpacing w:val="0"/>
            </w:pPr>
            <w:r w:rsidRPr="005211EB">
              <w:t xml:space="preserve">WA Health </w:t>
            </w:r>
          </w:p>
        </w:tc>
        <w:tc>
          <w:tcPr>
            <w:tcW w:w="1347" w:type="dxa"/>
            <w:noWrap/>
          </w:tcPr>
          <w:p w14:paraId="4ACF33BE" w14:textId="0928591A" w:rsidR="005E0E6E" w:rsidRPr="004D2D10" w:rsidRDefault="005E0E6E" w:rsidP="001648F9">
            <w:pPr>
              <w:spacing w:before="60" w:beforeAutospacing="0" w:after="60"/>
              <w:contextualSpacing w:val="0"/>
              <w:jc w:val="right"/>
            </w:pPr>
            <w:r>
              <w:t>49,973</w:t>
            </w:r>
          </w:p>
        </w:tc>
        <w:tc>
          <w:tcPr>
            <w:tcW w:w="1347" w:type="dxa"/>
            <w:noWrap/>
          </w:tcPr>
          <w:p w14:paraId="0A00EC4C" w14:textId="4863C5D2" w:rsidR="005E0E6E" w:rsidRPr="004D2D10" w:rsidRDefault="005E0E6E" w:rsidP="001648F9">
            <w:pPr>
              <w:spacing w:before="60" w:beforeAutospacing="0" w:after="60"/>
              <w:contextualSpacing w:val="0"/>
              <w:jc w:val="right"/>
            </w:pPr>
            <w:r>
              <w:t>38,085</w:t>
            </w:r>
          </w:p>
        </w:tc>
        <w:tc>
          <w:tcPr>
            <w:tcW w:w="1163" w:type="dxa"/>
            <w:noWrap/>
          </w:tcPr>
          <w:p w14:paraId="6075E524" w14:textId="742C6AD2" w:rsidR="005E0E6E" w:rsidRPr="004D2D10" w:rsidRDefault="00A41CC5" w:rsidP="001648F9">
            <w:pPr>
              <w:spacing w:before="60" w:beforeAutospacing="0" w:after="60"/>
              <w:contextualSpacing w:val="0"/>
              <w:jc w:val="right"/>
            </w:pPr>
            <w:r>
              <w:t>+</w:t>
            </w:r>
            <w:r w:rsidR="005E0E6E">
              <w:t>653</w:t>
            </w:r>
          </w:p>
        </w:tc>
        <w:tc>
          <w:tcPr>
            <w:tcW w:w="1164" w:type="dxa"/>
            <w:noWrap/>
          </w:tcPr>
          <w:p w14:paraId="25E48580" w14:textId="491F550E" w:rsidR="005E0E6E" w:rsidRPr="004D2D10" w:rsidRDefault="00A41CC5" w:rsidP="001648F9">
            <w:pPr>
              <w:spacing w:before="60" w:beforeAutospacing="0" w:after="60"/>
              <w:contextualSpacing w:val="0"/>
              <w:jc w:val="right"/>
            </w:pPr>
            <w:r>
              <w:t>+</w:t>
            </w:r>
            <w:r w:rsidR="005E0E6E">
              <w:t>1,857</w:t>
            </w:r>
          </w:p>
        </w:tc>
      </w:tr>
      <w:tr w:rsidR="005E0E6E" w:rsidRPr="00C14672" w14:paraId="5DA1E791" w14:textId="77777777" w:rsidTr="001648F9">
        <w:trPr>
          <w:trHeight w:val="315"/>
        </w:trPr>
        <w:tc>
          <w:tcPr>
            <w:tcW w:w="5093" w:type="dxa"/>
            <w:noWrap/>
            <w:hideMark/>
          </w:tcPr>
          <w:p w14:paraId="73788546" w14:textId="1C47BFB0" w:rsidR="005E0E6E" w:rsidRPr="005211EB" w:rsidRDefault="005E0E6E" w:rsidP="001648F9">
            <w:pPr>
              <w:spacing w:before="60" w:beforeAutospacing="0" w:after="60"/>
              <w:ind w:left="447"/>
              <w:contextualSpacing w:val="0"/>
            </w:pPr>
            <w:r w:rsidRPr="005211EB">
              <w:t>North Metropolitan Health Service</w:t>
            </w:r>
          </w:p>
        </w:tc>
        <w:tc>
          <w:tcPr>
            <w:tcW w:w="1347" w:type="dxa"/>
            <w:noWrap/>
            <w:hideMark/>
          </w:tcPr>
          <w:p w14:paraId="719DB24E" w14:textId="054B5C8E" w:rsidR="005E0E6E" w:rsidRPr="004D2D10" w:rsidRDefault="005E0E6E" w:rsidP="001648F9">
            <w:pPr>
              <w:spacing w:before="60" w:beforeAutospacing="0" w:after="60"/>
              <w:contextualSpacing w:val="0"/>
              <w:jc w:val="right"/>
            </w:pPr>
            <w:r>
              <w:t>11,541</w:t>
            </w:r>
          </w:p>
        </w:tc>
        <w:tc>
          <w:tcPr>
            <w:tcW w:w="1347" w:type="dxa"/>
            <w:noWrap/>
            <w:hideMark/>
          </w:tcPr>
          <w:p w14:paraId="49CE5F7C" w14:textId="71D775F0" w:rsidR="005E0E6E" w:rsidRPr="004D2D10" w:rsidRDefault="005E0E6E" w:rsidP="001648F9">
            <w:pPr>
              <w:spacing w:before="60" w:beforeAutospacing="0" w:after="60"/>
              <w:contextualSpacing w:val="0"/>
              <w:jc w:val="right"/>
            </w:pPr>
            <w:r>
              <w:t>8,739</w:t>
            </w:r>
          </w:p>
        </w:tc>
        <w:tc>
          <w:tcPr>
            <w:tcW w:w="1163" w:type="dxa"/>
            <w:noWrap/>
            <w:hideMark/>
          </w:tcPr>
          <w:p w14:paraId="0D31E959" w14:textId="670AFF49" w:rsidR="005E0E6E" w:rsidRPr="004D2D10" w:rsidRDefault="00A41CC5" w:rsidP="001648F9">
            <w:pPr>
              <w:spacing w:before="60" w:beforeAutospacing="0" w:after="60"/>
              <w:contextualSpacing w:val="0"/>
              <w:jc w:val="right"/>
            </w:pPr>
            <w:r>
              <w:t>+</w:t>
            </w:r>
            <w:r w:rsidR="005E0E6E">
              <w:t>163</w:t>
            </w:r>
          </w:p>
        </w:tc>
        <w:tc>
          <w:tcPr>
            <w:tcW w:w="1164" w:type="dxa"/>
            <w:noWrap/>
            <w:hideMark/>
          </w:tcPr>
          <w:p w14:paraId="4ED1B1E1" w14:textId="7B7C2C77" w:rsidR="005E0E6E" w:rsidRPr="004D2D10" w:rsidRDefault="005E0E6E" w:rsidP="001648F9">
            <w:pPr>
              <w:spacing w:before="60" w:beforeAutospacing="0" w:after="60"/>
              <w:contextualSpacing w:val="0"/>
              <w:jc w:val="right"/>
            </w:pPr>
            <w:r>
              <w:t>-76</w:t>
            </w:r>
          </w:p>
        </w:tc>
      </w:tr>
      <w:tr w:rsidR="005E0E6E" w:rsidRPr="00C14672" w14:paraId="1BD15359" w14:textId="77777777" w:rsidTr="001648F9">
        <w:trPr>
          <w:trHeight w:val="315"/>
        </w:trPr>
        <w:tc>
          <w:tcPr>
            <w:tcW w:w="5093" w:type="dxa"/>
            <w:noWrap/>
            <w:hideMark/>
          </w:tcPr>
          <w:p w14:paraId="273D95EC" w14:textId="76470656" w:rsidR="005E0E6E" w:rsidRPr="005211EB" w:rsidRDefault="005E0E6E" w:rsidP="001648F9">
            <w:pPr>
              <w:spacing w:before="60" w:beforeAutospacing="0" w:after="60"/>
              <w:ind w:left="447"/>
              <w:contextualSpacing w:val="0"/>
            </w:pPr>
            <w:r w:rsidRPr="005211EB">
              <w:t>WA Country Health Service</w:t>
            </w:r>
          </w:p>
        </w:tc>
        <w:tc>
          <w:tcPr>
            <w:tcW w:w="1347" w:type="dxa"/>
            <w:noWrap/>
            <w:hideMark/>
          </w:tcPr>
          <w:p w14:paraId="00AD35F6" w14:textId="7DFD803D" w:rsidR="005E0E6E" w:rsidRPr="004D2D10" w:rsidRDefault="005E0E6E" w:rsidP="001648F9">
            <w:pPr>
              <w:spacing w:before="60" w:beforeAutospacing="0" w:after="60"/>
              <w:contextualSpacing w:val="0"/>
              <w:jc w:val="right"/>
            </w:pPr>
            <w:r>
              <w:t>10,378</w:t>
            </w:r>
          </w:p>
        </w:tc>
        <w:tc>
          <w:tcPr>
            <w:tcW w:w="1347" w:type="dxa"/>
            <w:noWrap/>
            <w:hideMark/>
          </w:tcPr>
          <w:p w14:paraId="0FFBCCD3" w14:textId="4CBA101E" w:rsidR="005E0E6E" w:rsidRPr="004D2D10" w:rsidRDefault="005E0E6E" w:rsidP="001648F9">
            <w:pPr>
              <w:spacing w:before="60" w:beforeAutospacing="0" w:after="60"/>
              <w:contextualSpacing w:val="0"/>
              <w:jc w:val="right"/>
            </w:pPr>
            <w:r>
              <w:t>7,882</w:t>
            </w:r>
          </w:p>
        </w:tc>
        <w:tc>
          <w:tcPr>
            <w:tcW w:w="1163" w:type="dxa"/>
            <w:noWrap/>
            <w:hideMark/>
          </w:tcPr>
          <w:p w14:paraId="49ED85CE" w14:textId="2BF07D3F" w:rsidR="005E0E6E" w:rsidRPr="004D2D10" w:rsidRDefault="00A41CC5" w:rsidP="001648F9">
            <w:pPr>
              <w:spacing w:before="60" w:beforeAutospacing="0" w:after="60"/>
              <w:contextualSpacing w:val="0"/>
              <w:jc w:val="right"/>
            </w:pPr>
            <w:r>
              <w:t>+</w:t>
            </w:r>
            <w:r w:rsidR="005E0E6E">
              <w:t>223</w:t>
            </w:r>
          </w:p>
        </w:tc>
        <w:tc>
          <w:tcPr>
            <w:tcW w:w="1164" w:type="dxa"/>
            <w:noWrap/>
            <w:hideMark/>
          </w:tcPr>
          <w:p w14:paraId="38331C4C" w14:textId="520EDC17" w:rsidR="005E0E6E" w:rsidRPr="004D2D10" w:rsidRDefault="00A41CC5" w:rsidP="001648F9">
            <w:pPr>
              <w:spacing w:before="60" w:beforeAutospacing="0" w:after="60"/>
              <w:contextualSpacing w:val="0"/>
              <w:jc w:val="right"/>
            </w:pPr>
            <w:r>
              <w:t>+</w:t>
            </w:r>
            <w:r w:rsidR="005E0E6E">
              <w:t>317</w:t>
            </w:r>
          </w:p>
        </w:tc>
      </w:tr>
      <w:tr w:rsidR="005E0E6E" w:rsidRPr="00C14672" w14:paraId="20C956EA" w14:textId="77777777" w:rsidTr="001648F9">
        <w:trPr>
          <w:trHeight w:val="315"/>
        </w:trPr>
        <w:tc>
          <w:tcPr>
            <w:tcW w:w="5093" w:type="dxa"/>
            <w:noWrap/>
            <w:hideMark/>
          </w:tcPr>
          <w:p w14:paraId="4877389A" w14:textId="0FF39069" w:rsidR="005E0E6E" w:rsidRPr="005211EB" w:rsidRDefault="005E0E6E" w:rsidP="001648F9">
            <w:pPr>
              <w:spacing w:before="60" w:beforeAutospacing="0" w:after="60"/>
              <w:ind w:left="447"/>
              <w:contextualSpacing w:val="0"/>
            </w:pPr>
            <w:r w:rsidRPr="005211EB">
              <w:t>South Metropolitan Health Service</w:t>
            </w:r>
          </w:p>
        </w:tc>
        <w:tc>
          <w:tcPr>
            <w:tcW w:w="1347" w:type="dxa"/>
            <w:noWrap/>
            <w:hideMark/>
          </w:tcPr>
          <w:p w14:paraId="20C3396C" w14:textId="6CA41A90" w:rsidR="005E0E6E" w:rsidRPr="004D2D10" w:rsidRDefault="005E0E6E" w:rsidP="001648F9">
            <w:pPr>
              <w:spacing w:before="60" w:beforeAutospacing="0" w:after="60"/>
              <w:contextualSpacing w:val="0"/>
              <w:jc w:val="right"/>
            </w:pPr>
            <w:r>
              <w:t>9,335</w:t>
            </w:r>
          </w:p>
        </w:tc>
        <w:tc>
          <w:tcPr>
            <w:tcW w:w="1347" w:type="dxa"/>
            <w:noWrap/>
            <w:hideMark/>
          </w:tcPr>
          <w:p w14:paraId="7C7EB707" w14:textId="6EDBB3ED" w:rsidR="005E0E6E" w:rsidRPr="004D2D10" w:rsidRDefault="005E0E6E" w:rsidP="001648F9">
            <w:pPr>
              <w:spacing w:before="60" w:beforeAutospacing="0" w:after="60"/>
              <w:contextualSpacing w:val="0"/>
              <w:jc w:val="right"/>
            </w:pPr>
            <w:r>
              <w:t>7,070</w:t>
            </w:r>
          </w:p>
        </w:tc>
        <w:tc>
          <w:tcPr>
            <w:tcW w:w="1163" w:type="dxa"/>
            <w:noWrap/>
            <w:hideMark/>
          </w:tcPr>
          <w:p w14:paraId="24407CBC" w14:textId="440198AD" w:rsidR="005E0E6E" w:rsidRPr="004D2D10" w:rsidRDefault="00A41CC5" w:rsidP="001648F9">
            <w:pPr>
              <w:spacing w:before="60" w:beforeAutospacing="0" w:after="60"/>
              <w:contextualSpacing w:val="0"/>
              <w:jc w:val="right"/>
            </w:pPr>
            <w:r>
              <w:t>+</w:t>
            </w:r>
            <w:r w:rsidR="005E0E6E">
              <w:t>114</w:t>
            </w:r>
          </w:p>
        </w:tc>
        <w:tc>
          <w:tcPr>
            <w:tcW w:w="1164" w:type="dxa"/>
            <w:noWrap/>
            <w:hideMark/>
          </w:tcPr>
          <w:p w14:paraId="58FDEF11" w14:textId="1F1E4EAD" w:rsidR="005E0E6E" w:rsidRPr="004D2D10" w:rsidRDefault="00A41CC5" w:rsidP="001648F9">
            <w:pPr>
              <w:spacing w:before="60" w:beforeAutospacing="0" w:after="60"/>
              <w:contextualSpacing w:val="0"/>
              <w:jc w:val="right"/>
            </w:pPr>
            <w:r>
              <w:t>+</w:t>
            </w:r>
            <w:r w:rsidR="005E0E6E">
              <w:t>297</w:t>
            </w:r>
          </w:p>
        </w:tc>
      </w:tr>
      <w:tr w:rsidR="005E0E6E" w:rsidRPr="00C14672" w14:paraId="023862C5" w14:textId="77777777" w:rsidTr="001648F9">
        <w:trPr>
          <w:trHeight w:val="315"/>
        </w:trPr>
        <w:tc>
          <w:tcPr>
            <w:tcW w:w="5093" w:type="dxa"/>
            <w:noWrap/>
            <w:hideMark/>
          </w:tcPr>
          <w:p w14:paraId="67180C86" w14:textId="7773066B" w:rsidR="005E0E6E" w:rsidRPr="005211EB" w:rsidRDefault="005E0E6E" w:rsidP="001648F9">
            <w:pPr>
              <w:spacing w:before="60" w:beforeAutospacing="0" w:after="60"/>
              <w:ind w:left="447"/>
              <w:contextualSpacing w:val="0"/>
            </w:pPr>
            <w:r w:rsidRPr="005211EB">
              <w:t>East Metropolitan Health Service</w:t>
            </w:r>
          </w:p>
        </w:tc>
        <w:tc>
          <w:tcPr>
            <w:tcW w:w="1347" w:type="dxa"/>
            <w:noWrap/>
            <w:hideMark/>
          </w:tcPr>
          <w:p w14:paraId="20A54F64" w14:textId="6D7D030E" w:rsidR="005E0E6E" w:rsidRPr="004D2D10" w:rsidRDefault="005E0E6E" w:rsidP="001648F9">
            <w:pPr>
              <w:spacing w:before="60" w:beforeAutospacing="0" w:after="60"/>
              <w:contextualSpacing w:val="0"/>
              <w:jc w:val="right"/>
            </w:pPr>
            <w:r>
              <w:t>8,231</w:t>
            </w:r>
          </w:p>
        </w:tc>
        <w:tc>
          <w:tcPr>
            <w:tcW w:w="1347" w:type="dxa"/>
            <w:noWrap/>
            <w:hideMark/>
          </w:tcPr>
          <w:p w14:paraId="00E37996" w14:textId="28BD25D7" w:rsidR="005E0E6E" w:rsidRPr="004D2D10" w:rsidRDefault="005E0E6E" w:rsidP="001648F9">
            <w:pPr>
              <w:spacing w:before="60" w:beforeAutospacing="0" w:after="60"/>
              <w:contextualSpacing w:val="0"/>
              <w:jc w:val="right"/>
            </w:pPr>
            <w:r>
              <w:t>6,455</w:t>
            </w:r>
          </w:p>
        </w:tc>
        <w:tc>
          <w:tcPr>
            <w:tcW w:w="1163" w:type="dxa"/>
            <w:noWrap/>
            <w:hideMark/>
          </w:tcPr>
          <w:p w14:paraId="31BC2332" w14:textId="0C4B06EF" w:rsidR="005E0E6E" w:rsidRPr="004D2D10" w:rsidRDefault="00A41CC5" w:rsidP="001648F9">
            <w:pPr>
              <w:spacing w:before="60" w:beforeAutospacing="0" w:after="60"/>
              <w:contextualSpacing w:val="0"/>
              <w:jc w:val="right"/>
            </w:pPr>
            <w:r>
              <w:t>+</w:t>
            </w:r>
            <w:r w:rsidR="005E0E6E">
              <w:t>56</w:t>
            </w:r>
          </w:p>
        </w:tc>
        <w:tc>
          <w:tcPr>
            <w:tcW w:w="1164" w:type="dxa"/>
            <w:noWrap/>
            <w:hideMark/>
          </w:tcPr>
          <w:p w14:paraId="199EF562" w14:textId="68BD0109" w:rsidR="005E0E6E" w:rsidRPr="004D2D10" w:rsidRDefault="00A41CC5" w:rsidP="001648F9">
            <w:pPr>
              <w:spacing w:before="60" w:beforeAutospacing="0" w:after="60"/>
              <w:contextualSpacing w:val="0"/>
              <w:jc w:val="right"/>
            </w:pPr>
            <w:r>
              <w:t>+</w:t>
            </w:r>
            <w:r w:rsidR="005E0E6E">
              <w:t>274</w:t>
            </w:r>
          </w:p>
        </w:tc>
      </w:tr>
      <w:tr w:rsidR="005E0E6E" w:rsidRPr="00C14672" w14:paraId="145AC281" w14:textId="77777777" w:rsidTr="001648F9">
        <w:trPr>
          <w:trHeight w:val="315"/>
        </w:trPr>
        <w:tc>
          <w:tcPr>
            <w:tcW w:w="5093" w:type="dxa"/>
            <w:noWrap/>
            <w:hideMark/>
          </w:tcPr>
          <w:p w14:paraId="372813DE" w14:textId="1EDF8EB6" w:rsidR="005E0E6E" w:rsidRPr="005211EB" w:rsidRDefault="005E0E6E" w:rsidP="001648F9">
            <w:pPr>
              <w:spacing w:before="60" w:beforeAutospacing="0" w:after="60"/>
              <w:ind w:left="447"/>
              <w:contextualSpacing w:val="0"/>
            </w:pPr>
            <w:r w:rsidRPr="005211EB">
              <w:t>Child and Adolescent Health Service</w:t>
            </w:r>
          </w:p>
        </w:tc>
        <w:tc>
          <w:tcPr>
            <w:tcW w:w="1347" w:type="dxa"/>
            <w:noWrap/>
            <w:hideMark/>
          </w:tcPr>
          <w:p w14:paraId="178EF2C2" w14:textId="5B266461" w:rsidR="005E0E6E" w:rsidRPr="004D2D10" w:rsidRDefault="005E0E6E" w:rsidP="001648F9">
            <w:pPr>
              <w:spacing w:before="60" w:beforeAutospacing="0" w:after="60"/>
              <w:contextualSpacing w:val="0"/>
              <w:jc w:val="right"/>
            </w:pPr>
            <w:r>
              <w:t>5,064</w:t>
            </w:r>
          </w:p>
        </w:tc>
        <w:tc>
          <w:tcPr>
            <w:tcW w:w="1347" w:type="dxa"/>
            <w:noWrap/>
            <w:hideMark/>
          </w:tcPr>
          <w:p w14:paraId="6203BE69" w14:textId="0CE08715" w:rsidR="005E0E6E" w:rsidRPr="004D2D10" w:rsidRDefault="005E0E6E" w:rsidP="001648F9">
            <w:pPr>
              <w:spacing w:before="60" w:beforeAutospacing="0" w:after="60"/>
              <w:contextualSpacing w:val="0"/>
              <w:jc w:val="right"/>
            </w:pPr>
            <w:r>
              <w:t>3,658</w:t>
            </w:r>
          </w:p>
        </w:tc>
        <w:tc>
          <w:tcPr>
            <w:tcW w:w="1163" w:type="dxa"/>
            <w:noWrap/>
            <w:hideMark/>
          </w:tcPr>
          <w:p w14:paraId="44ACBC5A" w14:textId="3555A962" w:rsidR="005E0E6E" w:rsidRPr="004D2D10" w:rsidRDefault="00A41CC5" w:rsidP="001648F9">
            <w:pPr>
              <w:spacing w:before="60" w:beforeAutospacing="0" w:after="60"/>
              <w:contextualSpacing w:val="0"/>
              <w:jc w:val="right"/>
            </w:pPr>
            <w:r>
              <w:t>+</w:t>
            </w:r>
            <w:r w:rsidR="005E0E6E">
              <w:t>31</w:t>
            </w:r>
          </w:p>
        </w:tc>
        <w:tc>
          <w:tcPr>
            <w:tcW w:w="1164" w:type="dxa"/>
            <w:noWrap/>
            <w:hideMark/>
          </w:tcPr>
          <w:p w14:paraId="31C2AC5A" w14:textId="35DDAD55" w:rsidR="005E0E6E" w:rsidRPr="004D2D10" w:rsidRDefault="00A41CC5" w:rsidP="001648F9">
            <w:pPr>
              <w:spacing w:before="60" w:beforeAutospacing="0" w:after="60"/>
              <w:contextualSpacing w:val="0"/>
              <w:jc w:val="right"/>
            </w:pPr>
            <w:r>
              <w:t>+</w:t>
            </w:r>
            <w:r w:rsidR="005E0E6E">
              <w:t>576</w:t>
            </w:r>
          </w:p>
        </w:tc>
      </w:tr>
      <w:tr w:rsidR="005E0E6E" w:rsidRPr="00C14672" w14:paraId="0A080A0F" w14:textId="77777777" w:rsidTr="001648F9">
        <w:trPr>
          <w:trHeight w:val="318"/>
        </w:trPr>
        <w:tc>
          <w:tcPr>
            <w:tcW w:w="5093" w:type="dxa"/>
            <w:noWrap/>
          </w:tcPr>
          <w:p w14:paraId="60A9EB48" w14:textId="75EF5FD2" w:rsidR="005E0E6E" w:rsidRPr="005211EB" w:rsidRDefault="005E0E6E" w:rsidP="001648F9">
            <w:pPr>
              <w:spacing w:before="60" w:beforeAutospacing="0" w:after="60"/>
              <w:ind w:left="447"/>
              <w:contextualSpacing w:val="0"/>
            </w:pPr>
            <w:r w:rsidRPr="005211EB">
              <w:t>Health Support Services</w:t>
            </w:r>
          </w:p>
        </w:tc>
        <w:tc>
          <w:tcPr>
            <w:tcW w:w="1347" w:type="dxa"/>
            <w:noWrap/>
          </w:tcPr>
          <w:p w14:paraId="71B419FF" w14:textId="7B3BEF33" w:rsidR="005E0E6E" w:rsidRDefault="005E0E6E" w:rsidP="001648F9">
            <w:pPr>
              <w:spacing w:before="60" w:beforeAutospacing="0" w:after="60"/>
              <w:contextualSpacing w:val="0"/>
              <w:jc w:val="right"/>
            </w:pPr>
            <w:r>
              <w:t>2,176</w:t>
            </w:r>
          </w:p>
        </w:tc>
        <w:tc>
          <w:tcPr>
            <w:tcW w:w="1347" w:type="dxa"/>
            <w:noWrap/>
          </w:tcPr>
          <w:p w14:paraId="25563A9C" w14:textId="455477BB" w:rsidR="005E0E6E" w:rsidRDefault="005E0E6E" w:rsidP="001648F9">
            <w:pPr>
              <w:spacing w:before="60" w:beforeAutospacing="0" w:after="60"/>
              <w:contextualSpacing w:val="0"/>
              <w:jc w:val="right"/>
            </w:pPr>
            <w:r>
              <w:t>1,589</w:t>
            </w:r>
          </w:p>
        </w:tc>
        <w:tc>
          <w:tcPr>
            <w:tcW w:w="1163" w:type="dxa"/>
            <w:noWrap/>
          </w:tcPr>
          <w:p w14:paraId="78132698" w14:textId="324FF509" w:rsidR="005E0E6E" w:rsidRDefault="00A41CC5" w:rsidP="001648F9">
            <w:pPr>
              <w:spacing w:before="60" w:beforeAutospacing="0" w:after="60"/>
              <w:contextualSpacing w:val="0"/>
              <w:jc w:val="right"/>
            </w:pPr>
            <w:r>
              <w:t>+</w:t>
            </w:r>
            <w:r w:rsidR="005E0E6E">
              <w:t>27</w:t>
            </w:r>
          </w:p>
        </w:tc>
        <w:tc>
          <w:tcPr>
            <w:tcW w:w="1164" w:type="dxa"/>
            <w:noWrap/>
          </w:tcPr>
          <w:p w14:paraId="11BC90B4" w14:textId="144F6169" w:rsidR="005E0E6E" w:rsidRDefault="00A41CC5" w:rsidP="001648F9">
            <w:pPr>
              <w:spacing w:before="60" w:beforeAutospacing="0" w:after="60"/>
              <w:contextualSpacing w:val="0"/>
              <w:jc w:val="right"/>
            </w:pPr>
            <w:r>
              <w:t>+</w:t>
            </w:r>
            <w:r w:rsidR="005E0E6E">
              <w:t>197</w:t>
            </w:r>
          </w:p>
        </w:tc>
      </w:tr>
      <w:tr w:rsidR="005E0E6E" w:rsidRPr="00C14672" w14:paraId="3A82AF46" w14:textId="77777777" w:rsidTr="001648F9">
        <w:trPr>
          <w:trHeight w:val="318"/>
        </w:trPr>
        <w:tc>
          <w:tcPr>
            <w:tcW w:w="5093" w:type="dxa"/>
            <w:noWrap/>
            <w:hideMark/>
          </w:tcPr>
          <w:p w14:paraId="52E744C8" w14:textId="2C595B3C" w:rsidR="005E0E6E" w:rsidRPr="005211EB" w:rsidRDefault="005E0E6E" w:rsidP="001648F9">
            <w:pPr>
              <w:spacing w:before="60" w:beforeAutospacing="0" w:after="60"/>
              <w:ind w:left="447"/>
              <w:contextualSpacing w:val="0"/>
            </w:pPr>
            <w:r w:rsidRPr="005211EB">
              <w:t>PathWest</w:t>
            </w:r>
          </w:p>
        </w:tc>
        <w:tc>
          <w:tcPr>
            <w:tcW w:w="1347" w:type="dxa"/>
            <w:noWrap/>
            <w:hideMark/>
          </w:tcPr>
          <w:p w14:paraId="0D468646" w14:textId="0261E860" w:rsidR="005E0E6E" w:rsidRPr="004D2D10" w:rsidRDefault="005E0E6E" w:rsidP="001648F9">
            <w:pPr>
              <w:spacing w:before="60" w:beforeAutospacing="0" w:after="60"/>
              <w:contextualSpacing w:val="0"/>
              <w:jc w:val="right"/>
            </w:pPr>
            <w:r>
              <w:t>2,149</w:t>
            </w:r>
          </w:p>
        </w:tc>
        <w:tc>
          <w:tcPr>
            <w:tcW w:w="1347" w:type="dxa"/>
            <w:noWrap/>
            <w:hideMark/>
          </w:tcPr>
          <w:p w14:paraId="6599E832" w14:textId="3711E33E" w:rsidR="005E0E6E" w:rsidRPr="004D2D10" w:rsidRDefault="005E0E6E" w:rsidP="001648F9">
            <w:pPr>
              <w:spacing w:before="60" w:beforeAutospacing="0" w:after="60"/>
              <w:contextualSpacing w:val="0"/>
              <w:jc w:val="right"/>
            </w:pPr>
            <w:r>
              <w:t>1,743</w:t>
            </w:r>
          </w:p>
        </w:tc>
        <w:tc>
          <w:tcPr>
            <w:tcW w:w="1163" w:type="dxa"/>
            <w:noWrap/>
            <w:hideMark/>
          </w:tcPr>
          <w:p w14:paraId="5C6DABEA" w14:textId="40782B58" w:rsidR="005E0E6E" w:rsidRPr="004D2D10" w:rsidRDefault="00A41CC5" w:rsidP="001648F9">
            <w:pPr>
              <w:spacing w:before="60" w:beforeAutospacing="0" w:after="60"/>
              <w:contextualSpacing w:val="0"/>
              <w:jc w:val="right"/>
            </w:pPr>
            <w:r>
              <w:t>+</w:t>
            </w:r>
            <w:r w:rsidR="005E0E6E">
              <w:t>5</w:t>
            </w:r>
          </w:p>
        </w:tc>
        <w:tc>
          <w:tcPr>
            <w:tcW w:w="1164" w:type="dxa"/>
            <w:noWrap/>
            <w:hideMark/>
          </w:tcPr>
          <w:p w14:paraId="76692378" w14:textId="725AF91A" w:rsidR="005E0E6E" w:rsidRPr="004D2D10" w:rsidRDefault="00A41CC5" w:rsidP="001648F9">
            <w:pPr>
              <w:spacing w:before="60" w:beforeAutospacing="0" w:after="60"/>
              <w:contextualSpacing w:val="0"/>
              <w:jc w:val="right"/>
            </w:pPr>
            <w:r>
              <w:t>+</w:t>
            </w:r>
            <w:r w:rsidR="005E0E6E">
              <w:t>115</w:t>
            </w:r>
          </w:p>
        </w:tc>
      </w:tr>
      <w:tr w:rsidR="005E0E6E" w:rsidRPr="00C14672" w14:paraId="798ED191" w14:textId="77777777" w:rsidTr="001648F9">
        <w:trPr>
          <w:trHeight w:val="315"/>
        </w:trPr>
        <w:tc>
          <w:tcPr>
            <w:tcW w:w="5093" w:type="dxa"/>
            <w:noWrap/>
            <w:hideMark/>
          </w:tcPr>
          <w:p w14:paraId="431384CB" w14:textId="5232B5CF" w:rsidR="005E0E6E" w:rsidRPr="005211EB" w:rsidRDefault="005E0E6E" w:rsidP="00BB74E6">
            <w:pPr>
              <w:spacing w:before="60" w:beforeAutospacing="0" w:after="60"/>
              <w:ind w:left="444"/>
              <w:contextualSpacing w:val="0"/>
            </w:pPr>
            <w:r w:rsidRPr="005211EB">
              <w:t>Department of Health</w:t>
            </w:r>
          </w:p>
        </w:tc>
        <w:tc>
          <w:tcPr>
            <w:tcW w:w="1347" w:type="dxa"/>
            <w:noWrap/>
            <w:hideMark/>
          </w:tcPr>
          <w:p w14:paraId="5EDA426D" w14:textId="4666FEA8" w:rsidR="005E0E6E" w:rsidRPr="004D2D10" w:rsidRDefault="005E0E6E" w:rsidP="001648F9">
            <w:pPr>
              <w:spacing w:before="60" w:beforeAutospacing="0" w:after="60"/>
              <w:contextualSpacing w:val="0"/>
              <w:jc w:val="right"/>
            </w:pPr>
            <w:r>
              <w:t>1,099</w:t>
            </w:r>
          </w:p>
        </w:tc>
        <w:tc>
          <w:tcPr>
            <w:tcW w:w="1347" w:type="dxa"/>
            <w:noWrap/>
            <w:hideMark/>
          </w:tcPr>
          <w:p w14:paraId="763331E7" w14:textId="6F0F3B23" w:rsidR="005E0E6E" w:rsidRPr="004D2D10" w:rsidRDefault="005E0E6E" w:rsidP="001648F9">
            <w:pPr>
              <w:spacing w:before="60" w:beforeAutospacing="0" w:after="60"/>
              <w:contextualSpacing w:val="0"/>
              <w:jc w:val="right"/>
            </w:pPr>
            <w:r>
              <w:t>948</w:t>
            </w:r>
          </w:p>
        </w:tc>
        <w:tc>
          <w:tcPr>
            <w:tcW w:w="1163" w:type="dxa"/>
            <w:noWrap/>
            <w:hideMark/>
          </w:tcPr>
          <w:p w14:paraId="250E50BF" w14:textId="3963BDA7" w:rsidR="005E0E6E" w:rsidRPr="004D2D10" w:rsidRDefault="00A41CC5" w:rsidP="001648F9">
            <w:pPr>
              <w:spacing w:before="60" w:beforeAutospacing="0" w:after="60"/>
              <w:contextualSpacing w:val="0"/>
              <w:jc w:val="right"/>
            </w:pPr>
            <w:r>
              <w:t>+</w:t>
            </w:r>
            <w:r w:rsidR="005E0E6E">
              <w:t>34</w:t>
            </w:r>
          </w:p>
        </w:tc>
        <w:tc>
          <w:tcPr>
            <w:tcW w:w="1164" w:type="dxa"/>
            <w:noWrap/>
            <w:hideMark/>
          </w:tcPr>
          <w:p w14:paraId="313C8388" w14:textId="2713588D" w:rsidR="005E0E6E" w:rsidRPr="004D2D10" w:rsidRDefault="00A41CC5" w:rsidP="001648F9">
            <w:pPr>
              <w:spacing w:before="60" w:beforeAutospacing="0" w:after="60"/>
              <w:contextualSpacing w:val="0"/>
              <w:jc w:val="right"/>
            </w:pPr>
            <w:r>
              <w:t>+</w:t>
            </w:r>
            <w:r w:rsidR="005E0E6E">
              <w:t>156</w:t>
            </w:r>
          </w:p>
        </w:tc>
      </w:tr>
      <w:tr w:rsidR="005E0E6E" w:rsidRPr="00C14672" w14:paraId="6BFBF1A4" w14:textId="77777777" w:rsidTr="001648F9">
        <w:trPr>
          <w:trHeight w:val="315"/>
        </w:trPr>
        <w:tc>
          <w:tcPr>
            <w:tcW w:w="5093" w:type="dxa"/>
            <w:noWrap/>
            <w:hideMark/>
          </w:tcPr>
          <w:p w14:paraId="4831D733" w14:textId="71397790" w:rsidR="005E0E6E" w:rsidRPr="005211EB" w:rsidRDefault="005E0E6E" w:rsidP="001648F9">
            <w:pPr>
              <w:spacing w:before="60" w:beforeAutospacing="0" w:after="60"/>
              <w:contextualSpacing w:val="0"/>
            </w:pPr>
            <w:r w:rsidRPr="005211EB">
              <w:t>Department of Justice</w:t>
            </w:r>
          </w:p>
        </w:tc>
        <w:tc>
          <w:tcPr>
            <w:tcW w:w="1347" w:type="dxa"/>
            <w:noWrap/>
            <w:hideMark/>
          </w:tcPr>
          <w:p w14:paraId="3B19A77E" w14:textId="122F392A" w:rsidR="005E0E6E" w:rsidRPr="004D2D10" w:rsidRDefault="005E0E6E" w:rsidP="001648F9">
            <w:pPr>
              <w:spacing w:before="60" w:beforeAutospacing="0" w:after="60"/>
              <w:contextualSpacing w:val="0"/>
              <w:jc w:val="right"/>
            </w:pPr>
            <w:r>
              <w:t>7,328</w:t>
            </w:r>
          </w:p>
        </w:tc>
        <w:tc>
          <w:tcPr>
            <w:tcW w:w="1347" w:type="dxa"/>
            <w:noWrap/>
            <w:hideMark/>
          </w:tcPr>
          <w:p w14:paraId="623B6B68" w14:textId="71729C5C" w:rsidR="005E0E6E" w:rsidRPr="004D2D10" w:rsidRDefault="005E0E6E" w:rsidP="001648F9">
            <w:pPr>
              <w:spacing w:before="60" w:beforeAutospacing="0" w:after="60"/>
              <w:contextualSpacing w:val="0"/>
              <w:jc w:val="right"/>
            </w:pPr>
            <w:r>
              <w:t>6,833</w:t>
            </w:r>
          </w:p>
        </w:tc>
        <w:tc>
          <w:tcPr>
            <w:tcW w:w="1163" w:type="dxa"/>
            <w:noWrap/>
            <w:hideMark/>
          </w:tcPr>
          <w:p w14:paraId="1C945E6F" w14:textId="5D2396F9" w:rsidR="005E0E6E" w:rsidRPr="004D2D10" w:rsidRDefault="00A41CC5" w:rsidP="001648F9">
            <w:pPr>
              <w:spacing w:before="60" w:beforeAutospacing="0" w:after="60"/>
              <w:contextualSpacing w:val="0"/>
              <w:jc w:val="right"/>
            </w:pPr>
            <w:r>
              <w:t>+</w:t>
            </w:r>
            <w:r w:rsidR="005E0E6E">
              <w:t>68</w:t>
            </w:r>
          </w:p>
        </w:tc>
        <w:tc>
          <w:tcPr>
            <w:tcW w:w="1164" w:type="dxa"/>
            <w:noWrap/>
            <w:hideMark/>
          </w:tcPr>
          <w:p w14:paraId="02F78026" w14:textId="25CADBB2" w:rsidR="005E0E6E" w:rsidRPr="004D2D10" w:rsidRDefault="00A41CC5" w:rsidP="001648F9">
            <w:pPr>
              <w:spacing w:before="60" w:beforeAutospacing="0" w:after="60"/>
              <w:contextualSpacing w:val="0"/>
              <w:jc w:val="right"/>
            </w:pPr>
            <w:r>
              <w:t>+</w:t>
            </w:r>
            <w:r w:rsidR="005E0E6E">
              <w:t>597</w:t>
            </w:r>
          </w:p>
        </w:tc>
      </w:tr>
      <w:tr w:rsidR="005E0E6E" w:rsidRPr="00C14672" w14:paraId="27610C0C" w14:textId="77777777" w:rsidTr="001648F9">
        <w:trPr>
          <w:trHeight w:val="315"/>
        </w:trPr>
        <w:tc>
          <w:tcPr>
            <w:tcW w:w="5093" w:type="dxa"/>
            <w:noWrap/>
            <w:hideMark/>
          </w:tcPr>
          <w:p w14:paraId="3B72177E" w14:textId="474F0685" w:rsidR="005E0E6E" w:rsidRPr="005211EB" w:rsidRDefault="005E0E6E" w:rsidP="001648F9">
            <w:pPr>
              <w:spacing w:before="60" w:beforeAutospacing="0" w:after="60"/>
              <w:contextualSpacing w:val="0"/>
            </w:pPr>
            <w:r w:rsidRPr="005211EB">
              <w:t xml:space="preserve">Department of Communities </w:t>
            </w:r>
            <w:r w:rsidRPr="005211EB">
              <w:rPr>
                <w:rStyle w:val="EndnoteReference"/>
              </w:rPr>
              <w:endnoteReference w:id="1"/>
            </w:r>
          </w:p>
        </w:tc>
        <w:tc>
          <w:tcPr>
            <w:tcW w:w="1347" w:type="dxa"/>
            <w:noWrap/>
            <w:hideMark/>
          </w:tcPr>
          <w:p w14:paraId="22FC115F" w14:textId="764DB4D4" w:rsidR="005E0E6E" w:rsidRPr="004D2D10" w:rsidRDefault="005E0E6E" w:rsidP="001648F9">
            <w:pPr>
              <w:spacing w:before="60" w:beforeAutospacing="0" w:after="60"/>
              <w:contextualSpacing w:val="0"/>
              <w:jc w:val="right"/>
            </w:pPr>
            <w:r>
              <w:t>6,111</w:t>
            </w:r>
          </w:p>
        </w:tc>
        <w:tc>
          <w:tcPr>
            <w:tcW w:w="1347" w:type="dxa"/>
            <w:noWrap/>
            <w:hideMark/>
          </w:tcPr>
          <w:p w14:paraId="3B331FC3" w14:textId="2D23D397" w:rsidR="005E0E6E" w:rsidRPr="004D2D10" w:rsidRDefault="005E0E6E" w:rsidP="001648F9">
            <w:pPr>
              <w:spacing w:before="60" w:beforeAutospacing="0" w:after="60"/>
              <w:contextualSpacing w:val="0"/>
              <w:jc w:val="right"/>
            </w:pPr>
            <w:r>
              <w:t>5,357</w:t>
            </w:r>
          </w:p>
        </w:tc>
        <w:tc>
          <w:tcPr>
            <w:tcW w:w="1163" w:type="dxa"/>
            <w:noWrap/>
            <w:hideMark/>
          </w:tcPr>
          <w:p w14:paraId="335642CC" w14:textId="0BB55F59" w:rsidR="005E0E6E" w:rsidRPr="004D2D10" w:rsidRDefault="005E0E6E" w:rsidP="001648F9">
            <w:pPr>
              <w:spacing w:before="60" w:beforeAutospacing="0" w:after="60"/>
              <w:contextualSpacing w:val="0"/>
              <w:jc w:val="right"/>
            </w:pPr>
            <w:r>
              <w:t>-140</w:t>
            </w:r>
          </w:p>
        </w:tc>
        <w:tc>
          <w:tcPr>
            <w:tcW w:w="1164" w:type="dxa"/>
            <w:noWrap/>
            <w:hideMark/>
          </w:tcPr>
          <w:p w14:paraId="0F4D667A" w14:textId="4C563DCA" w:rsidR="005E0E6E" w:rsidRPr="004D2D10" w:rsidRDefault="005E0E6E" w:rsidP="001648F9">
            <w:pPr>
              <w:spacing w:before="60" w:beforeAutospacing="0" w:after="60"/>
              <w:contextualSpacing w:val="0"/>
              <w:jc w:val="right"/>
            </w:pPr>
            <w:r>
              <w:t>-39</w:t>
            </w:r>
          </w:p>
        </w:tc>
      </w:tr>
      <w:tr w:rsidR="005E0E6E" w:rsidRPr="00C14672" w14:paraId="54BA2ED5" w14:textId="77777777" w:rsidTr="001648F9">
        <w:trPr>
          <w:trHeight w:val="315"/>
        </w:trPr>
        <w:tc>
          <w:tcPr>
            <w:tcW w:w="5093" w:type="dxa"/>
            <w:noWrap/>
            <w:hideMark/>
          </w:tcPr>
          <w:p w14:paraId="53089CB9" w14:textId="3AF3B6C8" w:rsidR="005E0E6E" w:rsidRPr="005211EB" w:rsidRDefault="005E0E6E" w:rsidP="001648F9">
            <w:pPr>
              <w:spacing w:before="60" w:beforeAutospacing="0" w:after="60"/>
              <w:contextualSpacing w:val="0"/>
            </w:pPr>
            <w:r w:rsidRPr="005211EB">
              <w:t xml:space="preserve">Western Australia Police </w:t>
            </w:r>
            <w:r w:rsidRPr="005211EB">
              <w:rPr>
                <w:rStyle w:val="EndnoteReference"/>
              </w:rPr>
              <w:endnoteReference w:id="2"/>
            </w:r>
          </w:p>
        </w:tc>
        <w:tc>
          <w:tcPr>
            <w:tcW w:w="1347" w:type="dxa"/>
            <w:noWrap/>
            <w:hideMark/>
          </w:tcPr>
          <w:p w14:paraId="0C714BF0" w14:textId="79946DCD" w:rsidR="005E0E6E" w:rsidRPr="004D2D10" w:rsidRDefault="005E0E6E" w:rsidP="001648F9">
            <w:pPr>
              <w:spacing w:before="60" w:beforeAutospacing="0" w:after="60"/>
              <w:contextualSpacing w:val="0"/>
              <w:jc w:val="right"/>
            </w:pPr>
            <w:r>
              <w:t>2,930</w:t>
            </w:r>
          </w:p>
        </w:tc>
        <w:tc>
          <w:tcPr>
            <w:tcW w:w="1347" w:type="dxa"/>
            <w:noWrap/>
            <w:hideMark/>
          </w:tcPr>
          <w:p w14:paraId="717AEAC9" w14:textId="50789857" w:rsidR="005E0E6E" w:rsidRPr="004D2D10" w:rsidRDefault="005E0E6E" w:rsidP="001648F9">
            <w:pPr>
              <w:spacing w:before="60" w:beforeAutospacing="0" w:after="60"/>
              <w:contextualSpacing w:val="0"/>
              <w:jc w:val="right"/>
            </w:pPr>
            <w:r>
              <w:t>2,175</w:t>
            </w:r>
          </w:p>
        </w:tc>
        <w:tc>
          <w:tcPr>
            <w:tcW w:w="1163" w:type="dxa"/>
            <w:noWrap/>
            <w:hideMark/>
          </w:tcPr>
          <w:p w14:paraId="138E0E7E" w14:textId="426F786C" w:rsidR="005E0E6E" w:rsidRPr="004D2D10" w:rsidRDefault="00A41CC5" w:rsidP="001648F9">
            <w:pPr>
              <w:spacing w:before="60" w:beforeAutospacing="0" w:after="60"/>
              <w:contextualSpacing w:val="0"/>
              <w:jc w:val="right"/>
            </w:pPr>
            <w:r>
              <w:t>+</w:t>
            </w:r>
            <w:r w:rsidR="005E0E6E">
              <w:t>12</w:t>
            </w:r>
          </w:p>
        </w:tc>
        <w:tc>
          <w:tcPr>
            <w:tcW w:w="1164" w:type="dxa"/>
            <w:noWrap/>
            <w:hideMark/>
          </w:tcPr>
          <w:p w14:paraId="4BCEB9C9" w14:textId="5BB0B98A" w:rsidR="005E0E6E" w:rsidRPr="004D2D10" w:rsidRDefault="00A41CC5" w:rsidP="001648F9">
            <w:pPr>
              <w:spacing w:before="60" w:beforeAutospacing="0" w:after="60"/>
              <w:contextualSpacing w:val="0"/>
              <w:jc w:val="right"/>
            </w:pPr>
            <w:r>
              <w:t>+</w:t>
            </w:r>
            <w:r w:rsidR="005E0E6E">
              <w:t>62</w:t>
            </w:r>
          </w:p>
        </w:tc>
      </w:tr>
      <w:tr w:rsidR="005E0E6E" w:rsidRPr="00C14672" w14:paraId="08E46EA2" w14:textId="77777777" w:rsidTr="001648F9">
        <w:trPr>
          <w:trHeight w:val="315"/>
        </w:trPr>
        <w:tc>
          <w:tcPr>
            <w:tcW w:w="5093" w:type="dxa"/>
            <w:noWrap/>
            <w:hideMark/>
          </w:tcPr>
          <w:p w14:paraId="05A380EB" w14:textId="0EB504F2" w:rsidR="005E0E6E" w:rsidRPr="005211EB" w:rsidRDefault="005E0E6E" w:rsidP="001648F9">
            <w:pPr>
              <w:spacing w:before="60" w:beforeAutospacing="0" w:after="60"/>
              <w:contextualSpacing w:val="0"/>
            </w:pPr>
            <w:r w:rsidRPr="005211EB">
              <w:t xml:space="preserve">Department of Biodiversity, Conservation and Attractions </w:t>
            </w:r>
            <w:r w:rsidRPr="005211EB">
              <w:rPr>
                <w:rStyle w:val="EndnoteReference"/>
              </w:rPr>
              <w:endnoteReference w:id="3"/>
            </w:r>
          </w:p>
        </w:tc>
        <w:tc>
          <w:tcPr>
            <w:tcW w:w="1347" w:type="dxa"/>
            <w:noWrap/>
            <w:hideMark/>
          </w:tcPr>
          <w:p w14:paraId="6C955B2F" w14:textId="6B976880" w:rsidR="005E0E6E" w:rsidRPr="004D2D10" w:rsidRDefault="005E0E6E" w:rsidP="001648F9">
            <w:pPr>
              <w:spacing w:before="60" w:beforeAutospacing="0" w:after="60"/>
              <w:contextualSpacing w:val="0"/>
              <w:jc w:val="right"/>
            </w:pPr>
            <w:r>
              <w:t>2,213</w:t>
            </w:r>
          </w:p>
        </w:tc>
        <w:tc>
          <w:tcPr>
            <w:tcW w:w="1347" w:type="dxa"/>
            <w:noWrap/>
            <w:hideMark/>
          </w:tcPr>
          <w:p w14:paraId="38D81389" w14:textId="1466BF62" w:rsidR="005E0E6E" w:rsidRPr="004D2D10" w:rsidRDefault="005E0E6E" w:rsidP="001648F9">
            <w:pPr>
              <w:spacing w:before="60" w:beforeAutospacing="0" w:after="60"/>
              <w:contextualSpacing w:val="0"/>
              <w:jc w:val="right"/>
            </w:pPr>
            <w:r>
              <w:t>1,852</w:t>
            </w:r>
          </w:p>
        </w:tc>
        <w:tc>
          <w:tcPr>
            <w:tcW w:w="1163" w:type="dxa"/>
            <w:noWrap/>
            <w:hideMark/>
          </w:tcPr>
          <w:p w14:paraId="5472332E" w14:textId="496BAF62" w:rsidR="005E0E6E" w:rsidRPr="004D2D10" w:rsidRDefault="00A41CC5" w:rsidP="001648F9">
            <w:pPr>
              <w:spacing w:before="60" w:beforeAutospacing="0" w:after="60"/>
              <w:contextualSpacing w:val="0"/>
              <w:jc w:val="right"/>
            </w:pPr>
            <w:r>
              <w:t>+</w:t>
            </w:r>
            <w:r w:rsidR="005E0E6E">
              <w:t>16</w:t>
            </w:r>
          </w:p>
        </w:tc>
        <w:tc>
          <w:tcPr>
            <w:tcW w:w="1164" w:type="dxa"/>
            <w:noWrap/>
            <w:hideMark/>
          </w:tcPr>
          <w:p w14:paraId="3C223F55" w14:textId="444D11CD" w:rsidR="005E0E6E" w:rsidRPr="004D2D10" w:rsidRDefault="00A41CC5" w:rsidP="001648F9">
            <w:pPr>
              <w:spacing w:before="60" w:beforeAutospacing="0" w:after="60"/>
              <w:contextualSpacing w:val="0"/>
              <w:jc w:val="right"/>
            </w:pPr>
            <w:r>
              <w:t>+</w:t>
            </w:r>
            <w:r w:rsidR="005E0E6E">
              <w:t>56</w:t>
            </w:r>
          </w:p>
        </w:tc>
      </w:tr>
      <w:tr w:rsidR="005E0E6E" w:rsidRPr="00C14672" w14:paraId="7997FDD9" w14:textId="77777777" w:rsidTr="001648F9">
        <w:trPr>
          <w:trHeight w:val="315"/>
        </w:trPr>
        <w:tc>
          <w:tcPr>
            <w:tcW w:w="5093" w:type="dxa"/>
            <w:noWrap/>
            <w:hideMark/>
          </w:tcPr>
          <w:p w14:paraId="052DF8F6" w14:textId="7851440C" w:rsidR="005E0E6E" w:rsidRPr="005211EB" w:rsidRDefault="005E0E6E" w:rsidP="001648F9">
            <w:pPr>
              <w:spacing w:before="60" w:beforeAutospacing="0" w:after="60"/>
              <w:contextualSpacing w:val="0"/>
            </w:pPr>
            <w:r w:rsidRPr="005211EB">
              <w:t>Public Transport Authority</w:t>
            </w:r>
          </w:p>
        </w:tc>
        <w:tc>
          <w:tcPr>
            <w:tcW w:w="1347" w:type="dxa"/>
            <w:noWrap/>
            <w:hideMark/>
          </w:tcPr>
          <w:p w14:paraId="4FB496EF" w14:textId="4E8287B4" w:rsidR="005E0E6E" w:rsidRPr="004D2D10" w:rsidRDefault="005E0E6E" w:rsidP="001648F9">
            <w:pPr>
              <w:spacing w:before="60" w:beforeAutospacing="0" w:after="60"/>
              <w:contextualSpacing w:val="0"/>
              <w:jc w:val="right"/>
            </w:pPr>
            <w:r>
              <w:t>2,188</w:t>
            </w:r>
          </w:p>
        </w:tc>
        <w:tc>
          <w:tcPr>
            <w:tcW w:w="1347" w:type="dxa"/>
            <w:noWrap/>
            <w:hideMark/>
          </w:tcPr>
          <w:p w14:paraId="5E0F370C" w14:textId="1B5A0261" w:rsidR="005E0E6E" w:rsidRPr="004D2D10" w:rsidRDefault="005E0E6E" w:rsidP="001648F9">
            <w:pPr>
              <w:spacing w:before="60" w:beforeAutospacing="0" w:after="60"/>
              <w:contextualSpacing w:val="0"/>
              <w:jc w:val="right"/>
            </w:pPr>
            <w:r>
              <w:t>2,104</w:t>
            </w:r>
          </w:p>
        </w:tc>
        <w:tc>
          <w:tcPr>
            <w:tcW w:w="1163" w:type="dxa"/>
            <w:noWrap/>
            <w:hideMark/>
          </w:tcPr>
          <w:p w14:paraId="08BFBA9A" w14:textId="43342EE0" w:rsidR="005E0E6E" w:rsidRPr="004D2D10" w:rsidRDefault="00A41CC5" w:rsidP="001648F9">
            <w:pPr>
              <w:spacing w:before="60" w:beforeAutospacing="0" w:after="60"/>
              <w:contextualSpacing w:val="0"/>
              <w:jc w:val="right"/>
            </w:pPr>
            <w:r>
              <w:t>+</w:t>
            </w:r>
            <w:r w:rsidR="005E0E6E">
              <w:t>30</w:t>
            </w:r>
          </w:p>
        </w:tc>
        <w:tc>
          <w:tcPr>
            <w:tcW w:w="1164" w:type="dxa"/>
            <w:noWrap/>
            <w:hideMark/>
          </w:tcPr>
          <w:p w14:paraId="3E66675C" w14:textId="41390A4D" w:rsidR="005E0E6E" w:rsidRPr="004D2D10" w:rsidRDefault="00A41CC5" w:rsidP="001648F9">
            <w:pPr>
              <w:spacing w:before="60" w:beforeAutospacing="0" w:after="60"/>
              <w:contextualSpacing w:val="0"/>
              <w:jc w:val="right"/>
            </w:pPr>
            <w:r>
              <w:t>+</w:t>
            </w:r>
            <w:r w:rsidR="005E0E6E">
              <w:t>165</w:t>
            </w:r>
          </w:p>
        </w:tc>
      </w:tr>
      <w:tr w:rsidR="00835C76" w:rsidRPr="00C14672" w14:paraId="18B23686" w14:textId="77777777" w:rsidTr="001648F9">
        <w:trPr>
          <w:trHeight w:val="315"/>
        </w:trPr>
        <w:tc>
          <w:tcPr>
            <w:tcW w:w="5093" w:type="dxa"/>
            <w:noWrap/>
          </w:tcPr>
          <w:p w14:paraId="3AA88DF6" w14:textId="56B3284F" w:rsidR="00835C76" w:rsidRPr="005211EB" w:rsidRDefault="00835C76" w:rsidP="001648F9">
            <w:pPr>
              <w:spacing w:before="60" w:beforeAutospacing="0" w:after="60"/>
              <w:contextualSpacing w:val="0"/>
            </w:pPr>
            <w:r w:rsidRPr="005211EB">
              <w:t xml:space="preserve">Department of Primary Industries and Regional Development </w:t>
            </w:r>
            <w:r w:rsidRPr="005211EB">
              <w:rPr>
                <w:rStyle w:val="EndnoteReference"/>
              </w:rPr>
              <w:endnoteReference w:id="4"/>
            </w:r>
          </w:p>
        </w:tc>
        <w:tc>
          <w:tcPr>
            <w:tcW w:w="1347" w:type="dxa"/>
            <w:noWrap/>
          </w:tcPr>
          <w:p w14:paraId="6F5AE052" w14:textId="4EC1BCE7" w:rsidR="00835C76" w:rsidRDefault="00835C76" w:rsidP="001648F9">
            <w:pPr>
              <w:spacing w:before="60" w:beforeAutospacing="0" w:after="60"/>
              <w:contextualSpacing w:val="0"/>
              <w:jc w:val="right"/>
            </w:pPr>
            <w:r>
              <w:t>1,789</w:t>
            </w:r>
          </w:p>
        </w:tc>
        <w:tc>
          <w:tcPr>
            <w:tcW w:w="1347" w:type="dxa"/>
            <w:noWrap/>
          </w:tcPr>
          <w:p w14:paraId="0C5C8E59" w14:textId="7978DC7B" w:rsidR="00835C76" w:rsidRDefault="00835C76" w:rsidP="001648F9">
            <w:pPr>
              <w:spacing w:before="60" w:beforeAutospacing="0" w:after="60"/>
              <w:contextualSpacing w:val="0"/>
              <w:jc w:val="right"/>
            </w:pPr>
            <w:r>
              <w:t>1,611</w:t>
            </w:r>
          </w:p>
        </w:tc>
        <w:tc>
          <w:tcPr>
            <w:tcW w:w="1163" w:type="dxa"/>
            <w:noWrap/>
          </w:tcPr>
          <w:p w14:paraId="55CD96D1" w14:textId="43F70CE9" w:rsidR="00835C76" w:rsidRDefault="00A41CC5" w:rsidP="001648F9">
            <w:pPr>
              <w:spacing w:before="60" w:beforeAutospacing="0" w:after="60"/>
              <w:contextualSpacing w:val="0"/>
              <w:jc w:val="right"/>
            </w:pPr>
            <w:r>
              <w:t>+</w:t>
            </w:r>
            <w:r w:rsidR="00835C76">
              <w:t>27</w:t>
            </w:r>
          </w:p>
        </w:tc>
        <w:tc>
          <w:tcPr>
            <w:tcW w:w="1164" w:type="dxa"/>
            <w:noWrap/>
          </w:tcPr>
          <w:p w14:paraId="4B1FA964" w14:textId="60B0D501" w:rsidR="00835C76" w:rsidRDefault="00A41CC5" w:rsidP="001648F9">
            <w:pPr>
              <w:spacing w:before="60" w:beforeAutospacing="0" w:after="60"/>
              <w:contextualSpacing w:val="0"/>
              <w:jc w:val="right"/>
            </w:pPr>
            <w:r>
              <w:t>+</w:t>
            </w:r>
            <w:r w:rsidR="00835C76">
              <w:t>66</w:t>
            </w:r>
          </w:p>
        </w:tc>
      </w:tr>
      <w:tr w:rsidR="005E0E6E" w:rsidRPr="00C14672" w14:paraId="1ABA7414" w14:textId="77777777" w:rsidTr="001648F9">
        <w:trPr>
          <w:trHeight w:val="315"/>
        </w:trPr>
        <w:tc>
          <w:tcPr>
            <w:tcW w:w="5093" w:type="dxa"/>
            <w:noWrap/>
            <w:hideMark/>
          </w:tcPr>
          <w:p w14:paraId="2E4D5AA6" w14:textId="6C389C72" w:rsidR="005E0E6E" w:rsidRPr="005211EB" w:rsidRDefault="005E0E6E" w:rsidP="001648F9">
            <w:pPr>
              <w:spacing w:before="60" w:beforeAutospacing="0" w:after="60"/>
              <w:contextualSpacing w:val="0"/>
            </w:pPr>
            <w:r w:rsidRPr="005211EB">
              <w:t>Department of Fire and Emergency Services</w:t>
            </w:r>
          </w:p>
        </w:tc>
        <w:tc>
          <w:tcPr>
            <w:tcW w:w="1347" w:type="dxa"/>
            <w:noWrap/>
            <w:hideMark/>
          </w:tcPr>
          <w:p w14:paraId="689B6EFD" w14:textId="436BF1FB" w:rsidR="005E0E6E" w:rsidRPr="004D2D10" w:rsidRDefault="005E0E6E" w:rsidP="001648F9">
            <w:pPr>
              <w:spacing w:before="60" w:beforeAutospacing="0" w:after="60"/>
              <w:contextualSpacing w:val="0"/>
              <w:jc w:val="right"/>
            </w:pPr>
            <w:r>
              <w:t>1,775</w:t>
            </w:r>
          </w:p>
        </w:tc>
        <w:tc>
          <w:tcPr>
            <w:tcW w:w="1347" w:type="dxa"/>
            <w:noWrap/>
            <w:hideMark/>
          </w:tcPr>
          <w:p w14:paraId="2DFDD433" w14:textId="6A8C0269" w:rsidR="005E0E6E" w:rsidRPr="004D2D10" w:rsidRDefault="005E0E6E" w:rsidP="001648F9">
            <w:pPr>
              <w:spacing w:before="60" w:beforeAutospacing="0" w:after="60"/>
              <w:contextualSpacing w:val="0"/>
              <w:jc w:val="right"/>
            </w:pPr>
            <w:r>
              <w:t>1,662</w:t>
            </w:r>
          </w:p>
        </w:tc>
        <w:tc>
          <w:tcPr>
            <w:tcW w:w="1163" w:type="dxa"/>
            <w:noWrap/>
            <w:hideMark/>
          </w:tcPr>
          <w:p w14:paraId="7DC27EC4" w14:textId="77B70FB2" w:rsidR="005E0E6E" w:rsidRPr="004D2D10" w:rsidRDefault="00A41CC5" w:rsidP="001648F9">
            <w:pPr>
              <w:spacing w:before="60" w:beforeAutospacing="0" w:after="60"/>
              <w:contextualSpacing w:val="0"/>
              <w:jc w:val="right"/>
            </w:pPr>
            <w:r>
              <w:t>+</w:t>
            </w:r>
            <w:r w:rsidR="005E0E6E">
              <w:t>18</w:t>
            </w:r>
          </w:p>
        </w:tc>
        <w:tc>
          <w:tcPr>
            <w:tcW w:w="1164" w:type="dxa"/>
            <w:noWrap/>
            <w:hideMark/>
          </w:tcPr>
          <w:p w14:paraId="29862808" w14:textId="7AE86A0A" w:rsidR="005E0E6E" w:rsidRPr="004D2D10" w:rsidRDefault="00A41CC5" w:rsidP="001648F9">
            <w:pPr>
              <w:spacing w:before="60" w:beforeAutospacing="0" w:after="60"/>
              <w:contextualSpacing w:val="0"/>
              <w:jc w:val="right"/>
            </w:pPr>
            <w:r>
              <w:t>+</w:t>
            </w:r>
            <w:r w:rsidR="005E0E6E">
              <w:t>41</w:t>
            </w:r>
          </w:p>
        </w:tc>
      </w:tr>
      <w:tr w:rsidR="005E0E6E" w:rsidRPr="00C14672" w14:paraId="2E5D35A6" w14:textId="77777777" w:rsidTr="001648F9">
        <w:trPr>
          <w:trHeight w:val="315"/>
        </w:trPr>
        <w:tc>
          <w:tcPr>
            <w:tcW w:w="5093" w:type="dxa"/>
            <w:noWrap/>
            <w:hideMark/>
          </w:tcPr>
          <w:p w14:paraId="7E03ED71" w14:textId="0F8CADC3" w:rsidR="005E0E6E" w:rsidRPr="005211EB" w:rsidRDefault="005E0E6E" w:rsidP="001648F9">
            <w:pPr>
              <w:spacing w:before="60" w:beforeAutospacing="0" w:after="60"/>
              <w:contextualSpacing w:val="0"/>
            </w:pPr>
            <w:r w:rsidRPr="005211EB">
              <w:t xml:space="preserve">Department of Mines, Industry Regulation and Safety </w:t>
            </w:r>
            <w:r w:rsidRPr="005211EB">
              <w:rPr>
                <w:rStyle w:val="EndnoteReference"/>
              </w:rPr>
              <w:endnoteReference w:id="5"/>
            </w:r>
          </w:p>
        </w:tc>
        <w:tc>
          <w:tcPr>
            <w:tcW w:w="1347" w:type="dxa"/>
            <w:noWrap/>
            <w:hideMark/>
          </w:tcPr>
          <w:p w14:paraId="77B90182" w14:textId="4B848B28" w:rsidR="005E0E6E" w:rsidRPr="004D2D10" w:rsidRDefault="005E0E6E" w:rsidP="001648F9">
            <w:pPr>
              <w:spacing w:before="60" w:beforeAutospacing="0" w:after="60"/>
              <w:contextualSpacing w:val="0"/>
              <w:jc w:val="right"/>
            </w:pPr>
            <w:r>
              <w:t>1,742</w:t>
            </w:r>
          </w:p>
        </w:tc>
        <w:tc>
          <w:tcPr>
            <w:tcW w:w="1347" w:type="dxa"/>
            <w:noWrap/>
            <w:hideMark/>
          </w:tcPr>
          <w:p w14:paraId="0F7BC301" w14:textId="16327A84" w:rsidR="005E0E6E" w:rsidRPr="004D2D10" w:rsidRDefault="005E0E6E" w:rsidP="001648F9">
            <w:pPr>
              <w:spacing w:before="60" w:beforeAutospacing="0" w:after="60"/>
              <w:contextualSpacing w:val="0"/>
              <w:jc w:val="right"/>
            </w:pPr>
            <w:r>
              <w:t>1,625</w:t>
            </w:r>
          </w:p>
        </w:tc>
        <w:tc>
          <w:tcPr>
            <w:tcW w:w="1163" w:type="dxa"/>
            <w:noWrap/>
            <w:hideMark/>
          </w:tcPr>
          <w:p w14:paraId="19F4AAB3" w14:textId="44E223B0" w:rsidR="005E0E6E" w:rsidRPr="004D2D10" w:rsidRDefault="00A41CC5" w:rsidP="001648F9">
            <w:pPr>
              <w:spacing w:before="60" w:beforeAutospacing="0" w:after="60"/>
              <w:contextualSpacing w:val="0"/>
              <w:jc w:val="right"/>
            </w:pPr>
            <w:r>
              <w:t>+</w:t>
            </w:r>
            <w:r w:rsidR="005E0E6E">
              <w:t>26</w:t>
            </w:r>
          </w:p>
        </w:tc>
        <w:tc>
          <w:tcPr>
            <w:tcW w:w="1164" w:type="dxa"/>
            <w:noWrap/>
            <w:hideMark/>
          </w:tcPr>
          <w:p w14:paraId="5A454461" w14:textId="41DD451A" w:rsidR="005E0E6E" w:rsidRPr="004D2D10" w:rsidRDefault="00A41CC5" w:rsidP="001648F9">
            <w:pPr>
              <w:spacing w:before="60" w:beforeAutospacing="0" w:after="60"/>
              <w:contextualSpacing w:val="0"/>
              <w:jc w:val="right"/>
            </w:pPr>
            <w:r>
              <w:t>+</w:t>
            </w:r>
            <w:r w:rsidR="005E0E6E">
              <w:t>182</w:t>
            </w:r>
          </w:p>
        </w:tc>
      </w:tr>
      <w:tr w:rsidR="005E0E6E" w:rsidRPr="00C14672" w14:paraId="4BA958C1" w14:textId="77777777" w:rsidTr="001648F9">
        <w:trPr>
          <w:trHeight w:val="315"/>
        </w:trPr>
        <w:tc>
          <w:tcPr>
            <w:tcW w:w="5093" w:type="dxa"/>
            <w:noWrap/>
            <w:hideMark/>
          </w:tcPr>
          <w:p w14:paraId="40ADD6AC" w14:textId="739E2650" w:rsidR="005E0E6E" w:rsidRPr="005211EB" w:rsidRDefault="005E0E6E" w:rsidP="001648F9">
            <w:pPr>
              <w:spacing w:before="60" w:beforeAutospacing="0" w:after="60"/>
              <w:contextualSpacing w:val="0"/>
            </w:pPr>
            <w:r w:rsidRPr="005211EB">
              <w:t>Department of Transport</w:t>
            </w:r>
          </w:p>
        </w:tc>
        <w:tc>
          <w:tcPr>
            <w:tcW w:w="1347" w:type="dxa"/>
            <w:noWrap/>
            <w:hideMark/>
          </w:tcPr>
          <w:p w14:paraId="68116584" w14:textId="75FC3A90" w:rsidR="005E0E6E" w:rsidRPr="004D2D10" w:rsidRDefault="005E0E6E" w:rsidP="001648F9">
            <w:pPr>
              <w:spacing w:before="60" w:beforeAutospacing="0" w:after="60"/>
              <w:contextualSpacing w:val="0"/>
              <w:jc w:val="right"/>
            </w:pPr>
            <w:r>
              <w:t>1,536</w:t>
            </w:r>
          </w:p>
        </w:tc>
        <w:tc>
          <w:tcPr>
            <w:tcW w:w="1347" w:type="dxa"/>
            <w:noWrap/>
            <w:hideMark/>
          </w:tcPr>
          <w:p w14:paraId="7E705B68" w14:textId="36CEFB5C" w:rsidR="005E0E6E" w:rsidRPr="004D2D10" w:rsidRDefault="005E0E6E" w:rsidP="001648F9">
            <w:pPr>
              <w:spacing w:before="60" w:beforeAutospacing="0" w:after="60"/>
              <w:contextualSpacing w:val="0"/>
              <w:jc w:val="right"/>
            </w:pPr>
            <w:r>
              <w:t>1,415</w:t>
            </w:r>
          </w:p>
        </w:tc>
        <w:tc>
          <w:tcPr>
            <w:tcW w:w="1163" w:type="dxa"/>
            <w:noWrap/>
            <w:hideMark/>
          </w:tcPr>
          <w:p w14:paraId="376F988C" w14:textId="327FF2E0" w:rsidR="005E0E6E" w:rsidRPr="004D2D10" w:rsidRDefault="00A41CC5" w:rsidP="001648F9">
            <w:pPr>
              <w:spacing w:before="60" w:beforeAutospacing="0" w:after="60"/>
              <w:contextualSpacing w:val="0"/>
              <w:jc w:val="right"/>
            </w:pPr>
            <w:r>
              <w:t>+</w:t>
            </w:r>
            <w:r w:rsidR="005E0E6E">
              <w:t>28</w:t>
            </w:r>
          </w:p>
        </w:tc>
        <w:tc>
          <w:tcPr>
            <w:tcW w:w="1164" w:type="dxa"/>
            <w:noWrap/>
            <w:hideMark/>
          </w:tcPr>
          <w:p w14:paraId="4F3BFEC3" w14:textId="31205EB0" w:rsidR="005E0E6E" w:rsidRPr="004D2D10" w:rsidRDefault="00A41CC5" w:rsidP="001648F9">
            <w:pPr>
              <w:spacing w:before="60" w:beforeAutospacing="0" w:after="60"/>
              <w:contextualSpacing w:val="0"/>
              <w:jc w:val="right"/>
            </w:pPr>
            <w:r>
              <w:t>+</w:t>
            </w:r>
            <w:r w:rsidR="005E0E6E">
              <w:t>85</w:t>
            </w:r>
          </w:p>
        </w:tc>
      </w:tr>
      <w:tr w:rsidR="005E0E6E" w:rsidRPr="00C14672" w14:paraId="5CE4D164" w14:textId="77777777" w:rsidTr="001648F9">
        <w:trPr>
          <w:trHeight w:val="315"/>
        </w:trPr>
        <w:tc>
          <w:tcPr>
            <w:tcW w:w="5093" w:type="dxa"/>
            <w:noWrap/>
            <w:hideMark/>
          </w:tcPr>
          <w:p w14:paraId="3ABEBCC1" w14:textId="181CEAEB" w:rsidR="005E0E6E" w:rsidRPr="005211EB" w:rsidRDefault="005E0E6E" w:rsidP="001648F9">
            <w:pPr>
              <w:spacing w:before="60" w:beforeAutospacing="0" w:after="60"/>
              <w:contextualSpacing w:val="0"/>
            </w:pPr>
            <w:r w:rsidRPr="005211EB">
              <w:t>North Metropolitan TAFE</w:t>
            </w:r>
          </w:p>
        </w:tc>
        <w:tc>
          <w:tcPr>
            <w:tcW w:w="1347" w:type="dxa"/>
            <w:noWrap/>
            <w:hideMark/>
          </w:tcPr>
          <w:p w14:paraId="425C0D62" w14:textId="2ABEFB0D" w:rsidR="005E0E6E" w:rsidRPr="004D2D10" w:rsidRDefault="005E0E6E" w:rsidP="001648F9">
            <w:pPr>
              <w:spacing w:before="60" w:beforeAutospacing="0" w:after="60"/>
              <w:contextualSpacing w:val="0"/>
              <w:jc w:val="right"/>
            </w:pPr>
            <w:r>
              <w:t>1,448</w:t>
            </w:r>
          </w:p>
        </w:tc>
        <w:tc>
          <w:tcPr>
            <w:tcW w:w="1347" w:type="dxa"/>
            <w:noWrap/>
            <w:hideMark/>
          </w:tcPr>
          <w:p w14:paraId="607A3733" w14:textId="74ED21EA" w:rsidR="005E0E6E" w:rsidRPr="004D2D10" w:rsidRDefault="005E0E6E" w:rsidP="001648F9">
            <w:pPr>
              <w:spacing w:before="60" w:beforeAutospacing="0" w:after="60"/>
              <w:contextualSpacing w:val="0"/>
              <w:jc w:val="right"/>
            </w:pPr>
            <w:r>
              <w:t>1,182</w:t>
            </w:r>
          </w:p>
        </w:tc>
        <w:tc>
          <w:tcPr>
            <w:tcW w:w="1163" w:type="dxa"/>
            <w:noWrap/>
            <w:hideMark/>
          </w:tcPr>
          <w:p w14:paraId="4BA48E1F" w14:textId="71955057" w:rsidR="005E0E6E" w:rsidRPr="004D2D10" w:rsidRDefault="00A41CC5" w:rsidP="001648F9">
            <w:pPr>
              <w:spacing w:before="60" w:beforeAutospacing="0" w:after="60"/>
              <w:contextualSpacing w:val="0"/>
              <w:jc w:val="right"/>
            </w:pPr>
            <w:r>
              <w:t>+</w:t>
            </w:r>
            <w:r w:rsidR="005E0E6E">
              <w:t>57</w:t>
            </w:r>
          </w:p>
        </w:tc>
        <w:tc>
          <w:tcPr>
            <w:tcW w:w="1164" w:type="dxa"/>
            <w:noWrap/>
            <w:hideMark/>
          </w:tcPr>
          <w:p w14:paraId="02ED1900" w14:textId="2A9F021A" w:rsidR="005E0E6E" w:rsidRPr="004D2D10" w:rsidRDefault="005E0E6E" w:rsidP="001648F9">
            <w:pPr>
              <w:spacing w:before="60" w:beforeAutospacing="0" w:after="60"/>
              <w:contextualSpacing w:val="0"/>
              <w:jc w:val="right"/>
            </w:pPr>
            <w:r>
              <w:t>-41</w:t>
            </w:r>
          </w:p>
        </w:tc>
      </w:tr>
      <w:tr w:rsidR="005E0E6E" w:rsidRPr="00C14672" w14:paraId="29F754D3" w14:textId="77777777" w:rsidTr="001648F9">
        <w:trPr>
          <w:trHeight w:val="315"/>
        </w:trPr>
        <w:tc>
          <w:tcPr>
            <w:tcW w:w="5093" w:type="dxa"/>
            <w:noWrap/>
            <w:hideMark/>
          </w:tcPr>
          <w:p w14:paraId="5141D29B" w14:textId="5EFD0E5E" w:rsidR="005E0E6E" w:rsidRPr="005211EB" w:rsidRDefault="005E0E6E" w:rsidP="001648F9">
            <w:pPr>
              <w:spacing w:before="60" w:beforeAutospacing="0" w:after="60"/>
              <w:contextualSpacing w:val="0"/>
            </w:pPr>
            <w:r w:rsidRPr="005211EB">
              <w:t>South Metropolitan TAFE</w:t>
            </w:r>
          </w:p>
        </w:tc>
        <w:tc>
          <w:tcPr>
            <w:tcW w:w="1347" w:type="dxa"/>
            <w:noWrap/>
            <w:hideMark/>
          </w:tcPr>
          <w:p w14:paraId="653956A7" w14:textId="09791118" w:rsidR="005E0E6E" w:rsidRPr="004D2D10" w:rsidRDefault="005E0E6E" w:rsidP="001648F9">
            <w:pPr>
              <w:spacing w:before="60" w:beforeAutospacing="0" w:after="60"/>
              <w:contextualSpacing w:val="0"/>
              <w:jc w:val="right"/>
            </w:pPr>
            <w:r>
              <w:t>1,407</w:t>
            </w:r>
          </w:p>
        </w:tc>
        <w:tc>
          <w:tcPr>
            <w:tcW w:w="1347" w:type="dxa"/>
            <w:noWrap/>
            <w:hideMark/>
          </w:tcPr>
          <w:p w14:paraId="63BE3668" w14:textId="5BEBE472" w:rsidR="005E0E6E" w:rsidRPr="004D2D10" w:rsidRDefault="005E0E6E" w:rsidP="001648F9">
            <w:pPr>
              <w:spacing w:before="60" w:beforeAutospacing="0" w:after="60"/>
              <w:contextualSpacing w:val="0"/>
              <w:jc w:val="right"/>
            </w:pPr>
            <w:r>
              <w:t>1,195</w:t>
            </w:r>
          </w:p>
        </w:tc>
        <w:tc>
          <w:tcPr>
            <w:tcW w:w="1163" w:type="dxa"/>
            <w:noWrap/>
            <w:hideMark/>
          </w:tcPr>
          <w:p w14:paraId="133A29A6" w14:textId="08381910" w:rsidR="005E0E6E" w:rsidRPr="004D2D10" w:rsidRDefault="00A41CC5" w:rsidP="001648F9">
            <w:pPr>
              <w:spacing w:before="60" w:beforeAutospacing="0" w:after="60"/>
              <w:contextualSpacing w:val="0"/>
              <w:jc w:val="right"/>
            </w:pPr>
            <w:r>
              <w:t>+</w:t>
            </w:r>
            <w:r w:rsidR="005E0E6E">
              <w:t>60</w:t>
            </w:r>
          </w:p>
        </w:tc>
        <w:tc>
          <w:tcPr>
            <w:tcW w:w="1164" w:type="dxa"/>
            <w:noWrap/>
            <w:hideMark/>
          </w:tcPr>
          <w:p w14:paraId="395C6E11" w14:textId="69A98857" w:rsidR="005E0E6E" w:rsidRPr="004D2D10" w:rsidRDefault="00A41CC5" w:rsidP="001648F9">
            <w:pPr>
              <w:spacing w:before="60" w:beforeAutospacing="0" w:after="60"/>
              <w:contextualSpacing w:val="0"/>
              <w:jc w:val="right"/>
            </w:pPr>
            <w:r>
              <w:t>+</w:t>
            </w:r>
            <w:r w:rsidR="005E0E6E">
              <w:t>19</w:t>
            </w:r>
          </w:p>
        </w:tc>
      </w:tr>
      <w:tr w:rsidR="005E0E6E" w:rsidRPr="00C14672" w14:paraId="160A35D0" w14:textId="77777777" w:rsidTr="001648F9">
        <w:trPr>
          <w:trHeight w:val="315"/>
        </w:trPr>
        <w:tc>
          <w:tcPr>
            <w:tcW w:w="5093" w:type="dxa"/>
            <w:noWrap/>
            <w:hideMark/>
          </w:tcPr>
          <w:p w14:paraId="107DE38B" w14:textId="30CDDDDD" w:rsidR="005E0E6E" w:rsidRPr="005211EB" w:rsidRDefault="005E0E6E" w:rsidP="001648F9">
            <w:pPr>
              <w:spacing w:before="60" w:beforeAutospacing="0" w:after="60"/>
              <w:contextualSpacing w:val="0"/>
            </w:pPr>
            <w:r w:rsidRPr="005211EB">
              <w:t>Main Roads Western Australia</w:t>
            </w:r>
          </w:p>
        </w:tc>
        <w:tc>
          <w:tcPr>
            <w:tcW w:w="1347" w:type="dxa"/>
            <w:noWrap/>
            <w:hideMark/>
          </w:tcPr>
          <w:p w14:paraId="488F0A83" w14:textId="7C8E8F3F" w:rsidR="005E0E6E" w:rsidRPr="005E0E6E" w:rsidRDefault="005E0E6E" w:rsidP="001648F9">
            <w:pPr>
              <w:spacing w:before="60" w:beforeAutospacing="0" w:after="60"/>
              <w:contextualSpacing w:val="0"/>
              <w:jc w:val="right"/>
            </w:pPr>
            <w:r w:rsidRPr="005E0E6E">
              <w:t>1,167</w:t>
            </w:r>
          </w:p>
        </w:tc>
        <w:tc>
          <w:tcPr>
            <w:tcW w:w="1347" w:type="dxa"/>
            <w:noWrap/>
            <w:hideMark/>
          </w:tcPr>
          <w:p w14:paraId="32931437" w14:textId="7FFDC073" w:rsidR="005E0E6E" w:rsidRPr="005E0E6E" w:rsidRDefault="005E0E6E" w:rsidP="001648F9">
            <w:pPr>
              <w:spacing w:before="60" w:beforeAutospacing="0" w:after="60"/>
              <w:contextualSpacing w:val="0"/>
              <w:jc w:val="right"/>
            </w:pPr>
            <w:r w:rsidRPr="005E0E6E">
              <w:t>1,123</w:t>
            </w:r>
          </w:p>
        </w:tc>
        <w:tc>
          <w:tcPr>
            <w:tcW w:w="1163" w:type="dxa"/>
            <w:noWrap/>
            <w:hideMark/>
          </w:tcPr>
          <w:p w14:paraId="4F7B468A" w14:textId="6B262D3D" w:rsidR="005E0E6E" w:rsidRPr="005E0E6E" w:rsidRDefault="00A41CC5" w:rsidP="001648F9">
            <w:pPr>
              <w:spacing w:before="60" w:beforeAutospacing="0" w:after="60"/>
              <w:contextualSpacing w:val="0"/>
              <w:jc w:val="right"/>
            </w:pPr>
            <w:r>
              <w:t>+</w:t>
            </w:r>
            <w:r w:rsidR="005E0E6E" w:rsidRPr="005E0E6E">
              <w:t>24</w:t>
            </w:r>
          </w:p>
        </w:tc>
        <w:tc>
          <w:tcPr>
            <w:tcW w:w="1164" w:type="dxa"/>
            <w:noWrap/>
            <w:hideMark/>
          </w:tcPr>
          <w:p w14:paraId="474DFDB0" w14:textId="2D1715BC" w:rsidR="005E0E6E" w:rsidRPr="005E0E6E" w:rsidRDefault="00A41CC5" w:rsidP="001648F9">
            <w:pPr>
              <w:spacing w:before="60" w:beforeAutospacing="0" w:after="60"/>
              <w:contextualSpacing w:val="0"/>
              <w:jc w:val="right"/>
            </w:pPr>
            <w:r>
              <w:t>+</w:t>
            </w:r>
            <w:r w:rsidR="005E0E6E" w:rsidRPr="005E0E6E">
              <w:t>95</w:t>
            </w:r>
          </w:p>
        </w:tc>
      </w:tr>
      <w:tr w:rsidR="005E0E6E" w:rsidRPr="00C14672" w14:paraId="530EA4C8" w14:textId="77777777" w:rsidTr="001648F9">
        <w:trPr>
          <w:trHeight w:val="315"/>
        </w:trPr>
        <w:tc>
          <w:tcPr>
            <w:tcW w:w="5093" w:type="dxa"/>
            <w:noWrap/>
            <w:hideMark/>
          </w:tcPr>
          <w:p w14:paraId="20BF1D1E" w14:textId="1CB92B2E" w:rsidR="005E0E6E" w:rsidRPr="005211EB" w:rsidRDefault="005E0E6E" w:rsidP="001648F9">
            <w:pPr>
              <w:spacing w:before="60" w:beforeAutospacing="0" w:after="60"/>
              <w:contextualSpacing w:val="0"/>
            </w:pPr>
            <w:r w:rsidRPr="005211EB">
              <w:t xml:space="preserve">Department of Local Government, </w:t>
            </w:r>
            <w:proofErr w:type="gramStart"/>
            <w:r w:rsidRPr="005211EB">
              <w:t>Sport</w:t>
            </w:r>
            <w:proofErr w:type="gramEnd"/>
            <w:r w:rsidRPr="005211EB">
              <w:t xml:space="preserve"> and Cultural Industries</w:t>
            </w:r>
          </w:p>
        </w:tc>
        <w:tc>
          <w:tcPr>
            <w:tcW w:w="1347" w:type="dxa"/>
            <w:noWrap/>
            <w:hideMark/>
          </w:tcPr>
          <w:p w14:paraId="5ECCD659" w14:textId="32510DB0" w:rsidR="005E0E6E" w:rsidRPr="005E0E6E" w:rsidRDefault="005E0E6E" w:rsidP="001648F9">
            <w:pPr>
              <w:spacing w:before="60" w:beforeAutospacing="0" w:after="60"/>
              <w:contextualSpacing w:val="0"/>
              <w:jc w:val="right"/>
            </w:pPr>
            <w:r w:rsidRPr="005E0E6E">
              <w:t>1,156</w:t>
            </w:r>
          </w:p>
        </w:tc>
        <w:tc>
          <w:tcPr>
            <w:tcW w:w="1347" w:type="dxa"/>
            <w:noWrap/>
            <w:hideMark/>
          </w:tcPr>
          <w:p w14:paraId="7347F4FD" w14:textId="5259994A" w:rsidR="005E0E6E" w:rsidRPr="005E0E6E" w:rsidRDefault="005E0E6E" w:rsidP="001648F9">
            <w:pPr>
              <w:spacing w:before="60" w:beforeAutospacing="0" w:after="60"/>
              <w:contextualSpacing w:val="0"/>
              <w:jc w:val="right"/>
            </w:pPr>
            <w:r w:rsidRPr="005E0E6E">
              <w:t>936</w:t>
            </w:r>
          </w:p>
        </w:tc>
        <w:tc>
          <w:tcPr>
            <w:tcW w:w="1163" w:type="dxa"/>
            <w:noWrap/>
            <w:hideMark/>
          </w:tcPr>
          <w:p w14:paraId="2A8E73E4" w14:textId="32A2605E" w:rsidR="005E0E6E" w:rsidRPr="005E0E6E" w:rsidRDefault="00A41CC5" w:rsidP="001648F9">
            <w:pPr>
              <w:spacing w:before="60" w:beforeAutospacing="0" w:after="60"/>
              <w:contextualSpacing w:val="0"/>
              <w:jc w:val="right"/>
            </w:pPr>
            <w:r>
              <w:t>+</w:t>
            </w:r>
            <w:r w:rsidR="005E0E6E" w:rsidRPr="005E0E6E">
              <w:t>36</w:t>
            </w:r>
          </w:p>
        </w:tc>
        <w:tc>
          <w:tcPr>
            <w:tcW w:w="1164" w:type="dxa"/>
            <w:noWrap/>
            <w:hideMark/>
          </w:tcPr>
          <w:p w14:paraId="3600AD8C" w14:textId="014AC93F" w:rsidR="005E0E6E" w:rsidRPr="005E0E6E" w:rsidRDefault="00A41CC5" w:rsidP="001648F9">
            <w:pPr>
              <w:spacing w:before="60" w:beforeAutospacing="0" w:after="60"/>
              <w:contextualSpacing w:val="0"/>
              <w:jc w:val="right"/>
            </w:pPr>
            <w:r>
              <w:t>+</w:t>
            </w:r>
            <w:r w:rsidR="005E0E6E" w:rsidRPr="005E0E6E">
              <w:t>55</w:t>
            </w:r>
          </w:p>
        </w:tc>
      </w:tr>
      <w:tr w:rsidR="005E0E6E" w:rsidRPr="00C14672" w14:paraId="71E7C541" w14:textId="77777777" w:rsidTr="001648F9">
        <w:trPr>
          <w:trHeight w:val="315"/>
        </w:trPr>
        <w:tc>
          <w:tcPr>
            <w:tcW w:w="5093" w:type="dxa"/>
            <w:noWrap/>
            <w:hideMark/>
          </w:tcPr>
          <w:p w14:paraId="16199D11" w14:textId="3DFE094C" w:rsidR="005E0E6E" w:rsidRPr="005211EB" w:rsidRDefault="005E0E6E" w:rsidP="001648F9">
            <w:pPr>
              <w:spacing w:before="60" w:beforeAutospacing="0" w:after="60"/>
              <w:contextualSpacing w:val="0"/>
            </w:pPr>
            <w:r w:rsidRPr="005211EB">
              <w:t>Department of Finance</w:t>
            </w:r>
          </w:p>
        </w:tc>
        <w:tc>
          <w:tcPr>
            <w:tcW w:w="1347" w:type="dxa"/>
            <w:noWrap/>
            <w:hideMark/>
          </w:tcPr>
          <w:p w14:paraId="6FAB5F0D" w14:textId="7CF19D7D" w:rsidR="005E0E6E" w:rsidRPr="005E0E6E" w:rsidRDefault="005E0E6E" w:rsidP="001648F9">
            <w:pPr>
              <w:spacing w:before="60" w:beforeAutospacing="0" w:after="60"/>
              <w:contextualSpacing w:val="0"/>
              <w:jc w:val="right"/>
            </w:pPr>
            <w:r w:rsidRPr="005E0E6E">
              <w:t>1,013</w:t>
            </w:r>
          </w:p>
        </w:tc>
        <w:tc>
          <w:tcPr>
            <w:tcW w:w="1347" w:type="dxa"/>
            <w:noWrap/>
            <w:hideMark/>
          </w:tcPr>
          <w:p w14:paraId="1C6A79AD" w14:textId="4769BF9C" w:rsidR="005E0E6E" w:rsidRPr="005E0E6E" w:rsidRDefault="005E0E6E" w:rsidP="001648F9">
            <w:pPr>
              <w:spacing w:before="60" w:beforeAutospacing="0" w:after="60"/>
              <w:contextualSpacing w:val="0"/>
              <w:jc w:val="right"/>
            </w:pPr>
            <w:r w:rsidRPr="005E0E6E">
              <w:t>947</w:t>
            </w:r>
          </w:p>
        </w:tc>
        <w:tc>
          <w:tcPr>
            <w:tcW w:w="1163" w:type="dxa"/>
            <w:noWrap/>
            <w:hideMark/>
          </w:tcPr>
          <w:p w14:paraId="3BCA9061" w14:textId="1A57BC82" w:rsidR="005E0E6E" w:rsidRPr="005E0E6E" w:rsidRDefault="00A41CC5" w:rsidP="001648F9">
            <w:pPr>
              <w:spacing w:before="60" w:beforeAutospacing="0" w:after="60"/>
              <w:contextualSpacing w:val="0"/>
              <w:jc w:val="right"/>
            </w:pPr>
            <w:r>
              <w:t>+</w:t>
            </w:r>
            <w:r w:rsidR="005E0E6E" w:rsidRPr="005E0E6E">
              <w:t>20</w:t>
            </w:r>
          </w:p>
        </w:tc>
        <w:tc>
          <w:tcPr>
            <w:tcW w:w="1164" w:type="dxa"/>
            <w:noWrap/>
            <w:hideMark/>
          </w:tcPr>
          <w:p w14:paraId="6511AB5C" w14:textId="1B6809C0" w:rsidR="005E0E6E" w:rsidRPr="005E0E6E" w:rsidRDefault="00A41CC5" w:rsidP="001648F9">
            <w:pPr>
              <w:spacing w:before="60" w:beforeAutospacing="0" w:after="60"/>
              <w:contextualSpacing w:val="0"/>
              <w:jc w:val="right"/>
            </w:pPr>
            <w:r>
              <w:t>+</w:t>
            </w:r>
            <w:r w:rsidR="005E0E6E" w:rsidRPr="005E0E6E">
              <w:t>41</w:t>
            </w:r>
          </w:p>
        </w:tc>
      </w:tr>
      <w:tr w:rsidR="005E0E6E" w:rsidRPr="00C14672" w14:paraId="329A25B5" w14:textId="77777777" w:rsidTr="001648F9">
        <w:trPr>
          <w:trHeight w:val="315"/>
        </w:trPr>
        <w:tc>
          <w:tcPr>
            <w:tcW w:w="5093" w:type="dxa"/>
            <w:noWrap/>
            <w:hideMark/>
          </w:tcPr>
          <w:p w14:paraId="638750D6" w14:textId="49A44FBE" w:rsidR="005E0E6E" w:rsidRPr="005211EB" w:rsidRDefault="005E0E6E" w:rsidP="001648F9">
            <w:pPr>
              <w:spacing w:before="60" w:beforeAutospacing="0" w:after="60"/>
              <w:contextualSpacing w:val="0"/>
            </w:pPr>
            <w:r w:rsidRPr="005211EB">
              <w:t>Department of Water and Environmental Regulation</w:t>
            </w:r>
          </w:p>
        </w:tc>
        <w:tc>
          <w:tcPr>
            <w:tcW w:w="1347" w:type="dxa"/>
            <w:noWrap/>
            <w:hideMark/>
          </w:tcPr>
          <w:p w14:paraId="59351641" w14:textId="2EDC8800" w:rsidR="005E0E6E" w:rsidRPr="005E0E6E" w:rsidRDefault="005E0E6E" w:rsidP="001648F9">
            <w:pPr>
              <w:spacing w:before="60" w:beforeAutospacing="0" w:after="60"/>
              <w:contextualSpacing w:val="0"/>
              <w:jc w:val="right"/>
            </w:pPr>
            <w:r w:rsidRPr="005E0E6E">
              <w:t>969</w:t>
            </w:r>
          </w:p>
        </w:tc>
        <w:tc>
          <w:tcPr>
            <w:tcW w:w="1347" w:type="dxa"/>
            <w:noWrap/>
            <w:hideMark/>
          </w:tcPr>
          <w:p w14:paraId="64A3A6C2" w14:textId="6655780C" w:rsidR="005E0E6E" w:rsidRPr="005E0E6E" w:rsidRDefault="005E0E6E" w:rsidP="001648F9">
            <w:pPr>
              <w:spacing w:before="60" w:beforeAutospacing="0" w:after="60"/>
              <w:contextualSpacing w:val="0"/>
              <w:jc w:val="right"/>
            </w:pPr>
            <w:r w:rsidRPr="005E0E6E">
              <w:t>868</w:t>
            </w:r>
          </w:p>
        </w:tc>
        <w:tc>
          <w:tcPr>
            <w:tcW w:w="1163" w:type="dxa"/>
            <w:noWrap/>
            <w:hideMark/>
          </w:tcPr>
          <w:p w14:paraId="754156EF" w14:textId="26EA7AE3" w:rsidR="005E0E6E" w:rsidRPr="005E0E6E" w:rsidRDefault="005E0E6E" w:rsidP="001648F9">
            <w:pPr>
              <w:spacing w:before="60" w:beforeAutospacing="0" w:after="60"/>
              <w:contextualSpacing w:val="0"/>
              <w:jc w:val="right"/>
            </w:pPr>
            <w:r w:rsidRPr="005E0E6E">
              <w:t>0</w:t>
            </w:r>
          </w:p>
        </w:tc>
        <w:tc>
          <w:tcPr>
            <w:tcW w:w="1164" w:type="dxa"/>
            <w:noWrap/>
            <w:hideMark/>
          </w:tcPr>
          <w:p w14:paraId="66B115B1" w14:textId="0C791003" w:rsidR="005E0E6E" w:rsidRPr="005E0E6E" w:rsidRDefault="00A41CC5" w:rsidP="001648F9">
            <w:pPr>
              <w:spacing w:before="60" w:beforeAutospacing="0" w:after="60"/>
              <w:contextualSpacing w:val="0"/>
              <w:jc w:val="right"/>
            </w:pPr>
            <w:r>
              <w:t>+</w:t>
            </w:r>
            <w:r w:rsidR="005E0E6E" w:rsidRPr="005E0E6E">
              <w:t>23</w:t>
            </w:r>
          </w:p>
        </w:tc>
      </w:tr>
      <w:tr w:rsidR="005E0E6E" w:rsidRPr="00C14672" w14:paraId="250CB023" w14:textId="77777777" w:rsidTr="001648F9">
        <w:trPr>
          <w:trHeight w:val="315"/>
        </w:trPr>
        <w:tc>
          <w:tcPr>
            <w:tcW w:w="5093" w:type="dxa"/>
            <w:noWrap/>
            <w:hideMark/>
          </w:tcPr>
          <w:p w14:paraId="5EA554A3" w14:textId="0420E18C" w:rsidR="005E0E6E" w:rsidRPr="005211EB" w:rsidRDefault="005E0E6E" w:rsidP="001648F9">
            <w:pPr>
              <w:spacing w:before="60" w:beforeAutospacing="0" w:after="60"/>
              <w:contextualSpacing w:val="0"/>
            </w:pPr>
            <w:r w:rsidRPr="005211EB">
              <w:t>Department of Planning, Lands and Heritage</w:t>
            </w:r>
          </w:p>
        </w:tc>
        <w:tc>
          <w:tcPr>
            <w:tcW w:w="1347" w:type="dxa"/>
            <w:noWrap/>
            <w:hideMark/>
          </w:tcPr>
          <w:p w14:paraId="07ACE0C9" w14:textId="590C146E" w:rsidR="005E0E6E" w:rsidRPr="005E0E6E" w:rsidRDefault="005E0E6E" w:rsidP="001648F9">
            <w:pPr>
              <w:spacing w:before="60" w:beforeAutospacing="0" w:after="60"/>
              <w:contextualSpacing w:val="0"/>
              <w:jc w:val="right"/>
            </w:pPr>
            <w:r w:rsidRPr="005E0E6E">
              <w:t>864</w:t>
            </w:r>
          </w:p>
        </w:tc>
        <w:tc>
          <w:tcPr>
            <w:tcW w:w="1347" w:type="dxa"/>
            <w:noWrap/>
            <w:hideMark/>
          </w:tcPr>
          <w:p w14:paraId="0E384442" w14:textId="131E0337" w:rsidR="005E0E6E" w:rsidRPr="005E0E6E" w:rsidRDefault="005E0E6E" w:rsidP="001648F9">
            <w:pPr>
              <w:spacing w:before="60" w:beforeAutospacing="0" w:after="60"/>
              <w:contextualSpacing w:val="0"/>
              <w:jc w:val="right"/>
            </w:pPr>
            <w:r w:rsidRPr="005E0E6E">
              <w:t>780</w:t>
            </w:r>
          </w:p>
        </w:tc>
        <w:tc>
          <w:tcPr>
            <w:tcW w:w="1163" w:type="dxa"/>
            <w:noWrap/>
            <w:hideMark/>
          </w:tcPr>
          <w:p w14:paraId="1F9F4529" w14:textId="740B1066" w:rsidR="005E0E6E" w:rsidRPr="005E0E6E" w:rsidRDefault="005E0E6E" w:rsidP="001648F9">
            <w:pPr>
              <w:spacing w:before="60" w:beforeAutospacing="0" w:after="60"/>
              <w:contextualSpacing w:val="0"/>
              <w:jc w:val="right"/>
            </w:pPr>
            <w:r w:rsidRPr="005E0E6E">
              <w:t>-2</w:t>
            </w:r>
          </w:p>
        </w:tc>
        <w:tc>
          <w:tcPr>
            <w:tcW w:w="1164" w:type="dxa"/>
            <w:noWrap/>
            <w:hideMark/>
          </w:tcPr>
          <w:p w14:paraId="3C2CFDAD" w14:textId="4458B038" w:rsidR="005E0E6E" w:rsidRPr="005E0E6E" w:rsidRDefault="00A41CC5" w:rsidP="001648F9">
            <w:pPr>
              <w:spacing w:before="60" w:beforeAutospacing="0" w:after="60"/>
              <w:contextualSpacing w:val="0"/>
              <w:jc w:val="right"/>
            </w:pPr>
            <w:r>
              <w:t>+</w:t>
            </w:r>
            <w:r w:rsidR="005E0E6E" w:rsidRPr="005E0E6E">
              <w:t>12</w:t>
            </w:r>
          </w:p>
        </w:tc>
      </w:tr>
      <w:tr w:rsidR="005E0E6E" w:rsidRPr="00C14672" w14:paraId="050801A4" w14:textId="77777777" w:rsidTr="001648F9">
        <w:trPr>
          <w:trHeight w:val="315"/>
        </w:trPr>
        <w:tc>
          <w:tcPr>
            <w:tcW w:w="5093" w:type="dxa"/>
            <w:noWrap/>
            <w:hideMark/>
          </w:tcPr>
          <w:p w14:paraId="72CE03D5" w14:textId="1BA712AB" w:rsidR="005E0E6E" w:rsidRPr="005211EB" w:rsidRDefault="005E0E6E" w:rsidP="001648F9">
            <w:pPr>
              <w:spacing w:before="60" w:beforeAutospacing="0" w:after="60"/>
              <w:contextualSpacing w:val="0"/>
            </w:pPr>
            <w:r w:rsidRPr="005211EB">
              <w:lastRenderedPageBreak/>
              <w:t>Department of the Premier and Cabinet</w:t>
            </w:r>
          </w:p>
        </w:tc>
        <w:tc>
          <w:tcPr>
            <w:tcW w:w="1347" w:type="dxa"/>
            <w:noWrap/>
            <w:hideMark/>
          </w:tcPr>
          <w:p w14:paraId="6475E967" w14:textId="26BBF287" w:rsidR="005E0E6E" w:rsidRPr="005E0E6E" w:rsidRDefault="005E0E6E" w:rsidP="001648F9">
            <w:pPr>
              <w:spacing w:before="60" w:beforeAutospacing="0" w:after="60"/>
              <w:contextualSpacing w:val="0"/>
              <w:jc w:val="right"/>
            </w:pPr>
            <w:r w:rsidRPr="005E0E6E">
              <w:t>624</w:t>
            </w:r>
          </w:p>
        </w:tc>
        <w:tc>
          <w:tcPr>
            <w:tcW w:w="1347" w:type="dxa"/>
            <w:noWrap/>
            <w:hideMark/>
          </w:tcPr>
          <w:p w14:paraId="1A880B55" w14:textId="18157966" w:rsidR="005E0E6E" w:rsidRPr="005E0E6E" w:rsidRDefault="005E0E6E" w:rsidP="001648F9">
            <w:pPr>
              <w:spacing w:before="60" w:beforeAutospacing="0" w:after="60"/>
              <w:contextualSpacing w:val="0"/>
              <w:jc w:val="right"/>
            </w:pPr>
            <w:r w:rsidRPr="005E0E6E">
              <w:t>547</w:t>
            </w:r>
          </w:p>
        </w:tc>
        <w:tc>
          <w:tcPr>
            <w:tcW w:w="1163" w:type="dxa"/>
            <w:noWrap/>
            <w:hideMark/>
          </w:tcPr>
          <w:p w14:paraId="70277978" w14:textId="25DF0057" w:rsidR="005E0E6E" w:rsidRPr="005E0E6E" w:rsidRDefault="005E0E6E" w:rsidP="001648F9">
            <w:pPr>
              <w:spacing w:before="60" w:beforeAutospacing="0" w:after="60"/>
              <w:contextualSpacing w:val="0"/>
              <w:jc w:val="right"/>
            </w:pPr>
            <w:r w:rsidRPr="005E0E6E">
              <w:t>-6</w:t>
            </w:r>
          </w:p>
        </w:tc>
        <w:tc>
          <w:tcPr>
            <w:tcW w:w="1164" w:type="dxa"/>
            <w:noWrap/>
            <w:hideMark/>
          </w:tcPr>
          <w:p w14:paraId="356BD646" w14:textId="196D1B3B" w:rsidR="005E0E6E" w:rsidRPr="005E0E6E" w:rsidRDefault="00A41CC5" w:rsidP="001648F9">
            <w:pPr>
              <w:spacing w:before="60" w:beforeAutospacing="0" w:after="60"/>
              <w:contextualSpacing w:val="0"/>
              <w:jc w:val="right"/>
            </w:pPr>
            <w:r>
              <w:t>+</w:t>
            </w:r>
            <w:r w:rsidR="005E0E6E" w:rsidRPr="005E0E6E">
              <w:t>33</w:t>
            </w:r>
          </w:p>
        </w:tc>
      </w:tr>
      <w:tr w:rsidR="005E0E6E" w:rsidRPr="00C14672" w14:paraId="4C818384" w14:textId="77777777" w:rsidTr="001648F9">
        <w:trPr>
          <w:trHeight w:val="315"/>
        </w:trPr>
        <w:tc>
          <w:tcPr>
            <w:tcW w:w="5093" w:type="dxa"/>
            <w:noWrap/>
            <w:hideMark/>
          </w:tcPr>
          <w:p w14:paraId="1F33ABA0" w14:textId="48CAA9D7" w:rsidR="005E0E6E" w:rsidRPr="005211EB" w:rsidRDefault="005E0E6E" w:rsidP="001648F9">
            <w:pPr>
              <w:spacing w:before="60" w:beforeAutospacing="0" w:after="60"/>
              <w:contextualSpacing w:val="0"/>
            </w:pPr>
            <w:r w:rsidRPr="005211EB">
              <w:t>South Regional TAFE</w:t>
            </w:r>
          </w:p>
        </w:tc>
        <w:tc>
          <w:tcPr>
            <w:tcW w:w="1347" w:type="dxa"/>
            <w:noWrap/>
            <w:hideMark/>
          </w:tcPr>
          <w:p w14:paraId="1C4BD1B3" w14:textId="073C3C20" w:rsidR="005E0E6E" w:rsidRPr="005E0E6E" w:rsidRDefault="005E0E6E" w:rsidP="001648F9">
            <w:pPr>
              <w:spacing w:before="60" w:beforeAutospacing="0" w:after="60"/>
              <w:contextualSpacing w:val="0"/>
              <w:jc w:val="right"/>
            </w:pPr>
            <w:r w:rsidRPr="005E0E6E">
              <w:t>591</w:t>
            </w:r>
          </w:p>
        </w:tc>
        <w:tc>
          <w:tcPr>
            <w:tcW w:w="1347" w:type="dxa"/>
            <w:noWrap/>
            <w:hideMark/>
          </w:tcPr>
          <w:p w14:paraId="23B878D3" w14:textId="744FF0F1" w:rsidR="005E0E6E" w:rsidRPr="005E0E6E" w:rsidRDefault="005E0E6E" w:rsidP="001648F9">
            <w:pPr>
              <w:spacing w:before="60" w:beforeAutospacing="0" w:after="60"/>
              <w:contextualSpacing w:val="0"/>
              <w:jc w:val="right"/>
            </w:pPr>
            <w:r w:rsidRPr="005E0E6E">
              <w:t>428</w:t>
            </w:r>
          </w:p>
        </w:tc>
        <w:tc>
          <w:tcPr>
            <w:tcW w:w="1163" w:type="dxa"/>
            <w:noWrap/>
            <w:hideMark/>
          </w:tcPr>
          <w:p w14:paraId="7700045A" w14:textId="3E528685" w:rsidR="005E0E6E" w:rsidRPr="005E0E6E" w:rsidRDefault="00A41CC5" w:rsidP="001648F9">
            <w:pPr>
              <w:spacing w:before="60" w:beforeAutospacing="0" w:after="60"/>
              <w:contextualSpacing w:val="0"/>
              <w:jc w:val="right"/>
            </w:pPr>
            <w:r>
              <w:t>+</w:t>
            </w:r>
            <w:r w:rsidR="005E0E6E" w:rsidRPr="005E0E6E">
              <w:t>51</w:t>
            </w:r>
          </w:p>
        </w:tc>
        <w:tc>
          <w:tcPr>
            <w:tcW w:w="1164" w:type="dxa"/>
            <w:noWrap/>
            <w:hideMark/>
          </w:tcPr>
          <w:p w14:paraId="56B3D865" w14:textId="09BA5378" w:rsidR="005E0E6E" w:rsidRPr="005E0E6E" w:rsidRDefault="00A41CC5" w:rsidP="001648F9">
            <w:pPr>
              <w:spacing w:before="60" w:beforeAutospacing="0" w:after="60"/>
              <w:contextualSpacing w:val="0"/>
              <w:jc w:val="right"/>
            </w:pPr>
            <w:r>
              <w:t>+</w:t>
            </w:r>
            <w:r w:rsidR="005E0E6E" w:rsidRPr="005E0E6E">
              <w:t>18</w:t>
            </w:r>
          </w:p>
        </w:tc>
      </w:tr>
      <w:tr w:rsidR="005E0E6E" w:rsidRPr="00C14672" w14:paraId="6606E85D" w14:textId="77777777" w:rsidTr="001648F9">
        <w:trPr>
          <w:trHeight w:val="315"/>
        </w:trPr>
        <w:tc>
          <w:tcPr>
            <w:tcW w:w="5093" w:type="dxa"/>
            <w:noWrap/>
            <w:hideMark/>
          </w:tcPr>
          <w:p w14:paraId="1F9F3D37" w14:textId="2C2E38D5" w:rsidR="005E0E6E" w:rsidRPr="005211EB" w:rsidRDefault="005E0E6E" w:rsidP="001648F9">
            <w:pPr>
              <w:spacing w:before="60" w:beforeAutospacing="0" w:after="60"/>
              <w:contextualSpacing w:val="0"/>
            </w:pPr>
            <w:r w:rsidRPr="005211EB">
              <w:t>Landgate</w:t>
            </w:r>
          </w:p>
        </w:tc>
        <w:tc>
          <w:tcPr>
            <w:tcW w:w="1347" w:type="dxa"/>
            <w:noWrap/>
            <w:hideMark/>
          </w:tcPr>
          <w:p w14:paraId="3AFC2DCA" w14:textId="36D4238B" w:rsidR="005E0E6E" w:rsidRPr="005E0E6E" w:rsidRDefault="005E0E6E" w:rsidP="001648F9">
            <w:pPr>
              <w:spacing w:before="60" w:beforeAutospacing="0" w:after="60"/>
              <w:contextualSpacing w:val="0"/>
              <w:jc w:val="right"/>
            </w:pPr>
            <w:r w:rsidRPr="005E0E6E">
              <w:t>503</w:t>
            </w:r>
          </w:p>
        </w:tc>
        <w:tc>
          <w:tcPr>
            <w:tcW w:w="1347" w:type="dxa"/>
            <w:noWrap/>
            <w:hideMark/>
          </w:tcPr>
          <w:p w14:paraId="77756ACE" w14:textId="3C1D9699" w:rsidR="005E0E6E" w:rsidRPr="005E0E6E" w:rsidRDefault="005E0E6E" w:rsidP="001648F9">
            <w:pPr>
              <w:spacing w:before="60" w:beforeAutospacing="0" w:after="60"/>
              <w:contextualSpacing w:val="0"/>
              <w:jc w:val="right"/>
            </w:pPr>
            <w:r w:rsidRPr="005E0E6E">
              <w:t>463</w:t>
            </w:r>
          </w:p>
        </w:tc>
        <w:tc>
          <w:tcPr>
            <w:tcW w:w="1163" w:type="dxa"/>
            <w:noWrap/>
            <w:hideMark/>
          </w:tcPr>
          <w:p w14:paraId="6E8F6B87" w14:textId="3ABBFC20" w:rsidR="005E0E6E" w:rsidRPr="005E0E6E" w:rsidRDefault="005E0E6E" w:rsidP="001648F9">
            <w:pPr>
              <w:spacing w:before="60" w:beforeAutospacing="0" w:after="60"/>
              <w:contextualSpacing w:val="0"/>
              <w:jc w:val="right"/>
            </w:pPr>
            <w:r w:rsidRPr="005E0E6E">
              <w:t>-11</w:t>
            </w:r>
          </w:p>
        </w:tc>
        <w:tc>
          <w:tcPr>
            <w:tcW w:w="1164" w:type="dxa"/>
            <w:noWrap/>
            <w:hideMark/>
          </w:tcPr>
          <w:p w14:paraId="0F1CFC47" w14:textId="76A536B0" w:rsidR="005E0E6E" w:rsidRPr="005E0E6E" w:rsidRDefault="005E0E6E" w:rsidP="001648F9">
            <w:pPr>
              <w:spacing w:before="60" w:beforeAutospacing="0" w:after="60"/>
              <w:contextualSpacing w:val="0"/>
              <w:jc w:val="right"/>
            </w:pPr>
            <w:r w:rsidRPr="005E0E6E">
              <w:t>-12</w:t>
            </w:r>
          </w:p>
        </w:tc>
      </w:tr>
      <w:tr w:rsidR="005E0E6E" w:rsidRPr="00C14672" w14:paraId="7B8354A2" w14:textId="77777777" w:rsidTr="001648F9">
        <w:trPr>
          <w:trHeight w:val="315"/>
        </w:trPr>
        <w:tc>
          <w:tcPr>
            <w:tcW w:w="5093" w:type="dxa"/>
            <w:noWrap/>
            <w:hideMark/>
          </w:tcPr>
          <w:p w14:paraId="320D16F2" w14:textId="3A8BE461" w:rsidR="005E0E6E" w:rsidRPr="005211EB" w:rsidRDefault="005E0E6E" w:rsidP="001648F9">
            <w:pPr>
              <w:spacing w:before="60" w:beforeAutospacing="0" w:after="60"/>
              <w:contextualSpacing w:val="0"/>
            </w:pPr>
            <w:r w:rsidRPr="005211EB">
              <w:t>Department of Training and Workforce Development</w:t>
            </w:r>
          </w:p>
        </w:tc>
        <w:tc>
          <w:tcPr>
            <w:tcW w:w="1347" w:type="dxa"/>
            <w:noWrap/>
            <w:hideMark/>
          </w:tcPr>
          <w:p w14:paraId="3B360F9E" w14:textId="61BED657" w:rsidR="005E0E6E" w:rsidRPr="005E0E6E" w:rsidRDefault="005E0E6E" w:rsidP="001648F9">
            <w:pPr>
              <w:spacing w:before="60" w:beforeAutospacing="0" w:after="60"/>
              <w:contextualSpacing w:val="0"/>
              <w:jc w:val="right"/>
            </w:pPr>
            <w:r w:rsidRPr="005E0E6E">
              <w:t>473</w:t>
            </w:r>
          </w:p>
        </w:tc>
        <w:tc>
          <w:tcPr>
            <w:tcW w:w="1347" w:type="dxa"/>
            <w:noWrap/>
            <w:hideMark/>
          </w:tcPr>
          <w:p w14:paraId="2401E1BD" w14:textId="185340DB" w:rsidR="005E0E6E" w:rsidRPr="005E0E6E" w:rsidRDefault="005E0E6E" w:rsidP="001648F9">
            <w:pPr>
              <w:spacing w:before="60" w:beforeAutospacing="0" w:after="60"/>
              <w:contextualSpacing w:val="0"/>
              <w:jc w:val="right"/>
            </w:pPr>
            <w:r w:rsidRPr="005E0E6E">
              <w:t>419</w:t>
            </w:r>
          </w:p>
        </w:tc>
        <w:tc>
          <w:tcPr>
            <w:tcW w:w="1163" w:type="dxa"/>
            <w:noWrap/>
            <w:hideMark/>
          </w:tcPr>
          <w:p w14:paraId="773DD21E" w14:textId="0DB327C5" w:rsidR="005E0E6E" w:rsidRPr="005E0E6E" w:rsidRDefault="005E0E6E" w:rsidP="001648F9">
            <w:pPr>
              <w:spacing w:before="60" w:beforeAutospacing="0" w:after="60"/>
              <w:contextualSpacing w:val="0"/>
              <w:jc w:val="right"/>
            </w:pPr>
            <w:r w:rsidRPr="005E0E6E">
              <w:t>-1</w:t>
            </w:r>
          </w:p>
        </w:tc>
        <w:tc>
          <w:tcPr>
            <w:tcW w:w="1164" w:type="dxa"/>
            <w:noWrap/>
            <w:hideMark/>
          </w:tcPr>
          <w:p w14:paraId="19B2CD86" w14:textId="4C20DC70" w:rsidR="005E0E6E" w:rsidRPr="005E0E6E" w:rsidRDefault="00A41CC5" w:rsidP="001648F9">
            <w:pPr>
              <w:spacing w:before="60" w:beforeAutospacing="0" w:after="60"/>
              <w:contextualSpacing w:val="0"/>
              <w:jc w:val="right"/>
            </w:pPr>
            <w:r>
              <w:t>+</w:t>
            </w:r>
            <w:r w:rsidR="005E0E6E" w:rsidRPr="005E0E6E">
              <w:t>8</w:t>
            </w:r>
          </w:p>
        </w:tc>
      </w:tr>
      <w:tr w:rsidR="005E0E6E" w:rsidRPr="00C14672" w14:paraId="2BFE0C41" w14:textId="77777777" w:rsidTr="001648F9">
        <w:trPr>
          <w:trHeight w:val="315"/>
        </w:trPr>
        <w:tc>
          <w:tcPr>
            <w:tcW w:w="5093" w:type="dxa"/>
            <w:noWrap/>
            <w:hideMark/>
          </w:tcPr>
          <w:p w14:paraId="7852CB93" w14:textId="0BC2BFBF" w:rsidR="005E0E6E" w:rsidRPr="005211EB" w:rsidRDefault="005E0E6E" w:rsidP="001648F9">
            <w:pPr>
              <w:spacing w:before="60" w:beforeAutospacing="0" w:after="60"/>
              <w:contextualSpacing w:val="0"/>
            </w:pPr>
            <w:r w:rsidRPr="005211EB">
              <w:t>Central Regional TAFE</w:t>
            </w:r>
          </w:p>
        </w:tc>
        <w:tc>
          <w:tcPr>
            <w:tcW w:w="1347" w:type="dxa"/>
            <w:noWrap/>
            <w:hideMark/>
          </w:tcPr>
          <w:p w14:paraId="1B58C901" w14:textId="1E227E27" w:rsidR="005E0E6E" w:rsidRPr="005E0E6E" w:rsidRDefault="005E0E6E" w:rsidP="001648F9">
            <w:pPr>
              <w:spacing w:before="60" w:beforeAutospacing="0" w:after="60"/>
              <w:contextualSpacing w:val="0"/>
              <w:jc w:val="right"/>
            </w:pPr>
            <w:r w:rsidRPr="005E0E6E">
              <w:t>427</w:t>
            </w:r>
          </w:p>
        </w:tc>
        <w:tc>
          <w:tcPr>
            <w:tcW w:w="1347" w:type="dxa"/>
            <w:noWrap/>
            <w:hideMark/>
          </w:tcPr>
          <w:p w14:paraId="3823F5EB" w14:textId="534E7C3C" w:rsidR="005E0E6E" w:rsidRPr="005E0E6E" w:rsidRDefault="005E0E6E" w:rsidP="001648F9">
            <w:pPr>
              <w:spacing w:before="60" w:beforeAutospacing="0" w:after="60"/>
              <w:contextualSpacing w:val="0"/>
              <w:jc w:val="right"/>
            </w:pPr>
            <w:r w:rsidRPr="005E0E6E">
              <w:t>354</w:t>
            </w:r>
          </w:p>
        </w:tc>
        <w:tc>
          <w:tcPr>
            <w:tcW w:w="1163" w:type="dxa"/>
            <w:noWrap/>
            <w:hideMark/>
          </w:tcPr>
          <w:p w14:paraId="569E07F2" w14:textId="7EFF7674" w:rsidR="005E0E6E" w:rsidRPr="005E0E6E" w:rsidRDefault="00A41CC5" w:rsidP="001648F9">
            <w:pPr>
              <w:spacing w:before="60" w:beforeAutospacing="0" w:after="60"/>
              <w:contextualSpacing w:val="0"/>
              <w:jc w:val="right"/>
            </w:pPr>
            <w:r>
              <w:t>+</w:t>
            </w:r>
            <w:r w:rsidR="005E0E6E" w:rsidRPr="005E0E6E">
              <w:t>33</w:t>
            </w:r>
          </w:p>
        </w:tc>
        <w:tc>
          <w:tcPr>
            <w:tcW w:w="1164" w:type="dxa"/>
            <w:noWrap/>
            <w:hideMark/>
          </w:tcPr>
          <w:p w14:paraId="07A3A503" w14:textId="5DC96560" w:rsidR="005E0E6E" w:rsidRPr="005E0E6E" w:rsidRDefault="005E0E6E" w:rsidP="001648F9">
            <w:pPr>
              <w:spacing w:before="60" w:beforeAutospacing="0" w:after="60"/>
              <w:contextualSpacing w:val="0"/>
              <w:jc w:val="right"/>
            </w:pPr>
            <w:r w:rsidRPr="005E0E6E">
              <w:t>-2</w:t>
            </w:r>
          </w:p>
        </w:tc>
      </w:tr>
      <w:tr w:rsidR="005E0E6E" w:rsidRPr="00C14672" w14:paraId="1BE0CE16" w14:textId="77777777" w:rsidTr="001648F9">
        <w:trPr>
          <w:trHeight w:val="315"/>
        </w:trPr>
        <w:tc>
          <w:tcPr>
            <w:tcW w:w="5093" w:type="dxa"/>
            <w:noWrap/>
            <w:hideMark/>
          </w:tcPr>
          <w:p w14:paraId="4C28DAE0" w14:textId="3157E118" w:rsidR="005E0E6E" w:rsidRPr="005211EB" w:rsidRDefault="005E0E6E" w:rsidP="001648F9">
            <w:pPr>
              <w:spacing w:before="60" w:beforeAutospacing="0" w:after="60"/>
              <w:contextualSpacing w:val="0"/>
            </w:pPr>
            <w:r w:rsidRPr="005211EB">
              <w:t>Insurance Commission of Western Australia</w:t>
            </w:r>
          </w:p>
        </w:tc>
        <w:tc>
          <w:tcPr>
            <w:tcW w:w="1347" w:type="dxa"/>
            <w:noWrap/>
            <w:hideMark/>
          </w:tcPr>
          <w:p w14:paraId="5661A53B" w14:textId="5FA2CCEE" w:rsidR="005E0E6E" w:rsidRPr="005E0E6E" w:rsidRDefault="005E0E6E" w:rsidP="001648F9">
            <w:pPr>
              <w:spacing w:before="60" w:beforeAutospacing="0" w:after="60"/>
              <w:contextualSpacing w:val="0"/>
              <w:jc w:val="right"/>
            </w:pPr>
            <w:r w:rsidRPr="005E0E6E">
              <w:t>418</w:t>
            </w:r>
          </w:p>
        </w:tc>
        <w:tc>
          <w:tcPr>
            <w:tcW w:w="1347" w:type="dxa"/>
            <w:noWrap/>
            <w:hideMark/>
          </w:tcPr>
          <w:p w14:paraId="7B0CAAD0" w14:textId="2C3FAA51" w:rsidR="005E0E6E" w:rsidRPr="005E0E6E" w:rsidRDefault="005E0E6E" w:rsidP="001648F9">
            <w:pPr>
              <w:spacing w:before="60" w:beforeAutospacing="0" w:after="60"/>
              <w:contextualSpacing w:val="0"/>
              <w:jc w:val="right"/>
            </w:pPr>
            <w:r w:rsidRPr="005E0E6E">
              <w:t>379</w:t>
            </w:r>
          </w:p>
        </w:tc>
        <w:tc>
          <w:tcPr>
            <w:tcW w:w="1163" w:type="dxa"/>
            <w:noWrap/>
            <w:hideMark/>
          </w:tcPr>
          <w:p w14:paraId="3001DA5C" w14:textId="3AE18046" w:rsidR="005E0E6E" w:rsidRPr="005E0E6E" w:rsidRDefault="005E0E6E" w:rsidP="001648F9">
            <w:pPr>
              <w:spacing w:before="60" w:beforeAutospacing="0" w:after="60"/>
              <w:contextualSpacing w:val="0"/>
              <w:jc w:val="right"/>
            </w:pPr>
            <w:r w:rsidRPr="005E0E6E">
              <w:t>-5</w:t>
            </w:r>
          </w:p>
        </w:tc>
        <w:tc>
          <w:tcPr>
            <w:tcW w:w="1164" w:type="dxa"/>
            <w:noWrap/>
            <w:hideMark/>
          </w:tcPr>
          <w:p w14:paraId="5222CB5F" w14:textId="23B59738" w:rsidR="005E0E6E" w:rsidRPr="005E0E6E" w:rsidRDefault="00A41CC5" w:rsidP="001648F9">
            <w:pPr>
              <w:spacing w:before="60" w:beforeAutospacing="0" w:after="60"/>
              <w:contextualSpacing w:val="0"/>
              <w:jc w:val="right"/>
            </w:pPr>
            <w:r>
              <w:t>+</w:t>
            </w:r>
            <w:r w:rsidR="005E0E6E" w:rsidRPr="005E0E6E">
              <w:t>13</w:t>
            </w:r>
          </w:p>
        </w:tc>
      </w:tr>
      <w:tr w:rsidR="005E0E6E" w:rsidRPr="00C14672" w14:paraId="7F062F0C" w14:textId="77777777" w:rsidTr="001648F9">
        <w:trPr>
          <w:trHeight w:val="315"/>
        </w:trPr>
        <w:tc>
          <w:tcPr>
            <w:tcW w:w="5093" w:type="dxa"/>
            <w:noWrap/>
            <w:hideMark/>
          </w:tcPr>
          <w:p w14:paraId="1A4EDBEA" w14:textId="40F59A6B" w:rsidR="005E0E6E" w:rsidRPr="005211EB" w:rsidRDefault="005E0E6E" w:rsidP="001648F9">
            <w:pPr>
              <w:spacing w:before="60" w:beforeAutospacing="0" w:after="60"/>
              <w:contextualSpacing w:val="0"/>
            </w:pPr>
            <w:r w:rsidRPr="005211EB">
              <w:t>Mental Health Commission</w:t>
            </w:r>
          </w:p>
        </w:tc>
        <w:tc>
          <w:tcPr>
            <w:tcW w:w="1347" w:type="dxa"/>
            <w:noWrap/>
            <w:hideMark/>
          </w:tcPr>
          <w:p w14:paraId="5E576324" w14:textId="77E259FA" w:rsidR="005E0E6E" w:rsidRPr="005E0E6E" w:rsidRDefault="005E0E6E" w:rsidP="001648F9">
            <w:pPr>
              <w:spacing w:before="60" w:beforeAutospacing="0" w:after="60"/>
              <w:contextualSpacing w:val="0"/>
              <w:jc w:val="right"/>
            </w:pPr>
            <w:r w:rsidRPr="005E0E6E">
              <w:t>358</w:t>
            </w:r>
          </w:p>
        </w:tc>
        <w:tc>
          <w:tcPr>
            <w:tcW w:w="1347" w:type="dxa"/>
            <w:noWrap/>
            <w:hideMark/>
          </w:tcPr>
          <w:p w14:paraId="598352B0" w14:textId="1A82F612" w:rsidR="005E0E6E" w:rsidRPr="005E0E6E" w:rsidRDefault="005E0E6E" w:rsidP="001648F9">
            <w:pPr>
              <w:spacing w:before="60" w:beforeAutospacing="0" w:after="60"/>
              <w:contextualSpacing w:val="0"/>
              <w:jc w:val="right"/>
            </w:pPr>
            <w:r w:rsidRPr="005E0E6E">
              <w:t>289</w:t>
            </w:r>
          </w:p>
        </w:tc>
        <w:tc>
          <w:tcPr>
            <w:tcW w:w="1163" w:type="dxa"/>
            <w:noWrap/>
            <w:hideMark/>
          </w:tcPr>
          <w:p w14:paraId="1E081862" w14:textId="29702DB0" w:rsidR="005E0E6E" w:rsidRPr="005E0E6E" w:rsidRDefault="00A41CC5" w:rsidP="001648F9">
            <w:pPr>
              <w:spacing w:before="60" w:beforeAutospacing="0" w:after="60"/>
              <w:contextualSpacing w:val="0"/>
              <w:jc w:val="right"/>
            </w:pPr>
            <w:r>
              <w:t>+</w:t>
            </w:r>
            <w:r w:rsidR="005E0E6E" w:rsidRPr="005E0E6E">
              <w:t>4</w:t>
            </w:r>
          </w:p>
        </w:tc>
        <w:tc>
          <w:tcPr>
            <w:tcW w:w="1164" w:type="dxa"/>
            <w:noWrap/>
            <w:hideMark/>
          </w:tcPr>
          <w:p w14:paraId="379C3767" w14:textId="087713B7" w:rsidR="005E0E6E" w:rsidRPr="005E0E6E" w:rsidRDefault="00A41CC5" w:rsidP="001648F9">
            <w:pPr>
              <w:spacing w:before="60" w:beforeAutospacing="0" w:after="60"/>
              <w:contextualSpacing w:val="0"/>
              <w:jc w:val="right"/>
            </w:pPr>
            <w:r>
              <w:t>+</w:t>
            </w:r>
            <w:r w:rsidR="005E0E6E" w:rsidRPr="005E0E6E">
              <w:t>11</w:t>
            </w:r>
          </w:p>
        </w:tc>
      </w:tr>
      <w:tr w:rsidR="005E0E6E" w:rsidRPr="00C14672" w14:paraId="319D4A4E" w14:textId="77777777" w:rsidTr="001648F9">
        <w:trPr>
          <w:trHeight w:val="315"/>
        </w:trPr>
        <w:tc>
          <w:tcPr>
            <w:tcW w:w="5093" w:type="dxa"/>
            <w:noWrap/>
            <w:hideMark/>
          </w:tcPr>
          <w:p w14:paraId="2B47EE40" w14:textId="052E103A" w:rsidR="005E0E6E" w:rsidRPr="005211EB" w:rsidRDefault="005E0E6E" w:rsidP="001648F9">
            <w:pPr>
              <w:spacing w:before="60" w:beforeAutospacing="0" w:after="60"/>
              <w:contextualSpacing w:val="0"/>
            </w:pPr>
            <w:r w:rsidRPr="005211EB">
              <w:t>Legal Aid Commission of Western Australia</w:t>
            </w:r>
          </w:p>
        </w:tc>
        <w:tc>
          <w:tcPr>
            <w:tcW w:w="1347" w:type="dxa"/>
            <w:noWrap/>
            <w:hideMark/>
          </w:tcPr>
          <w:p w14:paraId="018BCFB7" w14:textId="23859BD7" w:rsidR="005E0E6E" w:rsidRPr="005E0E6E" w:rsidRDefault="005E0E6E" w:rsidP="001648F9">
            <w:pPr>
              <w:spacing w:before="60" w:beforeAutospacing="0" w:after="60"/>
              <w:contextualSpacing w:val="0"/>
              <w:jc w:val="right"/>
            </w:pPr>
            <w:r w:rsidRPr="005E0E6E">
              <w:t>355</w:t>
            </w:r>
          </w:p>
        </w:tc>
        <w:tc>
          <w:tcPr>
            <w:tcW w:w="1347" w:type="dxa"/>
            <w:noWrap/>
            <w:hideMark/>
          </w:tcPr>
          <w:p w14:paraId="6BAC5760" w14:textId="5646C2C7" w:rsidR="005E0E6E" w:rsidRPr="005E0E6E" w:rsidRDefault="005E0E6E" w:rsidP="001648F9">
            <w:pPr>
              <w:spacing w:before="60" w:beforeAutospacing="0" w:after="60"/>
              <w:contextualSpacing w:val="0"/>
              <w:jc w:val="right"/>
            </w:pPr>
            <w:r w:rsidRPr="005E0E6E">
              <w:t>309</w:t>
            </w:r>
          </w:p>
        </w:tc>
        <w:tc>
          <w:tcPr>
            <w:tcW w:w="1163" w:type="dxa"/>
            <w:noWrap/>
            <w:hideMark/>
          </w:tcPr>
          <w:p w14:paraId="4DA0EB0C" w14:textId="4F9581FE" w:rsidR="005E0E6E" w:rsidRPr="005E0E6E" w:rsidRDefault="00A41CC5" w:rsidP="001648F9">
            <w:pPr>
              <w:spacing w:before="60" w:beforeAutospacing="0" w:after="60"/>
              <w:contextualSpacing w:val="0"/>
              <w:jc w:val="right"/>
            </w:pPr>
            <w:r>
              <w:t>+</w:t>
            </w:r>
            <w:r w:rsidR="005E0E6E" w:rsidRPr="005E0E6E">
              <w:t>1</w:t>
            </w:r>
          </w:p>
        </w:tc>
        <w:tc>
          <w:tcPr>
            <w:tcW w:w="1164" w:type="dxa"/>
            <w:noWrap/>
            <w:hideMark/>
          </w:tcPr>
          <w:p w14:paraId="31660367" w14:textId="5B3C1B2F" w:rsidR="005E0E6E" w:rsidRPr="005E0E6E" w:rsidRDefault="00A41CC5" w:rsidP="001648F9">
            <w:pPr>
              <w:spacing w:before="60" w:beforeAutospacing="0" w:after="60"/>
              <w:contextualSpacing w:val="0"/>
              <w:jc w:val="right"/>
            </w:pPr>
            <w:r>
              <w:t>+</w:t>
            </w:r>
            <w:r w:rsidR="005E0E6E" w:rsidRPr="005E0E6E">
              <w:t>4</w:t>
            </w:r>
          </w:p>
        </w:tc>
      </w:tr>
      <w:tr w:rsidR="005E0E6E" w:rsidRPr="00C14672" w14:paraId="1DF12170" w14:textId="77777777" w:rsidTr="001648F9">
        <w:trPr>
          <w:trHeight w:val="315"/>
        </w:trPr>
        <w:tc>
          <w:tcPr>
            <w:tcW w:w="5093" w:type="dxa"/>
            <w:noWrap/>
            <w:hideMark/>
          </w:tcPr>
          <w:p w14:paraId="7A385B8A" w14:textId="4B548995" w:rsidR="005E0E6E" w:rsidRPr="005211EB" w:rsidRDefault="005E0E6E" w:rsidP="001648F9">
            <w:pPr>
              <w:spacing w:before="60" w:beforeAutospacing="0" w:after="60"/>
              <w:contextualSpacing w:val="0"/>
            </w:pPr>
            <w:r w:rsidRPr="005211EB">
              <w:t xml:space="preserve">Department of Jobs, Tourism, </w:t>
            </w:r>
            <w:proofErr w:type="gramStart"/>
            <w:r w:rsidRPr="005211EB">
              <w:t>Science</w:t>
            </w:r>
            <w:proofErr w:type="gramEnd"/>
            <w:r w:rsidRPr="005211EB">
              <w:t xml:space="preserve"> and Innovation</w:t>
            </w:r>
          </w:p>
        </w:tc>
        <w:tc>
          <w:tcPr>
            <w:tcW w:w="1347" w:type="dxa"/>
            <w:noWrap/>
            <w:hideMark/>
          </w:tcPr>
          <w:p w14:paraId="5F1CA8BA" w14:textId="741AD20C" w:rsidR="005E0E6E" w:rsidRPr="005E0E6E" w:rsidRDefault="005E0E6E" w:rsidP="001648F9">
            <w:pPr>
              <w:spacing w:before="60" w:beforeAutospacing="0" w:after="60"/>
              <w:contextualSpacing w:val="0"/>
              <w:jc w:val="right"/>
            </w:pPr>
            <w:r w:rsidRPr="005E0E6E">
              <w:t>322</w:t>
            </w:r>
          </w:p>
        </w:tc>
        <w:tc>
          <w:tcPr>
            <w:tcW w:w="1347" w:type="dxa"/>
            <w:noWrap/>
            <w:hideMark/>
          </w:tcPr>
          <w:p w14:paraId="6981E17A" w14:textId="46FFF755" w:rsidR="005E0E6E" w:rsidRPr="005E0E6E" w:rsidRDefault="005E0E6E" w:rsidP="001648F9">
            <w:pPr>
              <w:spacing w:before="60" w:beforeAutospacing="0" w:after="60"/>
              <w:contextualSpacing w:val="0"/>
              <w:jc w:val="right"/>
            </w:pPr>
            <w:r w:rsidRPr="005E0E6E">
              <w:t>292</w:t>
            </w:r>
          </w:p>
        </w:tc>
        <w:tc>
          <w:tcPr>
            <w:tcW w:w="1163" w:type="dxa"/>
            <w:noWrap/>
            <w:hideMark/>
          </w:tcPr>
          <w:p w14:paraId="36B3F377" w14:textId="35A8CAEF" w:rsidR="005E0E6E" w:rsidRPr="005E0E6E" w:rsidRDefault="00A41CC5" w:rsidP="001648F9">
            <w:pPr>
              <w:spacing w:before="60" w:beforeAutospacing="0" w:after="60"/>
              <w:contextualSpacing w:val="0"/>
              <w:jc w:val="right"/>
            </w:pPr>
            <w:r>
              <w:t>+</w:t>
            </w:r>
            <w:r w:rsidR="005E0E6E" w:rsidRPr="005E0E6E">
              <w:t>8</w:t>
            </w:r>
          </w:p>
        </w:tc>
        <w:tc>
          <w:tcPr>
            <w:tcW w:w="1164" w:type="dxa"/>
            <w:noWrap/>
            <w:hideMark/>
          </w:tcPr>
          <w:p w14:paraId="308FF685" w14:textId="36345D22" w:rsidR="005E0E6E" w:rsidRPr="005E0E6E" w:rsidRDefault="00A41CC5" w:rsidP="001648F9">
            <w:pPr>
              <w:spacing w:before="60" w:beforeAutospacing="0" w:after="60"/>
              <w:contextualSpacing w:val="0"/>
              <w:jc w:val="right"/>
            </w:pPr>
            <w:r>
              <w:t>+</w:t>
            </w:r>
            <w:r w:rsidR="005E0E6E" w:rsidRPr="005E0E6E">
              <w:t>21</w:t>
            </w:r>
          </w:p>
        </w:tc>
      </w:tr>
      <w:tr w:rsidR="005E0E6E" w:rsidRPr="00C14672" w14:paraId="5E53624F" w14:textId="77777777" w:rsidTr="001648F9">
        <w:trPr>
          <w:trHeight w:val="315"/>
        </w:trPr>
        <w:tc>
          <w:tcPr>
            <w:tcW w:w="5093" w:type="dxa"/>
            <w:noWrap/>
            <w:hideMark/>
          </w:tcPr>
          <w:p w14:paraId="469C865A" w14:textId="208ED6EB" w:rsidR="005E0E6E" w:rsidRPr="005211EB" w:rsidRDefault="005E0E6E" w:rsidP="001648F9">
            <w:pPr>
              <w:spacing w:before="60" w:beforeAutospacing="0" w:after="60"/>
              <w:contextualSpacing w:val="0"/>
            </w:pPr>
            <w:r w:rsidRPr="005211EB">
              <w:t>North Regional TAFE</w:t>
            </w:r>
          </w:p>
        </w:tc>
        <w:tc>
          <w:tcPr>
            <w:tcW w:w="1347" w:type="dxa"/>
            <w:noWrap/>
            <w:hideMark/>
          </w:tcPr>
          <w:p w14:paraId="7DDAFB2A" w14:textId="470DB7A6" w:rsidR="005E0E6E" w:rsidRPr="005E0E6E" w:rsidRDefault="005E0E6E" w:rsidP="001648F9">
            <w:pPr>
              <w:spacing w:before="60" w:beforeAutospacing="0" w:after="60"/>
              <w:contextualSpacing w:val="0"/>
              <w:jc w:val="right"/>
            </w:pPr>
            <w:r w:rsidRPr="005E0E6E">
              <w:t>311</w:t>
            </w:r>
          </w:p>
        </w:tc>
        <w:tc>
          <w:tcPr>
            <w:tcW w:w="1347" w:type="dxa"/>
            <w:noWrap/>
            <w:hideMark/>
          </w:tcPr>
          <w:p w14:paraId="54E27D9B" w14:textId="05F4AA97" w:rsidR="005E0E6E" w:rsidRPr="005E0E6E" w:rsidRDefault="005E0E6E" w:rsidP="001648F9">
            <w:pPr>
              <w:spacing w:before="60" w:beforeAutospacing="0" w:after="60"/>
              <w:contextualSpacing w:val="0"/>
              <w:jc w:val="right"/>
            </w:pPr>
            <w:r w:rsidRPr="005E0E6E">
              <w:t>280</w:t>
            </w:r>
          </w:p>
        </w:tc>
        <w:tc>
          <w:tcPr>
            <w:tcW w:w="1163" w:type="dxa"/>
            <w:noWrap/>
            <w:hideMark/>
          </w:tcPr>
          <w:p w14:paraId="0FF98D2F" w14:textId="277E0E9D" w:rsidR="005E0E6E" w:rsidRPr="005E0E6E" w:rsidRDefault="00A41CC5" w:rsidP="001648F9">
            <w:pPr>
              <w:spacing w:before="60" w:beforeAutospacing="0" w:after="60"/>
              <w:contextualSpacing w:val="0"/>
              <w:jc w:val="right"/>
            </w:pPr>
            <w:r>
              <w:t>+</w:t>
            </w:r>
            <w:r w:rsidR="005E0E6E" w:rsidRPr="005E0E6E">
              <w:t>10</w:t>
            </w:r>
          </w:p>
        </w:tc>
        <w:tc>
          <w:tcPr>
            <w:tcW w:w="1164" w:type="dxa"/>
            <w:noWrap/>
            <w:hideMark/>
          </w:tcPr>
          <w:p w14:paraId="73AA10CC" w14:textId="7DC71B55" w:rsidR="005E0E6E" w:rsidRPr="005E0E6E" w:rsidRDefault="005E0E6E" w:rsidP="001648F9">
            <w:pPr>
              <w:spacing w:before="60" w:beforeAutospacing="0" w:after="60"/>
              <w:contextualSpacing w:val="0"/>
              <w:jc w:val="right"/>
            </w:pPr>
            <w:r w:rsidRPr="005E0E6E">
              <w:t>-14</w:t>
            </w:r>
          </w:p>
        </w:tc>
      </w:tr>
      <w:tr w:rsidR="005E0E6E" w:rsidRPr="00C14672" w14:paraId="3DCEE4F7" w14:textId="77777777" w:rsidTr="001648F9">
        <w:trPr>
          <w:trHeight w:val="315"/>
        </w:trPr>
        <w:tc>
          <w:tcPr>
            <w:tcW w:w="5093" w:type="dxa"/>
            <w:noWrap/>
            <w:hideMark/>
          </w:tcPr>
          <w:p w14:paraId="3FEF68CF" w14:textId="27A736D0" w:rsidR="005E0E6E" w:rsidRPr="005211EB" w:rsidRDefault="005E0E6E" w:rsidP="001648F9">
            <w:pPr>
              <w:spacing w:before="60" w:beforeAutospacing="0" w:after="60"/>
              <w:contextualSpacing w:val="0"/>
            </w:pPr>
            <w:r w:rsidRPr="005211EB">
              <w:t>Office of the Director of Public Prosecutions</w:t>
            </w:r>
          </w:p>
        </w:tc>
        <w:tc>
          <w:tcPr>
            <w:tcW w:w="1347" w:type="dxa"/>
            <w:noWrap/>
            <w:hideMark/>
          </w:tcPr>
          <w:p w14:paraId="5E94AD8E" w14:textId="5FB7F257" w:rsidR="005E0E6E" w:rsidRPr="005E0E6E" w:rsidRDefault="005E0E6E" w:rsidP="001648F9">
            <w:pPr>
              <w:spacing w:before="60" w:beforeAutospacing="0" w:after="60"/>
              <w:contextualSpacing w:val="0"/>
              <w:jc w:val="right"/>
            </w:pPr>
            <w:r w:rsidRPr="005E0E6E">
              <w:t>296</w:t>
            </w:r>
          </w:p>
        </w:tc>
        <w:tc>
          <w:tcPr>
            <w:tcW w:w="1347" w:type="dxa"/>
            <w:noWrap/>
            <w:hideMark/>
          </w:tcPr>
          <w:p w14:paraId="08D3110F" w14:textId="52E04B73" w:rsidR="005E0E6E" w:rsidRPr="005E0E6E" w:rsidRDefault="005E0E6E" w:rsidP="001648F9">
            <w:pPr>
              <w:spacing w:before="60" w:beforeAutospacing="0" w:after="60"/>
              <w:contextualSpacing w:val="0"/>
              <w:jc w:val="right"/>
            </w:pPr>
            <w:r w:rsidRPr="005E0E6E">
              <w:t>268</w:t>
            </w:r>
          </w:p>
        </w:tc>
        <w:tc>
          <w:tcPr>
            <w:tcW w:w="1163" w:type="dxa"/>
            <w:noWrap/>
            <w:hideMark/>
          </w:tcPr>
          <w:p w14:paraId="24421237" w14:textId="0C33D15B" w:rsidR="005E0E6E" w:rsidRPr="005E0E6E" w:rsidRDefault="005E0E6E" w:rsidP="001648F9">
            <w:pPr>
              <w:spacing w:before="60" w:beforeAutospacing="0" w:after="60"/>
              <w:contextualSpacing w:val="0"/>
              <w:jc w:val="right"/>
            </w:pPr>
            <w:r w:rsidRPr="005E0E6E">
              <w:t>-2</w:t>
            </w:r>
          </w:p>
        </w:tc>
        <w:tc>
          <w:tcPr>
            <w:tcW w:w="1164" w:type="dxa"/>
            <w:noWrap/>
            <w:hideMark/>
          </w:tcPr>
          <w:p w14:paraId="15C19070" w14:textId="11E5B559" w:rsidR="005E0E6E" w:rsidRPr="005E0E6E" w:rsidRDefault="00A41CC5" w:rsidP="001648F9">
            <w:pPr>
              <w:spacing w:before="60" w:beforeAutospacing="0" w:after="60"/>
              <w:contextualSpacing w:val="0"/>
              <w:jc w:val="right"/>
            </w:pPr>
            <w:r>
              <w:t>+</w:t>
            </w:r>
            <w:r w:rsidR="005E0E6E" w:rsidRPr="005E0E6E">
              <w:t>14</w:t>
            </w:r>
          </w:p>
        </w:tc>
      </w:tr>
      <w:tr w:rsidR="005E0E6E" w:rsidRPr="00C14672" w14:paraId="688D8B78" w14:textId="77777777" w:rsidTr="001648F9">
        <w:trPr>
          <w:trHeight w:val="315"/>
        </w:trPr>
        <w:tc>
          <w:tcPr>
            <w:tcW w:w="5093" w:type="dxa"/>
            <w:noWrap/>
            <w:hideMark/>
          </w:tcPr>
          <w:p w14:paraId="4532AE1F" w14:textId="1AB23CB5" w:rsidR="005E0E6E" w:rsidRPr="005211EB" w:rsidRDefault="005E0E6E" w:rsidP="001648F9">
            <w:pPr>
              <w:spacing w:before="60" w:beforeAutospacing="0" w:after="60"/>
              <w:contextualSpacing w:val="0"/>
            </w:pPr>
            <w:r w:rsidRPr="005211EB">
              <w:t>Department of Treasury</w:t>
            </w:r>
          </w:p>
        </w:tc>
        <w:tc>
          <w:tcPr>
            <w:tcW w:w="1347" w:type="dxa"/>
            <w:noWrap/>
            <w:hideMark/>
          </w:tcPr>
          <w:p w14:paraId="444EC5A9" w14:textId="369FF81E" w:rsidR="005E0E6E" w:rsidRPr="005E0E6E" w:rsidRDefault="005E0E6E" w:rsidP="001648F9">
            <w:pPr>
              <w:spacing w:before="60" w:beforeAutospacing="0" w:after="60"/>
              <w:contextualSpacing w:val="0"/>
              <w:jc w:val="right"/>
            </w:pPr>
            <w:r w:rsidRPr="005E0E6E">
              <w:t>279</w:t>
            </w:r>
          </w:p>
        </w:tc>
        <w:tc>
          <w:tcPr>
            <w:tcW w:w="1347" w:type="dxa"/>
            <w:noWrap/>
            <w:hideMark/>
          </w:tcPr>
          <w:p w14:paraId="1D01BB8A" w14:textId="08186145" w:rsidR="005E0E6E" w:rsidRPr="005E0E6E" w:rsidRDefault="005E0E6E" w:rsidP="001648F9">
            <w:pPr>
              <w:spacing w:before="60" w:beforeAutospacing="0" w:after="60"/>
              <w:contextualSpacing w:val="0"/>
              <w:jc w:val="right"/>
            </w:pPr>
            <w:r w:rsidRPr="005E0E6E">
              <w:t>257</w:t>
            </w:r>
          </w:p>
        </w:tc>
        <w:tc>
          <w:tcPr>
            <w:tcW w:w="1163" w:type="dxa"/>
            <w:noWrap/>
            <w:hideMark/>
          </w:tcPr>
          <w:p w14:paraId="66845A1F" w14:textId="2A036412" w:rsidR="005E0E6E" w:rsidRPr="005E0E6E" w:rsidRDefault="00A41CC5" w:rsidP="001648F9">
            <w:pPr>
              <w:spacing w:before="60" w:beforeAutospacing="0" w:after="60"/>
              <w:contextualSpacing w:val="0"/>
              <w:jc w:val="right"/>
            </w:pPr>
            <w:r>
              <w:t>+</w:t>
            </w:r>
            <w:r w:rsidR="005E0E6E" w:rsidRPr="005E0E6E">
              <w:t>1</w:t>
            </w:r>
          </w:p>
        </w:tc>
        <w:tc>
          <w:tcPr>
            <w:tcW w:w="1164" w:type="dxa"/>
            <w:noWrap/>
            <w:hideMark/>
          </w:tcPr>
          <w:p w14:paraId="7E8251EA" w14:textId="5638FD55" w:rsidR="005E0E6E" w:rsidRPr="005E0E6E" w:rsidRDefault="005E0E6E" w:rsidP="001648F9">
            <w:pPr>
              <w:spacing w:before="60" w:beforeAutospacing="0" w:after="60"/>
              <w:contextualSpacing w:val="0"/>
              <w:jc w:val="right"/>
            </w:pPr>
            <w:r w:rsidRPr="005E0E6E">
              <w:t>-27</w:t>
            </w:r>
          </w:p>
        </w:tc>
      </w:tr>
      <w:tr w:rsidR="005E0E6E" w:rsidRPr="00C14672" w14:paraId="0B9716F0" w14:textId="77777777" w:rsidTr="001648F9">
        <w:trPr>
          <w:trHeight w:val="315"/>
        </w:trPr>
        <w:tc>
          <w:tcPr>
            <w:tcW w:w="5093" w:type="dxa"/>
            <w:noWrap/>
            <w:hideMark/>
          </w:tcPr>
          <w:p w14:paraId="192C7867" w14:textId="49FA3399" w:rsidR="005E0E6E" w:rsidRPr="005211EB" w:rsidRDefault="005E0E6E" w:rsidP="001648F9">
            <w:pPr>
              <w:spacing w:before="60" w:beforeAutospacing="0" w:after="60"/>
              <w:contextualSpacing w:val="0"/>
            </w:pPr>
            <w:proofErr w:type="spellStart"/>
            <w:r w:rsidRPr="005211EB">
              <w:t>Lotterywest</w:t>
            </w:r>
            <w:proofErr w:type="spellEnd"/>
          </w:p>
        </w:tc>
        <w:tc>
          <w:tcPr>
            <w:tcW w:w="1347" w:type="dxa"/>
            <w:noWrap/>
            <w:hideMark/>
          </w:tcPr>
          <w:p w14:paraId="5A13B9EB" w14:textId="234EB96C" w:rsidR="005E0E6E" w:rsidRPr="005E0E6E" w:rsidRDefault="005E0E6E" w:rsidP="001648F9">
            <w:pPr>
              <w:spacing w:before="60" w:beforeAutospacing="0" w:after="60"/>
              <w:contextualSpacing w:val="0"/>
              <w:jc w:val="right"/>
            </w:pPr>
            <w:r w:rsidRPr="005E0E6E">
              <w:t>258</w:t>
            </w:r>
          </w:p>
        </w:tc>
        <w:tc>
          <w:tcPr>
            <w:tcW w:w="1347" w:type="dxa"/>
            <w:noWrap/>
            <w:hideMark/>
          </w:tcPr>
          <w:p w14:paraId="41D0568B" w14:textId="1F7091F1" w:rsidR="005E0E6E" w:rsidRPr="005E0E6E" w:rsidRDefault="005E0E6E" w:rsidP="001648F9">
            <w:pPr>
              <w:spacing w:before="60" w:beforeAutospacing="0" w:after="60"/>
              <w:contextualSpacing w:val="0"/>
              <w:jc w:val="right"/>
            </w:pPr>
            <w:r w:rsidRPr="005E0E6E">
              <w:t>246</w:t>
            </w:r>
          </w:p>
        </w:tc>
        <w:tc>
          <w:tcPr>
            <w:tcW w:w="1163" w:type="dxa"/>
            <w:noWrap/>
            <w:hideMark/>
          </w:tcPr>
          <w:p w14:paraId="7094FB18" w14:textId="384975A9" w:rsidR="005E0E6E" w:rsidRPr="005E0E6E" w:rsidRDefault="005E0E6E" w:rsidP="001648F9">
            <w:pPr>
              <w:spacing w:before="60" w:beforeAutospacing="0" w:after="60"/>
              <w:contextualSpacing w:val="0"/>
              <w:jc w:val="right"/>
            </w:pPr>
            <w:r w:rsidRPr="005E0E6E">
              <w:t>-11</w:t>
            </w:r>
          </w:p>
        </w:tc>
        <w:tc>
          <w:tcPr>
            <w:tcW w:w="1164" w:type="dxa"/>
            <w:noWrap/>
            <w:hideMark/>
          </w:tcPr>
          <w:p w14:paraId="1E71B770" w14:textId="346AE290" w:rsidR="005E0E6E" w:rsidRPr="005E0E6E" w:rsidRDefault="00A41CC5" w:rsidP="001648F9">
            <w:pPr>
              <w:spacing w:before="60" w:beforeAutospacing="0" w:after="60"/>
              <w:contextualSpacing w:val="0"/>
              <w:jc w:val="right"/>
            </w:pPr>
            <w:r>
              <w:t>+</w:t>
            </w:r>
            <w:r w:rsidR="005E0E6E" w:rsidRPr="005E0E6E">
              <w:t>2</w:t>
            </w:r>
          </w:p>
        </w:tc>
      </w:tr>
      <w:tr w:rsidR="005E0E6E" w:rsidRPr="00C14672" w14:paraId="31938CD7" w14:textId="77777777" w:rsidTr="001648F9">
        <w:trPr>
          <w:trHeight w:val="315"/>
        </w:trPr>
        <w:tc>
          <w:tcPr>
            <w:tcW w:w="5093" w:type="dxa"/>
            <w:noWrap/>
            <w:hideMark/>
          </w:tcPr>
          <w:p w14:paraId="3E57A119" w14:textId="696CDBCD" w:rsidR="005E0E6E" w:rsidRPr="005211EB" w:rsidRDefault="005E0E6E" w:rsidP="001648F9">
            <w:pPr>
              <w:spacing w:before="60" w:beforeAutospacing="0" w:after="60"/>
              <w:contextualSpacing w:val="0"/>
            </w:pPr>
            <w:proofErr w:type="spellStart"/>
            <w:r w:rsidRPr="005211EB">
              <w:t>VenuesWest</w:t>
            </w:r>
            <w:proofErr w:type="spellEnd"/>
          </w:p>
        </w:tc>
        <w:tc>
          <w:tcPr>
            <w:tcW w:w="1347" w:type="dxa"/>
            <w:noWrap/>
            <w:hideMark/>
          </w:tcPr>
          <w:p w14:paraId="42CC007E" w14:textId="7F20D94B" w:rsidR="005E0E6E" w:rsidRPr="005E0E6E" w:rsidRDefault="005E0E6E" w:rsidP="001648F9">
            <w:pPr>
              <w:spacing w:before="60" w:beforeAutospacing="0" w:after="60"/>
              <w:contextualSpacing w:val="0"/>
              <w:jc w:val="right"/>
            </w:pPr>
            <w:r w:rsidRPr="005E0E6E">
              <w:t>233</w:t>
            </w:r>
          </w:p>
        </w:tc>
        <w:tc>
          <w:tcPr>
            <w:tcW w:w="1347" w:type="dxa"/>
            <w:noWrap/>
            <w:hideMark/>
          </w:tcPr>
          <w:p w14:paraId="273BB565" w14:textId="04839152" w:rsidR="005E0E6E" w:rsidRPr="005E0E6E" w:rsidRDefault="005E0E6E" w:rsidP="001648F9">
            <w:pPr>
              <w:spacing w:before="60" w:beforeAutospacing="0" w:after="60"/>
              <w:contextualSpacing w:val="0"/>
              <w:jc w:val="right"/>
            </w:pPr>
            <w:r w:rsidRPr="005E0E6E">
              <w:t>107</w:t>
            </w:r>
          </w:p>
        </w:tc>
        <w:tc>
          <w:tcPr>
            <w:tcW w:w="1163" w:type="dxa"/>
            <w:noWrap/>
            <w:hideMark/>
          </w:tcPr>
          <w:p w14:paraId="38AAB271" w14:textId="0526E379" w:rsidR="005E0E6E" w:rsidRPr="005E0E6E" w:rsidRDefault="005E0E6E" w:rsidP="001648F9">
            <w:pPr>
              <w:spacing w:before="60" w:beforeAutospacing="0" w:after="60"/>
              <w:contextualSpacing w:val="0"/>
              <w:jc w:val="right"/>
            </w:pPr>
            <w:r w:rsidRPr="005E0E6E">
              <w:t>-89</w:t>
            </w:r>
          </w:p>
        </w:tc>
        <w:tc>
          <w:tcPr>
            <w:tcW w:w="1164" w:type="dxa"/>
            <w:noWrap/>
            <w:hideMark/>
          </w:tcPr>
          <w:p w14:paraId="078C6F39" w14:textId="2869E059" w:rsidR="005E0E6E" w:rsidRPr="005E0E6E" w:rsidRDefault="005E0E6E" w:rsidP="001648F9">
            <w:pPr>
              <w:spacing w:before="60" w:beforeAutospacing="0" w:after="60"/>
              <w:contextualSpacing w:val="0"/>
              <w:jc w:val="right"/>
            </w:pPr>
            <w:r w:rsidRPr="005E0E6E">
              <w:t>-155</w:t>
            </w:r>
          </w:p>
        </w:tc>
      </w:tr>
      <w:tr w:rsidR="005E0E6E" w:rsidRPr="00C14672" w14:paraId="4476B0A9" w14:textId="77777777" w:rsidTr="001648F9">
        <w:trPr>
          <w:trHeight w:val="315"/>
        </w:trPr>
        <w:tc>
          <w:tcPr>
            <w:tcW w:w="5093" w:type="dxa"/>
            <w:noWrap/>
            <w:hideMark/>
          </w:tcPr>
          <w:p w14:paraId="048ED140" w14:textId="5C295A4D" w:rsidR="005E0E6E" w:rsidRPr="005211EB" w:rsidRDefault="005E0E6E" w:rsidP="001648F9">
            <w:pPr>
              <w:spacing w:before="60" w:beforeAutospacing="0" w:after="60"/>
              <w:contextualSpacing w:val="0"/>
            </w:pPr>
            <w:r w:rsidRPr="005211EB">
              <w:t>Forest Products Commission</w:t>
            </w:r>
          </w:p>
        </w:tc>
        <w:tc>
          <w:tcPr>
            <w:tcW w:w="1347" w:type="dxa"/>
            <w:noWrap/>
            <w:hideMark/>
          </w:tcPr>
          <w:p w14:paraId="75FE401D" w14:textId="1EA8E6E9" w:rsidR="005E0E6E" w:rsidRPr="005E0E6E" w:rsidRDefault="005E0E6E" w:rsidP="001648F9">
            <w:pPr>
              <w:spacing w:before="60" w:beforeAutospacing="0" w:after="60"/>
              <w:contextualSpacing w:val="0"/>
              <w:jc w:val="right"/>
            </w:pPr>
            <w:r w:rsidRPr="005E0E6E">
              <w:t>181</w:t>
            </w:r>
          </w:p>
        </w:tc>
        <w:tc>
          <w:tcPr>
            <w:tcW w:w="1347" w:type="dxa"/>
            <w:noWrap/>
            <w:hideMark/>
          </w:tcPr>
          <w:p w14:paraId="35EE9DC2" w14:textId="704FB87A" w:rsidR="005E0E6E" w:rsidRPr="005E0E6E" w:rsidRDefault="005E0E6E" w:rsidP="001648F9">
            <w:pPr>
              <w:spacing w:before="60" w:beforeAutospacing="0" w:after="60"/>
              <w:contextualSpacing w:val="0"/>
              <w:jc w:val="right"/>
            </w:pPr>
            <w:r w:rsidRPr="005E0E6E">
              <w:t>170</w:t>
            </w:r>
          </w:p>
        </w:tc>
        <w:tc>
          <w:tcPr>
            <w:tcW w:w="1163" w:type="dxa"/>
            <w:noWrap/>
            <w:hideMark/>
          </w:tcPr>
          <w:p w14:paraId="1E26F3D2" w14:textId="685BEBEE" w:rsidR="005E0E6E" w:rsidRPr="005E0E6E" w:rsidRDefault="005E0E6E" w:rsidP="001648F9">
            <w:pPr>
              <w:spacing w:before="60" w:beforeAutospacing="0" w:after="60"/>
              <w:contextualSpacing w:val="0"/>
              <w:jc w:val="right"/>
            </w:pPr>
            <w:r w:rsidRPr="005E0E6E">
              <w:t>-22</w:t>
            </w:r>
          </w:p>
        </w:tc>
        <w:tc>
          <w:tcPr>
            <w:tcW w:w="1164" w:type="dxa"/>
            <w:noWrap/>
            <w:hideMark/>
          </w:tcPr>
          <w:p w14:paraId="576478AF" w14:textId="03826FE1" w:rsidR="005E0E6E" w:rsidRPr="005E0E6E" w:rsidRDefault="00A41CC5" w:rsidP="001648F9">
            <w:pPr>
              <w:spacing w:before="60" w:beforeAutospacing="0" w:after="60"/>
              <w:contextualSpacing w:val="0"/>
              <w:jc w:val="right"/>
            </w:pPr>
            <w:r>
              <w:t>+</w:t>
            </w:r>
            <w:r w:rsidR="005E0E6E" w:rsidRPr="005E0E6E">
              <w:t>2</w:t>
            </w:r>
          </w:p>
        </w:tc>
      </w:tr>
      <w:tr w:rsidR="005E0E6E" w:rsidRPr="00C14672" w14:paraId="746E7068" w14:textId="77777777" w:rsidTr="001648F9">
        <w:trPr>
          <w:trHeight w:val="315"/>
        </w:trPr>
        <w:tc>
          <w:tcPr>
            <w:tcW w:w="5093" w:type="dxa"/>
            <w:noWrap/>
            <w:hideMark/>
          </w:tcPr>
          <w:p w14:paraId="18640A21" w14:textId="1BBA8590" w:rsidR="005E0E6E" w:rsidRPr="005211EB" w:rsidRDefault="005E0E6E" w:rsidP="001648F9">
            <w:pPr>
              <w:spacing w:before="60" w:beforeAutospacing="0" w:after="60"/>
              <w:contextualSpacing w:val="0"/>
            </w:pPr>
            <w:r w:rsidRPr="005211EB">
              <w:t>Office of the Auditor General</w:t>
            </w:r>
          </w:p>
        </w:tc>
        <w:tc>
          <w:tcPr>
            <w:tcW w:w="1347" w:type="dxa"/>
            <w:noWrap/>
            <w:hideMark/>
          </w:tcPr>
          <w:p w14:paraId="50E55972" w14:textId="44980EDA" w:rsidR="005E0E6E" w:rsidRPr="005E0E6E" w:rsidRDefault="005E0E6E" w:rsidP="001648F9">
            <w:pPr>
              <w:spacing w:before="60" w:beforeAutospacing="0" w:after="60"/>
              <w:contextualSpacing w:val="0"/>
              <w:jc w:val="right"/>
            </w:pPr>
            <w:r w:rsidRPr="005E0E6E">
              <w:t>171</w:t>
            </w:r>
          </w:p>
        </w:tc>
        <w:tc>
          <w:tcPr>
            <w:tcW w:w="1347" w:type="dxa"/>
            <w:noWrap/>
            <w:hideMark/>
          </w:tcPr>
          <w:p w14:paraId="09A552DE" w14:textId="4D700A09" w:rsidR="005E0E6E" w:rsidRPr="005E0E6E" w:rsidRDefault="005E0E6E" w:rsidP="001648F9">
            <w:pPr>
              <w:spacing w:before="60" w:beforeAutospacing="0" w:after="60"/>
              <w:contextualSpacing w:val="0"/>
              <w:jc w:val="right"/>
            </w:pPr>
            <w:r w:rsidRPr="005E0E6E">
              <w:t>159</w:t>
            </w:r>
          </w:p>
        </w:tc>
        <w:tc>
          <w:tcPr>
            <w:tcW w:w="1163" w:type="dxa"/>
            <w:noWrap/>
            <w:hideMark/>
          </w:tcPr>
          <w:p w14:paraId="2668CA12" w14:textId="5F22C182" w:rsidR="005E0E6E" w:rsidRPr="005E0E6E" w:rsidRDefault="00A41CC5" w:rsidP="001648F9">
            <w:pPr>
              <w:spacing w:before="60" w:beforeAutospacing="0" w:after="60"/>
              <w:contextualSpacing w:val="0"/>
              <w:jc w:val="right"/>
            </w:pPr>
            <w:r>
              <w:t>+</w:t>
            </w:r>
            <w:r w:rsidR="005E0E6E" w:rsidRPr="005E0E6E">
              <w:t>6</w:t>
            </w:r>
          </w:p>
        </w:tc>
        <w:tc>
          <w:tcPr>
            <w:tcW w:w="1164" w:type="dxa"/>
            <w:noWrap/>
            <w:hideMark/>
          </w:tcPr>
          <w:p w14:paraId="1D1CC997" w14:textId="3E0ABBBE" w:rsidR="005E0E6E" w:rsidRPr="005E0E6E" w:rsidRDefault="00A41CC5" w:rsidP="001648F9">
            <w:pPr>
              <w:spacing w:before="60" w:beforeAutospacing="0" w:after="60"/>
              <w:contextualSpacing w:val="0"/>
              <w:jc w:val="right"/>
            </w:pPr>
            <w:r>
              <w:t>+</w:t>
            </w:r>
            <w:r w:rsidR="005E0E6E" w:rsidRPr="005E0E6E">
              <w:t>2</w:t>
            </w:r>
          </w:p>
        </w:tc>
      </w:tr>
      <w:tr w:rsidR="005E0E6E" w:rsidRPr="00C14672" w14:paraId="7A90AFDB" w14:textId="77777777" w:rsidTr="001648F9">
        <w:trPr>
          <w:trHeight w:val="315"/>
        </w:trPr>
        <w:tc>
          <w:tcPr>
            <w:tcW w:w="5093" w:type="dxa"/>
            <w:noWrap/>
            <w:hideMark/>
          </w:tcPr>
          <w:p w14:paraId="4BDB3BB8" w14:textId="7435A1A1" w:rsidR="005E0E6E" w:rsidRPr="005211EB" w:rsidRDefault="005E0E6E" w:rsidP="001648F9">
            <w:pPr>
              <w:spacing w:before="60" w:beforeAutospacing="0" w:after="60"/>
              <w:contextualSpacing w:val="0"/>
            </w:pPr>
            <w:r w:rsidRPr="005211EB">
              <w:t>Metropolitan Cemeteries Board</w:t>
            </w:r>
          </w:p>
        </w:tc>
        <w:tc>
          <w:tcPr>
            <w:tcW w:w="1347" w:type="dxa"/>
            <w:noWrap/>
            <w:hideMark/>
          </w:tcPr>
          <w:p w14:paraId="348ED816" w14:textId="6D4E58A3" w:rsidR="005E0E6E" w:rsidRPr="005E0E6E" w:rsidRDefault="005E0E6E" w:rsidP="001648F9">
            <w:pPr>
              <w:spacing w:before="60" w:beforeAutospacing="0" w:after="60"/>
              <w:contextualSpacing w:val="0"/>
              <w:jc w:val="right"/>
            </w:pPr>
            <w:r w:rsidRPr="005E0E6E">
              <w:t>170</w:t>
            </w:r>
          </w:p>
        </w:tc>
        <w:tc>
          <w:tcPr>
            <w:tcW w:w="1347" w:type="dxa"/>
            <w:noWrap/>
            <w:hideMark/>
          </w:tcPr>
          <w:p w14:paraId="6704A074" w14:textId="5556431A" w:rsidR="005E0E6E" w:rsidRPr="005E0E6E" w:rsidRDefault="005E0E6E" w:rsidP="001648F9">
            <w:pPr>
              <w:spacing w:before="60" w:beforeAutospacing="0" w:after="60"/>
              <w:contextualSpacing w:val="0"/>
              <w:jc w:val="right"/>
            </w:pPr>
            <w:r w:rsidRPr="005E0E6E">
              <w:t>152</w:t>
            </w:r>
          </w:p>
        </w:tc>
        <w:tc>
          <w:tcPr>
            <w:tcW w:w="1163" w:type="dxa"/>
            <w:noWrap/>
            <w:hideMark/>
          </w:tcPr>
          <w:p w14:paraId="378C6186" w14:textId="188DCDA5" w:rsidR="005E0E6E" w:rsidRPr="005E0E6E" w:rsidRDefault="005E0E6E" w:rsidP="001648F9">
            <w:pPr>
              <w:spacing w:before="60" w:beforeAutospacing="0" w:after="60"/>
              <w:contextualSpacing w:val="0"/>
              <w:jc w:val="right"/>
            </w:pPr>
            <w:r w:rsidRPr="005E0E6E">
              <w:t>-3</w:t>
            </w:r>
          </w:p>
        </w:tc>
        <w:tc>
          <w:tcPr>
            <w:tcW w:w="1164" w:type="dxa"/>
            <w:noWrap/>
            <w:hideMark/>
          </w:tcPr>
          <w:p w14:paraId="1F86344A" w14:textId="3CD139EC" w:rsidR="005E0E6E" w:rsidRPr="005E0E6E" w:rsidRDefault="00A41CC5" w:rsidP="001648F9">
            <w:pPr>
              <w:spacing w:before="60" w:beforeAutospacing="0" w:after="60"/>
              <w:contextualSpacing w:val="0"/>
              <w:jc w:val="right"/>
            </w:pPr>
            <w:r>
              <w:t>+</w:t>
            </w:r>
            <w:r w:rsidR="005E0E6E" w:rsidRPr="005E0E6E">
              <w:t>5</w:t>
            </w:r>
          </w:p>
        </w:tc>
      </w:tr>
      <w:tr w:rsidR="005E0E6E" w:rsidRPr="00C14672" w14:paraId="424B810F" w14:textId="77777777" w:rsidTr="001648F9">
        <w:trPr>
          <w:trHeight w:val="315"/>
        </w:trPr>
        <w:tc>
          <w:tcPr>
            <w:tcW w:w="5093" w:type="dxa"/>
            <w:noWrap/>
            <w:hideMark/>
          </w:tcPr>
          <w:p w14:paraId="1BB74E82" w14:textId="16460465" w:rsidR="005E0E6E" w:rsidRPr="005211EB" w:rsidRDefault="005E0E6E" w:rsidP="001648F9">
            <w:pPr>
              <w:spacing w:before="60" w:beforeAutospacing="0" w:after="60"/>
              <w:contextualSpacing w:val="0"/>
            </w:pPr>
            <w:r w:rsidRPr="005211EB">
              <w:t>Public Sector Commission</w:t>
            </w:r>
          </w:p>
        </w:tc>
        <w:tc>
          <w:tcPr>
            <w:tcW w:w="1347" w:type="dxa"/>
            <w:noWrap/>
            <w:hideMark/>
          </w:tcPr>
          <w:p w14:paraId="624BA512" w14:textId="4187B248" w:rsidR="005E0E6E" w:rsidRPr="005E0E6E" w:rsidRDefault="005E0E6E" w:rsidP="001648F9">
            <w:pPr>
              <w:spacing w:before="60" w:beforeAutospacing="0" w:after="60"/>
              <w:contextualSpacing w:val="0"/>
              <w:jc w:val="right"/>
            </w:pPr>
            <w:r w:rsidRPr="005E0E6E">
              <w:t>149</w:t>
            </w:r>
          </w:p>
        </w:tc>
        <w:tc>
          <w:tcPr>
            <w:tcW w:w="1347" w:type="dxa"/>
            <w:noWrap/>
            <w:hideMark/>
          </w:tcPr>
          <w:p w14:paraId="0B088732" w14:textId="6612543F" w:rsidR="005E0E6E" w:rsidRPr="005E0E6E" w:rsidRDefault="005E0E6E" w:rsidP="001648F9">
            <w:pPr>
              <w:spacing w:before="60" w:beforeAutospacing="0" w:after="60"/>
              <w:contextualSpacing w:val="0"/>
              <w:jc w:val="right"/>
            </w:pPr>
            <w:r w:rsidRPr="005E0E6E">
              <w:t>117</w:t>
            </w:r>
          </w:p>
        </w:tc>
        <w:tc>
          <w:tcPr>
            <w:tcW w:w="1163" w:type="dxa"/>
            <w:noWrap/>
            <w:hideMark/>
          </w:tcPr>
          <w:p w14:paraId="613752F7" w14:textId="1A719E10" w:rsidR="005E0E6E" w:rsidRPr="005E0E6E" w:rsidRDefault="005E0E6E" w:rsidP="001648F9">
            <w:pPr>
              <w:spacing w:before="60" w:beforeAutospacing="0" w:after="60"/>
              <w:contextualSpacing w:val="0"/>
              <w:jc w:val="right"/>
            </w:pPr>
            <w:r w:rsidRPr="005E0E6E">
              <w:t>-4</w:t>
            </w:r>
          </w:p>
        </w:tc>
        <w:tc>
          <w:tcPr>
            <w:tcW w:w="1164" w:type="dxa"/>
            <w:noWrap/>
            <w:hideMark/>
          </w:tcPr>
          <w:p w14:paraId="2276CAB7" w14:textId="4945F76C" w:rsidR="005E0E6E" w:rsidRPr="005E0E6E" w:rsidRDefault="00A41CC5" w:rsidP="001648F9">
            <w:pPr>
              <w:spacing w:before="60" w:beforeAutospacing="0" w:after="60"/>
              <w:contextualSpacing w:val="0"/>
              <w:jc w:val="right"/>
            </w:pPr>
            <w:r>
              <w:t>+</w:t>
            </w:r>
            <w:r w:rsidR="005E0E6E" w:rsidRPr="005E0E6E">
              <w:t>15</w:t>
            </w:r>
          </w:p>
        </w:tc>
      </w:tr>
      <w:tr w:rsidR="005E0E6E" w:rsidRPr="00C14672" w14:paraId="7A19C751" w14:textId="77777777" w:rsidTr="001648F9">
        <w:trPr>
          <w:trHeight w:val="315"/>
        </w:trPr>
        <w:tc>
          <w:tcPr>
            <w:tcW w:w="5093" w:type="dxa"/>
            <w:noWrap/>
            <w:hideMark/>
          </w:tcPr>
          <w:p w14:paraId="65A2E73A" w14:textId="68B27D8E" w:rsidR="005E0E6E" w:rsidRPr="005211EB" w:rsidRDefault="005E0E6E" w:rsidP="001648F9">
            <w:pPr>
              <w:spacing w:before="60" w:beforeAutospacing="0" w:after="60"/>
              <w:contextualSpacing w:val="0"/>
            </w:pPr>
            <w:proofErr w:type="spellStart"/>
            <w:r w:rsidRPr="005211EB">
              <w:t>ChemCentre</w:t>
            </w:r>
            <w:proofErr w:type="spellEnd"/>
          </w:p>
        </w:tc>
        <w:tc>
          <w:tcPr>
            <w:tcW w:w="1347" w:type="dxa"/>
            <w:noWrap/>
            <w:hideMark/>
          </w:tcPr>
          <w:p w14:paraId="358D808D" w14:textId="48937E34" w:rsidR="005E0E6E" w:rsidRPr="005E0E6E" w:rsidRDefault="005E0E6E" w:rsidP="001648F9">
            <w:pPr>
              <w:spacing w:before="60" w:beforeAutospacing="0" w:after="60"/>
              <w:contextualSpacing w:val="0"/>
              <w:jc w:val="right"/>
            </w:pPr>
            <w:r w:rsidRPr="005E0E6E">
              <w:t>145</w:t>
            </w:r>
          </w:p>
        </w:tc>
        <w:tc>
          <w:tcPr>
            <w:tcW w:w="1347" w:type="dxa"/>
            <w:noWrap/>
            <w:hideMark/>
          </w:tcPr>
          <w:p w14:paraId="10896AF5" w14:textId="65136B40" w:rsidR="005E0E6E" w:rsidRPr="005E0E6E" w:rsidRDefault="005E0E6E" w:rsidP="001648F9">
            <w:pPr>
              <w:spacing w:before="60" w:beforeAutospacing="0" w:after="60"/>
              <w:contextualSpacing w:val="0"/>
              <w:jc w:val="right"/>
            </w:pPr>
            <w:r w:rsidRPr="005E0E6E">
              <w:t>136</w:t>
            </w:r>
          </w:p>
        </w:tc>
        <w:tc>
          <w:tcPr>
            <w:tcW w:w="1163" w:type="dxa"/>
            <w:noWrap/>
            <w:hideMark/>
          </w:tcPr>
          <w:p w14:paraId="02D8E24B" w14:textId="4E9A2FC2" w:rsidR="005E0E6E" w:rsidRPr="005E0E6E" w:rsidRDefault="005E0E6E" w:rsidP="001648F9">
            <w:pPr>
              <w:spacing w:before="60" w:beforeAutospacing="0" w:after="60"/>
              <w:contextualSpacing w:val="0"/>
              <w:jc w:val="right"/>
            </w:pPr>
            <w:r w:rsidRPr="005E0E6E">
              <w:t>-1</w:t>
            </w:r>
          </w:p>
        </w:tc>
        <w:tc>
          <w:tcPr>
            <w:tcW w:w="1164" w:type="dxa"/>
            <w:noWrap/>
            <w:hideMark/>
          </w:tcPr>
          <w:p w14:paraId="556E0DF1" w14:textId="1C31D203" w:rsidR="005E0E6E" w:rsidRPr="005E0E6E" w:rsidRDefault="00A41CC5" w:rsidP="001648F9">
            <w:pPr>
              <w:spacing w:before="60" w:beforeAutospacing="0" w:after="60"/>
              <w:contextualSpacing w:val="0"/>
              <w:jc w:val="right"/>
            </w:pPr>
            <w:r>
              <w:t>+</w:t>
            </w:r>
            <w:r w:rsidR="005E0E6E" w:rsidRPr="005E0E6E">
              <w:t>2</w:t>
            </w:r>
          </w:p>
        </w:tc>
      </w:tr>
      <w:tr w:rsidR="005E0E6E" w:rsidRPr="00C14672" w14:paraId="43AB44EC" w14:textId="77777777" w:rsidTr="001648F9">
        <w:trPr>
          <w:trHeight w:val="315"/>
        </w:trPr>
        <w:tc>
          <w:tcPr>
            <w:tcW w:w="5093" w:type="dxa"/>
            <w:noWrap/>
            <w:hideMark/>
          </w:tcPr>
          <w:p w14:paraId="4A006D6E" w14:textId="32D59E36" w:rsidR="005E0E6E" w:rsidRPr="005211EB" w:rsidRDefault="005E0E6E" w:rsidP="001648F9">
            <w:pPr>
              <w:spacing w:before="60" w:beforeAutospacing="0" w:after="60"/>
              <w:contextualSpacing w:val="0"/>
            </w:pPr>
            <w:proofErr w:type="spellStart"/>
            <w:r w:rsidRPr="005211EB">
              <w:t>WorkCover</w:t>
            </w:r>
            <w:proofErr w:type="spellEnd"/>
            <w:r w:rsidRPr="005211EB">
              <w:t xml:space="preserve"> Western Australia</w:t>
            </w:r>
          </w:p>
        </w:tc>
        <w:tc>
          <w:tcPr>
            <w:tcW w:w="1347" w:type="dxa"/>
            <w:noWrap/>
            <w:hideMark/>
          </w:tcPr>
          <w:p w14:paraId="0D72EA4F" w14:textId="0DB122C2" w:rsidR="005E0E6E" w:rsidRPr="005E0E6E" w:rsidRDefault="005E0E6E" w:rsidP="001648F9">
            <w:pPr>
              <w:spacing w:before="60" w:beforeAutospacing="0" w:after="60"/>
              <w:contextualSpacing w:val="0"/>
              <w:jc w:val="right"/>
            </w:pPr>
            <w:r w:rsidRPr="005E0E6E">
              <w:t>135</w:t>
            </w:r>
          </w:p>
        </w:tc>
        <w:tc>
          <w:tcPr>
            <w:tcW w:w="1347" w:type="dxa"/>
            <w:noWrap/>
            <w:hideMark/>
          </w:tcPr>
          <w:p w14:paraId="0C9387E8" w14:textId="12537399" w:rsidR="005E0E6E" w:rsidRPr="005E0E6E" w:rsidRDefault="005E0E6E" w:rsidP="001648F9">
            <w:pPr>
              <w:spacing w:before="60" w:beforeAutospacing="0" w:after="60"/>
              <w:contextualSpacing w:val="0"/>
              <w:jc w:val="right"/>
            </w:pPr>
            <w:r w:rsidRPr="005E0E6E">
              <w:t>126</w:t>
            </w:r>
          </w:p>
        </w:tc>
        <w:tc>
          <w:tcPr>
            <w:tcW w:w="1163" w:type="dxa"/>
            <w:noWrap/>
            <w:hideMark/>
          </w:tcPr>
          <w:p w14:paraId="12D19365" w14:textId="53667031" w:rsidR="005E0E6E" w:rsidRPr="005E0E6E" w:rsidRDefault="00A41CC5" w:rsidP="001648F9">
            <w:pPr>
              <w:spacing w:before="60" w:beforeAutospacing="0" w:after="60"/>
              <w:contextualSpacing w:val="0"/>
              <w:jc w:val="right"/>
            </w:pPr>
            <w:r>
              <w:t>+</w:t>
            </w:r>
            <w:r w:rsidR="005E0E6E" w:rsidRPr="005E0E6E">
              <w:t>2</w:t>
            </w:r>
          </w:p>
        </w:tc>
        <w:tc>
          <w:tcPr>
            <w:tcW w:w="1164" w:type="dxa"/>
            <w:noWrap/>
            <w:hideMark/>
          </w:tcPr>
          <w:p w14:paraId="0D104171" w14:textId="5AE58814" w:rsidR="005E0E6E" w:rsidRPr="005E0E6E" w:rsidRDefault="005E0E6E" w:rsidP="001648F9">
            <w:pPr>
              <w:spacing w:before="60" w:beforeAutospacing="0" w:after="60"/>
              <w:contextualSpacing w:val="0"/>
              <w:jc w:val="right"/>
            </w:pPr>
            <w:r w:rsidRPr="005E0E6E">
              <w:t>0</w:t>
            </w:r>
          </w:p>
        </w:tc>
      </w:tr>
      <w:tr w:rsidR="005E0E6E" w:rsidRPr="00C14672" w14:paraId="1E22F7B4" w14:textId="77777777" w:rsidTr="001648F9">
        <w:trPr>
          <w:trHeight w:val="315"/>
        </w:trPr>
        <w:tc>
          <w:tcPr>
            <w:tcW w:w="5093" w:type="dxa"/>
            <w:noWrap/>
            <w:hideMark/>
          </w:tcPr>
          <w:p w14:paraId="1C7FE668" w14:textId="14EDA2E4" w:rsidR="005E0E6E" w:rsidRPr="005211EB" w:rsidRDefault="005E0E6E" w:rsidP="001648F9">
            <w:pPr>
              <w:spacing w:before="60" w:beforeAutospacing="0" w:after="60"/>
              <w:contextualSpacing w:val="0"/>
            </w:pPr>
            <w:r w:rsidRPr="005211EB">
              <w:t>Corruption and Crime Commission</w:t>
            </w:r>
          </w:p>
        </w:tc>
        <w:tc>
          <w:tcPr>
            <w:tcW w:w="1347" w:type="dxa"/>
            <w:noWrap/>
            <w:hideMark/>
          </w:tcPr>
          <w:p w14:paraId="71B6E0FF" w14:textId="2D163BF3" w:rsidR="005E0E6E" w:rsidRPr="005E0E6E" w:rsidRDefault="005E0E6E" w:rsidP="001648F9">
            <w:pPr>
              <w:spacing w:before="60" w:beforeAutospacing="0" w:after="60"/>
              <w:contextualSpacing w:val="0"/>
              <w:jc w:val="right"/>
            </w:pPr>
            <w:r w:rsidRPr="005E0E6E">
              <w:t>133</w:t>
            </w:r>
          </w:p>
        </w:tc>
        <w:tc>
          <w:tcPr>
            <w:tcW w:w="1347" w:type="dxa"/>
            <w:noWrap/>
            <w:hideMark/>
          </w:tcPr>
          <w:p w14:paraId="0FE27FD7" w14:textId="1EC7F1F5" w:rsidR="005E0E6E" w:rsidRPr="005E0E6E" w:rsidRDefault="005E0E6E" w:rsidP="001648F9">
            <w:pPr>
              <w:spacing w:before="60" w:beforeAutospacing="0" w:after="60"/>
              <w:contextualSpacing w:val="0"/>
              <w:jc w:val="right"/>
            </w:pPr>
            <w:r w:rsidRPr="005E0E6E">
              <w:t>126</w:t>
            </w:r>
          </w:p>
        </w:tc>
        <w:tc>
          <w:tcPr>
            <w:tcW w:w="1163" w:type="dxa"/>
            <w:noWrap/>
            <w:hideMark/>
          </w:tcPr>
          <w:p w14:paraId="7F4F0F7A" w14:textId="1BEAEB15" w:rsidR="005E0E6E" w:rsidRPr="005E0E6E" w:rsidRDefault="00A41CC5" w:rsidP="001648F9">
            <w:pPr>
              <w:spacing w:before="60" w:beforeAutospacing="0" w:after="60"/>
              <w:contextualSpacing w:val="0"/>
              <w:jc w:val="right"/>
            </w:pPr>
            <w:r>
              <w:t>+</w:t>
            </w:r>
            <w:r w:rsidR="005E0E6E" w:rsidRPr="005E0E6E">
              <w:t>1</w:t>
            </w:r>
          </w:p>
        </w:tc>
        <w:tc>
          <w:tcPr>
            <w:tcW w:w="1164" w:type="dxa"/>
            <w:noWrap/>
            <w:hideMark/>
          </w:tcPr>
          <w:p w14:paraId="1711BA40" w14:textId="3AF7D230" w:rsidR="005E0E6E" w:rsidRPr="005E0E6E" w:rsidRDefault="00A41CC5" w:rsidP="001648F9">
            <w:pPr>
              <w:spacing w:before="60" w:beforeAutospacing="0" w:after="60"/>
              <w:contextualSpacing w:val="0"/>
              <w:jc w:val="right"/>
            </w:pPr>
            <w:r>
              <w:t>+</w:t>
            </w:r>
            <w:r w:rsidR="005E0E6E" w:rsidRPr="005E0E6E">
              <w:t>6</w:t>
            </w:r>
          </w:p>
        </w:tc>
      </w:tr>
      <w:tr w:rsidR="005E0E6E" w:rsidRPr="00C14672" w14:paraId="6A64CDF5" w14:textId="77777777" w:rsidTr="001648F9">
        <w:trPr>
          <w:trHeight w:val="315"/>
        </w:trPr>
        <w:tc>
          <w:tcPr>
            <w:tcW w:w="5093" w:type="dxa"/>
            <w:noWrap/>
            <w:hideMark/>
          </w:tcPr>
          <w:p w14:paraId="3E856EAF" w14:textId="754B144B" w:rsidR="005E0E6E" w:rsidRPr="005211EB" w:rsidRDefault="005E0E6E" w:rsidP="001648F9">
            <w:pPr>
              <w:spacing w:before="60" w:beforeAutospacing="0" w:after="60"/>
              <w:contextualSpacing w:val="0"/>
            </w:pPr>
            <w:r w:rsidRPr="005211EB">
              <w:t>Ombudsman Western Australia</w:t>
            </w:r>
          </w:p>
        </w:tc>
        <w:tc>
          <w:tcPr>
            <w:tcW w:w="1347" w:type="dxa"/>
            <w:noWrap/>
            <w:hideMark/>
          </w:tcPr>
          <w:p w14:paraId="1FF4158E" w14:textId="7AF949D1" w:rsidR="005E0E6E" w:rsidRPr="005E0E6E" w:rsidRDefault="005E0E6E" w:rsidP="001648F9">
            <w:pPr>
              <w:spacing w:before="60" w:beforeAutospacing="0" w:after="60"/>
              <w:contextualSpacing w:val="0"/>
              <w:jc w:val="right"/>
            </w:pPr>
            <w:r w:rsidRPr="005E0E6E">
              <w:t>76</w:t>
            </w:r>
          </w:p>
        </w:tc>
        <w:tc>
          <w:tcPr>
            <w:tcW w:w="1347" w:type="dxa"/>
            <w:noWrap/>
            <w:hideMark/>
          </w:tcPr>
          <w:p w14:paraId="71EBA43A" w14:textId="1EEB33AB" w:rsidR="005E0E6E" w:rsidRPr="005E0E6E" w:rsidRDefault="005E0E6E" w:rsidP="001648F9">
            <w:pPr>
              <w:spacing w:before="60" w:beforeAutospacing="0" w:after="60"/>
              <w:contextualSpacing w:val="0"/>
              <w:jc w:val="right"/>
            </w:pPr>
            <w:r w:rsidRPr="005E0E6E">
              <w:t>65</w:t>
            </w:r>
          </w:p>
        </w:tc>
        <w:tc>
          <w:tcPr>
            <w:tcW w:w="1163" w:type="dxa"/>
            <w:noWrap/>
            <w:hideMark/>
          </w:tcPr>
          <w:p w14:paraId="78083562" w14:textId="1E4951F5" w:rsidR="005E0E6E" w:rsidRPr="005E0E6E" w:rsidRDefault="00A41CC5" w:rsidP="001648F9">
            <w:pPr>
              <w:spacing w:before="60" w:beforeAutospacing="0" w:after="60"/>
              <w:contextualSpacing w:val="0"/>
              <w:jc w:val="right"/>
            </w:pPr>
            <w:r>
              <w:t>+</w:t>
            </w:r>
            <w:r w:rsidR="005E0E6E" w:rsidRPr="005E0E6E">
              <w:t>1</w:t>
            </w:r>
          </w:p>
        </w:tc>
        <w:tc>
          <w:tcPr>
            <w:tcW w:w="1164" w:type="dxa"/>
            <w:noWrap/>
            <w:hideMark/>
          </w:tcPr>
          <w:p w14:paraId="6DF4FB97" w14:textId="6DCF0B77" w:rsidR="005E0E6E" w:rsidRPr="005E0E6E" w:rsidRDefault="00A41CC5" w:rsidP="001648F9">
            <w:pPr>
              <w:spacing w:before="60" w:beforeAutospacing="0" w:after="60"/>
              <w:contextualSpacing w:val="0"/>
              <w:jc w:val="right"/>
            </w:pPr>
            <w:r>
              <w:t>+</w:t>
            </w:r>
            <w:r w:rsidR="005E0E6E" w:rsidRPr="005E0E6E">
              <w:t>1</w:t>
            </w:r>
          </w:p>
        </w:tc>
      </w:tr>
      <w:tr w:rsidR="005E0E6E" w:rsidRPr="00C14672" w14:paraId="56A3C84A" w14:textId="77777777" w:rsidTr="001648F9">
        <w:trPr>
          <w:trHeight w:val="315"/>
        </w:trPr>
        <w:tc>
          <w:tcPr>
            <w:tcW w:w="5093" w:type="dxa"/>
            <w:noWrap/>
            <w:hideMark/>
          </w:tcPr>
          <w:p w14:paraId="383E24D1" w14:textId="14FE6C94" w:rsidR="005E0E6E" w:rsidRPr="005211EB" w:rsidRDefault="005E0E6E" w:rsidP="001648F9">
            <w:pPr>
              <w:spacing w:before="60" w:beforeAutospacing="0" w:after="60"/>
              <w:contextualSpacing w:val="0"/>
            </w:pPr>
            <w:r w:rsidRPr="005211EB">
              <w:t>Economic Regulation Authority</w:t>
            </w:r>
          </w:p>
        </w:tc>
        <w:tc>
          <w:tcPr>
            <w:tcW w:w="1347" w:type="dxa"/>
            <w:noWrap/>
            <w:hideMark/>
          </w:tcPr>
          <w:p w14:paraId="43174695" w14:textId="0D35DC34" w:rsidR="005E0E6E" w:rsidRPr="005E0E6E" w:rsidRDefault="005E0E6E" w:rsidP="001648F9">
            <w:pPr>
              <w:spacing w:before="60" w:beforeAutospacing="0" w:after="60"/>
              <w:contextualSpacing w:val="0"/>
              <w:jc w:val="right"/>
            </w:pPr>
            <w:r w:rsidRPr="005E0E6E">
              <w:t>70</w:t>
            </w:r>
          </w:p>
        </w:tc>
        <w:tc>
          <w:tcPr>
            <w:tcW w:w="1347" w:type="dxa"/>
            <w:noWrap/>
            <w:hideMark/>
          </w:tcPr>
          <w:p w14:paraId="6EFBA81B" w14:textId="429A6DF5" w:rsidR="005E0E6E" w:rsidRPr="005E0E6E" w:rsidRDefault="005E0E6E" w:rsidP="001648F9">
            <w:pPr>
              <w:spacing w:before="60" w:beforeAutospacing="0" w:after="60"/>
              <w:contextualSpacing w:val="0"/>
              <w:jc w:val="right"/>
            </w:pPr>
            <w:r w:rsidRPr="005E0E6E">
              <w:t>64</w:t>
            </w:r>
          </w:p>
        </w:tc>
        <w:tc>
          <w:tcPr>
            <w:tcW w:w="1163" w:type="dxa"/>
            <w:noWrap/>
            <w:hideMark/>
          </w:tcPr>
          <w:p w14:paraId="476CF5D1" w14:textId="7AB9B8F2" w:rsidR="005E0E6E" w:rsidRPr="005E0E6E" w:rsidRDefault="005E0E6E" w:rsidP="001648F9">
            <w:pPr>
              <w:spacing w:before="60" w:beforeAutospacing="0" w:after="60"/>
              <w:contextualSpacing w:val="0"/>
              <w:jc w:val="right"/>
            </w:pPr>
            <w:r w:rsidRPr="005E0E6E">
              <w:t>-1</w:t>
            </w:r>
          </w:p>
        </w:tc>
        <w:tc>
          <w:tcPr>
            <w:tcW w:w="1164" w:type="dxa"/>
            <w:noWrap/>
            <w:hideMark/>
          </w:tcPr>
          <w:p w14:paraId="3A1F1CE1" w14:textId="0423D5D5" w:rsidR="005E0E6E" w:rsidRPr="005E0E6E" w:rsidRDefault="00A41CC5" w:rsidP="001648F9">
            <w:pPr>
              <w:spacing w:before="60" w:beforeAutospacing="0" w:after="60"/>
              <w:contextualSpacing w:val="0"/>
              <w:jc w:val="right"/>
            </w:pPr>
            <w:r>
              <w:t>+</w:t>
            </w:r>
            <w:r w:rsidR="005E0E6E" w:rsidRPr="005E0E6E">
              <w:t>5</w:t>
            </w:r>
          </w:p>
        </w:tc>
      </w:tr>
      <w:tr w:rsidR="005E0E6E" w:rsidRPr="00C14672" w14:paraId="5A59E187" w14:textId="77777777" w:rsidTr="001648F9">
        <w:trPr>
          <w:trHeight w:val="315"/>
        </w:trPr>
        <w:tc>
          <w:tcPr>
            <w:tcW w:w="5093" w:type="dxa"/>
            <w:noWrap/>
            <w:hideMark/>
          </w:tcPr>
          <w:p w14:paraId="6447B5F1" w14:textId="6B6DB577" w:rsidR="005E0E6E" w:rsidRPr="005211EB" w:rsidRDefault="005E0E6E" w:rsidP="001648F9">
            <w:pPr>
              <w:spacing w:before="60" w:beforeAutospacing="0" w:after="60"/>
              <w:contextualSpacing w:val="0"/>
            </w:pPr>
            <w:r w:rsidRPr="005211EB">
              <w:t>Small Business Development Corporation</w:t>
            </w:r>
          </w:p>
        </w:tc>
        <w:tc>
          <w:tcPr>
            <w:tcW w:w="1347" w:type="dxa"/>
            <w:noWrap/>
            <w:hideMark/>
          </w:tcPr>
          <w:p w14:paraId="2E1BD071" w14:textId="6AC45CBA" w:rsidR="005E0E6E" w:rsidRPr="005E0E6E" w:rsidRDefault="005E0E6E" w:rsidP="001648F9">
            <w:pPr>
              <w:spacing w:before="60" w:beforeAutospacing="0" w:after="60"/>
              <w:contextualSpacing w:val="0"/>
              <w:jc w:val="right"/>
            </w:pPr>
            <w:r w:rsidRPr="005E0E6E">
              <w:t>61</w:t>
            </w:r>
          </w:p>
        </w:tc>
        <w:tc>
          <w:tcPr>
            <w:tcW w:w="1347" w:type="dxa"/>
            <w:noWrap/>
            <w:hideMark/>
          </w:tcPr>
          <w:p w14:paraId="7C185C7C" w14:textId="79ABC2E2" w:rsidR="005E0E6E" w:rsidRPr="005E0E6E" w:rsidRDefault="005E0E6E" w:rsidP="001648F9">
            <w:pPr>
              <w:spacing w:before="60" w:beforeAutospacing="0" w:after="60"/>
              <w:contextualSpacing w:val="0"/>
              <w:jc w:val="right"/>
            </w:pPr>
            <w:r w:rsidRPr="005E0E6E">
              <w:t>55</w:t>
            </w:r>
          </w:p>
        </w:tc>
        <w:tc>
          <w:tcPr>
            <w:tcW w:w="1163" w:type="dxa"/>
            <w:noWrap/>
            <w:hideMark/>
          </w:tcPr>
          <w:p w14:paraId="4DA0EE4B" w14:textId="0048C6C7" w:rsidR="005E0E6E" w:rsidRPr="005E0E6E" w:rsidRDefault="005E0E6E" w:rsidP="001648F9">
            <w:pPr>
              <w:spacing w:before="60" w:beforeAutospacing="0" w:after="60"/>
              <w:contextualSpacing w:val="0"/>
              <w:jc w:val="right"/>
            </w:pPr>
            <w:r w:rsidRPr="005E0E6E">
              <w:t>-2</w:t>
            </w:r>
          </w:p>
        </w:tc>
        <w:tc>
          <w:tcPr>
            <w:tcW w:w="1164" w:type="dxa"/>
            <w:noWrap/>
            <w:hideMark/>
          </w:tcPr>
          <w:p w14:paraId="31E286CB" w14:textId="2E260894" w:rsidR="005E0E6E" w:rsidRPr="005E0E6E" w:rsidRDefault="00A41CC5" w:rsidP="001648F9">
            <w:pPr>
              <w:spacing w:before="60" w:beforeAutospacing="0" w:after="60"/>
              <w:contextualSpacing w:val="0"/>
              <w:jc w:val="right"/>
            </w:pPr>
            <w:r>
              <w:t>+</w:t>
            </w:r>
            <w:r w:rsidR="005E0E6E" w:rsidRPr="005E0E6E">
              <w:t>2</w:t>
            </w:r>
          </w:p>
        </w:tc>
      </w:tr>
      <w:tr w:rsidR="005E0E6E" w:rsidRPr="00C14672" w14:paraId="4AEACCAB" w14:textId="77777777" w:rsidTr="001648F9">
        <w:trPr>
          <w:trHeight w:val="315"/>
        </w:trPr>
        <w:tc>
          <w:tcPr>
            <w:tcW w:w="5093" w:type="dxa"/>
            <w:noWrap/>
            <w:hideMark/>
          </w:tcPr>
          <w:p w14:paraId="452DD255" w14:textId="1103F577" w:rsidR="005E0E6E" w:rsidRPr="005211EB" w:rsidRDefault="005E0E6E" w:rsidP="001648F9">
            <w:pPr>
              <w:spacing w:before="60" w:beforeAutospacing="0" w:after="60"/>
              <w:contextualSpacing w:val="0"/>
            </w:pPr>
            <w:r w:rsidRPr="005211EB">
              <w:t>Animal Resources Centre</w:t>
            </w:r>
          </w:p>
        </w:tc>
        <w:tc>
          <w:tcPr>
            <w:tcW w:w="1347" w:type="dxa"/>
            <w:noWrap/>
            <w:hideMark/>
          </w:tcPr>
          <w:p w14:paraId="09EADC00" w14:textId="106E964D" w:rsidR="005E0E6E" w:rsidRPr="005E0E6E" w:rsidRDefault="005E0E6E" w:rsidP="001648F9">
            <w:pPr>
              <w:spacing w:before="60" w:beforeAutospacing="0" w:after="60"/>
              <w:contextualSpacing w:val="0"/>
              <w:jc w:val="right"/>
            </w:pPr>
            <w:r w:rsidRPr="005E0E6E">
              <w:t>60</w:t>
            </w:r>
          </w:p>
        </w:tc>
        <w:tc>
          <w:tcPr>
            <w:tcW w:w="1347" w:type="dxa"/>
            <w:noWrap/>
            <w:hideMark/>
          </w:tcPr>
          <w:p w14:paraId="1206ACAB" w14:textId="00DCA458" w:rsidR="005E0E6E" w:rsidRPr="005E0E6E" w:rsidRDefault="005E0E6E" w:rsidP="001648F9">
            <w:pPr>
              <w:spacing w:before="60" w:beforeAutospacing="0" w:after="60"/>
              <w:contextualSpacing w:val="0"/>
              <w:jc w:val="right"/>
            </w:pPr>
            <w:r w:rsidRPr="005E0E6E">
              <w:t>56</w:t>
            </w:r>
          </w:p>
        </w:tc>
        <w:tc>
          <w:tcPr>
            <w:tcW w:w="1163" w:type="dxa"/>
            <w:noWrap/>
            <w:hideMark/>
          </w:tcPr>
          <w:p w14:paraId="251AC63C" w14:textId="36E7805A" w:rsidR="005E0E6E" w:rsidRPr="005E0E6E" w:rsidRDefault="005E0E6E" w:rsidP="001648F9">
            <w:pPr>
              <w:spacing w:before="60" w:beforeAutospacing="0" w:after="60"/>
              <w:contextualSpacing w:val="0"/>
              <w:jc w:val="right"/>
            </w:pPr>
            <w:r w:rsidRPr="005E0E6E">
              <w:t>-6</w:t>
            </w:r>
          </w:p>
        </w:tc>
        <w:tc>
          <w:tcPr>
            <w:tcW w:w="1164" w:type="dxa"/>
            <w:noWrap/>
            <w:hideMark/>
          </w:tcPr>
          <w:p w14:paraId="0F33A26C" w14:textId="5E6B8D90" w:rsidR="005E0E6E" w:rsidRPr="005E0E6E" w:rsidRDefault="005E0E6E" w:rsidP="001648F9">
            <w:pPr>
              <w:spacing w:before="60" w:beforeAutospacing="0" w:after="60"/>
              <w:contextualSpacing w:val="0"/>
              <w:jc w:val="right"/>
            </w:pPr>
            <w:r w:rsidRPr="005E0E6E">
              <w:t>-5</w:t>
            </w:r>
          </w:p>
        </w:tc>
      </w:tr>
      <w:tr w:rsidR="005E0E6E" w:rsidRPr="00C14672" w14:paraId="30E54262" w14:textId="77777777" w:rsidTr="001648F9">
        <w:trPr>
          <w:trHeight w:val="315"/>
        </w:trPr>
        <w:tc>
          <w:tcPr>
            <w:tcW w:w="5093" w:type="dxa"/>
            <w:noWrap/>
            <w:hideMark/>
          </w:tcPr>
          <w:p w14:paraId="2CBAA83E" w14:textId="538F6581" w:rsidR="005E0E6E" w:rsidRPr="005211EB" w:rsidRDefault="005E0E6E" w:rsidP="001648F9">
            <w:pPr>
              <w:spacing w:before="60" w:beforeAutospacing="0" w:after="60"/>
              <w:contextualSpacing w:val="0"/>
            </w:pPr>
            <w:r w:rsidRPr="005211EB">
              <w:t>GESB</w:t>
            </w:r>
          </w:p>
        </w:tc>
        <w:tc>
          <w:tcPr>
            <w:tcW w:w="1347" w:type="dxa"/>
            <w:noWrap/>
            <w:hideMark/>
          </w:tcPr>
          <w:p w14:paraId="0FD5307D" w14:textId="14B0A194" w:rsidR="005E0E6E" w:rsidRPr="005E0E6E" w:rsidRDefault="005E0E6E" w:rsidP="001648F9">
            <w:pPr>
              <w:spacing w:before="60" w:beforeAutospacing="0" w:after="60"/>
              <w:contextualSpacing w:val="0"/>
              <w:jc w:val="right"/>
            </w:pPr>
            <w:r w:rsidRPr="005E0E6E">
              <w:t>58</w:t>
            </w:r>
          </w:p>
        </w:tc>
        <w:tc>
          <w:tcPr>
            <w:tcW w:w="1347" w:type="dxa"/>
            <w:noWrap/>
            <w:hideMark/>
          </w:tcPr>
          <w:p w14:paraId="00B1D659" w14:textId="68E6FFDE" w:rsidR="005E0E6E" w:rsidRPr="005E0E6E" w:rsidRDefault="005E0E6E" w:rsidP="001648F9">
            <w:pPr>
              <w:spacing w:before="60" w:beforeAutospacing="0" w:after="60"/>
              <w:contextualSpacing w:val="0"/>
              <w:jc w:val="right"/>
            </w:pPr>
            <w:r w:rsidRPr="005E0E6E">
              <w:t>52</w:t>
            </w:r>
          </w:p>
        </w:tc>
        <w:tc>
          <w:tcPr>
            <w:tcW w:w="1163" w:type="dxa"/>
            <w:noWrap/>
            <w:hideMark/>
          </w:tcPr>
          <w:p w14:paraId="4178CAE1" w14:textId="7DD9E8DC" w:rsidR="005E0E6E" w:rsidRPr="005E0E6E" w:rsidRDefault="00A41CC5" w:rsidP="001648F9">
            <w:pPr>
              <w:spacing w:before="60" w:beforeAutospacing="0" w:after="60"/>
              <w:contextualSpacing w:val="0"/>
              <w:jc w:val="right"/>
            </w:pPr>
            <w:r>
              <w:t>+</w:t>
            </w:r>
            <w:r w:rsidR="005E0E6E" w:rsidRPr="005E0E6E">
              <w:t>1</w:t>
            </w:r>
          </w:p>
        </w:tc>
        <w:tc>
          <w:tcPr>
            <w:tcW w:w="1164" w:type="dxa"/>
            <w:noWrap/>
            <w:hideMark/>
          </w:tcPr>
          <w:p w14:paraId="520BFC92" w14:textId="180FB882" w:rsidR="005E0E6E" w:rsidRPr="005E0E6E" w:rsidRDefault="00A41CC5" w:rsidP="001648F9">
            <w:pPr>
              <w:spacing w:before="60" w:beforeAutospacing="0" w:after="60"/>
              <w:contextualSpacing w:val="0"/>
              <w:jc w:val="right"/>
            </w:pPr>
            <w:r>
              <w:t>+</w:t>
            </w:r>
            <w:r w:rsidR="005E0E6E" w:rsidRPr="005E0E6E">
              <w:t>4</w:t>
            </w:r>
          </w:p>
        </w:tc>
      </w:tr>
      <w:tr w:rsidR="005E0E6E" w:rsidRPr="00C14672" w14:paraId="01D5BAF4" w14:textId="77777777" w:rsidTr="001648F9">
        <w:trPr>
          <w:trHeight w:val="315"/>
        </w:trPr>
        <w:tc>
          <w:tcPr>
            <w:tcW w:w="5093" w:type="dxa"/>
            <w:noWrap/>
            <w:hideMark/>
          </w:tcPr>
          <w:p w14:paraId="66307F2B" w14:textId="5863650E" w:rsidR="005E0E6E" w:rsidRPr="005211EB" w:rsidRDefault="005E0E6E" w:rsidP="001648F9">
            <w:pPr>
              <w:spacing w:before="60" w:beforeAutospacing="0" w:after="60"/>
              <w:contextualSpacing w:val="0"/>
            </w:pPr>
            <w:r w:rsidRPr="005211EB">
              <w:t>Metropolitan Redevelopment Authority</w:t>
            </w:r>
            <w:r w:rsidR="00647C0A">
              <w:rPr>
                <w:rStyle w:val="EndnoteReference"/>
              </w:rPr>
              <w:endnoteReference w:id="6"/>
            </w:r>
          </w:p>
        </w:tc>
        <w:tc>
          <w:tcPr>
            <w:tcW w:w="1347" w:type="dxa"/>
            <w:noWrap/>
            <w:hideMark/>
          </w:tcPr>
          <w:p w14:paraId="6D8B7F17" w14:textId="542BCFA5" w:rsidR="005E0E6E" w:rsidRPr="005E0E6E" w:rsidRDefault="005E0E6E" w:rsidP="001648F9">
            <w:pPr>
              <w:spacing w:before="60" w:beforeAutospacing="0" w:after="60"/>
              <w:contextualSpacing w:val="0"/>
              <w:jc w:val="right"/>
            </w:pPr>
            <w:r w:rsidRPr="005E0E6E">
              <w:t>53</w:t>
            </w:r>
          </w:p>
        </w:tc>
        <w:tc>
          <w:tcPr>
            <w:tcW w:w="1347" w:type="dxa"/>
            <w:noWrap/>
            <w:hideMark/>
          </w:tcPr>
          <w:p w14:paraId="1B9799D5" w14:textId="6DD5760E" w:rsidR="005E0E6E" w:rsidRPr="005E0E6E" w:rsidRDefault="005E0E6E" w:rsidP="001648F9">
            <w:pPr>
              <w:spacing w:before="60" w:beforeAutospacing="0" w:after="60"/>
              <w:contextualSpacing w:val="0"/>
              <w:jc w:val="right"/>
            </w:pPr>
            <w:r w:rsidRPr="005E0E6E">
              <w:t>49</w:t>
            </w:r>
          </w:p>
        </w:tc>
        <w:tc>
          <w:tcPr>
            <w:tcW w:w="1163" w:type="dxa"/>
            <w:noWrap/>
            <w:hideMark/>
          </w:tcPr>
          <w:p w14:paraId="21F53940" w14:textId="09416365" w:rsidR="005E0E6E" w:rsidRPr="005E0E6E" w:rsidRDefault="005E0E6E" w:rsidP="001648F9">
            <w:pPr>
              <w:spacing w:before="60" w:beforeAutospacing="0" w:after="60"/>
              <w:contextualSpacing w:val="0"/>
              <w:jc w:val="right"/>
            </w:pPr>
            <w:r w:rsidRPr="005E0E6E">
              <w:t>-34</w:t>
            </w:r>
          </w:p>
        </w:tc>
        <w:tc>
          <w:tcPr>
            <w:tcW w:w="1164" w:type="dxa"/>
            <w:noWrap/>
            <w:hideMark/>
          </w:tcPr>
          <w:p w14:paraId="57A220EB" w14:textId="7B7BF225" w:rsidR="005E0E6E" w:rsidRPr="005E0E6E" w:rsidRDefault="005E0E6E" w:rsidP="001648F9">
            <w:pPr>
              <w:spacing w:before="60" w:beforeAutospacing="0" w:after="60"/>
              <w:contextualSpacing w:val="0"/>
              <w:jc w:val="right"/>
            </w:pPr>
            <w:r w:rsidRPr="005E0E6E">
              <w:t>-52</w:t>
            </w:r>
          </w:p>
        </w:tc>
      </w:tr>
      <w:tr w:rsidR="005E0E6E" w:rsidRPr="00C14672" w14:paraId="07C8F8DA" w14:textId="77777777" w:rsidTr="001648F9">
        <w:trPr>
          <w:trHeight w:val="315"/>
        </w:trPr>
        <w:tc>
          <w:tcPr>
            <w:tcW w:w="5093" w:type="dxa"/>
            <w:noWrap/>
            <w:hideMark/>
          </w:tcPr>
          <w:p w14:paraId="7F71E579" w14:textId="3650E32C" w:rsidR="005E0E6E" w:rsidRPr="005211EB" w:rsidRDefault="005E0E6E" w:rsidP="001648F9">
            <w:pPr>
              <w:spacing w:before="60" w:beforeAutospacing="0" w:after="60"/>
              <w:contextualSpacing w:val="0"/>
            </w:pPr>
            <w:r w:rsidRPr="005211EB">
              <w:t>Western Australian Electoral Commission</w:t>
            </w:r>
          </w:p>
        </w:tc>
        <w:tc>
          <w:tcPr>
            <w:tcW w:w="1347" w:type="dxa"/>
            <w:noWrap/>
            <w:hideMark/>
          </w:tcPr>
          <w:p w14:paraId="4F7D540F" w14:textId="0EF34EA1" w:rsidR="005E0E6E" w:rsidRPr="005E0E6E" w:rsidRDefault="005E0E6E" w:rsidP="001648F9">
            <w:pPr>
              <w:spacing w:before="60" w:beforeAutospacing="0" w:after="60"/>
              <w:contextualSpacing w:val="0"/>
              <w:jc w:val="right"/>
            </w:pPr>
            <w:r w:rsidRPr="005E0E6E">
              <w:t>48</w:t>
            </w:r>
          </w:p>
        </w:tc>
        <w:tc>
          <w:tcPr>
            <w:tcW w:w="1347" w:type="dxa"/>
            <w:noWrap/>
            <w:hideMark/>
          </w:tcPr>
          <w:p w14:paraId="160EB305" w14:textId="7E1E1EED" w:rsidR="005E0E6E" w:rsidRPr="005E0E6E" w:rsidRDefault="005E0E6E" w:rsidP="001648F9">
            <w:pPr>
              <w:spacing w:before="60" w:beforeAutospacing="0" w:after="60"/>
              <w:contextualSpacing w:val="0"/>
              <w:jc w:val="right"/>
            </w:pPr>
            <w:r w:rsidRPr="005E0E6E">
              <w:t>44</w:t>
            </w:r>
          </w:p>
        </w:tc>
        <w:tc>
          <w:tcPr>
            <w:tcW w:w="1163" w:type="dxa"/>
            <w:noWrap/>
            <w:hideMark/>
          </w:tcPr>
          <w:p w14:paraId="4CF68C0D" w14:textId="2BC73D5A" w:rsidR="005E0E6E" w:rsidRPr="005E0E6E" w:rsidRDefault="00A41CC5" w:rsidP="001648F9">
            <w:pPr>
              <w:spacing w:before="60" w:beforeAutospacing="0" w:after="60"/>
              <w:contextualSpacing w:val="0"/>
              <w:jc w:val="right"/>
            </w:pPr>
            <w:r>
              <w:t>+</w:t>
            </w:r>
            <w:r w:rsidR="005E0E6E" w:rsidRPr="005E0E6E">
              <w:t>3</w:t>
            </w:r>
          </w:p>
        </w:tc>
        <w:tc>
          <w:tcPr>
            <w:tcW w:w="1164" w:type="dxa"/>
            <w:noWrap/>
            <w:hideMark/>
          </w:tcPr>
          <w:p w14:paraId="2967A245" w14:textId="5755F7C9" w:rsidR="005E0E6E" w:rsidRPr="005E0E6E" w:rsidRDefault="00A41CC5" w:rsidP="001648F9">
            <w:pPr>
              <w:spacing w:before="60" w:beforeAutospacing="0" w:after="60"/>
              <w:contextualSpacing w:val="0"/>
              <w:jc w:val="right"/>
            </w:pPr>
            <w:r>
              <w:t>+</w:t>
            </w:r>
            <w:r w:rsidR="005E0E6E" w:rsidRPr="005E0E6E">
              <w:t>4</w:t>
            </w:r>
          </w:p>
        </w:tc>
      </w:tr>
      <w:tr w:rsidR="005E0E6E" w:rsidRPr="00C14672" w14:paraId="7350B3AD" w14:textId="77777777" w:rsidTr="001648F9">
        <w:trPr>
          <w:trHeight w:val="315"/>
        </w:trPr>
        <w:tc>
          <w:tcPr>
            <w:tcW w:w="5093" w:type="dxa"/>
            <w:noWrap/>
            <w:hideMark/>
          </w:tcPr>
          <w:p w14:paraId="43FF771F" w14:textId="14CFE21A" w:rsidR="005E0E6E" w:rsidRPr="005211EB" w:rsidRDefault="005E0E6E" w:rsidP="001648F9">
            <w:pPr>
              <w:spacing w:before="60" w:beforeAutospacing="0" w:after="60"/>
              <w:contextualSpacing w:val="0"/>
            </w:pPr>
            <w:r w:rsidRPr="005211EB">
              <w:t>Legal Practice Board</w:t>
            </w:r>
          </w:p>
        </w:tc>
        <w:tc>
          <w:tcPr>
            <w:tcW w:w="1347" w:type="dxa"/>
            <w:noWrap/>
            <w:hideMark/>
          </w:tcPr>
          <w:p w14:paraId="3A89B562" w14:textId="54C305F3" w:rsidR="005E0E6E" w:rsidRPr="005E0E6E" w:rsidRDefault="005E0E6E" w:rsidP="001648F9">
            <w:pPr>
              <w:spacing w:before="60" w:beforeAutospacing="0" w:after="60"/>
              <w:contextualSpacing w:val="0"/>
              <w:jc w:val="right"/>
            </w:pPr>
            <w:r w:rsidRPr="005E0E6E">
              <w:t>47</w:t>
            </w:r>
          </w:p>
        </w:tc>
        <w:tc>
          <w:tcPr>
            <w:tcW w:w="1347" w:type="dxa"/>
            <w:noWrap/>
            <w:hideMark/>
          </w:tcPr>
          <w:p w14:paraId="50003144" w14:textId="1137B68B" w:rsidR="005E0E6E" w:rsidRPr="005E0E6E" w:rsidRDefault="005E0E6E" w:rsidP="001648F9">
            <w:pPr>
              <w:spacing w:before="60" w:beforeAutospacing="0" w:after="60"/>
              <w:contextualSpacing w:val="0"/>
              <w:jc w:val="right"/>
            </w:pPr>
            <w:r w:rsidRPr="005E0E6E">
              <w:t>44</w:t>
            </w:r>
          </w:p>
        </w:tc>
        <w:tc>
          <w:tcPr>
            <w:tcW w:w="1163" w:type="dxa"/>
            <w:noWrap/>
            <w:hideMark/>
          </w:tcPr>
          <w:p w14:paraId="326ECE2D" w14:textId="639C8F90" w:rsidR="005E0E6E" w:rsidRPr="005E0E6E" w:rsidRDefault="005E0E6E" w:rsidP="001648F9">
            <w:pPr>
              <w:spacing w:before="60" w:beforeAutospacing="0" w:after="60"/>
              <w:contextualSpacing w:val="0"/>
              <w:jc w:val="right"/>
            </w:pPr>
            <w:r w:rsidRPr="005E0E6E">
              <w:t>-1</w:t>
            </w:r>
          </w:p>
        </w:tc>
        <w:tc>
          <w:tcPr>
            <w:tcW w:w="1164" w:type="dxa"/>
            <w:noWrap/>
            <w:hideMark/>
          </w:tcPr>
          <w:p w14:paraId="5FE87155" w14:textId="1589823C" w:rsidR="005E0E6E" w:rsidRPr="005E0E6E" w:rsidRDefault="00A41CC5" w:rsidP="001648F9">
            <w:pPr>
              <w:spacing w:before="60" w:beforeAutospacing="0" w:after="60"/>
              <w:contextualSpacing w:val="0"/>
              <w:jc w:val="right"/>
            </w:pPr>
            <w:r>
              <w:t>+</w:t>
            </w:r>
            <w:r w:rsidR="005E0E6E" w:rsidRPr="005E0E6E">
              <w:t>2</w:t>
            </w:r>
          </w:p>
        </w:tc>
      </w:tr>
      <w:tr w:rsidR="005E0E6E" w:rsidRPr="00C14672" w14:paraId="14818DB0" w14:textId="77777777" w:rsidTr="001648F9">
        <w:trPr>
          <w:trHeight w:val="315"/>
        </w:trPr>
        <w:tc>
          <w:tcPr>
            <w:tcW w:w="5093" w:type="dxa"/>
            <w:noWrap/>
            <w:hideMark/>
          </w:tcPr>
          <w:p w14:paraId="7A09DFF7" w14:textId="05AA57CD" w:rsidR="005E0E6E" w:rsidRPr="005211EB" w:rsidRDefault="005E0E6E" w:rsidP="001648F9">
            <w:pPr>
              <w:spacing w:before="60" w:beforeAutospacing="0" w:after="60"/>
              <w:contextualSpacing w:val="0"/>
            </w:pPr>
            <w:r w:rsidRPr="005211EB">
              <w:t>National Trust of Australia (W.A.)</w:t>
            </w:r>
          </w:p>
        </w:tc>
        <w:tc>
          <w:tcPr>
            <w:tcW w:w="1347" w:type="dxa"/>
            <w:noWrap/>
            <w:hideMark/>
          </w:tcPr>
          <w:p w14:paraId="67E20B20" w14:textId="079663B0" w:rsidR="005E0E6E" w:rsidRPr="005E0E6E" w:rsidRDefault="005E0E6E" w:rsidP="001648F9">
            <w:pPr>
              <w:spacing w:before="60" w:beforeAutospacing="0" w:after="60"/>
              <w:contextualSpacing w:val="0"/>
              <w:jc w:val="right"/>
            </w:pPr>
            <w:r w:rsidRPr="005E0E6E">
              <w:t>39</w:t>
            </w:r>
          </w:p>
        </w:tc>
        <w:tc>
          <w:tcPr>
            <w:tcW w:w="1347" w:type="dxa"/>
            <w:noWrap/>
            <w:hideMark/>
          </w:tcPr>
          <w:p w14:paraId="65D1C954" w14:textId="2067BDDE" w:rsidR="005E0E6E" w:rsidRPr="005E0E6E" w:rsidRDefault="005E0E6E" w:rsidP="001648F9">
            <w:pPr>
              <w:spacing w:before="60" w:beforeAutospacing="0" w:after="60"/>
              <w:contextualSpacing w:val="0"/>
              <w:jc w:val="right"/>
            </w:pPr>
            <w:r w:rsidRPr="005E0E6E">
              <w:t>29</w:t>
            </w:r>
          </w:p>
        </w:tc>
        <w:tc>
          <w:tcPr>
            <w:tcW w:w="1163" w:type="dxa"/>
            <w:noWrap/>
            <w:hideMark/>
          </w:tcPr>
          <w:p w14:paraId="3C257B46" w14:textId="5D2025CA" w:rsidR="005E0E6E" w:rsidRPr="005E0E6E" w:rsidRDefault="005E0E6E" w:rsidP="001648F9">
            <w:pPr>
              <w:spacing w:before="60" w:beforeAutospacing="0" w:after="60"/>
              <w:contextualSpacing w:val="0"/>
              <w:jc w:val="right"/>
            </w:pPr>
            <w:r w:rsidRPr="005E0E6E">
              <w:t>-1</w:t>
            </w:r>
          </w:p>
        </w:tc>
        <w:tc>
          <w:tcPr>
            <w:tcW w:w="1164" w:type="dxa"/>
            <w:noWrap/>
            <w:hideMark/>
          </w:tcPr>
          <w:p w14:paraId="04F70B85" w14:textId="50473BF3" w:rsidR="005E0E6E" w:rsidRPr="005E0E6E" w:rsidRDefault="00A41CC5" w:rsidP="001648F9">
            <w:pPr>
              <w:spacing w:before="60" w:beforeAutospacing="0" w:after="60"/>
              <w:contextualSpacing w:val="0"/>
              <w:jc w:val="right"/>
            </w:pPr>
            <w:r>
              <w:t>+</w:t>
            </w:r>
            <w:r w:rsidR="005E0E6E" w:rsidRPr="005E0E6E">
              <w:t>2</w:t>
            </w:r>
          </w:p>
        </w:tc>
      </w:tr>
      <w:tr w:rsidR="005E0E6E" w:rsidRPr="00C14672" w14:paraId="32EC44C2" w14:textId="77777777" w:rsidTr="001648F9">
        <w:trPr>
          <w:trHeight w:val="315"/>
        </w:trPr>
        <w:tc>
          <w:tcPr>
            <w:tcW w:w="5093" w:type="dxa"/>
            <w:noWrap/>
            <w:hideMark/>
          </w:tcPr>
          <w:p w14:paraId="49255E65" w14:textId="05C1BBA6" w:rsidR="005E0E6E" w:rsidRPr="005211EB" w:rsidRDefault="005E0E6E" w:rsidP="001648F9">
            <w:pPr>
              <w:spacing w:before="60" w:beforeAutospacing="0" w:after="60"/>
              <w:contextualSpacing w:val="0"/>
            </w:pPr>
            <w:r w:rsidRPr="005211EB">
              <w:lastRenderedPageBreak/>
              <w:t>Department of the Registrar, Western Australian Industrial Relations Commission</w:t>
            </w:r>
          </w:p>
        </w:tc>
        <w:tc>
          <w:tcPr>
            <w:tcW w:w="1347" w:type="dxa"/>
            <w:noWrap/>
            <w:hideMark/>
          </w:tcPr>
          <w:p w14:paraId="39A33124" w14:textId="1CD983D0" w:rsidR="005E0E6E" w:rsidRPr="005E0E6E" w:rsidRDefault="005E0E6E" w:rsidP="001648F9">
            <w:pPr>
              <w:spacing w:before="60" w:beforeAutospacing="0" w:after="60"/>
              <w:contextualSpacing w:val="0"/>
              <w:jc w:val="right"/>
            </w:pPr>
            <w:r w:rsidRPr="005E0E6E">
              <w:t>38</w:t>
            </w:r>
          </w:p>
        </w:tc>
        <w:tc>
          <w:tcPr>
            <w:tcW w:w="1347" w:type="dxa"/>
            <w:noWrap/>
            <w:hideMark/>
          </w:tcPr>
          <w:p w14:paraId="44A113DC" w14:textId="79D30A0E" w:rsidR="005E0E6E" w:rsidRPr="005E0E6E" w:rsidRDefault="005E0E6E" w:rsidP="001648F9">
            <w:pPr>
              <w:spacing w:before="60" w:beforeAutospacing="0" w:after="60"/>
              <w:contextualSpacing w:val="0"/>
              <w:jc w:val="right"/>
            </w:pPr>
            <w:r w:rsidRPr="005E0E6E">
              <w:t>35</w:t>
            </w:r>
          </w:p>
        </w:tc>
        <w:tc>
          <w:tcPr>
            <w:tcW w:w="1163" w:type="dxa"/>
            <w:noWrap/>
            <w:hideMark/>
          </w:tcPr>
          <w:p w14:paraId="7283BA55" w14:textId="050FA59F" w:rsidR="005E0E6E" w:rsidRPr="005E0E6E" w:rsidRDefault="00A41CC5" w:rsidP="001648F9">
            <w:pPr>
              <w:spacing w:before="60" w:beforeAutospacing="0" w:after="60"/>
              <w:contextualSpacing w:val="0"/>
              <w:jc w:val="right"/>
            </w:pPr>
            <w:r>
              <w:t>+</w:t>
            </w:r>
            <w:r w:rsidR="005E0E6E" w:rsidRPr="005E0E6E">
              <w:t>2</w:t>
            </w:r>
          </w:p>
        </w:tc>
        <w:tc>
          <w:tcPr>
            <w:tcW w:w="1164" w:type="dxa"/>
            <w:noWrap/>
            <w:hideMark/>
          </w:tcPr>
          <w:p w14:paraId="42903FCC" w14:textId="57D3C22D" w:rsidR="005E0E6E" w:rsidRPr="005E0E6E" w:rsidRDefault="00A41CC5" w:rsidP="001648F9">
            <w:pPr>
              <w:spacing w:before="60" w:beforeAutospacing="0" w:after="60"/>
              <w:contextualSpacing w:val="0"/>
              <w:jc w:val="right"/>
            </w:pPr>
            <w:r>
              <w:t>+</w:t>
            </w:r>
            <w:r w:rsidR="005E0E6E" w:rsidRPr="005E0E6E">
              <w:t>4</w:t>
            </w:r>
          </w:p>
        </w:tc>
      </w:tr>
      <w:tr w:rsidR="005E0E6E" w:rsidRPr="00C14672" w14:paraId="6A4518F8" w14:textId="77777777" w:rsidTr="001648F9">
        <w:trPr>
          <w:trHeight w:val="315"/>
        </w:trPr>
        <w:tc>
          <w:tcPr>
            <w:tcW w:w="5093" w:type="dxa"/>
            <w:noWrap/>
            <w:hideMark/>
          </w:tcPr>
          <w:p w14:paraId="2D16A38A" w14:textId="6BF45372" w:rsidR="005E0E6E" w:rsidRPr="005211EB" w:rsidRDefault="005E0E6E" w:rsidP="001648F9">
            <w:pPr>
              <w:spacing w:before="60" w:beforeAutospacing="0" w:after="60"/>
              <w:contextualSpacing w:val="0"/>
            </w:pPr>
            <w:r w:rsidRPr="005211EB">
              <w:t>Western Australian Meat Industry Authority</w:t>
            </w:r>
          </w:p>
        </w:tc>
        <w:tc>
          <w:tcPr>
            <w:tcW w:w="1347" w:type="dxa"/>
            <w:noWrap/>
            <w:hideMark/>
          </w:tcPr>
          <w:p w14:paraId="588CAF89" w14:textId="7CD0B0A1" w:rsidR="005E0E6E" w:rsidRPr="005E0E6E" w:rsidRDefault="005E0E6E" w:rsidP="001648F9">
            <w:pPr>
              <w:spacing w:before="60" w:beforeAutospacing="0" w:after="60"/>
              <w:contextualSpacing w:val="0"/>
              <w:jc w:val="right"/>
            </w:pPr>
            <w:r w:rsidRPr="005E0E6E">
              <w:t>28</w:t>
            </w:r>
          </w:p>
        </w:tc>
        <w:tc>
          <w:tcPr>
            <w:tcW w:w="1347" w:type="dxa"/>
            <w:noWrap/>
            <w:hideMark/>
          </w:tcPr>
          <w:p w14:paraId="283702C6" w14:textId="59EC621E" w:rsidR="005E0E6E" w:rsidRPr="005E0E6E" w:rsidRDefault="005E0E6E" w:rsidP="001648F9">
            <w:pPr>
              <w:spacing w:before="60" w:beforeAutospacing="0" w:after="60"/>
              <w:contextualSpacing w:val="0"/>
              <w:jc w:val="right"/>
            </w:pPr>
            <w:r w:rsidRPr="005E0E6E">
              <w:t>17</w:t>
            </w:r>
          </w:p>
        </w:tc>
        <w:tc>
          <w:tcPr>
            <w:tcW w:w="1163" w:type="dxa"/>
            <w:noWrap/>
            <w:hideMark/>
          </w:tcPr>
          <w:p w14:paraId="61721DE6" w14:textId="402891F4" w:rsidR="005E0E6E" w:rsidRPr="005E0E6E" w:rsidRDefault="005E0E6E" w:rsidP="001648F9">
            <w:pPr>
              <w:spacing w:before="60" w:beforeAutospacing="0" w:after="60"/>
              <w:contextualSpacing w:val="0"/>
              <w:jc w:val="right"/>
            </w:pPr>
            <w:r w:rsidRPr="005E0E6E">
              <w:t>-1</w:t>
            </w:r>
          </w:p>
        </w:tc>
        <w:tc>
          <w:tcPr>
            <w:tcW w:w="1164" w:type="dxa"/>
            <w:noWrap/>
            <w:hideMark/>
          </w:tcPr>
          <w:p w14:paraId="71F1F4B1" w14:textId="53AFDB9D" w:rsidR="005E0E6E" w:rsidRPr="005E0E6E" w:rsidRDefault="005E0E6E" w:rsidP="001648F9">
            <w:pPr>
              <w:spacing w:before="60" w:beforeAutospacing="0" w:after="60"/>
              <w:contextualSpacing w:val="0"/>
              <w:jc w:val="right"/>
            </w:pPr>
            <w:r w:rsidRPr="005E0E6E">
              <w:t>-2</w:t>
            </w:r>
          </w:p>
        </w:tc>
      </w:tr>
      <w:tr w:rsidR="005E0E6E" w:rsidRPr="00C14672" w14:paraId="67965D59" w14:textId="77777777" w:rsidTr="001648F9">
        <w:trPr>
          <w:trHeight w:val="315"/>
        </w:trPr>
        <w:tc>
          <w:tcPr>
            <w:tcW w:w="5093" w:type="dxa"/>
            <w:noWrap/>
            <w:hideMark/>
          </w:tcPr>
          <w:p w14:paraId="77DBC6DF" w14:textId="4D922899" w:rsidR="005E0E6E" w:rsidRPr="005211EB" w:rsidRDefault="005E0E6E" w:rsidP="001648F9">
            <w:pPr>
              <w:spacing w:before="60" w:beforeAutospacing="0" w:after="60"/>
              <w:contextualSpacing w:val="0"/>
            </w:pPr>
            <w:r w:rsidRPr="005211EB">
              <w:t>Construction Training Fund</w:t>
            </w:r>
          </w:p>
        </w:tc>
        <w:tc>
          <w:tcPr>
            <w:tcW w:w="1347" w:type="dxa"/>
            <w:noWrap/>
            <w:hideMark/>
          </w:tcPr>
          <w:p w14:paraId="45693E9D" w14:textId="6CE1800F" w:rsidR="005E0E6E" w:rsidRPr="005E0E6E" w:rsidRDefault="005E0E6E" w:rsidP="001648F9">
            <w:pPr>
              <w:spacing w:before="60" w:beforeAutospacing="0" w:after="60"/>
              <w:contextualSpacing w:val="0"/>
              <w:jc w:val="right"/>
            </w:pPr>
            <w:r w:rsidRPr="005E0E6E">
              <w:t>24</w:t>
            </w:r>
          </w:p>
        </w:tc>
        <w:tc>
          <w:tcPr>
            <w:tcW w:w="1347" w:type="dxa"/>
            <w:noWrap/>
            <w:hideMark/>
          </w:tcPr>
          <w:p w14:paraId="7193F28F" w14:textId="2C15B5BA" w:rsidR="005E0E6E" w:rsidRPr="005E0E6E" w:rsidRDefault="005E0E6E" w:rsidP="001648F9">
            <w:pPr>
              <w:spacing w:before="60" w:beforeAutospacing="0" w:after="60"/>
              <w:contextualSpacing w:val="0"/>
              <w:jc w:val="right"/>
            </w:pPr>
            <w:r w:rsidRPr="005E0E6E">
              <w:t>21</w:t>
            </w:r>
          </w:p>
        </w:tc>
        <w:tc>
          <w:tcPr>
            <w:tcW w:w="1163" w:type="dxa"/>
            <w:noWrap/>
            <w:hideMark/>
          </w:tcPr>
          <w:p w14:paraId="53CD5CDF" w14:textId="2FD6A4AD" w:rsidR="005E0E6E" w:rsidRPr="005E0E6E" w:rsidRDefault="005E0E6E" w:rsidP="001648F9">
            <w:pPr>
              <w:spacing w:before="60" w:beforeAutospacing="0" w:after="60"/>
              <w:contextualSpacing w:val="0"/>
              <w:jc w:val="right"/>
            </w:pPr>
            <w:r w:rsidRPr="005E0E6E">
              <w:t>-1</w:t>
            </w:r>
          </w:p>
        </w:tc>
        <w:tc>
          <w:tcPr>
            <w:tcW w:w="1164" w:type="dxa"/>
            <w:noWrap/>
            <w:hideMark/>
          </w:tcPr>
          <w:p w14:paraId="0870B9D9" w14:textId="71CD1D93" w:rsidR="005E0E6E" w:rsidRPr="005E0E6E" w:rsidRDefault="00A41CC5" w:rsidP="001648F9">
            <w:pPr>
              <w:spacing w:before="60" w:beforeAutospacing="0" w:after="60"/>
              <w:contextualSpacing w:val="0"/>
              <w:jc w:val="right"/>
            </w:pPr>
            <w:r>
              <w:t>+</w:t>
            </w:r>
            <w:r w:rsidR="005E0E6E" w:rsidRPr="005E0E6E">
              <w:t>2</w:t>
            </w:r>
          </w:p>
        </w:tc>
      </w:tr>
      <w:tr w:rsidR="005E0E6E" w:rsidRPr="00C14672" w14:paraId="5820C3E0" w14:textId="77777777" w:rsidTr="001648F9">
        <w:trPr>
          <w:trHeight w:val="315"/>
        </w:trPr>
        <w:tc>
          <w:tcPr>
            <w:tcW w:w="5093" w:type="dxa"/>
            <w:noWrap/>
            <w:hideMark/>
          </w:tcPr>
          <w:p w14:paraId="0E87FCEC" w14:textId="78ECE7DF" w:rsidR="005E0E6E" w:rsidRPr="005211EB" w:rsidRDefault="005E0E6E" w:rsidP="001648F9">
            <w:pPr>
              <w:spacing w:before="60" w:beforeAutospacing="0" w:after="60"/>
              <w:contextualSpacing w:val="0"/>
            </w:pPr>
            <w:r w:rsidRPr="005211EB">
              <w:t>Health and Disability Services Complaints Office</w:t>
            </w:r>
          </w:p>
        </w:tc>
        <w:tc>
          <w:tcPr>
            <w:tcW w:w="1347" w:type="dxa"/>
            <w:noWrap/>
            <w:hideMark/>
          </w:tcPr>
          <w:p w14:paraId="11FE9831" w14:textId="11EA1BF0" w:rsidR="005E0E6E" w:rsidRPr="005E0E6E" w:rsidRDefault="005E0E6E" w:rsidP="001648F9">
            <w:pPr>
              <w:spacing w:before="60" w:beforeAutospacing="0" w:after="60"/>
              <w:contextualSpacing w:val="0"/>
              <w:jc w:val="right"/>
            </w:pPr>
            <w:r w:rsidRPr="005E0E6E">
              <w:t>22</w:t>
            </w:r>
          </w:p>
        </w:tc>
        <w:tc>
          <w:tcPr>
            <w:tcW w:w="1347" w:type="dxa"/>
            <w:noWrap/>
            <w:hideMark/>
          </w:tcPr>
          <w:p w14:paraId="6F215AF4" w14:textId="425DCE74" w:rsidR="005E0E6E" w:rsidRPr="005E0E6E" w:rsidRDefault="005E0E6E" w:rsidP="001648F9">
            <w:pPr>
              <w:spacing w:before="60" w:beforeAutospacing="0" w:after="60"/>
              <w:contextualSpacing w:val="0"/>
              <w:jc w:val="right"/>
            </w:pPr>
            <w:r w:rsidRPr="005E0E6E">
              <w:t>19</w:t>
            </w:r>
          </w:p>
        </w:tc>
        <w:tc>
          <w:tcPr>
            <w:tcW w:w="1163" w:type="dxa"/>
            <w:noWrap/>
            <w:hideMark/>
          </w:tcPr>
          <w:p w14:paraId="6DAB2398" w14:textId="00FFF81C" w:rsidR="005E0E6E" w:rsidRPr="005E0E6E" w:rsidRDefault="005E0E6E" w:rsidP="001648F9">
            <w:pPr>
              <w:spacing w:before="60" w:beforeAutospacing="0" w:after="60"/>
              <w:contextualSpacing w:val="0"/>
              <w:jc w:val="right"/>
            </w:pPr>
            <w:r w:rsidRPr="005E0E6E">
              <w:t>-2</w:t>
            </w:r>
          </w:p>
        </w:tc>
        <w:tc>
          <w:tcPr>
            <w:tcW w:w="1164" w:type="dxa"/>
            <w:noWrap/>
            <w:hideMark/>
          </w:tcPr>
          <w:p w14:paraId="59818038" w14:textId="64F47973" w:rsidR="005E0E6E" w:rsidRPr="005E0E6E" w:rsidRDefault="00A41CC5" w:rsidP="001648F9">
            <w:pPr>
              <w:spacing w:before="60" w:beforeAutospacing="0" w:after="60"/>
              <w:contextualSpacing w:val="0"/>
              <w:jc w:val="right"/>
            </w:pPr>
            <w:r>
              <w:t>+</w:t>
            </w:r>
            <w:r w:rsidR="005E0E6E" w:rsidRPr="005E0E6E">
              <w:t>3</w:t>
            </w:r>
          </w:p>
        </w:tc>
      </w:tr>
      <w:tr w:rsidR="005E0E6E" w:rsidRPr="00C14672" w14:paraId="316C26DA" w14:textId="77777777" w:rsidTr="001648F9">
        <w:trPr>
          <w:trHeight w:val="315"/>
        </w:trPr>
        <w:tc>
          <w:tcPr>
            <w:tcW w:w="5093" w:type="dxa"/>
            <w:noWrap/>
            <w:hideMark/>
          </w:tcPr>
          <w:p w14:paraId="7C0758EA" w14:textId="19DC0E9F" w:rsidR="005E0E6E" w:rsidRPr="005211EB" w:rsidRDefault="005E0E6E" w:rsidP="001648F9">
            <w:pPr>
              <w:spacing w:before="60" w:beforeAutospacing="0" w:after="60"/>
              <w:contextualSpacing w:val="0"/>
            </w:pPr>
            <w:r w:rsidRPr="005211EB">
              <w:t>Equal Opportunity Commission</w:t>
            </w:r>
          </w:p>
        </w:tc>
        <w:tc>
          <w:tcPr>
            <w:tcW w:w="1347" w:type="dxa"/>
            <w:noWrap/>
            <w:hideMark/>
          </w:tcPr>
          <w:p w14:paraId="40EB0278" w14:textId="19374232" w:rsidR="005E0E6E" w:rsidRPr="005E0E6E" w:rsidRDefault="005E0E6E" w:rsidP="001648F9">
            <w:pPr>
              <w:spacing w:before="60" w:beforeAutospacing="0" w:after="60"/>
              <w:contextualSpacing w:val="0"/>
              <w:jc w:val="right"/>
            </w:pPr>
            <w:r w:rsidRPr="005E0E6E">
              <w:t>21</w:t>
            </w:r>
          </w:p>
        </w:tc>
        <w:tc>
          <w:tcPr>
            <w:tcW w:w="1347" w:type="dxa"/>
            <w:noWrap/>
            <w:hideMark/>
          </w:tcPr>
          <w:p w14:paraId="12CA7A02" w14:textId="4B5BD085" w:rsidR="005E0E6E" w:rsidRPr="005E0E6E" w:rsidRDefault="005E0E6E" w:rsidP="001648F9">
            <w:pPr>
              <w:spacing w:before="60" w:beforeAutospacing="0" w:after="60"/>
              <w:contextualSpacing w:val="0"/>
              <w:jc w:val="right"/>
            </w:pPr>
            <w:r w:rsidRPr="005E0E6E">
              <w:t>20</w:t>
            </w:r>
          </w:p>
        </w:tc>
        <w:tc>
          <w:tcPr>
            <w:tcW w:w="1163" w:type="dxa"/>
            <w:noWrap/>
            <w:hideMark/>
          </w:tcPr>
          <w:p w14:paraId="7CB74BFB" w14:textId="777446A6" w:rsidR="005E0E6E" w:rsidRPr="005E0E6E" w:rsidRDefault="005E0E6E" w:rsidP="001648F9">
            <w:pPr>
              <w:spacing w:before="60" w:beforeAutospacing="0" w:after="60"/>
              <w:contextualSpacing w:val="0"/>
              <w:jc w:val="right"/>
            </w:pPr>
            <w:r w:rsidRPr="005E0E6E">
              <w:t>0</w:t>
            </w:r>
          </w:p>
        </w:tc>
        <w:tc>
          <w:tcPr>
            <w:tcW w:w="1164" w:type="dxa"/>
            <w:noWrap/>
            <w:hideMark/>
          </w:tcPr>
          <w:p w14:paraId="1EEAD14D" w14:textId="7160F6E3" w:rsidR="005E0E6E" w:rsidRPr="005E0E6E" w:rsidRDefault="005E0E6E" w:rsidP="001648F9">
            <w:pPr>
              <w:spacing w:before="60" w:beforeAutospacing="0" w:after="60"/>
              <w:contextualSpacing w:val="0"/>
              <w:jc w:val="right"/>
            </w:pPr>
            <w:r w:rsidRPr="005E0E6E">
              <w:t>0</w:t>
            </w:r>
          </w:p>
        </w:tc>
      </w:tr>
      <w:tr w:rsidR="001648F9" w:rsidRPr="00C14672" w14:paraId="657089E4" w14:textId="77777777" w:rsidTr="0074648E">
        <w:trPr>
          <w:trHeight w:val="315"/>
        </w:trPr>
        <w:tc>
          <w:tcPr>
            <w:tcW w:w="5093" w:type="dxa"/>
            <w:noWrap/>
          </w:tcPr>
          <w:p w14:paraId="7EE15C08" w14:textId="77777777" w:rsidR="001648F9" w:rsidRPr="005211EB" w:rsidRDefault="001648F9" w:rsidP="0074648E">
            <w:pPr>
              <w:spacing w:before="60" w:beforeAutospacing="0" w:after="60"/>
              <w:contextualSpacing w:val="0"/>
            </w:pPr>
            <w:r w:rsidRPr="005211EB">
              <w:t>Commissioner for Children and Young People</w:t>
            </w:r>
          </w:p>
        </w:tc>
        <w:tc>
          <w:tcPr>
            <w:tcW w:w="1347" w:type="dxa"/>
            <w:noWrap/>
          </w:tcPr>
          <w:p w14:paraId="26948EDA" w14:textId="77777777" w:rsidR="001648F9" w:rsidRPr="005E0E6E" w:rsidRDefault="001648F9" w:rsidP="0074648E">
            <w:pPr>
              <w:spacing w:before="60" w:beforeAutospacing="0" w:after="60"/>
              <w:contextualSpacing w:val="0"/>
              <w:jc w:val="right"/>
            </w:pPr>
            <w:r w:rsidRPr="005E0E6E">
              <w:t>16</w:t>
            </w:r>
          </w:p>
        </w:tc>
        <w:tc>
          <w:tcPr>
            <w:tcW w:w="1347" w:type="dxa"/>
            <w:noWrap/>
          </w:tcPr>
          <w:p w14:paraId="2C39030F" w14:textId="77777777" w:rsidR="001648F9" w:rsidRPr="005E0E6E" w:rsidRDefault="001648F9" w:rsidP="0074648E">
            <w:pPr>
              <w:spacing w:before="60" w:beforeAutospacing="0" w:after="60"/>
              <w:contextualSpacing w:val="0"/>
              <w:jc w:val="right"/>
            </w:pPr>
            <w:r w:rsidRPr="005E0E6E">
              <w:t>15</w:t>
            </w:r>
          </w:p>
        </w:tc>
        <w:tc>
          <w:tcPr>
            <w:tcW w:w="1163" w:type="dxa"/>
            <w:noWrap/>
          </w:tcPr>
          <w:p w14:paraId="22372354" w14:textId="77777777" w:rsidR="001648F9" w:rsidRPr="005E0E6E" w:rsidRDefault="001648F9" w:rsidP="0074648E">
            <w:pPr>
              <w:spacing w:before="60" w:beforeAutospacing="0" w:after="60"/>
              <w:contextualSpacing w:val="0"/>
              <w:jc w:val="right"/>
            </w:pPr>
            <w:r w:rsidRPr="005E0E6E">
              <w:t>-1</w:t>
            </w:r>
          </w:p>
        </w:tc>
        <w:tc>
          <w:tcPr>
            <w:tcW w:w="1164" w:type="dxa"/>
            <w:noWrap/>
          </w:tcPr>
          <w:p w14:paraId="38530EEE" w14:textId="77777777" w:rsidR="001648F9" w:rsidRPr="005E0E6E" w:rsidRDefault="001648F9" w:rsidP="0074648E">
            <w:pPr>
              <w:spacing w:before="60" w:beforeAutospacing="0" w:after="60"/>
              <w:contextualSpacing w:val="0"/>
              <w:jc w:val="right"/>
            </w:pPr>
            <w:r>
              <w:t>+</w:t>
            </w:r>
            <w:r w:rsidRPr="005E0E6E">
              <w:t>2</w:t>
            </w:r>
          </w:p>
        </w:tc>
      </w:tr>
      <w:tr w:rsidR="005E0E6E" w:rsidRPr="00C14672" w14:paraId="7FBB960F" w14:textId="77777777" w:rsidTr="001648F9">
        <w:trPr>
          <w:trHeight w:val="315"/>
        </w:trPr>
        <w:tc>
          <w:tcPr>
            <w:tcW w:w="5093" w:type="dxa"/>
            <w:noWrap/>
            <w:hideMark/>
          </w:tcPr>
          <w:p w14:paraId="1D1B55A9" w14:textId="18EB7ECE" w:rsidR="005E0E6E" w:rsidRPr="005211EB" w:rsidRDefault="005E0E6E" w:rsidP="001648F9">
            <w:pPr>
              <w:spacing w:before="60" w:beforeAutospacing="0" w:after="60"/>
              <w:contextualSpacing w:val="0"/>
            </w:pPr>
            <w:r w:rsidRPr="005211EB">
              <w:t>Office of the Inspector of Custodial Services</w:t>
            </w:r>
          </w:p>
        </w:tc>
        <w:tc>
          <w:tcPr>
            <w:tcW w:w="1347" w:type="dxa"/>
            <w:noWrap/>
            <w:hideMark/>
          </w:tcPr>
          <w:p w14:paraId="3CB1ED6A" w14:textId="64FFB322" w:rsidR="005E0E6E" w:rsidRPr="005E0E6E" w:rsidRDefault="005E0E6E" w:rsidP="001648F9">
            <w:pPr>
              <w:spacing w:before="60" w:beforeAutospacing="0" w:after="60"/>
              <w:contextualSpacing w:val="0"/>
              <w:jc w:val="right"/>
            </w:pPr>
            <w:r w:rsidRPr="005E0E6E">
              <w:t>16</w:t>
            </w:r>
          </w:p>
        </w:tc>
        <w:tc>
          <w:tcPr>
            <w:tcW w:w="1347" w:type="dxa"/>
            <w:noWrap/>
            <w:hideMark/>
          </w:tcPr>
          <w:p w14:paraId="10EDDE1E" w14:textId="3C2A7611" w:rsidR="005E0E6E" w:rsidRPr="005E0E6E" w:rsidRDefault="005E0E6E" w:rsidP="001648F9">
            <w:pPr>
              <w:spacing w:before="60" w:beforeAutospacing="0" w:after="60"/>
              <w:contextualSpacing w:val="0"/>
              <w:jc w:val="right"/>
            </w:pPr>
            <w:r w:rsidRPr="005E0E6E">
              <w:t>14</w:t>
            </w:r>
          </w:p>
        </w:tc>
        <w:tc>
          <w:tcPr>
            <w:tcW w:w="1163" w:type="dxa"/>
            <w:noWrap/>
            <w:hideMark/>
          </w:tcPr>
          <w:p w14:paraId="106ED9E0" w14:textId="5946BEBC" w:rsidR="005E0E6E" w:rsidRPr="005E0E6E" w:rsidRDefault="005E0E6E" w:rsidP="001648F9">
            <w:pPr>
              <w:spacing w:before="60" w:beforeAutospacing="0" w:after="60"/>
              <w:contextualSpacing w:val="0"/>
              <w:jc w:val="right"/>
            </w:pPr>
            <w:r w:rsidRPr="005E0E6E">
              <w:t>-1</w:t>
            </w:r>
          </w:p>
        </w:tc>
        <w:tc>
          <w:tcPr>
            <w:tcW w:w="1164" w:type="dxa"/>
            <w:noWrap/>
            <w:hideMark/>
          </w:tcPr>
          <w:p w14:paraId="07A929F7" w14:textId="2882A04A" w:rsidR="005E0E6E" w:rsidRPr="005E0E6E" w:rsidRDefault="005E0E6E" w:rsidP="001648F9">
            <w:pPr>
              <w:spacing w:before="60" w:beforeAutospacing="0" w:after="60"/>
              <w:contextualSpacing w:val="0"/>
              <w:jc w:val="right"/>
            </w:pPr>
            <w:r w:rsidRPr="005E0E6E">
              <w:t>-2</w:t>
            </w:r>
          </w:p>
        </w:tc>
      </w:tr>
      <w:tr w:rsidR="005E0E6E" w:rsidRPr="00C14672" w14:paraId="0AF3CCC2" w14:textId="77777777" w:rsidTr="001648F9">
        <w:trPr>
          <w:trHeight w:val="315"/>
        </w:trPr>
        <w:tc>
          <w:tcPr>
            <w:tcW w:w="5093" w:type="dxa"/>
            <w:noWrap/>
            <w:hideMark/>
          </w:tcPr>
          <w:p w14:paraId="5A78B987" w14:textId="0C5320C0" w:rsidR="005E0E6E" w:rsidRPr="005211EB" w:rsidRDefault="005E0E6E" w:rsidP="001648F9">
            <w:pPr>
              <w:spacing w:before="60" w:beforeAutospacing="0" w:after="60"/>
              <w:contextualSpacing w:val="0"/>
            </w:pPr>
            <w:r w:rsidRPr="005211EB">
              <w:t xml:space="preserve">Infrastructure WA </w:t>
            </w:r>
            <w:r w:rsidRPr="005211EB">
              <w:rPr>
                <w:rStyle w:val="EndnoteReference"/>
              </w:rPr>
              <w:endnoteReference w:id="7"/>
            </w:r>
          </w:p>
        </w:tc>
        <w:tc>
          <w:tcPr>
            <w:tcW w:w="1347" w:type="dxa"/>
            <w:noWrap/>
            <w:hideMark/>
          </w:tcPr>
          <w:p w14:paraId="64726873" w14:textId="0804E263" w:rsidR="005E0E6E" w:rsidRPr="004D2D10" w:rsidRDefault="005E0E6E" w:rsidP="001648F9">
            <w:pPr>
              <w:spacing w:before="60" w:beforeAutospacing="0" w:after="60"/>
              <w:contextualSpacing w:val="0"/>
              <w:jc w:val="right"/>
            </w:pPr>
            <w:r>
              <w:t>14</w:t>
            </w:r>
          </w:p>
        </w:tc>
        <w:tc>
          <w:tcPr>
            <w:tcW w:w="1347" w:type="dxa"/>
            <w:noWrap/>
            <w:hideMark/>
          </w:tcPr>
          <w:p w14:paraId="141E0003" w14:textId="0C949536" w:rsidR="005E0E6E" w:rsidRPr="004D2D10" w:rsidRDefault="005E0E6E" w:rsidP="001648F9">
            <w:pPr>
              <w:spacing w:before="60" w:beforeAutospacing="0" w:after="60"/>
              <w:contextualSpacing w:val="0"/>
              <w:jc w:val="right"/>
            </w:pPr>
            <w:r>
              <w:t>13</w:t>
            </w:r>
          </w:p>
        </w:tc>
        <w:tc>
          <w:tcPr>
            <w:tcW w:w="1163" w:type="dxa"/>
            <w:noWrap/>
            <w:hideMark/>
          </w:tcPr>
          <w:p w14:paraId="5DF32CB5" w14:textId="482D4694" w:rsidR="005E0E6E" w:rsidRPr="004D2D10" w:rsidRDefault="005E0E6E" w:rsidP="001648F9">
            <w:pPr>
              <w:spacing w:before="60" w:beforeAutospacing="0" w:after="60"/>
              <w:contextualSpacing w:val="0"/>
              <w:jc w:val="right"/>
            </w:pPr>
            <w:r>
              <w:t>0</w:t>
            </w:r>
          </w:p>
        </w:tc>
        <w:tc>
          <w:tcPr>
            <w:tcW w:w="1164" w:type="dxa"/>
            <w:noWrap/>
            <w:hideMark/>
          </w:tcPr>
          <w:p w14:paraId="55070FBE" w14:textId="78497519" w:rsidR="005E0E6E" w:rsidRPr="004D2D10" w:rsidRDefault="00A41CC5" w:rsidP="001648F9">
            <w:pPr>
              <w:spacing w:before="60" w:beforeAutospacing="0" w:after="60"/>
              <w:contextualSpacing w:val="0"/>
              <w:jc w:val="right"/>
            </w:pPr>
            <w:r>
              <w:t>+</w:t>
            </w:r>
            <w:r w:rsidR="005E0E6E">
              <w:t>13</w:t>
            </w:r>
          </w:p>
        </w:tc>
      </w:tr>
      <w:tr w:rsidR="005E0E6E" w:rsidRPr="00C14672" w14:paraId="71AAF909" w14:textId="77777777" w:rsidTr="001648F9">
        <w:trPr>
          <w:trHeight w:val="315"/>
        </w:trPr>
        <w:tc>
          <w:tcPr>
            <w:tcW w:w="5093" w:type="dxa"/>
            <w:noWrap/>
            <w:hideMark/>
          </w:tcPr>
          <w:p w14:paraId="4602F50F" w14:textId="3EF3EDF2" w:rsidR="005E0E6E" w:rsidRPr="005211EB" w:rsidRDefault="005E0E6E" w:rsidP="001648F9">
            <w:pPr>
              <w:spacing w:before="60" w:beforeAutospacing="0" w:after="60"/>
              <w:contextualSpacing w:val="0"/>
            </w:pPr>
            <w:r w:rsidRPr="005211EB">
              <w:t>Office of the Information Commissioner</w:t>
            </w:r>
          </w:p>
        </w:tc>
        <w:tc>
          <w:tcPr>
            <w:tcW w:w="1347" w:type="dxa"/>
            <w:noWrap/>
            <w:hideMark/>
          </w:tcPr>
          <w:p w14:paraId="7A801E55" w14:textId="1E62A98D" w:rsidR="005E0E6E" w:rsidRPr="005E0E6E" w:rsidRDefault="005E0E6E" w:rsidP="001648F9">
            <w:pPr>
              <w:spacing w:before="60" w:beforeAutospacing="0" w:after="60"/>
              <w:contextualSpacing w:val="0"/>
              <w:jc w:val="right"/>
            </w:pPr>
            <w:r w:rsidRPr="005E0E6E">
              <w:t>13</w:t>
            </w:r>
          </w:p>
        </w:tc>
        <w:tc>
          <w:tcPr>
            <w:tcW w:w="1347" w:type="dxa"/>
            <w:noWrap/>
            <w:hideMark/>
          </w:tcPr>
          <w:p w14:paraId="20189393" w14:textId="49FC41F6" w:rsidR="005E0E6E" w:rsidRPr="005E0E6E" w:rsidRDefault="005E0E6E" w:rsidP="001648F9">
            <w:pPr>
              <w:spacing w:before="60" w:beforeAutospacing="0" w:after="60"/>
              <w:contextualSpacing w:val="0"/>
              <w:jc w:val="right"/>
            </w:pPr>
            <w:r w:rsidRPr="005E0E6E">
              <w:t>12</w:t>
            </w:r>
          </w:p>
        </w:tc>
        <w:tc>
          <w:tcPr>
            <w:tcW w:w="1163" w:type="dxa"/>
            <w:noWrap/>
            <w:hideMark/>
          </w:tcPr>
          <w:p w14:paraId="69E22912" w14:textId="0E2037F7" w:rsidR="005E0E6E" w:rsidRPr="005E0E6E" w:rsidRDefault="00A41CC5" w:rsidP="001648F9">
            <w:pPr>
              <w:spacing w:before="60" w:beforeAutospacing="0" w:after="60"/>
              <w:contextualSpacing w:val="0"/>
              <w:jc w:val="right"/>
            </w:pPr>
            <w:r>
              <w:t>+</w:t>
            </w:r>
            <w:r w:rsidR="005E0E6E" w:rsidRPr="005E0E6E">
              <w:t>2</w:t>
            </w:r>
          </w:p>
        </w:tc>
        <w:tc>
          <w:tcPr>
            <w:tcW w:w="1164" w:type="dxa"/>
            <w:noWrap/>
            <w:hideMark/>
          </w:tcPr>
          <w:p w14:paraId="244E79FF" w14:textId="351E2BC1" w:rsidR="005E0E6E" w:rsidRPr="005E0E6E" w:rsidRDefault="00A41CC5" w:rsidP="001648F9">
            <w:pPr>
              <w:spacing w:before="60" w:beforeAutospacing="0" w:after="60"/>
              <w:contextualSpacing w:val="0"/>
              <w:jc w:val="right"/>
            </w:pPr>
            <w:r>
              <w:t>+</w:t>
            </w:r>
            <w:r w:rsidR="005E0E6E" w:rsidRPr="005E0E6E">
              <w:t>1</w:t>
            </w:r>
          </w:p>
        </w:tc>
      </w:tr>
      <w:tr w:rsidR="005E0E6E" w:rsidRPr="00C14672" w14:paraId="7AE71784" w14:textId="77777777" w:rsidTr="001648F9">
        <w:trPr>
          <w:trHeight w:val="315"/>
        </w:trPr>
        <w:tc>
          <w:tcPr>
            <w:tcW w:w="5093" w:type="dxa"/>
            <w:noWrap/>
            <w:hideMark/>
          </w:tcPr>
          <w:p w14:paraId="4720C076" w14:textId="072E9827" w:rsidR="005E0E6E" w:rsidRPr="005211EB" w:rsidRDefault="005E0E6E" w:rsidP="001648F9">
            <w:pPr>
              <w:spacing w:before="60" w:beforeAutospacing="0" w:after="60"/>
              <w:contextualSpacing w:val="0"/>
            </w:pPr>
            <w:r w:rsidRPr="005211EB">
              <w:t>Keep Australia Beautiful WA</w:t>
            </w:r>
          </w:p>
        </w:tc>
        <w:tc>
          <w:tcPr>
            <w:tcW w:w="1347" w:type="dxa"/>
            <w:noWrap/>
            <w:hideMark/>
          </w:tcPr>
          <w:p w14:paraId="4E8441D0" w14:textId="25344CE3" w:rsidR="005E0E6E" w:rsidRPr="005E0E6E" w:rsidRDefault="005E0E6E" w:rsidP="001648F9">
            <w:pPr>
              <w:spacing w:before="60" w:beforeAutospacing="0" w:after="60"/>
              <w:contextualSpacing w:val="0"/>
              <w:jc w:val="right"/>
            </w:pPr>
            <w:r w:rsidRPr="005E0E6E">
              <w:t>11</w:t>
            </w:r>
          </w:p>
        </w:tc>
        <w:tc>
          <w:tcPr>
            <w:tcW w:w="1347" w:type="dxa"/>
            <w:noWrap/>
            <w:hideMark/>
          </w:tcPr>
          <w:p w14:paraId="42DDA553" w14:textId="75E897E2" w:rsidR="005E0E6E" w:rsidRPr="005E0E6E" w:rsidRDefault="005E0E6E" w:rsidP="001648F9">
            <w:pPr>
              <w:spacing w:before="60" w:beforeAutospacing="0" w:after="60"/>
              <w:contextualSpacing w:val="0"/>
              <w:jc w:val="right"/>
            </w:pPr>
            <w:r w:rsidRPr="005E0E6E">
              <w:t>10</w:t>
            </w:r>
          </w:p>
        </w:tc>
        <w:tc>
          <w:tcPr>
            <w:tcW w:w="1163" w:type="dxa"/>
            <w:noWrap/>
            <w:hideMark/>
          </w:tcPr>
          <w:p w14:paraId="4C1C360C" w14:textId="055E4F98" w:rsidR="005E0E6E" w:rsidRPr="005E0E6E" w:rsidRDefault="00A41CC5" w:rsidP="001648F9">
            <w:pPr>
              <w:spacing w:before="60" w:beforeAutospacing="0" w:after="60"/>
              <w:contextualSpacing w:val="0"/>
              <w:jc w:val="right"/>
            </w:pPr>
            <w:r>
              <w:t>+</w:t>
            </w:r>
            <w:r w:rsidR="005E0E6E" w:rsidRPr="005E0E6E">
              <w:t>1</w:t>
            </w:r>
          </w:p>
        </w:tc>
        <w:tc>
          <w:tcPr>
            <w:tcW w:w="1164" w:type="dxa"/>
            <w:noWrap/>
            <w:hideMark/>
          </w:tcPr>
          <w:p w14:paraId="71523C7A" w14:textId="618165B3" w:rsidR="005E0E6E" w:rsidRPr="005E0E6E" w:rsidRDefault="00A41CC5" w:rsidP="001648F9">
            <w:pPr>
              <w:spacing w:before="60" w:beforeAutospacing="0" w:after="60"/>
              <w:contextualSpacing w:val="0"/>
              <w:jc w:val="right"/>
            </w:pPr>
            <w:r>
              <w:t>+</w:t>
            </w:r>
            <w:r w:rsidR="005E0E6E" w:rsidRPr="005E0E6E">
              <w:t>1</w:t>
            </w:r>
          </w:p>
        </w:tc>
      </w:tr>
      <w:tr w:rsidR="005E0E6E" w:rsidRPr="00C14672" w14:paraId="68F409C8" w14:textId="77777777" w:rsidTr="001648F9">
        <w:trPr>
          <w:trHeight w:val="315"/>
        </w:trPr>
        <w:tc>
          <w:tcPr>
            <w:tcW w:w="5093" w:type="dxa"/>
            <w:noWrap/>
            <w:hideMark/>
          </w:tcPr>
          <w:p w14:paraId="0E7E2542" w14:textId="607D2BAE" w:rsidR="005E0E6E" w:rsidRPr="005211EB" w:rsidRDefault="005E0E6E" w:rsidP="001648F9">
            <w:pPr>
              <w:spacing w:before="60" w:beforeAutospacing="0" w:after="60"/>
              <w:contextualSpacing w:val="0"/>
            </w:pPr>
            <w:r w:rsidRPr="005211EB">
              <w:t>Burswood Park Board</w:t>
            </w:r>
          </w:p>
        </w:tc>
        <w:tc>
          <w:tcPr>
            <w:tcW w:w="1347" w:type="dxa"/>
            <w:noWrap/>
            <w:hideMark/>
          </w:tcPr>
          <w:p w14:paraId="186803A9" w14:textId="04296990" w:rsidR="005E0E6E" w:rsidRPr="005E0E6E" w:rsidRDefault="005E0E6E" w:rsidP="001648F9">
            <w:pPr>
              <w:spacing w:before="60" w:beforeAutospacing="0" w:after="60"/>
              <w:contextualSpacing w:val="0"/>
              <w:jc w:val="right"/>
            </w:pPr>
            <w:r w:rsidRPr="005E0E6E">
              <w:t>7</w:t>
            </w:r>
          </w:p>
        </w:tc>
        <w:tc>
          <w:tcPr>
            <w:tcW w:w="1347" w:type="dxa"/>
            <w:noWrap/>
            <w:hideMark/>
          </w:tcPr>
          <w:p w14:paraId="69612416" w14:textId="3DBAF5D4" w:rsidR="005E0E6E" w:rsidRPr="005E0E6E" w:rsidRDefault="005E0E6E" w:rsidP="001648F9">
            <w:pPr>
              <w:spacing w:before="60" w:beforeAutospacing="0" w:after="60"/>
              <w:contextualSpacing w:val="0"/>
              <w:jc w:val="right"/>
            </w:pPr>
            <w:r w:rsidRPr="005E0E6E">
              <w:t>5</w:t>
            </w:r>
          </w:p>
        </w:tc>
        <w:tc>
          <w:tcPr>
            <w:tcW w:w="1163" w:type="dxa"/>
            <w:noWrap/>
            <w:hideMark/>
          </w:tcPr>
          <w:p w14:paraId="4EB25AF3" w14:textId="61D8F95E" w:rsidR="005E0E6E" w:rsidRPr="005E0E6E" w:rsidRDefault="005E0E6E" w:rsidP="001648F9">
            <w:pPr>
              <w:spacing w:before="60" w:beforeAutospacing="0" w:after="60"/>
              <w:contextualSpacing w:val="0"/>
              <w:jc w:val="right"/>
            </w:pPr>
            <w:r w:rsidRPr="005E0E6E">
              <w:t>0</w:t>
            </w:r>
          </w:p>
        </w:tc>
        <w:tc>
          <w:tcPr>
            <w:tcW w:w="1164" w:type="dxa"/>
            <w:noWrap/>
            <w:hideMark/>
          </w:tcPr>
          <w:p w14:paraId="2B57F8E4" w14:textId="42BF14DE" w:rsidR="005E0E6E" w:rsidRPr="005E0E6E" w:rsidRDefault="005E0E6E" w:rsidP="001648F9">
            <w:pPr>
              <w:spacing w:before="60" w:beforeAutospacing="0" w:after="60"/>
              <w:contextualSpacing w:val="0"/>
              <w:jc w:val="right"/>
            </w:pPr>
            <w:r w:rsidRPr="005E0E6E">
              <w:t>0</w:t>
            </w:r>
          </w:p>
        </w:tc>
      </w:tr>
      <w:tr w:rsidR="005E0E6E" w:rsidRPr="00C14672" w14:paraId="46AAEE4D" w14:textId="77777777" w:rsidTr="001648F9">
        <w:trPr>
          <w:trHeight w:val="315"/>
        </w:trPr>
        <w:tc>
          <w:tcPr>
            <w:tcW w:w="5093" w:type="dxa"/>
            <w:noWrap/>
            <w:hideMark/>
          </w:tcPr>
          <w:p w14:paraId="75283E61" w14:textId="3A611899" w:rsidR="005E0E6E" w:rsidRPr="005211EB" w:rsidRDefault="005E0E6E" w:rsidP="001648F9">
            <w:pPr>
              <w:spacing w:before="60" w:beforeAutospacing="0" w:after="60"/>
              <w:contextualSpacing w:val="0"/>
            </w:pPr>
            <w:r w:rsidRPr="005211EB">
              <w:t>Veterinary Surgeons' Board</w:t>
            </w:r>
          </w:p>
        </w:tc>
        <w:tc>
          <w:tcPr>
            <w:tcW w:w="1347" w:type="dxa"/>
            <w:noWrap/>
            <w:hideMark/>
          </w:tcPr>
          <w:p w14:paraId="23EE11B1" w14:textId="335AE6C1" w:rsidR="005E0E6E" w:rsidRPr="005E0E6E" w:rsidRDefault="005E0E6E" w:rsidP="001648F9">
            <w:pPr>
              <w:spacing w:before="60" w:beforeAutospacing="0" w:after="60"/>
              <w:contextualSpacing w:val="0"/>
              <w:jc w:val="right"/>
            </w:pPr>
            <w:r w:rsidRPr="005E0E6E">
              <w:t>6</w:t>
            </w:r>
          </w:p>
        </w:tc>
        <w:tc>
          <w:tcPr>
            <w:tcW w:w="1347" w:type="dxa"/>
            <w:noWrap/>
            <w:hideMark/>
          </w:tcPr>
          <w:p w14:paraId="7F296FEA" w14:textId="310E3440" w:rsidR="005E0E6E" w:rsidRPr="005E0E6E" w:rsidRDefault="005E0E6E" w:rsidP="001648F9">
            <w:pPr>
              <w:spacing w:before="60" w:beforeAutospacing="0" w:after="60"/>
              <w:contextualSpacing w:val="0"/>
              <w:jc w:val="right"/>
            </w:pPr>
            <w:r w:rsidRPr="005E0E6E">
              <w:t>4</w:t>
            </w:r>
          </w:p>
        </w:tc>
        <w:tc>
          <w:tcPr>
            <w:tcW w:w="1163" w:type="dxa"/>
            <w:noWrap/>
            <w:hideMark/>
          </w:tcPr>
          <w:p w14:paraId="73B7622F" w14:textId="11887C0D" w:rsidR="005E0E6E" w:rsidRPr="005E0E6E" w:rsidRDefault="005E0E6E" w:rsidP="001648F9">
            <w:pPr>
              <w:spacing w:before="60" w:beforeAutospacing="0" w:after="60"/>
              <w:contextualSpacing w:val="0"/>
              <w:jc w:val="right"/>
            </w:pPr>
            <w:r w:rsidRPr="005E0E6E">
              <w:t>0</w:t>
            </w:r>
          </w:p>
        </w:tc>
        <w:tc>
          <w:tcPr>
            <w:tcW w:w="1164" w:type="dxa"/>
            <w:noWrap/>
            <w:hideMark/>
          </w:tcPr>
          <w:p w14:paraId="5D3EA0C8" w14:textId="286118F5" w:rsidR="005E0E6E" w:rsidRPr="005E0E6E" w:rsidRDefault="005E0E6E" w:rsidP="001648F9">
            <w:pPr>
              <w:spacing w:before="60" w:beforeAutospacing="0" w:after="60"/>
              <w:contextualSpacing w:val="0"/>
              <w:jc w:val="right"/>
            </w:pPr>
            <w:r w:rsidRPr="005E0E6E">
              <w:t>0</w:t>
            </w:r>
          </w:p>
        </w:tc>
      </w:tr>
      <w:tr w:rsidR="005E0E6E" w:rsidRPr="00C14672" w14:paraId="3AFCDE00" w14:textId="77777777" w:rsidTr="001648F9">
        <w:trPr>
          <w:trHeight w:val="315"/>
        </w:trPr>
        <w:tc>
          <w:tcPr>
            <w:tcW w:w="5093" w:type="dxa"/>
            <w:noWrap/>
            <w:hideMark/>
          </w:tcPr>
          <w:p w14:paraId="2684CB0D" w14:textId="224CA5F9" w:rsidR="005E0E6E" w:rsidRPr="005211EB" w:rsidRDefault="005E0E6E" w:rsidP="001648F9">
            <w:pPr>
              <w:spacing w:before="60" w:beforeAutospacing="0" w:after="60"/>
              <w:contextualSpacing w:val="0"/>
            </w:pPr>
            <w:r w:rsidRPr="005211EB">
              <w:t>Minerals Research Institute of Western Australia (MRIWA)</w:t>
            </w:r>
          </w:p>
        </w:tc>
        <w:tc>
          <w:tcPr>
            <w:tcW w:w="1347" w:type="dxa"/>
            <w:noWrap/>
            <w:hideMark/>
          </w:tcPr>
          <w:p w14:paraId="4F6E8BB6" w14:textId="731604FA" w:rsidR="005E0E6E" w:rsidRPr="005E0E6E" w:rsidRDefault="005E0E6E" w:rsidP="001648F9">
            <w:pPr>
              <w:spacing w:before="60" w:beforeAutospacing="0" w:after="60"/>
              <w:contextualSpacing w:val="0"/>
              <w:jc w:val="right"/>
            </w:pPr>
            <w:r w:rsidRPr="005E0E6E">
              <w:t>5</w:t>
            </w:r>
          </w:p>
        </w:tc>
        <w:tc>
          <w:tcPr>
            <w:tcW w:w="1347" w:type="dxa"/>
            <w:noWrap/>
            <w:hideMark/>
          </w:tcPr>
          <w:p w14:paraId="5EF2A4B9" w14:textId="12D71C1A" w:rsidR="005E0E6E" w:rsidRPr="005E0E6E" w:rsidRDefault="005E0E6E" w:rsidP="001648F9">
            <w:pPr>
              <w:spacing w:before="60" w:beforeAutospacing="0" w:after="60"/>
              <w:contextualSpacing w:val="0"/>
              <w:jc w:val="right"/>
            </w:pPr>
            <w:r w:rsidRPr="005E0E6E">
              <w:t>5</w:t>
            </w:r>
          </w:p>
        </w:tc>
        <w:tc>
          <w:tcPr>
            <w:tcW w:w="1163" w:type="dxa"/>
            <w:noWrap/>
            <w:hideMark/>
          </w:tcPr>
          <w:p w14:paraId="1DA644B8" w14:textId="6807647F" w:rsidR="005E0E6E" w:rsidRPr="005E0E6E" w:rsidRDefault="005E0E6E" w:rsidP="001648F9">
            <w:pPr>
              <w:spacing w:before="60" w:beforeAutospacing="0" w:after="60"/>
              <w:contextualSpacing w:val="0"/>
              <w:jc w:val="right"/>
            </w:pPr>
            <w:r w:rsidRPr="005E0E6E">
              <w:t>0</w:t>
            </w:r>
          </w:p>
        </w:tc>
        <w:tc>
          <w:tcPr>
            <w:tcW w:w="1164" w:type="dxa"/>
            <w:noWrap/>
            <w:hideMark/>
          </w:tcPr>
          <w:p w14:paraId="0EA715D2" w14:textId="3C277505" w:rsidR="005E0E6E" w:rsidRPr="005E0E6E" w:rsidRDefault="00A41CC5" w:rsidP="001648F9">
            <w:pPr>
              <w:spacing w:before="60" w:beforeAutospacing="0" w:after="60"/>
              <w:contextualSpacing w:val="0"/>
              <w:jc w:val="right"/>
            </w:pPr>
            <w:r>
              <w:t>+</w:t>
            </w:r>
            <w:r w:rsidR="005E0E6E" w:rsidRPr="005E0E6E">
              <w:t>1</w:t>
            </w:r>
          </w:p>
        </w:tc>
      </w:tr>
      <w:tr w:rsidR="005E0E6E" w:rsidRPr="00C14672" w14:paraId="57E7BEB1" w14:textId="77777777" w:rsidTr="001648F9">
        <w:trPr>
          <w:trHeight w:val="315"/>
        </w:trPr>
        <w:tc>
          <w:tcPr>
            <w:tcW w:w="5093" w:type="dxa"/>
            <w:noWrap/>
            <w:hideMark/>
          </w:tcPr>
          <w:p w14:paraId="11DD6F22" w14:textId="39ABEA13" w:rsidR="005E0E6E" w:rsidRPr="005211EB" w:rsidRDefault="005E0E6E" w:rsidP="001648F9">
            <w:pPr>
              <w:spacing w:before="60" w:beforeAutospacing="0" w:after="60"/>
              <w:contextualSpacing w:val="0"/>
            </w:pPr>
            <w:r w:rsidRPr="005211EB">
              <w:t>Architects Board of Western Australia</w:t>
            </w:r>
          </w:p>
        </w:tc>
        <w:tc>
          <w:tcPr>
            <w:tcW w:w="1347" w:type="dxa"/>
            <w:noWrap/>
            <w:hideMark/>
          </w:tcPr>
          <w:p w14:paraId="76FD299D" w14:textId="0D9B537C" w:rsidR="005E0E6E" w:rsidRPr="005E0E6E" w:rsidRDefault="005E0E6E" w:rsidP="001648F9">
            <w:pPr>
              <w:spacing w:before="60" w:beforeAutospacing="0" w:after="60"/>
              <w:contextualSpacing w:val="0"/>
              <w:jc w:val="right"/>
            </w:pPr>
            <w:r w:rsidRPr="005E0E6E">
              <w:t>2</w:t>
            </w:r>
          </w:p>
        </w:tc>
        <w:tc>
          <w:tcPr>
            <w:tcW w:w="1347" w:type="dxa"/>
            <w:noWrap/>
            <w:hideMark/>
          </w:tcPr>
          <w:p w14:paraId="69326A10" w14:textId="62329BCF" w:rsidR="005E0E6E" w:rsidRPr="005E0E6E" w:rsidRDefault="005E0E6E" w:rsidP="001648F9">
            <w:pPr>
              <w:spacing w:before="60" w:beforeAutospacing="0" w:after="60"/>
              <w:contextualSpacing w:val="0"/>
              <w:jc w:val="right"/>
            </w:pPr>
            <w:r w:rsidRPr="005E0E6E">
              <w:t>2</w:t>
            </w:r>
          </w:p>
        </w:tc>
        <w:tc>
          <w:tcPr>
            <w:tcW w:w="1163" w:type="dxa"/>
            <w:noWrap/>
            <w:hideMark/>
          </w:tcPr>
          <w:p w14:paraId="4E1BD5BB" w14:textId="186E255E" w:rsidR="005E0E6E" w:rsidRPr="005E0E6E" w:rsidRDefault="005E0E6E" w:rsidP="001648F9">
            <w:pPr>
              <w:spacing w:before="60" w:beforeAutospacing="0" w:after="60"/>
              <w:contextualSpacing w:val="0"/>
              <w:jc w:val="right"/>
            </w:pPr>
            <w:r w:rsidRPr="005E0E6E">
              <w:t>0</w:t>
            </w:r>
          </w:p>
        </w:tc>
        <w:tc>
          <w:tcPr>
            <w:tcW w:w="1164" w:type="dxa"/>
            <w:noWrap/>
            <w:hideMark/>
          </w:tcPr>
          <w:p w14:paraId="1CE352AF" w14:textId="0AACA4D7" w:rsidR="005E0E6E" w:rsidRPr="005E0E6E" w:rsidRDefault="005E0E6E" w:rsidP="001648F9">
            <w:pPr>
              <w:spacing w:before="60" w:beforeAutospacing="0" w:after="60"/>
              <w:contextualSpacing w:val="0"/>
              <w:jc w:val="right"/>
            </w:pPr>
            <w:r w:rsidRPr="005E0E6E">
              <w:t>0</w:t>
            </w:r>
          </w:p>
        </w:tc>
      </w:tr>
      <w:tr w:rsidR="005E0E6E" w:rsidRPr="00C14672" w14:paraId="0980587A" w14:textId="77777777" w:rsidTr="001648F9">
        <w:trPr>
          <w:trHeight w:val="315"/>
        </w:trPr>
        <w:tc>
          <w:tcPr>
            <w:tcW w:w="5093" w:type="dxa"/>
            <w:noWrap/>
            <w:hideMark/>
          </w:tcPr>
          <w:p w14:paraId="708B7233" w14:textId="596FD7DC" w:rsidR="005E0E6E" w:rsidRPr="005211EB" w:rsidRDefault="005E0E6E" w:rsidP="001648F9">
            <w:pPr>
              <w:spacing w:before="60" w:beforeAutospacing="0" w:after="60"/>
              <w:contextualSpacing w:val="0"/>
            </w:pPr>
            <w:r w:rsidRPr="005211EB">
              <w:t>Salaries and Allowances Tribunal</w:t>
            </w:r>
          </w:p>
        </w:tc>
        <w:tc>
          <w:tcPr>
            <w:tcW w:w="1347" w:type="dxa"/>
            <w:noWrap/>
            <w:hideMark/>
          </w:tcPr>
          <w:p w14:paraId="30A90FEE" w14:textId="7AE42C12" w:rsidR="005E0E6E" w:rsidRPr="005E0E6E" w:rsidRDefault="005E0E6E" w:rsidP="001648F9">
            <w:pPr>
              <w:spacing w:before="60" w:beforeAutospacing="0" w:after="60"/>
              <w:contextualSpacing w:val="0"/>
              <w:jc w:val="right"/>
            </w:pPr>
            <w:r w:rsidRPr="005E0E6E">
              <w:t>2</w:t>
            </w:r>
          </w:p>
        </w:tc>
        <w:tc>
          <w:tcPr>
            <w:tcW w:w="1347" w:type="dxa"/>
            <w:noWrap/>
            <w:hideMark/>
          </w:tcPr>
          <w:p w14:paraId="60D4EB9C" w14:textId="07A9BAD8" w:rsidR="005E0E6E" w:rsidRPr="005E0E6E" w:rsidRDefault="005E0E6E" w:rsidP="001648F9">
            <w:pPr>
              <w:spacing w:before="60" w:beforeAutospacing="0" w:after="60"/>
              <w:contextualSpacing w:val="0"/>
              <w:jc w:val="right"/>
            </w:pPr>
            <w:r w:rsidRPr="005E0E6E">
              <w:t>2</w:t>
            </w:r>
          </w:p>
        </w:tc>
        <w:tc>
          <w:tcPr>
            <w:tcW w:w="1163" w:type="dxa"/>
            <w:noWrap/>
            <w:hideMark/>
          </w:tcPr>
          <w:p w14:paraId="635FAAD1" w14:textId="4357F056" w:rsidR="005E0E6E" w:rsidRPr="005E0E6E" w:rsidRDefault="005E0E6E" w:rsidP="001648F9">
            <w:pPr>
              <w:spacing w:before="60" w:beforeAutospacing="0" w:after="60"/>
              <w:contextualSpacing w:val="0"/>
              <w:jc w:val="right"/>
            </w:pPr>
            <w:r w:rsidRPr="005E0E6E">
              <w:t>0</w:t>
            </w:r>
          </w:p>
        </w:tc>
        <w:tc>
          <w:tcPr>
            <w:tcW w:w="1164" w:type="dxa"/>
            <w:noWrap/>
            <w:hideMark/>
          </w:tcPr>
          <w:p w14:paraId="68290A63" w14:textId="1AA9F665" w:rsidR="005E0E6E" w:rsidRPr="005E0E6E" w:rsidRDefault="005E0E6E" w:rsidP="001648F9">
            <w:pPr>
              <w:spacing w:before="60" w:beforeAutospacing="0" w:after="60"/>
              <w:contextualSpacing w:val="0"/>
              <w:jc w:val="right"/>
            </w:pPr>
            <w:r w:rsidRPr="005E0E6E">
              <w:t>-1</w:t>
            </w:r>
          </w:p>
        </w:tc>
      </w:tr>
    </w:tbl>
    <w:p w14:paraId="460A601D" w14:textId="77777777" w:rsidR="0017783C" w:rsidRPr="0017783C" w:rsidRDefault="0017783C" w:rsidP="00607466">
      <w:pPr>
        <w:sectPr w:rsidR="0017783C" w:rsidRPr="0017783C" w:rsidSect="00DD61C1">
          <w:footerReference w:type="default" r:id="rId12"/>
          <w:headerReference w:type="first" r:id="rId13"/>
          <w:footnotePr>
            <w:pos w:val="beneathText"/>
          </w:footnotePr>
          <w:type w:val="continuous"/>
          <w:pgSz w:w="11906" w:h="16838"/>
          <w:pgMar w:top="1418" w:right="1440" w:bottom="993" w:left="1134" w:header="708" w:footer="708" w:gutter="0"/>
          <w:cols w:space="708"/>
          <w:docGrid w:linePitch="360"/>
        </w:sectPr>
      </w:pPr>
    </w:p>
    <w:p w14:paraId="109DD161" w14:textId="5A3C13B4" w:rsidR="00BC2116" w:rsidRPr="00C736B0" w:rsidRDefault="00BC2116" w:rsidP="00607466"/>
    <w:p w14:paraId="6A4CA3DC" w14:textId="77777777" w:rsidR="00DC38B1" w:rsidRDefault="00DC38B1" w:rsidP="00607466">
      <w:pPr>
        <w:pStyle w:val="Heading2"/>
        <w:sectPr w:rsidR="00DC38B1" w:rsidSect="00B72D78">
          <w:type w:val="continuous"/>
          <w:pgSz w:w="11906" w:h="16838"/>
          <w:pgMar w:top="1440" w:right="1440" w:bottom="1440" w:left="1440" w:header="708" w:footer="708" w:gutter="0"/>
          <w:cols w:space="708"/>
          <w:docGrid w:linePitch="360"/>
        </w:sectPr>
      </w:pPr>
    </w:p>
    <w:p w14:paraId="6DE1E2D0" w14:textId="7E75B29E" w:rsidR="006258A2" w:rsidRPr="00142732" w:rsidRDefault="00C66375" w:rsidP="00607466">
      <w:pPr>
        <w:pStyle w:val="Heading2"/>
      </w:pPr>
      <w:r>
        <w:lastRenderedPageBreak/>
        <w:t>Data quality statement</w:t>
      </w:r>
    </w:p>
    <w:p w14:paraId="2A80B6B0" w14:textId="1DA9C989" w:rsidR="00CB15A1" w:rsidRPr="00C66375" w:rsidRDefault="005E7A49" w:rsidP="00607466">
      <w:r w:rsidRPr="00CB15A1">
        <w:t xml:space="preserve">Information in this report is based on workforce data collected from agencies on a quarterly basis. Data is supplied by agencies according to the guidelines set out in the </w:t>
      </w:r>
      <w:r w:rsidRPr="00CB15A1">
        <w:rPr>
          <w:i/>
        </w:rPr>
        <w:t>HR MOIR Data Definitions 1.5.1</w:t>
      </w:r>
      <w:r w:rsidRPr="00CB15A1">
        <w:t>. Workforce data is occasionally revised (</w:t>
      </w:r>
      <w:proofErr w:type="gramStart"/>
      <w:r w:rsidRPr="00CB15A1">
        <w:t>e.g.</w:t>
      </w:r>
      <w:proofErr w:type="gramEnd"/>
      <w:r w:rsidRPr="00CB15A1">
        <w:t xml:space="preserve"> discrepancies in agency data identified) and this may result in figures being adjusted over time.</w:t>
      </w:r>
    </w:p>
    <w:p w14:paraId="36E49AED" w14:textId="6CF3908D" w:rsidR="00C66375" w:rsidRDefault="00C66375" w:rsidP="00607466">
      <w:r w:rsidRPr="00C66375">
        <w:t>Data covers only public sector agencies and does not include the WA Police Force (sworn officers), parliamentary electorate offices, local governments, government trading enterprises or public universities.</w:t>
      </w:r>
    </w:p>
    <w:p w14:paraId="3AB7ADED" w14:textId="77777777" w:rsidR="00C66375" w:rsidRPr="00C66375" w:rsidRDefault="00C66375" w:rsidP="00607466">
      <w:r w:rsidRPr="00C66375">
        <w:t>All data is accurate as reported to us by contributing agencies.</w:t>
      </w:r>
    </w:p>
    <w:p w14:paraId="4ACBBD63" w14:textId="12AF87C9" w:rsidR="00142732" w:rsidRDefault="004939BE" w:rsidP="00607466">
      <w:r>
        <w:t>Totals may be affected by rounding.</w:t>
      </w:r>
    </w:p>
    <w:p w14:paraId="2515E35B" w14:textId="5016E5A7" w:rsidR="0001245B" w:rsidRDefault="0001245B" w:rsidP="00607466">
      <w:r w:rsidRPr="0001245B">
        <w:t>Salaries expenditure</w:t>
      </w:r>
      <w:r>
        <w:t xml:space="preserve"> data and information is provided by the Department of Treasury.</w:t>
      </w:r>
    </w:p>
    <w:p w14:paraId="2EE0B7FE" w14:textId="609B8F0D" w:rsidR="006258A2" w:rsidRPr="00142732" w:rsidRDefault="006258A2" w:rsidP="00607466">
      <w:pPr>
        <w:pStyle w:val="Heading2"/>
      </w:pPr>
      <w:r w:rsidRPr="00142732">
        <w:t>Contact</w:t>
      </w:r>
    </w:p>
    <w:p w14:paraId="7DFF4C75" w14:textId="705D7427" w:rsidR="006258A2" w:rsidRPr="00607466" w:rsidRDefault="006258A2" w:rsidP="00607466">
      <w:r w:rsidRPr="00607466">
        <w:t xml:space="preserve">All enquiries about the Public Sector Commission’s data should be directed to </w:t>
      </w:r>
      <w:hyperlink r:id="rId14" w:history="1">
        <w:r w:rsidRPr="00607466">
          <w:t>stateadministrator@psc.wa.gov.au</w:t>
        </w:r>
      </w:hyperlink>
      <w:r w:rsidRPr="00607466">
        <w:t xml:space="preserve">. </w:t>
      </w:r>
    </w:p>
    <w:p w14:paraId="5F7095F4" w14:textId="7D359FEF" w:rsidR="00C736B0" w:rsidRDefault="00C736B0" w:rsidP="00607466"/>
    <w:p w14:paraId="0D457C0E" w14:textId="3DB4CBAD" w:rsidR="00C736B0" w:rsidRDefault="00C736B0" w:rsidP="00607466"/>
    <w:p w14:paraId="5BF6743A" w14:textId="77777777" w:rsidR="00C736B0" w:rsidRPr="00142732" w:rsidRDefault="00C736B0" w:rsidP="00607466"/>
    <w:sectPr w:rsidR="00C736B0" w:rsidRPr="00142732" w:rsidSect="00DC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B714" w14:textId="77777777" w:rsidR="00AE6087" w:rsidRDefault="00AE6087" w:rsidP="00607466">
      <w:r>
        <w:separator/>
      </w:r>
    </w:p>
  </w:endnote>
  <w:endnote w:type="continuationSeparator" w:id="0">
    <w:p w14:paraId="275D1F0B" w14:textId="77777777" w:rsidR="00AE6087" w:rsidRDefault="00AE6087" w:rsidP="00607466">
      <w:r>
        <w:continuationSeparator/>
      </w:r>
    </w:p>
  </w:endnote>
  <w:endnote w:id="1">
    <w:p w14:paraId="3DB9EB84" w14:textId="4CEB421B" w:rsidR="00273A8D" w:rsidRPr="00E47372" w:rsidRDefault="00273A8D" w:rsidP="00607466">
      <w:pPr>
        <w:pStyle w:val="EndnoteText"/>
        <w:spacing w:before="0" w:beforeAutospacing="0"/>
      </w:pPr>
      <w:r w:rsidRPr="00E47372">
        <w:rPr>
          <w:rStyle w:val="EndnoteReference"/>
          <w:sz w:val="19"/>
          <w:szCs w:val="19"/>
        </w:rPr>
        <w:endnoteRef/>
      </w:r>
      <w:r w:rsidRPr="00E47372">
        <w:t xml:space="preserve"> </w:t>
      </w:r>
      <w:r w:rsidRPr="00E47372">
        <w:rPr>
          <w:shd w:val="clear" w:color="auto" w:fill="FFFFFF" w:themeFill="background1"/>
        </w:rPr>
        <w:t>The Department of Communities supports the Disability Serv</w:t>
      </w:r>
      <w:r>
        <w:rPr>
          <w:shd w:val="clear" w:color="auto" w:fill="FFFFFF" w:themeFill="background1"/>
        </w:rPr>
        <w:t>ices Commission (Headcount: 1,071</w:t>
      </w:r>
      <w:r w:rsidRPr="00E47372">
        <w:rPr>
          <w:shd w:val="clear" w:color="auto" w:fill="FFFFFF" w:themeFill="background1"/>
        </w:rPr>
        <w:t xml:space="preserve">; </w:t>
      </w:r>
      <w:r>
        <w:rPr>
          <w:shd w:val="clear" w:color="auto" w:fill="FFFFFF" w:themeFill="background1"/>
        </w:rPr>
        <w:br/>
      </w:r>
      <w:r w:rsidRPr="00E47372">
        <w:rPr>
          <w:shd w:val="clear" w:color="auto" w:fill="FFFFFF" w:themeFill="background1"/>
        </w:rPr>
        <w:t xml:space="preserve">FTE: </w:t>
      </w:r>
      <w:r>
        <w:rPr>
          <w:shd w:val="clear" w:color="auto" w:fill="FFFFFF" w:themeFill="background1"/>
        </w:rPr>
        <w:t>911</w:t>
      </w:r>
      <w:r w:rsidRPr="00E47372">
        <w:rPr>
          <w:shd w:val="clear" w:color="auto" w:fill="FFFFFF" w:themeFill="background1"/>
        </w:rPr>
        <w:t xml:space="preserve">) and Housing Authority (Headcount: </w:t>
      </w:r>
      <w:r>
        <w:rPr>
          <w:shd w:val="clear" w:color="auto" w:fill="FFFFFF" w:themeFill="background1"/>
        </w:rPr>
        <w:t>1,870</w:t>
      </w:r>
      <w:r w:rsidRPr="00E47372">
        <w:rPr>
          <w:shd w:val="clear" w:color="auto" w:fill="FFFFFF" w:themeFill="background1"/>
        </w:rPr>
        <w:t>; FTE: 1</w:t>
      </w:r>
      <w:r>
        <w:rPr>
          <w:shd w:val="clear" w:color="auto" w:fill="FFFFFF" w:themeFill="background1"/>
        </w:rPr>
        <w:t>,703</w:t>
      </w:r>
      <w:r w:rsidRPr="00E47372">
        <w:rPr>
          <w:shd w:val="clear" w:color="auto" w:fill="FFFFFF" w:themeFill="background1"/>
        </w:rPr>
        <w:t>) which remain statutory authorities.</w:t>
      </w:r>
    </w:p>
  </w:endnote>
  <w:endnote w:id="2">
    <w:p w14:paraId="32B7F84A" w14:textId="77777777" w:rsidR="00273A8D" w:rsidRPr="00E47372" w:rsidRDefault="00273A8D" w:rsidP="00607466">
      <w:pPr>
        <w:pStyle w:val="EndnoteText"/>
        <w:spacing w:before="0" w:beforeAutospacing="0"/>
      </w:pPr>
      <w:r w:rsidRPr="00E47372">
        <w:rPr>
          <w:rStyle w:val="EndnoteReference"/>
          <w:sz w:val="19"/>
          <w:szCs w:val="19"/>
        </w:rPr>
        <w:endnoteRef/>
      </w:r>
      <w:r w:rsidRPr="00E47372">
        <w:t xml:space="preserve"> </w:t>
      </w:r>
      <w:r w:rsidRPr="00E47372">
        <w:rPr>
          <w:shd w:val="clear" w:color="auto" w:fill="FFFFFF" w:themeFill="background1"/>
        </w:rPr>
        <w:t xml:space="preserve">Sworn officers are employed by the Police Force (a non-public sector entity as defined in the </w:t>
      </w:r>
      <w:r w:rsidRPr="00DC38B1">
        <w:rPr>
          <w:i/>
          <w:shd w:val="clear" w:color="auto" w:fill="FFFFFF" w:themeFill="background1"/>
        </w:rPr>
        <w:t>Public Sector Management Act 1994</w:t>
      </w:r>
      <w:r w:rsidRPr="00E47372">
        <w:rPr>
          <w:shd w:val="clear" w:color="auto" w:fill="FFFFFF" w:themeFill="background1"/>
        </w:rPr>
        <w:t>), separated from the Police Service.</w:t>
      </w:r>
    </w:p>
  </w:endnote>
  <w:endnote w:id="3">
    <w:p w14:paraId="518B7953" w14:textId="2FA3DC15" w:rsidR="00273A8D" w:rsidRPr="00E47372" w:rsidRDefault="00273A8D" w:rsidP="00607466">
      <w:pPr>
        <w:pStyle w:val="EndnoteText"/>
        <w:spacing w:before="0" w:beforeAutospacing="0"/>
      </w:pPr>
      <w:r w:rsidRPr="00E47372">
        <w:rPr>
          <w:rStyle w:val="EndnoteReference"/>
          <w:shd w:val="clear" w:color="auto" w:fill="FFFFFF" w:themeFill="background1"/>
        </w:rPr>
        <w:endnoteRef/>
      </w:r>
      <w:r w:rsidRPr="00E47372">
        <w:rPr>
          <w:shd w:val="clear" w:color="auto" w:fill="FFFFFF" w:themeFill="background1"/>
        </w:rPr>
        <w:t xml:space="preserve"> The Department of Biodiversity, Conservation and Attractions includes the Botanic Gardens and</w:t>
      </w:r>
      <w:r>
        <w:rPr>
          <w:shd w:val="clear" w:color="auto" w:fill="FFFFFF" w:themeFill="background1"/>
        </w:rPr>
        <w:t xml:space="preserve"> Parks Authority (Headcount: 143; FTE: 101</w:t>
      </w:r>
      <w:r w:rsidRPr="00E47372">
        <w:rPr>
          <w:shd w:val="clear" w:color="auto" w:fill="FFFFFF" w:themeFill="background1"/>
        </w:rPr>
        <w:t xml:space="preserve">), Rottnest </w:t>
      </w:r>
      <w:r>
        <w:rPr>
          <w:shd w:val="clear" w:color="auto" w:fill="FFFFFF" w:themeFill="background1"/>
        </w:rPr>
        <w:t>Island Authority (Headcount: 135; FTE: 115</w:t>
      </w:r>
      <w:r w:rsidRPr="00E47372">
        <w:rPr>
          <w:shd w:val="clear" w:color="auto" w:fill="FFFFFF" w:themeFill="background1"/>
        </w:rPr>
        <w:t xml:space="preserve">), and Zoological Parks Authority (Headcount: </w:t>
      </w:r>
      <w:r>
        <w:rPr>
          <w:shd w:val="clear" w:color="auto" w:fill="FFFFFF" w:themeFill="background1"/>
        </w:rPr>
        <w:t>205; FTE: 153</w:t>
      </w:r>
      <w:r w:rsidRPr="00E47372">
        <w:rPr>
          <w:shd w:val="clear" w:color="auto" w:fill="FFFFFF" w:themeFill="background1"/>
        </w:rPr>
        <w:t>) as part of administrative arrangements. However, these statutory authorities remain as separate entities and continue to employ their own staff.</w:t>
      </w:r>
    </w:p>
  </w:endnote>
  <w:endnote w:id="4">
    <w:p w14:paraId="321E4820" w14:textId="77777777" w:rsidR="00273A8D" w:rsidRPr="00E47372" w:rsidRDefault="00273A8D" w:rsidP="00607466">
      <w:pPr>
        <w:pStyle w:val="EndnoteText"/>
        <w:spacing w:before="0" w:beforeAutospacing="0"/>
      </w:pPr>
      <w:r w:rsidRPr="00E47372">
        <w:rPr>
          <w:rStyle w:val="EndnoteReference"/>
          <w:shd w:val="clear" w:color="auto" w:fill="FFFFFF" w:themeFill="background1"/>
        </w:rPr>
        <w:endnoteRef/>
      </w:r>
      <w:r w:rsidRPr="00E47372">
        <w:rPr>
          <w:shd w:val="clear" w:color="auto" w:fill="FFFFFF" w:themeFill="background1"/>
        </w:rPr>
        <w:t xml:space="preserve"> While staff of regional development commissions are part of the Department of Primary Industries and Regional Development, regional development commissions and their respective chief executives and boards remain as separate entities under legislation. For the purposes of this report, the nine regional development commissions are included in the Department of Primary Industries and Regional</w:t>
      </w:r>
      <w:r w:rsidRPr="00E47372">
        <w:rPr>
          <w:shd w:val="clear" w:color="auto" w:fill="F5F5F5"/>
        </w:rPr>
        <w:t xml:space="preserve"> </w:t>
      </w:r>
      <w:r w:rsidRPr="00E47372">
        <w:rPr>
          <w:shd w:val="clear" w:color="auto" w:fill="FFFFFF" w:themeFill="background1"/>
        </w:rPr>
        <w:t>Development.</w:t>
      </w:r>
    </w:p>
  </w:endnote>
  <w:endnote w:id="5">
    <w:p w14:paraId="22F2B9EE" w14:textId="77777777" w:rsidR="00273A8D" w:rsidRPr="00E47372" w:rsidRDefault="00273A8D" w:rsidP="00607466">
      <w:pPr>
        <w:pStyle w:val="EndnoteText"/>
        <w:spacing w:before="0" w:beforeAutospacing="0"/>
      </w:pPr>
      <w:r w:rsidRPr="00E47372">
        <w:rPr>
          <w:rStyle w:val="EndnoteReference"/>
        </w:rPr>
        <w:endnoteRef/>
      </w:r>
      <w:r w:rsidRPr="00E47372">
        <w:t xml:space="preserve"> </w:t>
      </w:r>
      <w:r w:rsidRPr="00E47372">
        <w:rPr>
          <w:shd w:val="clear" w:color="auto" w:fill="FFFFFF" w:themeFill="background1"/>
        </w:rPr>
        <w:t>Energy Policy WA was established on 5 September 2019 as a new sub-department within the Department of Mines, Industry Regulation and Safety (DMIRS) and employee numbers are included within DMIRS for the purposes of this report.</w:t>
      </w:r>
    </w:p>
  </w:endnote>
  <w:endnote w:id="6">
    <w:p w14:paraId="7828A439" w14:textId="6AF34684" w:rsidR="00273A8D" w:rsidRDefault="00273A8D" w:rsidP="009C28B3">
      <w:pPr>
        <w:spacing w:before="0" w:beforeAutospacing="0" w:after="0" w:line="240" w:lineRule="auto"/>
      </w:pPr>
      <w:r>
        <w:rPr>
          <w:rStyle w:val="EndnoteReference"/>
        </w:rPr>
        <w:endnoteRef/>
      </w:r>
      <w:r>
        <w:t xml:space="preserve"> </w:t>
      </w:r>
      <w:r w:rsidRPr="00DA5773">
        <w:rPr>
          <w:sz w:val="20"/>
        </w:rPr>
        <w:t xml:space="preserve">Staff of the Metropolitan Redevelopment Authority are transitioning to WA Land Authority under the DevelopmentWA banner. WA Land Authority is a government trading </w:t>
      </w:r>
      <w:r w:rsidRPr="00DA5773">
        <w:rPr>
          <w:sz w:val="20"/>
          <w:shd w:val="clear" w:color="auto" w:fill="FFFFFF" w:themeFill="background1"/>
        </w:rPr>
        <w:t xml:space="preserve">enterprise, hence not captured in this report. </w:t>
      </w:r>
      <w:r>
        <w:rPr>
          <w:sz w:val="20"/>
        </w:rPr>
        <w:t xml:space="preserve">This quarter </w:t>
      </w:r>
      <w:r w:rsidRPr="00DA5773">
        <w:rPr>
          <w:sz w:val="20"/>
        </w:rPr>
        <w:t>38 headcount</w:t>
      </w:r>
      <w:r>
        <w:rPr>
          <w:sz w:val="20"/>
        </w:rPr>
        <w:t xml:space="preserve"> (34 FTE)</w:t>
      </w:r>
      <w:r w:rsidRPr="00DA5773">
        <w:rPr>
          <w:sz w:val="20"/>
        </w:rPr>
        <w:t xml:space="preserve"> </w:t>
      </w:r>
      <w:r>
        <w:rPr>
          <w:sz w:val="20"/>
        </w:rPr>
        <w:t>moved from</w:t>
      </w:r>
      <w:r w:rsidRPr="00DA5773">
        <w:rPr>
          <w:sz w:val="20"/>
        </w:rPr>
        <w:t xml:space="preserve"> Metropolitan Redevelopment Authority.</w:t>
      </w:r>
    </w:p>
  </w:endnote>
  <w:endnote w:id="7">
    <w:p w14:paraId="6C1C175A" w14:textId="7A690350" w:rsidR="00273A8D" w:rsidRDefault="00273A8D" w:rsidP="00607466">
      <w:pPr>
        <w:pStyle w:val="EndnoteText"/>
        <w:spacing w:before="0" w:beforeAutospacing="0"/>
      </w:pPr>
      <w:r w:rsidRPr="00E47372">
        <w:rPr>
          <w:rStyle w:val="EndnoteReference"/>
        </w:rPr>
        <w:endnoteRef/>
      </w:r>
      <w:r w:rsidRPr="00E47372">
        <w:t xml:space="preserve"> </w:t>
      </w:r>
      <w:r w:rsidRPr="00E47372">
        <w:rPr>
          <w:shd w:val="clear" w:color="auto" w:fill="FFFFFF" w:themeFill="background1"/>
        </w:rPr>
        <w:t xml:space="preserve">Infrastructure WA was established in July 2019 </w:t>
      </w:r>
      <w:r>
        <w:rPr>
          <w:shd w:val="clear" w:color="auto" w:fill="FFFFFF" w:themeFill="background1"/>
        </w:rPr>
        <w:t>but had no employees in September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155969" w:rsidRPr="00DD61C1" w:rsidRDefault="00155969"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0BD1B391">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w:pict>
            <v:line w14:anchorId="7DE31484"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323C9C4F" w:rsidR="00155969" w:rsidRPr="00DD61C1" w:rsidRDefault="00155969"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Public Sector Quarterly Workforce Report</w:t>
    </w:r>
    <w:r w:rsidRPr="00DD61C1">
      <w:rPr>
        <w:rFonts w:ascii="Century Gothic" w:eastAsiaTheme="minorHAnsi" w:hAnsi="Century Gothic"/>
        <w:color w:val="auto"/>
        <w:sz w:val="18"/>
        <w:szCs w:val="24"/>
        <w:lang w:eastAsia="en-US"/>
      </w:rPr>
      <w:t xml:space="preserve"> – September 2020</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A47B78">
          <w:rPr>
            <w:rFonts w:ascii="Century Gothic" w:eastAsiaTheme="minorHAnsi" w:hAnsi="Century Gothic"/>
            <w:noProof/>
            <w:color w:val="auto"/>
            <w:sz w:val="18"/>
            <w:szCs w:val="24"/>
            <w:lang w:eastAsia="en-US"/>
          </w:rPr>
          <w:t>1</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48EB" w14:textId="77777777" w:rsidR="00AE6087" w:rsidRDefault="00AE6087" w:rsidP="00607466">
      <w:r>
        <w:separator/>
      </w:r>
    </w:p>
  </w:footnote>
  <w:footnote w:type="continuationSeparator" w:id="0">
    <w:p w14:paraId="1A9D8153" w14:textId="77777777" w:rsidR="00AE6087" w:rsidRDefault="00AE6087"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155969" w:rsidRDefault="00155969" w:rsidP="00607466">
    <w:pPr>
      <w:pStyle w:val="Header"/>
    </w:pPr>
    <w:r>
      <w:rPr>
        <w:noProof/>
      </w:rPr>
      <w:drawing>
        <wp:anchor distT="0" distB="0" distL="114300" distR="114300" simplePos="0" relativeHeight="251661312" behindDoc="0" locked="0" layoutInCell="1" allowOverlap="1" wp14:anchorId="0F540C57" wp14:editId="06E28377">
          <wp:simplePos x="0" y="0"/>
          <wp:positionH relativeFrom="page">
            <wp:posOffset>15240</wp:posOffset>
          </wp:positionH>
          <wp:positionV relativeFrom="paragraph">
            <wp:posOffset>-457835</wp:posOffset>
          </wp:positionV>
          <wp:extent cx="7548785" cy="10026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9"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5002508">
    <w:abstractNumId w:val="10"/>
  </w:num>
  <w:num w:numId="2" w16cid:durableId="2105222524">
    <w:abstractNumId w:val="9"/>
  </w:num>
  <w:num w:numId="3" w16cid:durableId="1955093658">
    <w:abstractNumId w:val="3"/>
  </w:num>
  <w:num w:numId="4" w16cid:durableId="425346473">
    <w:abstractNumId w:val="5"/>
  </w:num>
  <w:num w:numId="5" w16cid:durableId="722556224">
    <w:abstractNumId w:val="6"/>
  </w:num>
  <w:num w:numId="6" w16cid:durableId="140541617">
    <w:abstractNumId w:val="1"/>
  </w:num>
  <w:num w:numId="7" w16cid:durableId="646671921">
    <w:abstractNumId w:val="4"/>
  </w:num>
  <w:num w:numId="8" w16cid:durableId="1259215419">
    <w:abstractNumId w:val="7"/>
  </w:num>
  <w:num w:numId="9" w16cid:durableId="127018429">
    <w:abstractNumId w:val="0"/>
  </w:num>
  <w:num w:numId="10" w16cid:durableId="1690984101">
    <w:abstractNumId w:val="11"/>
  </w:num>
  <w:num w:numId="11" w16cid:durableId="784692159">
    <w:abstractNumId w:val="2"/>
  </w:num>
  <w:num w:numId="12" w16cid:durableId="1860508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1245B"/>
    <w:rsid w:val="000163A9"/>
    <w:rsid w:val="00017D66"/>
    <w:rsid w:val="00024274"/>
    <w:rsid w:val="0003049E"/>
    <w:rsid w:val="000610C7"/>
    <w:rsid w:val="000633EC"/>
    <w:rsid w:val="00066AAA"/>
    <w:rsid w:val="00073FAA"/>
    <w:rsid w:val="000903CB"/>
    <w:rsid w:val="000B67A1"/>
    <w:rsid w:val="000C4D29"/>
    <w:rsid w:val="000D0B9E"/>
    <w:rsid w:val="000D1422"/>
    <w:rsid w:val="000D297F"/>
    <w:rsid w:val="000D7AD8"/>
    <w:rsid w:val="000E1883"/>
    <w:rsid w:val="00112F25"/>
    <w:rsid w:val="001164A8"/>
    <w:rsid w:val="00124A29"/>
    <w:rsid w:val="00142732"/>
    <w:rsid w:val="001533F4"/>
    <w:rsid w:val="00155969"/>
    <w:rsid w:val="00156AF1"/>
    <w:rsid w:val="00160270"/>
    <w:rsid w:val="00161957"/>
    <w:rsid w:val="0016263F"/>
    <w:rsid w:val="001648F9"/>
    <w:rsid w:val="00166066"/>
    <w:rsid w:val="00166F9C"/>
    <w:rsid w:val="00167A36"/>
    <w:rsid w:val="00176402"/>
    <w:rsid w:val="001772B6"/>
    <w:rsid w:val="0017783C"/>
    <w:rsid w:val="001819FB"/>
    <w:rsid w:val="001943ED"/>
    <w:rsid w:val="00194F4C"/>
    <w:rsid w:val="001B3D81"/>
    <w:rsid w:val="001B563A"/>
    <w:rsid w:val="001C2AD2"/>
    <w:rsid w:val="001E2493"/>
    <w:rsid w:val="001F5036"/>
    <w:rsid w:val="00235732"/>
    <w:rsid w:val="00237216"/>
    <w:rsid w:val="00243430"/>
    <w:rsid w:val="002443EF"/>
    <w:rsid w:val="0024476A"/>
    <w:rsid w:val="002470F4"/>
    <w:rsid w:val="002500BA"/>
    <w:rsid w:val="0025175B"/>
    <w:rsid w:val="00254FD5"/>
    <w:rsid w:val="0026119B"/>
    <w:rsid w:val="00266709"/>
    <w:rsid w:val="002677BA"/>
    <w:rsid w:val="00273A8D"/>
    <w:rsid w:val="002741E8"/>
    <w:rsid w:val="0027558C"/>
    <w:rsid w:val="0029182E"/>
    <w:rsid w:val="00297FF6"/>
    <w:rsid w:val="002D4961"/>
    <w:rsid w:val="002E40BB"/>
    <w:rsid w:val="00303049"/>
    <w:rsid w:val="00303693"/>
    <w:rsid w:val="00307CD4"/>
    <w:rsid w:val="0031286C"/>
    <w:rsid w:val="00323411"/>
    <w:rsid w:val="00344738"/>
    <w:rsid w:val="00353B63"/>
    <w:rsid w:val="00360B0E"/>
    <w:rsid w:val="00361907"/>
    <w:rsid w:val="00370A08"/>
    <w:rsid w:val="00380750"/>
    <w:rsid w:val="00383E02"/>
    <w:rsid w:val="00390269"/>
    <w:rsid w:val="00391A65"/>
    <w:rsid w:val="00396099"/>
    <w:rsid w:val="003B5090"/>
    <w:rsid w:val="003B7136"/>
    <w:rsid w:val="003D4C38"/>
    <w:rsid w:val="003D7A87"/>
    <w:rsid w:val="003E1971"/>
    <w:rsid w:val="003E40AB"/>
    <w:rsid w:val="003E5358"/>
    <w:rsid w:val="003F31B7"/>
    <w:rsid w:val="00402C29"/>
    <w:rsid w:val="00405CAE"/>
    <w:rsid w:val="0040739E"/>
    <w:rsid w:val="0041564A"/>
    <w:rsid w:val="00423313"/>
    <w:rsid w:val="00425F5A"/>
    <w:rsid w:val="004338CC"/>
    <w:rsid w:val="004375DD"/>
    <w:rsid w:val="00455B8B"/>
    <w:rsid w:val="004619AD"/>
    <w:rsid w:val="00480722"/>
    <w:rsid w:val="00484458"/>
    <w:rsid w:val="004939BE"/>
    <w:rsid w:val="00495618"/>
    <w:rsid w:val="0049790C"/>
    <w:rsid w:val="004B4E73"/>
    <w:rsid w:val="004C7EDF"/>
    <w:rsid w:val="004D0F80"/>
    <w:rsid w:val="004D2D10"/>
    <w:rsid w:val="004E0EE5"/>
    <w:rsid w:val="00504075"/>
    <w:rsid w:val="005164C9"/>
    <w:rsid w:val="005211EB"/>
    <w:rsid w:val="00557EEB"/>
    <w:rsid w:val="00562226"/>
    <w:rsid w:val="00566F6A"/>
    <w:rsid w:val="00572E33"/>
    <w:rsid w:val="00576493"/>
    <w:rsid w:val="0058211D"/>
    <w:rsid w:val="00583006"/>
    <w:rsid w:val="00590449"/>
    <w:rsid w:val="005A0512"/>
    <w:rsid w:val="005B22C8"/>
    <w:rsid w:val="005C4AC3"/>
    <w:rsid w:val="005C5C7B"/>
    <w:rsid w:val="005E0E6E"/>
    <w:rsid w:val="005E2237"/>
    <w:rsid w:val="005E38F4"/>
    <w:rsid w:val="005E7A49"/>
    <w:rsid w:val="005F66C6"/>
    <w:rsid w:val="00607466"/>
    <w:rsid w:val="006122AC"/>
    <w:rsid w:val="00622D0C"/>
    <w:rsid w:val="00623A1B"/>
    <w:rsid w:val="006258A2"/>
    <w:rsid w:val="006369EB"/>
    <w:rsid w:val="00647C0A"/>
    <w:rsid w:val="00664DAC"/>
    <w:rsid w:val="00665B90"/>
    <w:rsid w:val="00677EE7"/>
    <w:rsid w:val="0068227C"/>
    <w:rsid w:val="00684AFE"/>
    <w:rsid w:val="006908B0"/>
    <w:rsid w:val="006961F2"/>
    <w:rsid w:val="006A5FF7"/>
    <w:rsid w:val="006B2D39"/>
    <w:rsid w:val="006B3054"/>
    <w:rsid w:val="006D3B95"/>
    <w:rsid w:val="006D595F"/>
    <w:rsid w:val="0070136C"/>
    <w:rsid w:val="0070439F"/>
    <w:rsid w:val="007070EE"/>
    <w:rsid w:val="0072796E"/>
    <w:rsid w:val="00727EE6"/>
    <w:rsid w:val="007376EF"/>
    <w:rsid w:val="0074648E"/>
    <w:rsid w:val="007472F0"/>
    <w:rsid w:val="0074786D"/>
    <w:rsid w:val="0075296C"/>
    <w:rsid w:val="00757BD6"/>
    <w:rsid w:val="00763D60"/>
    <w:rsid w:val="00785C66"/>
    <w:rsid w:val="00792A3A"/>
    <w:rsid w:val="007947EA"/>
    <w:rsid w:val="007B4FC7"/>
    <w:rsid w:val="007C147E"/>
    <w:rsid w:val="007D31EE"/>
    <w:rsid w:val="007D4DB2"/>
    <w:rsid w:val="007E0645"/>
    <w:rsid w:val="007F2DA5"/>
    <w:rsid w:val="00803B35"/>
    <w:rsid w:val="00822699"/>
    <w:rsid w:val="00826F9F"/>
    <w:rsid w:val="00835C76"/>
    <w:rsid w:val="008374F7"/>
    <w:rsid w:val="00841678"/>
    <w:rsid w:val="00880F9C"/>
    <w:rsid w:val="0088303B"/>
    <w:rsid w:val="008B2549"/>
    <w:rsid w:val="008B64B5"/>
    <w:rsid w:val="008F0DDE"/>
    <w:rsid w:val="008F67C0"/>
    <w:rsid w:val="0090220D"/>
    <w:rsid w:val="00904528"/>
    <w:rsid w:val="00904564"/>
    <w:rsid w:val="00905088"/>
    <w:rsid w:val="00931992"/>
    <w:rsid w:val="009348F3"/>
    <w:rsid w:val="00952CFF"/>
    <w:rsid w:val="00955AD6"/>
    <w:rsid w:val="00972AB7"/>
    <w:rsid w:val="00981050"/>
    <w:rsid w:val="00987BF2"/>
    <w:rsid w:val="00994760"/>
    <w:rsid w:val="0099607C"/>
    <w:rsid w:val="00997333"/>
    <w:rsid w:val="009C012D"/>
    <w:rsid w:val="009C28B3"/>
    <w:rsid w:val="009D43F4"/>
    <w:rsid w:val="009D4B14"/>
    <w:rsid w:val="009F2188"/>
    <w:rsid w:val="009F516F"/>
    <w:rsid w:val="009F5326"/>
    <w:rsid w:val="00A03D1D"/>
    <w:rsid w:val="00A112D3"/>
    <w:rsid w:val="00A14F67"/>
    <w:rsid w:val="00A21ABE"/>
    <w:rsid w:val="00A26E99"/>
    <w:rsid w:val="00A41CC5"/>
    <w:rsid w:val="00A4444D"/>
    <w:rsid w:val="00A47B78"/>
    <w:rsid w:val="00A60109"/>
    <w:rsid w:val="00A60D4F"/>
    <w:rsid w:val="00A60D76"/>
    <w:rsid w:val="00A61904"/>
    <w:rsid w:val="00A67125"/>
    <w:rsid w:val="00A81B43"/>
    <w:rsid w:val="00A9236C"/>
    <w:rsid w:val="00A969C2"/>
    <w:rsid w:val="00AE23DF"/>
    <w:rsid w:val="00AE35DD"/>
    <w:rsid w:val="00AE6087"/>
    <w:rsid w:val="00AF4110"/>
    <w:rsid w:val="00B043C4"/>
    <w:rsid w:val="00B12D35"/>
    <w:rsid w:val="00B22A8E"/>
    <w:rsid w:val="00B271FA"/>
    <w:rsid w:val="00B316D7"/>
    <w:rsid w:val="00B563B1"/>
    <w:rsid w:val="00B57116"/>
    <w:rsid w:val="00B728CC"/>
    <w:rsid w:val="00B72D78"/>
    <w:rsid w:val="00B75F29"/>
    <w:rsid w:val="00B76FBB"/>
    <w:rsid w:val="00B83360"/>
    <w:rsid w:val="00BA26FE"/>
    <w:rsid w:val="00BA5DD5"/>
    <w:rsid w:val="00BB1612"/>
    <w:rsid w:val="00BB74E6"/>
    <w:rsid w:val="00BC2116"/>
    <w:rsid w:val="00BC6761"/>
    <w:rsid w:val="00BE086E"/>
    <w:rsid w:val="00BF4A87"/>
    <w:rsid w:val="00C050EB"/>
    <w:rsid w:val="00C07157"/>
    <w:rsid w:val="00C13BC1"/>
    <w:rsid w:val="00C14672"/>
    <w:rsid w:val="00C36EDA"/>
    <w:rsid w:val="00C51C2E"/>
    <w:rsid w:val="00C63010"/>
    <w:rsid w:val="00C66375"/>
    <w:rsid w:val="00C736B0"/>
    <w:rsid w:val="00C8204B"/>
    <w:rsid w:val="00C910D3"/>
    <w:rsid w:val="00C96AD0"/>
    <w:rsid w:val="00C96C7E"/>
    <w:rsid w:val="00CA1B50"/>
    <w:rsid w:val="00CA4321"/>
    <w:rsid w:val="00CA7882"/>
    <w:rsid w:val="00CB15A1"/>
    <w:rsid w:val="00CB36F5"/>
    <w:rsid w:val="00CC22E0"/>
    <w:rsid w:val="00CC76B7"/>
    <w:rsid w:val="00CD7582"/>
    <w:rsid w:val="00CE4FCA"/>
    <w:rsid w:val="00CF3CF5"/>
    <w:rsid w:val="00D207EA"/>
    <w:rsid w:val="00D22474"/>
    <w:rsid w:val="00D30820"/>
    <w:rsid w:val="00D42F5B"/>
    <w:rsid w:val="00D453C8"/>
    <w:rsid w:val="00D47BA3"/>
    <w:rsid w:val="00D55AAF"/>
    <w:rsid w:val="00D65FD3"/>
    <w:rsid w:val="00D7121A"/>
    <w:rsid w:val="00D932B6"/>
    <w:rsid w:val="00DA0E34"/>
    <w:rsid w:val="00DA2C0E"/>
    <w:rsid w:val="00DA35A9"/>
    <w:rsid w:val="00DA5773"/>
    <w:rsid w:val="00DB0BDA"/>
    <w:rsid w:val="00DC0A1B"/>
    <w:rsid w:val="00DC3674"/>
    <w:rsid w:val="00DC38B1"/>
    <w:rsid w:val="00DD16E2"/>
    <w:rsid w:val="00DD5F21"/>
    <w:rsid w:val="00DD61C1"/>
    <w:rsid w:val="00E119AB"/>
    <w:rsid w:val="00E23D5E"/>
    <w:rsid w:val="00E32716"/>
    <w:rsid w:val="00E327C6"/>
    <w:rsid w:val="00E47372"/>
    <w:rsid w:val="00E47A3C"/>
    <w:rsid w:val="00E64377"/>
    <w:rsid w:val="00EB0109"/>
    <w:rsid w:val="00EB09F0"/>
    <w:rsid w:val="00EB4AC2"/>
    <w:rsid w:val="00ED289B"/>
    <w:rsid w:val="00ED3B83"/>
    <w:rsid w:val="00EF4B0F"/>
    <w:rsid w:val="00EF64F7"/>
    <w:rsid w:val="00EF6C1F"/>
    <w:rsid w:val="00F140D9"/>
    <w:rsid w:val="00F27804"/>
    <w:rsid w:val="00F4323B"/>
    <w:rsid w:val="00F54D74"/>
    <w:rsid w:val="00F60192"/>
    <w:rsid w:val="00F73E21"/>
    <w:rsid w:val="00F77A0C"/>
    <w:rsid w:val="00F84448"/>
    <w:rsid w:val="00F86D38"/>
    <w:rsid w:val="00FB056F"/>
    <w:rsid w:val="00FB39F8"/>
    <w:rsid w:val="00FB6D7D"/>
    <w:rsid w:val="00FB6F6B"/>
    <w:rsid w:val="00FD7641"/>
    <w:rsid w:val="00FE17DB"/>
    <w:rsid w:val="00FE7DE9"/>
    <w:rsid w:val="00FF34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19-20" TargetMode="External"/><Relationship Id="rId14" Type="http://schemas.openxmlformats.org/officeDocument/2006/relationships/hyperlink" Target="mailto:stateadministrator@p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99358-F4B8-4957-9D68-5EC0D449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1</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September 2020</dc:title>
  <dc:subject/>
  <dc:creator>Public Sector Commission</dc:creator>
  <cp:keywords/>
  <dc:description/>
  <cp:lastModifiedBy>Partridge, Julian</cp:lastModifiedBy>
  <cp:revision>35</cp:revision>
  <cp:lastPrinted>2020-12-11T02:27:00Z</cp:lastPrinted>
  <dcterms:created xsi:type="dcterms:W3CDTF">2020-11-18T05:33:00Z</dcterms:created>
  <dcterms:modified xsi:type="dcterms:W3CDTF">2023-11-10T07:47:00Z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751638605</vt:i4>
  </property>
  <property fmtid="{D5CDD505-2E9C-101B-9397-08002B2CF9AE}" pid="3" name="_NewReviewCycle">
    <vt:lpwstr/>
  </property>
  <property fmtid="{D5CDD505-2E9C-101B-9397-08002B2CF9AE}" pid="4" name="_EmailSubject">
    <vt:lpwstr>QWR into wa.gov.au</vt:lpwstr>
  </property>
  <property fmtid="{D5CDD505-2E9C-101B-9397-08002B2CF9AE}" pid="5" name="_AuthorEmail">
    <vt:lpwstr>Alan.Lee@psc.wa.gov.au</vt:lpwstr>
  </property>
  <property fmtid="{D5CDD505-2E9C-101B-9397-08002B2CF9AE}" pid="6" name="_AuthorEmailDisplayName">
    <vt:lpwstr>Lee, Alan</vt:lpwstr>
  </property>
  <property fmtid="{D5CDD505-2E9C-101B-9397-08002B2CF9AE}" pid="7" name="_ReviewingToolsShownOnce">
    <vt:lpwstr/>
  </property>
  <property fmtid="{D5CDD505-2E9C-101B-9397-08002B2CF9AE}" pid="8" name="MSIP_Label_9debd643-ebde-44ed-8e8b-40a2ae139fe2_Enabled">
    <vt:lpwstr>true</vt:lpwstr>
  </property>
  <property fmtid="{D5CDD505-2E9C-101B-9397-08002B2CF9AE}" pid="9" name="MSIP_Label_9debd643-ebde-44ed-8e8b-40a2ae139fe2_SetDate">
    <vt:lpwstr>2023-11-10T07:47:35Z</vt:lpwstr>
  </property>
  <property fmtid="{D5CDD505-2E9C-101B-9397-08002B2CF9AE}" pid="10" name="MSIP_Label_9debd643-ebde-44ed-8e8b-40a2ae139fe2_Method">
    <vt:lpwstr>Standard</vt:lpwstr>
  </property>
  <property fmtid="{D5CDD505-2E9C-101B-9397-08002B2CF9AE}" pid="11" name="MSIP_Label_9debd643-ebde-44ed-8e8b-40a2ae139fe2_Name">
    <vt:lpwstr>OFFICIAL PSC.</vt:lpwstr>
  </property>
  <property fmtid="{D5CDD505-2E9C-101B-9397-08002B2CF9AE}" pid="12" name="MSIP_Label_9debd643-ebde-44ed-8e8b-40a2ae139fe2_SiteId">
    <vt:lpwstr>d48144b5-571f-4b68-9721-e41bc0071e17</vt:lpwstr>
  </property>
  <property fmtid="{D5CDD505-2E9C-101B-9397-08002B2CF9AE}" pid="13" name="MSIP_Label_9debd643-ebde-44ed-8e8b-40a2ae139fe2_ActionId">
    <vt:lpwstr>ca9d2681-fd7f-4437-af96-5f008c423fea</vt:lpwstr>
  </property>
  <property fmtid="{D5CDD505-2E9C-101B-9397-08002B2CF9AE}" pid="14" name="MSIP_Label_9debd643-ebde-44ed-8e8b-40a2ae139fe2_ContentBits">
    <vt:lpwstr>0</vt:lpwstr>
  </property>
</Properties>
</file>