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1CB" w14:textId="0E4BC2AA" w:rsidR="00F140D9" w:rsidRPr="004D0F80" w:rsidRDefault="00737B48" w:rsidP="00737B48">
      <w:pPr>
        <w:pStyle w:val="Heading1"/>
        <w:spacing w:before="720" w:before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77B579" wp14:editId="7291A82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4551" cy="1580707"/>
            <wp:effectExtent l="0" t="0" r="0" b="635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551" cy="15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0D9" w:rsidRPr="004D0F80">
        <w:t xml:space="preserve">Western Australian </w:t>
      </w:r>
      <w:r w:rsidR="00235D77">
        <w:t>p</w:t>
      </w:r>
      <w:r w:rsidR="00F140D9" w:rsidRPr="004D0F80">
        <w:t xml:space="preserve">ublic </w:t>
      </w:r>
      <w:r w:rsidR="00235D77">
        <w:t>s</w:t>
      </w:r>
      <w:r w:rsidR="00F140D9" w:rsidRPr="004D0F80">
        <w:t xml:space="preserve">ector </w:t>
      </w:r>
      <w:r w:rsidR="00F76D8B">
        <w:t>q</w:t>
      </w:r>
      <w:r w:rsidR="00C51C2E" w:rsidRPr="004D0F80">
        <w:t>uarterly workforce report</w:t>
      </w:r>
      <w:r w:rsidR="00607466">
        <w:t xml:space="preserve"> – </w:t>
      </w:r>
      <w:r w:rsidR="00052DB4">
        <w:br/>
      </w:r>
      <w:r w:rsidR="001D21F5">
        <w:t>December</w:t>
      </w:r>
      <w:r w:rsidR="007E5220">
        <w:t xml:space="preserve"> 2022</w:t>
      </w:r>
    </w:p>
    <w:p w14:paraId="6D273999" w14:textId="11743C42" w:rsidR="00CC76B7" w:rsidRDefault="00CC76B7" w:rsidP="00607466">
      <w:pPr>
        <w:pStyle w:val="Heading2"/>
        <w:spacing w:before="400" w:beforeAutospacing="0" w:line="240" w:lineRule="exact"/>
      </w:pPr>
      <w:r w:rsidRPr="004D0F80">
        <w:t>About</w:t>
      </w:r>
      <w:r>
        <w:t xml:space="preserve"> this information</w:t>
      </w:r>
    </w:p>
    <w:p w14:paraId="14D98CE9" w14:textId="6DD3F387" w:rsidR="00CC76B7" w:rsidRDefault="00CC76B7" w:rsidP="000002FD">
      <w:pPr>
        <w:spacing w:before="0" w:beforeAutospacing="0" w:after="0"/>
        <w:rPr>
          <w:noProof/>
        </w:rPr>
      </w:pPr>
      <w:r w:rsidRPr="00484458">
        <w:t xml:space="preserve">This page presents a snapshot of the </w:t>
      </w:r>
      <w:r w:rsidR="000E1883">
        <w:t>p</w:t>
      </w:r>
      <w:r w:rsidRPr="00484458">
        <w:t xml:space="preserve">ublic </w:t>
      </w:r>
      <w:r w:rsidR="000E1883">
        <w:t>s</w:t>
      </w:r>
      <w:r w:rsidRPr="00484458">
        <w:t xml:space="preserve">ector workforce </w:t>
      </w:r>
      <w:r w:rsidR="0027558C" w:rsidRPr="00484458">
        <w:t xml:space="preserve">based on </w:t>
      </w:r>
      <w:r w:rsidRPr="00484458">
        <w:t>the mo</w:t>
      </w:r>
      <w:r w:rsidRPr="008B64B5">
        <w:t xml:space="preserve">st recent data available. More detailed workforce information (including information on other government entities) is available in the </w:t>
      </w:r>
      <w:hyperlink r:id="rId9" w:history="1">
        <w:r w:rsidR="00DD6729">
          <w:rPr>
            <w:rStyle w:val="Hyperlink"/>
          </w:rPr>
          <w:t>State of the WA Government Sector Workforce 2021-22</w:t>
        </w:r>
      </w:hyperlink>
      <w:r w:rsidR="00EB09F0" w:rsidRPr="008B64B5">
        <w:t>.</w:t>
      </w:r>
      <w:r w:rsidR="004D0F80" w:rsidRPr="008B64B5">
        <w:rPr>
          <w:noProof/>
        </w:rPr>
        <w:t xml:space="preserve"> </w:t>
      </w:r>
    </w:p>
    <w:p w14:paraId="18EB769D" w14:textId="77777777" w:rsidR="000002FD" w:rsidRPr="008B64B5" w:rsidRDefault="000002FD" w:rsidP="000002FD">
      <w:pPr>
        <w:spacing w:before="0" w:beforeAutospacing="0" w:after="0"/>
      </w:pPr>
    </w:p>
    <w:p w14:paraId="787158A3" w14:textId="58733DE2" w:rsidR="00C910D3" w:rsidRPr="008B64B5" w:rsidRDefault="00C910D3" w:rsidP="000002FD">
      <w:pPr>
        <w:spacing w:before="0" w:beforeAutospacing="0" w:after="0"/>
      </w:pPr>
      <w:r w:rsidRPr="008B64B5">
        <w:t xml:space="preserve">Please see the Commission’s </w:t>
      </w:r>
      <w:hyperlink r:id="rId10" w:history="1">
        <w:r w:rsidRPr="008B64B5">
          <w:rPr>
            <w:rStyle w:val="Hyperlink"/>
          </w:rPr>
          <w:t>About our workforce data</w:t>
        </w:r>
      </w:hyperlink>
      <w:r w:rsidRPr="008B64B5">
        <w:t xml:space="preserve"> page for </w:t>
      </w:r>
      <w:r w:rsidR="00142732" w:rsidRPr="008B64B5">
        <w:t>additional contextual</w:t>
      </w:r>
      <w:r w:rsidRPr="008B64B5">
        <w:t xml:space="preserve"> information.</w:t>
      </w:r>
    </w:p>
    <w:p w14:paraId="78FF7087" w14:textId="0FD64573" w:rsidR="00F140D9" w:rsidRPr="006258A2" w:rsidRDefault="006258A2" w:rsidP="006A2B08">
      <w:pPr>
        <w:pStyle w:val="Heading2"/>
        <w:spacing w:before="320" w:beforeAutospacing="0" w:after="240" w:afterAutospacing="0" w:line="240" w:lineRule="exact"/>
      </w:pPr>
      <w:r w:rsidRPr="006258A2">
        <w:t>Overview</w:t>
      </w:r>
      <w:r w:rsidR="002500BA">
        <w:t xml:space="preserve"> of the </w:t>
      </w:r>
      <w:r w:rsidR="000E1883">
        <w:t>p</w:t>
      </w:r>
      <w:r w:rsidR="002500BA">
        <w:t xml:space="preserve">ublic </w:t>
      </w:r>
      <w:r w:rsidR="000E1883">
        <w:t>s</w:t>
      </w:r>
      <w:r w:rsidR="00917C55">
        <w:t xml:space="preserve">ector as </w:t>
      </w:r>
      <w:proofErr w:type="gramStart"/>
      <w:r w:rsidR="00917C55">
        <w:t>at</w:t>
      </w:r>
      <w:proofErr w:type="gramEnd"/>
      <w:r w:rsidR="00CC76B7">
        <w:t xml:space="preserve"> </w:t>
      </w:r>
      <w:r w:rsidR="001D21F5">
        <w:t>December</w:t>
      </w:r>
      <w:r w:rsidR="00DD6729">
        <w:t xml:space="preserve"> </w:t>
      </w:r>
      <w:r w:rsidR="007E5220">
        <w:t>2022</w:t>
      </w:r>
    </w:p>
    <w:tbl>
      <w:tblPr>
        <w:tblStyle w:val="GridTable1Light-Accent6"/>
        <w:tblW w:w="8784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1678"/>
        <w:gridCol w:w="3420"/>
        <w:gridCol w:w="3686"/>
      </w:tblGrid>
      <w:tr w:rsidR="00F86D38" w:rsidRPr="004D0F80" w14:paraId="4F4C340A" w14:textId="77777777" w:rsidTr="00CC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bottom w:val="none" w:sz="0" w:space="0" w:color="auto"/>
            </w:tcBorders>
          </w:tcPr>
          <w:p w14:paraId="5A966609" w14:textId="48F826EB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14:paraId="56D54886" w14:textId="6F7F7203" w:rsidR="00F86D38" w:rsidRPr="009B75CD" w:rsidRDefault="001D21F5" w:rsidP="00071A0B">
            <w:pPr>
              <w:pStyle w:val="TableText"/>
              <w:spacing w:beforeAutospacing="0" w:line="240" w:lineRule="auto"/>
              <w:ind w:left="720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highlight w:val="yellow"/>
                <w:shd w:val="clear" w:color="auto" w:fill="FFFFFF"/>
              </w:rPr>
            </w:pPr>
            <w:r w:rsidRPr="001D21F5">
              <w:rPr>
                <w:b w:val="0"/>
                <w:sz w:val="21"/>
                <w:szCs w:val="21"/>
                <w:shd w:val="clear" w:color="auto" w:fill="FFFFFF"/>
              </w:rPr>
              <w:t>160,</w:t>
            </w:r>
            <w:r w:rsidR="00103AF5">
              <w:rPr>
                <w:b w:val="0"/>
                <w:sz w:val="21"/>
                <w:szCs w:val="21"/>
                <w:shd w:val="clear" w:color="auto" w:fill="FFFFFF"/>
              </w:rPr>
              <w:t>923</w:t>
            </w:r>
          </w:p>
        </w:tc>
      </w:tr>
      <w:tr w:rsidR="00F86D38" w:rsidRPr="004D0F80" w14:paraId="33540417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39754B09" w14:textId="23F91C90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Full-time equivalent (FTE)</w:t>
            </w:r>
          </w:p>
        </w:tc>
        <w:tc>
          <w:tcPr>
            <w:tcW w:w="3686" w:type="dxa"/>
          </w:tcPr>
          <w:p w14:paraId="63CC6538" w14:textId="7E925A7F" w:rsidR="00F86D38" w:rsidRPr="009B75CD" w:rsidRDefault="001D21F5" w:rsidP="000B1091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shd w:val="clear" w:color="auto" w:fill="FFFFFF"/>
              </w:rPr>
            </w:pPr>
            <w:r w:rsidRPr="001D21F5">
              <w:rPr>
                <w:sz w:val="21"/>
                <w:szCs w:val="21"/>
                <w:shd w:val="clear" w:color="auto" w:fill="FFFFFF"/>
              </w:rPr>
              <w:t>126,136</w:t>
            </w:r>
          </w:p>
        </w:tc>
      </w:tr>
      <w:tr w:rsidR="008750E6" w:rsidRPr="000610C7" w14:paraId="5214CC2A" w14:textId="4801395B" w:rsidTr="00692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1D20AED2" w14:textId="77777777" w:rsidR="00036DCA" w:rsidRDefault="008750E6">
            <w:pPr>
              <w:pStyle w:val="TableText"/>
              <w:spacing w:beforeAutospacing="0" w:line="240" w:lineRule="auto"/>
              <w:rPr>
                <w:bCs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 xml:space="preserve">General government </w:t>
            </w:r>
            <w:r w:rsidR="006926A7">
              <w:rPr>
                <w:b w:val="0"/>
                <w:sz w:val="21"/>
                <w:szCs w:val="21"/>
                <w:shd w:val="clear" w:color="auto" w:fill="FFFFFF"/>
              </w:rPr>
              <w:t xml:space="preserve">salaries </w:t>
            </w: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expenses</w:t>
            </w:r>
          </w:p>
          <w:p w14:paraId="642B25AC" w14:textId="0DCD9E10" w:rsidR="008750E6" w:rsidRPr="006A5FF7" w:rsidRDefault="00073448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b w:val="0"/>
                <w:sz w:val="21"/>
                <w:szCs w:val="21"/>
                <w:shd w:val="clear" w:color="auto" w:fill="FFFFFF"/>
              </w:rPr>
              <w:t>(December quarter)</w:t>
            </w:r>
          </w:p>
        </w:tc>
        <w:tc>
          <w:tcPr>
            <w:tcW w:w="3686" w:type="dxa"/>
            <w:vAlign w:val="center"/>
          </w:tcPr>
          <w:p w14:paraId="66512567" w14:textId="3155E318" w:rsidR="008750E6" w:rsidRPr="009B75CD" w:rsidRDefault="007922A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$</w:t>
            </w:r>
            <w:r w:rsidR="00D46CC8">
              <w:rPr>
                <w:sz w:val="21"/>
                <w:szCs w:val="21"/>
                <w:shd w:val="clear" w:color="auto" w:fill="FFFFFF"/>
              </w:rPr>
              <w:t>3,942</w:t>
            </w:r>
            <w:r w:rsidR="00903FC6">
              <w:rPr>
                <w:sz w:val="21"/>
                <w:szCs w:val="21"/>
                <w:shd w:val="clear" w:color="auto" w:fill="FFFFFF"/>
              </w:rPr>
              <w:t xml:space="preserve"> M</w:t>
            </w:r>
          </w:p>
        </w:tc>
      </w:tr>
      <w:tr w:rsidR="00F86D38" w:rsidRPr="00DA0F3B" w14:paraId="2903238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B9D79AB" w14:textId="75D1B13D" w:rsidR="00F86D38" w:rsidRPr="006A5FF7" w:rsidRDefault="006A5FF7" w:rsidP="006A5FF7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Public sector m</w:t>
            </w:r>
            <w:r w:rsidR="00F86D38" w:rsidRPr="006A5FF7">
              <w:rPr>
                <w:b w:val="0"/>
                <w:sz w:val="21"/>
                <w:szCs w:val="21"/>
                <w:shd w:val="clear" w:color="auto" w:fill="FFFFFF"/>
              </w:rPr>
              <w:t>edian age</w:t>
            </w:r>
          </w:p>
        </w:tc>
        <w:tc>
          <w:tcPr>
            <w:tcW w:w="3686" w:type="dxa"/>
          </w:tcPr>
          <w:p w14:paraId="4351825E" w14:textId="7318EC7E" w:rsidR="00F86D38" w:rsidRPr="009B75CD" w:rsidRDefault="007922A5" w:rsidP="00156AF1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45</w:t>
            </w:r>
          </w:p>
        </w:tc>
      </w:tr>
      <w:tr w:rsidR="00F86D38" w:rsidRPr="000610C7" w14:paraId="609145E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 w:val="restart"/>
          </w:tcPr>
          <w:p w14:paraId="1DE8E763" w14:textId="2B84DB0B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Top 3 occupation groups (FTE)</w:t>
            </w:r>
          </w:p>
        </w:tc>
        <w:tc>
          <w:tcPr>
            <w:tcW w:w="3420" w:type="dxa"/>
          </w:tcPr>
          <w:p w14:paraId="0B019051" w14:textId="3955FB6D" w:rsidR="00F86D38" w:rsidRPr="006A5FF7" w:rsidRDefault="00F86D38" w:rsidP="00607466">
            <w:pPr>
              <w:pStyle w:val="TableText"/>
              <w:spacing w:before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Teachers</w:t>
            </w:r>
          </w:p>
        </w:tc>
        <w:tc>
          <w:tcPr>
            <w:tcW w:w="3686" w:type="dxa"/>
            <w:shd w:val="clear" w:color="auto" w:fill="auto"/>
          </w:tcPr>
          <w:p w14:paraId="560A349D" w14:textId="771B3C35" w:rsidR="00F86D38" w:rsidRPr="009B62B3" w:rsidRDefault="001D21F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18.3</w:t>
            </w:r>
            <w:r w:rsidR="007922A5">
              <w:rPr>
                <w:sz w:val="21"/>
                <w:szCs w:val="21"/>
                <w:shd w:val="clear" w:color="auto" w:fill="FFFFFF"/>
              </w:rPr>
              <w:t>%</w:t>
            </w:r>
          </w:p>
        </w:tc>
      </w:tr>
      <w:tr w:rsidR="00F86D38" w:rsidRPr="000610C7" w14:paraId="526F70BD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4034553D" w14:textId="77777777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20" w:type="dxa"/>
          </w:tcPr>
          <w:p w14:paraId="32B6CB38" w14:textId="0EE45075" w:rsidR="00F86D38" w:rsidRPr="006A5FF7" w:rsidRDefault="00F86D38" w:rsidP="00607466">
            <w:pPr>
              <w:pStyle w:val="TableText"/>
              <w:spacing w:before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Clerical workers</w:t>
            </w:r>
          </w:p>
        </w:tc>
        <w:tc>
          <w:tcPr>
            <w:tcW w:w="3686" w:type="dxa"/>
            <w:shd w:val="clear" w:color="auto" w:fill="auto"/>
          </w:tcPr>
          <w:p w14:paraId="299EF6D1" w14:textId="7EC80DF5" w:rsidR="00F86D38" w:rsidRPr="009B62B3" w:rsidRDefault="001D21F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1D21F5">
              <w:rPr>
                <w:sz w:val="21"/>
                <w:szCs w:val="21"/>
                <w:shd w:val="clear" w:color="auto" w:fill="FFFFFF"/>
              </w:rPr>
              <w:t>16.8</w:t>
            </w:r>
            <w:r w:rsidR="007922A5">
              <w:rPr>
                <w:sz w:val="21"/>
                <w:szCs w:val="21"/>
                <w:shd w:val="clear" w:color="auto" w:fill="FFFFFF"/>
              </w:rPr>
              <w:t>%</w:t>
            </w:r>
          </w:p>
        </w:tc>
      </w:tr>
      <w:tr w:rsidR="00F86D38" w:rsidRPr="000610C7" w14:paraId="2278A679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1844E113" w14:textId="77777777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20" w:type="dxa"/>
          </w:tcPr>
          <w:p w14:paraId="257B4449" w14:textId="60F81CBA" w:rsidR="00F86D38" w:rsidRPr="006A5FF7" w:rsidRDefault="00F86D38" w:rsidP="00607466">
            <w:pPr>
              <w:pStyle w:val="TableText"/>
              <w:spacing w:before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Nurses and midwives</w:t>
            </w:r>
          </w:p>
        </w:tc>
        <w:tc>
          <w:tcPr>
            <w:tcW w:w="3686" w:type="dxa"/>
            <w:shd w:val="clear" w:color="auto" w:fill="auto"/>
          </w:tcPr>
          <w:p w14:paraId="04F768B5" w14:textId="11E05442" w:rsidR="00F86D38" w:rsidRPr="009B62B3" w:rsidRDefault="007922A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11.</w:t>
            </w:r>
            <w:r w:rsidR="001D21F5"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%</w:t>
            </w:r>
          </w:p>
        </w:tc>
      </w:tr>
    </w:tbl>
    <w:p w14:paraId="00DE3416" w14:textId="77777777" w:rsidR="006F3EC6" w:rsidRPr="006A5FF7" w:rsidRDefault="006F3EC6" w:rsidP="006926A7">
      <w:pPr>
        <w:spacing w:after="0"/>
        <w:rPr>
          <w:sz w:val="2"/>
          <w:shd w:val="clear" w:color="auto" w:fill="FFFFFF"/>
        </w:rPr>
      </w:pPr>
    </w:p>
    <w:tbl>
      <w:tblPr>
        <w:tblStyle w:val="CommissionTable1"/>
        <w:tblW w:w="8811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3539"/>
        <w:gridCol w:w="1776"/>
        <w:gridCol w:w="1525"/>
        <w:gridCol w:w="1971"/>
      </w:tblGrid>
      <w:tr w:rsidR="00B271FA" w:rsidRPr="006A5FF7" w14:paraId="550C2343" w14:textId="77777777" w:rsidTr="00737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39" w:type="dxa"/>
          </w:tcPr>
          <w:p w14:paraId="577EF88F" w14:textId="77777777" w:rsidR="00B271FA" w:rsidRPr="006A5FF7" w:rsidRDefault="00B271FA" w:rsidP="006A5FF7">
            <w:pPr>
              <w:spacing w:before="40" w:after="40"/>
              <w:ind w:right="245"/>
              <w:rPr>
                <w:color w:val="FFFFFF" w:themeColor="background1"/>
              </w:rPr>
            </w:pPr>
            <w:r w:rsidRPr="006A5FF7">
              <w:rPr>
                <w:color w:val="FFFFFF" w:themeColor="background1"/>
              </w:rPr>
              <w:t>Diversity groups</w:t>
            </w:r>
          </w:p>
        </w:tc>
        <w:tc>
          <w:tcPr>
            <w:tcW w:w="3301" w:type="dxa"/>
            <w:gridSpan w:val="2"/>
            <w:tcBorders>
              <w:bottom w:val="single" w:sz="4" w:space="0" w:color="2B9947"/>
            </w:tcBorders>
          </w:tcPr>
          <w:p w14:paraId="3D126E53" w14:textId="21F614A8" w:rsidR="00B271FA" w:rsidRPr="006A5FF7" w:rsidRDefault="00557AF6" w:rsidP="006A5FF7">
            <w:pPr>
              <w:spacing w:before="40" w:after="40"/>
              <w:ind w:right="24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Dece</w:t>
            </w:r>
            <w:r w:rsidR="00DD6729">
              <w:rPr>
                <w:color w:val="FFFFFF" w:themeColor="background1"/>
              </w:rPr>
              <w:t xml:space="preserve">mber </w:t>
            </w:r>
            <w:r w:rsidR="003F5010">
              <w:rPr>
                <w:color w:val="FFFFFF" w:themeColor="background1"/>
              </w:rPr>
              <w:t>2022</w:t>
            </w:r>
          </w:p>
        </w:tc>
        <w:tc>
          <w:tcPr>
            <w:tcW w:w="1971" w:type="dxa"/>
            <w:tcBorders>
              <w:bottom w:val="single" w:sz="4" w:space="0" w:color="2B9947"/>
            </w:tcBorders>
            <w:vAlign w:val="bottom"/>
          </w:tcPr>
          <w:p w14:paraId="071F40F8" w14:textId="77777777" w:rsidR="00B271FA" w:rsidRPr="006A5FF7" w:rsidRDefault="00B271FA" w:rsidP="006A5FF7">
            <w:pPr>
              <w:spacing w:before="40" w:after="40"/>
              <w:jc w:val="center"/>
              <w:rPr>
                <w:color w:val="FFFFFF" w:themeColor="background1"/>
                <w:shd w:val="clear" w:color="auto" w:fill="FFFFFF"/>
              </w:rPr>
            </w:pPr>
            <w:r w:rsidRPr="006A5FF7">
              <w:rPr>
                <w:color w:val="FFFFFF" w:themeColor="background1"/>
              </w:rPr>
              <w:t>Aspirational target</w:t>
            </w:r>
          </w:p>
        </w:tc>
      </w:tr>
      <w:tr w:rsidR="00C45D44" w:rsidRPr="009308A2" w14:paraId="28E26A0F" w14:textId="77777777" w:rsidTr="00C45D44">
        <w:trPr>
          <w:trHeight w:val="373"/>
        </w:trPr>
        <w:tc>
          <w:tcPr>
            <w:tcW w:w="3539" w:type="dxa"/>
          </w:tcPr>
          <w:p w14:paraId="4DB1B1E2" w14:textId="37C9DEAA" w:rsidR="00C45D44" w:rsidRPr="0044026E" w:rsidRDefault="00C45D44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 xml:space="preserve">Women in </w:t>
            </w:r>
            <w:r>
              <w:rPr>
                <w:sz w:val="21"/>
                <w:szCs w:val="21"/>
                <w:shd w:val="clear" w:color="auto" w:fill="FFFFFF"/>
              </w:rPr>
              <w:t xml:space="preserve">the </w:t>
            </w:r>
            <w:r w:rsidRPr="0044026E">
              <w:rPr>
                <w:sz w:val="21"/>
                <w:szCs w:val="21"/>
                <w:shd w:val="clear" w:color="auto" w:fill="FFFFFF"/>
              </w:rPr>
              <w:t>SES</w:t>
            </w:r>
          </w:p>
        </w:tc>
        <w:tc>
          <w:tcPr>
            <w:tcW w:w="1776" w:type="dxa"/>
            <w:tcBorders>
              <w:right w:val="nil"/>
            </w:tcBorders>
          </w:tcPr>
          <w:p w14:paraId="3501FE33" w14:textId="4C918C0F" w:rsidR="00C45D44" w:rsidRPr="0044026E" w:rsidRDefault="00C45D44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2881AEDD" w14:textId="12311875" w:rsidR="00C45D44" w:rsidRPr="005A2B23" w:rsidRDefault="001D21F5" w:rsidP="00C45D44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49.4</w:t>
            </w:r>
            <w:r w:rsidR="00C45D44"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</w:tcPr>
          <w:p w14:paraId="121E20F1" w14:textId="77777777" w:rsidR="00C45D44" w:rsidRPr="00A66027" w:rsidRDefault="00C45D44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A66027">
              <w:rPr>
                <w:sz w:val="21"/>
                <w:szCs w:val="21"/>
                <w:shd w:val="clear" w:color="auto" w:fill="FFFFFF"/>
              </w:rPr>
              <w:t>50.0%</w:t>
            </w:r>
          </w:p>
        </w:tc>
      </w:tr>
      <w:tr w:rsidR="0040733D" w:rsidRPr="009308A2" w14:paraId="6AECC508" w14:textId="77777777" w:rsidTr="00DA0F3B">
        <w:tc>
          <w:tcPr>
            <w:tcW w:w="3539" w:type="dxa"/>
            <w:vMerge w:val="restart"/>
          </w:tcPr>
          <w:p w14:paraId="3BDEF391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Aboriginal and Torres Strait Islander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7332D598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003912D9" w14:textId="20A12E93" w:rsidR="0040733D" w:rsidRPr="00D1159E" w:rsidRDefault="007922A5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2.</w:t>
            </w:r>
            <w:r w:rsidR="005D7B2A">
              <w:rPr>
                <w:sz w:val="21"/>
                <w:szCs w:val="21"/>
                <w:shd w:val="clear" w:color="auto" w:fill="FFFFFF"/>
              </w:rPr>
              <w:t>8</w:t>
            </w:r>
            <w:r>
              <w:rPr>
                <w:sz w:val="21"/>
                <w:szCs w:val="21"/>
                <w:shd w:val="clear" w:color="auto" w:fill="FFFFFF"/>
              </w:rPr>
              <w:t>%</w:t>
            </w:r>
            <w:r w:rsidR="006A2B08">
              <w:rPr>
                <w:rStyle w:val="FootnoteReference"/>
                <w:sz w:val="21"/>
                <w:szCs w:val="21"/>
                <w:shd w:val="clear" w:color="auto" w:fill="FFFFFF"/>
              </w:rPr>
              <w:footnoteReference w:id="1"/>
            </w:r>
          </w:p>
        </w:tc>
        <w:tc>
          <w:tcPr>
            <w:tcW w:w="1971" w:type="dxa"/>
            <w:tcBorders>
              <w:bottom w:val="nil"/>
            </w:tcBorders>
          </w:tcPr>
          <w:p w14:paraId="2894AE3B" w14:textId="48293FCE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3.7%</w:t>
            </w:r>
          </w:p>
        </w:tc>
      </w:tr>
      <w:tr w:rsidR="0040733D" w:rsidRPr="009308A2" w14:paraId="0979DF9F" w14:textId="77777777" w:rsidTr="00DA0F3B">
        <w:tc>
          <w:tcPr>
            <w:tcW w:w="3539" w:type="dxa"/>
            <w:vMerge/>
          </w:tcPr>
          <w:p w14:paraId="184FA398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4243B00C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9C58E2F" w14:textId="50DDFC6E" w:rsidR="0040733D" w:rsidRPr="00D1159E" w:rsidRDefault="001D21F5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D21F5">
              <w:rPr>
                <w:sz w:val="21"/>
                <w:szCs w:val="21"/>
                <w:shd w:val="clear" w:color="auto" w:fill="FFFFFF"/>
              </w:rPr>
              <w:t>3</w:t>
            </w:r>
            <w:r>
              <w:rPr>
                <w:sz w:val="21"/>
                <w:szCs w:val="21"/>
                <w:shd w:val="clear" w:color="auto" w:fill="FFFFFF"/>
              </w:rPr>
              <w:t>,</w:t>
            </w:r>
            <w:r w:rsidR="005D7B2A">
              <w:rPr>
                <w:sz w:val="21"/>
                <w:szCs w:val="21"/>
                <w:shd w:val="clear" w:color="auto" w:fill="FFFFFF"/>
              </w:rPr>
              <w:t>409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6AEC6209" w14:textId="77777777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02B3A48F" w14:textId="77777777" w:rsidTr="00DA0F3B">
        <w:tc>
          <w:tcPr>
            <w:tcW w:w="3539" w:type="dxa"/>
            <w:vMerge w:val="restart"/>
          </w:tcPr>
          <w:p w14:paraId="23847D0D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People with disability</w:t>
            </w:r>
          </w:p>
        </w:tc>
        <w:tc>
          <w:tcPr>
            <w:tcW w:w="1776" w:type="dxa"/>
            <w:tcBorders>
              <w:right w:val="nil"/>
            </w:tcBorders>
          </w:tcPr>
          <w:p w14:paraId="2CBE2E9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170E5304" w14:textId="02165821" w:rsidR="0040733D" w:rsidRPr="009B75CD" w:rsidRDefault="00C05B59" w:rsidP="00CC73AB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1.5%</w:t>
            </w:r>
          </w:p>
        </w:tc>
        <w:tc>
          <w:tcPr>
            <w:tcW w:w="1971" w:type="dxa"/>
            <w:tcBorders>
              <w:bottom w:val="nil"/>
            </w:tcBorders>
          </w:tcPr>
          <w:p w14:paraId="1B93731B" w14:textId="220A3EC1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5.0%</w:t>
            </w:r>
          </w:p>
        </w:tc>
      </w:tr>
      <w:tr w:rsidR="0040733D" w:rsidRPr="00CC73AB" w14:paraId="029D7560" w14:textId="77777777" w:rsidTr="00DA0F3B">
        <w:tc>
          <w:tcPr>
            <w:tcW w:w="3539" w:type="dxa"/>
            <w:vMerge/>
          </w:tcPr>
          <w:p w14:paraId="40BCBBF2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2382FD06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3318BF2" w14:textId="4B8EFB54" w:rsidR="0040733D" w:rsidRPr="009B75CD" w:rsidRDefault="001D21F5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highlight w:val="yellow"/>
                <w:shd w:val="clear" w:color="auto" w:fill="FFFFFF"/>
              </w:rPr>
            </w:pPr>
            <w:r w:rsidRPr="001D21F5"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,</w:t>
            </w:r>
            <w:r w:rsidRPr="001D21F5">
              <w:rPr>
                <w:sz w:val="21"/>
                <w:szCs w:val="21"/>
                <w:shd w:val="clear" w:color="auto" w:fill="FFFFFF"/>
              </w:rPr>
              <w:t>8</w:t>
            </w:r>
            <w:r w:rsidR="005D7B2A">
              <w:rPr>
                <w:sz w:val="21"/>
                <w:szCs w:val="21"/>
                <w:shd w:val="clear" w:color="auto" w:fill="FFFFFF"/>
              </w:rPr>
              <w:t>80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ED2A8AB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7B27020C" w14:textId="77777777" w:rsidTr="00DA0F3B">
        <w:tc>
          <w:tcPr>
            <w:tcW w:w="3539" w:type="dxa"/>
            <w:vMerge w:val="restart"/>
          </w:tcPr>
          <w:p w14:paraId="6DACA1C3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Culturally and linguistically diverse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12C6B765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6C766A57" w14:textId="019C02A6" w:rsidR="0040733D" w:rsidRPr="009B62B3" w:rsidRDefault="00C05B59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16.</w:t>
            </w:r>
            <w:r w:rsidR="005D7B2A">
              <w:rPr>
                <w:sz w:val="21"/>
                <w:szCs w:val="21"/>
                <w:shd w:val="clear" w:color="auto" w:fill="FFFFFF"/>
              </w:rPr>
              <w:t>2</w:t>
            </w:r>
            <w:r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5DA84D8" w14:textId="79F42285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15.5%</w:t>
            </w:r>
          </w:p>
        </w:tc>
      </w:tr>
      <w:tr w:rsidR="0040733D" w:rsidRPr="00CC73AB" w14:paraId="57293750" w14:textId="77777777" w:rsidTr="00DA0F3B">
        <w:tc>
          <w:tcPr>
            <w:tcW w:w="3539" w:type="dxa"/>
            <w:vMerge/>
          </w:tcPr>
          <w:p w14:paraId="22866D50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A1C5FB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4D90DE86" w14:textId="46EC482A" w:rsidR="0040733D" w:rsidRPr="009B62B3" w:rsidRDefault="001D21F5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D21F5">
              <w:rPr>
                <w:sz w:val="21"/>
                <w:szCs w:val="21"/>
                <w:shd w:val="clear" w:color="auto" w:fill="FFFFFF"/>
              </w:rPr>
              <w:t>18</w:t>
            </w:r>
            <w:r>
              <w:rPr>
                <w:sz w:val="21"/>
                <w:szCs w:val="21"/>
                <w:shd w:val="clear" w:color="auto" w:fill="FFFFFF"/>
              </w:rPr>
              <w:t>,</w:t>
            </w:r>
            <w:r w:rsidRPr="001D21F5">
              <w:rPr>
                <w:sz w:val="21"/>
                <w:szCs w:val="21"/>
                <w:shd w:val="clear" w:color="auto" w:fill="FFFFFF"/>
              </w:rPr>
              <w:t>698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9B59BDD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2A45285F" w14:textId="77777777" w:rsidTr="00DA0F3B">
        <w:tc>
          <w:tcPr>
            <w:tcW w:w="3539" w:type="dxa"/>
            <w:vMerge w:val="restart"/>
          </w:tcPr>
          <w:p w14:paraId="633BE395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 xml:space="preserve">Youth </w:t>
            </w:r>
            <w:r w:rsidRPr="00CC73AB">
              <w:rPr>
                <w:sz w:val="21"/>
                <w:szCs w:val="21"/>
                <w:shd w:val="clear" w:color="auto" w:fill="FFFFFF"/>
              </w:rPr>
              <w:br/>
              <w:t>(aged 24 and under)</w:t>
            </w:r>
          </w:p>
        </w:tc>
        <w:tc>
          <w:tcPr>
            <w:tcW w:w="1776" w:type="dxa"/>
            <w:tcBorders>
              <w:right w:val="nil"/>
            </w:tcBorders>
          </w:tcPr>
          <w:p w14:paraId="0B96BE13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1068471" w14:textId="2FB00AC2" w:rsidR="0040733D" w:rsidRPr="009B62B3" w:rsidRDefault="00C05B59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5.2%</w:t>
            </w:r>
          </w:p>
        </w:tc>
        <w:tc>
          <w:tcPr>
            <w:tcW w:w="1971" w:type="dxa"/>
            <w:tcBorders>
              <w:bottom w:val="nil"/>
            </w:tcBorders>
          </w:tcPr>
          <w:p w14:paraId="6213BCF7" w14:textId="7A92D290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5.8%</w:t>
            </w:r>
          </w:p>
        </w:tc>
      </w:tr>
      <w:tr w:rsidR="0040733D" w:rsidRPr="00CC73AB" w14:paraId="16C27AAB" w14:textId="77777777" w:rsidTr="00DA0F3B">
        <w:tc>
          <w:tcPr>
            <w:tcW w:w="3539" w:type="dxa"/>
            <w:vMerge/>
          </w:tcPr>
          <w:p w14:paraId="3A2A99C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2B9947"/>
              <w:right w:val="nil"/>
            </w:tcBorders>
          </w:tcPr>
          <w:p w14:paraId="0F5A5C42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  <w:bottom w:val="single" w:sz="4" w:space="0" w:color="2B9947"/>
            </w:tcBorders>
            <w:vAlign w:val="bottom"/>
          </w:tcPr>
          <w:p w14:paraId="18921836" w14:textId="10A83ED0" w:rsidR="0040733D" w:rsidRPr="009B62B3" w:rsidRDefault="001D21F5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D21F5">
              <w:rPr>
                <w:sz w:val="21"/>
                <w:szCs w:val="21"/>
                <w:shd w:val="clear" w:color="auto" w:fill="FFFFFF"/>
              </w:rPr>
              <w:t>8</w:t>
            </w:r>
            <w:r>
              <w:rPr>
                <w:sz w:val="21"/>
                <w:szCs w:val="21"/>
                <w:shd w:val="clear" w:color="auto" w:fill="FFFFFF"/>
              </w:rPr>
              <w:t>,</w:t>
            </w:r>
            <w:r w:rsidRPr="001D21F5">
              <w:rPr>
                <w:sz w:val="21"/>
                <w:szCs w:val="21"/>
                <w:shd w:val="clear" w:color="auto" w:fill="FFFFFF"/>
              </w:rPr>
              <w:t>3</w:t>
            </w:r>
            <w:r w:rsidR="005D7B2A">
              <w:rPr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37B786FD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9308A2" w14:paraId="72F15DC5" w14:textId="77777777" w:rsidTr="00DA0F3B">
        <w:tc>
          <w:tcPr>
            <w:tcW w:w="3539" w:type="dxa"/>
            <w:vMerge w:val="restart"/>
          </w:tcPr>
          <w:p w14:paraId="3DE8B50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lastRenderedPageBreak/>
              <w:t xml:space="preserve">Mature </w:t>
            </w:r>
            <w:r w:rsidRPr="00CC73AB">
              <w:rPr>
                <w:sz w:val="21"/>
                <w:szCs w:val="21"/>
                <w:shd w:val="clear" w:color="auto" w:fill="FFFFFF"/>
              </w:rPr>
              <w:br/>
              <w:t>(aged 45 and over)</w:t>
            </w:r>
          </w:p>
        </w:tc>
        <w:tc>
          <w:tcPr>
            <w:tcW w:w="1776" w:type="dxa"/>
            <w:tcBorders>
              <w:right w:val="nil"/>
            </w:tcBorders>
          </w:tcPr>
          <w:p w14:paraId="2375D59D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A90BC7A" w14:textId="46F5D7E0" w:rsidR="0040733D" w:rsidRPr="009B62B3" w:rsidRDefault="00C05B59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50.</w:t>
            </w:r>
            <w:r w:rsidR="005D7B2A">
              <w:rPr>
                <w:sz w:val="21"/>
                <w:szCs w:val="21"/>
                <w:shd w:val="clear" w:color="auto" w:fill="FFFFFF"/>
              </w:rPr>
              <w:t>3</w:t>
            </w:r>
            <w:r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D9B895C" w14:textId="52222CD7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CC73AB">
              <w:rPr>
                <w:sz w:val="21"/>
                <w:szCs w:val="21"/>
                <w:shd w:val="clear" w:color="auto" w:fill="FFFFFF"/>
              </w:rPr>
              <w:t>n.a.</w:t>
            </w:r>
            <w:proofErr w:type="spellEnd"/>
          </w:p>
        </w:tc>
      </w:tr>
      <w:tr w:rsidR="00B271FA" w:rsidRPr="009308A2" w14:paraId="5EA0B89C" w14:textId="77777777" w:rsidTr="006A5FF7">
        <w:tc>
          <w:tcPr>
            <w:tcW w:w="3539" w:type="dxa"/>
            <w:vMerge/>
          </w:tcPr>
          <w:p w14:paraId="30A7361E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9D3F7F0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DB8043" w14:textId="0FD7D8EC" w:rsidR="00B271FA" w:rsidRPr="009B62B3" w:rsidRDefault="001D21F5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1D21F5">
              <w:rPr>
                <w:sz w:val="21"/>
                <w:szCs w:val="21"/>
                <w:shd w:val="clear" w:color="auto" w:fill="FFFFFF"/>
              </w:rPr>
              <w:t>80</w:t>
            </w:r>
            <w:r>
              <w:rPr>
                <w:sz w:val="21"/>
                <w:szCs w:val="21"/>
                <w:shd w:val="clear" w:color="auto" w:fill="FFFFFF"/>
              </w:rPr>
              <w:t>,</w:t>
            </w:r>
            <w:r w:rsidRPr="001D21F5">
              <w:rPr>
                <w:sz w:val="21"/>
                <w:szCs w:val="21"/>
                <w:shd w:val="clear" w:color="auto" w:fill="FFFFFF"/>
              </w:rPr>
              <w:t>916</w:t>
            </w:r>
          </w:p>
        </w:tc>
        <w:tc>
          <w:tcPr>
            <w:tcW w:w="1971" w:type="dxa"/>
            <w:tcBorders>
              <w:top w:val="nil"/>
            </w:tcBorders>
          </w:tcPr>
          <w:p w14:paraId="46D46E85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</w:tbl>
    <w:p w14:paraId="4D724E11" w14:textId="7CCB0A9B" w:rsidR="00CC76B7" w:rsidRPr="000610C7" w:rsidRDefault="00CC76B7" w:rsidP="00607466">
      <w:pPr>
        <w:pStyle w:val="Heading2"/>
      </w:pPr>
      <w:r w:rsidRPr="000610C7">
        <w:t>Sector profile</w:t>
      </w:r>
    </w:p>
    <w:p w14:paraId="3529C276" w14:textId="77777777" w:rsidR="004375DD" w:rsidRPr="004D0F80" w:rsidRDefault="004375DD" w:rsidP="00607466">
      <w:pPr>
        <w:pStyle w:val="Heading3"/>
      </w:pPr>
      <w:r w:rsidRPr="004D0F80">
        <w:t>Employment trends</w:t>
      </w:r>
    </w:p>
    <w:p w14:paraId="67F2C60A" w14:textId="77777777" w:rsidR="001D35F8" w:rsidRDefault="001D35F8" w:rsidP="001D35F8">
      <w:pPr>
        <w:spacing w:before="0" w:beforeAutospacing="0" w:after="0" w:line="240" w:lineRule="auto"/>
        <w:contextualSpacing/>
      </w:pPr>
      <w:r>
        <w:t>In December 2022 the WA public sector employed 160,923 people, equating to 126,136 full time equivalent (FTE) employees.</w:t>
      </w:r>
    </w:p>
    <w:p w14:paraId="67A45E53" w14:textId="77777777" w:rsidR="001D35F8" w:rsidRDefault="001D35F8" w:rsidP="001D35F8">
      <w:pPr>
        <w:spacing w:before="0" w:beforeAutospacing="0" w:after="0" w:line="240" w:lineRule="auto"/>
        <w:contextualSpacing/>
      </w:pPr>
    </w:p>
    <w:p w14:paraId="27C37730" w14:textId="77777777" w:rsidR="001D35F8" w:rsidRDefault="001D35F8" w:rsidP="001D35F8">
      <w:pPr>
        <w:spacing w:before="0" w:beforeAutospacing="0" w:after="0" w:line="240" w:lineRule="auto"/>
        <w:contextualSpacing/>
      </w:pPr>
      <w:r>
        <w:t>In headcount terms, this reflected a quarterly decrease of 607 (-0.4%) since September 2022, and an annual increase of 4,960 (+3.2%) since December 2021.</w:t>
      </w:r>
    </w:p>
    <w:p w14:paraId="10C02888" w14:textId="77777777" w:rsidR="001D35F8" w:rsidRDefault="001D35F8" w:rsidP="001D35F8">
      <w:pPr>
        <w:spacing w:before="0" w:beforeAutospacing="0" w:after="0" w:line="240" w:lineRule="auto"/>
        <w:contextualSpacing/>
      </w:pPr>
    </w:p>
    <w:p w14:paraId="2F26837A" w14:textId="055C3A00" w:rsidR="005A2B23" w:rsidRDefault="001D35F8" w:rsidP="001D35F8">
      <w:pPr>
        <w:spacing w:before="0" w:beforeAutospacing="0" w:after="0" w:line="240" w:lineRule="auto"/>
        <w:contextualSpacing/>
      </w:pPr>
      <w:r>
        <w:t>In FTE terms, this reflected a quarterly decrease of 285 (-0.2%) since September 2022, and an annual increase of 3,775 (+3.1%) since December 2021.</w:t>
      </w:r>
    </w:p>
    <w:p w14:paraId="3E29B8BD" w14:textId="77777777" w:rsidR="001D35F8" w:rsidRPr="00AB1F70" w:rsidRDefault="001D35F8" w:rsidP="001D35F8">
      <w:pPr>
        <w:spacing w:before="0" w:beforeAutospacing="0" w:after="0" w:line="240" w:lineRule="auto"/>
        <w:contextualSpacing/>
        <w:rPr>
          <w:noProof/>
          <w:highlight w:val="yellow"/>
        </w:rPr>
      </w:pPr>
    </w:p>
    <w:p w14:paraId="139E1BFE" w14:textId="456F2B6A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  <w:r>
        <w:rPr>
          <w:noProof/>
        </w:rPr>
        <w:t>The Department of Education reported a decrease of 222 headcount (-0.4%) and 568 FTE  (-1.3%) since the September 2022 quarter. The quarterly movement reflects the seasonal pattern of school operations that results in a lower FTE and headcount in December due to the school holiday period.</w:t>
      </w:r>
    </w:p>
    <w:p w14:paraId="33A48CFB" w14:textId="77777777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</w:p>
    <w:p w14:paraId="7475AC0A" w14:textId="7B6ED4B4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  <w:r>
        <w:rPr>
          <w:noProof/>
        </w:rPr>
        <w:t>The WA Health portfolio decreased by 1,041 headcount (-1.8%) and 314 FTE</w:t>
      </w:r>
      <w:r w:rsidR="006A2B08">
        <w:rPr>
          <w:noProof/>
        </w:rPr>
        <w:t xml:space="preserve"> </w:t>
      </w:r>
      <w:r>
        <w:rPr>
          <w:noProof/>
        </w:rPr>
        <w:t>(-0.7%). Within the health portfolio, Health Support Services reported an increase by 84 Headcount (+3.5%) and 115 FTE (+6.6%) since September 2022 quarter, mainly due to an uplift of major ICT programs. In the same period, all other health agencies reported a decrease. South Metropolitan Health Service had the largest nominal decrease (-152 FTE), followed by East Metropolitan Health Service (-91 FTE). The changes in the WA Health portfolio are mainly due to:</w:t>
      </w:r>
    </w:p>
    <w:p w14:paraId="6155F9BC" w14:textId="77777777" w:rsidR="001D35F8" w:rsidRDefault="001D35F8" w:rsidP="00AB1F70">
      <w:pPr>
        <w:pStyle w:val="ListParagraph"/>
        <w:numPr>
          <w:ilvl w:val="0"/>
          <w:numId w:val="20"/>
        </w:numPr>
        <w:spacing w:before="0" w:beforeAutospacing="0" w:after="0" w:line="240" w:lineRule="auto"/>
        <w:rPr>
          <w:noProof/>
        </w:rPr>
      </w:pPr>
      <w:r>
        <w:rPr>
          <w:noProof/>
        </w:rPr>
        <w:t>decrease in COVID-19 related activities such as a reduction in vaccination and booster programs and scaling down of the State Health Incident Coordination Centre</w:t>
      </w:r>
    </w:p>
    <w:p w14:paraId="3A5A961C" w14:textId="77777777" w:rsidR="001D35F8" w:rsidRDefault="001D35F8" w:rsidP="00AB1F70">
      <w:pPr>
        <w:pStyle w:val="ListParagraph"/>
        <w:numPr>
          <w:ilvl w:val="0"/>
          <w:numId w:val="20"/>
        </w:numPr>
        <w:spacing w:before="0" w:beforeAutospacing="0" w:after="0" w:line="240" w:lineRule="auto"/>
        <w:rPr>
          <w:noProof/>
        </w:rPr>
      </w:pPr>
      <w:r>
        <w:rPr>
          <w:noProof/>
        </w:rPr>
        <w:t>decrease in nursing and nursing support staff due to reduction of demand in Intensive Care Units, COVID leave and subsequent backfill, and the return of expected furloughed staff.</w:t>
      </w:r>
    </w:p>
    <w:p w14:paraId="403D90D4" w14:textId="77777777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</w:p>
    <w:p w14:paraId="14E9FAFF" w14:textId="09780923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  <w:r>
        <w:rPr>
          <w:noProof/>
        </w:rPr>
        <w:t xml:space="preserve">The Department of Communities reported an increase of 137 FTE (+2.6%) since September 2022, with almost 50% of the increase occurring in roles providing service delivery and case load support. </w:t>
      </w:r>
    </w:p>
    <w:p w14:paraId="6F4EC447" w14:textId="77777777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</w:p>
    <w:p w14:paraId="6370786C" w14:textId="7E1EE2F4" w:rsidR="00036DCA" w:rsidRDefault="001D35F8" w:rsidP="001D35F8">
      <w:pPr>
        <w:spacing w:before="0" w:beforeAutospacing="0" w:after="160"/>
      </w:pPr>
      <w:r>
        <w:rPr>
          <w:noProof/>
        </w:rPr>
        <w:t>Main Roads reported an increase of 72 FTE (+6.0%) since September 2022. The majority of the increase is due to the transition of external contractors into Main Roads as a result of the Government’s commitment to the return of road maintenance jobs to the public sector.</w:t>
      </w:r>
      <w:r w:rsidR="00036DCA">
        <w:br w:type="page"/>
      </w:r>
    </w:p>
    <w:p w14:paraId="776D250A" w14:textId="5F15B700" w:rsidR="006926A7" w:rsidRPr="00D46CC8" w:rsidRDefault="00CC76B7" w:rsidP="007C5210">
      <w:pPr>
        <w:pStyle w:val="Heading3"/>
      </w:pPr>
      <w:r w:rsidRPr="00D46CC8">
        <w:lastRenderedPageBreak/>
        <w:t>Salaries expenditure</w:t>
      </w:r>
    </w:p>
    <w:p w14:paraId="586DA270" w14:textId="77777777" w:rsidR="00D40DF7" w:rsidRPr="00D40DF7" w:rsidRDefault="00D40DF7" w:rsidP="00D40DF7">
      <w:pPr>
        <w:pStyle w:val="Heading3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D40DF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Salaries represent the single largest component of general government sector expenses (at almost 41% for the six months to December 2022, or 45% if concurrent superannuation costs are also included).</w:t>
      </w:r>
    </w:p>
    <w:p w14:paraId="34497A08" w14:textId="72CA6D7C" w:rsidR="00D40DF7" w:rsidRPr="002D2312" w:rsidRDefault="00D40DF7" w:rsidP="00D40DF7">
      <w:pPr>
        <w:spacing w:before="0" w:beforeAutospacing="0" w:after="0"/>
        <w:rPr>
          <w:highlight w:val="yellow"/>
          <w:shd w:val="clear" w:color="auto" w:fill="FFFFFF"/>
        </w:rPr>
      </w:pPr>
      <w:r w:rsidRPr="00D40DF7">
        <w:rPr>
          <w:shd w:val="clear" w:color="auto" w:fill="FFFFFF"/>
        </w:rPr>
        <w:t>General government salaries for the first six months of 2022</w:t>
      </w:r>
      <w:r>
        <w:rPr>
          <w:shd w:val="clear" w:color="auto" w:fill="FFFFFF"/>
        </w:rPr>
        <w:t>-</w:t>
      </w:r>
      <w:r w:rsidRPr="00D40DF7">
        <w:rPr>
          <w:shd w:val="clear" w:color="auto" w:fill="FFFFFF"/>
        </w:rPr>
        <w:t>23 grew by 8.1% to total $7,663 million.</w:t>
      </w:r>
    </w:p>
    <w:p w14:paraId="3D896440" w14:textId="08D01DE1" w:rsidR="003F1D50" w:rsidRPr="002D2312" w:rsidRDefault="00D46CC8" w:rsidP="008035E6">
      <w:pPr>
        <w:spacing w:before="0" w:beforeAutospacing="0" w:after="0"/>
        <w:rPr>
          <w:highlight w:val="yellow"/>
          <w:shd w:val="clear" w:color="auto" w:fill="FFFFFF"/>
        </w:rPr>
      </w:pPr>
      <w:r>
        <w:rPr>
          <w:noProof/>
          <w:highlight w:val="yellow"/>
          <w:shd w:val="clear" w:color="auto" w:fill="FFFFFF"/>
        </w:rPr>
        <w:drawing>
          <wp:inline distT="0" distB="0" distL="0" distR="0" wp14:anchorId="693B1F14" wp14:editId="11BBF423">
            <wp:extent cx="5573864" cy="2473830"/>
            <wp:effectExtent l="0" t="0" r="8255" b="317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894" r="558"/>
                    <a:stretch/>
                  </pic:blipFill>
                  <pic:spPr bwMode="auto">
                    <a:xfrm>
                      <a:off x="0" y="0"/>
                      <a:ext cx="5585147" cy="247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19694" w14:textId="00FB5DDC" w:rsidR="006926A7" w:rsidRDefault="00AF27DE" w:rsidP="00AF27DE">
      <w:pPr>
        <w:spacing w:before="0" w:beforeAutospacing="0" w:after="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 w:rsidRPr="00C45D44">
        <w:rPr>
          <w:sz w:val="20"/>
          <w:szCs w:val="20"/>
        </w:rPr>
        <w:t xml:space="preserve">Source: Department of Treasury </w:t>
      </w:r>
      <w:r w:rsidR="006926A7">
        <w:br w:type="page"/>
      </w:r>
    </w:p>
    <w:p w14:paraId="464FD60E" w14:textId="3FF998A4" w:rsidR="007C147E" w:rsidRDefault="00C96AD0" w:rsidP="00607466">
      <w:pPr>
        <w:pStyle w:val="Heading2"/>
      </w:pPr>
      <w:r>
        <w:lastRenderedPageBreak/>
        <w:t>Historical h</w:t>
      </w:r>
      <w:r w:rsidR="007C147E" w:rsidRPr="007C147E">
        <w:t>eadcount</w:t>
      </w:r>
      <w:r w:rsidR="000610C7">
        <w:t xml:space="preserve">, </w:t>
      </w:r>
      <w:proofErr w:type="gramStart"/>
      <w:r w:rsidR="000610C7">
        <w:t>FTE</w:t>
      </w:r>
      <w:proofErr w:type="gramEnd"/>
      <w:r w:rsidR="000610C7">
        <w:t xml:space="preserve"> and salaries expenditure </w:t>
      </w:r>
    </w:p>
    <w:tbl>
      <w:tblPr>
        <w:tblStyle w:val="ListTable3-Accent6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shd w:val="clear" w:color="auto" w:fill="2B9947"/>
        <w:tblLook w:val="04A0" w:firstRow="1" w:lastRow="0" w:firstColumn="1" w:lastColumn="0" w:noHBand="0" w:noVBand="1"/>
      </w:tblPr>
      <w:tblGrid>
        <w:gridCol w:w="2266"/>
        <w:gridCol w:w="1845"/>
        <w:gridCol w:w="1701"/>
        <w:gridCol w:w="2405"/>
      </w:tblGrid>
      <w:tr w:rsidR="00607466" w:rsidRPr="00607466" w14:paraId="244B2CDB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  <w:shd w:val="clear" w:color="auto" w:fill="2B9947"/>
            <w:vAlign w:val="bottom"/>
          </w:tcPr>
          <w:p w14:paraId="7FD3C02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Quarter</w:t>
            </w:r>
          </w:p>
        </w:tc>
        <w:tc>
          <w:tcPr>
            <w:tcW w:w="1845" w:type="dxa"/>
            <w:shd w:val="clear" w:color="auto" w:fill="2B9947"/>
            <w:vAlign w:val="bottom"/>
          </w:tcPr>
          <w:p w14:paraId="797ECB83" w14:textId="2CA23FE8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Headcount</w:t>
            </w:r>
            <w:bookmarkStart w:id="0" w:name="_Ref501379223"/>
            <w:bookmarkEnd w:id="0"/>
          </w:p>
        </w:tc>
        <w:tc>
          <w:tcPr>
            <w:tcW w:w="1701" w:type="dxa"/>
            <w:shd w:val="clear" w:color="auto" w:fill="2B9947"/>
            <w:vAlign w:val="bottom"/>
          </w:tcPr>
          <w:p w14:paraId="105267D7" w14:textId="677A67F1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FTE</w:t>
            </w:r>
            <w:bookmarkStart w:id="1" w:name="_Ref501379429"/>
            <w:bookmarkEnd w:id="1"/>
          </w:p>
        </w:tc>
        <w:tc>
          <w:tcPr>
            <w:tcW w:w="2405" w:type="dxa"/>
            <w:shd w:val="clear" w:color="auto" w:fill="2B9947"/>
          </w:tcPr>
          <w:p w14:paraId="44665156" w14:textId="24AE5BF3" w:rsidR="007C147E" w:rsidRPr="00607466" w:rsidRDefault="00A966F1" w:rsidP="00C4027C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>
              <w:rPr>
                <w:b w:val="0"/>
                <w:color w:val="FFFFFF" w:themeColor="background1"/>
                <w:lang w:val="en-US" w:eastAsia="zh-CN"/>
              </w:rPr>
              <w:t>Quarterly s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 xml:space="preserve">alaries </w:t>
            </w:r>
            <w:r w:rsidR="00F27804" w:rsidRPr="00607466">
              <w:rPr>
                <w:b w:val="0"/>
                <w:color w:val="FFFFFF" w:themeColor="background1"/>
                <w:lang w:val="en-US" w:eastAsia="zh-CN"/>
              </w:rPr>
              <w:br/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expenditure ($</w:t>
            </w:r>
            <w:r w:rsidR="00C4027C">
              <w:rPr>
                <w:b w:val="0"/>
                <w:color w:val="FFFFFF" w:themeColor="background1"/>
                <w:lang w:val="en-US" w:eastAsia="zh-CN"/>
              </w:rPr>
              <w:t>M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)</w:t>
            </w:r>
          </w:p>
        </w:tc>
      </w:tr>
      <w:tr w:rsidR="007C147E" w:rsidRPr="00EB09F0" w14:paraId="00C7239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954FC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2017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22D9F1" w14:textId="16B508F3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609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0FB90E" w14:textId="3B9C54C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472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3B4B5D" w14:textId="0759ABE1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980</w:t>
            </w:r>
          </w:p>
        </w:tc>
      </w:tr>
      <w:tr w:rsidR="007C147E" w:rsidRPr="00EB09F0" w14:paraId="5124A480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2AD853D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2017</w:t>
            </w:r>
          </w:p>
        </w:tc>
        <w:tc>
          <w:tcPr>
            <w:tcW w:w="1845" w:type="dxa"/>
            <w:shd w:val="clear" w:color="auto" w:fill="auto"/>
          </w:tcPr>
          <w:p w14:paraId="05DD5B25" w14:textId="4663192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878</w:t>
            </w:r>
          </w:p>
        </w:tc>
        <w:tc>
          <w:tcPr>
            <w:tcW w:w="1701" w:type="dxa"/>
            <w:shd w:val="clear" w:color="auto" w:fill="auto"/>
          </w:tcPr>
          <w:p w14:paraId="17FE3B56" w14:textId="24576CBF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371</w:t>
            </w:r>
          </w:p>
        </w:tc>
        <w:tc>
          <w:tcPr>
            <w:tcW w:w="2405" w:type="dxa"/>
            <w:shd w:val="clear" w:color="auto" w:fill="auto"/>
          </w:tcPr>
          <w:p w14:paraId="0F37221E" w14:textId="6B12E1D1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029</w:t>
            </w:r>
          </w:p>
        </w:tc>
      </w:tr>
      <w:tr w:rsidR="007C147E" w:rsidRPr="00EB09F0" w14:paraId="2D2891C1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C7A6E8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5AD50B" w14:textId="47DB4AFC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799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ABDAC4" w14:textId="06A18A6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404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F46DE4" w14:textId="6BEBBD54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049</w:t>
            </w:r>
          </w:p>
        </w:tc>
      </w:tr>
      <w:tr w:rsidR="007C147E" w:rsidRPr="00EB09F0" w14:paraId="1D75F231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6C6F5C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2018</w:t>
            </w:r>
          </w:p>
        </w:tc>
        <w:tc>
          <w:tcPr>
            <w:tcW w:w="1845" w:type="dxa"/>
            <w:shd w:val="clear" w:color="auto" w:fill="auto"/>
          </w:tcPr>
          <w:p w14:paraId="42F8D285" w14:textId="711EB0F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812</w:t>
            </w:r>
          </w:p>
        </w:tc>
        <w:tc>
          <w:tcPr>
            <w:tcW w:w="1701" w:type="dxa"/>
            <w:shd w:val="clear" w:color="auto" w:fill="auto"/>
          </w:tcPr>
          <w:p w14:paraId="5EB117B3" w14:textId="0672DD4A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373</w:t>
            </w:r>
          </w:p>
        </w:tc>
        <w:tc>
          <w:tcPr>
            <w:tcW w:w="2405" w:type="dxa"/>
            <w:shd w:val="clear" w:color="auto" w:fill="auto"/>
          </w:tcPr>
          <w:p w14:paraId="4AE710A2" w14:textId="0436A2C5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135</w:t>
            </w:r>
          </w:p>
        </w:tc>
      </w:tr>
      <w:tr w:rsidR="007C147E" w:rsidRPr="00EB09F0" w14:paraId="7198FF1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D9056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B07AA9" w14:textId="3C8091A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5E7B1C" w14:textId="4B20260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255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A5D995" w14:textId="42E6E150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023</w:t>
            </w:r>
          </w:p>
        </w:tc>
      </w:tr>
      <w:tr w:rsidR="007C147E" w:rsidRPr="00EB09F0" w14:paraId="3494DDF2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157E3C7E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2018</w:t>
            </w:r>
          </w:p>
        </w:tc>
        <w:tc>
          <w:tcPr>
            <w:tcW w:w="1845" w:type="dxa"/>
            <w:shd w:val="clear" w:color="auto" w:fill="auto"/>
          </w:tcPr>
          <w:p w14:paraId="26E3776E" w14:textId="0554F28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678</w:t>
            </w:r>
          </w:p>
        </w:tc>
        <w:tc>
          <w:tcPr>
            <w:tcW w:w="1701" w:type="dxa"/>
            <w:shd w:val="clear" w:color="auto" w:fill="auto"/>
          </w:tcPr>
          <w:p w14:paraId="7F697FA3" w14:textId="2738341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40739E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="0040739E" w:rsidRPr="0040739E">
              <w:rPr>
                <w:shd w:val="clear" w:color="auto" w:fill="FFFFFF"/>
              </w:rPr>
              <w:t>601</w:t>
            </w:r>
          </w:p>
        </w:tc>
        <w:tc>
          <w:tcPr>
            <w:tcW w:w="2405" w:type="dxa"/>
            <w:shd w:val="clear" w:color="auto" w:fill="auto"/>
          </w:tcPr>
          <w:p w14:paraId="0D5297C3" w14:textId="7B1550D7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091</w:t>
            </w:r>
          </w:p>
        </w:tc>
      </w:tr>
      <w:tr w:rsidR="007C147E" w:rsidRPr="00EB09F0" w14:paraId="4028E4BD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13590A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4BC373" w14:textId="75D485E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96056C" w14:textId="2596977E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099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5AB043" w14:textId="3F73FE1A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982</w:t>
            </w:r>
          </w:p>
        </w:tc>
      </w:tr>
      <w:tr w:rsidR="00623A1B" w:rsidRPr="00EB09F0" w14:paraId="15A2096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FF2B123" w14:textId="0610CC2B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2019</w:t>
            </w:r>
          </w:p>
        </w:tc>
        <w:tc>
          <w:tcPr>
            <w:tcW w:w="1845" w:type="dxa"/>
            <w:shd w:val="clear" w:color="auto" w:fill="auto"/>
          </w:tcPr>
          <w:p w14:paraId="2C826C39" w14:textId="035EAB25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735</w:t>
            </w:r>
          </w:p>
        </w:tc>
        <w:tc>
          <w:tcPr>
            <w:tcW w:w="1701" w:type="dxa"/>
            <w:shd w:val="clear" w:color="auto" w:fill="auto"/>
          </w:tcPr>
          <w:p w14:paraId="227E9EC0" w14:textId="445E54A1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932</w:t>
            </w:r>
          </w:p>
        </w:tc>
        <w:tc>
          <w:tcPr>
            <w:tcW w:w="2405" w:type="dxa"/>
            <w:shd w:val="clear" w:color="auto" w:fill="auto"/>
          </w:tcPr>
          <w:p w14:paraId="6E9CEFA2" w14:textId="61032B81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172</w:t>
            </w:r>
          </w:p>
        </w:tc>
      </w:tr>
      <w:tr w:rsidR="00623A1B" w:rsidRPr="00EB09F0" w14:paraId="302B54F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432A0D" w14:textId="0B0D9C86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B0F9F5" w14:textId="73816522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71FF8E" w14:textId="30604183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367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65A302" w14:textId="54F677E8" w:rsidR="00623A1B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140</w:t>
            </w:r>
          </w:p>
        </w:tc>
      </w:tr>
      <w:tr w:rsidR="00623A1B" w:rsidRPr="00EB09F0" w14:paraId="101147D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A3FC39" w14:textId="6E985AB0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2019</w:t>
            </w:r>
          </w:p>
        </w:tc>
        <w:tc>
          <w:tcPr>
            <w:tcW w:w="1845" w:type="dxa"/>
            <w:shd w:val="clear" w:color="auto" w:fill="auto"/>
          </w:tcPr>
          <w:p w14:paraId="160FD679" w14:textId="4F384E1C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586</w:t>
            </w:r>
          </w:p>
        </w:tc>
        <w:tc>
          <w:tcPr>
            <w:tcW w:w="1701" w:type="dxa"/>
            <w:shd w:val="clear" w:color="auto" w:fill="auto"/>
          </w:tcPr>
          <w:p w14:paraId="78A3A989" w14:textId="72587627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B1612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BB1612">
              <w:rPr>
                <w:shd w:val="clear" w:color="auto" w:fill="FFFFFF"/>
              </w:rPr>
              <w:t>143</w:t>
            </w:r>
          </w:p>
        </w:tc>
        <w:tc>
          <w:tcPr>
            <w:tcW w:w="2405" w:type="dxa"/>
            <w:shd w:val="clear" w:color="auto" w:fill="auto"/>
          </w:tcPr>
          <w:p w14:paraId="39ABD4D8" w14:textId="008F532E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212</w:t>
            </w:r>
          </w:p>
        </w:tc>
      </w:tr>
      <w:tr w:rsidR="004E0EE5" w:rsidRPr="00EB09F0" w14:paraId="1701671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287206" w14:textId="483ED3C0" w:rsidR="004E0EE5" w:rsidRPr="00607466" w:rsidRDefault="004E0EE5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AB24A1" w14:textId="5951DD67" w:rsidR="004E0EE5" w:rsidRPr="00EB09F0" w:rsidRDefault="00D55AAF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</w:t>
            </w:r>
            <w:r w:rsidR="005F66C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343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A8DCCD" w14:textId="1B94604C" w:rsidR="004E0EE5" w:rsidRPr="00BB1612" w:rsidRDefault="004E0EE5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</w:t>
            </w:r>
            <w:r w:rsidR="005F66C6">
              <w:rPr>
                <w:shd w:val="clear" w:color="auto" w:fill="FFFFFF"/>
              </w:rPr>
              <w:t>,</w:t>
            </w:r>
            <w:r w:rsidR="00D55AAF">
              <w:rPr>
                <w:shd w:val="clear" w:color="auto" w:fill="FFFFFF"/>
              </w:rPr>
              <w:t>548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2B73AC" w14:textId="079725DB" w:rsidR="004E0EE5" w:rsidRDefault="008374F7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DC38B1">
              <w:rPr>
                <w:shd w:val="clear" w:color="auto" w:fill="FFFFFF"/>
              </w:rPr>
              <w:t>147</w:t>
            </w:r>
          </w:p>
        </w:tc>
      </w:tr>
      <w:tr w:rsidR="005F66C6" w:rsidRPr="00EB09F0" w14:paraId="0C2153E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AD82DEE" w14:textId="35C44291" w:rsidR="005F66C6" w:rsidRPr="00607466" w:rsidRDefault="005F66C6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2020</w:t>
            </w:r>
          </w:p>
        </w:tc>
        <w:tc>
          <w:tcPr>
            <w:tcW w:w="1845" w:type="dxa"/>
            <w:shd w:val="clear" w:color="auto" w:fill="auto"/>
          </w:tcPr>
          <w:p w14:paraId="5266F07B" w14:textId="5B9F15E0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146,562</w:t>
            </w:r>
          </w:p>
        </w:tc>
        <w:tc>
          <w:tcPr>
            <w:tcW w:w="1701" w:type="dxa"/>
            <w:shd w:val="clear" w:color="auto" w:fill="auto"/>
          </w:tcPr>
          <w:p w14:paraId="5224839C" w14:textId="5FF91F7C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116,878</w:t>
            </w:r>
          </w:p>
        </w:tc>
        <w:tc>
          <w:tcPr>
            <w:tcW w:w="2405" w:type="dxa"/>
            <w:shd w:val="clear" w:color="auto" w:fill="auto"/>
          </w:tcPr>
          <w:p w14:paraId="5DD9EB36" w14:textId="0E156689" w:rsidR="005F66C6" w:rsidRDefault="00905088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3,366</w:t>
            </w:r>
          </w:p>
        </w:tc>
      </w:tr>
      <w:tr w:rsidR="005C4AC3" w:rsidRPr="00EB09F0" w14:paraId="1F59F06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55105E" w14:textId="1EA1D218" w:rsidR="005C4AC3" w:rsidRPr="00607466" w:rsidRDefault="005C4AC3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61E48E" w14:textId="4481C8BA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148,408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89DF8C" w14:textId="2A230A75" w:rsidR="005C4AC3" w:rsidRDefault="005C4AC3" w:rsidP="006D438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</w:t>
            </w:r>
            <w:r w:rsidR="00034220">
              <w:rPr>
                <w:shd w:val="clear" w:color="auto" w:fill="FFFFFF"/>
              </w:rPr>
              <w:t>7</w:t>
            </w:r>
            <w:r w:rsidR="006D4389">
              <w:rPr>
                <w:shd w:val="clear" w:color="auto" w:fill="FFFFFF"/>
              </w:rPr>
              <w:t>7</w:t>
            </w:r>
            <w:r w:rsidR="00034220">
              <w:rPr>
                <w:shd w:val="clear" w:color="auto" w:fill="FFFFFF"/>
              </w:rPr>
              <w:t>3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51CE09" w14:textId="349FE50D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3,319</w:t>
            </w:r>
          </w:p>
        </w:tc>
      </w:tr>
      <w:tr w:rsidR="00022074" w:rsidRPr="00EB09F0" w14:paraId="4F03CED5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D5DEFF" w14:textId="563001A3" w:rsidR="00022074" w:rsidRPr="00607466" w:rsidRDefault="00022074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 2020</w:t>
            </w:r>
          </w:p>
        </w:tc>
        <w:tc>
          <w:tcPr>
            <w:tcW w:w="1845" w:type="dxa"/>
            <w:shd w:val="clear" w:color="auto" w:fill="auto"/>
          </w:tcPr>
          <w:p w14:paraId="33D8C59D" w14:textId="34606DC0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148,532</w:t>
            </w:r>
          </w:p>
        </w:tc>
        <w:tc>
          <w:tcPr>
            <w:tcW w:w="1701" w:type="dxa"/>
            <w:shd w:val="clear" w:color="auto" w:fill="auto"/>
          </w:tcPr>
          <w:p w14:paraId="1E21DDF2" w14:textId="6A5396B7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117,664</w:t>
            </w:r>
          </w:p>
        </w:tc>
        <w:tc>
          <w:tcPr>
            <w:tcW w:w="2405" w:type="dxa"/>
            <w:shd w:val="clear" w:color="auto" w:fill="auto"/>
          </w:tcPr>
          <w:p w14:paraId="144C5273" w14:textId="67392948" w:rsidR="00022074" w:rsidRDefault="00173063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3,350</w:t>
            </w:r>
          </w:p>
        </w:tc>
      </w:tr>
      <w:tr w:rsidR="002660F9" w:rsidRPr="00EB09F0" w14:paraId="5A6AED5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2BB83D" w14:textId="4C39B231" w:rsidR="002660F9" w:rsidRDefault="002660F9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2021</w:t>
            </w:r>
          </w:p>
        </w:tc>
        <w:tc>
          <w:tcPr>
            <w:tcW w:w="1845" w:type="dxa"/>
            <w:shd w:val="clear" w:color="auto" w:fill="auto"/>
          </w:tcPr>
          <w:p w14:paraId="34480548" w14:textId="6F2482DE" w:rsidR="002660F9" w:rsidRDefault="004970D8" w:rsidP="00E12BC0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151,7</w:t>
            </w:r>
            <w:r w:rsidR="00E12BC0">
              <w:rPr>
                <w:shd w:val="clear" w:color="auto" w:fill="FFFFFF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49FF5E37" w14:textId="764A7E96" w:rsidR="002660F9" w:rsidRDefault="004970D8" w:rsidP="000B1091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120,3</w:t>
            </w:r>
            <w:r w:rsidR="000B1091">
              <w:rPr>
                <w:shd w:val="clear" w:color="auto" w:fill="FFFFFF"/>
              </w:rPr>
              <w:t>57</w:t>
            </w:r>
          </w:p>
        </w:tc>
        <w:tc>
          <w:tcPr>
            <w:tcW w:w="2405" w:type="dxa"/>
            <w:shd w:val="clear" w:color="auto" w:fill="auto"/>
          </w:tcPr>
          <w:p w14:paraId="64CE539F" w14:textId="5816DCFF" w:rsidR="002660F9" w:rsidRDefault="004970D8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3,298</w:t>
            </w:r>
          </w:p>
        </w:tc>
      </w:tr>
      <w:tr w:rsidR="00F92BD1" w:rsidRPr="00EB09F0" w14:paraId="76B3915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4448509" w14:textId="225DFB69" w:rsidR="00F92BD1" w:rsidRDefault="00F92BD1" w:rsidP="00F92BD1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2021</w:t>
            </w:r>
          </w:p>
        </w:tc>
        <w:tc>
          <w:tcPr>
            <w:tcW w:w="1845" w:type="dxa"/>
            <w:shd w:val="clear" w:color="auto" w:fill="auto"/>
          </w:tcPr>
          <w:p w14:paraId="63B0848E" w14:textId="2D7A47EB" w:rsidR="00F92BD1" w:rsidRDefault="00F92BD1" w:rsidP="00E12BC0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153,39</w:t>
            </w:r>
            <w:r w:rsidR="007C05E6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DA3712" w14:textId="705F53E3" w:rsidR="00F92BD1" w:rsidRDefault="00F92BD1" w:rsidP="000B1091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121,29</w:t>
            </w:r>
            <w:r w:rsidR="007C05E6">
              <w:rPr>
                <w:shd w:val="clear" w:color="auto" w:fill="FFFFFF"/>
              </w:rPr>
              <w:t>8</w:t>
            </w:r>
          </w:p>
        </w:tc>
        <w:tc>
          <w:tcPr>
            <w:tcW w:w="2405" w:type="dxa"/>
            <w:shd w:val="clear" w:color="auto" w:fill="auto"/>
          </w:tcPr>
          <w:p w14:paraId="1F7F6E34" w14:textId="6F474383" w:rsidR="00F92BD1" w:rsidRDefault="00FC3581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3,502</w:t>
            </w:r>
          </w:p>
        </w:tc>
      </w:tr>
      <w:tr w:rsidR="00E75335" w:rsidRPr="00917C55" w14:paraId="78F96526" w14:textId="77777777" w:rsidTr="00E7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CD1328A" w14:textId="77777777" w:rsidR="00E75335" w:rsidRPr="00917C55" w:rsidRDefault="00E75335" w:rsidP="00E7533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917C55">
              <w:rPr>
                <w:b w:val="0"/>
                <w:shd w:val="clear" w:color="auto" w:fill="FFFFFF"/>
              </w:rPr>
              <w:t>September 2021</w:t>
            </w:r>
          </w:p>
        </w:tc>
        <w:tc>
          <w:tcPr>
            <w:tcW w:w="1845" w:type="dxa"/>
            <w:shd w:val="clear" w:color="auto" w:fill="auto"/>
          </w:tcPr>
          <w:p w14:paraId="608CAEE6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155,931</w:t>
            </w:r>
          </w:p>
        </w:tc>
        <w:tc>
          <w:tcPr>
            <w:tcW w:w="1701" w:type="dxa"/>
            <w:shd w:val="clear" w:color="auto" w:fill="auto"/>
          </w:tcPr>
          <w:p w14:paraId="101E946F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123,034</w:t>
            </w:r>
          </w:p>
        </w:tc>
        <w:tc>
          <w:tcPr>
            <w:tcW w:w="2405" w:type="dxa"/>
            <w:shd w:val="clear" w:color="auto" w:fill="auto"/>
          </w:tcPr>
          <w:p w14:paraId="003128DD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3,512</w:t>
            </w:r>
          </w:p>
        </w:tc>
      </w:tr>
      <w:tr w:rsidR="00E1633D" w:rsidRPr="00917C55" w14:paraId="2EBA950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102ED32" w14:textId="0B1A7F75" w:rsidR="00E1633D" w:rsidRPr="00917C55" w:rsidRDefault="00E75335" w:rsidP="00E1633D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</w:t>
            </w:r>
            <w:r w:rsidRPr="00917C55">
              <w:rPr>
                <w:b w:val="0"/>
                <w:shd w:val="clear" w:color="auto" w:fill="FFFFFF"/>
              </w:rPr>
              <w:t xml:space="preserve"> </w:t>
            </w:r>
            <w:r w:rsidR="00E1633D" w:rsidRPr="00917C55">
              <w:rPr>
                <w:b w:val="0"/>
                <w:shd w:val="clear" w:color="auto" w:fill="FFFFFF"/>
              </w:rPr>
              <w:t>2021</w:t>
            </w:r>
          </w:p>
        </w:tc>
        <w:tc>
          <w:tcPr>
            <w:tcW w:w="1845" w:type="dxa"/>
            <w:shd w:val="clear" w:color="auto" w:fill="auto"/>
          </w:tcPr>
          <w:p w14:paraId="48528755" w14:textId="650C68A4" w:rsidR="00E1633D" w:rsidRPr="00917C55" w:rsidRDefault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</w:t>
            </w:r>
            <w:r w:rsidR="00E75335">
              <w:t>963</w:t>
            </w:r>
          </w:p>
        </w:tc>
        <w:tc>
          <w:tcPr>
            <w:tcW w:w="1701" w:type="dxa"/>
            <w:shd w:val="clear" w:color="auto" w:fill="auto"/>
          </w:tcPr>
          <w:p w14:paraId="211E9E80" w14:textId="75F3B3A8" w:rsidR="00E1633D" w:rsidRPr="00917C55" w:rsidRDefault="00E75335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t>122,361</w:t>
            </w:r>
          </w:p>
        </w:tc>
        <w:tc>
          <w:tcPr>
            <w:tcW w:w="2405" w:type="dxa"/>
            <w:shd w:val="clear" w:color="auto" w:fill="auto"/>
          </w:tcPr>
          <w:p w14:paraId="2EB34714" w14:textId="6ECBB4E3" w:rsidR="00E1633D" w:rsidRPr="006926A7" w:rsidRDefault="006926A7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3,574</w:t>
            </w:r>
          </w:p>
        </w:tc>
      </w:tr>
      <w:tr w:rsidR="003F5010" w:rsidRPr="00917C55" w14:paraId="5F18B504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02671237" w14:textId="4EB121B9" w:rsidR="003F5010" w:rsidRDefault="00772517" w:rsidP="00E1633D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2022</w:t>
            </w:r>
          </w:p>
        </w:tc>
        <w:tc>
          <w:tcPr>
            <w:tcW w:w="1845" w:type="dxa"/>
            <w:shd w:val="clear" w:color="auto" w:fill="auto"/>
          </w:tcPr>
          <w:p w14:paraId="47326F8B" w14:textId="16A10237" w:rsidR="003F5010" w:rsidRPr="007471C9" w:rsidRDefault="00772517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517">
              <w:t>159,839</w:t>
            </w:r>
          </w:p>
        </w:tc>
        <w:tc>
          <w:tcPr>
            <w:tcW w:w="1701" w:type="dxa"/>
            <w:shd w:val="clear" w:color="auto" w:fill="auto"/>
          </w:tcPr>
          <w:p w14:paraId="74EDFDBD" w14:textId="2EAEB85F" w:rsidR="003F5010" w:rsidRDefault="00772517" w:rsidP="00E1633D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517">
              <w:t>125,623</w:t>
            </w:r>
          </w:p>
        </w:tc>
        <w:tc>
          <w:tcPr>
            <w:tcW w:w="2405" w:type="dxa"/>
            <w:shd w:val="clear" w:color="auto" w:fill="auto"/>
          </w:tcPr>
          <w:p w14:paraId="692C2F1F" w14:textId="15A90B7D" w:rsidR="003F5010" w:rsidRPr="007922A5" w:rsidRDefault="00772517" w:rsidP="00E1633D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3,476</w:t>
            </w:r>
          </w:p>
        </w:tc>
      </w:tr>
      <w:tr w:rsidR="00E825C0" w:rsidRPr="00917C55" w14:paraId="0391B1F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26B48E46" w14:textId="08CF1FE2" w:rsidR="00E825C0" w:rsidRDefault="00E825C0" w:rsidP="00E1633D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2022</w:t>
            </w:r>
          </w:p>
        </w:tc>
        <w:tc>
          <w:tcPr>
            <w:tcW w:w="1845" w:type="dxa"/>
            <w:shd w:val="clear" w:color="auto" w:fill="auto"/>
          </w:tcPr>
          <w:p w14:paraId="77C2EBD8" w14:textId="4E42DB09" w:rsidR="00E825C0" w:rsidRPr="00772517" w:rsidRDefault="009453B8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53B8">
              <w:t>160,281</w:t>
            </w:r>
          </w:p>
        </w:tc>
        <w:tc>
          <w:tcPr>
            <w:tcW w:w="1701" w:type="dxa"/>
            <w:shd w:val="clear" w:color="auto" w:fill="auto"/>
          </w:tcPr>
          <w:p w14:paraId="0BDEA433" w14:textId="0348AD8E" w:rsidR="00E825C0" w:rsidRPr="00772517" w:rsidRDefault="009453B8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53B8">
              <w:t>125,623</w:t>
            </w:r>
          </w:p>
        </w:tc>
        <w:tc>
          <w:tcPr>
            <w:tcW w:w="2405" w:type="dxa"/>
            <w:shd w:val="clear" w:color="auto" w:fill="auto"/>
          </w:tcPr>
          <w:p w14:paraId="774DED33" w14:textId="5B2A3C3E" w:rsidR="00E825C0" w:rsidRPr="007922A5" w:rsidRDefault="007A6956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3,717</w:t>
            </w:r>
          </w:p>
        </w:tc>
      </w:tr>
      <w:tr w:rsidR="007922A5" w:rsidRPr="00917C55" w14:paraId="1B3AD650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45A4BE09" w14:textId="34F7312E" w:rsidR="007922A5" w:rsidRPr="00DD6729" w:rsidRDefault="007922A5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DD6729">
              <w:rPr>
                <w:b w:val="0"/>
                <w:shd w:val="clear" w:color="auto" w:fill="FFFFFF"/>
              </w:rPr>
              <w:t>September 2022</w:t>
            </w:r>
          </w:p>
        </w:tc>
        <w:tc>
          <w:tcPr>
            <w:tcW w:w="1845" w:type="dxa"/>
            <w:shd w:val="clear" w:color="auto" w:fill="auto"/>
          </w:tcPr>
          <w:p w14:paraId="5C1B380F" w14:textId="32E71835" w:rsidR="007922A5" w:rsidRPr="009453B8" w:rsidRDefault="007922A5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161,530</w:t>
            </w:r>
          </w:p>
        </w:tc>
        <w:tc>
          <w:tcPr>
            <w:tcW w:w="1701" w:type="dxa"/>
            <w:shd w:val="clear" w:color="auto" w:fill="auto"/>
          </w:tcPr>
          <w:p w14:paraId="1B427AA8" w14:textId="66986831" w:rsidR="007922A5" w:rsidRPr="009453B8" w:rsidRDefault="007922A5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126,421</w:t>
            </w:r>
          </w:p>
        </w:tc>
        <w:tc>
          <w:tcPr>
            <w:tcW w:w="2405" w:type="dxa"/>
            <w:shd w:val="clear" w:color="auto" w:fill="auto"/>
          </w:tcPr>
          <w:p w14:paraId="60684563" w14:textId="36D11745" w:rsidR="007922A5" w:rsidRPr="007922A5" w:rsidRDefault="007922A5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3,721</w:t>
            </w:r>
          </w:p>
        </w:tc>
      </w:tr>
      <w:tr w:rsidR="0024479E" w:rsidRPr="00917C55" w14:paraId="745FD890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7015EDB" w14:textId="46000737" w:rsidR="0024479E" w:rsidRPr="0024479E" w:rsidRDefault="0024479E" w:rsidP="007922A5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24479E">
              <w:rPr>
                <w:b w:val="0"/>
                <w:bCs w:val="0"/>
                <w:shd w:val="clear" w:color="auto" w:fill="FFFFFF"/>
              </w:rPr>
              <w:t>December</w:t>
            </w:r>
            <w:r w:rsidR="002952BA">
              <w:rPr>
                <w:b w:val="0"/>
                <w:bCs w:val="0"/>
                <w:shd w:val="clear" w:color="auto" w:fill="FFFFFF"/>
              </w:rPr>
              <w:t xml:space="preserve"> 2022</w:t>
            </w:r>
          </w:p>
        </w:tc>
        <w:tc>
          <w:tcPr>
            <w:tcW w:w="1845" w:type="dxa"/>
            <w:shd w:val="clear" w:color="auto" w:fill="auto"/>
          </w:tcPr>
          <w:p w14:paraId="3AA0F12B" w14:textId="5285EEA6" w:rsidR="0024479E" w:rsidRPr="0024479E" w:rsidRDefault="0024479E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79E">
              <w:t>160,</w:t>
            </w:r>
            <w:r w:rsidR="00103AF5">
              <w:t>923</w:t>
            </w:r>
          </w:p>
        </w:tc>
        <w:tc>
          <w:tcPr>
            <w:tcW w:w="1701" w:type="dxa"/>
            <w:shd w:val="clear" w:color="auto" w:fill="auto"/>
          </w:tcPr>
          <w:p w14:paraId="4B50D0E4" w14:textId="6742009E" w:rsidR="0024479E" w:rsidRPr="00EC403A" w:rsidRDefault="0024479E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126,136</w:t>
            </w:r>
          </w:p>
        </w:tc>
        <w:tc>
          <w:tcPr>
            <w:tcW w:w="2405" w:type="dxa"/>
            <w:shd w:val="clear" w:color="auto" w:fill="auto"/>
          </w:tcPr>
          <w:p w14:paraId="766AA599" w14:textId="0B559DF6" w:rsidR="0024479E" w:rsidRPr="007922A5" w:rsidRDefault="00D46CC8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3,942</w:t>
            </w:r>
          </w:p>
        </w:tc>
      </w:tr>
    </w:tbl>
    <w:p w14:paraId="464080CB" w14:textId="31D29C2C" w:rsidR="0034676E" w:rsidRDefault="0034676E" w:rsidP="00647C0A"/>
    <w:p w14:paraId="77BE0EC2" w14:textId="77777777" w:rsidR="0034676E" w:rsidRDefault="0034676E">
      <w:pPr>
        <w:spacing w:before="0" w:beforeAutospacing="0" w:after="160"/>
      </w:pPr>
      <w:r>
        <w:br w:type="page"/>
      </w:r>
    </w:p>
    <w:p w14:paraId="4DCCC76B" w14:textId="2F0DB952" w:rsidR="00B72D78" w:rsidRDefault="00C96AD0" w:rsidP="00607466">
      <w:pPr>
        <w:pStyle w:val="Heading2"/>
      </w:pPr>
      <w:r w:rsidRPr="00C96AD0">
        <w:lastRenderedPageBreak/>
        <w:t xml:space="preserve">WA </w:t>
      </w:r>
      <w:r w:rsidR="00235D77">
        <w:t>p</w:t>
      </w:r>
      <w:r w:rsidRPr="00C96AD0">
        <w:t xml:space="preserve">ublic </w:t>
      </w:r>
      <w:r w:rsidR="00235D77">
        <w:t>s</w:t>
      </w:r>
      <w:r w:rsidRPr="00C96AD0">
        <w:t xml:space="preserve">ector </w:t>
      </w:r>
      <w:r w:rsidR="00A966F1">
        <w:t>agencies’</w:t>
      </w:r>
      <w:r w:rsidR="00A966F1" w:rsidRPr="00C96AD0">
        <w:t xml:space="preserve"> </w:t>
      </w:r>
      <w:r w:rsidRPr="00C96AD0">
        <w:t>staffing levels</w:t>
      </w:r>
    </w:p>
    <w:tbl>
      <w:tblPr>
        <w:tblStyle w:val="CommissionTable1"/>
        <w:tblW w:w="9889" w:type="dxa"/>
        <w:tblInd w:w="-294" w:type="dxa"/>
        <w:tblBorders>
          <w:top w:val="single" w:sz="8" w:space="0" w:color="2B9947"/>
          <w:left w:val="single" w:sz="8" w:space="0" w:color="2B9947"/>
          <w:bottom w:val="single" w:sz="8" w:space="0" w:color="2B9947"/>
          <w:right w:val="single" w:sz="8" w:space="0" w:color="2B9947"/>
          <w:insideH w:val="single" w:sz="8" w:space="0" w:color="2B9947"/>
          <w:insideV w:val="single" w:sz="8" w:space="0" w:color="2B9947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1347"/>
        <w:gridCol w:w="1347"/>
        <w:gridCol w:w="992"/>
        <w:gridCol w:w="968"/>
      </w:tblGrid>
      <w:tr w:rsidR="004970D8" w:rsidRPr="00607466" w14:paraId="4EDFC1D0" w14:textId="77777777" w:rsidTr="002D2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  <w:tblHeader/>
        </w:trPr>
        <w:tc>
          <w:tcPr>
            <w:tcW w:w="0" w:type="dxa"/>
            <w:vAlign w:val="bottom"/>
            <w:hideMark/>
          </w:tcPr>
          <w:p w14:paraId="0E04D857" w14:textId="77777777" w:rsidR="004970D8" w:rsidRPr="00E1633D" w:rsidRDefault="004970D8" w:rsidP="000B1091">
            <w:pPr>
              <w:spacing w:before="60" w:beforeAutospacing="0" w:after="60"/>
              <w:contextualSpacing w:val="0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Agency</w:t>
            </w:r>
          </w:p>
        </w:tc>
        <w:tc>
          <w:tcPr>
            <w:tcW w:w="0" w:type="dxa"/>
            <w:vAlign w:val="bottom"/>
          </w:tcPr>
          <w:p w14:paraId="32CE3E0D" w14:textId="71E9D1B3" w:rsidR="004970D8" w:rsidRPr="00E1633D" w:rsidRDefault="002952BA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Dec</w:t>
            </w:r>
            <w:r w:rsidR="003F5010">
              <w:rPr>
                <w:b w:val="0"/>
                <w:color w:val="FFFFFF" w:themeColor="background1"/>
              </w:rPr>
              <w:t>-22</w:t>
            </w:r>
          </w:p>
          <w:p w14:paraId="7045C802" w14:textId="2E742549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Headcount</w:t>
            </w:r>
          </w:p>
        </w:tc>
        <w:tc>
          <w:tcPr>
            <w:tcW w:w="0" w:type="dxa"/>
            <w:vAlign w:val="bottom"/>
          </w:tcPr>
          <w:p w14:paraId="597F64BE" w14:textId="354C0686" w:rsidR="004970D8" w:rsidRPr="00E1633D" w:rsidRDefault="002952BA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Dec</w:t>
            </w:r>
            <w:r w:rsidR="003F5010">
              <w:rPr>
                <w:b w:val="0"/>
                <w:color w:val="FFFFFF" w:themeColor="background1"/>
              </w:rPr>
              <w:t>-22</w:t>
            </w:r>
          </w:p>
          <w:p w14:paraId="65EF3913" w14:textId="14358606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FTE</w:t>
            </w:r>
          </w:p>
        </w:tc>
        <w:tc>
          <w:tcPr>
            <w:tcW w:w="0" w:type="dxa"/>
            <w:vAlign w:val="bottom"/>
            <w:hideMark/>
          </w:tcPr>
          <w:p w14:paraId="16733DD4" w14:textId="0332D370" w:rsidR="004970D8" w:rsidRPr="00E1633D" w:rsidRDefault="004970D8" w:rsidP="00E825C0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Pr="00E1633D">
              <w:rPr>
                <w:b w:val="0"/>
                <w:color w:val="FFFFFF" w:themeColor="background1"/>
              </w:rPr>
              <w:br/>
            </w:r>
            <w:r w:rsidR="002952BA">
              <w:rPr>
                <w:b w:val="0"/>
                <w:color w:val="FFFFFF" w:themeColor="background1"/>
              </w:rPr>
              <w:t>Sep</w:t>
            </w:r>
            <w:r w:rsidR="00E825C0">
              <w:rPr>
                <w:b w:val="0"/>
                <w:color w:val="FFFFFF" w:themeColor="background1"/>
              </w:rPr>
              <w:t>-22</w:t>
            </w:r>
          </w:p>
        </w:tc>
        <w:tc>
          <w:tcPr>
            <w:tcW w:w="968" w:type="dxa"/>
            <w:vAlign w:val="bottom"/>
            <w:hideMark/>
          </w:tcPr>
          <w:p w14:paraId="5E17B74C" w14:textId="300463F4" w:rsidR="004970D8" w:rsidRPr="004970D8" w:rsidRDefault="004970D8" w:rsidP="00D1159E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="008750E6" w:rsidRPr="00E1633D">
              <w:rPr>
                <w:b w:val="0"/>
                <w:color w:val="FFFFFF" w:themeColor="background1"/>
              </w:rPr>
              <w:br/>
            </w:r>
            <w:r w:rsidR="002952BA">
              <w:rPr>
                <w:b w:val="0"/>
                <w:color w:val="FFFFFF" w:themeColor="background1"/>
              </w:rPr>
              <w:t>Dec</w:t>
            </w:r>
            <w:r w:rsidR="003F5010">
              <w:rPr>
                <w:b w:val="0"/>
                <w:color w:val="FFFFFF" w:themeColor="background1"/>
              </w:rPr>
              <w:t>-21</w:t>
            </w:r>
          </w:p>
        </w:tc>
      </w:tr>
      <w:tr w:rsidR="002952BA" w:rsidRPr="00E75335" w14:paraId="3D02EF30" w14:textId="77777777" w:rsidTr="002D2312">
        <w:trPr>
          <w:trHeight w:val="315"/>
        </w:trPr>
        <w:tc>
          <w:tcPr>
            <w:tcW w:w="0" w:type="dxa"/>
            <w:noWrap/>
            <w:vAlign w:val="bottom"/>
            <w:hideMark/>
          </w:tcPr>
          <w:p w14:paraId="791B3548" w14:textId="3EF214B0" w:rsidR="002952BA" w:rsidRPr="001B1B01" w:rsidRDefault="002952BA" w:rsidP="002952BA">
            <w:pPr>
              <w:spacing w:beforeLines="20" w:before="48" w:beforeAutospacing="0" w:afterLines="20" w:after="48"/>
              <w:contextualSpacing w:val="0"/>
              <w:rPr>
                <w:b/>
              </w:rPr>
            </w:pPr>
            <w:r w:rsidRPr="00DA0F3B">
              <w:rPr>
                <w:b/>
              </w:rPr>
              <w:t>WA public sector</w:t>
            </w:r>
          </w:p>
        </w:tc>
        <w:tc>
          <w:tcPr>
            <w:tcW w:w="0" w:type="dxa"/>
            <w:tcBorders>
              <w:top w:val="single" w:sz="8" w:space="0" w:color="2B9947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4C82976A" w14:textId="4BBFCDC5" w:rsidR="002952BA" w:rsidRPr="002952BA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2952BA">
              <w:rPr>
                <w:b/>
                <w:bCs/>
              </w:rPr>
              <w:t xml:space="preserve"> 160,</w:t>
            </w:r>
            <w:r w:rsidR="00103AF5">
              <w:rPr>
                <w:b/>
                <w:bCs/>
              </w:rPr>
              <w:t>923</w:t>
            </w:r>
            <w:r w:rsidR="00103AF5" w:rsidRPr="002952BA">
              <w:rPr>
                <w:b/>
                <w:bCs/>
              </w:rPr>
              <w:t xml:space="preserve"> </w:t>
            </w:r>
          </w:p>
        </w:tc>
        <w:tc>
          <w:tcPr>
            <w:tcW w:w="0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723A29CB" w14:textId="32C7EF39" w:rsidR="002952BA" w:rsidRPr="002952BA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2952BA">
              <w:rPr>
                <w:b/>
                <w:bCs/>
              </w:rPr>
              <w:t xml:space="preserve"> 126,136 </w:t>
            </w:r>
          </w:p>
        </w:tc>
        <w:tc>
          <w:tcPr>
            <w:tcW w:w="0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549F1273" w14:textId="68F375A0" w:rsidR="002952BA" w:rsidRPr="002952BA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2952BA">
              <w:rPr>
                <w:b/>
                <w:bCs/>
              </w:rPr>
              <w:t xml:space="preserve">-285 </w:t>
            </w:r>
          </w:p>
        </w:tc>
        <w:tc>
          <w:tcPr>
            <w:tcW w:w="968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7593AA8E" w14:textId="180C0A39" w:rsidR="002952BA" w:rsidRPr="00417AF6" w:rsidRDefault="002952BA" w:rsidP="00417AF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417AF6">
              <w:rPr>
                <w:b/>
                <w:bCs/>
              </w:rPr>
              <w:t>3,775</w:t>
            </w:r>
          </w:p>
        </w:tc>
      </w:tr>
      <w:tr w:rsidR="002952BA" w:rsidRPr="00C14672" w14:paraId="793EA623" w14:textId="77777777" w:rsidTr="002D2312">
        <w:trPr>
          <w:trHeight w:val="315"/>
        </w:trPr>
        <w:tc>
          <w:tcPr>
            <w:tcW w:w="0" w:type="dxa"/>
            <w:noWrap/>
            <w:hideMark/>
          </w:tcPr>
          <w:p w14:paraId="349EE9F7" w14:textId="5C671D17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>
              <w:t>Department of Education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5CAFABED" w14:textId="4854B4D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 58,683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2363850B" w14:textId="21714F4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 43,446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05F4EA9F" w14:textId="4192641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-568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1FD9953A" w14:textId="018BEF3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 753 </w:t>
            </w:r>
          </w:p>
        </w:tc>
      </w:tr>
      <w:tr w:rsidR="002952BA" w:rsidRPr="00C14672" w14:paraId="4AE236CC" w14:textId="77777777" w:rsidTr="002D2312">
        <w:trPr>
          <w:trHeight w:val="315"/>
        </w:trPr>
        <w:tc>
          <w:tcPr>
            <w:tcW w:w="0" w:type="dxa"/>
            <w:noWrap/>
          </w:tcPr>
          <w:p w14:paraId="28CC9079" w14:textId="519DCC3A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>
              <w:t>WA Health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380A1A59" w14:textId="5CE9E93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 57,292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0FFEFD31" w14:textId="19ED973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 43,243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6075E524" w14:textId="0A22026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-314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25E48580" w14:textId="28082F1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1343D">
              <w:t xml:space="preserve">2,108 </w:t>
            </w:r>
          </w:p>
        </w:tc>
      </w:tr>
      <w:tr w:rsidR="002952BA" w:rsidRPr="00C14672" w14:paraId="5DA1E791" w14:textId="77777777" w:rsidTr="002D2312">
        <w:trPr>
          <w:trHeight w:val="315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73788546" w14:textId="1376C6EF" w:rsidR="002952BA" w:rsidRPr="005211EB" w:rsidRDefault="002952BA" w:rsidP="002952BA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(North Metropolitan Health Service)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31A665DB" w14:textId="65838EE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12,313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7C304E48" w14:textId="464ACCA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9,183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0D31E959" w14:textId="62C47AB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4ED1B1E1" w14:textId="701B6A9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341 </w:t>
            </w:r>
          </w:p>
        </w:tc>
      </w:tr>
      <w:tr w:rsidR="002952BA" w:rsidRPr="00C14672" w14:paraId="1BD15359" w14:textId="77777777" w:rsidTr="002D2312">
        <w:trPr>
          <w:trHeight w:val="315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273D95EC" w14:textId="6249BF6F" w:rsidR="002952BA" w:rsidRPr="005211EB" w:rsidRDefault="002952BA" w:rsidP="002952BA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(South Metropolitan Health Service)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703D52E1" w14:textId="039006F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11,683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59DF0857" w14:textId="021CDD5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8,726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49ED85CE" w14:textId="1D50679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-152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38331C4C" w14:textId="5DA4349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584 </w:t>
            </w:r>
          </w:p>
        </w:tc>
      </w:tr>
      <w:tr w:rsidR="002952BA" w:rsidRPr="00C14672" w14:paraId="20C956EA" w14:textId="77777777" w:rsidTr="002D2312">
        <w:trPr>
          <w:trHeight w:val="315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4877389A" w14:textId="78E3A8D5" w:rsidR="002952BA" w:rsidRPr="005211EB" w:rsidRDefault="002952BA" w:rsidP="002952BA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(WA Country Health Service)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7E81469B" w14:textId="305BEE7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11,245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7E9B2ACB" w14:textId="0EED63C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8,534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24407CBC" w14:textId="2F7E7A5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-32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58FDEF11" w14:textId="79D6BC4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383 </w:t>
            </w:r>
          </w:p>
        </w:tc>
      </w:tr>
      <w:tr w:rsidR="002952BA" w:rsidRPr="00C14672" w14:paraId="023862C5" w14:textId="77777777" w:rsidTr="002D2312">
        <w:trPr>
          <w:trHeight w:val="315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67180C86" w14:textId="7C6ADDDF" w:rsidR="002952BA" w:rsidRPr="005211EB" w:rsidRDefault="002952BA" w:rsidP="002952BA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(East Metropolitan Health Service)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52E32010" w14:textId="4D2C774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9,830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39895F9C" w14:textId="1946CC0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7,597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31BC2332" w14:textId="53CE351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-91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199EF562" w14:textId="2006435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555 </w:t>
            </w:r>
          </w:p>
        </w:tc>
      </w:tr>
      <w:tr w:rsidR="002952BA" w:rsidRPr="00C14672" w14:paraId="145AC281" w14:textId="77777777" w:rsidTr="002D2312">
        <w:trPr>
          <w:trHeight w:val="315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372813DE" w14:textId="55382712" w:rsidR="002952BA" w:rsidRPr="005211EB" w:rsidRDefault="002952BA" w:rsidP="002952BA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(Child and Adolescent Health Service)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59E34E76" w14:textId="7E873B21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6,069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52682ACD" w14:textId="4BE2E1C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4,342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44ACBC5A" w14:textId="2A5E4EC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-82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31C2AC5A" w14:textId="5EFEC61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78 </w:t>
            </w:r>
          </w:p>
        </w:tc>
      </w:tr>
      <w:tr w:rsidR="002952BA" w:rsidRPr="00C14672" w14:paraId="2080B85A" w14:textId="77777777" w:rsidTr="002D2312">
        <w:trPr>
          <w:trHeight w:val="318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61797685" w14:textId="301C61D2" w:rsidR="002952BA" w:rsidRDefault="002952BA" w:rsidP="002952BA">
            <w:pPr>
              <w:spacing w:beforeLines="20" w:before="48" w:beforeAutospacing="0" w:afterLines="20" w:after="48"/>
              <w:ind w:left="167"/>
            </w:pPr>
            <w:r w:rsidRPr="0088297A">
              <w:t>WA Health (Health Support Services)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0BC4AC74" w14:textId="5F919E85" w:rsidR="002952BA" w:rsidRPr="00E825C0" w:rsidRDefault="002952BA" w:rsidP="002952BA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A31FA6">
              <w:t xml:space="preserve"> 2,482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13189358" w14:textId="432A693C" w:rsidR="002952BA" w:rsidRPr="00E825C0" w:rsidRDefault="002952BA" w:rsidP="002952BA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A31FA6">
              <w:t xml:space="preserve"> 1,866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0D94919" w14:textId="12684F8C" w:rsidR="002952BA" w:rsidRPr="00E825C0" w:rsidRDefault="002952BA" w:rsidP="002952BA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A31FA6">
              <w:t xml:space="preserve"> 115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1AD60B6B" w14:textId="5C8E3B7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165 </w:t>
            </w:r>
          </w:p>
        </w:tc>
      </w:tr>
      <w:tr w:rsidR="002952BA" w:rsidRPr="00C14672" w14:paraId="0A080A0F" w14:textId="77777777" w:rsidTr="002D2312">
        <w:trPr>
          <w:trHeight w:val="318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60A9EB48" w14:textId="247F5638" w:rsidR="002952BA" w:rsidRPr="005211EB" w:rsidRDefault="002952BA" w:rsidP="002952BA">
            <w:pPr>
              <w:spacing w:beforeLines="20" w:before="48" w:beforeAutospacing="0" w:afterLines="20" w:after="48"/>
              <w:ind w:left="167"/>
              <w:contextualSpacing w:val="0"/>
            </w:pPr>
            <w:r w:rsidRPr="0088297A">
              <w:t>WA Health (PathWest)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1799A818" w14:textId="51CD234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2,377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652F9288" w14:textId="35D5E28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1,889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78132698" w14:textId="4439B72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11BC90B4" w14:textId="6B81D07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3 </w:t>
            </w:r>
          </w:p>
        </w:tc>
      </w:tr>
      <w:tr w:rsidR="002952BA" w:rsidRPr="00C14672" w14:paraId="798ED191" w14:textId="77777777" w:rsidTr="002D2312">
        <w:trPr>
          <w:trHeight w:val="315"/>
        </w:trPr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431384CB" w14:textId="570BC9AF" w:rsidR="002952BA" w:rsidRPr="005211EB" w:rsidRDefault="002952BA" w:rsidP="002952BA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(Department of Health)</w:t>
            </w:r>
          </w:p>
        </w:tc>
        <w:tc>
          <w:tcPr>
            <w:tcW w:w="0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5D131EB3" w14:textId="142CE561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1,293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1A635FC9" w14:textId="59DDADC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 1,106 </w:t>
            </w:r>
          </w:p>
        </w:tc>
        <w:tc>
          <w:tcPr>
            <w:tcW w:w="0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250E50BF" w14:textId="0C27991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-55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313C8388" w14:textId="1CD18D7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A31FA6">
              <w:t xml:space="preserve">-1 </w:t>
            </w:r>
          </w:p>
        </w:tc>
      </w:tr>
      <w:tr w:rsidR="002952BA" w:rsidRPr="00C14672" w14:paraId="6BFBF1A4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831D733" w14:textId="5AA95F5B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Justice</w:t>
            </w:r>
          </w:p>
        </w:tc>
        <w:tc>
          <w:tcPr>
            <w:tcW w:w="0" w:type="dxa"/>
            <w:vAlign w:val="top"/>
          </w:tcPr>
          <w:p w14:paraId="72673C5D" w14:textId="119D487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7,302 </w:t>
            </w:r>
          </w:p>
        </w:tc>
        <w:tc>
          <w:tcPr>
            <w:tcW w:w="0" w:type="dxa"/>
            <w:vAlign w:val="top"/>
          </w:tcPr>
          <w:p w14:paraId="4E94D1AF" w14:textId="1E3ED2B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6,663 </w:t>
            </w:r>
          </w:p>
        </w:tc>
        <w:tc>
          <w:tcPr>
            <w:tcW w:w="0" w:type="dxa"/>
            <w:noWrap/>
            <w:vAlign w:val="top"/>
          </w:tcPr>
          <w:p w14:paraId="1C945E6F" w14:textId="41FFA58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16 </w:t>
            </w:r>
          </w:p>
        </w:tc>
        <w:tc>
          <w:tcPr>
            <w:tcW w:w="968" w:type="dxa"/>
            <w:noWrap/>
            <w:vAlign w:val="top"/>
          </w:tcPr>
          <w:p w14:paraId="02F78026" w14:textId="71FA868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-258 </w:t>
            </w:r>
          </w:p>
        </w:tc>
      </w:tr>
      <w:tr w:rsidR="002952BA" w:rsidRPr="00C14672" w14:paraId="27610C0C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3B72177E" w14:textId="7F40761C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Communities</w:t>
            </w:r>
          </w:p>
        </w:tc>
        <w:tc>
          <w:tcPr>
            <w:tcW w:w="0" w:type="dxa"/>
            <w:vAlign w:val="top"/>
          </w:tcPr>
          <w:p w14:paraId="4287A261" w14:textId="4E27CEB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6,090 </w:t>
            </w:r>
          </w:p>
        </w:tc>
        <w:tc>
          <w:tcPr>
            <w:tcW w:w="0" w:type="dxa"/>
            <w:vAlign w:val="top"/>
          </w:tcPr>
          <w:p w14:paraId="4448BF8F" w14:textId="40BACE7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5,358 </w:t>
            </w:r>
          </w:p>
        </w:tc>
        <w:tc>
          <w:tcPr>
            <w:tcW w:w="0" w:type="dxa"/>
            <w:noWrap/>
            <w:vAlign w:val="top"/>
          </w:tcPr>
          <w:p w14:paraId="335642CC" w14:textId="10C911F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137 </w:t>
            </w:r>
          </w:p>
        </w:tc>
        <w:tc>
          <w:tcPr>
            <w:tcW w:w="968" w:type="dxa"/>
            <w:noWrap/>
            <w:vAlign w:val="top"/>
          </w:tcPr>
          <w:p w14:paraId="0F4D667A" w14:textId="1FA781F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257 </w:t>
            </w:r>
          </w:p>
        </w:tc>
      </w:tr>
      <w:tr w:rsidR="002952BA" w:rsidRPr="00C14672" w14:paraId="54BA2ED5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53089CB9" w14:textId="06507DC5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Western Australia Police</w:t>
            </w:r>
          </w:p>
        </w:tc>
        <w:tc>
          <w:tcPr>
            <w:tcW w:w="0" w:type="dxa"/>
            <w:vAlign w:val="top"/>
          </w:tcPr>
          <w:p w14:paraId="4381E648" w14:textId="127F4EAA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2,895 </w:t>
            </w:r>
          </w:p>
        </w:tc>
        <w:tc>
          <w:tcPr>
            <w:tcW w:w="0" w:type="dxa"/>
            <w:vAlign w:val="top"/>
          </w:tcPr>
          <w:p w14:paraId="62D37BD3" w14:textId="58FE118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2,129 </w:t>
            </w:r>
          </w:p>
        </w:tc>
        <w:tc>
          <w:tcPr>
            <w:tcW w:w="0" w:type="dxa"/>
            <w:noWrap/>
            <w:vAlign w:val="top"/>
          </w:tcPr>
          <w:p w14:paraId="138E0E7E" w14:textId="72526C9E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14 </w:t>
            </w:r>
          </w:p>
        </w:tc>
        <w:tc>
          <w:tcPr>
            <w:tcW w:w="968" w:type="dxa"/>
            <w:noWrap/>
            <w:vAlign w:val="top"/>
          </w:tcPr>
          <w:p w14:paraId="4BCEB9C9" w14:textId="1838DA7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-12 </w:t>
            </w:r>
          </w:p>
        </w:tc>
      </w:tr>
      <w:tr w:rsidR="002952BA" w:rsidRPr="00C14672" w14:paraId="08E46EA2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05A380EB" w14:textId="61F775EF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Biodiversity, Conservation and Attractions</w:t>
            </w:r>
          </w:p>
        </w:tc>
        <w:tc>
          <w:tcPr>
            <w:tcW w:w="0" w:type="dxa"/>
            <w:vAlign w:val="top"/>
          </w:tcPr>
          <w:p w14:paraId="74D2ABCF" w14:textId="2E194CC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2,468 </w:t>
            </w:r>
          </w:p>
        </w:tc>
        <w:tc>
          <w:tcPr>
            <w:tcW w:w="0" w:type="dxa"/>
            <w:vAlign w:val="top"/>
          </w:tcPr>
          <w:p w14:paraId="17082F60" w14:textId="4A2B455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2,107 </w:t>
            </w:r>
          </w:p>
        </w:tc>
        <w:tc>
          <w:tcPr>
            <w:tcW w:w="0" w:type="dxa"/>
            <w:noWrap/>
            <w:vAlign w:val="top"/>
          </w:tcPr>
          <w:p w14:paraId="5472332E" w14:textId="0F17349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79 </w:t>
            </w:r>
          </w:p>
        </w:tc>
        <w:tc>
          <w:tcPr>
            <w:tcW w:w="968" w:type="dxa"/>
            <w:noWrap/>
            <w:vAlign w:val="top"/>
          </w:tcPr>
          <w:p w14:paraId="3C223F55" w14:textId="6B2B288A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87 </w:t>
            </w:r>
          </w:p>
        </w:tc>
      </w:tr>
      <w:tr w:rsidR="002952BA" w:rsidRPr="00C14672" w14:paraId="7997FDD9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052DF8F6" w14:textId="1FCCA720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Public Transport Authority</w:t>
            </w:r>
          </w:p>
        </w:tc>
        <w:tc>
          <w:tcPr>
            <w:tcW w:w="0" w:type="dxa"/>
            <w:vAlign w:val="top"/>
          </w:tcPr>
          <w:p w14:paraId="57A7EA60" w14:textId="4A86CD2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2,386 </w:t>
            </w:r>
          </w:p>
        </w:tc>
        <w:tc>
          <w:tcPr>
            <w:tcW w:w="0" w:type="dxa"/>
            <w:vAlign w:val="top"/>
          </w:tcPr>
          <w:p w14:paraId="29AE7ADF" w14:textId="6462C9C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2,249 </w:t>
            </w:r>
          </w:p>
        </w:tc>
        <w:tc>
          <w:tcPr>
            <w:tcW w:w="0" w:type="dxa"/>
            <w:noWrap/>
            <w:vAlign w:val="top"/>
          </w:tcPr>
          <w:p w14:paraId="08BFBA9A" w14:textId="21E7F64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64 </w:t>
            </w:r>
          </w:p>
        </w:tc>
        <w:tc>
          <w:tcPr>
            <w:tcW w:w="968" w:type="dxa"/>
            <w:noWrap/>
            <w:vAlign w:val="top"/>
          </w:tcPr>
          <w:p w14:paraId="3E66675C" w14:textId="7351381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82 </w:t>
            </w:r>
          </w:p>
        </w:tc>
      </w:tr>
      <w:tr w:rsidR="002952BA" w:rsidRPr="00C14672" w14:paraId="18B23686" w14:textId="77777777" w:rsidTr="002D2312">
        <w:trPr>
          <w:trHeight w:val="315"/>
        </w:trPr>
        <w:tc>
          <w:tcPr>
            <w:tcW w:w="0" w:type="dxa"/>
            <w:noWrap/>
            <w:vAlign w:val="top"/>
          </w:tcPr>
          <w:p w14:paraId="3AA88DF6" w14:textId="35114D26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Primary Industries and Regional Development</w:t>
            </w:r>
          </w:p>
        </w:tc>
        <w:tc>
          <w:tcPr>
            <w:tcW w:w="0" w:type="dxa"/>
            <w:vAlign w:val="top"/>
          </w:tcPr>
          <w:p w14:paraId="5E54723F" w14:textId="5800118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1,957 </w:t>
            </w:r>
          </w:p>
        </w:tc>
        <w:tc>
          <w:tcPr>
            <w:tcW w:w="0" w:type="dxa"/>
            <w:vAlign w:val="top"/>
          </w:tcPr>
          <w:p w14:paraId="64A62E98" w14:textId="3568CE6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1,776 </w:t>
            </w:r>
          </w:p>
        </w:tc>
        <w:tc>
          <w:tcPr>
            <w:tcW w:w="0" w:type="dxa"/>
            <w:noWrap/>
            <w:vAlign w:val="top"/>
          </w:tcPr>
          <w:p w14:paraId="55CD96D1" w14:textId="0A5BB4A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 </w:t>
            </w:r>
          </w:p>
        </w:tc>
        <w:tc>
          <w:tcPr>
            <w:tcW w:w="968" w:type="dxa"/>
            <w:noWrap/>
            <w:vAlign w:val="top"/>
          </w:tcPr>
          <w:p w14:paraId="4B1FA964" w14:textId="4A9F563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47 </w:t>
            </w:r>
          </w:p>
        </w:tc>
      </w:tr>
      <w:tr w:rsidR="002952BA" w:rsidRPr="00C14672" w14:paraId="1ABA7414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2E4D5AA6" w14:textId="11DEE30D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Fire and Emergency Services</w:t>
            </w:r>
          </w:p>
        </w:tc>
        <w:tc>
          <w:tcPr>
            <w:tcW w:w="0" w:type="dxa"/>
            <w:vAlign w:val="top"/>
          </w:tcPr>
          <w:p w14:paraId="3BB74713" w14:textId="22E1EFB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1,815 </w:t>
            </w:r>
          </w:p>
        </w:tc>
        <w:tc>
          <w:tcPr>
            <w:tcW w:w="0" w:type="dxa"/>
            <w:vAlign w:val="top"/>
          </w:tcPr>
          <w:p w14:paraId="4ED72CC0" w14:textId="211CB3F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1,719 </w:t>
            </w:r>
          </w:p>
        </w:tc>
        <w:tc>
          <w:tcPr>
            <w:tcW w:w="0" w:type="dxa"/>
            <w:noWrap/>
            <w:vAlign w:val="top"/>
          </w:tcPr>
          <w:p w14:paraId="7DC27EC4" w14:textId="0C39A77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9 </w:t>
            </w:r>
          </w:p>
        </w:tc>
        <w:tc>
          <w:tcPr>
            <w:tcW w:w="968" w:type="dxa"/>
            <w:noWrap/>
            <w:vAlign w:val="top"/>
          </w:tcPr>
          <w:p w14:paraId="29862808" w14:textId="5AF1420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28 </w:t>
            </w:r>
          </w:p>
        </w:tc>
      </w:tr>
      <w:tr w:rsidR="002952BA" w:rsidRPr="00C14672" w14:paraId="2E5D35A6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E03ED71" w14:textId="5577F49A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Mines, Industry Regulation and Safety</w:t>
            </w:r>
            <w:r w:rsidR="00EC0817">
              <w:rPr>
                <w:rStyle w:val="FootnoteReference"/>
              </w:rPr>
              <w:footnoteReference w:id="2"/>
            </w:r>
          </w:p>
        </w:tc>
        <w:tc>
          <w:tcPr>
            <w:tcW w:w="0" w:type="dxa"/>
            <w:vAlign w:val="top"/>
          </w:tcPr>
          <w:p w14:paraId="6D86EB9E" w14:textId="5A748CC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1,768 </w:t>
            </w:r>
          </w:p>
        </w:tc>
        <w:tc>
          <w:tcPr>
            <w:tcW w:w="0" w:type="dxa"/>
            <w:vAlign w:val="top"/>
          </w:tcPr>
          <w:p w14:paraId="3F4F2A40" w14:textId="500FFF0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1,624 </w:t>
            </w:r>
          </w:p>
        </w:tc>
        <w:tc>
          <w:tcPr>
            <w:tcW w:w="0" w:type="dxa"/>
            <w:noWrap/>
            <w:vAlign w:val="top"/>
          </w:tcPr>
          <w:p w14:paraId="19F4AAB3" w14:textId="6E406DB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31 </w:t>
            </w:r>
          </w:p>
        </w:tc>
        <w:tc>
          <w:tcPr>
            <w:tcW w:w="968" w:type="dxa"/>
            <w:noWrap/>
            <w:vAlign w:val="top"/>
          </w:tcPr>
          <w:p w14:paraId="5A454461" w14:textId="5381011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11 </w:t>
            </w:r>
          </w:p>
        </w:tc>
      </w:tr>
      <w:tr w:rsidR="002952BA" w:rsidRPr="00C14672" w14:paraId="4BA958C1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0ADD6AC" w14:textId="1C075165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Transport</w:t>
            </w:r>
          </w:p>
        </w:tc>
        <w:tc>
          <w:tcPr>
            <w:tcW w:w="0" w:type="dxa"/>
            <w:vAlign w:val="top"/>
          </w:tcPr>
          <w:p w14:paraId="57C63656" w14:textId="0CF22ED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1,632 </w:t>
            </w:r>
          </w:p>
        </w:tc>
        <w:tc>
          <w:tcPr>
            <w:tcW w:w="0" w:type="dxa"/>
            <w:vAlign w:val="top"/>
          </w:tcPr>
          <w:p w14:paraId="4227A20C" w14:textId="7BA6DF3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1,467 </w:t>
            </w:r>
          </w:p>
        </w:tc>
        <w:tc>
          <w:tcPr>
            <w:tcW w:w="0" w:type="dxa"/>
            <w:noWrap/>
            <w:vAlign w:val="top"/>
          </w:tcPr>
          <w:p w14:paraId="376F988C" w14:textId="2C3B1C2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 </w:t>
            </w:r>
          </w:p>
        </w:tc>
        <w:tc>
          <w:tcPr>
            <w:tcW w:w="968" w:type="dxa"/>
            <w:noWrap/>
            <w:vAlign w:val="top"/>
          </w:tcPr>
          <w:p w14:paraId="4F3BFEC3" w14:textId="041D6861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9 </w:t>
            </w:r>
          </w:p>
        </w:tc>
      </w:tr>
      <w:tr w:rsidR="002952BA" w:rsidRPr="00C14672" w14:paraId="5CE4D164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3ABEBCC1" w14:textId="721FFC03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North Metropolitan TAFE</w:t>
            </w:r>
          </w:p>
        </w:tc>
        <w:tc>
          <w:tcPr>
            <w:tcW w:w="0" w:type="dxa"/>
            <w:vAlign w:val="top"/>
          </w:tcPr>
          <w:p w14:paraId="535A1F3E" w14:textId="07AB73F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1,460 </w:t>
            </w:r>
          </w:p>
        </w:tc>
        <w:tc>
          <w:tcPr>
            <w:tcW w:w="0" w:type="dxa"/>
            <w:vAlign w:val="top"/>
          </w:tcPr>
          <w:p w14:paraId="2E63EEF5" w14:textId="46A6E85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1,210 </w:t>
            </w:r>
          </w:p>
        </w:tc>
        <w:tc>
          <w:tcPr>
            <w:tcW w:w="0" w:type="dxa"/>
            <w:noWrap/>
            <w:vAlign w:val="top"/>
          </w:tcPr>
          <w:p w14:paraId="4BA48E1F" w14:textId="0F530DB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-6 </w:t>
            </w:r>
          </w:p>
        </w:tc>
        <w:tc>
          <w:tcPr>
            <w:tcW w:w="968" w:type="dxa"/>
            <w:noWrap/>
            <w:vAlign w:val="top"/>
          </w:tcPr>
          <w:p w14:paraId="02ED1900" w14:textId="18CB947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30 </w:t>
            </w:r>
          </w:p>
        </w:tc>
      </w:tr>
      <w:tr w:rsidR="002952BA" w:rsidRPr="00C14672" w14:paraId="29F754D3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5141D29B" w14:textId="274D336A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South Metropolitan TAFE</w:t>
            </w:r>
          </w:p>
        </w:tc>
        <w:tc>
          <w:tcPr>
            <w:tcW w:w="0" w:type="dxa"/>
            <w:vAlign w:val="top"/>
          </w:tcPr>
          <w:p w14:paraId="5A48083F" w14:textId="5E5729BE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1,383 </w:t>
            </w:r>
          </w:p>
        </w:tc>
        <w:tc>
          <w:tcPr>
            <w:tcW w:w="0" w:type="dxa"/>
            <w:vAlign w:val="top"/>
          </w:tcPr>
          <w:p w14:paraId="1C921FF4" w14:textId="1F4A3CD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1,163 </w:t>
            </w:r>
          </w:p>
        </w:tc>
        <w:tc>
          <w:tcPr>
            <w:tcW w:w="0" w:type="dxa"/>
            <w:noWrap/>
            <w:vAlign w:val="top"/>
          </w:tcPr>
          <w:p w14:paraId="133A29A6" w14:textId="0BA7ACB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0</w:t>
            </w:r>
          </w:p>
        </w:tc>
        <w:tc>
          <w:tcPr>
            <w:tcW w:w="968" w:type="dxa"/>
            <w:noWrap/>
            <w:vAlign w:val="top"/>
          </w:tcPr>
          <w:p w14:paraId="395C6E11" w14:textId="730E555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29 </w:t>
            </w:r>
          </w:p>
        </w:tc>
      </w:tr>
      <w:tr w:rsidR="002952BA" w:rsidRPr="00C14672" w14:paraId="530EA4C8" w14:textId="77777777" w:rsidTr="002D2312">
        <w:trPr>
          <w:trHeight w:val="315"/>
        </w:trPr>
        <w:tc>
          <w:tcPr>
            <w:tcW w:w="0" w:type="dxa"/>
            <w:noWrap/>
            <w:vAlign w:val="top"/>
          </w:tcPr>
          <w:p w14:paraId="20BF1D1E" w14:textId="1E9FAB8D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Main Roads Western Australia</w:t>
            </w:r>
          </w:p>
        </w:tc>
        <w:tc>
          <w:tcPr>
            <w:tcW w:w="0" w:type="dxa"/>
            <w:vAlign w:val="top"/>
          </w:tcPr>
          <w:p w14:paraId="492FA131" w14:textId="30113031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1,377 </w:t>
            </w:r>
          </w:p>
        </w:tc>
        <w:tc>
          <w:tcPr>
            <w:tcW w:w="0" w:type="dxa"/>
            <w:vAlign w:val="top"/>
          </w:tcPr>
          <w:p w14:paraId="3F80BAFB" w14:textId="2F98B7C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1,280 </w:t>
            </w:r>
          </w:p>
        </w:tc>
        <w:tc>
          <w:tcPr>
            <w:tcW w:w="0" w:type="dxa"/>
            <w:noWrap/>
            <w:vAlign w:val="top"/>
          </w:tcPr>
          <w:p w14:paraId="2A8E73E4" w14:textId="7203E43A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72 </w:t>
            </w:r>
          </w:p>
        </w:tc>
        <w:tc>
          <w:tcPr>
            <w:tcW w:w="968" w:type="dxa"/>
            <w:noWrap/>
            <w:vAlign w:val="top"/>
          </w:tcPr>
          <w:p w14:paraId="3600AD8C" w14:textId="2603354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130 </w:t>
            </w:r>
          </w:p>
        </w:tc>
      </w:tr>
      <w:tr w:rsidR="002952BA" w:rsidRPr="00C14672" w14:paraId="71E7C541" w14:textId="77777777" w:rsidTr="002D2312">
        <w:trPr>
          <w:trHeight w:val="315"/>
        </w:trPr>
        <w:tc>
          <w:tcPr>
            <w:tcW w:w="0" w:type="dxa"/>
            <w:noWrap/>
            <w:vAlign w:val="top"/>
          </w:tcPr>
          <w:p w14:paraId="16199D11" w14:textId="7FDEB0AB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 xml:space="preserve">Department of Local Government, </w:t>
            </w:r>
            <w:proofErr w:type="gramStart"/>
            <w:r w:rsidRPr="00D00672">
              <w:t>Sport</w:t>
            </w:r>
            <w:proofErr w:type="gramEnd"/>
            <w:r w:rsidRPr="00D00672">
              <w:t xml:space="preserve"> and Cultural Industries</w:t>
            </w:r>
          </w:p>
        </w:tc>
        <w:tc>
          <w:tcPr>
            <w:tcW w:w="0" w:type="dxa"/>
            <w:vAlign w:val="top"/>
          </w:tcPr>
          <w:p w14:paraId="2F9C1FE8" w14:textId="0F2EC2A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1,211 </w:t>
            </w:r>
          </w:p>
        </w:tc>
        <w:tc>
          <w:tcPr>
            <w:tcW w:w="0" w:type="dxa"/>
            <w:vAlign w:val="top"/>
          </w:tcPr>
          <w:p w14:paraId="24F84249" w14:textId="25A8544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991 </w:t>
            </w:r>
          </w:p>
        </w:tc>
        <w:tc>
          <w:tcPr>
            <w:tcW w:w="0" w:type="dxa"/>
            <w:noWrap/>
            <w:vAlign w:val="top"/>
          </w:tcPr>
          <w:p w14:paraId="3BCA9061" w14:textId="5C1416C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  <w:tc>
          <w:tcPr>
            <w:tcW w:w="968" w:type="dxa"/>
            <w:noWrap/>
            <w:vAlign w:val="top"/>
          </w:tcPr>
          <w:p w14:paraId="6511AB5C" w14:textId="349CB07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69 </w:t>
            </w:r>
          </w:p>
        </w:tc>
      </w:tr>
      <w:tr w:rsidR="002952BA" w:rsidRPr="00C14672" w14:paraId="329A25B5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638750D6" w14:textId="4F03306B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Finance</w:t>
            </w:r>
          </w:p>
        </w:tc>
        <w:tc>
          <w:tcPr>
            <w:tcW w:w="0" w:type="dxa"/>
            <w:vAlign w:val="top"/>
          </w:tcPr>
          <w:p w14:paraId="51747D81" w14:textId="4BA49B1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1,116 </w:t>
            </w:r>
          </w:p>
        </w:tc>
        <w:tc>
          <w:tcPr>
            <w:tcW w:w="0" w:type="dxa"/>
            <w:vAlign w:val="top"/>
          </w:tcPr>
          <w:p w14:paraId="0580F034" w14:textId="4E97A58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1,019 </w:t>
            </w:r>
          </w:p>
        </w:tc>
        <w:tc>
          <w:tcPr>
            <w:tcW w:w="0" w:type="dxa"/>
            <w:noWrap/>
            <w:vAlign w:val="top"/>
          </w:tcPr>
          <w:p w14:paraId="754156EF" w14:textId="0EFBF36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-12 </w:t>
            </w:r>
          </w:p>
        </w:tc>
        <w:tc>
          <w:tcPr>
            <w:tcW w:w="968" w:type="dxa"/>
            <w:noWrap/>
            <w:vAlign w:val="top"/>
          </w:tcPr>
          <w:p w14:paraId="66B115B1" w14:textId="265E2CA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</w:tr>
      <w:tr w:rsidR="002952BA" w:rsidRPr="00C14672" w14:paraId="250CB023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5EA554A3" w14:textId="75225F42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lastRenderedPageBreak/>
              <w:t>Department of Water and Environmental Regulation</w:t>
            </w:r>
          </w:p>
        </w:tc>
        <w:tc>
          <w:tcPr>
            <w:tcW w:w="0" w:type="dxa"/>
            <w:vAlign w:val="top"/>
          </w:tcPr>
          <w:p w14:paraId="740FAA33" w14:textId="686B12B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1,029 </w:t>
            </w:r>
          </w:p>
        </w:tc>
        <w:tc>
          <w:tcPr>
            <w:tcW w:w="0" w:type="dxa"/>
            <w:vAlign w:val="top"/>
          </w:tcPr>
          <w:p w14:paraId="127BBD7E" w14:textId="1AD0333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917 </w:t>
            </w:r>
          </w:p>
        </w:tc>
        <w:tc>
          <w:tcPr>
            <w:tcW w:w="0" w:type="dxa"/>
            <w:noWrap/>
            <w:vAlign w:val="top"/>
          </w:tcPr>
          <w:p w14:paraId="1F9F4529" w14:textId="51FCF82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19 </w:t>
            </w:r>
          </w:p>
        </w:tc>
        <w:tc>
          <w:tcPr>
            <w:tcW w:w="968" w:type="dxa"/>
            <w:noWrap/>
            <w:vAlign w:val="top"/>
          </w:tcPr>
          <w:p w14:paraId="3C2CFDAD" w14:textId="69526BD1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63 </w:t>
            </w:r>
          </w:p>
        </w:tc>
      </w:tr>
      <w:tr w:rsidR="002952BA" w:rsidRPr="00C14672" w14:paraId="050801A4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2CE03D5" w14:textId="0D5FAF4C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Planning, Lands and Heritage</w:t>
            </w:r>
          </w:p>
        </w:tc>
        <w:tc>
          <w:tcPr>
            <w:tcW w:w="0" w:type="dxa"/>
            <w:vAlign w:val="top"/>
          </w:tcPr>
          <w:p w14:paraId="05878B73" w14:textId="6C85A23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962 </w:t>
            </w:r>
          </w:p>
        </w:tc>
        <w:tc>
          <w:tcPr>
            <w:tcW w:w="0" w:type="dxa"/>
            <w:vAlign w:val="top"/>
          </w:tcPr>
          <w:p w14:paraId="07216622" w14:textId="00335DB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853 </w:t>
            </w:r>
          </w:p>
        </w:tc>
        <w:tc>
          <w:tcPr>
            <w:tcW w:w="0" w:type="dxa"/>
            <w:noWrap/>
            <w:vAlign w:val="top"/>
          </w:tcPr>
          <w:p w14:paraId="70277978" w14:textId="14118B2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26 </w:t>
            </w:r>
          </w:p>
        </w:tc>
        <w:tc>
          <w:tcPr>
            <w:tcW w:w="968" w:type="dxa"/>
            <w:noWrap/>
            <w:vAlign w:val="top"/>
          </w:tcPr>
          <w:p w14:paraId="356BD646" w14:textId="3DFD451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59 </w:t>
            </w:r>
          </w:p>
        </w:tc>
      </w:tr>
      <w:tr w:rsidR="002952BA" w:rsidRPr="00C14672" w14:paraId="4C818384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F33ABA0" w14:textId="3C42F784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the Premier and Cabinet</w:t>
            </w:r>
          </w:p>
        </w:tc>
        <w:tc>
          <w:tcPr>
            <w:tcW w:w="0" w:type="dxa"/>
            <w:vAlign w:val="top"/>
          </w:tcPr>
          <w:p w14:paraId="01D243F1" w14:textId="1A9C3DD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705 </w:t>
            </w:r>
          </w:p>
        </w:tc>
        <w:tc>
          <w:tcPr>
            <w:tcW w:w="0" w:type="dxa"/>
            <w:vAlign w:val="top"/>
          </w:tcPr>
          <w:p w14:paraId="6E7AC0A3" w14:textId="034B78E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647 </w:t>
            </w:r>
          </w:p>
        </w:tc>
        <w:tc>
          <w:tcPr>
            <w:tcW w:w="0" w:type="dxa"/>
            <w:noWrap/>
            <w:vAlign w:val="top"/>
          </w:tcPr>
          <w:p w14:paraId="7700045A" w14:textId="63910A9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 </w:t>
            </w:r>
          </w:p>
        </w:tc>
        <w:tc>
          <w:tcPr>
            <w:tcW w:w="968" w:type="dxa"/>
            <w:noWrap/>
            <w:vAlign w:val="top"/>
          </w:tcPr>
          <w:p w14:paraId="56B3D865" w14:textId="7260D14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54 </w:t>
            </w:r>
          </w:p>
        </w:tc>
      </w:tr>
      <w:tr w:rsidR="002952BA" w:rsidRPr="00C14672" w14:paraId="6606E85D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F9F3D37" w14:textId="591F7ACE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South Regional TAFE</w:t>
            </w:r>
          </w:p>
        </w:tc>
        <w:tc>
          <w:tcPr>
            <w:tcW w:w="0" w:type="dxa"/>
            <w:vAlign w:val="top"/>
          </w:tcPr>
          <w:p w14:paraId="5E2FEAD1" w14:textId="0402A86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566 </w:t>
            </w:r>
          </w:p>
        </w:tc>
        <w:tc>
          <w:tcPr>
            <w:tcW w:w="0" w:type="dxa"/>
            <w:vAlign w:val="top"/>
          </w:tcPr>
          <w:p w14:paraId="20835BF8" w14:textId="1EC39AF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423 </w:t>
            </w:r>
          </w:p>
        </w:tc>
        <w:tc>
          <w:tcPr>
            <w:tcW w:w="0" w:type="dxa"/>
            <w:noWrap/>
            <w:vAlign w:val="top"/>
          </w:tcPr>
          <w:p w14:paraId="6E8F6B87" w14:textId="3CA6700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10 </w:t>
            </w:r>
          </w:p>
        </w:tc>
        <w:tc>
          <w:tcPr>
            <w:tcW w:w="968" w:type="dxa"/>
            <w:noWrap/>
            <w:vAlign w:val="top"/>
          </w:tcPr>
          <w:p w14:paraId="0F1CFC47" w14:textId="73E5339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20 </w:t>
            </w:r>
          </w:p>
        </w:tc>
      </w:tr>
      <w:tr w:rsidR="002952BA" w:rsidRPr="00C14672" w14:paraId="7B8354A2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320D16F2" w14:textId="3346EA59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D00672">
              <w:t>VenuesWest</w:t>
            </w:r>
            <w:proofErr w:type="spellEnd"/>
          </w:p>
        </w:tc>
        <w:tc>
          <w:tcPr>
            <w:tcW w:w="0" w:type="dxa"/>
            <w:vAlign w:val="top"/>
          </w:tcPr>
          <w:p w14:paraId="71E74AA6" w14:textId="787BD831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519 </w:t>
            </w:r>
          </w:p>
        </w:tc>
        <w:tc>
          <w:tcPr>
            <w:tcW w:w="0" w:type="dxa"/>
            <w:vAlign w:val="top"/>
          </w:tcPr>
          <w:p w14:paraId="4D534130" w14:textId="243E7EA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265 </w:t>
            </w:r>
          </w:p>
        </w:tc>
        <w:tc>
          <w:tcPr>
            <w:tcW w:w="0" w:type="dxa"/>
            <w:noWrap/>
            <w:vAlign w:val="top"/>
          </w:tcPr>
          <w:p w14:paraId="773DD21E" w14:textId="46FF402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12 </w:t>
            </w:r>
          </w:p>
        </w:tc>
        <w:tc>
          <w:tcPr>
            <w:tcW w:w="968" w:type="dxa"/>
            <w:noWrap/>
            <w:vAlign w:val="top"/>
          </w:tcPr>
          <w:p w14:paraId="19B2CD86" w14:textId="0F30854E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 </w:t>
            </w:r>
          </w:p>
        </w:tc>
      </w:tr>
      <w:tr w:rsidR="002952BA" w:rsidRPr="00C14672" w14:paraId="2BFE0C41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852CB93" w14:textId="0B06C993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Training and Workforce Development</w:t>
            </w:r>
          </w:p>
        </w:tc>
        <w:tc>
          <w:tcPr>
            <w:tcW w:w="0" w:type="dxa"/>
            <w:vAlign w:val="top"/>
          </w:tcPr>
          <w:p w14:paraId="7B415F49" w14:textId="0FAF56F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498 </w:t>
            </w:r>
          </w:p>
        </w:tc>
        <w:tc>
          <w:tcPr>
            <w:tcW w:w="0" w:type="dxa"/>
            <w:vAlign w:val="top"/>
          </w:tcPr>
          <w:p w14:paraId="185F31D4" w14:textId="32ABB5F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447 </w:t>
            </w:r>
          </w:p>
        </w:tc>
        <w:tc>
          <w:tcPr>
            <w:tcW w:w="0" w:type="dxa"/>
            <w:noWrap/>
            <w:vAlign w:val="top"/>
          </w:tcPr>
          <w:p w14:paraId="569E07F2" w14:textId="7F098FF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10 </w:t>
            </w:r>
          </w:p>
        </w:tc>
        <w:tc>
          <w:tcPr>
            <w:tcW w:w="968" w:type="dxa"/>
            <w:noWrap/>
            <w:vAlign w:val="top"/>
          </w:tcPr>
          <w:p w14:paraId="07A3A503" w14:textId="6D7F1FD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14 </w:t>
            </w:r>
          </w:p>
        </w:tc>
      </w:tr>
      <w:tr w:rsidR="002952BA" w:rsidRPr="00C14672" w14:paraId="1BE0CE16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C28DAE0" w14:textId="3DE20647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Landgate</w:t>
            </w:r>
          </w:p>
        </w:tc>
        <w:tc>
          <w:tcPr>
            <w:tcW w:w="0" w:type="dxa"/>
            <w:vAlign w:val="top"/>
          </w:tcPr>
          <w:p w14:paraId="674B1C0F" w14:textId="3F7E00D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488 </w:t>
            </w:r>
          </w:p>
        </w:tc>
        <w:tc>
          <w:tcPr>
            <w:tcW w:w="0" w:type="dxa"/>
            <w:vAlign w:val="top"/>
          </w:tcPr>
          <w:p w14:paraId="0ED92F3D" w14:textId="282792F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435 </w:t>
            </w:r>
          </w:p>
        </w:tc>
        <w:tc>
          <w:tcPr>
            <w:tcW w:w="0" w:type="dxa"/>
            <w:noWrap/>
            <w:vAlign w:val="top"/>
          </w:tcPr>
          <w:p w14:paraId="3001DA5C" w14:textId="2CF8A38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-4 </w:t>
            </w:r>
          </w:p>
        </w:tc>
        <w:tc>
          <w:tcPr>
            <w:tcW w:w="968" w:type="dxa"/>
            <w:noWrap/>
            <w:vAlign w:val="top"/>
          </w:tcPr>
          <w:p w14:paraId="5222CB5F" w14:textId="3BA5804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-8 </w:t>
            </w:r>
          </w:p>
        </w:tc>
      </w:tr>
      <w:tr w:rsidR="002952BA" w:rsidRPr="00C14672" w14:paraId="7F062F0C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A4EDBEA" w14:textId="5B181A71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Insurance Commission of Western Australia</w:t>
            </w:r>
          </w:p>
        </w:tc>
        <w:tc>
          <w:tcPr>
            <w:tcW w:w="0" w:type="dxa"/>
            <w:vAlign w:val="top"/>
          </w:tcPr>
          <w:p w14:paraId="20730819" w14:textId="565033B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472 </w:t>
            </w:r>
          </w:p>
        </w:tc>
        <w:tc>
          <w:tcPr>
            <w:tcW w:w="0" w:type="dxa"/>
            <w:vAlign w:val="top"/>
          </w:tcPr>
          <w:p w14:paraId="43596851" w14:textId="74657D8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421 </w:t>
            </w:r>
          </w:p>
        </w:tc>
        <w:tc>
          <w:tcPr>
            <w:tcW w:w="0" w:type="dxa"/>
            <w:noWrap/>
            <w:vAlign w:val="top"/>
          </w:tcPr>
          <w:p w14:paraId="1E081862" w14:textId="770E4BA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12 </w:t>
            </w:r>
          </w:p>
        </w:tc>
        <w:tc>
          <w:tcPr>
            <w:tcW w:w="968" w:type="dxa"/>
            <w:noWrap/>
            <w:vAlign w:val="top"/>
          </w:tcPr>
          <w:p w14:paraId="379C3767" w14:textId="7F9B77B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38 </w:t>
            </w:r>
          </w:p>
        </w:tc>
      </w:tr>
      <w:tr w:rsidR="002952BA" w:rsidRPr="00C14672" w14:paraId="319D4A4E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2B47EE40" w14:textId="17C38F05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 xml:space="preserve">Department of Jobs, Tourism, </w:t>
            </w:r>
            <w:proofErr w:type="gramStart"/>
            <w:r w:rsidRPr="00D00672">
              <w:t>Science</w:t>
            </w:r>
            <w:proofErr w:type="gramEnd"/>
            <w:r w:rsidRPr="00D00672">
              <w:t xml:space="preserve"> and Innovation</w:t>
            </w:r>
          </w:p>
        </w:tc>
        <w:tc>
          <w:tcPr>
            <w:tcW w:w="0" w:type="dxa"/>
            <w:vAlign w:val="top"/>
          </w:tcPr>
          <w:p w14:paraId="430CB16B" w14:textId="4366479E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456 </w:t>
            </w:r>
          </w:p>
        </w:tc>
        <w:tc>
          <w:tcPr>
            <w:tcW w:w="0" w:type="dxa"/>
            <w:vAlign w:val="top"/>
          </w:tcPr>
          <w:p w14:paraId="2146AF50" w14:textId="4B5CD17A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412 </w:t>
            </w:r>
          </w:p>
        </w:tc>
        <w:tc>
          <w:tcPr>
            <w:tcW w:w="0" w:type="dxa"/>
            <w:noWrap/>
            <w:vAlign w:val="top"/>
          </w:tcPr>
          <w:p w14:paraId="4DA0EB0C" w14:textId="35FA454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35 </w:t>
            </w:r>
          </w:p>
        </w:tc>
        <w:tc>
          <w:tcPr>
            <w:tcW w:w="968" w:type="dxa"/>
            <w:noWrap/>
            <w:vAlign w:val="top"/>
          </w:tcPr>
          <w:p w14:paraId="31660367" w14:textId="2FF7E61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79 </w:t>
            </w:r>
          </w:p>
        </w:tc>
      </w:tr>
      <w:tr w:rsidR="002952BA" w:rsidRPr="00C14672" w14:paraId="1DF12170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A385B8A" w14:textId="2A92413E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Legal Aid Commission of Western Australia</w:t>
            </w:r>
          </w:p>
        </w:tc>
        <w:tc>
          <w:tcPr>
            <w:tcW w:w="0" w:type="dxa"/>
            <w:vAlign w:val="top"/>
          </w:tcPr>
          <w:p w14:paraId="523A9AC0" w14:textId="2731B9E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436 </w:t>
            </w:r>
          </w:p>
        </w:tc>
        <w:tc>
          <w:tcPr>
            <w:tcW w:w="0" w:type="dxa"/>
            <w:vAlign w:val="top"/>
          </w:tcPr>
          <w:p w14:paraId="7F058A21" w14:textId="60455D3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386 </w:t>
            </w:r>
          </w:p>
        </w:tc>
        <w:tc>
          <w:tcPr>
            <w:tcW w:w="0" w:type="dxa"/>
            <w:noWrap/>
            <w:vAlign w:val="top"/>
          </w:tcPr>
          <w:p w14:paraId="36B3F377" w14:textId="5AE76F6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 </w:t>
            </w:r>
          </w:p>
        </w:tc>
        <w:tc>
          <w:tcPr>
            <w:tcW w:w="968" w:type="dxa"/>
            <w:noWrap/>
            <w:vAlign w:val="top"/>
          </w:tcPr>
          <w:p w14:paraId="308FF685" w14:textId="19AD3AC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39 </w:t>
            </w:r>
          </w:p>
        </w:tc>
      </w:tr>
      <w:tr w:rsidR="002952BA" w:rsidRPr="00C14672" w14:paraId="5E53624F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69C865A" w14:textId="214FDE76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Central Regional TAFE</w:t>
            </w:r>
          </w:p>
        </w:tc>
        <w:tc>
          <w:tcPr>
            <w:tcW w:w="0" w:type="dxa"/>
            <w:vAlign w:val="top"/>
          </w:tcPr>
          <w:p w14:paraId="6468334C" w14:textId="74473DD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413 </w:t>
            </w:r>
          </w:p>
        </w:tc>
        <w:tc>
          <w:tcPr>
            <w:tcW w:w="0" w:type="dxa"/>
            <w:vAlign w:val="top"/>
          </w:tcPr>
          <w:p w14:paraId="5FA7113D" w14:textId="3333A9E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344 </w:t>
            </w:r>
          </w:p>
        </w:tc>
        <w:tc>
          <w:tcPr>
            <w:tcW w:w="0" w:type="dxa"/>
            <w:noWrap/>
            <w:vAlign w:val="top"/>
          </w:tcPr>
          <w:p w14:paraId="0FF98D2F" w14:textId="648392A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73AA10CC" w14:textId="1664EA6E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11 </w:t>
            </w:r>
          </w:p>
        </w:tc>
      </w:tr>
      <w:tr w:rsidR="002952BA" w:rsidRPr="00C14672" w14:paraId="3DCEE4F7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3FEF68CF" w14:textId="3839AA6B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Mental Health Commission</w:t>
            </w:r>
          </w:p>
        </w:tc>
        <w:tc>
          <w:tcPr>
            <w:tcW w:w="0" w:type="dxa"/>
            <w:vAlign w:val="top"/>
          </w:tcPr>
          <w:p w14:paraId="5DE130E5" w14:textId="79AEB951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413 </w:t>
            </w:r>
          </w:p>
        </w:tc>
        <w:tc>
          <w:tcPr>
            <w:tcW w:w="0" w:type="dxa"/>
            <w:vAlign w:val="top"/>
          </w:tcPr>
          <w:p w14:paraId="5B2BDA7C" w14:textId="3CC73B0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333 </w:t>
            </w:r>
          </w:p>
        </w:tc>
        <w:tc>
          <w:tcPr>
            <w:tcW w:w="0" w:type="dxa"/>
            <w:noWrap/>
            <w:vAlign w:val="top"/>
          </w:tcPr>
          <w:p w14:paraId="24421237" w14:textId="70CD6E4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-26 </w:t>
            </w:r>
          </w:p>
        </w:tc>
        <w:tc>
          <w:tcPr>
            <w:tcW w:w="968" w:type="dxa"/>
            <w:noWrap/>
            <w:vAlign w:val="top"/>
          </w:tcPr>
          <w:p w14:paraId="15C19070" w14:textId="3A4D1BB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-19 </w:t>
            </w:r>
          </w:p>
        </w:tc>
      </w:tr>
      <w:tr w:rsidR="002952BA" w:rsidRPr="00C14672" w14:paraId="688D8B78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532AE1F" w14:textId="49DE441A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Office of the Director of Public Prosecutions</w:t>
            </w:r>
          </w:p>
        </w:tc>
        <w:tc>
          <w:tcPr>
            <w:tcW w:w="0" w:type="dxa"/>
            <w:vAlign w:val="top"/>
          </w:tcPr>
          <w:p w14:paraId="433003CD" w14:textId="6C24E58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346 </w:t>
            </w:r>
          </w:p>
        </w:tc>
        <w:tc>
          <w:tcPr>
            <w:tcW w:w="0" w:type="dxa"/>
            <w:vAlign w:val="top"/>
          </w:tcPr>
          <w:p w14:paraId="3B2E578F" w14:textId="7A7CF20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304 </w:t>
            </w:r>
          </w:p>
        </w:tc>
        <w:tc>
          <w:tcPr>
            <w:tcW w:w="0" w:type="dxa"/>
            <w:noWrap/>
            <w:vAlign w:val="top"/>
          </w:tcPr>
          <w:p w14:paraId="66845A1F" w14:textId="6F8493D6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 </w:t>
            </w:r>
          </w:p>
        </w:tc>
        <w:tc>
          <w:tcPr>
            <w:tcW w:w="968" w:type="dxa"/>
            <w:noWrap/>
            <w:vAlign w:val="top"/>
          </w:tcPr>
          <w:p w14:paraId="7E8251EA" w14:textId="4847472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21 </w:t>
            </w:r>
          </w:p>
        </w:tc>
      </w:tr>
      <w:tr w:rsidR="002952BA" w:rsidRPr="00C14672" w14:paraId="0B9716F0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92C7867" w14:textId="414CBD09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North Regional TAFE</w:t>
            </w:r>
          </w:p>
        </w:tc>
        <w:tc>
          <w:tcPr>
            <w:tcW w:w="0" w:type="dxa"/>
            <w:vAlign w:val="top"/>
          </w:tcPr>
          <w:p w14:paraId="60D5BB7E" w14:textId="7DAB7672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309 </w:t>
            </w:r>
          </w:p>
        </w:tc>
        <w:tc>
          <w:tcPr>
            <w:tcW w:w="0" w:type="dxa"/>
            <w:vAlign w:val="top"/>
          </w:tcPr>
          <w:p w14:paraId="24C045CE" w14:textId="37C587F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285 </w:t>
            </w:r>
          </w:p>
        </w:tc>
        <w:tc>
          <w:tcPr>
            <w:tcW w:w="0" w:type="dxa"/>
            <w:noWrap/>
            <w:vAlign w:val="top"/>
          </w:tcPr>
          <w:p w14:paraId="7094FB18" w14:textId="2D7074B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1E71B770" w14:textId="5421B4F5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-18 </w:t>
            </w:r>
          </w:p>
        </w:tc>
      </w:tr>
      <w:tr w:rsidR="002952BA" w:rsidRPr="00C14672" w14:paraId="31938CD7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3E57A119" w14:textId="79F3F715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Department of Treasury</w:t>
            </w:r>
          </w:p>
        </w:tc>
        <w:tc>
          <w:tcPr>
            <w:tcW w:w="0" w:type="dxa"/>
            <w:vAlign w:val="top"/>
          </w:tcPr>
          <w:p w14:paraId="05CA3E00" w14:textId="13B2369A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289 </w:t>
            </w:r>
          </w:p>
        </w:tc>
        <w:tc>
          <w:tcPr>
            <w:tcW w:w="0" w:type="dxa"/>
            <w:vAlign w:val="top"/>
          </w:tcPr>
          <w:p w14:paraId="3E349B0F" w14:textId="199BCFF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256 </w:t>
            </w:r>
          </w:p>
        </w:tc>
        <w:tc>
          <w:tcPr>
            <w:tcW w:w="0" w:type="dxa"/>
            <w:noWrap/>
            <w:vAlign w:val="top"/>
          </w:tcPr>
          <w:p w14:paraId="38AAB271" w14:textId="796149BF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 </w:t>
            </w:r>
          </w:p>
        </w:tc>
        <w:tc>
          <w:tcPr>
            <w:tcW w:w="968" w:type="dxa"/>
            <w:noWrap/>
            <w:vAlign w:val="top"/>
          </w:tcPr>
          <w:p w14:paraId="078C6F39" w14:textId="3F9C15BC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 </w:t>
            </w:r>
          </w:p>
        </w:tc>
      </w:tr>
      <w:tr w:rsidR="002952BA" w:rsidRPr="00C14672" w14:paraId="4476B0A9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048ED140" w14:textId="7C75DCDD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D00672">
              <w:t>Lotterywest</w:t>
            </w:r>
            <w:proofErr w:type="spellEnd"/>
          </w:p>
        </w:tc>
        <w:tc>
          <w:tcPr>
            <w:tcW w:w="0" w:type="dxa"/>
            <w:vAlign w:val="top"/>
          </w:tcPr>
          <w:p w14:paraId="6FADDCAC" w14:textId="6985C8E4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285 </w:t>
            </w:r>
          </w:p>
        </w:tc>
        <w:tc>
          <w:tcPr>
            <w:tcW w:w="0" w:type="dxa"/>
            <w:vAlign w:val="top"/>
          </w:tcPr>
          <w:p w14:paraId="7D604F12" w14:textId="501FA44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272 </w:t>
            </w:r>
          </w:p>
        </w:tc>
        <w:tc>
          <w:tcPr>
            <w:tcW w:w="0" w:type="dxa"/>
            <w:noWrap/>
            <w:vAlign w:val="top"/>
          </w:tcPr>
          <w:p w14:paraId="1E26F3D2" w14:textId="130FC40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 </w:t>
            </w:r>
          </w:p>
        </w:tc>
        <w:tc>
          <w:tcPr>
            <w:tcW w:w="968" w:type="dxa"/>
            <w:noWrap/>
            <w:vAlign w:val="top"/>
          </w:tcPr>
          <w:p w14:paraId="576478AF" w14:textId="5755484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 </w:t>
            </w:r>
          </w:p>
        </w:tc>
      </w:tr>
      <w:tr w:rsidR="002952BA" w:rsidRPr="00C14672" w14:paraId="746E7068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8640A21" w14:textId="3308120F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Office of the Auditor General</w:t>
            </w:r>
          </w:p>
        </w:tc>
        <w:tc>
          <w:tcPr>
            <w:tcW w:w="0" w:type="dxa"/>
            <w:vAlign w:val="top"/>
          </w:tcPr>
          <w:p w14:paraId="665E54D3" w14:textId="3446F0C0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color w:val="auto"/>
                <w:highlight w:val="yellow"/>
              </w:rPr>
            </w:pPr>
            <w:r w:rsidRPr="0017067D">
              <w:t xml:space="preserve"> 206 </w:t>
            </w:r>
          </w:p>
        </w:tc>
        <w:tc>
          <w:tcPr>
            <w:tcW w:w="0" w:type="dxa"/>
            <w:vAlign w:val="top"/>
          </w:tcPr>
          <w:p w14:paraId="422E3C32" w14:textId="20C770A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color w:val="auto"/>
                <w:highlight w:val="yellow"/>
              </w:rPr>
            </w:pPr>
            <w:r w:rsidRPr="0017067D">
              <w:t xml:space="preserve"> 183 </w:t>
            </w:r>
          </w:p>
        </w:tc>
        <w:tc>
          <w:tcPr>
            <w:tcW w:w="0" w:type="dxa"/>
            <w:noWrap/>
            <w:vAlign w:val="top"/>
          </w:tcPr>
          <w:p w14:paraId="2668CA12" w14:textId="1CF7501D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-5 </w:t>
            </w:r>
          </w:p>
        </w:tc>
        <w:tc>
          <w:tcPr>
            <w:tcW w:w="968" w:type="dxa"/>
            <w:noWrap/>
            <w:vAlign w:val="top"/>
          </w:tcPr>
          <w:p w14:paraId="1D1CC997" w14:textId="7F4C8DD7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 </w:t>
            </w:r>
          </w:p>
        </w:tc>
      </w:tr>
      <w:tr w:rsidR="002952BA" w:rsidRPr="00C14672" w14:paraId="7A90AFDB" w14:textId="77777777" w:rsidTr="002D2312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BDB3BB8" w14:textId="1ECDE361" w:rsidR="002952BA" w:rsidRPr="005211EB" w:rsidRDefault="002952BA" w:rsidP="002952BA">
            <w:pPr>
              <w:spacing w:beforeLines="20" w:before="48" w:beforeAutospacing="0" w:afterLines="20" w:after="48"/>
              <w:contextualSpacing w:val="0"/>
            </w:pPr>
            <w:r w:rsidRPr="00D00672">
              <w:t>Forest Products Commission</w:t>
            </w:r>
          </w:p>
        </w:tc>
        <w:tc>
          <w:tcPr>
            <w:tcW w:w="0" w:type="dxa"/>
            <w:vAlign w:val="top"/>
          </w:tcPr>
          <w:p w14:paraId="498F015E" w14:textId="5AF2B67B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174 </w:t>
            </w:r>
          </w:p>
        </w:tc>
        <w:tc>
          <w:tcPr>
            <w:tcW w:w="0" w:type="dxa"/>
            <w:vAlign w:val="top"/>
          </w:tcPr>
          <w:p w14:paraId="537607E5" w14:textId="7D481269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159 </w:t>
            </w:r>
          </w:p>
        </w:tc>
        <w:tc>
          <w:tcPr>
            <w:tcW w:w="0" w:type="dxa"/>
            <w:noWrap/>
            <w:vAlign w:val="top"/>
          </w:tcPr>
          <w:p w14:paraId="378C6186" w14:textId="35BD9F43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10 </w:t>
            </w:r>
          </w:p>
        </w:tc>
        <w:tc>
          <w:tcPr>
            <w:tcW w:w="968" w:type="dxa"/>
            <w:noWrap/>
            <w:vAlign w:val="top"/>
          </w:tcPr>
          <w:p w14:paraId="1F86344A" w14:textId="253A32A8" w:rsidR="002952BA" w:rsidRPr="00E825C0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-19 </w:t>
            </w:r>
          </w:p>
        </w:tc>
      </w:tr>
      <w:tr w:rsidR="00073448" w:rsidRPr="00C14672" w14:paraId="23BC7541" w14:textId="77777777" w:rsidTr="00073448">
        <w:trPr>
          <w:trHeight w:val="315"/>
        </w:trPr>
        <w:tc>
          <w:tcPr>
            <w:tcW w:w="5235" w:type="dxa"/>
            <w:noWrap/>
            <w:vAlign w:val="top"/>
          </w:tcPr>
          <w:p w14:paraId="5B7FCB1B" w14:textId="6431B7A4" w:rsidR="00073448" w:rsidRPr="00D00672" w:rsidRDefault="00073448" w:rsidP="00073448">
            <w:pPr>
              <w:spacing w:beforeLines="20" w:before="48" w:beforeAutospacing="0" w:afterLines="20" w:after="48"/>
            </w:pPr>
            <w:r w:rsidRPr="00D00672">
              <w:t>Public Sector Commission</w:t>
            </w:r>
          </w:p>
        </w:tc>
        <w:tc>
          <w:tcPr>
            <w:tcW w:w="1347" w:type="dxa"/>
            <w:vAlign w:val="top"/>
          </w:tcPr>
          <w:p w14:paraId="509FBD39" w14:textId="625EF2C1" w:rsidR="00073448" w:rsidRPr="0017067D" w:rsidRDefault="00073448" w:rsidP="00073448">
            <w:pPr>
              <w:spacing w:beforeLines="20" w:before="48" w:beforeAutospacing="0" w:afterLines="20" w:after="48"/>
              <w:jc w:val="right"/>
            </w:pPr>
            <w:r w:rsidRPr="0017067D">
              <w:t xml:space="preserve"> 1</w:t>
            </w:r>
            <w:r>
              <w:t>68</w:t>
            </w:r>
            <w:r w:rsidRPr="0017067D">
              <w:t xml:space="preserve"> </w:t>
            </w:r>
          </w:p>
        </w:tc>
        <w:tc>
          <w:tcPr>
            <w:tcW w:w="1347" w:type="dxa"/>
            <w:vAlign w:val="top"/>
          </w:tcPr>
          <w:p w14:paraId="1B2B1B8F" w14:textId="6F93D0B2" w:rsidR="00073448" w:rsidRPr="0017067D" w:rsidRDefault="00073448" w:rsidP="00073448">
            <w:pPr>
              <w:spacing w:beforeLines="20" w:before="48" w:beforeAutospacing="0" w:afterLines="20" w:after="48"/>
              <w:jc w:val="right"/>
            </w:pPr>
            <w:r w:rsidRPr="0017067D">
              <w:t xml:space="preserve"> 131 </w:t>
            </w:r>
          </w:p>
        </w:tc>
        <w:tc>
          <w:tcPr>
            <w:tcW w:w="992" w:type="dxa"/>
            <w:noWrap/>
            <w:vAlign w:val="top"/>
          </w:tcPr>
          <w:p w14:paraId="5FCD0D58" w14:textId="14BA1CCD" w:rsidR="00073448" w:rsidRPr="0017067D" w:rsidRDefault="00073448" w:rsidP="00073448">
            <w:pPr>
              <w:spacing w:beforeLines="20" w:before="48" w:beforeAutospacing="0" w:afterLines="20" w:after="48"/>
              <w:jc w:val="right"/>
            </w:pPr>
            <w:r w:rsidRPr="0017067D">
              <w:t xml:space="preserve"> 6 </w:t>
            </w:r>
          </w:p>
        </w:tc>
        <w:tc>
          <w:tcPr>
            <w:tcW w:w="968" w:type="dxa"/>
            <w:noWrap/>
            <w:vAlign w:val="top"/>
          </w:tcPr>
          <w:p w14:paraId="5885E559" w14:textId="42EF99BF" w:rsidR="00073448" w:rsidRPr="0017067D" w:rsidRDefault="00073448" w:rsidP="00073448">
            <w:pPr>
              <w:spacing w:beforeLines="20" w:before="48" w:beforeAutospacing="0" w:afterLines="20" w:after="48"/>
              <w:jc w:val="right"/>
            </w:pPr>
            <w:r>
              <w:t>0</w:t>
            </w:r>
          </w:p>
        </w:tc>
      </w:tr>
      <w:tr w:rsidR="00073448" w:rsidRPr="00C14672" w14:paraId="424B810F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BB74E82" w14:textId="107A73E2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D00672">
              <w:t>ChemCentre</w:t>
            </w:r>
            <w:proofErr w:type="spellEnd"/>
          </w:p>
        </w:tc>
        <w:tc>
          <w:tcPr>
            <w:tcW w:w="0" w:type="dxa"/>
            <w:vAlign w:val="top"/>
          </w:tcPr>
          <w:p w14:paraId="09ECFB65" w14:textId="1C02123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159 </w:t>
            </w:r>
          </w:p>
        </w:tc>
        <w:tc>
          <w:tcPr>
            <w:tcW w:w="0" w:type="dxa"/>
            <w:vAlign w:val="top"/>
          </w:tcPr>
          <w:p w14:paraId="6293D51C" w14:textId="31E5EF3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146 </w:t>
            </w:r>
          </w:p>
        </w:tc>
        <w:tc>
          <w:tcPr>
            <w:tcW w:w="0" w:type="dxa"/>
            <w:noWrap/>
            <w:vAlign w:val="top"/>
          </w:tcPr>
          <w:p w14:paraId="613752F7" w14:textId="734FBA79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 </w:t>
            </w:r>
          </w:p>
        </w:tc>
        <w:tc>
          <w:tcPr>
            <w:tcW w:w="968" w:type="dxa"/>
            <w:noWrap/>
            <w:vAlign w:val="top"/>
          </w:tcPr>
          <w:p w14:paraId="2276CAB7" w14:textId="40D4F528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 </w:t>
            </w:r>
          </w:p>
        </w:tc>
      </w:tr>
      <w:tr w:rsidR="00073448" w:rsidRPr="00C14672" w14:paraId="7A19C751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65A2E73A" w14:textId="08F8136F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Metropolitan Cemeteries Board</w:t>
            </w:r>
          </w:p>
        </w:tc>
        <w:tc>
          <w:tcPr>
            <w:tcW w:w="0" w:type="dxa"/>
            <w:vAlign w:val="top"/>
          </w:tcPr>
          <w:p w14:paraId="18DBB0BF" w14:textId="268F14E7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157 </w:t>
            </w:r>
          </w:p>
        </w:tc>
        <w:tc>
          <w:tcPr>
            <w:tcW w:w="0" w:type="dxa"/>
            <w:vAlign w:val="top"/>
          </w:tcPr>
          <w:p w14:paraId="70003F3D" w14:textId="597AC6A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141 </w:t>
            </w:r>
          </w:p>
        </w:tc>
        <w:tc>
          <w:tcPr>
            <w:tcW w:w="0" w:type="dxa"/>
            <w:noWrap/>
            <w:vAlign w:val="top"/>
          </w:tcPr>
          <w:p w14:paraId="02D8E24B" w14:textId="5A6827C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 </w:t>
            </w:r>
          </w:p>
        </w:tc>
        <w:tc>
          <w:tcPr>
            <w:tcW w:w="968" w:type="dxa"/>
            <w:noWrap/>
            <w:vAlign w:val="top"/>
          </w:tcPr>
          <w:p w14:paraId="556E0DF1" w14:textId="4003C8BC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 </w:t>
            </w:r>
          </w:p>
        </w:tc>
      </w:tr>
      <w:tr w:rsidR="00073448" w:rsidRPr="00C14672" w14:paraId="1E22F7B4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C7FE668" w14:textId="5DC0C01E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D00672">
              <w:t>WorkCover</w:t>
            </w:r>
            <w:proofErr w:type="spellEnd"/>
            <w:r w:rsidRPr="00D00672">
              <w:t xml:space="preserve"> Western Australia</w:t>
            </w:r>
          </w:p>
        </w:tc>
        <w:tc>
          <w:tcPr>
            <w:tcW w:w="0" w:type="dxa"/>
            <w:vAlign w:val="top"/>
          </w:tcPr>
          <w:p w14:paraId="16D5D266" w14:textId="447192C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142 </w:t>
            </w:r>
          </w:p>
        </w:tc>
        <w:tc>
          <w:tcPr>
            <w:tcW w:w="0" w:type="dxa"/>
            <w:vAlign w:val="top"/>
          </w:tcPr>
          <w:p w14:paraId="710C2C97" w14:textId="3959702E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130 </w:t>
            </w:r>
          </w:p>
        </w:tc>
        <w:tc>
          <w:tcPr>
            <w:tcW w:w="0" w:type="dxa"/>
            <w:noWrap/>
            <w:vAlign w:val="top"/>
          </w:tcPr>
          <w:p w14:paraId="7F4F0F7A" w14:textId="7E53E9E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 </w:t>
            </w:r>
          </w:p>
        </w:tc>
        <w:tc>
          <w:tcPr>
            <w:tcW w:w="968" w:type="dxa"/>
            <w:noWrap/>
            <w:vAlign w:val="top"/>
          </w:tcPr>
          <w:p w14:paraId="1711BA40" w14:textId="28570AC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 </w:t>
            </w:r>
          </w:p>
        </w:tc>
      </w:tr>
      <w:tr w:rsidR="00073448" w:rsidRPr="00C14672" w14:paraId="6A64CDF5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3E856EAF" w14:textId="319F0E2A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Corruption and Crime Commission</w:t>
            </w:r>
          </w:p>
        </w:tc>
        <w:tc>
          <w:tcPr>
            <w:tcW w:w="0" w:type="dxa"/>
            <w:vAlign w:val="top"/>
          </w:tcPr>
          <w:p w14:paraId="162F0398" w14:textId="5F3C0C0C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131 </w:t>
            </w:r>
          </w:p>
        </w:tc>
        <w:tc>
          <w:tcPr>
            <w:tcW w:w="0" w:type="dxa"/>
            <w:vAlign w:val="top"/>
          </w:tcPr>
          <w:p w14:paraId="52504D06" w14:textId="2F0B8229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126 </w:t>
            </w:r>
          </w:p>
        </w:tc>
        <w:tc>
          <w:tcPr>
            <w:tcW w:w="0" w:type="dxa"/>
            <w:noWrap/>
            <w:vAlign w:val="top"/>
          </w:tcPr>
          <w:p w14:paraId="78083562" w14:textId="2E50A6C8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 </w:t>
            </w:r>
          </w:p>
        </w:tc>
        <w:tc>
          <w:tcPr>
            <w:tcW w:w="968" w:type="dxa"/>
            <w:noWrap/>
            <w:vAlign w:val="top"/>
          </w:tcPr>
          <w:p w14:paraId="6DF4FB97" w14:textId="16757CEA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9 </w:t>
            </w:r>
          </w:p>
        </w:tc>
      </w:tr>
      <w:tr w:rsidR="00073448" w:rsidRPr="00C14672" w14:paraId="56A3C84A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383E24D1" w14:textId="1BA737AF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Ombudsman Western Australia</w:t>
            </w:r>
          </w:p>
        </w:tc>
        <w:tc>
          <w:tcPr>
            <w:tcW w:w="0" w:type="dxa"/>
            <w:vAlign w:val="top"/>
          </w:tcPr>
          <w:p w14:paraId="1B214A7D" w14:textId="789D913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79 </w:t>
            </w:r>
          </w:p>
        </w:tc>
        <w:tc>
          <w:tcPr>
            <w:tcW w:w="0" w:type="dxa"/>
            <w:vAlign w:val="top"/>
          </w:tcPr>
          <w:p w14:paraId="560A4B25" w14:textId="491208E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65 </w:t>
            </w:r>
          </w:p>
        </w:tc>
        <w:tc>
          <w:tcPr>
            <w:tcW w:w="0" w:type="dxa"/>
            <w:noWrap/>
            <w:vAlign w:val="top"/>
          </w:tcPr>
          <w:p w14:paraId="476CF5D1" w14:textId="297F3C9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3A1F1CE1" w14:textId="576346A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-3 </w:t>
            </w:r>
          </w:p>
        </w:tc>
      </w:tr>
      <w:tr w:rsidR="00073448" w:rsidRPr="00C14672" w14:paraId="5A59E187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6447B5F1" w14:textId="7179F593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Small Business Development Corporation</w:t>
            </w:r>
          </w:p>
        </w:tc>
        <w:tc>
          <w:tcPr>
            <w:tcW w:w="0" w:type="dxa"/>
            <w:vAlign w:val="top"/>
          </w:tcPr>
          <w:p w14:paraId="3ABDB794" w14:textId="3065233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74 </w:t>
            </w:r>
          </w:p>
        </w:tc>
        <w:tc>
          <w:tcPr>
            <w:tcW w:w="0" w:type="dxa"/>
            <w:vAlign w:val="top"/>
          </w:tcPr>
          <w:p w14:paraId="47693924" w14:textId="0896ED1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62 </w:t>
            </w:r>
          </w:p>
        </w:tc>
        <w:tc>
          <w:tcPr>
            <w:tcW w:w="0" w:type="dxa"/>
            <w:noWrap/>
            <w:vAlign w:val="top"/>
          </w:tcPr>
          <w:p w14:paraId="4DA0EE4B" w14:textId="48A1660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31E286CB" w14:textId="7534805B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 </w:t>
            </w:r>
          </w:p>
        </w:tc>
      </w:tr>
      <w:tr w:rsidR="00073448" w:rsidRPr="00C14672" w14:paraId="4AEACCAB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52DD255" w14:textId="15568D68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Economic Regulation Authority</w:t>
            </w:r>
          </w:p>
        </w:tc>
        <w:tc>
          <w:tcPr>
            <w:tcW w:w="0" w:type="dxa"/>
            <w:vAlign w:val="top"/>
          </w:tcPr>
          <w:p w14:paraId="63C8F107" w14:textId="2E86ABEB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70 </w:t>
            </w:r>
          </w:p>
        </w:tc>
        <w:tc>
          <w:tcPr>
            <w:tcW w:w="0" w:type="dxa"/>
            <w:vAlign w:val="top"/>
          </w:tcPr>
          <w:p w14:paraId="6C1F2268" w14:textId="25E166BE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64 </w:t>
            </w:r>
          </w:p>
        </w:tc>
        <w:tc>
          <w:tcPr>
            <w:tcW w:w="0" w:type="dxa"/>
            <w:noWrap/>
            <w:vAlign w:val="top"/>
          </w:tcPr>
          <w:p w14:paraId="251AC63C" w14:textId="56D5874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  <w:tc>
          <w:tcPr>
            <w:tcW w:w="968" w:type="dxa"/>
            <w:noWrap/>
            <w:vAlign w:val="top"/>
          </w:tcPr>
          <w:p w14:paraId="0F33A26C" w14:textId="3A74400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</w:t>
            </w:r>
            <w:r>
              <w:t>0</w:t>
            </w:r>
            <w:r w:rsidRPr="0017067D">
              <w:t xml:space="preserve">  </w:t>
            </w:r>
          </w:p>
        </w:tc>
      </w:tr>
      <w:tr w:rsidR="00073448" w:rsidRPr="00C14672" w14:paraId="30E54262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2CBAA83E" w14:textId="028E60A7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GESB</w:t>
            </w:r>
          </w:p>
        </w:tc>
        <w:tc>
          <w:tcPr>
            <w:tcW w:w="0" w:type="dxa"/>
            <w:vAlign w:val="top"/>
          </w:tcPr>
          <w:p w14:paraId="045CA17B" w14:textId="139911A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67 </w:t>
            </w:r>
          </w:p>
        </w:tc>
        <w:tc>
          <w:tcPr>
            <w:tcW w:w="0" w:type="dxa"/>
            <w:vAlign w:val="top"/>
          </w:tcPr>
          <w:p w14:paraId="6CE31A78" w14:textId="2102377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63 </w:t>
            </w:r>
          </w:p>
        </w:tc>
        <w:tc>
          <w:tcPr>
            <w:tcW w:w="0" w:type="dxa"/>
            <w:noWrap/>
            <w:vAlign w:val="top"/>
          </w:tcPr>
          <w:p w14:paraId="4178CAE1" w14:textId="7E88FD1B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  <w:tc>
          <w:tcPr>
            <w:tcW w:w="968" w:type="dxa"/>
            <w:noWrap/>
            <w:vAlign w:val="top"/>
          </w:tcPr>
          <w:p w14:paraId="520BFC92" w14:textId="38B73651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 </w:t>
            </w:r>
          </w:p>
        </w:tc>
      </w:tr>
      <w:tr w:rsidR="00073448" w:rsidRPr="00C14672" w14:paraId="01D5BAF4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66307F2B" w14:textId="4D54AE69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Animal Resources Centre</w:t>
            </w:r>
          </w:p>
        </w:tc>
        <w:tc>
          <w:tcPr>
            <w:tcW w:w="0" w:type="dxa"/>
            <w:vAlign w:val="top"/>
          </w:tcPr>
          <w:p w14:paraId="01A70959" w14:textId="3F0B5EE2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58 </w:t>
            </w:r>
          </w:p>
        </w:tc>
        <w:tc>
          <w:tcPr>
            <w:tcW w:w="0" w:type="dxa"/>
            <w:vAlign w:val="top"/>
          </w:tcPr>
          <w:p w14:paraId="1C52B248" w14:textId="6E8130EC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53 </w:t>
            </w:r>
          </w:p>
        </w:tc>
        <w:tc>
          <w:tcPr>
            <w:tcW w:w="0" w:type="dxa"/>
            <w:noWrap/>
            <w:vAlign w:val="top"/>
          </w:tcPr>
          <w:p w14:paraId="21F53940" w14:textId="1A9802BB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-5 </w:t>
            </w:r>
          </w:p>
        </w:tc>
        <w:tc>
          <w:tcPr>
            <w:tcW w:w="968" w:type="dxa"/>
            <w:noWrap/>
            <w:vAlign w:val="top"/>
          </w:tcPr>
          <w:p w14:paraId="57A220EB" w14:textId="203F31A4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-10 </w:t>
            </w:r>
          </w:p>
        </w:tc>
      </w:tr>
      <w:tr w:rsidR="00073448" w:rsidRPr="00C14672" w14:paraId="07C8F8DA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F71E579" w14:textId="4400CD8D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Western Australian Electoral Commission</w:t>
            </w:r>
          </w:p>
        </w:tc>
        <w:tc>
          <w:tcPr>
            <w:tcW w:w="0" w:type="dxa"/>
            <w:vAlign w:val="top"/>
          </w:tcPr>
          <w:p w14:paraId="264C26AB" w14:textId="0C5ABBC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49 </w:t>
            </w:r>
          </w:p>
        </w:tc>
        <w:tc>
          <w:tcPr>
            <w:tcW w:w="0" w:type="dxa"/>
            <w:vAlign w:val="top"/>
          </w:tcPr>
          <w:p w14:paraId="08E95423" w14:textId="29B5FFC4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46 </w:t>
            </w:r>
          </w:p>
        </w:tc>
        <w:tc>
          <w:tcPr>
            <w:tcW w:w="0" w:type="dxa"/>
            <w:noWrap/>
            <w:vAlign w:val="top"/>
          </w:tcPr>
          <w:p w14:paraId="4CF68C0D" w14:textId="18EFC71B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-3 </w:t>
            </w:r>
          </w:p>
        </w:tc>
        <w:tc>
          <w:tcPr>
            <w:tcW w:w="968" w:type="dxa"/>
            <w:noWrap/>
            <w:vAlign w:val="top"/>
          </w:tcPr>
          <w:p w14:paraId="2967A245" w14:textId="0222484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 </w:t>
            </w:r>
          </w:p>
        </w:tc>
      </w:tr>
      <w:tr w:rsidR="00073448" w:rsidRPr="00C14672" w14:paraId="7350B3AD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3FF771F" w14:textId="6FE2C426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Legal Practice Board</w:t>
            </w:r>
          </w:p>
        </w:tc>
        <w:tc>
          <w:tcPr>
            <w:tcW w:w="0" w:type="dxa"/>
            <w:vAlign w:val="top"/>
          </w:tcPr>
          <w:p w14:paraId="4CFBAF68" w14:textId="055322D4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43 </w:t>
            </w:r>
          </w:p>
        </w:tc>
        <w:tc>
          <w:tcPr>
            <w:tcW w:w="0" w:type="dxa"/>
            <w:vAlign w:val="top"/>
          </w:tcPr>
          <w:p w14:paraId="09E9D9E6" w14:textId="02CCE28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41 </w:t>
            </w:r>
          </w:p>
        </w:tc>
        <w:tc>
          <w:tcPr>
            <w:tcW w:w="0" w:type="dxa"/>
            <w:noWrap/>
            <w:vAlign w:val="top"/>
          </w:tcPr>
          <w:p w14:paraId="326ECE2D" w14:textId="0D95F23E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5FE87155" w14:textId="22EED484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</w:tr>
      <w:tr w:rsidR="00073448" w:rsidRPr="00C14672" w14:paraId="14818DB0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A09DFF7" w14:textId="3257E246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Department of the Registrar, Western Australian Industrial Relations Commission</w:t>
            </w:r>
          </w:p>
        </w:tc>
        <w:tc>
          <w:tcPr>
            <w:tcW w:w="0" w:type="dxa"/>
            <w:vAlign w:val="top"/>
          </w:tcPr>
          <w:p w14:paraId="7F9181A1" w14:textId="395BD54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43 </w:t>
            </w:r>
          </w:p>
        </w:tc>
        <w:tc>
          <w:tcPr>
            <w:tcW w:w="0" w:type="dxa"/>
            <w:vAlign w:val="top"/>
          </w:tcPr>
          <w:p w14:paraId="4EB997B8" w14:textId="280275D2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40 </w:t>
            </w:r>
          </w:p>
        </w:tc>
        <w:tc>
          <w:tcPr>
            <w:tcW w:w="0" w:type="dxa"/>
            <w:noWrap/>
            <w:vAlign w:val="top"/>
          </w:tcPr>
          <w:p w14:paraId="3C257B46" w14:textId="5C07053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0</w:t>
            </w:r>
            <w:r w:rsidRPr="0017067D">
              <w:t xml:space="preserve">   </w:t>
            </w:r>
          </w:p>
        </w:tc>
        <w:tc>
          <w:tcPr>
            <w:tcW w:w="968" w:type="dxa"/>
            <w:noWrap/>
            <w:vAlign w:val="top"/>
          </w:tcPr>
          <w:p w14:paraId="04F70B85" w14:textId="32DFAAA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 </w:t>
            </w:r>
          </w:p>
        </w:tc>
      </w:tr>
      <w:tr w:rsidR="00073448" w:rsidRPr="00C14672" w14:paraId="32EC44C2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9255E65" w14:textId="6F845F2D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Western Australian Meat Industry Authority</w:t>
            </w:r>
          </w:p>
        </w:tc>
        <w:tc>
          <w:tcPr>
            <w:tcW w:w="0" w:type="dxa"/>
            <w:vAlign w:val="top"/>
          </w:tcPr>
          <w:p w14:paraId="4DD10D34" w14:textId="660069C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42 </w:t>
            </w:r>
          </w:p>
        </w:tc>
        <w:tc>
          <w:tcPr>
            <w:tcW w:w="0" w:type="dxa"/>
            <w:vAlign w:val="top"/>
          </w:tcPr>
          <w:p w14:paraId="756FDD7C" w14:textId="6509601E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23 </w:t>
            </w:r>
          </w:p>
        </w:tc>
        <w:tc>
          <w:tcPr>
            <w:tcW w:w="0" w:type="dxa"/>
            <w:noWrap/>
            <w:vAlign w:val="top"/>
          </w:tcPr>
          <w:p w14:paraId="7283BA55" w14:textId="643E16C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 </w:t>
            </w:r>
          </w:p>
        </w:tc>
        <w:tc>
          <w:tcPr>
            <w:tcW w:w="968" w:type="dxa"/>
            <w:noWrap/>
            <w:vAlign w:val="top"/>
          </w:tcPr>
          <w:p w14:paraId="42903FCC" w14:textId="3AB7780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</w:tr>
      <w:tr w:rsidR="00073448" w:rsidRPr="00C14672" w14:paraId="6A4518F8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2D16A38A" w14:textId="089C5B18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lastRenderedPageBreak/>
              <w:t>Construction Training Fund</w:t>
            </w:r>
          </w:p>
        </w:tc>
        <w:tc>
          <w:tcPr>
            <w:tcW w:w="0" w:type="dxa"/>
            <w:vAlign w:val="top"/>
          </w:tcPr>
          <w:p w14:paraId="26466EE4" w14:textId="7C2384F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37 </w:t>
            </w:r>
          </w:p>
        </w:tc>
        <w:tc>
          <w:tcPr>
            <w:tcW w:w="0" w:type="dxa"/>
            <w:vAlign w:val="top"/>
          </w:tcPr>
          <w:p w14:paraId="53B0CEBD" w14:textId="7FC6339A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35 </w:t>
            </w:r>
          </w:p>
        </w:tc>
        <w:tc>
          <w:tcPr>
            <w:tcW w:w="0" w:type="dxa"/>
            <w:noWrap/>
            <w:vAlign w:val="top"/>
          </w:tcPr>
          <w:p w14:paraId="61721DE6" w14:textId="020C795A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 </w:t>
            </w:r>
          </w:p>
        </w:tc>
        <w:tc>
          <w:tcPr>
            <w:tcW w:w="968" w:type="dxa"/>
            <w:noWrap/>
            <w:vAlign w:val="top"/>
          </w:tcPr>
          <w:p w14:paraId="71F1F4B1" w14:textId="7121404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 </w:t>
            </w:r>
          </w:p>
        </w:tc>
      </w:tr>
      <w:tr w:rsidR="00073448" w:rsidRPr="00C14672" w14:paraId="67965D59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7DBC6DF" w14:textId="749323CE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National Trust of Australia (W.A.)</w:t>
            </w:r>
          </w:p>
        </w:tc>
        <w:tc>
          <w:tcPr>
            <w:tcW w:w="0" w:type="dxa"/>
            <w:vAlign w:val="top"/>
          </w:tcPr>
          <w:p w14:paraId="10251409" w14:textId="0CB6B72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31 </w:t>
            </w:r>
          </w:p>
        </w:tc>
        <w:tc>
          <w:tcPr>
            <w:tcW w:w="0" w:type="dxa"/>
            <w:vAlign w:val="top"/>
          </w:tcPr>
          <w:p w14:paraId="05429D26" w14:textId="726C2DE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26 </w:t>
            </w:r>
          </w:p>
        </w:tc>
        <w:tc>
          <w:tcPr>
            <w:tcW w:w="0" w:type="dxa"/>
            <w:noWrap/>
            <w:vAlign w:val="top"/>
          </w:tcPr>
          <w:p w14:paraId="53CD5CDF" w14:textId="4E03D69B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 </w:t>
            </w:r>
          </w:p>
        </w:tc>
        <w:tc>
          <w:tcPr>
            <w:tcW w:w="968" w:type="dxa"/>
            <w:noWrap/>
            <w:vAlign w:val="top"/>
          </w:tcPr>
          <w:p w14:paraId="0870B9D9" w14:textId="1251EB8A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 </w:t>
            </w:r>
          </w:p>
        </w:tc>
      </w:tr>
      <w:tr w:rsidR="00073448" w:rsidRPr="00C14672" w14:paraId="5820C3E0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0E87FCEC" w14:textId="3FCF6DE7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D00672">
              <w:t>MyLeave</w:t>
            </w:r>
            <w:proofErr w:type="spellEnd"/>
          </w:p>
        </w:tc>
        <w:tc>
          <w:tcPr>
            <w:tcW w:w="0" w:type="dxa"/>
            <w:vAlign w:val="top"/>
          </w:tcPr>
          <w:p w14:paraId="7E42BD2D" w14:textId="1EA5B96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27 </w:t>
            </w:r>
          </w:p>
        </w:tc>
        <w:tc>
          <w:tcPr>
            <w:tcW w:w="0" w:type="dxa"/>
            <w:vAlign w:val="top"/>
          </w:tcPr>
          <w:p w14:paraId="209E1370" w14:textId="7CA335A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26 </w:t>
            </w:r>
          </w:p>
        </w:tc>
        <w:tc>
          <w:tcPr>
            <w:tcW w:w="0" w:type="dxa"/>
            <w:noWrap/>
            <w:vAlign w:val="top"/>
          </w:tcPr>
          <w:p w14:paraId="6DAB2398" w14:textId="7B4E96A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  <w:tc>
          <w:tcPr>
            <w:tcW w:w="968" w:type="dxa"/>
            <w:noWrap/>
            <w:vAlign w:val="top"/>
          </w:tcPr>
          <w:p w14:paraId="59818038" w14:textId="4F172928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</w:tr>
      <w:tr w:rsidR="00073448" w:rsidRPr="00C14672" w14:paraId="316C26DA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C0758EA" w14:textId="14A773D6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Health and Disability Services Complaints Office</w:t>
            </w:r>
          </w:p>
        </w:tc>
        <w:tc>
          <w:tcPr>
            <w:tcW w:w="0" w:type="dxa"/>
            <w:vAlign w:val="top"/>
          </w:tcPr>
          <w:p w14:paraId="49186D7D" w14:textId="0A23ACE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24 </w:t>
            </w:r>
          </w:p>
        </w:tc>
        <w:tc>
          <w:tcPr>
            <w:tcW w:w="0" w:type="dxa"/>
            <w:vAlign w:val="top"/>
          </w:tcPr>
          <w:p w14:paraId="569C42A8" w14:textId="1AC498C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22 </w:t>
            </w:r>
          </w:p>
        </w:tc>
        <w:tc>
          <w:tcPr>
            <w:tcW w:w="0" w:type="dxa"/>
            <w:noWrap/>
            <w:vAlign w:val="top"/>
          </w:tcPr>
          <w:p w14:paraId="7CB74BFB" w14:textId="665A122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0</w:t>
            </w:r>
            <w:r w:rsidRPr="0017067D">
              <w:t xml:space="preserve">   </w:t>
            </w:r>
          </w:p>
        </w:tc>
        <w:tc>
          <w:tcPr>
            <w:tcW w:w="968" w:type="dxa"/>
            <w:noWrap/>
            <w:vAlign w:val="top"/>
          </w:tcPr>
          <w:p w14:paraId="1EEAD14D" w14:textId="33F0000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 </w:t>
            </w:r>
          </w:p>
        </w:tc>
      </w:tr>
      <w:tr w:rsidR="00073448" w:rsidRPr="00C14672" w14:paraId="657089E4" w14:textId="77777777" w:rsidTr="00AB1F70">
        <w:trPr>
          <w:trHeight w:val="315"/>
        </w:trPr>
        <w:tc>
          <w:tcPr>
            <w:tcW w:w="0" w:type="dxa"/>
            <w:noWrap/>
            <w:vAlign w:val="top"/>
          </w:tcPr>
          <w:p w14:paraId="7EE15C08" w14:textId="45BA5DB6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Infrastructure WA</w:t>
            </w:r>
          </w:p>
        </w:tc>
        <w:tc>
          <w:tcPr>
            <w:tcW w:w="0" w:type="dxa"/>
            <w:vAlign w:val="top"/>
          </w:tcPr>
          <w:p w14:paraId="65AD3AE9" w14:textId="21BD5FF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21 </w:t>
            </w:r>
          </w:p>
        </w:tc>
        <w:tc>
          <w:tcPr>
            <w:tcW w:w="0" w:type="dxa"/>
            <w:vAlign w:val="top"/>
          </w:tcPr>
          <w:p w14:paraId="38A8388C" w14:textId="02DD341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19 </w:t>
            </w:r>
          </w:p>
        </w:tc>
        <w:tc>
          <w:tcPr>
            <w:tcW w:w="0" w:type="dxa"/>
            <w:noWrap/>
            <w:vAlign w:val="top"/>
          </w:tcPr>
          <w:p w14:paraId="22372354" w14:textId="5368F124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38530EEE" w14:textId="6FAF618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 </w:t>
            </w:r>
          </w:p>
        </w:tc>
      </w:tr>
      <w:tr w:rsidR="00073448" w:rsidRPr="00C14672" w14:paraId="2D825015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6ACC6085" w14:textId="2712C867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Office of the Inspector of Custodial Services</w:t>
            </w:r>
          </w:p>
        </w:tc>
        <w:tc>
          <w:tcPr>
            <w:tcW w:w="0" w:type="dxa"/>
            <w:vAlign w:val="top"/>
          </w:tcPr>
          <w:p w14:paraId="3D9FACE0" w14:textId="46DA2BB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18 </w:t>
            </w:r>
          </w:p>
        </w:tc>
        <w:tc>
          <w:tcPr>
            <w:tcW w:w="0" w:type="dxa"/>
            <w:vAlign w:val="top"/>
          </w:tcPr>
          <w:p w14:paraId="31B7F035" w14:textId="158E9D9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16 </w:t>
            </w:r>
          </w:p>
        </w:tc>
        <w:tc>
          <w:tcPr>
            <w:tcW w:w="0" w:type="dxa"/>
            <w:noWrap/>
            <w:vAlign w:val="top"/>
          </w:tcPr>
          <w:p w14:paraId="7886EB21" w14:textId="7C918F22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6AF754EF" w14:textId="1F5BBE5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227325">
              <w:t>0</w:t>
            </w:r>
          </w:p>
        </w:tc>
      </w:tr>
      <w:tr w:rsidR="00073448" w:rsidRPr="00C14672" w14:paraId="7FBB960F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D1B55A9" w14:textId="65813D5C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Office of the Information Commissioner</w:t>
            </w:r>
          </w:p>
        </w:tc>
        <w:tc>
          <w:tcPr>
            <w:tcW w:w="0" w:type="dxa"/>
            <w:vAlign w:val="top"/>
          </w:tcPr>
          <w:p w14:paraId="152ED924" w14:textId="4BECCF5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 </w:t>
            </w:r>
          </w:p>
        </w:tc>
        <w:tc>
          <w:tcPr>
            <w:tcW w:w="0" w:type="dxa"/>
            <w:vAlign w:val="top"/>
          </w:tcPr>
          <w:p w14:paraId="6EC07E71" w14:textId="0400088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 </w:t>
            </w:r>
          </w:p>
        </w:tc>
        <w:tc>
          <w:tcPr>
            <w:tcW w:w="0" w:type="dxa"/>
            <w:noWrap/>
            <w:vAlign w:val="top"/>
          </w:tcPr>
          <w:p w14:paraId="106ED9E0" w14:textId="4614CA8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0</w:t>
            </w:r>
            <w:r w:rsidRPr="0017067D">
              <w:t xml:space="preserve">   </w:t>
            </w:r>
          </w:p>
        </w:tc>
        <w:tc>
          <w:tcPr>
            <w:tcW w:w="968" w:type="dxa"/>
            <w:noWrap/>
            <w:vAlign w:val="top"/>
          </w:tcPr>
          <w:p w14:paraId="07A929F7" w14:textId="092C6880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227325">
              <w:t>0</w:t>
            </w:r>
          </w:p>
        </w:tc>
      </w:tr>
      <w:tr w:rsidR="00073448" w:rsidRPr="00C14672" w14:paraId="71AAF909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602F50F" w14:textId="0BD345D6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Metropolitan Redevelopment Authority</w:t>
            </w:r>
          </w:p>
        </w:tc>
        <w:tc>
          <w:tcPr>
            <w:tcW w:w="0" w:type="dxa"/>
            <w:vAlign w:val="top"/>
          </w:tcPr>
          <w:p w14:paraId="42D0A946" w14:textId="0DF3403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15 </w:t>
            </w:r>
          </w:p>
        </w:tc>
        <w:tc>
          <w:tcPr>
            <w:tcW w:w="0" w:type="dxa"/>
            <w:vAlign w:val="top"/>
          </w:tcPr>
          <w:p w14:paraId="08DF1848" w14:textId="437010F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14 </w:t>
            </w:r>
          </w:p>
        </w:tc>
        <w:tc>
          <w:tcPr>
            <w:tcW w:w="0" w:type="dxa"/>
            <w:noWrap/>
            <w:vAlign w:val="top"/>
          </w:tcPr>
          <w:p w14:paraId="69E22912" w14:textId="31092C49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  <w:tc>
          <w:tcPr>
            <w:tcW w:w="968" w:type="dxa"/>
            <w:noWrap/>
            <w:vAlign w:val="top"/>
          </w:tcPr>
          <w:p w14:paraId="244E79FF" w14:textId="1220237B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 </w:t>
            </w:r>
          </w:p>
        </w:tc>
      </w:tr>
      <w:tr w:rsidR="00073448" w:rsidRPr="00C14672" w14:paraId="7AE71784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4720C076" w14:textId="5F2F1F95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Commissioner for Children and Young People</w:t>
            </w:r>
          </w:p>
        </w:tc>
        <w:tc>
          <w:tcPr>
            <w:tcW w:w="0" w:type="dxa"/>
            <w:vAlign w:val="top"/>
          </w:tcPr>
          <w:p w14:paraId="01048C8A" w14:textId="25F11209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13 </w:t>
            </w:r>
          </w:p>
        </w:tc>
        <w:tc>
          <w:tcPr>
            <w:tcW w:w="0" w:type="dxa"/>
            <w:vAlign w:val="top"/>
          </w:tcPr>
          <w:p w14:paraId="04FD63EE" w14:textId="39ADD74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11 </w:t>
            </w:r>
          </w:p>
        </w:tc>
        <w:tc>
          <w:tcPr>
            <w:tcW w:w="0" w:type="dxa"/>
            <w:noWrap/>
            <w:vAlign w:val="top"/>
          </w:tcPr>
          <w:p w14:paraId="4C1C360C" w14:textId="63BD0AA3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-2 </w:t>
            </w:r>
          </w:p>
        </w:tc>
        <w:tc>
          <w:tcPr>
            <w:tcW w:w="968" w:type="dxa"/>
            <w:noWrap/>
            <w:vAlign w:val="top"/>
          </w:tcPr>
          <w:p w14:paraId="71523C7A" w14:textId="5A36DE9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-3 </w:t>
            </w:r>
          </w:p>
        </w:tc>
      </w:tr>
      <w:tr w:rsidR="00073448" w:rsidRPr="00C14672" w14:paraId="68F409C8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0E7E2542" w14:textId="56A0AABB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Burswood Park Board</w:t>
            </w:r>
          </w:p>
        </w:tc>
        <w:tc>
          <w:tcPr>
            <w:tcW w:w="0" w:type="dxa"/>
            <w:vAlign w:val="top"/>
          </w:tcPr>
          <w:p w14:paraId="052E2BA5" w14:textId="5796C5EC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11 </w:t>
            </w:r>
          </w:p>
        </w:tc>
        <w:tc>
          <w:tcPr>
            <w:tcW w:w="0" w:type="dxa"/>
            <w:vAlign w:val="top"/>
          </w:tcPr>
          <w:p w14:paraId="03E50980" w14:textId="37F24F6A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9 </w:t>
            </w:r>
          </w:p>
        </w:tc>
        <w:tc>
          <w:tcPr>
            <w:tcW w:w="0" w:type="dxa"/>
            <w:noWrap/>
            <w:vAlign w:val="top"/>
          </w:tcPr>
          <w:p w14:paraId="4EB25AF3" w14:textId="79844C55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 </w:t>
            </w:r>
          </w:p>
        </w:tc>
        <w:tc>
          <w:tcPr>
            <w:tcW w:w="968" w:type="dxa"/>
            <w:noWrap/>
            <w:vAlign w:val="top"/>
          </w:tcPr>
          <w:p w14:paraId="2B57F8E4" w14:textId="0AE6F53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2 </w:t>
            </w:r>
          </w:p>
        </w:tc>
      </w:tr>
      <w:tr w:rsidR="00073448" w:rsidRPr="00C14672" w14:paraId="46AAEE4D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5283E61" w14:textId="0282B212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Keep Australia Beautiful WA</w:t>
            </w:r>
          </w:p>
        </w:tc>
        <w:tc>
          <w:tcPr>
            <w:tcW w:w="0" w:type="dxa"/>
            <w:vAlign w:val="top"/>
          </w:tcPr>
          <w:p w14:paraId="40DE123F" w14:textId="195ECAD4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 </w:t>
            </w:r>
          </w:p>
        </w:tc>
        <w:tc>
          <w:tcPr>
            <w:tcW w:w="0" w:type="dxa"/>
            <w:vAlign w:val="top"/>
          </w:tcPr>
          <w:p w14:paraId="0FC58990" w14:textId="34631A61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7 </w:t>
            </w:r>
          </w:p>
        </w:tc>
        <w:tc>
          <w:tcPr>
            <w:tcW w:w="0" w:type="dxa"/>
            <w:noWrap/>
            <w:vAlign w:val="top"/>
          </w:tcPr>
          <w:p w14:paraId="73B7622F" w14:textId="51B33CD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0</w:t>
            </w:r>
            <w:r w:rsidRPr="0017067D">
              <w:t xml:space="preserve">   </w:t>
            </w:r>
          </w:p>
        </w:tc>
        <w:tc>
          <w:tcPr>
            <w:tcW w:w="968" w:type="dxa"/>
            <w:noWrap/>
            <w:vAlign w:val="top"/>
          </w:tcPr>
          <w:p w14:paraId="5D3EA0C8" w14:textId="6C01DE17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0</w:t>
            </w:r>
            <w:r w:rsidRPr="0017067D">
              <w:t xml:space="preserve">   </w:t>
            </w:r>
          </w:p>
        </w:tc>
      </w:tr>
      <w:tr w:rsidR="00073448" w:rsidRPr="00C14672" w14:paraId="3AFCDE00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2684CB0D" w14:textId="73CBF628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Minerals Research Institute of Western Australia</w:t>
            </w:r>
            <w:r>
              <w:t xml:space="preserve"> </w:t>
            </w:r>
            <w:r w:rsidRPr="00D00672">
              <w:t>(MRIWA)</w:t>
            </w:r>
          </w:p>
        </w:tc>
        <w:tc>
          <w:tcPr>
            <w:tcW w:w="0" w:type="dxa"/>
            <w:vAlign w:val="top"/>
          </w:tcPr>
          <w:p w14:paraId="12174768" w14:textId="0735EB24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 </w:t>
            </w:r>
          </w:p>
        </w:tc>
        <w:tc>
          <w:tcPr>
            <w:tcW w:w="0" w:type="dxa"/>
            <w:vAlign w:val="top"/>
          </w:tcPr>
          <w:p w14:paraId="7DD0A2C2" w14:textId="6AD1CE82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8 </w:t>
            </w:r>
          </w:p>
        </w:tc>
        <w:tc>
          <w:tcPr>
            <w:tcW w:w="0" w:type="dxa"/>
            <w:noWrap/>
            <w:vAlign w:val="top"/>
          </w:tcPr>
          <w:p w14:paraId="1DA644B8" w14:textId="162F4D3D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DD280D">
              <w:t>0</w:t>
            </w:r>
          </w:p>
        </w:tc>
        <w:tc>
          <w:tcPr>
            <w:tcW w:w="968" w:type="dxa"/>
            <w:noWrap/>
            <w:vAlign w:val="top"/>
          </w:tcPr>
          <w:p w14:paraId="0EA715D2" w14:textId="0352B13E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3 </w:t>
            </w:r>
          </w:p>
        </w:tc>
      </w:tr>
      <w:tr w:rsidR="00073448" w:rsidRPr="00C14672" w14:paraId="57E7BEB1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11DD6F22" w14:textId="1B7B3471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Veterinary Practice Board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0" w:type="dxa"/>
            <w:vAlign w:val="top"/>
          </w:tcPr>
          <w:p w14:paraId="06BC38EF" w14:textId="6F045D67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6 </w:t>
            </w:r>
          </w:p>
        </w:tc>
        <w:tc>
          <w:tcPr>
            <w:tcW w:w="0" w:type="dxa"/>
            <w:vAlign w:val="top"/>
          </w:tcPr>
          <w:p w14:paraId="635FC52B" w14:textId="70A1D92E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5 </w:t>
            </w:r>
          </w:p>
        </w:tc>
        <w:tc>
          <w:tcPr>
            <w:tcW w:w="0" w:type="dxa"/>
            <w:noWrap/>
            <w:vAlign w:val="top"/>
          </w:tcPr>
          <w:p w14:paraId="4E1BD5BB" w14:textId="7A9607E6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DD280D">
              <w:t>0</w:t>
            </w:r>
          </w:p>
        </w:tc>
        <w:tc>
          <w:tcPr>
            <w:tcW w:w="968" w:type="dxa"/>
            <w:noWrap/>
            <w:vAlign w:val="top"/>
          </w:tcPr>
          <w:p w14:paraId="1CE352AF" w14:textId="3A6CE8F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0</w:t>
            </w:r>
            <w:r w:rsidRPr="0017067D">
              <w:t xml:space="preserve">   </w:t>
            </w:r>
          </w:p>
        </w:tc>
      </w:tr>
      <w:tr w:rsidR="00073448" w:rsidRPr="00C14672" w14:paraId="0980587A" w14:textId="77777777" w:rsidTr="00AB1F70">
        <w:trPr>
          <w:trHeight w:val="315"/>
        </w:trPr>
        <w:tc>
          <w:tcPr>
            <w:tcW w:w="0" w:type="dxa"/>
            <w:noWrap/>
            <w:vAlign w:val="top"/>
            <w:hideMark/>
          </w:tcPr>
          <w:p w14:paraId="708B7233" w14:textId="2EF509EB" w:rsidR="00073448" w:rsidRPr="005211EB" w:rsidRDefault="00073448" w:rsidP="00073448">
            <w:pPr>
              <w:spacing w:beforeLines="20" w:before="48" w:beforeAutospacing="0" w:afterLines="20" w:after="48"/>
              <w:contextualSpacing w:val="0"/>
            </w:pPr>
            <w:r w:rsidRPr="00D00672">
              <w:t>Salaries and Allowances Tribunal</w:t>
            </w:r>
          </w:p>
        </w:tc>
        <w:tc>
          <w:tcPr>
            <w:tcW w:w="0" w:type="dxa"/>
            <w:vAlign w:val="top"/>
          </w:tcPr>
          <w:p w14:paraId="35597431" w14:textId="3168160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 </w:t>
            </w:r>
          </w:p>
        </w:tc>
        <w:tc>
          <w:tcPr>
            <w:tcW w:w="0" w:type="dxa"/>
            <w:vAlign w:val="top"/>
          </w:tcPr>
          <w:p w14:paraId="05527C1E" w14:textId="3B103A3E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4 </w:t>
            </w:r>
          </w:p>
        </w:tc>
        <w:tc>
          <w:tcPr>
            <w:tcW w:w="0" w:type="dxa"/>
            <w:noWrap/>
            <w:vAlign w:val="top"/>
          </w:tcPr>
          <w:p w14:paraId="635FAAD1" w14:textId="441C91CF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DD280D">
              <w:t>0</w:t>
            </w:r>
          </w:p>
        </w:tc>
        <w:tc>
          <w:tcPr>
            <w:tcW w:w="968" w:type="dxa"/>
            <w:noWrap/>
            <w:vAlign w:val="top"/>
          </w:tcPr>
          <w:p w14:paraId="68290A63" w14:textId="1319D6EC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 1 </w:t>
            </w:r>
          </w:p>
        </w:tc>
      </w:tr>
      <w:tr w:rsidR="00073448" w:rsidRPr="00C14672" w14:paraId="25083EC1" w14:textId="77777777" w:rsidTr="00AB1F70">
        <w:trPr>
          <w:trHeight w:val="315"/>
        </w:trPr>
        <w:tc>
          <w:tcPr>
            <w:tcW w:w="0" w:type="dxa"/>
            <w:noWrap/>
          </w:tcPr>
          <w:p w14:paraId="5404CC51" w14:textId="178AF04A" w:rsidR="00073448" w:rsidRDefault="00073448" w:rsidP="00073448">
            <w:pPr>
              <w:spacing w:beforeLines="20" w:before="48" w:beforeAutospacing="0" w:afterLines="20" w:after="48"/>
            </w:pPr>
            <w:r w:rsidRPr="00D00672">
              <w:t>Architects Board of Western Australia</w:t>
            </w:r>
          </w:p>
        </w:tc>
        <w:tc>
          <w:tcPr>
            <w:tcW w:w="0" w:type="dxa"/>
          </w:tcPr>
          <w:p w14:paraId="571F1418" w14:textId="5AD69699" w:rsidR="00073448" w:rsidRPr="00E825C0" w:rsidRDefault="00073448" w:rsidP="00073448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17067D">
              <w:t xml:space="preserve"> 2 </w:t>
            </w:r>
          </w:p>
        </w:tc>
        <w:tc>
          <w:tcPr>
            <w:tcW w:w="0" w:type="dxa"/>
          </w:tcPr>
          <w:p w14:paraId="5E52C04C" w14:textId="71614093" w:rsidR="00073448" w:rsidRPr="00E825C0" w:rsidRDefault="00073448" w:rsidP="00073448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17067D">
              <w:t xml:space="preserve"> 2 </w:t>
            </w:r>
          </w:p>
        </w:tc>
        <w:tc>
          <w:tcPr>
            <w:tcW w:w="0" w:type="dxa"/>
            <w:noWrap/>
          </w:tcPr>
          <w:p w14:paraId="27A80CCF" w14:textId="3CC156BF" w:rsidR="00073448" w:rsidRPr="00E825C0" w:rsidRDefault="00073448" w:rsidP="00073448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DD280D">
              <w:t>0</w:t>
            </w:r>
          </w:p>
        </w:tc>
        <w:tc>
          <w:tcPr>
            <w:tcW w:w="968" w:type="dxa"/>
            <w:noWrap/>
          </w:tcPr>
          <w:p w14:paraId="75003BEF" w14:textId="35F8F958" w:rsidR="00073448" w:rsidRPr="00E825C0" w:rsidRDefault="00073448" w:rsidP="00073448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17067D">
              <w:t xml:space="preserve">-1 </w:t>
            </w:r>
          </w:p>
        </w:tc>
      </w:tr>
    </w:tbl>
    <w:p w14:paraId="6DE1E2D0" w14:textId="7E75B29E" w:rsidR="006258A2" w:rsidRPr="00142732" w:rsidRDefault="00C66375" w:rsidP="00607466">
      <w:pPr>
        <w:pStyle w:val="Heading2"/>
      </w:pPr>
      <w:r>
        <w:t>Data quality statement</w:t>
      </w:r>
    </w:p>
    <w:p w14:paraId="3903A897" w14:textId="34907BA2" w:rsidR="00115034" w:rsidRDefault="00115034" w:rsidP="00115034">
      <w:r>
        <w:t>Information is based on an aggregate of agency supplied data, collected quarterly through the Human Resource Minimum Obligatory Information Requirement</w:t>
      </w:r>
      <w:r w:rsidR="00235D77">
        <w:t>s</w:t>
      </w:r>
      <w:r>
        <w:t xml:space="preserve"> (HR MOIR). Data is supplied by agencies according to the guidelines set out in </w:t>
      </w:r>
      <w:r w:rsidRPr="000670C1">
        <w:rPr>
          <w:i/>
        </w:rPr>
        <w:t>HR MOIR Data Definitions 1.5.1</w:t>
      </w:r>
      <w:r>
        <w:t xml:space="preserve">. </w:t>
      </w:r>
    </w:p>
    <w:p w14:paraId="36E49AED" w14:textId="1E46C6AB" w:rsidR="00C66375" w:rsidRDefault="00115034" w:rsidP="00607466">
      <w:r>
        <w:t xml:space="preserve">The information provided reflects the Commission’s holdings at the date of release. Workforce data is occasionally revised for quality, and corrections applied may result in figures being adjusted over time. </w:t>
      </w:r>
      <w:r w:rsidRPr="00115034">
        <w:t xml:space="preserve">This information relates only to </w:t>
      </w:r>
      <w:r w:rsidR="004A3184">
        <w:t>public</w:t>
      </w:r>
      <w:r w:rsidR="004A3184" w:rsidRPr="00115034">
        <w:t xml:space="preserve"> </w:t>
      </w:r>
      <w:r w:rsidR="004A3184">
        <w:t xml:space="preserve">sector </w:t>
      </w:r>
      <w:r w:rsidRPr="00115034">
        <w:t xml:space="preserve">(Department, </w:t>
      </w:r>
      <w:proofErr w:type="gramStart"/>
      <w:r w:rsidRPr="00115034">
        <w:t>SES</w:t>
      </w:r>
      <w:proofErr w:type="gramEnd"/>
      <w:r w:rsidRPr="00115034">
        <w:t xml:space="preserve"> and non-SES agencies), and excludes sworn officers of the WA Police Force, public universities, local governments, government trading enterprises and other authorities.</w:t>
      </w:r>
    </w:p>
    <w:p w14:paraId="3AB7ADED" w14:textId="77777777" w:rsidR="00C66375" w:rsidRPr="00C66375" w:rsidRDefault="00C66375" w:rsidP="00607466">
      <w:r w:rsidRPr="00C66375">
        <w:t>All data is accurate as reported to us by contributing agencies.</w:t>
      </w:r>
    </w:p>
    <w:p w14:paraId="2515E35B" w14:textId="749C700E" w:rsidR="0001245B" w:rsidRDefault="00115034" w:rsidP="00607466">
      <w:r w:rsidRPr="00115034">
        <w:t>As some figures have been rounded, discrepancies may occur between sums of the component items and totals.</w:t>
      </w:r>
      <w:r>
        <w:t xml:space="preserve"> </w:t>
      </w:r>
      <w:r w:rsidR="0001245B" w:rsidRPr="0001245B">
        <w:t>Salaries expenditure</w:t>
      </w:r>
      <w:r w:rsidR="0001245B">
        <w:t xml:space="preserve"> data and information is provided by the Department of Treasury.</w:t>
      </w:r>
    </w:p>
    <w:p w14:paraId="2EE0B7FE" w14:textId="609B8F0D" w:rsidR="006258A2" w:rsidRPr="00142732" w:rsidRDefault="006258A2" w:rsidP="00607466">
      <w:pPr>
        <w:pStyle w:val="Heading2"/>
      </w:pPr>
      <w:r w:rsidRPr="00142732">
        <w:lastRenderedPageBreak/>
        <w:t>Contact</w:t>
      </w:r>
    </w:p>
    <w:p w14:paraId="5BF6743A" w14:textId="1877A2B1" w:rsidR="00C736B0" w:rsidRPr="00142732" w:rsidRDefault="006258A2" w:rsidP="00607466">
      <w:r w:rsidRPr="00607466">
        <w:t xml:space="preserve">All enquiries about the Public Sector Commission’s data should be directed to </w:t>
      </w:r>
      <w:hyperlink r:id="rId12" w:history="1">
        <w:r w:rsidRPr="00EA7FC5">
          <w:rPr>
            <w:color w:val="2E74B5" w:themeColor="accent1" w:themeShade="BF"/>
          </w:rPr>
          <w:t>stateadministrator@psc.wa.gov.au</w:t>
        </w:r>
      </w:hyperlink>
      <w:r w:rsidR="00E1633D">
        <w:t xml:space="preserve">. </w:t>
      </w:r>
    </w:p>
    <w:sectPr w:rsidR="00C736B0" w:rsidRPr="00142732" w:rsidSect="00DC38B1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A39A" w14:textId="77777777" w:rsidR="005B7F09" w:rsidRDefault="005B7F09" w:rsidP="00607466">
      <w:r>
        <w:separator/>
      </w:r>
    </w:p>
  </w:endnote>
  <w:endnote w:type="continuationSeparator" w:id="0">
    <w:p w14:paraId="30976EA3" w14:textId="77777777" w:rsidR="005B7F09" w:rsidRDefault="005B7F09" w:rsidP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693" w14:textId="77777777" w:rsidR="00A66027" w:rsidRPr="00DD61C1" w:rsidRDefault="00A66027" w:rsidP="00DD61C1">
    <w:pPr>
      <w:spacing w:before="0" w:beforeAutospacing="0" w:after="120"/>
      <w:rPr>
        <w:rFonts w:eastAsiaTheme="minorHAnsi"/>
        <w:color w:val="auto"/>
        <w:szCs w:val="24"/>
        <w:lang w:eastAsia="en-US"/>
      </w:rPr>
    </w:pPr>
    <w:r w:rsidRPr="00DD61C1">
      <w:rPr>
        <w:rFonts w:ascii="Century Gothic" w:eastAsiaTheme="minorHAnsi" w:hAnsi="Century Gothic"/>
        <w:noProof/>
        <w:color w:val="auto"/>
        <w:sz w:val="18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ADC5F" wp14:editId="777C5E2A">
              <wp:simplePos x="0" y="0"/>
              <wp:positionH relativeFrom="margin">
                <wp:posOffset>-21265</wp:posOffset>
              </wp:positionH>
              <wp:positionV relativeFrom="paragraph">
                <wp:posOffset>130411</wp:posOffset>
              </wp:positionV>
              <wp:extent cx="5736708" cy="0"/>
              <wp:effectExtent l="0" t="0" r="35560" b="19050"/>
              <wp:wrapNone/>
              <wp:docPr id="72" name="Straight Connector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70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B99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95FF4" id="Straight Connector 7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65pt,10.25pt" to="45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" strokecolor="#2b9947" strokeweight="1pt">
              <v:stroke joinstyle="miter"/>
              <w10:wrap anchorx="margin"/>
            </v:line>
          </w:pict>
        </mc:Fallback>
      </mc:AlternateContent>
    </w:r>
  </w:p>
  <w:p w14:paraId="5F2705AA" w14:textId="28B8FD0B" w:rsidR="00A66027" w:rsidRPr="00DD61C1" w:rsidRDefault="00A66027" w:rsidP="00DD61C1">
    <w:pPr>
      <w:tabs>
        <w:tab w:val="right" w:pos="9026"/>
      </w:tabs>
      <w:spacing w:before="0" w:beforeAutospacing="0" w:after="0"/>
      <w:rPr>
        <w:rFonts w:ascii="Century Gothic" w:eastAsiaTheme="minorHAnsi" w:hAnsi="Century Gothic"/>
        <w:color w:val="auto"/>
        <w:sz w:val="18"/>
        <w:szCs w:val="24"/>
        <w:lang w:eastAsia="en-US"/>
      </w:rPr>
    </w:pPr>
    <w:r>
      <w:rPr>
        <w:rFonts w:ascii="Century Gothic" w:eastAsiaTheme="minorHAnsi" w:hAnsi="Century Gothic"/>
        <w:color w:val="auto"/>
        <w:sz w:val="18"/>
        <w:szCs w:val="24"/>
        <w:lang w:eastAsia="en-US"/>
      </w:rPr>
      <w:t>Western Australian public sector quarterly workforce report</w:t>
    </w:r>
    <w:r w:rsidRPr="00DD61C1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– </w:t>
    </w:r>
    <w:r w:rsidR="0024479E">
      <w:rPr>
        <w:rFonts w:ascii="Century Gothic" w:eastAsiaTheme="minorHAnsi" w:hAnsi="Century Gothic"/>
        <w:color w:val="auto"/>
        <w:sz w:val="18"/>
        <w:szCs w:val="24"/>
        <w:lang w:eastAsia="en-US"/>
      </w:rPr>
      <w:t>December</w:t>
    </w:r>
    <w:r w:rsidR="00DD6729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</w:t>
    </w:r>
    <w:r>
      <w:rPr>
        <w:rFonts w:ascii="Century Gothic" w:eastAsiaTheme="minorHAnsi" w:hAnsi="Century Gothic"/>
        <w:color w:val="auto"/>
        <w:sz w:val="18"/>
        <w:szCs w:val="24"/>
        <w:lang w:eastAsia="en-US"/>
      </w:rPr>
      <w:t>2022</w:t>
    </w:r>
    <w:sdt>
      <w:sdtPr>
        <w:rPr>
          <w:rFonts w:ascii="Century Gothic" w:eastAsiaTheme="minorHAnsi" w:hAnsi="Century Gothic" w:cs="Calibri Light"/>
          <w:color w:val="auto"/>
          <w:sz w:val="18"/>
          <w:szCs w:val="24"/>
          <w:lang w:eastAsia="en-US"/>
        </w:rPr>
        <w:id w:val="1279605289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DD61C1">
          <w:rPr>
            <w:rFonts w:ascii="Century Gothic" w:eastAsiaTheme="minorHAnsi" w:hAnsi="Century Gothic" w:cs="Calibri Light"/>
            <w:color w:val="auto"/>
            <w:sz w:val="18"/>
            <w:szCs w:val="24"/>
            <w:lang w:eastAsia="en-US"/>
          </w:rPr>
          <w:tab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begin"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instrText xml:space="preserve"> PAGE   \* MERGEFORMAT </w:instrText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separate"/>
        </w:r>
        <w:r w:rsidR="00A646DB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t>8</w:t>
        </w:r>
        <w:r w:rsidRPr="00DD61C1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5AAA" w14:textId="77777777" w:rsidR="005B7F09" w:rsidRDefault="005B7F09" w:rsidP="00607466">
      <w:r>
        <w:separator/>
      </w:r>
    </w:p>
  </w:footnote>
  <w:footnote w:type="continuationSeparator" w:id="0">
    <w:p w14:paraId="20D2E21A" w14:textId="77777777" w:rsidR="005B7F09" w:rsidRDefault="005B7F09" w:rsidP="00607466">
      <w:r>
        <w:continuationSeparator/>
      </w:r>
    </w:p>
  </w:footnote>
  <w:footnote w:id="1">
    <w:p w14:paraId="6284717A" w14:textId="35CB4403" w:rsidR="006A2B08" w:rsidRPr="006A2B08" w:rsidRDefault="006A2B0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6A2B08">
        <w:rPr>
          <w:sz w:val="16"/>
          <w:szCs w:val="16"/>
        </w:rPr>
        <w:t>Representation reported as 2.8% (due to standard rounding convention of the 2 decimal figure of 2.761%).</w:t>
      </w:r>
    </w:p>
  </w:footnote>
  <w:footnote w:id="2">
    <w:p w14:paraId="75EFA916" w14:textId="338ED487" w:rsidR="00EC0817" w:rsidRPr="00EC0817" w:rsidRDefault="00EC081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D4604">
        <w:rPr>
          <w:sz w:val="16"/>
          <w:szCs w:val="16"/>
          <w:lang w:val="en-AU"/>
        </w:rPr>
        <w:t>On 1 July 2022, Energy Policy WA (EPWA) commenced as a business group of the Department of Mines, Industry Regulation and Safety (DMIRS). Employee numbers continue to be included within DMIRS for the purposes of this report.</w:t>
      </w:r>
    </w:p>
  </w:footnote>
  <w:footnote w:id="3">
    <w:p w14:paraId="609796B6" w14:textId="2E0EEA3E" w:rsidR="00073448" w:rsidRPr="00956B01" w:rsidRDefault="00073448" w:rsidP="005939B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D4604">
        <w:rPr>
          <w:sz w:val="16"/>
          <w:szCs w:val="16"/>
        </w:rPr>
        <w:t>With the commencement of the Veterinary Practice Act 2021 on 18 June 2022, a title change has been made from the ‘Veterinary Surgeons’ Board’ to the ‘Veterinary Practice Board of Western Australia’. The new Board is a continuation of, and the same legal entity as, the former Board.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9A9" w14:textId="28603EC0" w:rsidR="00A66027" w:rsidRDefault="00A66027" w:rsidP="006074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540C57" wp14:editId="79356DA3">
          <wp:simplePos x="0" y="0"/>
          <wp:positionH relativeFrom="page">
            <wp:posOffset>15240</wp:posOffset>
          </wp:positionH>
          <wp:positionV relativeFrom="paragraph">
            <wp:posOffset>-457835</wp:posOffset>
          </wp:positionV>
          <wp:extent cx="7548785" cy="10026502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97"/>
                  <a:stretch/>
                </pic:blipFill>
                <pic:spPr bwMode="auto">
                  <a:xfrm>
                    <a:off x="0" y="0"/>
                    <a:ext cx="7548785" cy="10026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AA"/>
    <w:multiLevelType w:val="hybridMultilevel"/>
    <w:tmpl w:val="146E4656"/>
    <w:lvl w:ilvl="0" w:tplc="B290C11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2ED9"/>
    <w:multiLevelType w:val="hybridMultilevel"/>
    <w:tmpl w:val="0438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B37"/>
    <w:multiLevelType w:val="hybridMultilevel"/>
    <w:tmpl w:val="E78CA0B2"/>
    <w:lvl w:ilvl="0" w:tplc="53CE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41C27"/>
    <w:multiLevelType w:val="hybridMultilevel"/>
    <w:tmpl w:val="505A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89A"/>
    <w:multiLevelType w:val="hybridMultilevel"/>
    <w:tmpl w:val="6A6A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0F0"/>
    <w:multiLevelType w:val="hybridMultilevel"/>
    <w:tmpl w:val="1286E0B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2412EF9"/>
    <w:multiLevelType w:val="hybridMultilevel"/>
    <w:tmpl w:val="7E7602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A0B79"/>
    <w:multiLevelType w:val="hybridMultilevel"/>
    <w:tmpl w:val="AC64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B11"/>
    <w:multiLevelType w:val="hybridMultilevel"/>
    <w:tmpl w:val="E4ECF662"/>
    <w:lvl w:ilvl="0" w:tplc="BD5C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4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94D9F"/>
    <w:multiLevelType w:val="hybridMultilevel"/>
    <w:tmpl w:val="4562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531F"/>
    <w:multiLevelType w:val="hybridMultilevel"/>
    <w:tmpl w:val="43F46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042C"/>
    <w:multiLevelType w:val="hybridMultilevel"/>
    <w:tmpl w:val="7C4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0DCE"/>
    <w:multiLevelType w:val="hybridMultilevel"/>
    <w:tmpl w:val="8D5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5A15"/>
    <w:multiLevelType w:val="hybridMultilevel"/>
    <w:tmpl w:val="23885A4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0D77354"/>
    <w:multiLevelType w:val="hybridMultilevel"/>
    <w:tmpl w:val="5646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578A2"/>
    <w:multiLevelType w:val="hybridMultilevel"/>
    <w:tmpl w:val="62B8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6CFA"/>
    <w:multiLevelType w:val="hybridMultilevel"/>
    <w:tmpl w:val="F3FE0ADA"/>
    <w:lvl w:ilvl="0" w:tplc="83B09AEC">
      <w:start w:val="1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F7308"/>
    <w:multiLevelType w:val="multilevel"/>
    <w:tmpl w:val="960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26974"/>
    <w:multiLevelType w:val="hybridMultilevel"/>
    <w:tmpl w:val="9638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04285"/>
    <w:multiLevelType w:val="hybridMultilevel"/>
    <w:tmpl w:val="31D88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4627">
    <w:abstractNumId w:val="17"/>
  </w:num>
  <w:num w:numId="2" w16cid:durableId="205455841">
    <w:abstractNumId w:val="16"/>
  </w:num>
  <w:num w:numId="3" w16cid:durableId="1640527047">
    <w:abstractNumId w:val="6"/>
  </w:num>
  <w:num w:numId="4" w16cid:durableId="1932084160">
    <w:abstractNumId w:val="8"/>
  </w:num>
  <w:num w:numId="5" w16cid:durableId="708188947">
    <w:abstractNumId w:val="11"/>
  </w:num>
  <w:num w:numId="6" w16cid:durableId="1121999163">
    <w:abstractNumId w:val="1"/>
  </w:num>
  <w:num w:numId="7" w16cid:durableId="1009335998">
    <w:abstractNumId w:val="7"/>
  </w:num>
  <w:num w:numId="8" w16cid:durableId="1811751700">
    <w:abstractNumId w:val="12"/>
  </w:num>
  <w:num w:numId="9" w16cid:durableId="1329409340">
    <w:abstractNumId w:val="0"/>
  </w:num>
  <w:num w:numId="10" w16cid:durableId="711004170">
    <w:abstractNumId w:val="18"/>
  </w:num>
  <w:num w:numId="11" w16cid:durableId="1475757976">
    <w:abstractNumId w:val="2"/>
  </w:num>
  <w:num w:numId="12" w16cid:durableId="1256593069">
    <w:abstractNumId w:val="13"/>
  </w:num>
  <w:num w:numId="13" w16cid:durableId="189683929">
    <w:abstractNumId w:val="9"/>
  </w:num>
  <w:num w:numId="14" w16cid:durableId="551119858">
    <w:abstractNumId w:val="3"/>
  </w:num>
  <w:num w:numId="15" w16cid:durableId="1289169612">
    <w:abstractNumId w:val="4"/>
  </w:num>
  <w:num w:numId="16" w16cid:durableId="269357990">
    <w:abstractNumId w:val="15"/>
  </w:num>
  <w:num w:numId="17" w16cid:durableId="921523630">
    <w:abstractNumId w:val="5"/>
  </w:num>
  <w:num w:numId="18" w16cid:durableId="641153176">
    <w:abstractNumId w:val="10"/>
  </w:num>
  <w:num w:numId="19" w16cid:durableId="238517261">
    <w:abstractNumId w:val="14"/>
  </w:num>
  <w:num w:numId="20" w16cid:durableId="18848274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D9"/>
    <w:rsid w:val="000002FD"/>
    <w:rsid w:val="000039AA"/>
    <w:rsid w:val="0001245B"/>
    <w:rsid w:val="000158AF"/>
    <w:rsid w:val="000163A9"/>
    <w:rsid w:val="00017D66"/>
    <w:rsid w:val="00022074"/>
    <w:rsid w:val="00024274"/>
    <w:rsid w:val="00027334"/>
    <w:rsid w:val="0003049E"/>
    <w:rsid w:val="00030603"/>
    <w:rsid w:val="00034091"/>
    <w:rsid w:val="00034220"/>
    <w:rsid w:val="00035D91"/>
    <w:rsid w:val="00036DCA"/>
    <w:rsid w:val="00052DB4"/>
    <w:rsid w:val="00056D16"/>
    <w:rsid w:val="000610C7"/>
    <w:rsid w:val="000633EC"/>
    <w:rsid w:val="00066AAA"/>
    <w:rsid w:val="000670C1"/>
    <w:rsid w:val="00070C4C"/>
    <w:rsid w:val="00071A0B"/>
    <w:rsid w:val="00073448"/>
    <w:rsid w:val="00073FAA"/>
    <w:rsid w:val="00087D31"/>
    <w:rsid w:val="000903CB"/>
    <w:rsid w:val="00090CE8"/>
    <w:rsid w:val="000922E4"/>
    <w:rsid w:val="00093DCC"/>
    <w:rsid w:val="000A3161"/>
    <w:rsid w:val="000A6CFF"/>
    <w:rsid w:val="000B1091"/>
    <w:rsid w:val="000B5B90"/>
    <w:rsid w:val="000B67A1"/>
    <w:rsid w:val="000C4D29"/>
    <w:rsid w:val="000C7180"/>
    <w:rsid w:val="000D0B9E"/>
    <w:rsid w:val="000D1422"/>
    <w:rsid w:val="000D297F"/>
    <w:rsid w:val="000D3754"/>
    <w:rsid w:val="000D7AD8"/>
    <w:rsid w:val="000E1883"/>
    <w:rsid w:val="000F6B00"/>
    <w:rsid w:val="00103AF5"/>
    <w:rsid w:val="00112F25"/>
    <w:rsid w:val="00114B34"/>
    <w:rsid w:val="00115034"/>
    <w:rsid w:val="001164A8"/>
    <w:rsid w:val="00124A29"/>
    <w:rsid w:val="001272D1"/>
    <w:rsid w:val="0013168B"/>
    <w:rsid w:val="00142732"/>
    <w:rsid w:val="001533F4"/>
    <w:rsid w:val="00155969"/>
    <w:rsid w:val="00155B99"/>
    <w:rsid w:val="00156AF1"/>
    <w:rsid w:val="0016001B"/>
    <w:rsid w:val="00160270"/>
    <w:rsid w:val="00161957"/>
    <w:rsid w:val="0016263F"/>
    <w:rsid w:val="00163AC1"/>
    <w:rsid w:val="001648F9"/>
    <w:rsid w:val="00166066"/>
    <w:rsid w:val="00166F9C"/>
    <w:rsid w:val="00167A36"/>
    <w:rsid w:val="00173063"/>
    <w:rsid w:val="00176402"/>
    <w:rsid w:val="001772B6"/>
    <w:rsid w:val="0017783C"/>
    <w:rsid w:val="001819FB"/>
    <w:rsid w:val="00184365"/>
    <w:rsid w:val="001943ED"/>
    <w:rsid w:val="0019442D"/>
    <w:rsid w:val="00194E7C"/>
    <w:rsid w:val="00194F4C"/>
    <w:rsid w:val="001B1B01"/>
    <w:rsid w:val="001B3D81"/>
    <w:rsid w:val="001B563A"/>
    <w:rsid w:val="001C2218"/>
    <w:rsid w:val="001C2AD2"/>
    <w:rsid w:val="001C5084"/>
    <w:rsid w:val="001D0F7C"/>
    <w:rsid w:val="001D1D5D"/>
    <w:rsid w:val="001D21F5"/>
    <w:rsid w:val="001D35F8"/>
    <w:rsid w:val="001D5DEC"/>
    <w:rsid w:val="001E2493"/>
    <w:rsid w:val="001E2937"/>
    <w:rsid w:val="001F332C"/>
    <w:rsid w:val="001F3558"/>
    <w:rsid w:val="001F4612"/>
    <w:rsid w:val="001F5036"/>
    <w:rsid w:val="00201696"/>
    <w:rsid w:val="00205D96"/>
    <w:rsid w:val="00220804"/>
    <w:rsid w:val="00225510"/>
    <w:rsid w:val="00235732"/>
    <w:rsid w:val="00235D77"/>
    <w:rsid w:val="00237216"/>
    <w:rsid w:val="00243430"/>
    <w:rsid w:val="002443EF"/>
    <w:rsid w:val="0024476A"/>
    <w:rsid w:val="0024479E"/>
    <w:rsid w:val="0024639B"/>
    <w:rsid w:val="002470F4"/>
    <w:rsid w:val="002500BA"/>
    <w:rsid w:val="002506AA"/>
    <w:rsid w:val="0025175B"/>
    <w:rsid w:val="00254FD5"/>
    <w:rsid w:val="002561B4"/>
    <w:rsid w:val="00261B99"/>
    <w:rsid w:val="00262956"/>
    <w:rsid w:val="00262E0A"/>
    <w:rsid w:val="002660F9"/>
    <w:rsid w:val="00266709"/>
    <w:rsid w:val="002677BA"/>
    <w:rsid w:val="00273A8D"/>
    <w:rsid w:val="002741E8"/>
    <w:rsid w:val="0027558C"/>
    <w:rsid w:val="00276D58"/>
    <w:rsid w:val="00277CE4"/>
    <w:rsid w:val="00281C7E"/>
    <w:rsid w:val="00284476"/>
    <w:rsid w:val="002861A8"/>
    <w:rsid w:val="0029182E"/>
    <w:rsid w:val="002952BA"/>
    <w:rsid w:val="00297FF6"/>
    <w:rsid w:val="002D2312"/>
    <w:rsid w:val="002D4961"/>
    <w:rsid w:val="002E25E1"/>
    <w:rsid w:val="002E40BB"/>
    <w:rsid w:val="00300820"/>
    <w:rsid w:val="00301C13"/>
    <w:rsid w:val="00303049"/>
    <w:rsid w:val="00303693"/>
    <w:rsid w:val="00307CD4"/>
    <w:rsid w:val="0031286C"/>
    <w:rsid w:val="003157D6"/>
    <w:rsid w:val="003167AF"/>
    <w:rsid w:val="00323411"/>
    <w:rsid w:val="003239DA"/>
    <w:rsid w:val="00327D17"/>
    <w:rsid w:val="003336F7"/>
    <w:rsid w:val="003401E6"/>
    <w:rsid w:val="003444F2"/>
    <w:rsid w:val="00344738"/>
    <w:rsid w:val="0034676E"/>
    <w:rsid w:val="00350690"/>
    <w:rsid w:val="00353B63"/>
    <w:rsid w:val="0035762C"/>
    <w:rsid w:val="00360B0E"/>
    <w:rsid w:val="00361907"/>
    <w:rsid w:val="00362E86"/>
    <w:rsid w:val="00366ECE"/>
    <w:rsid w:val="00370A08"/>
    <w:rsid w:val="00370A3C"/>
    <w:rsid w:val="00372658"/>
    <w:rsid w:val="00373FD9"/>
    <w:rsid w:val="0037417C"/>
    <w:rsid w:val="00380750"/>
    <w:rsid w:val="003810A7"/>
    <w:rsid w:val="00383E02"/>
    <w:rsid w:val="00386A8E"/>
    <w:rsid w:val="00390E39"/>
    <w:rsid w:val="00391A65"/>
    <w:rsid w:val="003934B4"/>
    <w:rsid w:val="00396099"/>
    <w:rsid w:val="003A32F5"/>
    <w:rsid w:val="003B5090"/>
    <w:rsid w:val="003B67F9"/>
    <w:rsid w:val="003B7136"/>
    <w:rsid w:val="003B73FF"/>
    <w:rsid w:val="003B74DA"/>
    <w:rsid w:val="003D4484"/>
    <w:rsid w:val="003D4C38"/>
    <w:rsid w:val="003D7A87"/>
    <w:rsid w:val="003E1971"/>
    <w:rsid w:val="003E1A9C"/>
    <w:rsid w:val="003E40AB"/>
    <w:rsid w:val="003E5358"/>
    <w:rsid w:val="003E6D70"/>
    <w:rsid w:val="003F0A06"/>
    <w:rsid w:val="003F109B"/>
    <w:rsid w:val="003F1D50"/>
    <w:rsid w:val="003F31B7"/>
    <w:rsid w:val="003F3BE7"/>
    <w:rsid w:val="003F5010"/>
    <w:rsid w:val="003F5682"/>
    <w:rsid w:val="00402C29"/>
    <w:rsid w:val="00403A6B"/>
    <w:rsid w:val="00405CAE"/>
    <w:rsid w:val="00406171"/>
    <w:rsid w:val="00406B35"/>
    <w:rsid w:val="0040733D"/>
    <w:rsid w:val="0040739E"/>
    <w:rsid w:val="0040746E"/>
    <w:rsid w:val="00415527"/>
    <w:rsid w:val="0041564A"/>
    <w:rsid w:val="00417961"/>
    <w:rsid w:val="00417AF6"/>
    <w:rsid w:val="00423313"/>
    <w:rsid w:val="00425F5A"/>
    <w:rsid w:val="004309BB"/>
    <w:rsid w:val="004338CC"/>
    <w:rsid w:val="004375DD"/>
    <w:rsid w:val="0044026E"/>
    <w:rsid w:val="0044046D"/>
    <w:rsid w:val="00443D3E"/>
    <w:rsid w:val="004449CA"/>
    <w:rsid w:val="00446A3F"/>
    <w:rsid w:val="004522BF"/>
    <w:rsid w:val="00455B8B"/>
    <w:rsid w:val="004560E9"/>
    <w:rsid w:val="004619AD"/>
    <w:rsid w:val="0046768C"/>
    <w:rsid w:val="00470068"/>
    <w:rsid w:val="004704B6"/>
    <w:rsid w:val="00475B2E"/>
    <w:rsid w:val="00480722"/>
    <w:rsid w:val="00484458"/>
    <w:rsid w:val="004939BE"/>
    <w:rsid w:val="00495618"/>
    <w:rsid w:val="004970D8"/>
    <w:rsid w:val="0049790C"/>
    <w:rsid w:val="004A3184"/>
    <w:rsid w:val="004B0540"/>
    <w:rsid w:val="004B1A28"/>
    <w:rsid w:val="004B4E73"/>
    <w:rsid w:val="004B5374"/>
    <w:rsid w:val="004B5A06"/>
    <w:rsid w:val="004C1114"/>
    <w:rsid w:val="004C7EDF"/>
    <w:rsid w:val="004D0D70"/>
    <w:rsid w:val="004D0F80"/>
    <w:rsid w:val="004D1F4A"/>
    <w:rsid w:val="004D2D10"/>
    <w:rsid w:val="004E0D93"/>
    <w:rsid w:val="004E0EE5"/>
    <w:rsid w:val="004E52A9"/>
    <w:rsid w:val="00500F12"/>
    <w:rsid w:val="00504075"/>
    <w:rsid w:val="00504646"/>
    <w:rsid w:val="00510811"/>
    <w:rsid w:val="005111CC"/>
    <w:rsid w:val="0051632C"/>
    <w:rsid w:val="005164C9"/>
    <w:rsid w:val="00517FE7"/>
    <w:rsid w:val="005211EB"/>
    <w:rsid w:val="00523436"/>
    <w:rsid w:val="00526D6D"/>
    <w:rsid w:val="00540BCC"/>
    <w:rsid w:val="005430B9"/>
    <w:rsid w:val="00557AF6"/>
    <w:rsid w:val="00557EEB"/>
    <w:rsid w:val="00562226"/>
    <w:rsid w:val="005660CE"/>
    <w:rsid w:val="00566F6A"/>
    <w:rsid w:val="00572E33"/>
    <w:rsid w:val="00576493"/>
    <w:rsid w:val="0058055E"/>
    <w:rsid w:val="0058211D"/>
    <w:rsid w:val="00583006"/>
    <w:rsid w:val="00590449"/>
    <w:rsid w:val="005939B5"/>
    <w:rsid w:val="00593DB6"/>
    <w:rsid w:val="0059550D"/>
    <w:rsid w:val="005A0512"/>
    <w:rsid w:val="005A2B23"/>
    <w:rsid w:val="005A6E16"/>
    <w:rsid w:val="005B22C8"/>
    <w:rsid w:val="005B7B66"/>
    <w:rsid w:val="005B7F09"/>
    <w:rsid w:val="005C4AC3"/>
    <w:rsid w:val="005C5C7B"/>
    <w:rsid w:val="005C79A8"/>
    <w:rsid w:val="005D4604"/>
    <w:rsid w:val="005D7B2A"/>
    <w:rsid w:val="005E0E6E"/>
    <w:rsid w:val="005E2237"/>
    <w:rsid w:val="005E38F4"/>
    <w:rsid w:val="005E5722"/>
    <w:rsid w:val="005E68B2"/>
    <w:rsid w:val="005E7A49"/>
    <w:rsid w:val="005F66C6"/>
    <w:rsid w:val="0060329E"/>
    <w:rsid w:val="006062AB"/>
    <w:rsid w:val="00607466"/>
    <w:rsid w:val="006122AC"/>
    <w:rsid w:val="00613088"/>
    <w:rsid w:val="00622D0C"/>
    <w:rsid w:val="00623A1B"/>
    <w:rsid w:val="006258A2"/>
    <w:rsid w:val="006369EB"/>
    <w:rsid w:val="006472D5"/>
    <w:rsid w:val="00647C0A"/>
    <w:rsid w:val="006542A7"/>
    <w:rsid w:val="0065446D"/>
    <w:rsid w:val="0066429F"/>
    <w:rsid w:val="00664DAC"/>
    <w:rsid w:val="00665B90"/>
    <w:rsid w:val="00677EE7"/>
    <w:rsid w:val="0068110F"/>
    <w:rsid w:val="0068227C"/>
    <w:rsid w:val="00684AFE"/>
    <w:rsid w:val="006908B0"/>
    <w:rsid w:val="006926A7"/>
    <w:rsid w:val="006961F2"/>
    <w:rsid w:val="006A2B08"/>
    <w:rsid w:val="006A5FF7"/>
    <w:rsid w:val="006B0093"/>
    <w:rsid w:val="006B2D39"/>
    <w:rsid w:val="006B3054"/>
    <w:rsid w:val="006C2116"/>
    <w:rsid w:val="006C5CBE"/>
    <w:rsid w:val="006D3B95"/>
    <w:rsid w:val="006D4389"/>
    <w:rsid w:val="006D445E"/>
    <w:rsid w:val="006D595F"/>
    <w:rsid w:val="006D614E"/>
    <w:rsid w:val="006E6D06"/>
    <w:rsid w:val="006F0A81"/>
    <w:rsid w:val="006F3EC6"/>
    <w:rsid w:val="00700974"/>
    <w:rsid w:val="0070136C"/>
    <w:rsid w:val="0070439F"/>
    <w:rsid w:val="0070619F"/>
    <w:rsid w:val="007070EE"/>
    <w:rsid w:val="00724A8B"/>
    <w:rsid w:val="0072796E"/>
    <w:rsid w:val="00727EE6"/>
    <w:rsid w:val="00733085"/>
    <w:rsid w:val="007376EF"/>
    <w:rsid w:val="00737B48"/>
    <w:rsid w:val="0074648E"/>
    <w:rsid w:val="007472F0"/>
    <w:rsid w:val="0074786D"/>
    <w:rsid w:val="00747D8A"/>
    <w:rsid w:val="00752048"/>
    <w:rsid w:val="0075296C"/>
    <w:rsid w:val="00757BD6"/>
    <w:rsid w:val="00763D60"/>
    <w:rsid w:val="00772517"/>
    <w:rsid w:val="00775186"/>
    <w:rsid w:val="007817B0"/>
    <w:rsid w:val="00782C87"/>
    <w:rsid w:val="00785C66"/>
    <w:rsid w:val="007922A5"/>
    <w:rsid w:val="00792A3A"/>
    <w:rsid w:val="007947EA"/>
    <w:rsid w:val="0079537F"/>
    <w:rsid w:val="00796580"/>
    <w:rsid w:val="007A6956"/>
    <w:rsid w:val="007B3317"/>
    <w:rsid w:val="007B372C"/>
    <w:rsid w:val="007B4FC7"/>
    <w:rsid w:val="007C05E6"/>
    <w:rsid w:val="007C147E"/>
    <w:rsid w:val="007C5210"/>
    <w:rsid w:val="007D15D8"/>
    <w:rsid w:val="007D31EE"/>
    <w:rsid w:val="007D4DB2"/>
    <w:rsid w:val="007D74F4"/>
    <w:rsid w:val="007E0645"/>
    <w:rsid w:val="007E5220"/>
    <w:rsid w:val="007E6A33"/>
    <w:rsid w:val="007F2DA5"/>
    <w:rsid w:val="007F4DB2"/>
    <w:rsid w:val="007F6B9B"/>
    <w:rsid w:val="008035E6"/>
    <w:rsid w:val="00803B35"/>
    <w:rsid w:val="00807AB4"/>
    <w:rsid w:val="00814D13"/>
    <w:rsid w:val="00820973"/>
    <w:rsid w:val="00822699"/>
    <w:rsid w:val="0082329E"/>
    <w:rsid w:val="00826F9F"/>
    <w:rsid w:val="00835C76"/>
    <w:rsid w:val="008374F7"/>
    <w:rsid w:val="00841678"/>
    <w:rsid w:val="008451CE"/>
    <w:rsid w:val="00855F16"/>
    <w:rsid w:val="00864BC2"/>
    <w:rsid w:val="008750E6"/>
    <w:rsid w:val="00880F9C"/>
    <w:rsid w:val="0088303B"/>
    <w:rsid w:val="00884B91"/>
    <w:rsid w:val="00893864"/>
    <w:rsid w:val="008A3CCD"/>
    <w:rsid w:val="008A73CD"/>
    <w:rsid w:val="008B0478"/>
    <w:rsid w:val="008B2549"/>
    <w:rsid w:val="008B61E4"/>
    <w:rsid w:val="008B64B5"/>
    <w:rsid w:val="008E1087"/>
    <w:rsid w:val="008E2E47"/>
    <w:rsid w:val="008E60DB"/>
    <w:rsid w:val="008E6FDA"/>
    <w:rsid w:val="008E78FE"/>
    <w:rsid w:val="008F0DDE"/>
    <w:rsid w:val="008F67C0"/>
    <w:rsid w:val="008F7AA5"/>
    <w:rsid w:val="0090220D"/>
    <w:rsid w:val="00903FC6"/>
    <w:rsid w:val="00904528"/>
    <w:rsid w:val="00904564"/>
    <w:rsid w:val="00905088"/>
    <w:rsid w:val="00917C55"/>
    <w:rsid w:val="00921487"/>
    <w:rsid w:val="00921C6B"/>
    <w:rsid w:val="009228C1"/>
    <w:rsid w:val="00925062"/>
    <w:rsid w:val="0092508A"/>
    <w:rsid w:val="00931992"/>
    <w:rsid w:val="009348F3"/>
    <w:rsid w:val="009365AA"/>
    <w:rsid w:val="009453B8"/>
    <w:rsid w:val="009464A3"/>
    <w:rsid w:val="00952CFF"/>
    <w:rsid w:val="00955AD6"/>
    <w:rsid w:val="00956B01"/>
    <w:rsid w:val="00967C58"/>
    <w:rsid w:val="00972AB7"/>
    <w:rsid w:val="00974DEC"/>
    <w:rsid w:val="00981050"/>
    <w:rsid w:val="009839E8"/>
    <w:rsid w:val="00983E85"/>
    <w:rsid w:val="009871F6"/>
    <w:rsid w:val="00987BF2"/>
    <w:rsid w:val="00992D51"/>
    <w:rsid w:val="00994760"/>
    <w:rsid w:val="009949B4"/>
    <w:rsid w:val="0099607C"/>
    <w:rsid w:val="00997333"/>
    <w:rsid w:val="009A2073"/>
    <w:rsid w:val="009A60E3"/>
    <w:rsid w:val="009B62B3"/>
    <w:rsid w:val="009B75CD"/>
    <w:rsid w:val="009C012D"/>
    <w:rsid w:val="009C0E44"/>
    <w:rsid w:val="009C28B3"/>
    <w:rsid w:val="009D1E82"/>
    <w:rsid w:val="009D43F4"/>
    <w:rsid w:val="009D4B14"/>
    <w:rsid w:val="009D4F20"/>
    <w:rsid w:val="009D5A65"/>
    <w:rsid w:val="009F2188"/>
    <w:rsid w:val="009F516F"/>
    <w:rsid w:val="009F5326"/>
    <w:rsid w:val="009F7BC7"/>
    <w:rsid w:val="00A02813"/>
    <w:rsid w:val="00A03D1D"/>
    <w:rsid w:val="00A04729"/>
    <w:rsid w:val="00A112D3"/>
    <w:rsid w:val="00A14B65"/>
    <w:rsid w:val="00A14F67"/>
    <w:rsid w:val="00A21ABE"/>
    <w:rsid w:val="00A257CB"/>
    <w:rsid w:val="00A25DC0"/>
    <w:rsid w:val="00A26E99"/>
    <w:rsid w:val="00A33D96"/>
    <w:rsid w:val="00A35F89"/>
    <w:rsid w:val="00A40195"/>
    <w:rsid w:val="00A41CC5"/>
    <w:rsid w:val="00A4444D"/>
    <w:rsid w:val="00A467BB"/>
    <w:rsid w:val="00A5247E"/>
    <w:rsid w:val="00A52697"/>
    <w:rsid w:val="00A60109"/>
    <w:rsid w:val="00A60D4F"/>
    <w:rsid w:val="00A60D76"/>
    <w:rsid w:val="00A61904"/>
    <w:rsid w:val="00A64506"/>
    <w:rsid w:val="00A646DB"/>
    <w:rsid w:val="00A66027"/>
    <w:rsid w:val="00A67125"/>
    <w:rsid w:val="00A70646"/>
    <w:rsid w:val="00A72C02"/>
    <w:rsid w:val="00A7781C"/>
    <w:rsid w:val="00A81B43"/>
    <w:rsid w:val="00A9236C"/>
    <w:rsid w:val="00A966F1"/>
    <w:rsid w:val="00A969C2"/>
    <w:rsid w:val="00AA0B53"/>
    <w:rsid w:val="00AA1998"/>
    <w:rsid w:val="00AA5212"/>
    <w:rsid w:val="00AB1F70"/>
    <w:rsid w:val="00AD7474"/>
    <w:rsid w:val="00AE23DF"/>
    <w:rsid w:val="00AE35DD"/>
    <w:rsid w:val="00AE5150"/>
    <w:rsid w:val="00AE52D2"/>
    <w:rsid w:val="00AF27DE"/>
    <w:rsid w:val="00AF4110"/>
    <w:rsid w:val="00AF7A0D"/>
    <w:rsid w:val="00AF7ABC"/>
    <w:rsid w:val="00B043C4"/>
    <w:rsid w:val="00B06FAD"/>
    <w:rsid w:val="00B07157"/>
    <w:rsid w:val="00B12D35"/>
    <w:rsid w:val="00B22A8E"/>
    <w:rsid w:val="00B271FA"/>
    <w:rsid w:val="00B302DE"/>
    <w:rsid w:val="00B316D7"/>
    <w:rsid w:val="00B456EB"/>
    <w:rsid w:val="00B4588C"/>
    <w:rsid w:val="00B547E5"/>
    <w:rsid w:val="00B54C21"/>
    <w:rsid w:val="00B563B1"/>
    <w:rsid w:val="00B57116"/>
    <w:rsid w:val="00B62A5F"/>
    <w:rsid w:val="00B62D66"/>
    <w:rsid w:val="00B728CC"/>
    <w:rsid w:val="00B72D78"/>
    <w:rsid w:val="00B73D1B"/>
    <w:rsid w:val="00B7476C"/>
    <w:rsid w:val="00B75F29"/>
    <w:rsid w:val="00B76FBB"/>
    <w:rsid w:val="00B800D1"/>
    <w:rsid w:val="00B83360"/>
    <w:rsid w:val="00B91CED"/>
    <w:rsid w:val="00B92A2D"/>
    <w:rsid w:val="00B93932"/>
    <w:rsid w:val="00B945A7"/>
    <w:rsid w:val="00BA12D6"/>
    <w:rsid w:val="00BA26FE"/>
    <w:rsid w:val="00BA5DD5"/>
    <w:rsid w:val="00BB1612"/>
    <w:rsid w:val="00BB499B"/>
    <w:rsid w:val="00BB74E6"/>
    <w:rsid w:val="00BC2116"/>
    <w:rsid w:val="00BC6761"/>
    <w:rsid w:val="00BC6983"/>
    <w:rsid w:val="00BD092D"/>
    <w:rsid w:val="00BD2AF5"/>
    <w:rsid w:val="00BD55E1"/>
    <w:rsid w:val="00BD7270"/>
    <w:rsid w:val="00BE086E"/>
    <w:rsid w:val="00BE1E48"/>
    <w:rsid w:val="00BE223B"/>
    <w:rsid w:val="00BF3D4D"/>
    <w:rsid w:val="00BF3EA4"/>
    <w:rsid w:val="00BF4A87"/>
    <w:rsid w:val="00BF7A90"/>
    <w:rsid w:val="00C050EB"/>
    <w:rsid w:val="00C05B59"/>
    <w:rsid w:val="00C07157"/>
    <w:rsid w:val="00C13BC1"/>
    <w:rsid w:val="00C14672"/>
    <w:rsid w:val="00C338E1"/>
    <w:rsid w:val="00C36EDA"/>
    <w:rsid w:val="00C37C7D"/>
    <w:rsid w:val="00C40167"/>
    <w:rsid w:val="00C4027C"/>
    <w:rsid w:val="00C4073F"/>
    <w:rsid w:val="00C45397"/>
    <w:rsid w:val="00C45D44"/>
    <w:rsid w:val="00C51C2E"/>
    <w:rsid w:val="00C53454"/>
    <w:rsid w:val="00C540DA"/>
    <w:rsid w:val="00C63010"/>
    <w:rsid w:val="00C66375"/>
    <w:rsid w:val="00C728FE"/>
    <w:rsid w:val="00C736B0"/>
    <w:rsid w:val="00C81E22"/>
    <w:rsid w:val="00C8204B"/>
    <w:rsid w:val="00C85BC2"/>
    <w:rsid w:val="00C901AA"/>
    <w:rsid w:val="00C910D3"/>
    <w:rsid w:val="00C928CA"/>
    <w:rsid w:val="00C96AD0"/>
    <w:rsid w:val="00C96C7E"/>
    <w:rsid w:val="00CA1856"/>
    <w:rsid w:val="00CA1B50"/>
    <w:rsid w:val="00CA4321"/>
    <w:rsid w:val="00CA540F"/>
    <w:rsid w:val="00CA5A81"/>
    <w:rsid w:val="00CA7882"/>
    <w:rsid w:val="00CB15A1"/>
    <w:rsid w:val="00CB36F5"/>
    <w:rsid w:val="00CC22E0"/>
    <w:rsid w:val="00CC4677"/>
    <w:rsid w:val="00CC73AB"/>
    <w:rsid w:val="00CC74B2"/>
    <w:rsid w:val="00CC76B7"/>
    <w:rsid w:val="00CD0213"/>
    <w:rsid w:val="00CD2F1C"/>
    <w:rsid w:val="00CD7582"/>
    <w:rsid w:val="00CE4FCA"/>
    <w:rsid w:val="00CF389B"/>
    <w:rsid w:val="00CF39DC"/>
    <w:rsid w:val="00CF3CF5"/>
    <w:rsid w:val="00D1159E"/>
    <w:rsid w:val="00D22474"/>
    <w:rsid w:val="00D23D74"/>
    <w:rsid w:val="00D24C2F"/>
    <w:rsid w:val="00D30820"/>
    <w:rsid w:val="00D35FC7"/>
    <w:rsid w:val="00D40DF7"/>
    <w:rsid w:val="00D42895"/>
    <w:rsid w:val="00D42F5B"/>
    <w:rsid w:val="00D453C8"/>
    <w:rsid w:val="00D46CC8"/>
    <w:rsid w:val="00D47BA3"/>
    <w:rsid w:val="00D55AAF"/>
    <w:rsid w:val="00D65FD3"/>
    <w:rsid w:val="00D7121A"/>
    <w:rsid w:val="00D762E2"/>
    <w:rsid w:val="00D772B7"/>
    <w:rsid w:val="00D863C0"/>
    <w:rsid w:val="00D932B6"/>
    <w:rsid w:val="00DA0E34"/>
    <w:rsid w:val="00DA0F3B"/>
    <w:rsid w:val="00DA2C0E"/>
    <w:rsid w:val="00DA35A9"/>
    <w:rsid w:val="00DA5773"/>
    <w:rsid w:val="00DB0BDA"/>
    <w:rsid w:val="00DB33F8"/>
    <w:rsid w:val="00DB7426"/>
    <w:rsid w:val="00DC0A1B"/>
    <w:rsid w:val="00DC3674"/>
    <w:rsid w:val="00DC38B1"/>
    <w:rsid w:val="00DC3E11"/>
    <w:rsid w:val="00DC45F1"/>
    <w:rsid w:val="00DD0B40"/>
    <w:rsid w:val="00DD120E"/>
    <w:rsid w:val="00DD16E2"/>
    <w:rsid w:val="00DD4EFB"/>
    <w:rsid w:val="00DD5F21"/>
    <w:rsid w:val="00DD61C1"/>
    <w:rsid w:val="00DD6729"/>
    <w:rsid w:val="00DE6386"/>
    <w:rsid w:val="00DE7481"/>
    <w:rsid w:val="00E00549"/>
    <w:rsid w:val="00E106F8"/>
    <w:rsid w:val="00E107F3"/>
    <w:rsid w:val="00E119AB"/>
    <w:rsid w:val="00E12BC0"/>
    <w:rsid w:val="00E1633D"/>
    <w:rsid w:val="00E16EB5"/>
    <w:rsid w:val="00E171A4"/>
    <w:rsid w:val="00E21BDB"/>
    <w:rsid w:val="00E23D5E"/>
    <w:rsid w:val="00E32716"/>
    <w:rsid w:val="00E327C6"/>
    <w:rsid w:val="00E407DE"/>
    <w:rsid w:val="00E4669E"/>
    <w:rsid w:val="00E47372"/>
    <w:rsid w:val="00E47A3C"/>
    <w:rsid w:val="00E62899"/>
    <w:rsid w:val="00E64377"/>
    <w:rsid w:val="00E704AE"/>
    <w:rsid w:val="00E75335"/>
    <w:rsid w:val="00E80C53"/>
    <w:rsid w:val="00E825C0"/>
    <w:rsid w:val="00E84001"/>
    <w:rsid w:val="00E90851"/>
    <w:rsid w:val="00EA7FC5"/>
    <w:rsid w:val="00EB0109"/>
    <w:rsid w:val="00EB0619"/>
    <w:rsid w:val="00EB09F0"/>
    <w:rsid w:val="00EB0D97"/>
    <w:rsid w:val="00EB4AC2"/>
    <w:rsid w:val="00EC0437"/>
    <w:rsid w:val="00EC0817"/>
    <w:rsid w:val="00ED289B"/>
    <w:rsid w:val="00ED2C27"/>
    <w:rsid w:val="00ED5777"/>
    <w:rsid w:val="00EE3418"/>
    <w:rsid w:val="00EF4166"/>
    <w:rsid w:val="00EF4B0F"/>
    <w:rsid w:val="00EF4F5E"/>
    <w:rsid w:val="00EF5FD2"/>
    <w:rsid w:val="00EF64F7"/>
    <w:rsid w:val="00EF6C1F"/>
    <w:rsid w:val="00F01D47"/>
    <w:rsid w:val="00F1026C"/>
    <w:rsid w:val="00F140D9"/>
    <w:rsid w:val="00F22100"/>
    <w:rsid w:val="00F27804"/>
    <w:rsid w:val="00F4323B"/>
    <w:rsid w:val="00F54D74"/>
    <w:rsid w:val="00F55570"/>
    <w:rsid w:val="00F60192"/>
    <w:rsid w:val="00F73E21"/>
    <w:rsid w:val="00F76D8B"/>
    <w:rsid w:val="00F77A0C"/>
    <w:rsid w:val="00F80707"/>
    <w:rsid w:val="00F84448"/>
    <w:rsid w:val="00F846F5"/>
    <w:rsid w:val="00F85D21"/>
    <w:rsid w:val="00F86D38"/>
    <w:rsid w:val="00F91416"/>
    <w:rsid w:val="00F92BD1"/>
    <w:rsid w:val="00F955C4"/>
    <w:rsid w:val="00F9683E"/>
    <w:rsid w:val="00F96B14"/>
    <w:rsid w:val="00FA235B"/>
    <w:rsid w:val="00FB056F"/>
    <w:rsid w:val="00FB0FF1"/>
    <w:rsid w:val="00FB39F8"/>
    <w:rsid w:val="00FB6D7D"/>
    <w:rsid w:val="00FB6F6B"/>
    <w:rsid w:val="00FC3581"/>
    <w:rsid w:val="00FD2B59"/>
    <w:rsid w:val="00FD38AA"/>
    <w:rsid w:val="00FD38D4"/>
    <w:rsid w:val="00FD7641"/>
    <w:rsid w:val="00FE17DB"/>
    <w:rsid w:val="00FE7DE9"/>
    <w:rsid w:val="00FF1F8E"/>
    <w:rsid w:val="00FF345E"/>
    <w:rsid w:val="00FF482C"/>
    <w:rsid w:val="00FF5E1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9F3D"/>
  <w15:chartTrackingRefBased/>
  <w15:docId w15:val="{E272EB0D-3016-492D-8538-0E460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66"/>
    <w:pPr>
      <w:spacing w:before="100" w:beforeAutospacing="1" w:after="100"/>
    </w:pPr>
    <w:rPr>
      <w:rFonts w:ascii="Arial" w:eastAsia="Times New Roman" w:hAnsi="Arial" w:cs="Arial"/>
      <w:color w:val="000000"/>
      <w:lang w:eastAsia="en-AU"/>
    </w:rPr>
  </w:style>
  <w:style w:type="paragraph" w:styleId="Heading1">
    <w:name w:val="heading 1"/>
    <w:basedOn w:val="Title"/>
    <w:link w:val="Heading1Char"/>
    <w:uiPriority w:val="9"/>
    <w:qFormat/>
    <w:rsid w:val="004D0F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80"/>
    <w:pPr>
      <w:shd w:val="clear" w:color="auto" w:fill="FFFFFF"/>
      <w:spacing w:afterAutospacing="1" w:line="713" w:lineRule="atLeast"/>
      <w:outlineLvl w:val="1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80"/>
    <w:pPr>
      <w:outlineLvl w:val="2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0F80"/>
    <w:rPr>
      <w:rFonts w:ascii="Century Gothic" w:eastAsiaTheme="majorEastAsia" w:hAnsi="Century Gothic" w:cstheme="majorBidi"/>
      <w:color w:val="000000" w:themeColor="text1"/>
      <w:sz w:val="32"/>
      <w:szCs w:val="32"/>
      <w:shd w:val="clear" w:color="auto" w:fill="FFFFFF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0F80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14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List Paragraph1,Recommendation,List Paragraph11,Content descriptions,Indented Bullet Solid,Dot Point"/>
    <w:basedOn w:val="Normal"/>
    <w:link w:val="ListParagraphChar"/>
    <w:uiPriority w:val="34"/>
    <w:qFormat/>
    <w:rsid w:val="00323411"/>
    <w:pPr>
      <w:ind w:left="720"/>
      <w:contextualSpacing/>
    </w:pPr>
  </w:style>
  <w:style w:type="character" w:styleId="Hyperlink">
    <w:name w:val="Hyperlink"/>
    <w:uiPriority w:val="99"/>
    <w:rsid w:val="006258A2"/>
    <w:rPr>
      <w:color w:val="0000FF"/>
      <w:u w:val="single"/>
    </w:rPr>
  </w:style>
  <w:style w:type="table" w:styleId="TableGrid">
    <w:name w:val="Table Grid"/>
    <w:basedOn w:val="TableNormal"/>
    <w:uiPriority w:val="39"/>
    <w:rsid w:val="0062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C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C76B7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6B7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C76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C147E"/>
    <w:pPr>
      <w:spacing w:before="240" w:after="240" w:line="240" w:lineRule="auto"/>
    </w:pPr>
    <w:rPr>
      <w:rFonts w:eastAsia="Arial Unicode MS" w:cs="Times New Roman"/>
      <w:b/>
      <w:bCs/>
      <w:sz w:val="20"/>
      <w:szCs w:val="20"/>
      <w:lang w:val="en-US" w:eastAsia="zh-CN"/>
    </w:rPr>
  </w:style>
  <w:style w:type="table" w:styleId="TableGridLight">
    <w:name w:val="Grid Table Light"/>
    <w:basedOn w:val="TableNormal"/>
    <w:uiPriority w:val="40"/>
    <w:rsid w:val="007C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4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C14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22C8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484458"/>
    <w:pPr>
      <w:spacing w:before="60" w:after="60" w:line="276" w:lineRule="auto"/>
      <w:ind w:left="706" w:hanging="360"/>
      <w:contextualSpacing w:val="0"/>
    </w:pPr>
    <w:rPr>
      <w:sz w:val="23"/>
      <w:szCs w:val="23"/>
    </w:rPr>
  </w:style>
  <w:style w:type="paragraph" w:customStyle="1" w:styleId="TableText">
    <w:name w:val="Table Text"/>
    <w:basedOn w:val="Normal"/>
    <w:qFormat/>
    <w:rsid w:val="000610C7"/>
    <w:pPr>
      <w:spacing w:before="60" w:after="60" w:line="276" w:lineRule="auto"/>
    </w:pPr>
    <w:rPr>
      <w:rFonts w:eastAsia="Arial Unicode MS" w:cs="Times New Roman"/>
      <w:bCs/>
      <w:sz w:val="23"/>
      <w:szCs w:val="20"/>
      <w:lang w:val="en-US" w:eastAsia="zh-CN"/>
    </w:rPr>
  </w:style>
  <w:style w:type="paragraph" w:customStyle="1" w:styleId="BodyText1">
    <w:name w:val="Body Text1"/>
    <w:basedOn w:val="Normal"/>
    <w:rsid w:val="001164A8"/>
    <w:pPr>
      <w:spacing w:after="200" w:line="280" w:lineRule="exact"/>
      <w:jc w:val="both"/>
    </w:pPr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EF6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94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80"/>
  </w:style>
  <w:style w:type="paragraph" w:styleId="Footer">
    <w:name w:val="footer"/>
    <w:basedOn w:val="Normal"/>
    <w:link w:val="Foot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80"/>
  </w:style>
  <w:style w:type="paragraph" w:styleId="Title">
    <w:name w:val="Title"/>
    <w:basedOn w:val="Normal"/>
    <w:next w:val="Normal"/>
    <w:link w:val="TitleChar"/>
    <w:autoRedefine/>
    <w:uiPriority w:val="10"/>
    <w:qFormat/>
    <w:rsid w:val="004D0F80"/>
    <w:pPr>
      <w:spacing w:after="0" w:line="240" w:lineRule="auto"/>
      <w:contextualSpacing/>
    </w:pPr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table" w:styleId="ListTable1Light-Accent6">
    <w:name w:val="List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ommissionTable1">
    <w:name w:val="Commission Table 1"/>
    <w:basedOn w:val="TableNormal"/>
    <w:uiPriority w:val="99"/>
    <w:rsid w:val="004D0F80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2B9947"/>
        <w:left w:val="single" w:sz="12" w:space="0" w:color="2B9947"/>
        <w:bottom w:val="single" w:sz="12" w:space="0" w:color="2B9947"/>
        <w:right w:val="single" w:sz="12" w:space="0" w:color="2B9947"/>
        <w:insideH w:val="single" w:sz="12" w:space="0" w:color="2B9947"/>
        <w:insideV w:val="single" w:sz="12" w:space="0" w:color="2B9947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B9947"/>
      </w:tcPr>
    </w:tblStylePr>
  </w:style>
  <w:style w:type="table" w:customStyle="1" w:styleId="TableGrid1">
    <w:name w:val="Table Grid1"/>
    <w:basedOn w:val="TableNormal"/>
    <w:next w:val="TableGrid"/>
    <w:semiHidden/>
    <w:rsid w:val="00B2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B23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Content descriptions Char,Indented Bullet Solid Char,Dot Point Char"/>
    <w:link w:val="ListParagraph"/>
    <w:uiPriority w:val="34"/>
    <w:locked/>
    <w:rsid w:val="00C45D44"/>
    <w:rPr>
      <w:rFonts w:ascii="Arial" w:eastAsia="Times New Roman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teadministrator@psc.wa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a.gov.au/government/publications/about-our-workforce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publications/state-of-the-wa-government-sector-workforce-2021-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C2D-E358-4F08-AFFF-AB2CC9D0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Public Sector Quarterly Workforce Report - December 2022</dc:title>
  <dc:subject/>
  <dc:creator>Public Sector Commission</dc:creator>
  <cp:keywords/>
  <dc:description/>
  <cp:lastModifiedBy>Partridge, Julian</cp:lastModifiedBy>
  <cp:revision>26</cp:revision>
  <cp:lastPrinted>2021-09-06T09:28:00Z</cp:lastPrinted>
  <dcterms:created xsi:type="dcterms:W3CDTF">2023-02-19T01:45:00Z</dcterms:created>
  <dcterms:modified xsi:type="dcterms:W3CDTF">2023-11-10T07:54:00Z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2023-02-17T06:00:00Z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980988ef-f067-46e6-b35c-a57e9dc16841</vt:lpwstr>
  </property>
  <property fmtid="{D5CDD505-2E9C-101B-9397-08002B2CF9AE}" pid="8" name="MSIP_Label_9debd643-ebde-44ed-8e8b-40a2ae139fe2_ContentBits">
    <vt:lpwstr>0</vt:lpwstr>
  </property>
</Properties>
</file>