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C75" w14:textId="45E2D0DD" w:rsidR="00403954" w:rsidRPr="00756C88" w:rsidRDefault="00BC4617" w:rsidP="001156E0">
      <w:pPr>
        <w:spacing w:line="240" w:lineRule="auto"/>
        <w:jc w:val="both"/>
      </w:pPr>
      <w:bookmarkStart w:id="0" w:name="_Hlk116484428"/>
      <w:bookmarkEnd w:id="0"/>
      <w:r w:rsidRPr="00756C88">
        <w:rPr>
          <w:noProof/>
        </w:rPr>
        <w:drawing>
          <wp:inline distT="0" distB="0" distL="0" distR="0" wp14:anchorId="4C1A0B14" wp14:editId="495FE177">
            <wp:extent cx="3924300" cy="542397"/>
            <wp:effectExtent l="0" t="0" r="0" b="0"/>
            <wp:docPr id="5" name="Picture 5" descr="Government of Western Australia 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overnment of Western Australia Department of Finan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669" cy="554196"/>
                    </a:xfrm>
                    <a:prstGeom prst="rect">
                      <a:avLst/>
                    </a:prstGeom>
                    <a:noFill/>
                  </pic:spPr>
                </pic:pic>
              </a:graphicData>
            </a:graphic>
          </wp:inline>
        </w:drawing>
      </w:r>
    </w:p>
    <w:p w14:paraId="0A6C92AE" w14:textId="5E29340D" w:rsidR="008C6558" w:rsidRPr="00756C88" w:rsidRDefault="006E4F12" w:rsidP="001156E0">
      <w:pPr>
        <w:pStyle w:val="Title"/>
        <w:jc w:val="center"/>
      </w:pPr>
      <w:r w:rsidRPr="00756C88">
        <w:t>Commissioning Toolkit for Community Services</w:t>
      </w:r>
    </w:p>
    <w:p w14:paraId="330A6B2E" w14:textId="66B8D718" w:rsidR="004F29E0" w:rsidRPr="00756C88" w:rsidRDefault="00D85F30" w:rsidP="0026315D">
      <w:pPr>
        <w:pStyle w:val="Subtitle"/>
        <w:spacing w:after="4080" w:line="240" w:lineRule="auto"/>
        <w:jc w:val="center"/>
      </w:pPr>
      <w:r w:rsidRPr="00756C88">
        <w:t xml:space="preserve">Tool </w:t>
      </w:r>
      <w:r w:rsidR="00CB3453" w:rsidRPr="000108CC">
        <w:t>6</w:t>
      </w:r>
      <w:r w:rsidRPr="00756C88">
        <w:t xml:space="preserve">: </w:t>
      </w:r>
      <w:r w:rsidR="00FF0672" w:rsidRPr="00756C88">
        <w:t>Modify and Enhance</w:t>
      </w:r>
    </w:p>
    <w:p w14:paraId="42B8C369" w14:textId="77777777" w:rsidR="00C87542" w:rsidRPr="00756C88" w:rsidRDefault="00C87542" w:rsidP="001156E0">
      <w:pPr>
        <w:spacing w:line="240" w:lineRule="auto"/>
        <w:jc w:val="both"/>
      </w:pPr>
      <w:r w:rsidRPr="00756C88">
        <w:rPr>
          <w:noProof/>
        </w:rPr>
        <w:drawing>
          <wp:inline distT="0" distB="0" distL="0" distR="0" wp14:anchorId="2F4FF542" wp14:editId="5EC3CDE8">
            <wp:extent cx="1670538" cy="591474"/>
            <wp:effectExtent l="0" t="0" r="6350" b="0"/>
            <wp:docPr id="28" name="Picture 28" descr="Rebb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ebbeck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81" cy="600199"/>
                    </a:xfrm>
                    <a:prstGeom prst="rect">
                      <a:avLst/>
                    </a:prstGeom>
                    <a:noFill/>
                    <a:ln>
                      <a:noFill/>
                    </a:ln>
                  </pic:spPr>
                </pic:pic>
              </a:graphicData>
            </a:graphic>
          </wp:inline>
        </w:drawing>
      </w:r>
    </w:p>
    <w:p w14:paraId="452D5D8C" w14:textId="1BF087B4" w:rsidR="00C87542" w:rsidRPr="00756C88" w:rsidRDefault="00C87542" w:rsidP="001156E0">
      <w:pPr>
        <w:spacing w:line="240" w:lineRule="auto"/>
        <w:jc w:val="both"/>
        <w:rPr>
          <w:sz w:val="20"/>
          <w:szCs w:val="20"/>
        </w:rPr>
      </w:pPr>
      <w:r w:rsidRPr="00756C88">
        <w:rPr>
          <w:sz w:val="20"/>
          <w:szCs w:val="20"/>
        </w:rPr>
        <w:t xml:space="preserve">These Commissioning Capability Tools have been developed by the Western Australian Department of Finance, in partnership with </w:t>
      </w:r>
      <w:proofErr w:type="spellStart"/>
      <w:r w:rsidRPr="00756C88">
        <w:rPr>
          <w:sz w:val="20"/>
          <w:szCs w:val="20"/>
        </w:rPr>
        <w:t>Rebbeck</w:t>
      </w:r>
      <w:proofErr w:type="spellEnd"/>
      <w:r w:rsidRPr="00756C88">
        <w:rPr>
          <w:sz w:val="20"/>
          <w:szCs w:val="20"/>
        </w:rPr>
        <w:t>.</w:t>
      </w:r>
    </w:p>
    <w:p w14:paraId="786AABDB" w14:textId="77777777" w:rsidR="00C87542" w:rsidRPr="00756C88" w:rsidRDefault="00C87542" w:rsidP="001156E0">
      <w:pPr>
        <w:spacing w:line="240" w:lineRule="auto"/>
        <w:jc w:val="both"/>
        <w:rPr>
          <w:rStyle w:val="normaltextrun"/>
          <w:color w:val="0563C1" w:themeColor="hyperlink"/>
          <w:sz w:val="20"/>
          <w:szCs w:val="20"/>
          <w:u w:val="single"/>
        </w:rPr>
      </w:pPr>
      <w:proofErr w:type="spellStart"/>
      <w:r w:rsidRPr="00756C88">
        <w:rPr>
          <w:sz w:val="20"/>
          <w:szCs w:val="20"/>
        </w:rPr>
        <w:t>Rebbeck</w:t>
      </w:r>
      <w:proofErr w:type="spellEnd"/>
      <w:r w:rsidRPr="00756C88">
        <w:rPr>
          <w:sz w:val="20"/>
          <w:szCs w:val="20"/>
        </w:rPr>
        <w:t xml:space="preserve"> is a boutique strategy consultancy and commissioning support organisation that specialises in commissioning capability development. </w:t>
      </w:r>
      <w:proofErr w:type="spellStart"/>
      <w:r w:rsidRPr="00756C88">
        <w:rPr>
          <w:sz w:val="20"/>
          <w:szCs w:val="20"/>
        </w:rPr>
        <w:t>Rebbeck</w:t>
      </w:r>
      <w:proofErr w:type="spellEnd"/>
      <w:r w:rsidRPr="00756C88">
        <w:rPr>
          <w:sz w:val="20"/>
          <w:szCs w:val="20"/>
        </w:rPr>
        <w:t xml:space="preserve"> works with healthcare and public services organisations across Australia to support commissioning with a focus on reshaping services to achieve sustainable outcomes for the people of Australia. Find out more at </w:t>
      </w:r>
      <w:hyperlink r:id="rId13" w:history="1">
        <w:r w:rsidRPr="00756C88">
          <w:rPr>
            <w:rStyle w:val="Hyperlink"/>
            <w:sz w:val="20"/>
            <w:szCs w:val="20"/>
          </w:rPr>
          <w:t>www.rebbeck.com</w:t>
        </w:r>
      </w:hyperlink>
    </w:p>
    <w:p w14:paraId="47F40F3F" w14:textId="184D0899" w:rsidR="00101FFF" w:rsidRPr="00756C88" w:rsidRDefault="006976A9" w:rsidP="0026315D">
      <w:pPr>
        <w:pStyle w:val="Heading1"/>
        <w:jc w:val="both"/>
        <w:rPr>
          <w:b w:val="0"/>
          <w:bCs w:val="0"/>
        </w:rPr>
        <w:sectPr w:rsidR="00101FFF" w:rsidRPr="00756C88" w:rsidSect="00F73959">
          <w:headerReference w:type="default" r:id="rId14"/>
          <w:footerReference w:type="default" r:id="rId15"/>
          <w:pgSz w:w="11906" w:h="16838"/>
          <w:pgMar w:top="1440" w:right="1440" w:bottom="1440" w:left="1440" w:header="708" w:footer="708" w:gutter="0"/>
          <w:cols w:space="720"/>
          <w:titlePg/>
          <w:docGrid w:linePitch="326"/>
        </w:sectPr>
      </w:pPr>
      <w:bookmarkStart w:id="1" w:name="_Toc113979629"/>
      <w:bookmarkStart w:id="2" w:name="_Toc117861716"/>
      <w:bookmarkStart w:id="3" w:name="_Toc113981275"/>
      <w:r w:rsidRPr="00756C88">
        <w:rPr>
          <w:color w:val="8A1853"/>
        </w:rPr>
        <w:lastRenderedPageBreak/>
        <w:t>Modify and Enhance</w:t>
      </w:r>
      <w:r w:rsidR="00B40666" w:rsidRPr="00756C88">
        <w:rPr>
          <w:color w:val="8A1853"/>
        </w:rPr>
        <w:t>:</w:t>
      </w:r>
      <w:r w:rsidR="00101FFF" w:rsidRPr="00756C88">
        <w:rPr>
          <w:color w:val="8A1853"/>
        </w:rPr>
        <w:t xml:space="preserve"> </w:t>
      </w:r>
      <w:proofErr w:type="gramStart"/>
      <w:r w:rsidR="00A313E9" w:rsidRPr="00756C88">
        <w:rPr>
          <w:color w:val="8A1853"/>
        </w:rPr>
        <w:t>A</w:t>
      </w:r>
      <w:r w:rsidR="00101FFF" w:rsidRPr="00756C88">
        <w:rPr>
          <w:color w:val="8A1853"/>
        </w:rPr>
        <w:t xml:space="preserve">t a </w:t>
      </w:r>
      <w:r w:rsidR="00061BCD" w:rsidRPr="00756C88">
        <w:rPr>
          <w:color w:val="8A1853"/>
        </w:rPr>
        <w:t>g</w:t>
      </w:r>
      <w:r w:rsidR="00101FFF" w:rsidRPr="00756C88">
        <w:rPr>
          <w:color w:val="8A1853"/>
        </w:rPr>
        <w:t>lanc</w:t>
      </w:r>
      <w:bookmarkEnd w:id="1"/>
      <w:r w:rsidR="00101FFF" w:rsidRPr="00756C88">
        <w:rPr>
          <w:color w:val="8A1853"/>
        </w:rPr>
        <w:t>e</w:t>
      </w:r>
      <w:bookmarkEnd w:id="2"/>
      <w:proofErr w:type="gramEnd"/>
    </w:p>
    <w:p w14:paraId="78F9AD03" w14:textId="77777777" w:rsidR="00101FFF" w:rsidRPr="00756C88" w:rsidRDefault="00101FFF" w:rsidP="001156E0">
      <w:pPr>
        <w:spacing w:after="0" w:line="240" w:lineRule="auto"/>
        <w:jc w:val="both"/>
        <w:rPr>
          <w:b/>
          <w:bCs/>
          <w:sz w:val="28"/>
          <w:szCs w:val="28"/>
        </w:rPr>
        <w:sectPr w:rsidR="00101FFF" w:rsidRPr="00756C88">
          <w:type w:val="continuous"/>
          <w:pgSz w:w="11906" w:h="16838"/>
          <w:pgMar w:top="1440" w:right="1440" w:bottom="1440" w:left="1440" w:header="708" w:footer="708" w:gutter="0"/>
          <w:cols w:num="2" w:space="706"/>
        </w:sectPr>
      </w:pPr>
    </w:p>
    <w:p w14:paraId="1D6F5716" w14:textId="77777777" w:rsidR="00101FFF" w:rsidRPr="00756C88" w:rsidRDefault="00101FFF" w:rsidP="001156E0">
      <w:pPr>
        <w:jc w:val="both"/>
        <w:rPr>
          <w:b/>
          <w:bCs/>
          <w:color w:val="8A1853"/>
          <w:sz w:val="28"/>
          <w:szCs w:val="28"/>
        </w:rPr>
      </w:pPr>
      <w:r w:rsidRPr="00756C88">
        <w:rPr>
          <w:b/>
          <w:bCs/>
          <w:color w:val="8A1853"/>
          <w:sz w:val="28"/>
          <w:szCs w:val="28"/>
        </w:rPr>
        <w:t>1. Overview</w:t>
      </w:r>
    </w:p>
    <w:p w14:paraId="536C985E" w14:textId="5E4F9D83" w:rsidR="00101FFF" w:rsidRPr="0026315D" w:rsidRDefault="0005791A" w:rsidP="0026315D">
      <w:pPr>
        <w:jc w:val="both"/>
      </w:pPr>
      <w:r w:rsidRPr="0026315D">
        <w:t xml:space="preserve">Modify and </w:t>
      </w:r>
      <w:proofErr w:type="gramStart"/>
      <w:r w:rsidR="00790ABF" w:rsidRPr="0026315D">
        <w:t>E</w:t>
      </w:r>
      <w:r w:rsidRPr="0026315D">
        <w:t>nhance</w:t>
      </w:r>
      <w:proofErr w:type="gramEnd"/>
      <w:r w:rsidRPr="0026315D">
        <w:t xml:space="preserve"> encompasses a group of targeted activities </w:t>
      </w:r>
      <w:r w:rsidR="006E0D61" w:rsidRPr="0026315D">
        <w:t>that</w:t>
      </w:r>
      <w:r w:rsidR="00EE615F" w:rsidRPr="0026315D">
        <w:t xml:space="preserve"> work alongside </w:t>
      </w:r>
      <w:r w:rsidR="005D2D17" w:rsidRPr="0026315D">
        <w:t>or as an alternative to procurement with the aim of</w:t>
      </w:r>
      <w:r w:rsidR="00E0605F" w:rsidRPr="0026315D">
        <w:t xml:space="preserve"> improving </w:t>
      </w:r>
      <w:r w:rsidR="00221664" w:rsidRPr="0026315D">
        <w:t xml:space="preserve">commissioning </w:t>
      </w:r>
      <w:r w:rsidR="00E0605F" w:rsidRPr="0026315D">
        <w:t>performance.</w:t>
      </w:r>
    </w:p>
    <w:p w14:paraId="081E42E4" w14:textId="77777777" w:rsidR="00101FFF" w:rsidRPr="00756C88" w:rsidRDefault="00101FFF" w:rsidP="0026315D">
      <w:pPr>
        <w:jc w:val="both"/>
        <w:rPr>
          <w:b/>
          <w:bCs/>
          <w:color w:val="8A1853"/>
          <w:sz w:val="28"/>
          <w:szCs w:val="28"/>
        </w:rPr>
      </w:pPr>
      <w:r w:rsidRPr="00756C88">
        <w:rPr>
          <w:b/>
          <w:bCs/>
          <w:color w:val="8A1853"/>
          <w:sz w:val="28"/>
          <w:szCs w:val="28"/>
        </w:rPr>
        <w:t>2. Purpose</w:t>
      </w:r>
    </w:p>
    <w:p w14:paraId="0BF8D828" w14:textId="2F5A92D1" w:rsidR="00101FFF" w:rsidRPr="0026315D" w:rsidRDefault="00C27B17" w:rsidP="0026315D">
      <w:pPr>
        <w:jc w:val="both"/>
      </w:pPr>
      <w:r w:rsidRPr="0026315D">
        <w:t xml:space="preserve">This </w:t>
      </w:r>
      <w:r w:rsidR="00790ABF" w:rsidRPr="0026315D">
        <w:t>tool</w:t>
      </w:r>
      <w:r w:rsidRPr="0026315D">
        <w:t xml:space="preserve"> enables us to identify how best </w:t>
      </w:r>
      <w:r w:rsidR="00170C2F" w:rsidRPr="0026315D">
        <w:t>to address needs identified</w:t>
      </w:r>
      <w:r w:rsidR="00F53242" w:rsidRPr="0026315D">
        <w:t xml:space="preserve"> in earlier </w:t>
      </w:r>
      <w:r w:rsidR="00790ABF" w:rsidRPr="0026315D">
        <w:t>tools</w:t>
      </w:r>
      <w:r w:rsidR="00240DA6" w:rsidRPr="0026315D">
        <w:t xml:space="preserve"> and highlights alternative </w:t>
      </w:r>
      <w:r w:rsidR="003A68B3" w:rsidRPr="0026315D">
        <w:t xml:space="preserve">change levers we can </w:t>
      </w:r>
      <w:r w:rsidR="00790ABF" w:rsidRPr="0026315D">
        <w:t>use</w:t>
      </w:r>
      <w:r w:rsidR="003A68B3" w:rsidRPr="0026315D">
        <w:t xml:space="preserve">. </w:t>
      </w:r>
      <w:r w:rsidR="006E0D61" w:rsidRPr="0026315D">
        <w:t>This tool also includes decommissioning as a natural part of the commissioning process.</w:t>
      </w:r>
    </w:p>
    <w:p w14:paraId="64893A44" w14:textId="61624A78" w:rsidR="00101FFF" w:rsidRPr="00756C88" w:rsidRDefault="00986F41" w:rsidP="00986F41">
      <w:pPr>
        <w:rPr>
          <w:b/>
          <w:bCs/>
          <w:color w:val="8A1853"/>
          <w:sz w:val="28"/>
          <w:szCs w:val="28"/>
        </w:rPr>
      </w:pPr>
      <w:r w:rsidRPr="00756C88">
        <w:rPr>
          <w:noProof/>
        </w:rPr>
        <mc:AlternateContent>
          <mc:Choice Requires="wps">
            <w:drawing>
              <wp:anchor distT="0" distB="0" distL="114300" distR="114300" simplePos="0" relativeHeight="251659264" behindDoc="0" locked="0" layoutInCell="1" allowOverlap="1" wp14:anchorId="723D4E8B" wp14:editId="7E596B51">
                <wp:simplePos x="0" y="0"/>
                <wp:positionH relativeFrom="column">
                  <wp:posOffset>978225</wp:posOffset>
                </wp:positionH>
                <wp:positionV relativeFrom="paragraph">
                  <wp:posOffset>2942529</wp:posOffset>
                </wp:positionV>
                <wp:extent cx="466090" cy="320439"/>
                <wp:effectExtent l="19050" t="0" r="29210" b="41910"/>
                <wp:wrapNone/>
                <wp:docPr id="2" name="Isosceles Tri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66090" cy="320439"/>
                        </a:xfrm>
                        <a:prstGeom prst="triangle">
                          <a:avLst>
                            <a:gd name="adj" fmla="val 50000"/>
                          </a:avLst>
                        </a:prstGeom>
                        <a:solidFill>
                          <a:srgbClr val="8A1853"/>
                        </a:solidFill>
                        <a:ln w="12700">
                          <a:solidFill>
                            <a:srgbClr val="8A1853"/>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w14:anchorId="5F5DF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alt="&quot;&quot;" style="position:absolute;margin-left:77.05pt;margin-top:231.7pt;width:36.7pt;height:25.2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" fillcolor="#8a1853" strokecolor="#8a1853" strokeweight="1pt"/>
            </w:pict>
          </mc:Fallback>
        </mc:AlternateContent>
      </w:r>
      <w:r w:rsidR="00101FFF" w:rsidRPr="00756C88">
        <w:rPr>
          <w:b/>
          <w:bCs/>
          <w:color w:val="8A1853"/>
          <w:sz w:val="28"/>
          <w:szCs w:val="28"/>
        </w:rPr>
        <w:t>3. Workflow</w:t>
      </w:r>
      <w:r w:rsidR="00101FFF" w:rsidRPr="00756C88">
        <w:rPr>
          <w:noProof/>
          <w:color w:val="8A1853"/>
        </w:rPr>
        <mc:AlternateContent>
          <mc:Choice Requires="wpg">
            <w:drawing>
              <wp:inline distT="0" distB="0" distL="0" distR="0" wp14:anchorId="1FD1998A" wp14:editId="2711ECF9">
                <wp:extent cx="2459700" cy="4401788"/>
                <wp:effectExtent l="0" t="0" r="17145" b="18415"/>
                <wp:docPr id="8" name="Group 8" descr="Workflow diagram comprising 3 ste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700" cy="4401788"/>
                          <a:chOff x="-213" y="0"/>
                          <a:chExt cx="24597" cy="38763"/>
                        </a:xfrm>
                      </wpg:grpSpPr>
                      <wpg:grpSp>
                        <wpg:cNvPr id="9" name="Group 28"/>
                        <wpg:cNvGrpSpPr>
                          <a:grpSpLocks/>
                        </wpg:cNvGrpSpPr>
                        <wpg:grpSpPr bwMode="auto">
                          <a:xfrm>
                            <a:off x="0" y="0"/>
                            <a:ext cx="24384" cy="13050"/>
                            <a:chOff x="0" y="0"/>
                            <a:chExt cx="24384" cy="13050"/>
                          </a:xfrm>
                        </wpg:grpSpPr>
                        <wpg:grpSp>
                          <wpg:cNvPr id="10" name="Group 18"/>
                          <wpg:cNvGrpSpPr>
                            <a:grpSpLocks/>
                          </wpg:cNvGrpSpPr>
                          <wpg:grpSpPr bwMode="auto">
                            <a:xfrm>
                              <a:off x="0" y="0"/>
                              <a:ext cx="24384" cy="10955"/>
                              <a:chOff x="0" y="571"/>
                              <a:chExt cx="24384" cy="10955"/>
                            </a:xfrm>
                          </wpg:grpSpPr>
                          <wps:wsp>
                            <wps:cNvPr id="11" name="Rectangle 16"/>
                            <wps:cNvSpPr>
                              <a:spLocks noChangeArrowheads="1"/>
                            </wps:cNvSpPr>
                            <wps:spPr bwMode="auto">
                              <a:xfrm>
                                <a:off x="0" y="2577"/>
                                <a:ext cx="24384" cy="8949"/>
                              </a:xfrm>
                              <a:prstGeom prst="rect">
                                <a:avLst/>
                              </a:prstGeom>
                              <a:noFill/>
                              <a:ln w="12700">
                                <a:solidFill>
                                  <a:srgbClr val="8A1853"/>
                                </a:solidFill>
                                <a:miter lim="800000"/>
                                <a:headEnd/>
                                <a:tailEnd/>
                              </a:ln>
                              <a:extLst>
                                <a:ext uri="{909E8E84-426E-40DD-AFC4-6F175D3DCCD1}">
                                  <a14:hiddenFill xmlns:a14="http://schemas.microsoft.com/office/drawing/2010/main">
                                    <a:solidFill>
                                      <a:srgbClr val="FFFFFF"/>
                                    </a:solidFill>
                                  </a14:hiddenFill>
                                </a:ext>
                              </a:extLst>
                            </wps:spPr>
                            <wps:txbx>
                              <w:txbxContent>
                                <w:p w14:paraId="196FA20C" w14:textId="77777777" w:rsidR="00101FFF" w:rsidRDefault="00101FFF" w:rsidP="00101FFF">
                                  <w:pPr>
                                    <w:jc w:val="center"/>
                                    <w:rPr>
                                      <w:color w:val="808080" w:themeColor="background1" w:themeShade="80"/>
                                      <w:lang w:val="en-US"/>
                                    </w:rPr>
                                  </w:pPr>
                                </w:p>
                                <w:p w14:paraId="6AA85AA8" w14:textId="39D59A09" w:rsidR="00101FFF" w:rsidRPr="0026315D" w:rsidRDefault="00B40666" w:rsidP="00101FFF">
                                  <w:pPr>
                                    <w:jc w:val="center"/>
                                    <w:rPr>
                                      <w:lang w:val="en-US"/>
                                    </w:rPr>
                                  </w:pPr>
                                  <w:r w:rsidRPr="0026315D">
                                    <w:rPr>
                                      <w:b/>
                                      <w:bCs/>
                                      <w:lang w:val="en-US"/>
                                    </w:rPr>
                                    <w:t>Identify</w:t>
                                  </w:r>
                                  <w:r w:rsidRPr="0026315D">
                                    <w:rPr>
                                      <w:lang w:val="en-US"/>
                                    </w:rPr>
                                    <w:t xml:space="preserve"> and </w:t>
                                  </w:r>
                                  <w:r w:rsidRPr="0026315D">
                                    <w:rPr>
                                      <w:b/>
                                      <w:bCs/>
                                      <w:lang w:val="en-US"/>
                                    </w:rPr>
                                    <w:t>a</w:t>
                                  </w:r>
                                  <w:r w:rsidR="00BF13B7" w:rsidRPr="0026315D">
                                    <w:rPr>
                                      <w:b/>
                                      <w:bCs/>
                                      <w:lang w:val="en-US"/>
                                    </w:rPr>
                                    <w:t xml:space="preserve">ssess </w:t>
                                  </w:r>
                                  <w:r w:rsidRPr="0026315D">
                                    <w:rPr>
                                      <w:b/>
                                      <w:bCs/>
                                      <w:lang w:val="en-US"/>
                                    </w:rPr>
                                    <w:t>options</w:t>
                                  </w:r>
                                  <w:r w:rsidRPr="0026315D">
                                    <w:rPr>
                                      <w:lang w:val="en-US"/>
                                    </w:rPr>
                                    <w:t xml:space="preserve"> to modify and </w:t>
                                  </w:r>
                                  <w:proofErr w:type="gramStart"/>
                                  <w:r w:rsidRPr="0026315D">
                                    <w:rPr>
                                      <w:lang w:val="en-US"/>
                                    </w:rPr>
                                    <w:t>enhance</w:t>
                                  </w:r>
                                  <w:proofErr w:type="gramEnd"/>
                                  <w:r w:rsidR="00BF13B7" w:rsidRPr="0026315D">
                                    <w:rPr>
                                      <w:lang w:val="en-US"/>
                                    </w:rPr>
                                    <w:t xml:space="preserve"> </w:t>
                                  </w:r>
                                </w:p>
                              </w:txbxContent>
                            </wps:txbx>
                            <wps:bodyPr rot="0" vert="horz" wrap="square" lIns="91440" tIns="45720" rIns="91440" bIns="45720" anchor="ctr" anchorCtr="0" upright="1">
                              <a:noAutofit/>
                            </wps:bodyPr>
                          </wps:wsp>
                          <wps:wsp>
                            <wps:cNvPr id="12" name="Oval 17"/>
                            <wps:cNvSpPr>
                              <a:spLocks noChangeArrowheads="1"/>
                            </wps:cNvSpPr>
                            <wps:spPr bwMode="auto">
                              <a:xfrm>
                                <a:off x="9906" y="571"/>
                                <a:ext cx="4572" cy="4572"/>
                              </a:xfrm>
                              <a:prstGeom prst="ellipse">
                                <a:avLst/>
                              </a:prstGeom>
                              <a:solidFill>
                                <a:srgbClr val="8A1853"/>
                              </a:solidFill>
                              <a:ln w="12700">
                                <a:solidFill>
                                  <a:srgbClr val="8A1853"/>
                                </a:solidFill>
                                <a:miter lim="800000"/>
                                <a:headEnd/>
                                <a:tailEnd/>
                              </a:ln>
                            </wps:spPr>
                            <wps:txbx>
                              <w:txbxContent>
                                <w:p w14:paraId="5006A0B2" w14:textId="77777777" w:rsidR="00101FFF" w:rsidRPr="00061BCD" w:rsidRDefault="00101FFF" w:rsidP="00101FFF">
                                  <w:pPr>
                                    <w:jc w:val="center"/>
                                    <w:rPr>
                                      <w:b/>
                                      <w:bCs/>
                                      <w:color w:val="FFFFFF" w:themeColor="background1"/>
                                      <w:sz w:val="30"/>
                                      <w:szCs w:val="30"/>
                                      <w:lang w:val="en-US"/>
                                    </w:rPr>
                                  </w:pPr>
                                  <w:r w:rsidRPr="00061BCD">
                                    <w:rPr>
                                      <w:b/>
                                      <w:bCs/>
                                      <w:color w:val="FFFFFF" w:themeColor="background1"/>
                                      <w:sz w:val="30"/>
                                      <w:szCs w:val="30"/>
                                      <w:lang w:val="en-US"/>
                                    </w:rPr>
                                    <w:t>1</w:t>
                                  </w:r>
                                </w:p>
                              </w:txbxContent>
                            </wps:txbx>
                            <wps:bodyPr rot="0" vert="horz" wrap="square" lIns="91440" tIns="45720" rIns="91440" bIns="45720" anchor="ctr" anchorCtr="0" upright="1">
                              <a:noAutofit/>
                            </wps:bodyPr>
                          </wps:wsp>
                        </wpg:grpSp>
                        <wps:wsp>
                          <wps:cNvPr id="13" name="Isosceles Triangle 19"/>
                          <wps:cNvSpPr>
                            <a:spLocks noChangeArrowheads="1"/>
                          </wps:cNvSpPr>
                          <wps:spPr bwMode="auto">
                            <a:xfrm rot="10800000">
                              <a:off x="9906" y="10955"/>
                              <a:ext cx="4667" cy="2095"/>
                            </a:xfrm>
                            <a:prstGeom prst="triangle">
                              <a:avLst>
                                <a:gd name="adj" fmla="val 50000"/>
                              </a:avLst>
                            </a:prstGeom>
                            <a:solidFill>
                              <a:srgbClr val="8A1853"/>
                            </a:solidFill>
                            <a:ln w="12700">
                              <a:solidFill>
                                <a:srgbClr val="8A1853"/>
                              </a:solidFill>
                              <a:miter lim="800000"/>
                              <a:headEnd/>
                              <a:tailEnd/>
                            </a:ln>
                          </wps:spPr>
                          <wps:bodyPr rot="0" vert="horz" wrap="square" lIns="91440" tIns="45720" rIns="91440" bIns="45720" anchor="ctr" anchorCtr="0" upright="1">
                            <a:noAutofit/>
                          </wps:bodyPr>
                        </wps:wsp>
                      </wpg:grpSp>
                      <wpg:grpSp>
                        <wpg:cNvPr id="15" name="Group 36"/>
                        <wpg:cNvGrpSpPr>
                          <a:grpSpLocks/>
                        </wpg:cNvGrpSpPr>
                        <wpg:grpSpPr bwMode="auto">
                          <a:xfrm>
                            <a:off x="0" y="13295"/>
                            <a:ext cx="24384" cy="10488"/>
                            <a:chOff x="0" y="-2612"/>
                            <a:chExt cx="24384" cy="10487"/>
                          </a:xfrm>
                        </wpg:grpSpPr>
                        <wps:wsp>
                          <wps:cNvPr id="16" name="Rectangle 37"/>
                          <wps:cNvSpPr>
                            <a:spLocks noChangeArrowheads="1"/>
                          </wps:cNvSpPr>
                          <wps:spPr bwMode="auto">
                            <a:xfrm>
                              <a:off x="0" y="420"/>
                              <a:ext cx="24384" cy="7455"/>
                            </a:xfrm>
                            <a:prstGeom prst="rect">
                              <a:avLst/>
                            </a:prstGeom>
                            <a:noFill/>
                            <a:ln w="12700">
                              <a:solidFill>
                                <a:srgbClr val="8A1853"/>
                              </a:solidFill>
                              <a:miter lim="800000"/>
                              <a:headEnd/>
                              <a:tailEnd/>
                            </a:ln>
                            <a:extLst>
                              <a:ext uri="{909E8E84-426E-40DD-AFC4-6F175D3DCCD1}">
                                <a14:hiddenFill xmlns:a14="http://schemas.microsoft.com/office/drawing/2010/main">
                                  <a:solidFill>
                                    <a:srgbClr val="FFFFFF"/>
                                  </a:solidFill>
                                </a14:hiddenFill>
                              </a:ext>
                            </a:extLst>
                          </wps:spPr>
                          <wps:txbx>
                            <w:txbxContent>
                              <w:p w14:paraId="6E940177" w14:textId="77777777" w:rsidR="00101FFF" w:rsidRPr="00321730" w:rsidRDefault="00101FFF" w:rsidP="00101FFF">
                                <w:pPr>
                                  <w:jc w:val="center"/>
                                  <w:rPr>
                                    <w:lang w:val="en-US"/>
                                  </w:rPr>
                                </w:pPr>
                              </w:p>
                              <w:p w14:paraId="3F092818" w14:textId="7CB163A8" w:rsidR="00101FFF" w:rsidRPr="0026315D" w:rsidRDefault="00BF13B7" w:rsidP="00101FFF">
                                <w:pPr>
                                  <w:jc w:val="center"/>
                                  <w:rPr>
                                    <w:lang w:val="en-US"/>
                                  </w:rPr>
                                </w:pPr>
                                <w:r w:rsidRPr="0026315D">
                                  <w:rPr>
                                    <w:b/>
                                    <w:bCs/>
                                    <w:lang w:val="en-US"/>
                                  </w:rPr>
                                  <w:t>Design</w:t>
                                </w:r>
                                <w:r w:rsidRPr="0026315D">
                                  <w:rPr>
                                    <w:lang w:val="en-US"/>
                                  </w:rPr>
                                  <w:t xml:space="preserve"> and </w:t>
                                </w:r>
                                <w:r w:rsidRPr="0026315D">
                                  <w:rPr>
                                    <w:b/>
                                    <w:bCs/>
                                    <w:lang w:val="en-US"/>
                                  </w:rPr>
                                  <w:t>execute</w:t>
                                </w:r>
                                <w:r w:rsidRPr="0026315D">
                                  <w:rPr>
                                    <w:lang w:val="en-US"/>
                                  </w:rPr>
                                  <w:t xml:space="preserve"> </w:t>
                                </w:r>
                                <w:proofErr w:type="gramStart"/>
                                <w:r w:rsidRPr="0026315D">
                                  <w:rPr>
                                    <w:lang w:val="en-US"/>
                                  </w:rPr>
                                  <w:t>activities</w:t>
                                </w:r>
                                <w:proofErr w:type="gramEnd"/>
                                <w:r w:rsidRPr="0026315D">
                                  <w:rPr>
                                    <w:lang w:val="en-US"/>
                                  </w:rPr>
                                  <w:t xml:space="preserve"> </w:t>
                                </w:r>
                              </w:p>
                            </w:txbxContent>
                          </wps:txbx>
                          <wps:bodyPr rot="0" vert="horz" wrap="square" lIns="91440" tIns="45720" rIns="91440" bIns="45720" anchor="ctr" anchorCtr="0" upright="1">
                            <a:noAutofit/>
                          </wps:bodyPr>
                        </wps:wsp>
                        <wps:wsp>
                          <wps:cNvPr id="17" name="Oval 38"/>
                          <wps:cNvSpPr>
                            <a:spLocks noChangeArrowheads="1"/>
                          </wps:cNvSpPr>
                          <wps:spPr bwMode="auto">
                            <a:xfrm>
                              <a:off x="9906" y="-2612"/>
                              <a:ext cx="4572" cy="4572"/>
                            </a:xfrm>
                            <a:prstGeom prst="ellipse">
                              <a:avLst/>
                            </a:prstGeom>
                            <a:solidFill>
                              <a:srgbClr val="8A1853"/>
                            </a:solidFill>
                            <a:ln w="12700">
                              <a:solidFill>
                                <a:srgbClr val="8A1853"/>
                              </a:solidFill>
                              <a:miter lim="800000"/>
                              <a:headEnd/>
                              <a:tailEnd/>
                            </a:ln>
                          </wps:spPr>
                          <wps:txbx>
                            <w:txbxContent>
                              <w:p w14:paraId="7827E3FB" w14:textId="20C8ECF3" w:rsidR="00101FFF" w:rsidRPr="00061BCD" w:rsidRDefault="00B40666" w:rsidP="00B40666">
                                <w:pPr>
                                  <w:rPr>
                                    <w:b/>
                                    <w:bCs/>
                                    <w:color w:val="FFFFFF" w:themeColor="background1"/>
                                    <w:sz w:val="30"/>
                                    <w:szCs w:val="30"/>
                                    <w:lang w:val="en-US"/>
                                  </w:rPr>
                                </w:pPr>
                                <w:r w:rsidRPr="00061BCD">
                                  <w:rPr>
                                    <w:b/>
                                    <w:bCs/>
                                    <w:color w:val="FFFFFF" w:themeColor="background1"/>
                                    <w:sz w:val="30"/>
                                    <w:szCs w:val="30"/>
                                    <w:lang w:val="en-US"/>
                                  </w:rPr>
                                  <w:t>2a</w:t>
                                </w:r>
                              </w:p>
                            </w:txbxContent>
                          </wps:txbx>
                          <wps:bodyPr rot="0" vert="horz" wrap="square" lIns="36000" tIns="45720" rIns="36000" bIns="45720" anchor="ctr" anchorCtr="0" upright="1">
                            <a:noAutofit/>
                          </wps:bodyPr>
                        </wps:wsp>
                      </wpg:grpSp>
                      <wpg:grpSp>
                        <wpg:cNvPr id="19" name="Group 41"/>
                        <wpg:cNvGrpSpPr>
                          <a:grpSpLocks/>
                        </wpg:cNvGrpSpPr>
                        <wpg:grpSpPr bwMode="auto">
                          <a:xfrm>
                            <a:off x="-213" y="27081"/>
                            <a:ext cx="24384" cy="11682"/>
                            <a:chOff x="-213" y="-5304"/>
                            <a:chExt cx="24384" cy="11682"/>
                          </a:xfrm>
                        </wpg:grpSpPr>
                        <wps:wsp>
                          <wps:cNvPr id="20" name="Rectangle 42"/>
                          <wps:cNvSpPr>
                            <a:spLocks noChangeArrowheads="1"/>
                          </wps:cNvSpPr>
                          <wps:spPr bwMode="auto">
                            <a:xfrm>
                              <a:off x="-213" y="-2764"/>
                              <a:ext cx="24384" cy="9142"/>
                            </a:xfrm>
                            <a:prstGeom prst="rect">
                              <a:avLst/>
                            </a:prstGeom>
                            <a:noFill/>
                            <a:ln w="12700">
                              <a:solidFill>
                                <a:srgbClr val="8A1853"/>
                              </a:solidFill>
                              <a:miter lim="800000"/>
                              <a:headEnd/>
                              <a:tailEnd/>
                            </a:ln>
                            <a:extLst>
                              <a:ext uri="{909E8E84-426E-40DD-AFC4-6F175D3DCCD1}">
                                <a14:hiddenFill xmlns:a14="http://schemas.microsoft.com/office/drawing/2010/main">
                                  <a:solidFill>
                                    <a:srgbClr val="FFFFFF"/>
                                  </a:solidFill>
                                </a14:hiddenFill>
                              </a:ext>
                            </a:extLst>
                          </wps:spPr>
                          <wps:txbx>
                            <w:txbxContent>
                              <w:p w14:paraId="6FDECFEA" w14:textId="5C39313A" w:rsidR="00101FFF" w:rsidRPr="0026315D" w:rsidRDefault="00B34398" w:rsidP="00101FFF">
                                <w:pPr>
                                  <w:jc w:val="center"/>
                                  <w:rPr>
                                    <w:lang w:val="en-US"/>
                                  </w:rPr>
                                </w:pPr>
                                <w:r w:rsidRPr="0026315D">
                                  <w:rPr>
                                    <w:b/>
                                    <w:bCs/>
                                    <w:lang w:val="en-US"/>
                                  </w:rPr>
                                  <w:t>Decommission</w:t>
                                </w:r>
                                <w:r w:rsidRPr="0026315D">
                                  <w:rPr>
                                    <w:lang w:val="en-US"/>
                                  </w:rPr>
                                  <w:t xml:space="preserve"> </w:t>
                                </w:r>
                                <w:proofErr w:type="gramStart"/>
                                <w:r w:rsidRPr="0026315D">
                                  <w:rPr>
                                    <w:lang w:val="en-US"/>
                                  </w:rPr>
                                  <w:t>services</w:t>
                                </w:r>
                                <w:proofErr w:type="gramEnd"/>
                                <w:r w:rsidRPr="0026315D">
                                  <w:rPr>
                                    <w:lang w:val="en-US"/>
                                  </w:rPr>
                                  <w:t xml:space="preserve"> </w:t>
                                </w:r>
                              </w:p>
                            </w:txbxContent>
                          </wps:txbx>
                          <wps:bodyPr rot="0" vert="horz" wrap="square" lIns="91440" tIns="45720" rIns="91440" bIns="45720" anchor="ctr" anchorCtr="0" upright="1">
                            <a:noAutofit/>
                          </wps:bodyPr>
                        </wps:wsp>
                        <wps:wsp>
                          <wps:cNvPr id="21" name="Oval 43"/>
                          <wps:cNvSpPr>
                            <a:spLocks noChangeArrowheads="1"/>
                          </wps:cNvSpPr>
                          <wps:spPr bwMode="auto">
                            <a:xfrm>
                              <a:off x="10119" y="-5304"/>
                              <a:ext cx="4572" cy="4572"/>
                            </a:xfrm>
                            <a:prstGeom prst="ellipse">
                              <a:avLst/>
                            </a:prstGeom>
                            <a:solidFill>
                              <a:srgbClr val="8A1853"/>
                            </a:solidFill>
                            <a:ln w="12700">
                              <a:solidFill>
                                <a:srgbClr val="8A1853"/>
                              </a:solidFill>
                              <a:miter lim="800000"/>
                              <a:headEnd/>
                              <a:tailEnd/>
                            </a:ln>
                          </wps:spPr>
                          <wps:txbx>
                            <w:txbxContent>
                              <w:p w14:paraId="62AF6A8E" w14:textId="34F1D648" w:rsidR="00101FFF" w:rsidRPr="00061BCD" w:rsidRDefault="00B40666" w:rsidP="00101FFF">
                                <w:pPr>
                                  <w:jc w:val="right"/>
                                  <w:rPr>
                                    <w:b/>
                                    <w:bCs/>
                                    <w:color w:val="FFFFFF" w:themeColor="background1"/>
                                    <w:sz w:val="30"/>
                                    <w:szCs w:val="30"/>
                                    <w:lang w:val="en-US"/>
                                  </w:rPr>
                                </w:pPr>
                                <w:r w:rsidRPr="00061BCD">
                                  <w:rPr>
                                    <w:b/>
                                    <w:bCs/>
                                    <w:color w:val="FFFFFF" w:themeColor="background1"/>
                                    <w:sz w:val="30"/>
                                    <w:szCs w:val="30"/>
                                    <w:lang w:val="en-US"/>
                                  </w:rPr>
                                  <w:t>2b</w:t>
                                </w:r>
                              </w:p>
                            </w:txbxContent>
                          </wps:txbx>
                          <wps:bodyPr rot="0" vert="horz" wrap="square" lIns="36000" tIns="45720" rIns="36000" bIns="45720" anchor="ctr" anchorCtr="0" upright="1">
                            <a:noAutofit/>
                          </wps:bodyPr>
                        </wps:wsp>
                      </wpg:grpSp>
                    </wpg:wgp>
                  </a:graphicData>
                </a:graphic>
              </wp:inline>
            </w:drawing>
          </mc:Choice>
          <mc:Fallback>
            <w:pict>
              <v:group w14:anchorId="1FD1998A" id="Group 8" o:spid="_x0000_s1026" alt="Workflow diagram comprising 3 steps" style="width:193.7pt;height:346.6pt;mso-position-horizontal-relative:char;mso-position-vertical-relative:line" coordorigin="-213" coordsize="24597,3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">
                <v:group id="Group 28" o:spid="_x0000_s1027" style="position:absolute;width:24384;height:13050" coordsize="24384,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8" o:spid="_x0000_s1028" style="position:absolute;width:24384;height:10955" coordorigin=",571" coordsize="24384,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6" o:spid="_x0000_s1029" style="position:absolute;top:2577;width:24384;height:8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" filled="f" strokecolor="#8a1853" strokeweight="1pt">
                      <v:textbox>
                        <w:txbxContent>
                          <w:p w14:paraId="196FA20C" w14:textId="77777777" w:rsidR="00101FFF" w:rsidRDefault="00101FFF" w:rsidP="00101FFF">
                            <w:pPr>
                              <w:jc w:val="center"/>
                              <w:rPr>
                                <w:color w:val="808080" w:themeColor="background1" w:themeShade="80"/>
                                <w:lang w:val="en-US"/>
                              </w:rPr>
                            </w:pPr>
                          </w:p>
                          <w:p w14:paraId="6AA85AA8" w14:textId="39D59A09" w:rsidR="00101FFF" w:rsidRPr="0026315D" w:rsidRDefault="00B40666" w:rsidP="00101FFF">
                            <w:pPr>
                              <w:jc w:val="center"/>
                              <w:rPr>
                                <w:lang w:val="en-US"/>
                              </w:rPr>
                            </w:pPr>
                            <w:r w:rsidRPr="0026315D">
                              <w:rPr>
                                <w:b/>
                                <w:bCs/>
                                <w:lang w:val="en-US"/>
                              </w:rPr>
                              <w:t>Identify</w:t>
                            </w:r>
                            <w:r w:rsidRPr="0026315D">
                              <w:rPr>
                                <w:lang w:val="en-US"/>
                              </w:rPr>
                              <w:t xml:space="preserve"> and </w:t>
                            </w:r>
                            <w:r w:rsidRPr="0026315D">
                              <w:rPr>
                                <w:b/>
                                <w:bCs/>
                                <w:lang w:val="en-US"/>
                              </w:rPr>
                              <w:t>a</w:t>
                            </w:r>
                            <w:r w:rsidR="00BF13B7" w:rsidRPr="0026315D">
                              <w:rPr>
                                <w:b/>
                                <w:bCs/>
                                <w:lang w:val="en-US"/>
                              </w:rPr>
                              <w:t xml:space="preserve">ssess </w:t>
                            </w:r>
                            <w:r w:rsidRPr="0026315D">
                              <w:rPr>
                                <w:b/>
                                <w:bCs/>
                                <w:lang w:val="en-US"/>
                              </w:rPr>
                              <w:t>options</w:t>
                            </w:r>
                            <w:r w:rsidRPr="0026315D">
                              <w:rPr>
                                <w:lang w:val="en-US"/>
                              </w:rPr>
                              <w:t xml:space="preserve"> to modify and </w:t>
                            </w:r>
                            <w:proofErr w:type="gramStart"/>
                            <w:r w:rsidRPr="0026315D">
                              <w:rPr>
                                <w:lang w:val="en-US"/>
                              </w:rPr>
                              <w:t>enhance</w:t>
                            </w:r>
                            <w:proofErr w:type="gramEnd"/>
                            <w:r w:rsidR="00BF13B7" w:rsidRPr="0026315D">
                              <w:rPr>
                                <w:lang w:val="en-US"/>
                              </w:rPr>
                              <w:t xml:space="preserve"> </w:t>
                            </w:r>
                          </w:p>
                        </w:txbxContent>
                      </v:textbox>
                    </v:rect>
                    <v:oval id="Oval 17" o:spid="_x0000_s1030" style="position:absolute;left:9906;top:57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" fillcolor="#8a1853" strokecolor="#8a1853" strokeweight="1pt">
                      <v:stroke joinstyle="miter"/>
                      <v:textbox>
                        <w:txbxContent>
                          <w:p w14:paraId="5006A0B2" w14:textId="77777777" w:rsidR="00101FFF" w:rsidRPr="00061BCD" w:rsidRDefault="00101FFF" w:rsidP="00101FFF">
                            <w:pPr>
                              <w:jc w:val="center"/>
                              <w:rPr>
                                <w:b/>
                                <w:bCs/>
                                <w:color w:val="FFFFFF" w:themeColor="background1"/>
                                <w:sz w:val="30"/>
                                <w:szCs w:val="30"/>
                                <w:lang w:val="en-US"/>
                              </w:rPr>
                            </w:pPr>
                            <w:r w:rsidRPr="00061BCD">
                              <w:rPr>
                                <w:b/>
                                <w:bCs/>
                                <w:color w:val="FFFFFF" w:themeColor="background1"/>
                                <w:sz w:val="30"/>
                                <w:szCs w:val="30"/>
                                <w:lang w:val="en-US"/>
                              </w:rPr>
                              <w:t>1</w:t>
                            </w:r>
                          </w:p>
                        </w:txbxContent>
                      </v:textbox>
                    </v:oval>
                  </v:group>
                  <v:shape id="Isosceles Triangle 19" o:spid="_x0000_s1031" type="#_x0000_t5" style="position:absolute;left:9906;top:10955;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" fillcolor="#8a1853" strokecolor="#8a1853" strokeweight="1pt"/>
                </v:group>
                <v:group id="Group 36" o:spid="_x0000_s1032" style="position:absolute;top:13295;width:24384;height:10488" coordorigin=",-2612" coordsize="24384,1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7" o:spid="_x0000_s1033" style="position:absolute;top:420;width:24384;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" filled="f" strokecolor="#8a1853" strokeweight="1pt">
                    <v:textbox>
                      <w:txbxContent>
                        <w:p w14:paraId="6E940177" w14:textId="77777777" w:rsidR="00101FFF" w:rsidRPr="00321730" w:rsidRDefault="00101FFF" w:rsidP="00101FFF">
                          <w:pPr>
                            <w:jc w:val="center"/>
                            <w:rPr>
                              <w:lang w:val="en-US"/>
                            </w:rPr>
                          </w:pPr>
                        </w:p>
                        <w:p w14:paraId="3F092818" w14:textId="7CB163A8" w:rsidR="00101FFF" w:rsidRPr="0026315D" w:rsidRDefault="00BF13B7" w:rsidP="00101FFF">
                          <w:pPr>
                            <w:jc w:val="center"/>
                            <w:rPr>
                              <w:lang w:val="en-US"/>
                            </w:rPr>
                          </w:pPr>
                          <w:r w:rsidRPr="0026315D">
                            <w:rPr>
                              <w:b/>
                              <w:bCs/>
                              <w:lang w:val="en-US"/>
                            </w:rPr>
                            <w:t>Design</w:t>
                          </w:r>
                          <w:r w:rsidRPr="0026315D">
                            <w:rPr>
                              <w:lang w:val="en-US"/>
                            </w:rPr>
                            <w:t xml:space="preserve"> and </w:t>
                          </w:r>
                          <w:r w:rsidRPr="0026315D">
                            <w:rPr>
                              <w:b/>
                              <w:bCs/>
                              <w:lang w:val="en-US"/>
                            </w:rPr>
                            <w:t>execute</w:t>
                          </w:r>
                          <w:r w:rsidRPr="0026315D">
                            <w:rPr>
                              <w:lang w:val="en-US"/>
                            </w:rPr>
                            <w:t xml:space="preserve"> </w:t>
                          </w:r>
                          <w:proofErr w:type="gramStart"/>
                          <w:r w:rsidRPr="0026315D">
                            <w:rPr>
                              <w:lang w:val="en-US"/>
                            </w:rPr>
                            <w:t>activities</w:t>
                          </w:r>
                          <w:proofErr w:type="gramEnd"/>
                          <w:r w:rsidRPr="0026315D">
                            <w:rPr>
                              <w:lang w:val="en-US"/>
                            </w:rPr>
                            <w:t xml:space="preserve"> </w:t>
                          </w:r>
                        </w:p>
                      </w:txbxContent>
                    </v:textbox>
                  </v:rect>
                  <v:oval id="Oval 38" o:spid="_x0000_s1034" style="position:absolute;left:9906;top:-261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" fillcolor="#8a1853" strokecolor="#8a1853" strokeweight="1pt">
                    <v:stroke joinstyle="miter"/>
                    <v:textbox inset="1mm,,1mm">
                      <w:txbxContent>
                        <w:p w14:paraId="7827E3FB" w14:textId="20C8ECF3" w:rsidR="00101FFF" w:rsidRPr="00061BCD" w:rsidRDefault="00B40666" w:rsidP="00B40666">
                          <w:pPr>
                            <w:rPr>
                              <w:b/>
                              <w:bCs/>
                              <w:color w:val="FFFFFF" w:themeColor="background1"/>
                              <w:sz w:val="30"/>
                              <w:szCs w:val="30"/>
                              <w:lang w:val="en-US"/>
                            </w:rPr>
                          </w:pPr>
                          <w:r w:rsidRPr="00061BCD">
                            <w:rPr>
                              <w:b/>
                              <w:bCs/>
                              <w:color w:val="FFFFFF" w:themeColor="background1"/>
                              <w:sz w:val="30"/>
                              <w:szCs w:val="30"/>
                              <w:lang w:val="en-US"/>
                            </w:rPr>
                            <w:t>2a</w:t>
                          </w:r>
                        </w:p>
                      </w:txbxContent>
                    </v:textbox>
                  </v:oval>
                </v:group>
                <v:group id="Group 41" o:spid="_x0000_s1035" style="position:absolute;left:-213;top:27081;width:24384;height:11682" coordorigin="-213,-5304" coordsize="24384,1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42" o:spid="_x0000_s1036" style="position:absolute;left:-213;top:-2764;width:24384;height: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" filled="f" strokecolor="#8a1853" strokeweight="1pt">
                    <v:textbox>
                      <w:txbxContent>
                        <w:p w14:paraId="6FDECFEA" w14:textId="5C39313A" w:rsidR="00101FFF" w:rsidRPr="0026315D" w:rsidRDefault="00B34398" w:rsidP="00101FFF">
                          <w:pPr>
                            <w:jc w:val="center"/>
                            <w:rPr>
                              <w:lang w:val="en-US"/>
                            </w:rPr>
                          </w:pPr>
                          <w:r w:rsidRPr="0026315D">
                            <w:rPr>
                              <w:b/>
                              <w:bCs/>
                              <w:lang w:val="en-US"/>
                            </w:rPr>
                            <w:t>Decommission</w:t>
                          </w:r>
                          <w:r w:rsidRPr="0026315D">
                            <w:rPr>
                              <w:lang w:val="en-US"/>
                            </w:rPr>
                            <w:t xml:space="preserve"> </w:t>
                          </w:r>
                          <w:proofErr w:type="gramStart"/>
                          <w:r w:rsidRPr="0026315D">
                            <w:rPr>
                              <w:lang w:val="en-US"/>
                            </w:rPr>
                            <w:t>services</w:t>
                          </w:r>
                          <w:proofErr w:type="gramEnd"/>
                          <w:r w:rsidRPr="0026315D">
                            <w:rPr>
                              <w:lang w:val="en-US"/>
                            </w:rPr>
                            <w:t xml:space="preserve"> </w:t>
                          </w:r>
                        </w:p>
                      </w:txbxContent>
                    </v:textbox>
                  </v:rect>
                  <v:oval id="Oval 43" o:spid="_x0000_s1037" style="position:absolute;left:10119;top:-530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" fillcolor="#8a1853" strokecolor="#8a1853" strokeweight="1pt">
                    <v:stroke joinstyle="miter"/>
                    <v:textbox inset="1mm,,1mm">
                      <w:txbxContent>
                        <w:p w14:paraId="62AF6A8E" w14:textId="34F1D648" w:rsidR="00101FFF" w:rsidRPr="00061BCD" w:rsidRDefault="00B40666" w:rsidP="00101FFF">
                          <w:pPr>
                            <w:jc w:val="right"/>
                            <w:rPr>
                              <w:b/>
                              <w:bCs/>
                              <w:color w:val="FFFFFF" w:themeColor="background1"/>
                              <w:sz w:val="30"/>
                              <w:szCs w:val="30"/>
                              <w:lang w:val="en-US"/>
                            </w:rPr>
                          </w:pPr>
                          <w:r w:rsidRPr="00061BCD">
                            <w:rPr>
                              <w:b/>
                              <w:bCs/>
                              <w:color w:val="FFFFFF" w:themeColor="background1"/>
                              <w:sz w:val="30"/>
                              <w:szCs w:val="30"/>
                              <w:lang w:val="en-US"/>
                            </w:rPr>
                            <w:t>2b</w:t>
                          </w:r>
                        </w:p>
                      </w:txbxContent>
                    </v:textbox>
                  </v:oval>
                </v:group>
                <w10:anchorlock/>
              </v:group>
            </w:pict>
          </mc:Fallback>
        </mc:AlternateContent>
      </w:r>
    </w:p>
    <w:p w14:paraId="64B7C4B7" w14:textId="7900C956" w:rsidR="00101FFF" w:rsidRPr="00756C88" w:rsidRDefault="00101FFF" w:rsidP="00BB099C">
      <w:pPr>
        <w:spacing w:after="120"/>
        <w:jc w:val="both"/>
        <w:rPr>
          <w:b/>
          <w:bCs/>
          <w:color w:val="8A1853"/>
          <w:sz w:val="28"/>
          <w:szCs w:val="28"/>
        </w:rPr>
      </w:pPr>
      <w:r w:rsidRPr="00756C88">
        <w:rPr>
          <w:b/>
          <w:bCs/>
          <w:color w:val="8A1853"/>
          <w:sz w:val="28"/>
          <w:szCs w:val="28"/>
        </w:rPr>
        <w:t>4. Output</w:t>
      </w:r>
    </w:p>
    <w:p w14:paraId="73D2B724" w14:textId="40BF28CD" w:rsidR="00101FFF" w:rsidRPr="0026315D" w:rsidRDefault="000D2717" w:rsidP="0026315D">
      <w:pPr>
        <w:jc w:val="both"/>
      </w:pPr>
      <w:r w:rsidRPr="0026315D">
        <w:t>O</w:t>
      </w:r>
      <w:r w:rsidR="00197B4B" w:rsidRPr="0026315D">
        <w:t xml:space="preserve">n </w:t>
      </w:r>
      <w:r w:rsidR="00B500BC" w:rsidRPr="0026315D">
        <w:t>completing</w:t>
      </w:r>
      <w:r w:rsidR="00197B4B" w:rsidRPr="0026315D">
        <w:t xml:space="preserve"> the </w:t>
      </w:r>
      <w:r w:rsidR="00BC6C45" w:rsidRPr="0026315D">
        <w:t xml:space="preserve">Modify and Enhance </w:t>
      </w:r>
      <w:r w:rsidR="00197B4B" w:rsidRPr="0026315D">
        <w:t>tool</w:t>
      </w:r>
      <w:r w:rsidR="00101FFF" w:rsidRPr="0026315D">
        <w:t xml:space="preserve">, we will have </w:t>
      </w:r>
      <w:r w:rsidR="00C47124" w:rsidRPr="0026315D">
        <w:t>assessed the various approaches that can be use</w:t>
      </w:r>
      <w:r w:rsidR="003C35FB" w:rsidRPr="0026315D">
        <w:t xml:space="preserve">d to improve </w:t>
      </w:r>
      <w:r w:rsidR="00221664" w:rsidRPr="0026315D">
        <w:t>commissioning</w:t>
      </w:r>
      <w:r w:rsidR="003C35FB" w:rsidRPr="0026315D">
        <w:t xml:space="preserve"> performance and how we can incorporate co-design methods and cultural safety into the process.</w:t>
      </w:r>
    </w:p>
    <w:p w14:paraId="75C8DB7B" w14:textId="57ECB9D6" w:rsidR="00101FFF" w:rsidRPr="00756C88" w:rsidRDefault="00101FFF" w:rsidP="00BB099C">
      <w:pPr>
        <w:spacing w:after="120"/>
        <w:jc w:val="both"/>
        <w:rPr>
          <w:b/>
          <w:bCs/>
          <w:color w:val="8A1853"/>
          <w:sz w:val="28"/>
          <w:szCs w:val="28"/>
        </w:rPr>
      </w:pPr>
      <w:r w:rsidRPr="00756C88">
        <w:rPr>
          <w:b/>
          <w:bCs/>
          <w:color w:val="8A1853"/>
          <w:sz w:val="28"/>
          <w:szCs w:val="28"/>
        </w:rPr>
        <w:t xml:space="preserve">5. Tools and </w:t>
      </w:r>
      <w:r w:rsidR="00061BCD" w:rsidRPr="00756C88">
        <w:rPr>
          <w:b/>
          <w:bCs/>
          <w:color w:val="8A1853"/>
          <w:sz w:val="28"/>
          <w:szCs w:val="28"/>
        </w:rPr>
        <w:t>r</w:t>
      </w:r>
      <w:r w:rsidRPr="00756C88">
        <w:rPr>
          <w:b/>
          <w:bCs/>
          <w:color w:val="8A1853"/>
          <w:sz w:val="28"/>
          <w:szCs w:val="28"/>
        </w:rPr>
        <w:t>esources</w:t>
      </w:r>
    </w:p>
    <w:p w14:paraId="15DEE6F0" w14:textId="3E768FD7" w:rsidR="00101FFF" w:rsidRPr="00756C88" w:rsidRDefault="00B40666" w:rsidP="0026315D">
      <w:pPr>
        <w:spacing w:after="120"/>
        <w:jc w:val="both"/>
        <w:rPr>
          <w:sz w:val="20"/>
          <w:szCs w:val="20"/>
        </w:rPr>
      </w:pPr>
      <w:r w:rsidRPr="0026315D">
        <w:t>Nil</w:t>
      </w:r>
    </w:p>
    <w:p w14:paraId="63A2F831" w14:textId="77777777" w:rsidR="00101FFF" w:rsidRPr="00756C88" w:rsidRDefault="00101FFF" w:rsidP="0026315D">
      <w:pPr>
        <w:jc w:val="both"/>
        <w:sectPr w:rsidR="00101FFF" w:rsidRPr="00756C88">
          <w:type w:val="continuous"/>
          <w:pgSz w:w="11906" w:h="16838"/>
          <w:pgMar w:top="1440" w:right="1440" w:bottom="1440" w:left="1440" w:header="708" w:footer="708" w:gutter="0"/>
          <w:cols w:num="2" w:space="706"/>
        </w:sectPr>
      </w:pPr>
    </w:p>
    <w:p w14:paraId="4E7D2C75" w14:textId="3B530840" w:rsidR="005373DF" w:rsidRPr="00756C88" w:rsidRDefault="005373DF" w:rsidP="001156E0">
      <w:pPr>
        <w:pStyle w:val="Heading1"/>
        <w:jc w:val="both"/>
      </w:pPr>
      <w:bookmarkStart w:id="4" w:name="_Toc117861717"/>
      <w:bookmarkEnd w:id="3"/>
      <w:r w:rsidRPr="00756C88">
        <w:lastRenderedPageBreak/>
        <w:t>1. Overview</w:t>
      </w:r>
      <w:bookmarkEnd w:id="4"/>
    </w:p>
    <w:p w14:paraId="331F6A68" w14:textId="5FFDCFC1" w:rsidR="005373DF" w:rsidRPr="00756C88" w:rsidRDefault="005373DF" w:rsidP="0026315D">
      <w:pPr>
        <w:pStyle w:val="Heading2"/>
        <w:spacing w:line="259" w:lineRule="auto"/>
        <w:jc w:val="both"/>
      </w:pPr>
      <w:bookmarkStart w:id="5" w:name="_Toc113981276"/>
      <w:bookmarkStart w:id="6" w:name="_Toc117861718"/>
      <w:r w:rsidRPr="00756C88">
        <w:t xml:space="preserve">1.1 </w:t>
      </w:r>
      <w:bookmarkEnd w:id="5"/>
      <w:r w:rsidRPr="00756C88">
        <w:t xml:space="preserve">What is </w:t>
      </w:r>
      <w:r w:rsidR="00197B4B" w:rsidRPr="00756C88">
        <w:t>m</w:t>
      </w:r>
      <w:r w:rsidRPr="00756C88">
        <w:t xml:space="preserve">odifying and </w:t>
      </w:r>
      <w:r w:rsidR="00197B4B" w:rsidRPr="00756C88">
        <w:t>e</w:t>
      </w:r>
      <w:r w:rsidRPr="00756C88">
        <w:t>nhancing?</w:t>
      </w:r>
      <w:bookmarkEnd w:id="6"/>
    </w:p>
    <w:p w14:paraId="0E753B14" w14:textId="682F06D3" w:rsidR="003E6016" w:rsidRPr="000166BD" w:rsidRDefault="00E57F31" w:rsidP="00BB099C">
      <w:pPr>
        <w:spacing w:after="120"/>
        <w:jc w:val="both"/>
      </w:pPr>
      <w:bookmarkStart w:id="7" w:name="_Toc113981277"/>
      <w:r w:rsidRPr="000166BD">
        <w:rPr>
          <w:noProof/>
        </w:rPr>
        <w:drawing>
          <wp:anchor distT="0" distB="0" distL="114300" distR="114300" simplePos="0" relativeHeight="251661312" behindDoc="0" locked="0" layoutInCell="1" allowOverlap="1" wp14:anchorId="210078CA" wp14:editId="42598171">
            <wp:simplePos x="0" y="0"/>
            <wp:positionH relativeFrom="column">
              <wp:posOffset>3483428</wp:posOffset>
            </wp:positionH>
            <wp:positionV relativeFrom="paragraph">
              <wp:posOffset>65587</wp:posOffset>
            </wp:positionV>
            <wp:extent cx="2740426" cy="2728864"/>
            <wp:effectExtent l="0" t="0" r="317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0426" cy="2728864"/>
                    </a:xfrm>
                    <a:prstGeom prst="rect">
                      <a:avLst/>
                    </a:prstGeom>
                    <a:noFill/>
                  </pic:spPr>
                </pic:pic>
              </a:graphicData>
            </a:graphic>
          </wp:anchor>
        </w:drawing>
      </w:r>
      <w:r w:rsidR="003E6016" w:rsidRPr="000166BD">
        <w:t xml:space="preserve">Modify and </w:t>
      </w:r>
      <w:proofErr w:type="gramStart"/>
      <w:r w:rsidR="003E6016" w:rsidRPr="000166BD">
        <w:t>Enhance</w:t>
      </w:r>
      <w:proofErr w:type="gramEnd"/>
      <w:r w:rsidR="003E6016" w:rsidRPr="000166BD">
        <w:t xml:space="preserve"> sits alongside Procu</w:t>
      </w:r>
      <w:r w:rsidR="00E770F0" w:rsidRPr="000166BD">
        <w:t>rement and Contracting as a complementary commissioning phase.</w:t>
      </w:r>
    </w:p>
    <w:p w14:paraId="15586BDB" w14:textId="38578D23" w:rsidR="00345588" w:rsidRPr="00756C88" w:rsidRDefault="00E57F31" w:rsidP="00BB099C">
      <w:pPr>
        <w:spacing w:after="120"/>
        <w:jc w:val="both"/>
      </w:pPr>
      <w:r w:rsidRPr="00756C88">
        <w:rPr>
          <w:noProof/>
        </w:rPr>
        <mc:AlternateContent>
          <mc:Choice Requires="wps">
            <w:drawing>
              <wp:anchor distT="0" distB="0" distL="114300" distR="114300" simplePos="0" relativeHeight="251662336" behindDoc="0" locked="0" layoutInCell="1" allowOverlap="1" wp14:anchorId="269B420F" wp14:editId="7EC7AE21">
                <wp:simplePos x="0" y="0"/>
                <wp:positionH relativeFrom="column">
                  <wp:posOffset>3691708</wp:posOffset>
                </wp:positionH>
                <wp:positionV relativeFrom="paragraph">
                  <wp:posOffset>2154102</wp:posOffset>
                </wp:positionV>
                <wp:extent cx="2386330" cy="635"/>
                <wp:effectExtent l="0" t="0" r="0" b="0"/>
                <wp:wrapSquare wrapText="bothSides"/>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6330" cy="635"/>
                        </a:xfrm>
                        <a:prstGeom prst="rect">
                          <a:avLst/>
                        </a:prstGeom>
                        <a:solidFill>
                          <a:prstClr val="white"/>
                        </a:solidFill>
                        <a:ln>
                          <a:noFill/>
                        </a:ln>
                      </wps:spPr>
                      <wps:txbx>
                        <w:txbxContent>
                          <w:p w14:paraId="71F090EB" w14:textId="77777777" w:rsidR="00E57F31" w:rsidRPr="0026315D" w:rsidRDefault="00E57F31" w:rsidP="00E57F31">
                            <w:pPr>
                              <w:pStyle w:val="Caption"/>
                              <w:jc w:val="center"/>
                              <w:rPr>
                                <w:i w:val="0"/>
                                <w:iCs w:val="0"/>
                                <w:noProof/>
                                <w:sz w:val="24"/>
                                <w:szCs w:val="24"/>
                              </w:rPr>
                            </w:pPr>
                            <w:r w:rsidRPr="0026315D">
                              <w:rPr>
                                <w:i w:val="0"/>
                                <w:iCs w:val="0"/>
                                <w:sz w:val="24"/>
                                <w:szCs w:val="24"/>
                              </w:rPr>
                              <w:t xml:space="preserve">Figure </w:t>
                            </w:r>
                            <w:r w:rsidR="001156E0" w:rsidRPr="0026315D">
                              <w:rPr>
                                <w:i w:val="0"/>
                                <w:iCs w:val="0"/>
                                <w:sz w:val="24"/>
                                <w:szCs w:val="24"/>
                              </w:rPr>
                              <w:fldChar w:fldCharType="begin"/>
                            </w:r>
                            <w:r w:rsidR="001156E0" w:rsidRPr="0026315D">
                              <w:rPr>
                                <w:i w:val="0"/>
                                <w:iCs w:val="0"/>
                                <w:sz w:val="24"/>
                                <w:szCs w:val="24"/>
                              </w:rPr>
                              <w:instrText xml:space="preserve"> SEQ Figure \* ARABIC </w:instrText>
                            </w:r>
                            <w:r w:rsidR="001156E0" w:rsidRPr="0026315D">
                              <w:rPr>
                                <w:i w:val="0"/>
                                <w:iCs w:val="0"/>
                                <w:sz w:val="24"/>
                                <w:szCs w:val="24"/>
                              </w:rPr>
                              <w:fldChar w:fldCharType="separate"/>
                            </w:r>
                            <w:r w:rsidRPr="0026315D">
                              <w:rPr>
                                <w:i w:val="0"/>
                                <w:iCs w:val="0"/>
                                <w:sz w:val="24"/>
                                <w:szCs w:val="24"/>
                              </w:rPr>
                              <w:t>1</w:t>
                            </w:r>
                            <w:r w:rsidR="001156E0" w:rsidRPr="0026315D">
                              <w:rPr>
                                <w:i w:val="0"/>
                                <w:iCs w:val="0"/>
                                <w:sz w:val="24"/>
                                <w:szCs w:val="24"/>
                              </w:rPr>
                              <w:fldChar w:fldCharType="end"/>
                            </w:r>
                            <w:r w:rsidRPr="0026315D">
                              <w:rPr>
                                <w:i w:val="0"/>
                                <w:iCs w:val="0"/>
                                <w:sz w:val="24"/>
                                <w:szCs w:val="24"/>
                              </w:rPr>
                              <w:t>: Commissioning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69B420F" id="_x0000_t202" coordsize="21600,21600" o:spt="202" path="m,l,21600r21600,l21600,xe">
                <v:stroke joinstyle="miter"/>
                <v:path gradientshapeok="t" o:connecttype="rect"/>
              </v:shapetype>
              <v:shape id="Text Box 27" o:spid="_x0000_s1038" type="#_x0000_t202" alt="&quot;&quot;" style="position:absolute;left:0;text-align:left;margin-left:290.7pt;margin-top:169.6pt;width:187.9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" stroked="f">
                <v:textbox style="mso-fit-shape-to-text:t" inset="0,0,0,0">
                  <w:txbxContent>
                    <w:p w14:paraId="71F090EB" w14:textId="77777777" w:rsidR="00E57F31" w:rsidRPr="0026315D" w:rsidRDefault="00E57F31" w:rsidP="00E57F31">
                      <w:pPr>
                        <w:pStyle w:val="Caption"/>
                        <w:jc w:val="center"/>
                        <w:rPr>
                          <w:i w:val="0"/>
                          <w:iCs w:val="0"/>
                          <w:noProof/>
                          <w:sz w:val="24"/>
                          <w:szCs w:val="24"/>
                        </w:rPr>
                      </w:pPr>
                      <w:r w:rsidRPr="0026315D">
                        <w:rPr>
                          <w:i w:val="0"/>
                          <w:iCs w:val="0"/>
                          <w:sz w:val="24"/>
                          <w:szCs w:val="24"/>
                        </w:rPr>
                        <w:t xml:space="preserve">Figure </w:t>
                      </w:r>
                      <w:r w:rsidR="001156E0" w:rsidRPr="0026315D">
                        <w:rPr>
                          <w:i w:val="0"/>
                          <w:iCs w:val="0"/>
                          <w:sz w:val="24"/>
                          <w:szCs w:val="24"/>
                        </w:rPr>
                        <w:fldChar w:fldCharType="begin"/>
                      </w:r>
                      <w:r w:rsidR="001156E0" w:rsidRPr="0026315D">
                        <w:rPr>
                          <w:i w:val="0"/>
                          <w:iCs w:val="0"/>
                          <w:sz w:val="24"/>
                          <w:szCs w:val="24"/>
                        </w:rPr>
                        <w:instrText xml:space="preserve"> SEQ Figure \* ARABIC </w:instrText>
                      </w:r>
                      <w:r w:rsidR="001156E0" w:rsidRPr="0026315D">
                        <w:rPr>
                          <w:i w:val="0"/>
                          <w:iCs w:val="0"/>
                          <w:sz w:val="24"/>
                          <w:szCs w:val="24"/>
                        </w:rPr>
                        <w:fldChar w:fldCharType="separate"/>
                      </w:r>
                      <w:r w:rsidRPr="0026315D">
                        <w:rPr>
                          <w:i w:val="0"/>
                          <w:iCs w:val="0"/>
                          <w:sz w:val="24"/>
                          <w:szCs w:val="24"/>
                        </w:rPr>
                        <w:t>1</w:t>
                      </w:r>
                      <w:r w:rsidR="001156E0" w:rsidRPr="0026315D">
                        <w:rPr>
                          <w:i w:val="0"/>
                          <w:iCs w:val="0"/>
                          <w:sz w:val="24"/>
                          <w:szCs w:val="24"/>
                        </w:rPr>
                        <w:fldChar w:fldCharType="end"/>
                      </w:r>
                      <w:r w:rsidRPr="0026315D">
                        <w:rPr>
                          <w:i w:val="0"/>
                          <w:iCs w:val="0"/>
                          <w:sz w:val="24"/>
                          <w:szCs w:val="24"/>
                        </w:rPr>
                        <w:t>: Commissioning cycle</w:t>
                      </w:r>
                    </w:p>
                  </w:txbxContent>
                </v:textbox>
                <w10:wrap type="square"/>
              </v:shape>
            </w:pict>
          </mc:Fallback>
        </mc:AlternateContent>
      </w:r>
      <w:r w:rsidR="0049250F" w:rsidRPr="00756C88">
        <w:t>Procurement is</w:t>
      </w:r>
      <w:r w:rsidR="00061C9C" w:rsidRPr="00756C88">
        <w:t xml:space="preserve"> not the only option available to commissioners to introduce changes</w:t>
      </w:r>
      <w:r w:rsidR="00FA7BE2" w:rsidRPr="00756C88">
        <w:t xml:space="preserve"> in service provision. Commissioners can also </w:t>
      </w:r>
      <w:r w:rsidR="008303F2" w:rsidRPr="00756C88">
        <w:t xml:space="preserve">change existing services to meet the identified needs. </w:t>
      </w:r>
      <w:r w:rsidR="00BB1731" w:rsidRPr="00756C88">
        <w:t>This includes making changes to services operated by the department or</w:t>
      </w:r>
      <w:r w:rsidR="00B73CAE" w:rsidRPr="00756C88">
        <w:t xml:space="preserve"> how external service providers </w:t>
      </w:r>
      <w:r w:rsidR="00BD194E" w:rsidRPr="00756C88">
        <w:t>operate</w:t>
      </w:r>
      <w:r w:rsidR="004940A8" w:rsidRPr="00756C88">
        <w:t xml:space="preserve"> internally and with each other</w:t>
      </w:r>
      <w:r w:rsidR="00BD194E" w:rsidRPr="00756C88">
        <w:t>.</w:t>
      </w:r>
      <w:r w:rsidR="00604654" w:rsidRPr="00756C88">
        <w:t xml:space="preserve"> The modifications or enhancements to existing services can be</w:t>
      </w:r>
      <w:r w:rsidR="00751942" w:rsidRPr="00756C88">
        <w:t xml:space="preserve"> done instead of procurement or as a complementary activity.</w:t>
      </w:r>
    </w:p>
    <w:p w14:paraId="5E0D2EF3" w14:textId="11CE5647" w:rsidR="005373DF" w:rsidRPr="00756C88" w:rsidRDefault="005373DF" w:rsidP="00BB099C">
      <w:pPr>
        <w:spacing w:after="120"/>
        <w:jc w:val="both"/>
        <w:rPr>
          <w:b/>
          <w:bCs/>
        </w:rPr>
      </w:pPr>
      <w:r w:rsidRPr="00756C88">
        <w:t xml:space="preserve">This </w:t>
      </w:r>
      <w:r w:rsidR="00197B4B" w:rsidRPr="00756C88">
        <w:t>tool</w:t>
      </w:r>
      <w:r w:rsidRPr="00756C88">
        <w:t xml:space="preserve"> allows commissioners to identify, agree, design, and execute </w:t>
      </w:r>
      <w:r w:rsidR="00F34093" w:rsidRPr="00756C88">
        <w:t>well-targeted</w:t>
      </w:r>
      <w:r w:rsidRPr="00756C88">
        <w:t xml:space="preserve"> </w:t>
      </w:r>
      <w:r w:rsidR="00586517" w:rsidRPr="00756C88">
        <w:t>service modifications</w:t>
      </w:r>
      <w:r w:rsidRPr="00756C88">
        <w:t xml:space="preserve"> to address identified priorities </w:t>
      </w:r>
      <w:r w:rsidR="00586517" w:rsidRPr="00756C88">
        <w:t>and</w:t>
      </w:r>
      <w:r w:rsidRPr="00756C88">
        <w:t xml:space="preserve"> leverag</w:t>
      </w:r>
      <w:r w:rsidR="00586517" w:rsidRPr="00756C88">
        <w:t xml:space="preserve">e </w:t>
      </w:r>
      <w:r w:rsidRPr="00756C88">
        <w:t xml:space="preserve">opportunities to </w:t>
      </w:r>
      <w:r w:rsidR="00586517" w:rsidRPr="00756C88">
        <w:t>enhance</w:t>
      </w:r>
      <w:r w:rsidR="00975F52" w:rsidRPr="00756C88">
        <w:t xml:space="preserve"> service performance</w:t>
      </w:r>
      <w:r w:rsidRPr="00756C88">
        <w:t xml:space="preserve">. </w:t>
      </w:r>
      <w:r w:rsidR="00975F52" w:rsidRPr="00756C88">
        <w:t>The modification and enhancement a</w:t>
      </w:r>
      <w:r w:rsidRPr="00756C88">
        <w:t xml:space="preserve">ctivities </w:t>
      </w:r>
      <w:r w:rsidR="00975F52" w:rsidRPr="00756C88">
        <w:t>can include</w:t>
      </w:r>
      <w:r w:rsidRPr="00756C88">
        <w:t xml:space="preserve"> strategic partnerships, </w:t>
      </w:r>
      <w:r w:rsidR="006C4F5E" w:rsidRPr="00756C88">
        <w:t>market-shaping</w:t>
      </w:r>
      <w:r w:rsidRPr="00756C88">
        <w:t xml:space="preserve"> initiatives, workforce development, technology enablement, infrastructure enhancements, or in-house service provision</w:t>
      </w:r>
      <w:r w:rsidR="000D2717" w:rsidRPr="00756C88">
        <w:t>.</w:t>
      </w:r>
    </w:p>
    <w:p w14:paraId="3ACF0069" w14:textId="3BFBDA6E" w:rsidR="005373DF" w:rsidRPr="00756C88" w:rsidRDefault="005373DF" w:rsidP="0026315D">
      <w:pPr>
        <w:pStyle w:val="Heading2"/>
        <w:spacing w:line="259" w:lineRule="auto"/>
        <w:jc w:val="both"/>
      </w:pPr>
      <w:bookmarkStart w:id="8" w:name="_Toc117861719"/>
      <w:r w:rsidRPr="00756C88">
        <w:t xml:space="preserve">1.2 </w:t>
      </w:r>
      <w:bookmarkEnd w:id="7"/>
      <w:r w:rsidRPr="00756C88">
        <w:t xml:space="preserve">Commissioning </w:t>
      </w:r>
      <w:r w:rsidR="00133577">
        <w:t>l</w:t>
      </w:r>
      <w:r w:rsidRPr="00756C88">
        <w:t>evers</w:t>
      </w:r>
      <w:bookmarkEnd w:id="8"/>
    </w:p>
    <w:p w14:paraId="62B4020E" w14:textId="352BFA5D" w:rsidR="004A31D4" w:rsidRPr="00756C88" w:rsidRDefault="005373DF" w:rsidP="00BB099C">
      <w:pPr>
        <w:spacing w:after="120"/>
        <w:jc w:val="both"/>
      </w:pPr>
      <w:r w:rsidRPr="00756C88">
        <w:t xml:space="preserve">Procurement is discussed in detail during the </w:t>
      </w:r>
      <w:r w:rsidRPr="0026315D">
        <w:t>Procurement and Contracting</w:t>
      </w:r>
      <w:r w:rsidRPr="00756C88">
        <w:t xml:space="preserve"> </w:t>
      </w:r>
      <w:r w:rsidR="00E77180" w:rsidRPr="00756C88">
        <w:t>tool</w:t>
      </w:r>
      <w:r w:rsidRPr="00756C88">
        <w:t xml:space="preserve">, and while </w:t>
      </w:r>
      <w:r w:rsidR="00892707" w:rsidRPr="00756C88">
        <w:t>an effective</w:t>
      </w:r>
      <w:r w:rsidRPr="00756C88">
        <w:t xml:space="preserve"> method for </w:t>
      </w:r>
      <w:r w:rsidR="008B4FE0" w:rsidRPr="00756C88">
        <w:t>driving</w:t>
      </w:r>
      <w:r w:rsidRPr="00756C88">
        <w:t xml:space="preserve"> change, there are other change levers we should </w:t>
      </w:r>
      <w:r w:rsidR="008B4FE0" w:rsidRPr="00756C88">
        <w:t xml:space="preserve">also </w:t>
      </w:r>
      <w:r w:rsidRPr="00756C88">
        <w:t>consider. These include:</w:t>
      </w:r>
    </w:p>
    <w:p w14:paraId="327BD33F" w14:textId="15A52F36" w:rsidR="005373DF" w:rsidRPr="00756C88" w:rsidRDefault="00A313E9" w:rsidP="0026315D">
      <w:pPr>
        <w:pStyle w:val="ListParagraph"/>
        <w:numPr>
          <w:ilvl w:val="0"/>
          <w:numId w:val="16"/>
        </w:numPr>
        <w:spacing w:after="120"/>
        <w:ind w:left="714" w:hanging="357"/>
        <w:contextualSpacing w:val="0"/>
        <w:jc w:val="both"/>
      </w:pPr>
      <w:r w:rsidRPr="00756C88">
        <w:t>m</w:t>
      </w:r>
      <w:r w:rsidR="005373DF" w:rsidRPr="00756C88">
        <w:t xml:space="preserve">arket </w:t>
      </w:r>
      <w:r w:rsidR="00357F20" w:rsidRPr="00756C88">
        <w:t>m</w:t>
      </w:r>
      <w:r w:rsidR="005373DF" w:rsidRPr="00756C88">
        <w:t>anagement</w:t>
      </w:r>
    </w:p>
    <w:p w14:paraId="5363DF38" w14:textId="6ED8FE4D" w:rsidR="005373DF" w:rsidRPr="00756C88" w:rsidRDefault="00A313E9" w:rsidP="0026315D">
      <w:pPr>
        <w:pStyle w:val="ListParagraph"/>
        <w:numPr>
          <w:ilvl w:val="0"/>
          <w:numId w:val="16"/>
        </w:numPr>
        <w:spacing w:after="120"/>
        <w:ind w:left="714" w:hanging="357"/>
        <w:contextualSpacing w:val="0"/>
        <w:jc w:val="both"/>
      </w:pPr>
      <w:r w:rsidRPr="00756C88">
        <w:t>f</w:t>
      </w:r>
      <w:r w:rsidR="005373DF" w:rsidRPr="00756C88">
        <w:t>unding</w:t>
      </w:r>
    </w:p>
    <w:p w14:paraId="39773E30" w14:textId="16DFBA7E" w:rsidR="005373DF" w:rsidRPr="00756C88" w:rsidRDefault="00A313E9" w:rsidP="0026315D">
      <w:pPr>
        <w:pStyle w:val="ListParagraph"/>
        <w:numPr>
          <w:ilvl w:val="0"/>
          <w:numId w:val="16"/>
        </w:numPr>
        <w:spacing w:after="120"/>
        <w:ind w:left="714" w:hanging="357"/>
        <w:contextualSpacing w:val="0"/>
        <w:jc w:val="both"/>
      </w:pPr>
      <w:r w:rsidRPr="00756C88">
        <w:t>s</w:t>
      </w:r>
      <w:r w:rsidR="005373DF" w:rsidRPr="00756C88">
        <w:t xml:space="preserve">ystem </w:t>
      </w:r>
      <w:r w:rsidR="00357F20" w:rsidRPr="00756C88">
        <w:t>l</w:t>
      </w:r>
      <w:r w:rsidR="005373DF" w:rsidRPr="00756C88">
        <w:t>eadership</w:t>
      </w:r>
    </w:p>
    <w:p w14:paraId="2E997EEC" w14:textId="3F0162C3" w:rsidR="005373DF" w:rsidRPr="00756C88" w:rsidRDefault="00A313E9" w:rsidP="0026315D">
      <w:pPr>
        <w:pStyle w:val="ListParagraph"/>
        <w:numPr>
          <w:ilvl w:val="0"/>
          <w:numId w:val="16"/>
        </w:numPr>
        <w:spacing w:after="120"/>
        <w:ind w:left="714" w:hanging="357"/>
        <w:contextualSpacing w:val="0"/>
        <w:jc w:val="both"/>
      </w:pPr>
      <w:r w:rsidRPr="00756C88">
        <w:t>c</w:t>
      </w:r>
      <w:r w:rsidR="005373DF" w:rsidRPr="00756C88">
        <w:t>linical engagement</w:t>
      </w:r>
    </w:p>
    <w:p w14:paraId="51A6E226" w14:textId="2D83ACF6" w:rsidR="005373DF" w:rsidRPr="00756C88" w:rsidRDefault="00A313E9" w:rsidP="0026315D">
      <w:pPr>
        <w:pStyle w:val="ListParagraph"/>
        <w:numPr>
          <w:ilvl w:val="0"/>
          <w:numId w:val="16"/>
        </w:numPr>
        <w:spacing w:after="120"/>
        <w:ind w:left="714" w:hanging="357"/>
        <w:contextualSpacing w:val="0"/>
        <w:jc w:val="both"/>
      </w:pPr>
      <w:r w:rsidRPr="00756C88">
        <w:t>c</w:t>
      </w:r>
      <w:r w:rsidR="005373DF" w:rsidRPr="00756C88">
        <w:t>ommunity engagement</w:t>
      </w:r>
    </w:p>
    <w:p w14:paraId="38E4F0B1" w14:textId="1EF7E01E" w:rsidR="003535B5" w:rsidRPr="00756C88" w:rsidRDefault="00A313E9" w:rsidP="0026315D">
      <w:pPr>
        <w:pStyle w:val="ListParagraph"/>
        <w:numPr>
          <w:ilvl w:val="0"/>
          <w:numId w:val="16"/>
        </w:numPr>
        <w:spacing w:after="120"/>
        <w:ind w:left="714" w:hanging="357"/>
        <w:contextualSpacing w:val="0"/>
        <w:jc w:val="both"/>
      </w:pPr>
      <w:r w:rsidRPr="00756C88">
        <w:t>s</w:t>
      </w:r>
      <w:r w:rsidR="005373DF" w:rsidRPr="00756C88">
        <w:t>ervice provider collaboration</w:t>
      </w:r>
      <w:r w:rsidR="00CB3453" w:rsidRPr="00756C88">
        <w:t>.</w:t>
      </w:r>
    </w:p>
    <w:p w14:paraId="6A41D8E3" w14:textId="2DFC1AC3" w:rsidR="00294FF9" w:rsidRPr="00756C88" w:rsidRDefault="00294FF9" w:rsidP="00BB099C">
      <w:pPr>
        <w:spacing w:after="120"/>
        <w:jc w:val="both"/>
      </w:pPr>
      <w:r w:rsidRPr="00756C88">
        <w:t>This tool discusses</w:t>
      </w:r>
      <w:r w:rsidR="00EE3612" w:rsidRPr="00756C88">
        <w:t xml:space="preserve"> how commissioners can use these non-procurement commissioning levers.</w:t>
      </w:r>
    </w:p>
    <w:p w14:paraId="49AB6257" w14:textId="77777777" w:rsidR="0011694D" w:rsidRPr="00756C88" w:rsidRDefault="0011694D" w:rsidP="00986F41">
      <w:pPr>
        <w:keepNext/>
        <w:jc w:val="center"/>
      </w:pPr>
      <w:r w:rsidRPr="00756C88">
        <w:rPr>
          <w:i/>
          <w:iCs/>
          <w:noProof/>
          <w:sz w:val="20"/>
          <w:szCs w:val="20"/>
        </w:rPr>
        <w:lastRenderedPageBreak/>
        <w:drawing>
          <wp:inline distT="0" distB="0" distL="0" distR="0" wp14:anchorId="537365B2" wp14:editId="34EA3D6A">
            <wp:extent cx="3137881" cy="3115340"/>
            <wp:effectExtent l="0" t="0" r="5715" b="8890"/>
            <wp:docPr id="6" name="Picture 6" descr="Figure 2. Commissioning change le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Commissioning change lev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8296" cy="3135609"/>
                    </a:xfrm>
                    <a:prstGeom prst="rect">
                      <a:avLst/>
                    </a:prstGeom>
                    <a:noFill/>
                  </pic:spPr>
                </pic:pic>
              </a:graphicData>
            </a:graphic>
          </wp:inline>
        </w:drawing>
      </w:r>
    </w:p>
    <w:p w14:paraId="3A2F25B8" w14:textId="63AA701F" w:rsidR="00A50250" w:rsidRPr="0026315D" w:rsidRDefault="0011694D" w:rsidP="00986F41">
      <w:pPr>
        <w:pStyle w:val="Caption"/>
        <w:jc w:val="center"/>
        <w:rPr>
          <w:i w:val="0"/>
          <w:iCs w:val="0"/>
          <w:sz w:val="24"/>
          <w:szCs w:val="24"/>
        </w:rPr>
      </w:pPr>
      <w:r w:rsidRPr="0026315D">
        <w:rPr>
          <w:i w:val="0"/>
          <w:iCs w:val="0"/>
          <w:sz w:val="24"/>
          <w:szCs w:val="24"/>
        </w:rPr>
        <w:t xml:space="preserve">Figure </w:t>
      </w:r>
      <w:r w:rsidR="008773FB" w:rsidRPr="0026315D">
        <w:rPr>
          <w:i w:val="0"/>
          <w:iCs w:val="0"/>
          <w:sz w:val="24"/>
          <w:szCs w:val="24"/>
        </w:rPr>
        <w:t>2</w:t>
      </w:r>
      <w:r w:rsidRPr="0026315D">
        <w:rPr>
          <w:i w:val="0"/>
          <w:iCs w:val="0"/>
          <w:sz w:val="24"/>
          <w:szCs w:val="24"/>
        </w:rPr>
        <w:t>. Commissioning change levers</w:t>
      </w:r>
    </w:p>
    <w:p w14:paraId="439B8FA8" w14:textId="66DB3E03" w:rsidR="005373DF" w:rsidRPr="00756C88" w:rsidRDefault="005373DF" w:rsidP="0026315D">
      <w:pPr>
        <w:pStyle w:val="Heading1"/>
        <w:spacing w:line="259" w:lineRule="auto"/>
        <w:jc w:val="both"/>
      </w:pPr>
      <w:bookmarkStart w:id="9" w:name="_Toc113981278"/>
      <w:bookmarkStart w:id="10" w:name="_Toc117861720"/>
      <w:r w:rsidRPr="00756C88">
        <w:t>2. Purpose</w:t>
      </w:r>
      <w:bookmarkEnd w:id="9"/>
      <w:bookmarkEnd w:id="10"/>
    </w:p>
    <w:p w14:paraId="41E30256" w14:textId="7CDCA48B" w:rsidR="005373DF" w:rsidRPr="00756C88" w:rsidRDefault="005373DF" w:rsidP="0026315D">
      <w:pPr>
        <w:pStyle w:val="Heading2"/>
        <w:spacing w:line="259" w:lineRule="auto"/>
        <w:jc w:val="both"/>
      </w:pPr>
      <w:bookmarkStart w:id="11" w:name="_Toc113981279"/>
      <w:bookmarkStart w:id="12" w:name="_Toc117861721"/>
      <w:r w:rsidRPr="00756C88">
        <w:t xml:space="preserve">2.1 </w:t>
      </w:r>
      <w:bookmarkEnd w:id="11"/>
      <w:r w:rsidRPr="00756C88">
        <w:t xml:space="preserve">Why </w:t>
      </w:r>
      <w:r w:rsidR="0011694D" w:rsidRPr="00756C88">
        <w:t>d</w:t>
      </w:r>
      <w:r w:rsidRPr="00756C88">
        <w:t xml:space="preserve">o </w:t>
      </w:r>
      <w:r w:rsidR="0011694D" w:rsidRPr="00756C88">
        <w:t>w</w:t>
      </w:r>
      <w:r w:rsidRPr="00756C88">
        <w:t xml:space="preserve">e </w:t>
      </w:r>
      <w:r w:rsidR="0011694D" w:rsidRPr="00756C88">
        <w:t>c</w:t>
      </w:r>
      <w:r w:rsidRPr="00756C88">
        <w:t xml:space="preserve">onduct </w:t>
      </w:r>
      <w:r w:rsidR="0011694D" w:rsidRPr="00756C88">
        <w:t>m</w:t>
      </w:r>
      <w:r w:rsidRPr="00756C88">
        <w:t xml:space="preserve">odifying and </w:t>
      </w:r>
      <w:r w:rsidR="0011694D" w:rsidRPr="00756C88">
        <w:t>e</w:t>
      </w:r>
      <w:r w:rsidRPr="00756C88">
        <w:t>nhancing?</w:t>
      </w:r>
      <w:bookmarkEnd w:id="12"/>
    </w:p>
    <w:p w14:paraId="3CDD8312" w14:textId="0C0B8658" w:rsidR="005373DF" w:rsidRPr="00756C88" w:rsidRDefault="00500101" w:rsidP="00BB099C">
      <w:pPr>
        <w:spacing w:after="120"/>
        <w:jc w:val="both"/>
      </w:pPr>
      <w:r w:rsidRPr="00756C88">
        <w:t xml:space="preserve">This tool can be used in conjunction with </w:t>
      </w:r>
      <w:r w:rsidRPr="000F72FD">
        <w:t xml:space="preserve">the </w:t>
      </w:r>
      <w:r w:rsidRPr="0026315D">
        <w:t>Procurement and Contracting</w:t>
      </w:r>
      <w:r w:rsidRPr="000F72FD">
        <w:t xml:space="preserve"> tool to assist commissioners</w:t>
      </w:r>
      <w:r w:rsidR="008C3DFD" w:rsidRPr="000F72FD">
        <w:t xml:space="preserve"> to identify the set of activities</w:t>
      </w:r>
      <w:r w:rsidR="005373DF" w:rsidRPr="000F72FD">
        <w:t xml:space="preserve"> to address </w:t>
      </w:r>
      <w:r w:rsidR="00F61D26" w:rsidRPr="000F72FD">
        <w:t>prioritised</w:t>
      </w:r>
      <w:r w:rsidR="005373DF" w:rsidRPr="000F72FD">
        <w:t xml:space="preserve"> needs. It draws on the ideas and insights of the </w:t>
      </w:r>
      <w:r w:rsidR="00872403" w:rsidRPr="0026315D">
        <w:t xml:space="preserve">Design </w:t>
      </w:r>
      <w:r w:rsidR="005502EB" w:rsidRPr="0026315D">
        <w:t xml:space="preserve">Services </w:t>
      </w:r>
      <w:r w:rsidR="005502EB" w:rsidRPr="000F72FD">
        <w:t>tool</w:t>
      </w:r>
      <w:r w:rsidR="005373DF" w:rsidRPr="00756C88">
        <w:t xml:space="preserve"> and points to </w:t>
      </w:r>
      <w:r w:rsidR="00723555" w:rsidRPr="00756C88">
        <w:t>how</w:t>
      </w:r>
      <w:r w:rsidR="005373DF" w:rsidRPr="00756C88">
        <w:t xml:space="preserve"> commissioners and their strategic partners can work to modify and enhance </w:t>
      </w:r>
      <w:r w:rsidR="00D976C8" w:rsidRPr="00756C88">
        <w:t>services and service provision</w:t>
      </w:r>
      <w:r w:rsidR="005373DF" w:rsidRPr="00756C88">
        <w:t>, namely:</w:t>
      </w:r>
    </w:p>
    <w:p w14:paraId="18FA1D9C" w14:textId="007A28D4" w:rsidR="005373DF" w:rsidRPr="00756C88" w:rsidRDefault="00A313E9" w:rsidP="0026315D">
      <w:pPr>
        <w:pStyle w:val="ListParagraph"/>
        <w:numPr>
          <w:ilvl w:val="0"/>
          <w:numId w:val="17"/>
        </w:numPr>
        <w:spacing w:after="120"/>
        <w:ind w:left="782" w:hanging="357"/>
        <w:contextualSpacing w:val="0"/>
        <w:jc w:val="both"/>
        <w:rPr>
          <w:b/>
          <w:bCs/>
        </w:rPr>
      </w:pPr>
      <w:r w:rsidRPr="00756C88">
        <w:t>s</w:t>
      </w:r>
      <w:r w:rsidR="001F5CD2" w:rsidRPr="00756C88">
        <w:t>ervice provider</w:t>
      </w:r>
      <w:r w:rsidR="005373DF" w:rsidRPr="00756C88">
        <w:t xml:space="preserve"> market engagement (supply side external procurement </w:t>
      </w:r>
      <w:r w:rsidR="005A1BEE" w:rsidRPr="00756C88">
        <w:t>or</w:t>
      </w:r>
      <w:r w:rsidR="005373DF" w:rsidRPr="00756C88">
        <w:t xml:space="preserve"> market shaping)</w:t>
      </w:r>
    </w:p>
    <w:p w14:paraId="4E4EBBDE" w14:textId="051A5C66" w:rsidR="005373DF" w:rsidRPr="00756C88" w:rsidRDefault="00A313E9" w:rsidP="0026315D">
      <w:pPr>
        <w:pStyle w:val="ListParagraph"/>
        <w:numPr>
          <w:ilvl w:val="0"/>
          <w:numId w:val="17"/>
        </w:numPr>
        <w:spacing w:after="120"/>
        <w:ind w:left="782" w:hanging="357"/>
        <w:contextualSpacing w:val="0"/>
        <w:jc w:val="both"/>
        <w:rPr>
          <w:b/>
          <w:bCs/>
        </w:rPr>
      </w:pPr>
      <w:r w:rsidRPr="00756C88">
        <w:t>w</w:t>
      </w:r>
      <w:r w:rsidR="005373DF" w:rsidRPr="00756C88">
        <w:t>orkforce development</w:t>
      </w:r>
    </w:p>
    <w:p w14:paraId="3D8A1774" w14:textId="768849F4" w:rsidR="005373DF" w:rsidRPr="00756C88" w:rsidRDefault="00A313E9" w:rsidP="0026315D">
      <w:pPr>
        <w:pStyle w:val="ListParagraph"/>
        <w:numPr>
          <w:ilvl w:val="0"/>
          <w:numId w:val="17"/>
        </w:numPr>
        <w:spacing w:after="120"/>
        <w:ind w:left="782" w:hanging="357"/>
        <w:contextualSpacing w:val="0"/>
        <w:jc w:val="both"/>
        <w:rPr>
          <w:b/>
          <w:bCs/>
        </w:rPr>
      </w:pPr>
      <w:r w:rsidRPr="00756C88">
        <w:t>s</w:t>
      </w:r>
      <w:r w:rsidR="005373DF" w:rsidRPr="00756C88">
        <w:t>ervice user demand management</w:t>
      </w:r>
    </w:p>
    <w:p w14:paraId="75B294E1" w14:textId="293C71C6" w:rsidR="005373DF" w:rsidRPr="00756C88" w:rsidRDefault="00A313E9" w:rsidP="0026315D">
      <w:pPr>
        <w:pStyle w:val="ListParagraph"/>
        <w:numPr>
          <w:ilvl w:val="0"/>
          <w:numId w:val="17"/>
        </w:numPr>
        <w:spacing w:after="120"/>
        <w:ind w:left="782" w:hanging="357"/>
        <w:contextualSpacing w:val="0"/>
        <w:jc w:val="both"/>
        <w:rPr>
          <w:b/>
          <w:bCs/>
        </w:rPr>
      </w:pPr>
      <w:r w:rsidRPr="00756C88">
        <w:t>o</w:t>
      </w:r>
      <w:r w:rsidR="005373DF" w:rsidRPr="00756C88">
        <w:t>perating model development</w:t>
      </w:r>
      <w:r w:rsidR="00B8156D" w:rsidRPr="00756C88">
        <w:t>,</w:t>
      </w:r>
      <w:r w:rsidR="005373DF" w:rsidRPr="00756C88">
        <w:t xml:space="preserve"> including funding </w:t>
      </w:r>
      <w:proofErr w:type="gramStart"/>
      <w:r w:rsidR="005373DF" w:rsidRPr="00756C88">
        <w:t>arrangements</w:t>
      </w:r>
      <w:proofErr w:type="gramEnd"/>
    </w:p>
    <w:p w14:paraId="5F06707A" w14:textId="057FF97A" w:rsidR="005373DF" w:rsidRPr="00756C88" w:rsidRDefault="00A313E9" w:rsidP="0026315D">
      <w:pPr>
        <w:pStyle w:val="ListParagraph"/>
        <w:numPr>
          <w:ilvl w:val="0"/>
          <w:numId w:val="17"/>
        </w:numPr>
        <w:spacing w:after="120"/>
        <w:ind w:left="782" w:hanging="357"/>
        <w:contextualSpacing w:val="0"/>
        <w:jc w:val="both"/>
        <w:rPr>
          <w:b/>
          <w:bCs/>
        </w:rPr>
      </w:pPr>
      <w:r w:rsidRPr="00756C88">
        <w:t>p</w:t>
      </w:r>
      <w:r w:rsidR="005373DF" w:rsidRPr="00756C88">
        <w:t>hysical infrastructure</w:t>
      </w:r>
    </w:p>
    <w:p w14:paraId="1515D22A" w14:textId="585E76B1" w:rsidR="005373DF" w:rsidRPr="00756C88" w:rsidRDefault="00A313E9" w:rsidP="0026315D">
      <w:pPr>
        <w:pStyle w:val="ListParagraph"/>
        <w:numPr>
          <w:ilvl w:val="0"/>
          <w:numId w:val="17"/>
        </w:numPr>
        <w:spacing w:after="120"/>
        <w:ind w:left="782" w:hanging="357"/>
        <w:contextualSpacing w:val="0"/>
        <w:jc w:val="both"/>
        <w:rPr>
          <w:b/>
          <w:bCs/>
        </w:rPr>
      </w:pPr>
      <w:r w:rsidRPr="00756C88">
        <w:t>d</w:t>
      </w:r>
      <w:r w:rsidR="005373DF" w:rsidRPr="00756C88">
        <w:t>igital and technology infrastructure</w:t>
      </w:r>
    </w:p>
    <w:p w14:paraId="012C4092" w14:textId="008FBA4C" w:rsidR="005373DF" w:rsidRPr="00756C88" w:rsidRDefault="00A313E9" w:rsidP="0026315D">
      <w:pPr>
        <w:pStyle w:val="ListParagraph"/>
        <w:numPr>
          <w:ilvl w:val="0"/>
          <w:numId w:val="17"/>
        </w:numPr>
        <w:spacing w:after="120"/>
        <w:ind w:left="782" w:hanging="357"/>
        <w:contextualSpacing w:val="0"/>
        <w:jc w:val="both"/>
        <w:rPr>
          <w:b/>
          <w:bCs/>
        </w:rPr>
      </w:pPr>
      <w:r w:rsidRPr="00756C88">
        <w:t>c</w:t>
      </w:r>
      <w:r w:rsidR="005373DF" w:rsidRPr="00756C88">
        <w:t>ulture</w:t>
      </w:r>
    </w:p>
    <w:p w14:paraId="19B5D411" w14:textId="510EE1B5" w:rsidR="005373DF" w:rsidRPr="00756C88" w:rsidRDefault="00A313E9" w:rsidP="0026315D">
      <w:pPr>
        <w:pStyle w:val="ListParagraph"/>
        <w:numPr>
          <w:ilvl w:val="0"/>
          <w:numId w:val="17"/>
        </w:numPr>
        <w:spacing w:after="120"/>
        <w:ind w:left="782" w:hanging="357"/>
        <w:contextualSpacing w:val="0"/>
        <w:jc w:val="both"/>
        <w:rPr>
          <w:b/>
          <w:bCs/>
        </w:rPr>
      </w:pPr>
      <w:r w:rsidRPr="00756C88">
        <w:t>p</w:t>
      </w:r>
      <w:r w:rsidR="005373DF" w:rsidRPr="00756C88">
        <w:t xml:space="preserve">olicy and </w:t>
      </w:r>
      <w:r w:rsidRPr="00756C88">
        <w:t>a</w:t>
      </w:r>
      <w:r w:rsidR="005373DF" w:rsidRPr="00756C88">
        <w:t>dvocacy</w:t>
      </w:r>
    </w:p>
    <w:p w14:paraId="6F955E66" w14:textId="1B6A41BA" w:rsidR="005373DF" w:rsidRPr="00756C88" w:rsidRDefault="00A313E9" w:rsidP="00BB099C">
      <w:pPr>
        <w:pStyle w:val="ListParagraph"/>
        <w:numPr>
          <w:ilvl w:val="0"/>
          <w:numId w:val="17"/>
        </w:numPr>
        <w:spacing w:after="120"/>
        <w:ind w:left="782" w:hanging="357"/>
        <w:contextualSpacing w:val="0"/>
        <w:jc w:val="both"/>
        <w:rPr>
          <w:b/>
          <w:bCs/>
        </w:rPr>
      </w:pPr>
      <w:r w:rsidRPr="00756C88">
        <w:t>r</w:t>
      </w:r>
      <w:r w:rsidR="005373DF" w:rsidRPr="00756C88">
        <w:t>egulation</w:t>
      </w:r>
      <w:r w:rsidR="001973A5" w:rsidRPr="00756C88">
        <w:t>.</w:t>
      </w:r>
    </w:p>
    <w:p w14:paraId="62134D1D" w14:textId="42F5AFA0" w:rsidR="00795874" w:rsidRDefault="005373DF" w:rsidP="0026315D">
      <w:pPr>
        <w:spacing w:after="120"/>
        <w:jc w:val="both"/>
      </w:pPr>
      <w:r w:rsidRPr="00756C88">
        <w:t>Consider what other systemwide benefits can be pursued to enhance the overall functioning of the public services system as part of the commissioning initiative.</w:t>
      </w:r>
      <w:bookmarkStart w:id="13" w:name="_Toc113981280"/>
      <w:bookmarkStart w:id="14" w:name="_Toc117861722"/>
    </w:p>
    <w:p w14:paraId="2B7CDD39" w14:textId="793ADBE8" w:rsidR="005373DF" w:rsidRPr="00756C88" w:rsidRDefault="005373DF" w:rsidP="0026315D">
      <w:pPr>
        <w:pStyle w:val="Heading1"/>
        <w:spacing w:line="259" w:lineRule="auto"/>
        <w:jc w:val="both"/>
      </w:pPr>
      <w:r w:rsidRPr="00756C88">
        <w:lastRenderedPageBreak/>
        <w:t xml:space="preserve">3. </w:t>
      </w:r>
      <w:bookmarkEnd w:id="13"/>
      <w:bookmarkEnd w:id="14"/>
      <w:r w:rsidR="00DE7DE4" w:rsidRPr="00756C88">
        <w:t>Identify and assess options to modify and enhance</w:t>
      </w:r>
    </w:p>
    <w:p w14:paraId="703FAC45" w14:textId="27A5BBB9" w:rsidR="005373DF" w:rsidRPr="00756C88" w:rsidRDefault="005373DF" w:rsidP="0026315D">
      <w:pPr>
        <w:pStyle w:val="Heading2"/>
        <w:spacing w:line="259" w:lineRule="auto"/>
        <w:jc w:val="both"/>
      </w:pPr>
      <w:bookmarkStart w:id="15" w:name="_Toc113981281"/>
      <w:bookmarkStart w:id="16" w:name="_Toc117861723"/>
      <w:r w:rsidRPr="00756C88">
        <w:t xml:space="preserve">3.1 </w:t>
      </w:r>
      <w:bookmarkEnd w:id="15"/>
      <w:r w:rsidRPr="00756C88">
        <w:t xml:space="preserve">Identify and </w:t>
      </w:r>
      <w:r w:rsidR="001973A5" w:rsidRPr="00756C88">
        <w:t>a</w:t>
      </w:r>
      <w:r w:rsidRPr="00756C88">
        <w:t xml:space="preserve">ssess </w:t>
      </w:r>
      <w:r w:rsidR="001973A5" w:rsidRPr="00756C88">
        <w:t>e</w:t>
      </w:r>
      <w:r w:rsidRPr="00756C88">
        <w:t xml:space="preserve">nabling </w:t>
      </w:r>
      <w:proofErr w:type="gramStart"/>
      <w:r w:rsidR="001973A5" w:rsidRPr="00756C88">
        <w:t>o</w:t>
      </w:r>
      <w:r w:rsidRPr="00756C88">
        <w:t>ptions</w:t>
      </w:r>
      <w:bookmarkStart w:id="17" w:name="_Toc113981282"/>
      <w:bookmarkEnd w:id="16"/>
      <w:proofErr w:type="gramEnd"/>
    </w:p>
    <w:p w14:paraId="066700E6" w14:textId="6F55AB04" w:rsidR="00447375" w:rsidRPr="00756C88" w:rsidRDefault="00047BD8" w:rsidP="00BB099C">
      <w:pPr>
        <w:spacing w:after="120"/>
        <w:jc w:val="both"/>
      </w:pPr>
      <w:r w:rsidRPr="00756C88">
        <w:t>G</w:t>
      </w:r>
      <w:r w:rsidR="00DF000D" w:rsidRPr="00756C88">
        <w:t>overnment departments</w:t>
      </w:r>
      <w:r w:rsidR="00FA2598" w:rsidRPr="00756C88">
        <w:t xml:space="preserve"> broadly have three options </w:t>
      </w:r>
      <w:r w:rsidR="00EB0290" w:rsidRPr="00756C88">
        <w:t xml:space="preserve">for </w:t>
      </w:r>
      <w:r w:rsidR="003A3EDA" w:rsidRPr="00756C88">
        <w:t>deploying</w:t>
      </w:r>
      <w:r w:rsidRPr="00756C88">
        <w:t xml:space="preserve"> service</w:t>
      </w:r>
      <w:r w:rsidR="00EB0290" w:rsidRPr="00756C88">
        <w:t>s</w:t>
      </w:r>
      <w:r w:rsidRPr="00756C88">
        <w:t xml:space="preserve"> </w:t>
      </w:r>
      <w:r w:rsidR="003A3EDA" w:rsidRPr="00756C88">
        <w:t>to meet identified needs</w:t>
      </w:r>
      <w:r w:rsidR="00FA2598" w:rsidRPr="00756C88">
        <w:t xml:space="preserve"> </w:t>
      </w:r>
      <w:r w:rsidR="00DF000D" w:rsidRPr="00756C88">
        <w:t>They</w:t>
      </w:r>
      <w:r w:rsidR="00FA2598" w:rsidRPr="00756C88">
        <w:t xml:space="preserve"> can do it </w:t>
      </w:r>
      <w:r w:rsidR="00DF000D" w:rsidRPr="00756C88">
        <w:t>themselves (Provide), they can work with oth</w:t>
      </w:r>
      <w:r w:rsidR="00FC537B" w:rsidRPr="00756C88">
        <w:t>ers (Partner)</w:t>
      </w:r>
      <w:r w:rsidR="00EB0290" w:rsidRPr="00756C88">
        <w:t>,</w:t>
      </w:r>
      <w:r w:rsidR="00FC537B" w:rsidRPr="00756C88">
        <w:t xml:space="preserve"> or they can outsource to a third party (Procure).</w:t>
      </w:r>
      <w:r w:rsidR="00742D1A" w:rsidRPr="00756C88">
        <w:t xml:space="preserve"> For significant change</w:t>
      </w:r>
      <w:r w:rsidR="00C07F81" w:rsidRPr="00756C88">
        <w:t xml:space="preserve"> (whole system improvement)</w:t>
      </w:r>
      <w:r w:rsidR="00742D1A" w:rsidRPr="00756C88">
        <w:t xml:space="preserve">, </w:t>
      </w:r>
      <w:r w:rsidR="00447375" w:rsidRPr="00756C88">
        <w:t>a combination of these options may be required for different aspects of delivery.</w:t>
      </w:r>
      <w:r w:rsidR="00E24CE4" w:rsidRPr="00756C88">
        <w:t xml:space="preserve"> This is illustrated in Figure </w:t>
      </w:r>
      <w:r w:rsidR="00B42DAA" w:rsidRPr="00756C88">
        <w:t>3</w:t>
      </w:r>
      <w:r w:rsidR="00E24CE4" w:rsidRPr="00756C88">
        <w:t>.</w:t>
      </w:r>
    </w:p>
    <w:p w14:paraId="28BF75F7" w14:textId="77777777" w:rsidR="006F6C05" w:rsidRPr="00756C88" w:rsidRDefault="00447375" w:rsidP="00BB099C">
      <w:pPr>
        <w:spacing w:after="120"/>
        <w:jc w:val="both"/>
      </w:pPr>
      <w:r w:rsidRPr="00756C88">
        <w:t xml:space="preserve">The first step in </w:t>
      </w:r>
      <w:r w:rsidRPr="0026315D">
        <w:t>Modify and Enhance</w:t>
      </w:r>
      <w:r w:rsidRPr="00756C88">
        <w:t xml:space="preserve"> is identifying and assessing the options</w:t>
      </w:r>
      <w:r w:rsidR="00D841D2" w:rsidRPr="00756C88">
        <w:t>, or combination of options,</w:t>
      </w:r>
      <w:r w:rsidR="00FC1DC9" w:rsidRPr="00756C88">
        <w:t xml:space="preserve"> </w:t>
      </w:r>
      <w:r w:rsidR="001077D3" w:rsidRPr="00756C88">
        <w:t>to meet the priority needs</w:t>
      </w:r>
      <w:r w:rsidR="00B61E53" w:rsidRPr="00756C88">
        <w:t>.</w:t>
      </w:r>
    </w:p>
    <w:p w14:paraId="74623281" w14:textId="6EEE98FF" w:rsidR="001973A5" w:rsidRPr="00756C88" w:rsidRDefault="00CD4096" w:rsidP="001156E0">
      <w:pPr>
        <w:keepNext/>
        <w:jc w:val="both"/>
      </w:pPr>
      <w:r w:rsidRPr="00756C88">
        <w:rPr>
          <w:noProof/>
        </w:rPr>
        <w:drawing>
          <wp:inline distT="0" distB="0" distL="0" distR="0" wp14:anchorId="66831C7F" wp14:editId="39DA78D5">
            <wp:extent cx="6016625" cy="2584409"/>
            <wp:effectExtent l="0" t="0" r="3175" b="6985"/>
            <wp:docPr id="3" name="Picture 3" descr="Figure 3. Options for delivering services and system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Options for delivering services and system improv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42072" cy="2595340"/>
                    </a:xfrm>
                    <a:prstGeom prst="rect">
                      <a:avLst/>
                    </a:prstGeom>
                    <a:noFill/>
                  </pic:spPr>
                </pic:pic>
              </a:graphicData>
            </a:graphic>
          </wp:inline>
        </w:drawing>
      </w:r>
    </w:p>
    <w:p w14:paraId="249CD751" w14:textId="7F6F2814" w:rsidR="00BB2ABA" w:rsidRPr="0026315D" w:rsidRDefault="001973A5" w:rsidP="00986F41">
      <w:pPr>
        <w:pStyle w:val="Caption"/>
        <w:jc w:val="center"/>
        <w:rPr>
          <w:i w:val="0"/>
          <w:iCs w:val="0"/>
          <w:sz w:val="24"/>
          <w:szCs w:val="24"/>
        </w:rPr>
      </w:pPr>
      <w:r w:rsidRPr="0026315D">
        <w:rPr>
          <w:i w:val="0"/>
          <w:iCs w:val="0"/>
          <w:sz w:val="24"/>
          <w:szCs w:val="24"/>
        </w:rPr>
        <w:t xml:space="preserve">Figure </w:t>
      </w:r>
      <w:r w:rsidR="008773FB" w:rsidRPr="0026315D">
        <w:rPr>
          <w:i w:val="0"/>
          <w:iCs w:val="0"/>
          <w:sz w:val="24"/>
          <w:szCs w:val="24"/>
        </w:rPr>
        <w:t>3</w:t>
      </w:r>
      <w:r w:rsidRPr="0026315D">
        <w:rPr>
          <w:i w:val="0"/>
          <w:iCs w:val="0"/>
          <w:sz w:val="24"/>
          <w:szCs w:val="24"/>
        </w:rPr>
        <w:t xml:space="preserve">. Options </w:t>
      </w:r>
      <w:r w:rsidR="00E24CE4" w:rsidRPr="0026315D">
        <w:rPr>
          <w:i w:val="0"/>
          <w:iCs w:val="0"/>
          <w:sz w:val="24"/>
          <w:szCs w:val="24"/>
        </w:rPr>
        <w:t>for delivering service</w:t>
      </w:r>
      <w:r w:rsidR="00F96B2C" w:rsidRPr="0026315D">
        <w:rPr>
          <w:i w:val="0"/>
          <w:iCs w:val="0"/>
          <w:sz w:val="24"/>
          <w:szCs w:val="24"/>
        </w:rPr>
        <w:t>s and system improvement</w:t>
      </w:r>
      <w:r w:rsidRPr="0026315D">
        <w:rPr>
          <w:i w:val="0"/>
          <w:iCs w:val="0"/>
          <w:sz w:val="24"/>
          <w:szCs w:val="24"/>
        </w:rPr>
        <w:t>.</w:t>
      </w:r>
    </w:p>
    <w:p w14:paraId="29568BC3" w14:textId="652AE131" w:rsidR="005373DF" w:rsidRPr="00756C88" w:rsidRDefault="005373DF" w:rsidP="001156E0">
      <w:pPr>
        <w:pStyle w:val="ListParagraph"/>
        <w:numPr>
          <w:ilvl w:val="0"/>
          <w:numId w:val="18"/>
        </w:numPr>
        <w:spacing w:after="120"/>
        <w:ind w:left="782" w:hanging="357"/>
        <w:contextualSpacing w:val="0"/>
        <w:jc w:val="both"/>
      </w:pPr>
      <w:r w:rsidRPr="00756C88">
        <w:rPr>
          <w:b/>
          <w:bCs/>
        </w:rPr>
        <w:t>Procure</w:t>
      </w:r>
      <w:r w:rsidR="001973A5" w:rsidRPr="00756C88">
        <w:rPr>
          <w:b/>
          <w:bCs/>
        </w:rPr>
        <w:t>:</w:t>
      </w:r>
      <w:r w:rsidRPr="00756C88">
        <w:t xml:space="preserve"> </w:t>
      </w:r>
      <w:r w:rsidR="00795874">
        <w:t>P</w:t>
      </w:r>
      <w:r w:rsidRPr="00756C88">
        <w:t xml:space="preserve">urchasing </w:t>
      </w:r>
      <w:r w:rsidR="00DC1C4A" w:rsidRPr="00756C88">
        <w:t>goods</w:t>
      </w:r>
      <w:r w:rsidRPr="00756C88">
        <w:t xml:space="preserve"> or services from </w:t>
      </w:r>
      <w:r w:rsidR="001F5CD2" w:rsidRPr="00756C88">
        <w:t>service provider</w:t>
      </w:r>
      <w:r w:rsidRPr="00756C88">
        <w:t>s in the market</w:t>
      </w:r>
      <w:r w:rsidR="00886803" w:rsidRPr="00756C88">
        <w:t xml:space="preserve"> (see </w:t>
      </w:r>
      <w:r w:rsidR="004C097E" w:rsidRPr="0026315D">
        <w:t>P</w:t>
      </w:r>
      <w:r w:rsidR="00886803" w:rsidRPr="0026315D">
        <w:t xml:space="preserve">rocurement and </w:t>
      </w:r>
      <w:r w:rsidR="004C097E" w:rsidRPr="0026315D">
        <w:t>C</w:t>
      </w:r>
      <w:r w:rsidR="00886803" w:rsidRPr="0026315D">
        <w:t>ontracting</w:t>
      </w:r>
      <w:r w:rsidR="00886803" w:rsidRPr="00756C88">
        <w:t xml:space="preserve"> tool)</w:t>
      </w:r>
      <w:r w:rsidR="001973A5" w:rsidRPr="00756C88">
        <w:t>.</w:t>
      </w:r>
    </w:p>
    <w:p w14:paraId="783C6E9C" w14:textId="390E01E6" w:rsidR="005373DF" w:rsidRPr="00756C88" w:rsidRDefault="005373DF" w:rsidP="001156E0">
      <w:pPr>
        <w:pStyle w:val="ListParagraph"/>
        <w:numPr>
          <w:ilvl w:val="0"/>
          <w:numId w:val="18"/>
        </w:numPr>
        <w:spacing w:after="120"/>
        <w:ind w:left="782" w:hanging="357"/>
        <w:contextualSpacing w:val="0"/>
        <w:jc w:val="both"/>
      </w:pPr>
      <w:r w:rsidRPr="00756C88">
        <w:rPr>
          <w:b/>
          <w:bCs/>
        </w:rPr>
        <w:t>Partner</w:t>
      </w:r>
      <w:r w:rsidR="001973A5" w:rsidRPr="00756C88">
        <w:rPr>
          <w:b/>
          <w:bCs/>
        </w:rPr>
        <w:t>:</w:t>
      </w:r>
      <w:r w:rsidRPr="00756C88">
        <w:t xml:space="preserve"> </w:t>
      </w:r>
      <w:r w:rsidR="00795874">
        <w:t>C</w:t>
      </w:r>
      <w:r w:rsidRPr="00756C88">
        <w:t xml:space="preserve">ollaborating with strategic </w:t>
      </w:r>
      <w:r w:rsidR="001F5CD2" w:rsidRPr="00756C88">
        <w:t>service provider</w:t>
      </w:r>
      <w:r w:rsidRPr="00756C88">
        <w:t>s to influence and improve the system</w:t>
      </w:r>
      <w:r w:rsidR="001973A5" w:rsidRPr="00756C88">
        <w:t>.</w:t>
      </w:r>
    </w:p>
    <w:p w14:paraId="416C4E68" w14:textId="5A8C9F1F" w:rsidR="005373DF" w:rsidRPr="00756C88" w:rsidRDefault="005373DF" w:rsidP="001156E0">
      <w:pPr>
        <w:pStyle w:val="ListParagraph"/>
        <w:numPr>
          <w:ilvl w:val="0"/>
          <w:numId w:val="18"/>
        </w:numPr>
        <w:spacing w:after="120"/>
        <w:ind w:left="782" w:hanging="357"/>
        <w:contextualSpacing w:val="0"/>
        <w:jc w:val="both"/>
      </w:pPr>
      <w:r w:rsidRPr="00756C88">
        <w:rPr>
          <w:b/>
          <w:bCs/>
        </w:rPr>
        <w:t>Provide</w:t>
      </w:r>
      <w:r w:rsidR="001973A5" w:rsidRPr="00756C88">
        <w:rPr>
          <w:b/>
          <w:bCs/>
        </w:rPr>
        <w:t>:</w:t>
      </w:r>
      <w:r w:rsidRPr="00756C88">
        <w:t xml:space="preserve"> </w:t>
      </w:r>
      <w:r w:rsidR="00795874">
        <w:t>D</w:t>
      </w:r>
      <w:r w:rsidRPr="00756C88">
        <w:t xml:space="preserve">elivering services in-house by </w:t>
      </w:r>
      <w:r w:rsidR="001973A5" w:rsidRPr="00756C88">
        <w:t>Western Australia</w:t>
      </w:r>
      <w:r w:rsidR="00BB099C">
        <w:t>n</w:t>
      </w:r>
      <w:r w:rsidRPr="00756C88">
        <w:t xml:space="preserve"> </w:t>
      </w:r>
      <w:r w:rsidR="001F5CD2" w:rsidRPr="00756C88">
        <w:t>government agencies</w:t>
      </w:r>
      <w:r w:rsidR="001973A5" w:rsidRPr="00756C88">
        <w:t>.</w:t>
      </w:r>
    </w:p>
    <w:p w14:paraId="0C60D794" w14:textId="56316278" w:rsidR="00F51A55" w:rsidRPr="00756C88" w:rsidRDefault="00F51A55" w:rsidP="001156E0">
      <w:pPr>
        <w:spacing w:after="120"/>
        <w:jc w:val="both"/>
      </w:pPr>
      <w:r w:rsidRPr="00505AB8">
        <w:rPr>
          <w:b/>
          <w:bCs/>
        </w:rPr>
        <w:t>Note:</w:t>
      </w:r>
      <w:r w:rsidRPr="00756C88">
        <w:t xml:space="preserve"> </w:t>
      </w:r>
      <w:r w:rsidRPr="0026315D">
        <w:t xml:space="preserve">The </w:t>
      </w:r>
      <w:r w:rsidR="008E167F" w:rsidRPr="0026315D">
        <w:t>P</w:t>
      </w:r>
      <w:r w:rsidRPr="0026315D">
        <w:t xml:space="preserve">rocure option should be considered </w:t>
      </w:r>
      <w:r w:rsidR="008E167F" w:rsidRPr="0026315D">
        <w:t xml:space="preserve">alongside Provide and Partner. However, as Procurement </w:t>
      </w:r>
      <w:r w:rsidRPr="0026315D">
        <w:t>is discussed in detail in the Procurement and Contracting tool</w:t>
      </w:r>
      <w:r w:rsidR="002A309C" w:rsidRPr="0026315D">
        <w:t>,</w:t>
      </w:r>
      <w:r w:rsidR="008E167F" w:rsidRPr="0026315D">
        <w:t xml:space="preserve"> </w:t>
      </w:r>
      <w:r w:rsidRPr="0026315D">
        <w:t xml:space="preserve">this tool will focus on </w:t>
      </w:r>
      <w:r w:rsidR="008E167F" w:rsidRPr="0026315D">
        <w:t>the Provide and Partner options.</w:t>
      </w:r>
    </w:p>
    <w:p w14:paraId="7308CFCF" w14:textId="06AB88EB" w:rsidR="005373DF" w:rsidRPr="00756C88" w:rsidRDefault="005373DF" w:rsidP="001156E0">
      <w:pPr>
        <w:spacing w:after="120"/>
        <w:jc w:val="both"/>
        <w:rPr>
          <w:rStyle w:val="CommentReference"/>
        </w:rPr>
      </w:pPr>
      <w:r w:rsidRPr="00756C88">
        <w:t xml:space="preserve">Options need to be assessed objectively to ensure that they </w:t>
      </w:r>
      <w:r w:rsidR="007358EC" w:rsidRPr="00756C88">
        <w:t>are feasible</w:t>
      </w:r>
      <w:r w:rsidRPr="00756C88">
        <w:t>. Regional variation is also a factor</w:t>
      </w:r>
      <w:r w:rsidR="00E62255" w:rsidRPr="00756C88">
        <w:t>,</w:t>
      </w:r>
      <w:r w:rsidRPr="00756C88">
        <w:t xml:space="preserve"> so options that work in one </w:t>
      </w:r>
      <w:r w:rsidR="009C1BDF" w:rsidRPr="00756C88">
        <w:t>area</w:t>
      </w:r>
      <w:r w:rsidRPr="00756C88">
        <w:t xml:space="preserve"> may not translate to other locations. A series of feasibility tests may be needed to assess the </w:t>
      </w:r>
      <w:r w:rsidR="00117B0A" w:rsidRPr="00756C88">
        <w:t>possibilities</w:t>
      </w:r>
      <w:r w:rsidRPr="00756C88">
        <w:t xml:space="preserve"> identified</w:t>
      </w:r>
      <w:r w:rsidR="00861E16" w:rsidRPr="00756C88">
        <w:t>,</w:t>
      </w:r>
      <w:r w:rsidRPr="00756C88">
        <w:t xml:space="preserve"> as outlined in Figure </w:t>
      </w:r>
      <w:r w:rsidR="008B3800" w:rsidRPr="00756C88">
        <w:t>4</w:t>
      </w:r>
      <w:r w:rsidRPr="00756C88">
        <w:t>.</w:t>
      </w:r>
    </w:p>
    <w:p w14:paraId="1A50B755" w14:textId="5A56EAB7" w:rsidR="00CE72BB" w:rsidRPr="00756C88" w:rsidRDefault="00112F5F" w:rsidP="00986F41">
      <w:pPr>
        <w:keepNext/>
        <w:jc w:val="center"/>
      </w:pPr>
      <w:r w:rsidRPr="00756C88">
        <w:rPr>
          <w:noProof/>
        </w:rPr>
        <w:lastRenderedPageBreak/>
        <w:drawing>
          <wp:inline distT="0" distB="0" distL="0" distR="0" wp14:anchorId="02DE0B44" wp14:editId="7C9EAD2C">
            <wp:extent cx="5053638" cy="3221665"/>
            <wp:effectExtent l="0" t="0" r="0" b="0"/>
            <wp:docPr id="4" name="Picture 4" descr="Figure 4. Feasibility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Feasibility tes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9221" cy="3231599"/>
                    </a:xfrm>
                    <a:prstGeom prst="rect">
                      <a:avLst/>
                    </a:prstGeom>
                    <a:noFill/>
                  </pic:spPr>
                </pic:pic>
              </a:graphicData>
            </a:graphic>
          </wp:inline>
        </w:drawing>
      </w:r>
    </w:p>
    <w:p w14:paraId="16E87265" w14:textId="467FD960" w:rsidR="00643C21" w:rsidRPr="0026315D" w:rsidRDefault="00CE72BB" w:rsidP="00986F41">
      <w:pPr>
        <w:pStyle w:val="Caption"/>
        <w:jc w:val="center"/>
        <w:rPr>
          <w:i w:val="0"/>
          <w:iCs w:val="0"/>
          <w:sz w:val="24"/>
          <w:szCs w:val="24"/>
        </w:rPr>
      </w:pPr>
      <w:r w:rsidRPr="0026315D">
        <w:rPr>
          <w:i w:val="0"/>
          <w:iCs w:val="0"/>
          <w:sz w:val="24"/>
          <w:szCs w:val="24"/>
        </w:rPr>
        <w:t xml:space="preserve">Figure </w:t>
      </w:r>
      <w:r w:rsidR="00B42DAA" w:rsidRPr="0026315D">
        <w:rPr>
          <w:i w:val="0"/>
          <w:iCs w:val="0"/>
          <w:sz w:val="24"/>
          <w:szCs w:val="24"/>
        </w:rPr>
        <w:t>4</w:t>
      </w:r>
      <w:r w:rsidRPr="0026315D">
        <w:rPr>
          <w:i w:val="0"/>
          <w:iCs w:val="0"/>
          <w:sz w:val="24"/>
          <w:szCs w:val="24"/>
        </w:rPr>
        <w:t>. Feasibility tests.</w:t>
      </w:r>
    </w:p>
    <w:p w14:paraId="065AAB07" w14:textId="4578D60B" w:rsidR="005373DF" w:rsidRPr="00756C88" w:rsidRDefault="002A309C" w:rsidP="00BB099C">
      <w:pPr>
        <w:spacing w:after="120"/>
        <w:jc w:val="both"/>
      </w:pPr>
      <w:r w:rsidRPr="00756C88">
        <w:t>If</w:t>
      </w:r>
      <w:r w:rsidR="005373DF" w:rsidRPr="00756C88">
        <w:t xml:space="preserve"> options pass the feasibility tests, </w:t>
      </w:r>
      <w:r w:rsidR="00795874">
        <w:t>consider</w:t>
      </w:r>
      <w:r w:rsidR="005373DF" w:rsidRPr="00756C88">
        <w:t xml:space="preserve"> each option’s impact against the ease of implementation as a means of rating the available options.</w:t>
      </w:r>
    </w:p>
    <w:p w14:paraId="5F5FDC78" w14:textId="77777777" w:rsidR="005373DF" w:rsidRPr="00756C88" w:rsidRDefault="005373DF" w:rsidP="0026315D">
      <w:pPr>
        <w:pStyle w:val="Heading2"/>
        <w:spacing w:line="259" w:lineRule="auto"/>
        <w:jc w:val="both"/>
      </w:pPr>
      <w:bookmarkStart w:id="18" w:name="_Toc117861724"/>
      <w:r w:rsidRPr="00756C88">
        <w:t xml:space="preserve">3.2 </w:t>
      </w:r>
      <w:bookmarkEnd w:id="17"/>
      <w:r w:rsidRPr="00756C88">
        <w:t xml:space="preserve">Consider market shaping </w:t>
      </w:r>
      <w:proofErr w:type="gramStart"/>
      <w:r w:rsidRPr="00756C88">
        <w:t>activities</w:t>
      </w:r>
      <w:bookmarkStart w:id="19" w:name="_Toc113981283"/>
      <w:bookmarkEnd w:id="18"/>
      <w:proofErr w:type="gramEnd"/>
    </w:p>
    <w:p w14:paraId="7B99D8E2" w14:textId="77777777" w:rsidR="005373DF" w:rsidRPr="00756C88" w:rsidRDefault="005373DF" w:rsidP="00BB099C">
      <w:pPr>
        <w:spacing w:after="120"/>
        <w:jc w:val="both"/>
        <w:rPr>
          <w:b/>
          <w:bCs/>
        </w:rPr>
      </w:pPr>
      <w:r w:rsidRPr="00756C88">
        <w:rPr>
          <w:b/>
          <w:bCs/>
        </w:rPr>
        <w:t xml:space="preserve">What is market shaping? </w:t>
      </w:r>
    </w:p>
    <w:p w14:paraId="58224884" w14:textId="47B8355E" w:rsidR="005373DF" w:rsidRPr="00756C88" w:rsidRDefault="005373DF" w:rsidP="00BB099C">
      <w:pPr>
        <w:spacing w:after="120"/>
        <w:jc w:val="both"/>
      </w:pPr>
      <w:r w:rsidRPr="00756C88">
        <w:t>Market shaping is a process of understanding and collaborating with existing and potential suppliers and choosing the right shaping strategies to deliver desired change, and may include:</w:t>
      </w:r>
    </w:p>
    <w:p w14:paraId="3644D7E1" w14:textId="1760DF2E" w:rsidR="005373DF" w:rsidRPr="00756C88" w:rsidRDefault="00795874" w:rsidP="00BB099C">
      <w:pPr>
        <w:pStyle w:val="ListParagraph"/>
        <w:numPr>
          <w:ilvl w:val="0"/>
          <w:numId w:val="19"/>
        </w:numPr>
        <w:spacing w:after="120"/>
        <w:ind w:left="782" w:hanging="357"/>
        <w:contextualSpacing w:val="0"/>
        <w:jc w:val="both"/>
      </w:pPr>
      <w:r>
        <w:t>f</w:t>
      </w:r>
      <w:r w:rsidR="005373DF" w:rsidRPr="00756C88">
        <w:t>acilitating new entrants</w:t>
      </w:r>
    </w:p>
    <w:p w14:paraId="0A1AAA1C" w14:textId="1ED2E4C0" w:rsidR="005373DF" w:rsidRPr="00756C88" w:rsidRDefault="00795874" w:rsidP="00BB099C">
      <w:pPr>
        <w:pStyle w:val="ListParagraph"/>
        <w:numPr>
          <w:ilvl w:val="0"/>
          <w:numId w:val="19"/>
        </w:numPr>
        <w:spacing w:after="120"/>
        <w:ind w:left="782" w:hanging="357"/>
        <w:contextualSpacing w:val="0"/>
        <w:jc w:val="both"/>
      </w:pPr>
      <w:r>
        <w:t>e</w:t>
      </w:r>
      <w:r w:rsidR="005373DF" w:rsidRPr="00756C88">
        <w:t xml:space="preserve">ncouraging </w:t>
      </w:r>
      <w:r w:rsidR="001F5CD2" w:rsidRPr="00756C88">
        <w:t>service provider</w:t>
      </w:r>
      <w:r w:rsidR="005373DF" w:rsidRPr="00756C88">
        <w:t xml:space="preserve">s to collaborate and perhaps </w:t>
      </w:r>
      <w:proofErr w:type="gramStart"/>
      <w:r w:rsidR="005373DF" w:rsidRPr="00756C88">
        <w:t>merge</w:t>
      </w:r>
      <w:proofErr w:type="gramEnd"/>
    </w:p>
    <w:p w14:paraId="3BFC9FB5" w14:textId="1FFFA7C1" w:rsidR="005373DF" w:rsidRPr="00756C88" w:rsidRDefault="00795874" w:rsidP="00BB099C">
      <w:pPr>
        <w:pStyle w:val="ListParagraph"/>
        <w:numPr>
          <w:ilvl w:val="0"/>
          <w:numId w:val="19"/>
        </w:numPr>
        <w:spacing w:after="120"/>
        <w:ind w:left="782" w:hanging="357"/>
        <w:contextualSpacing w:val="0"/>
        <w:jc w:val="both"/>
      </w:pPr>
      <w:r>
        <w:t>t</w:t>
      </w:r>
      <w:r w:rsidR="005373DF" w:rsidRPr="00756C88">
        <w:t xml:space="preserve">esting the market to ensure </w:t>
      </w:r>
      <w:r w:rsidR="00F06BE7" w:rsidRPr="00756C88">
        <w:t>readiness/</w:t>
      </w:r>
      <w:r w:rsidR="00DF0C80" w:rsidRPr="00756C88">
        <w:t>appetite/capacity</w:t>
      </w:r>
      <w:r w:rsidR="005373DF" w:rsidRPr="00756C88">
        <w:t xml:space="preserve"> to </w:t>
      </w:r>
      <w:proofErr w:type="gramStart"/>
      <w:r w:rsidR="005373DF" w:rsidRPr="00756C88">
        <w:t>tender</w:t>
      </w:r>
      <w:proofErr w:type="gramEnd"/>
    </w:p>
    <w:p w14:paraId="6587AAAF" w14:textId="741C2B07" w:rsidR="005373DF" w:rsidRPr="00756C88" w:rsidRDefault="00795874" w:rsidP="00BB099C">
      <w:pPr>
        <w:pStyle w:val="ListParagraph"/>
        <w:numPr>
          <w:ilvl w:val="0"/>
          <w:numId w:val="19"/>
        </w:numPr>
        <w:spacing w:after="120"/>
        <w:ind w:left="782" w:hanging="357"/>
        <w:contextualSpacing w:val="0"/>
        <w:jc w:val="both"/>
      </w:pPr>
      <w:r>
        <w:t>t</w:t>
      </w:r>
      <w:r w:rsidR="005373DF" w:rsidRPr="00756C88">
        <w:t xml:space="preserve">raining </w:t>
      </w:r>
      <w:r w:rsidR="001F5CD2" w:rsidRPr="00756C88">
        <w:t>service provider</w:t>
      </w:r>
      <w:r w:rsidR="005373DF" w:rsidRPr="00756C88">
        <w:t xml:space="preserve">s to improve their tender writing </w:t>
      </w:r>
      <w:proofErr w:type="gramStart"/>
      <w:r w:rsidR="005373DF" w:rsidRPr="00756C88">
        <w:t>abilities</w:t>
      </w:r>
      <w:proofErr w:type="gramEnd"/>
    </w:p>
    <w:p w14:paraId="20ABE3CD" w14:textId="6C5C3630" w:rsidR="005373DF" w:rsidRPr="00756C88" w:rsidRDefault="00795874" w:rsidP="00BB099C">
      <w:pPr>
        <w:pStyle w:val="ListParagraph"/>
        <w:numPr>
          <w:ilvl w:val="0"/>
          <w:numId w:val="19"/>
        </w:numPr>
        <w:spacing w:after="120"/>
        <w:ind w:left="782" w:hanging="357"/>
        <w:contextualSpacing w:val="0"/>
        <w:jc w:val="both"/>
      </w:pPr>
      <w:r>
        <w:t>w</w:t>
      </w:r>
      <w:r w:rsidR="005373DF" w:rsidRPr="00756C88">
        <w:t>orkforce development</w:t>
      </w:r>
      <w:r w:rsidR="00134F8B" w:rsidRPr="00756C88">
        <w:t>,</w:t>
      </w:r>
      <w:r w:rsidR="005373DF" w:rsidRPr="00756C88">
        <w:t xml:space="preserve"> </w:t>
      </w:r>
      <w:r w:rsidR="00B02045" w:rsidRPr="00756C88">
        <w:t>e.g.,</w:t>
      </w:r>
      <w:r w:rsidR="005373DF" w:rsidRPr="00756C88">
        <w:t xml:space="preserve"> engaging with universities to support student </w:t>
      </w:r>
      <w:proofErr w:type="gramStart"/>
      <w:r w:rsidR="005373DF" w:rsidRPr="00756C88">
        <w:t>placements</w:t>
      </w:r>
      <w:proofErr w:type="gramEnd"/>
    </w:p>
    <w:p w14:paraId="7D4EFC58" w14:textId="7E1E46F1" w:rsidR="005373DF" w:rsidRPr="00756C88" w:rsidRDefault="00795874" w:rsidP="00BB099C">
      <w:pPr>
        <w:pStyle w:val="ListParagraph"/>
        <w:numPr>
          <w:ilvl w:val="0"/>
          <w:numId w:val="19"/>
        </w:numPr>
        <w:spacing w:after="120"/>
        <w:ind w:left="782" w:hanging="357"/>
        <w:contextualSpacing w:val="0"/>
        <w:jc w:val="both"/>
      </w:pPr>
      <w:r>
        <w:t>w</w:t>
      </w:r>
      <w:r w:rsidR="005373DF" w:rsidRPr="00756C88">
        <w:t>orkforce recruitment</w:t>
      </w:r>
      <w:r w:rsidR="00CE72BB" w:rsidRPr="00756C88">
        <w:t>.</w:t>
      </w:r>
    </w:p>
    <w:p w14:paraId="5A33CA1B" w14:textId="2897B797" w:rsidR="005373DF" w:rsidRPr="00756C88" w:rsidRDefault="005373DF" w:rsidP="00BB099C">
      <w:pPr>
        <w:spacing w:after="120"/>
        <w:jc w:val="both"/>
        <w:rPr>
          <w:b/>
          <w:bCs/>
        </w:rPr>
      </w:pPr>
      <w:r w:rsidRPr="00756C88">
        <w:rPr>
          <w:b/>
          <w:bCs/>
        </w:rPr>
        <w:t>Why do we do it?</w:t>
      </w:r>
    </w:p>
    <w:p w14:paraId="58C98537" w14:textId="363A628C" w:rsidR="00795874" w:rsidRPr="00756C88" w:rsidRDefault="005373DF" w:rsidP="00BB099C">
      <w:pPr>
        <w:spacing w:after="120"/>
        <w:jc w:val="both"/>
      </w:pPr>
      <w:r w:rsidRPr="00756C88">
        <w:t>By shaping the market</w:t>
      </w:r>
      <w:r w:rsidR="005F319A" w:rsidRPr="00756C88">
        <w:t>,</w:t>
      </w:r>
      <w:r w:rsidRPr="00756C88">
        <w:t xml:space="preserve"> commissioners </w:t>
      </w:r>
      <w:r w:rsidR="00217DB0" w:rsidRPr="00756C88">
        <w:t>attempt to balance supply and demand.</w:t>
      </w:r>
      <w:r w:rsidR="00953C86" w:rsidRPr="00756C88">
        <w:t xml:space="preserve"> </w:t>
      </w:r>
      <w:r w:rsidR="00A178D0" w:rsidRPr="00756C88">
        <w:t>A</w:t>
      </w:r>
      <w:r w:rsidR="000C2CD1" w:rsidRPr="00756C88">
        <w:t xml:space="preserve"> balanced market enables</w:t>
      </w:r>
      <w:r w:rsidR="000F2BC0" w:rsidRPr="00756C88">
        <w:t xml:space="preserve"> commissioners to achieve a successful </w:t>
      </w:r>
      <w:r w:rsidR="00981602" w:rsidRPr="00756C88">
        <w:t>procurement where the right services are</w:t>
      </w:r>
      <w:r w:rsidR="004D43F0" w:rsidRPr="00756C88">
        <w:t xml:space="preserve"> obtained at the right quality and price.</w:t>
      </w:r>
    </w:p>
    <w:p w14:paraId="45E67CDE" w14:textId="77777777" w:rsidR="00986F41" w:rsidRDefault="00986F41">
      <w:r>
        <w:br w:type="page"/>
      </w:r>
    </w:p>
    <w:p w14:paraId="0FDD5DAE" w14:textId="56278A03" w:rsidR="005373DF" w:rsidRPr="00756C88" w:rsidRDefault="005373DF" w:rsidP="00BB099C">
      <w:pPr>
        <w:spacing w:after="120"/>
        <w:jc w:val="both"/>
      </w:pPr>
      <w:r w:rsidRPr="00756C88">
        <w:lastRenderedPageBreak/>
        <w:t>Market shaping activities, when used selectively, can:</w:t>
      </w:r>
    </w:p>
    <w:p w14:paraId="3A5F96F5" w14:textId="4757237E" w:rsidR="005373DF" w:rsidRPr="00756C88" w:rsidRDefault="00986F41" w:rsidP="00BB099C">
      <w:pPr>
        <w:pStyle w:val="ListParagraph"/>
        <w:numPr>
          <w:ilvl w:val="0"/>
          <w:numId w:val="20"/>
        </w:numPr>
        <w:spacing w:after="120"/>
        <w:ind w:left="782" w:hanging="357"/>
        <w:contextualSpacing w:val="0"/>
        <w:jc w:val="both"/>
      </w:pPr>
      <w:r>
        <w:t>e</w:t>
      </w:r>
      <w:r w:rsidR="005373DF" w:rsidRPr="00756C88">
        <w:t xml:space="preserve">nhance competition to improve value for funders and service </w:t>
      </w:r>
      <w:proofErr w:type="gramStart"/>
      <w:r w:rsidR="005373DF" w:rsidRPr="00756C88">
        <w:t>users</w:t>
      </w:r>
      <w:proofErr w:type="gramEnd"/>
    </w:p>
    <w:p w14:paraId="002EF812" w14:textId="2263AF0D" w:rsidR="005373DF" w:rsidRPr="00756C88" w:rsidRDefault="00986F41" w:rsidP="00BB099C">
      <w:pPr>
        <w:pStyle w:val="ListParagraph"/>
        <w:numPr>
          <w:ilvl w:val="0"/>
          <w:numId w:val="20"/>
        </w:numPr>
        <w:spacing w:after="120"/>
        <w:ind w:left="782" w:hanging="357"/>
        <w:contextualSpacing w:val="0"/>
        <w:jc w:val="both"/>
      </w:pPr>
      <w:r>
        <w:t>d</w:t>
      </w:r>
      <w:r w:rsidR="005373DF" w:rsidRPr="00756C88">
        <w:t xml:space="preserve">evelop service provision for hard-to-serve </w:t>
      </w:r>
      <w:proofErr w:type="gramStart"/>
      <w:r w:rsidR="005373DF" w:rsidRPr="00756C88">
        <w:t>groups</w:t>
      </w:r>
      <w:proofErr w:type="gramEnd"/>
    </w:p>
    <w:p w14:paraId="24EF6D75" w14:textId="49537F3A" w:rsidR="005373DF" w:rsidRPr="00756C88" w:rsidRDefault="00986F41" w:rsidP="00BB099C">
      <w:pPr>
        <w:pStyle w:val="ListParagraph"/>
        <w:numPr>
          <w:ilvl w:val="0"/>
          <w:numId w:val="20"/>
        </w:numPr>
        <w:spacing w:after="120"/>
        <w:ind w:left="782" w:hanging="357"/>
        <w:contextualSpacing w:val="0"/>
        <w:jc w:val="both"/>
      </w:pPr>
      <w:r>
        <w:t>r</w:t>
      </w:r>
      <w:r w:rsidR="005373DF" w:rsidRPr="00756C88">
        <w:t xml:space="preserve">educe duplication through market </w:t>
      </w:r>
      <w:proofErr w:type="gramStart"/>
      <w:r w:rsidR="005373DF" w:rsidRPr="00756C88">
        <w:t>segmentation</w:t>
      </w:r>
      <w:proofErr w:type="gramEnd"/>
    </w:p>
    <w:p w14:paraId="1046EDB6" w14:textId="1F7CB68A" w:rsidR="005373DF" w:rsidRPr="00756C88" w:rsidRDefault="00986F41" w:rsidP="00BB099C">
      <w:pPr>
        <w:pStyle w:val="ListParagraph"/>
        <w:numPr>
          <w:ilvl w:val="0"/>
          <w:numId w:val="20"/>
        </w:numPr>
        <w:spacing w:after="120"/>
        <w:ind w:left="782" w:hanging="357"/>
        <w:contextualSpacing w:val="0"/>
        <w:jc w:val="both"/>
      </w:pPr>
      <w:r>
        <w:t>r</w:t>
      </w:r>
      <w:r w:rsidR="005373DF" w:rsidRPr="00756C88">
        <w:t xml:space="preserve">esolve unwarranted variation in services and incentivise </w:t>
      </w:r>
      <w:proofErr w:type="gramStart"/>
      <w:r w:rsidR="005373DF" w:rsidRPr="00756C88">
        <w:t>quality</w:t>
      </w:r>
      <w:proofErr w:type="gramEnd"/>
    </w:p>
    <w:p w14:paraId="0C1A1691" w14:textId="0260396A" w:rsidR="005373DF" w:rsidRPr="00756C88" w:rsidRDefault="00986F41" w:rsidP="00BB099C">
      <w:pPr>
        <w:pStyle w:val="ListParagraph"/>
        <w:numPr>
          <w:ilvl w:val="0"/>
          <w:numId w:val="20"/>
        </w:numPr>
        <w:spacing w:after="120"/>
        <w:ind w:left="782" w:hanging="357"/>
        <w:contextualSpacing w:val="0"/>
        <w:jc w:val="both"/>
      </w:pPr>
      <w:r>
        <w:t>e</w:t>
      </w:r>
      <w:r w:rsidR="005373DF" w:rsidRPr="00756C88">
        <w:t xml:space="preserve">ncourage </w:t>
      </w:r>
      <w:proofErr w:type="gramStart"/>
      <w:r w:rsidR="005373DF" w:rsidRPr="00756C88">
        <w:t>innovation</w:t>
      </w:r>
      <w:proofErr w:type="gramEnd"/>
    </w:p>
    <w:p w14:paraId="5FE07C09" w14:textId="20184573" w:rsidR="005373DF" w:rsidRPr="00756C88" w:rsidRDefault="00986F41" w:rsidP="00BB099C">
      <w:pPr>
        <w:pStyle w:val="ListParagraph"/>
        <w:numPr>
          <w:ilvl w:val="0"/>
          <w:numId w:val="20"/>
        </w:numPr>
        <w:spacing w:after="120"/>
        <w:ind w:left="782" w:hanging="357"/>
        <w:contextualSpacing w:val="0"/>
        <w:jc w:val="both"/>
      </w:pPr>
      <w:r>
        <w:t>e</w:t>
      </w:r>
      <w:r w:rsidR="005373DF" w:rsidRPr="00756C88">
        <w:t xml:space="preserve">ncourage service </w:t>
      </w:r>
      <w:proofErr w:type="gramStart"/>
      <w:r w:rsidR="005373DF" w:rsidRPr="00756C88">
        <w:t>integration</w:t>
      </w:r>
      <w:proofErr w:type="gramEnd"/>
    </w:p>
    <w:p w14:paraId="42034A6C" w14:textId="01C29485" w:rsidR="005373DF" w:rsidRPr="00756C88" w:rsidRDefault="00986F41" w:rsidP="00BB099C">
      <w:pPr>
        <w:pStyle w:val="ListParagraph"/>
        <w:numPr>
          <w:ilvl w:val="0"/>
          <w:numId w:val="20"/>
        </w:numPr>
        <w:spacing w:after="120"/>
        <w:ind w:left="782" w:hanging="357"/>
        <w:contextualSpacing w:val="0"/>
        <w:jc w:val="both"/>
      </w:pPr>
      <w:r>
        <w:t>e</w:t>
      </w:r>
      <w:r w:rsidR="005373DF" w:rsidRPr="00756C88">
        <w:t xml:space="preserve">nsure the market has the capacity and capability to respond to </w:t>
      </w:r>
      <w:r w:rsidR="007F5991" w:rsidRPr="00756C88">
        <w:t xml:space="preserve">a </w:t>
      </w:r>
      <w:proofErr w:type="gramStart"/>
      <w:r w:rsidR="007F5991" w:rsidRPr="00756C88">
        <w:t>request</w:t>
      </w:r>
      <w:proofErr w:type="gramEnd"/>
    </w:p>
    <w:p w14:paraId="3D653B59" w14:textId="4188DED8" w:rsidR="005373DF" w:rsidRPr="00756C88" w:rsidRDefault="00986F41" w:rsidP="00BB099C">
      <w:pPr>
        <w:pStyle w:val="ListParagraph"/>
        <w:numPr>
          <w:ilvl w:val="0"/>
          <w:numId w:val="20"/>
        </w:numPr>
        <w:spacing w:after="120"/>
        <w:ind w:left="782" w:hanging="357"/>
        <w:contextualSpacing w:val="0"/>
        <w:jc w:val="both"/>
      </w:pPr>
      <w:r>
        <w:t>b</w:t>
      </w:r>
      <w:r w:rsidR="005373DF" w:rsidRPr="00756C88">
        <w:t>uild service capacity to meet anticipated demand growth</w:t>
      </w:r>
      <w:r w:rsidR="00CE72BB" w:rsidRPr="00756C88">
        <w:t>.</w:t>
      </w:r>
    </w:p>
    <w:p w14:paraId="21016186" w14:textId="49E2DE02" w:rsidR="005502EB" w:rsidRPr="00756C88" w:rsidRDefault="002A309C" w:rsidP="00BB099C">
      <w:pPr>
        <w:spacing w:after="120"/>
        <w:jc w:val="both"/>
      </w:pPr>
      <w:r w:rsidRPr="00756C88">
        <w:t>The</w:t>
      </w:r>
      <w:r w:rsidR="003E2E0F" w:rsidRPr="00756C88">
        <w:t xml:space="preserve"> number of </w:t>
      </w:r>
      <w:r w:rsidR="001F5CD2" w:rsidRPr="00756C88">
        <w:t>service provider</w:t>
      </w:r>
      <w:r w:rsidR="003E2E0F" w:rsidRPr="00756C88">
        <w:t xml:space="preserve">s in some rural and remote locations </w:t>
      </w:r>
      <w:r w:rsidR="005373DF" w:rsidRPr="00756C88">
        <w:t>is so few that market principles may not apply. In these circumstances</w:t>
      </w:r>
      <w:r w:rsidRPr="00756C88">
        <w:t>,</w:t>
      </w:r>
      <w:r w:rsidR="005373DF" w:rsidRPr="00756C88">
        <w:t xml:space="preserve"> partnering to sustain services is the overriding </w:t>
      </w:r>
      <w:r w:rsidR="00795874">
        <w:t>priority.</w:t>
      </w:r>
    </w:p>
    <w:p w14:paraId="4DBE2146" w14:textId="19DDDCF4" w:rsidR="005373DF" w:rsidRPr="00756C88" w:rsidRDefault="005373DF" w:rsidP="0026315D">
      <w:pPr>
        <w:pStyle w:val="Heading2"/>
        <w:spacing w:line="259" w:lineRule="auto"/>
        <w:jc w:val="both"/>
      </w:pPr>
      <w:bookmarkStart w:id="20" w:name="_Toc117861725"/>
      <w:r w:rsidRPr="00756C88">
        <w:t xml:space="preserve">3.3 </w:t>
      </w:r>
      <w:bookmarkEnd w:id="19"/>
      <w:r w:rsidRPr="00756C88">
        <w:t xml:space="preserve">Identify potential </w:t>
      </w:r>
      <w:proofErr w:type="gramStart"/>
      <w:r w:rsidRPr="00756C88">
        <w:t>partners</w:t>
      </w:r>
      <w:bookmarkEnd w:id="20"/>
      <w:proofErr w:type="gramEnd"/>
    </w:p>
    <w:p w14:paraId="743A090B" w14:textId="1E558030" w:rsidR="005373DF" w:rsidRPr="00756C88" w:rsidRDefault="002A309C" w:rsidP="00BB099C">
      <w:pPr>
        <w:spacing w:after="120"/>
        <w:jc w:val="both"/>
      </w:pPr>
      <w:r w:rsidRPr="00756C88">
        <w:t>P</w:t>
      </w:r>
      <w:r w:rsidR="005373DF" w:rsidRPr="00756C88">
        <w:t>artnering is a commonly used approach for achieving system-level improvements.</w:t>
      </w:r>
    </w:p>
    <w:p w14:paraId="697540FC" w14:textId="51237FD0" w:rsidR="005373DF" w:rsidRPr="00756C88" w:rsidRDefault="005373DF" w:rsidP="00BB099C">
      <w:pPr>
        <w:spacing w:after="120"/>
        <w:jc w:val="both"/>
      </w:pPr>
      <w:r w:rsidRPr="00756C88">
        <w:t xml:space="preserve">In </w:t>
      </w:r>
      <w:r w:rsidRPr="00040203">
        <w:t xml:space="preserve">the </w:t>
      </w:r>
      <w:r w:rsidR="001F05E3" w:rsidRPr="0026315D">
        <w:t>Design Services</w:t>
      </w:r>
      <w:r w:rsidRPr="00040203">
        <w:t xml:space="preserve"> tool</w:t>
      </w:r>
      <w:r w:rsidR="00AD30F4" w:rsidRPr="00040203">
        <w:t>,</w:t>
      </w:r>
      <w:r w:rsidRPr="00040203">
        <w:t xml:space="preserve"> we</w:t>
      </w:r>
      <w:r w:rsidRPr="00756C88">
        <w:t xml:space="preserve"> examined how commissioners should engage strategic partner</w:t>
      </w:r>
      <w:r w:rsidR="00D2355C" w:rsidRPr="00756C88">
        <w:t>s</w:t>
      </w:r>
      <w:r w:rsidRPr="00756C88">
        <w:t xml:space="preserve"> to enact </w:t>
      </w:r>
      <w:r w:rsidR="00757428" w:rsidRPr="00756C88">
        <w:t>system-wide</w:t>
      </w:r>
      <w:r w:rsidRPr="00756C88">
        <w:t xml:space="preserve"> change. Strategic partners will often be commissioners</w:t>
      </w:r>
      <w:r w:rsidR="00235E48" w:rsidRPr="00756C88">
        <w:t xml:space="preserve"> and</w:t>
      </w:r>
      <w:r w:rsidRPr="00756C88">
        <w:t xml:space="preserve"> we should be </w:t>
      </w:r>
      <w:r w:rsidR="00075893" w:rsidRPr="00756C88">
        <w:t>aware of</w:t>
      </w:r>
      <w:r w:rsidRPr="00756C88">
        <w:t xml:space="preserve"> </w:t>
      </w:r>
      <w:r w:rsidR="00B678B1" w:rsidRPr="00756C88">
        <w:t>co-commission</w:t>
      </w:r>
      <w:r w:rsidR="00075893" w:rsidRPr="00756C88">
        <w:t>ing</w:t>
      </w:r>
      <w:r w:rsidR="00B678B1" w:rsidRPr="00756C88">
        <w:t xml:space="preserve"> opportunities</w:t>
      </w:r>
      <w:r w:rsidRPr="00756C88">
        <w:t>. Co-commissioning sees partnerships between entities with similar objectives and prioriti</w:t>
      </w:r>
      <w:r w:rsidR="00075893" w:rsidRPr="00756C88">
        <w:t>s</w:t>
      </w:r>
      <w:r w:rsidRPr="00756C88">
        <w:t xml:space="preserve">es pooling funding, </w:t>
      </w:r>
      <w:r w:rsidR="00B804C0" w:rsidRPr="00756C88">
        <w:t>influence,</w:t>
      </w:r>
      <w:r w:rsidRPr="00756C88">
        <w:t xml:space="preserve"> and resources to jointly commission services. This will usually require one of the partners to assume fund holding and serve as the lead for contract performance management. </w:t>
      </w:r>
      <w:r w:rsidR="001460A1" w:rsidRPr="00756C88">
        <w:t>C</w:t>
      </w:r>
      <w:r w:rsidRPr="00756C88">
        <w:t>o-commissioning represent</w:t>
      </w:r>
      <w:r w:rsidR="00FB43D7" w:rsidRPr="00756C88">
        <w:t>s</w:t>
      </w:r>
      <w:r w:rsidRPr="00756C88">
        <w:t xml:space="preserve"> a high level of maturity in relationships between partner</w:t>
      </w:r>
      <w:r w:rsidR="00795874">
        <w:t>s</w:t>
      </w:r>
      <w:r w:rsidRPr="00756C88">
        <w:t xml:space="preserve"> and help</w:t>
      </w:r>
      <w:r w:rsidR="00795874">
        <w:t>s</w:t>
      </w:r>
      <w:r w:rsidRPr="00756C88">
        <w:t xml:space="preserve"> deliver </w:t>
      </w:r>
      <w:r w:rsidR="00CA1512" w:rsidRPr="00756C88">
        <w:t xml:space="preserve">the </w:t>
      </w:r>
      <w:r w:rsidRPr="00756C88">
        <w:t>best value to the communities.</w:t>
      </w:r>
    </w:p>
    <w:p w14:paraId="554F894C" w14:textId="59EB2840" w:rsidR="00F36D68" w:rsidRPr="00756C88" w:rsidRDefault="005373DF" w:rsidP="0026315D">
      <w:pPr>
        <w:spacing w:after="120"/>
        <w:jc w:val="both"/>
        <w:rPr>
          <w:noProof/>
        </w:rPr>
      </w:pPr>
      <w:r w:rsidRPr="00756C88">
        <w:t xml:space="preserve">Commissioners also </w:t>
      </w:r>
      <w:r w:rsidR="009D4CC6" w:rsidRPr="00756C88">
        <w:t>play</w:t>
      </w:r>
      <w:r w:rsidRPr="00756C88">
        <w:t xml:space="preserve"> a significant role in sponsoring collaboration between </w:t>
      </w:r>
      <w:r w:rsidR="00B06B67" w:rsidRPr="00756C88">
        <w:t>service</w:t>
      </w:r>
      <w:r w:rsidRPr="00756C88">
        <w:t xml:space="preserve"> providers. Collaboration across </w:t>
      </w:r>
      <w:r w:rsidR="001F5CD2" w:rsidRPr="00756C88">
        <w:t>service provider</w:t>
      </w:r>
      <w:r w:rsidRPr="00756C88">
        <w:t xml:space="preserve">s is vital when the commissioning activity </w:t>
      </w:r>
      <w:r w:rsidR="00757F8C" w:rsidRPr="00756C88">
        <w:t>seeks</w:t>
      </w:r>
      <w:r w:rsidRPr="00756C88">
        <w:t xml:space="preserve"> to improve </w:t>
      </w:r>
      <w:r w:rsidR="005A2D73" w:rsidRPr="00756C88">
        <w:t xml:space="preserve">the </w:t>
      </w:r>
      <w:r w:rsidRPr="00756C88">
        <w:t xml:space="preserve">continuity of </w:t>
      </w:r>
      <w:r w:rsidR="0077581E" w:rsidRPr="00756C88">
        <w:t xml:space="preserve">services </w:t>
      </w:r>
      <w:r w:rsidRPr="00756C88">
        <w:t xml:space="preserve">across multiple service settings. </w:t>
      </w:r>
      <w:r w:rsidR="009664AC" w:rsidRPr="00756C88">
        <w:t>Collaboration options between</w:t>
      </w:r>
      <w:r w:rsidRPr="00756C88">
        <w:t xml:space="preserve"> entities may be viewed as a spectrum</w:t>
      </w:r>
      <w:r w:rsidR="00A33DBC" w:rsidRPr="00756C88">
        <w:t>,</w:t>
      </w:r>
      <w:r w:rsidRPr="00756C88">
        <w:t xml:space="preserve"> as outlined in Figure </w:t>
      </w:r>
      <w:r w:rsidR="00B42DAA" w:rsidRPr="00756C88">
        <w:t>5</w:t>
      </w:r>
      <w:r w:rsidRPr="00756C88">
        <w:t xml:space="preserve">. It is </w:t>
      </w:r>
      <w:r w:rsidR="009635BA" w:rsidRPr="00756C88">
        <w:t>essential</w:t>
      </w:r>
      <w:r w:rsidRPr="00756C88">
        <w:t xml:space="preserve"> to </w:t>
      </w:r>
      <w:r w:rsidR="00EE6FF1" w:rsidRPr="00756C88">
        <w:t>remember</w:t>
      </w:r>
      <w:r w:rsidRPr="00756C88">
        <w:t xml:space="preserve"> that other commissioners may not have funding to contribute to an initiative but can support </w:t>
      </w:r>
      <w:r w:rsidR="00496927" w:rsidRPr="00756C88">
        <w:t xml:space="preserve">it </w:t>
      </w:r>
      <w:r w:rsidRPr="00756C88">
        <w:t xml:space="preserve">through in-house arrangements or </w:t>
      </w:r>
      <w:r w:rsidR="006764B2" w:rsidRPr="00756C88">
        <w:t xml:space="preserve">by </w:t>
      </w:r>
      <w:r w:rsidRPr="00756C88">
        <w:t>offering constructive influence to enable change.</w:t>
      </w:r>
    </w:p>
    <w:p w14:paraId="0B7F74F4" w14:textId="49EB1A31" w:rsidR="004259E3" w:rsidRPr="00756C88" w:rsidRDefault="001845B8" w:rsidP="001156E0">
      <w:pPr>
        <w:keepNext/>
        <w:jc w:val="both"/>
      </w:pPr>
      <w:r w:rsidRPr="00756C88">
        <w:rPr>
          <w:noProof/>
        </w:rPr>
        <w:lastRenderedPageBreak/>
        <w:drawing>
          <wp:inline distT="0" distB="0" distL="0" distR="0" wp14:anchorId="2EE86A73" wp14:editId="76B1CB0D">
            <wp:extent cx="6400800" cy="1192111"/>
            <wp:effectExtent l="0" t="0" r="0" b="8255"/>
            <wp:docPr id="18" name="Picture 18" descr="Figure 5. Spectrum of structural change involved in different types of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5. Spectrum of structural change involved in different types of collabor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3454" cy="1207505"/>
                    </a:xfrm>
                    <a:prstGeom prst="rect">
                      <a:avLst/>
                    </a:prstGeom>
                    <a:noFill/>
                  </pic:spPr>
                </pic:pic>
              </a:graphicData>
            </a:graphic>
          </wp:inline>
        </w:drawing>
      </w:r>
    </w:p>
    <w:p w14:paraId="33B65AA1" w14:textId="23B68937" w:rsidR="004259E3" w:rsidRPr="00756C88" w:rsidRDefault="004259E3" w:rsidP="0026315D">
      <w:pPr>
        <w:pStyle w:val="Caption"/>
        <w:jc w:val="center"/>
      </w:pPr>
      <w:r w:rsidRPr="0026315D">
        <w:rPr>
          <w:i w:val="0"/>
          <w:iCs w:val="0"/>
          <w:sz w:val="24"/>
          <w:szCs w:val="24"/>
        </w:rPr>
        <w:t xml:space="preserve">Figure </w:t>
      </w:r>
      <w:r w:rsidR="00B42DAA" w:rsidRPr="0026315D">
        <w:rPr>
          <w:i w:val="0"/>
          <w:iCs w:val="0"/>
          <w:sz w:val="24"/>
          <w:szCs w:val="24"/>
        </w:rPr>
        <w:t>5</w:t>
      </w:r>
      <w:r w:rsidRPr="0026315D">
        <w:rPr>
          <w:i w:val="0"/>
          <w:iCs w:val="0"/>
          <w:sz w:val="24"/>
          <w:szCs w:val="24"/>
        </w:rPr>
        <w:t>. Spectrum of structural change involved in different types of collaboration</w:t>
      </w:r>
      <w:r w:rsidRPr="00756C88">
        <w:t>.</w:t>
      </w:r>
    </w:p>
    <w:p w14:paraId="3686F86A" w14:textId="597BCDEC" w:rsidR="005373DF" w:rsidRPr="00756C88" w:rsidRDefault="005373DF" w:rsidP="001156E0">
      <w:pPr>
        <w:spacing w:after="120"/>
        <w:jc w:val="both"/>
      </w:pPr>
      <w:r w:rsidRPr="00756C88">
        <w:t xml:space="preserve">Commissioners should be explicit </w:t>
      </w:r>
      <w:r w:rsidR="00CF0754" w:rsidRPr="00756C88">
        <w:t>about the nature of the partnership</w:t>
      </w:r>
      <w:r w:rsidR="002555B3" w:rsidRPr="00756C88">
        <w:t xml:space="preserve">, which should reflect the overall </w:t>
      </w:r>
      <w:r w:rsidRPr="00756C88">
        <w:t>strategic intent. Some partnerships will be focused on specific programs to meet the needs of a discrete group</w:t>
      </w:r>
      <w:r w:rsidR="00032D72" w:rsidRPr="00756C88">
        <w:t>,</w:t>
      </w:r>
      <w:r w:rsidRPr="00756C88">
        <w:t xml:space="preserve"> while others will constitute long-term overarching alliances to deliver whole-of-system change. Figure</w:t>
      </w:r>
      <w:r w:rsidR="00924D49" w:rsidRPr="00756C88">
        <w:t xml:space="preserve"> </w:t>
      </w:r>
      <w:r w:rsidR="00B42DAA" w:rsidRPr="00756C88">
        <w:t>6</w:t>
      </w:r>
      <w:r w:rsidRPr="00756C88">
        <w:t xml:space="preserve"> illustrates a range of ‘vehicles’ </w:t>
      </w:r>
      <w:r w:rsidR="00C96996" w:rsidRPr="00756C88">
        <w:t xml:space="preserve">that can define and shape the nature of partnerships depending on the </w:t>
      </w:r>
      <w:r w:rsidRPr="00756C88">
        <w:t>formality required.</w:t>
      </w:r>
    </w:p>
    <w:p w14:paraId="09C6E036" w14:textId="060ED21A" w:rsidR="00671D84" w:rsidRPr="00756C88" w:rsidRDefault="00594790" w:rsidP="0026315D">
      <w:pPr>
        <w:keepNext/>
        <w:jc w:val="both"/>
      </w:pPr>
      <w:r w:rsidRPr="00756C88">
        <w:rPr>
          <w:noProof/>
        </w:rPr>
        <w:drawing>
          <wp:inline distT="0" distB="0" distL="0" distR="0" wp14:anchorId="00FE9603" wp14:editId="771D83E3">
            <wp:extent cx="5250180" cy="2575472"/>
            <wp:effectExtent l="0" t="0" r="7620" b="0"/>
            <wp:docPr id="22" name="Picture 22" descr="Figure 6. The level of formality varies with different partnership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6. The level of formality varies with different partnership vehicl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0180" cy="2575472"/>
                    </a:xfrm>
                    <a:prstGeom prst="rect">
                      <a:avLst/>
                    </a:prstGeom>
                    <a:noFill/>
                  </pic:spPr>
                </pic:pic>
              </a:graphicData>
            </a:graphic>
          </wp:inline>
        </w:drawing>
      </w:r>
    </w:p>
    <w:p w14:paraId="72F4D64B" w14:textId="14213F38" w:rsidR="005373DF" w:rsidRPr="00756C88" w:rsidRDefault="00671D84" w:rsidP="00986F41">
      <w:pPr>
        <w:pStyle w:val="Caption"/>
        <w:jc w:val="center"/>
      </w:pPr>
      <w:r w:rsidRPr="0026315D">
        <w:rPr>
          <w:i w:val="0"/>
          <w:iCs w:val="0"/>
          <w:sz w:val="24"/>
          <w:szCs w:val="24"/>
        </w:rPr>
        <w:t xml:space="preserve">Figure </w:t>
      </w:r>
      <w:r w:rsidR="00B42DAA" w:rsidRPr="0026315D">
        <w:rPr>
          <w:i w:val="0"/>
          <w:iCs w:val="0"/>
          <w:sz w:val="24"/>
          <w:szCs w:val="24"/>
        </w:rPr>
        <w:t>6</w:t>
      </w:r>
      <w:r w:rsidRPr="0026315D">
        <w:rPr>
          <w:i w:val="0"/>
          <w:iCs w:val="0"/>
          <w:sz w:val="24"/>
          <w:szCs w:val="24"/>
        </w:rPr>
        <w:t>. The level of formality varies with different partnership vehicles</w:t>
      </w:r>
      <w:r w:rsidRPr="00756C88">
        <w:t>.</w:t>
      </w:r>
    </w:p>
    <w:p w14:paraId="3762BCE9" w14:textId="71BD1802" w:rsidR="005373DF" w:rsidRPr="00756C88" w:rsidRDefault="005373DF" w:rsidP="001156E0">
      <w:pPr>
        <w:pStyle w:val="Heading1"/>
        <w:jc w:val="both"/>
      </w:pPr>
      <w:bookmarkStart w:id="21" w:name="_Toc113981289"/>
      <w:bookmarkStart w:id="22" w:name="_Toc117861726"/>
      <w:r w:rsidRPr="00756C88">
        <w:t xml:space="preserve">4. </w:t>
      </w:r>
      <w:bookmarkEnd w:id="21"/>
      <w:r w:rsidRPr="00756C88">
        <w:t>Design and execute activities</w:t>
      </w:r>
      <w:bookmarkEnd w:id="22"/>
    </w:p>
    <w:p w14:paraId="61F60E9C" w14:textId="77777777" w:rsidR="005373DF" w:rsidRPr="00756C88" w:rsidRDefault="005373DF" w:rsidP="001156E0">
      <w:pPr>
        <w:pStyle w:val="Heading2"/>
        <w:jc w:val="both"/>
      </w:pPr>
      <w:bookmarkStart w:id="23" w:name="_Toc113981290"/>
      <w:bookmarkStart w:id="24" w:name="_Toc117861727"/>
      <w:r w:rsidRPr="00756C88">
        <w:t xml:space="preserve">4.1 </w:t>
      </w:r>
      <w:bookmarkEnd w:id="23"/>
      <w:r w:rsidRPr="00756C88">
        <w:t>Plan for implementation</w:t>
      </w:r>
      <w:bookmarkStart w:id="25" w:name="_Toc113981291"/>
      <w:bookmarkEnd w:id="24"/>
    </w:p>
    <w:p w14:paraId="379B59F4" w14:textId="7D97CF4A" w:rsidR="005373DF" w:rsidRPr="00756C88" w:rsidRDefault="005373DF" w:rsidP="00BB099C">
      <w:pPr>
        <w:spacing w:after="120"/>
        <w:jc w:val="both"/>
      </w:pPr>
      <w:r w:rsidRPr="00756C88">
        <w:t>Planning need</w:t>
      </w:r>
      <w:r w:rsidR="00B84B53" w:rsidRPr="00756C88">
        <w:t>s</w:t>
      </w:r>
      <w:r w:rsidRPr="00756C88">
        <w:t xml:space="preserve"> to </w:t>
      </w:r>
      <w:r w:rsidR="00B84B53" w:rsidRPr="00756C88">
        <w:t>consider</w:t>
      </w:r>
      <w:r w:rsidRPr="00756C88">
        <w:t xml:space="preserve"> the mix of selected activities to be pursued as part of the commissioning initiative: procurement, partnering </w:t>
      </w:r>
      <w:r w:rsidR="00FF2024" w:rsidRPr="00756C88">
        <w:t>or</w:t>
      </w:r>
      <w:r w:rsidRPr="00756C88">
        <w:t xml:space="preserve"> in-house provision.</w:t>
      </w:r>
    </w:p>
    <w:p w14:paraId="22541F48" w14:textId="69A1DD34" w:rsidR="002555B3" w:rsidRPr="00756C88" w:rsidRDefault="00620513" w:rsidP="00BB099C">
      <w:pPr>
        <w:spacing w:after="120"/>
        <w:jc w:val="both"/>
      </w:pPr>
      <w:r w:rsidRPr="00756C88">
        <w:t>These considerations</w:t>
      </w:r>
      <w:r w:rsidR="005373DF" w:rsidRPr="00756C88">
        <w:t xml:space="preserve"> will assist with </w:t>
      </w:r>
      <w:r w:rsidRPr="00756C88">
        <w:t>various</w:t>
      </w:r>
      <w:r w:rsidR="005373DF" w:rsidRPr="00756C88">
        <w:t xml:space="preserve"> decisions in the </w:t>
      </w:r>
      <w:r w:rsidR="00C36370" w:rsidRPr="0026315D">
        <w:t>P</w:t>
      </w:r>
      <w:r w:rsidR="005373DF" w:rsidRPr="0026315D">
        <w:t>rocurement</w:t>
      </w:r>
      <w:r w:rsidR="00A2759E" w:rsidRPr="0026315D">
        <w:t xml:space="preserve"> and </w:t>
      </w:r>
      <w:r w:rsidR="00671D84" w:rsidRPr="0026315D">
        <w:t>C</w:t>
      </w:r>
      <w:r w:rsidR="00A2759E" w:rsidRPr="0026315D">
        <w:t>ontracting</w:t>
      </w:r>
      <w:r w:rsidR="005373DF" w:rsidRPr="00756C88">
        <w:t xml:space="preserve"> tool</w:t>
      </w:r>
      <w:r w:rsidR="00E304DC" w:rsidRPr="00756C88">
        <w:t>,</w:t>
      </w:r>
      <w:r w:rsidR="005373DF" w:rsidRPr="00756C88">
        <w:t xml:space="preserve"> including how external procurement will fit in with the partnering activities and any in-house provision.</w:t>
      </w:r>
    </w:p>
    <w:p w14:paraId="7C6F3EEE" w14:textId="77777777" w:rsidR="00986F41" w:rsidRDefault="00986F41" w:rsidP="00BB099C">
      <w:r>
        <w:br w:type="page"/>
      </w:r>
    </w:p>
    <w:p w14:paraId="109C98F5" w14:textId="36FBFEEB" w:rsidR="005373DF" w:rsidRPr="00756C88" w:rsidRDefault="005373DF" w:rsidP="00BB099C">
      <w:pPr>
        <w:spacing w:after="120"/>
        <w:jc w:val="both"/>
      </w:pPr>
      <w:r w:rsidRPr="00756C88">
        <w:lastRenderedPageBreak/>
        <w:t>Partnering decisions to be made at this time include:</w:t>
      </w:r>
    </w:p>
    <w:p w14:paraId="62A49FB5" w14:textId="0177F99C" w:rsidR="005373DF" w:rsidRPr="00756C88" w:rsidRDefault="005373DF" w:rsidP="00BB099C">
      <w:pPr>
        <w:pStyle w:val="ListParagraph"/>
        <w:numPr>
          <w:ilvl w:val="0"/>
          <w:numId w:val="21"/>
        </w:numPr>
        <w:spacing w:after="120"/>
        <w:ind w:left="782" w:hanging="357"/>
        <w:contextualSpacing w:val="0"/>
        <w:jc w:val="both"/>
      </w:pPr>
      <w:r w:rsidRPr="00756C88">
        <w:t>What is the potential for co-commissioning?</w:t>
      </w:r>
    </w:p>
    <w:p w14:paraId="608FBF24" w14:textId="72AB9525" w:rsidR="005373DF" w:rsidRPr="00756C88" w:rsidRDefault="005373DF" w:rsidP="00BB099C">
      <w:pPr>
        <w:pStyle w:val="ListParagraph"/>
        <w:numPr>
          <w:ilvl w:val="0"/>
          <w:numId w:val="21"/>
        </w:numPr>
        <w:spacing w:after="120"/>
        <w:ind w:left="782" w:hanging="357"/>
        <w:contextualSpacing w:val="0"/>
        <w:jc w:val="both"/>
      </w:pPr>
      <w:r w:rsidRPr="00756C88">
        <w:t xml:space="preserve">What role should </w:t>
      </w:r>
      <w:r w:rsidR="009E02A9" w:rsidRPr="00756C88">
        <w:t xml:space="preserve">each </w:t>
      </w:r>
      <w:r w:rsidRPr="00756C88">
        <w:t>partner</w:t>
      </w:r>
      <w:r w:rsidR="009E02A9" w:rsidRPr="00756C88">
        <w:t xml:space="preserve"> have</w:t>
      </w:r>
      <w:r w:rsidR="00795874">
        <w:t xml:space="preserve"> i</w:t>
      </w:r>
      <w:r w:rsidR="00C30C03" w:rsidRPr="00756C88">
        <w:t>n delivering</w:t>
      </w:r>
      <w:r w:rsidRPr="00756C88">
        <w:t xml:space="preserve"> the service model </w:t>
      </w:r>
      <w:r w:rsidR="00C30C03" w:rsidRPr="00756C88">
        <w:t>desig</w:t>
      </w:r>
      <w:r w:rsidR="00795874">
        <w:t>n?</w:t>
      </w:r>
    </w:p>
    <w:p w14:paraId="05A4A07F" w14:textId="28ACB54C" w:rsidR="005373DF" w:rsidRPr="00756C88" w:rsidRDefault="005373DF" w:rsidP="00BB099C">
      <w:pPr>
        <w:pStyle w:val="ListParagraph"/>
        <w:numPr>
          <w:ilvl w:val="0"/>
          <w:numId w:val="21"/>
        </w:numPr>
        <w:spacing w:after="120"/>
        <w:ind w:left="782" w:hanging="357"/>
        <w:contextualSpacing w:val="0"/>
        <w:jc w:val="both"/>
      </w:pPr>
      <w:r w:rsidRPr="00756C88">
        <w:t>What is the right partnership vehicle</w:t>
      </w:r>
      <w:r w:rsidR="00D13038" w:rsidRPr="00756C88">
        <w:t xml:space="preserve"> (e.g.,</w:t>
      </w:r>
      <w:r w:rsidRPr="00756C88">
        <w:t xml:space="preserve"> </w:t>
      </w:r>
      <w:r w:rsidR="00EF7379" w:rsidRPr="00756C88">
        <w:t>memorandum of understanding or service level agreement</w:t>
      </w:r>
      <w:r w:rsidR="00D13038" w:rsidRPr="00756C88">
        <w:t>)?</w:t>
      </w:r>
    </w:p>
    <w:p w14:paraId="17ADE881" w14:textId="04B3E9D9" w:rsidR="005373DF" w:rsidRPr="00756C88" w:rsidRDefault="005373DF" w:rsidP="00BB099C">
      <w:pPr>
        <w:pStyle w:val="ListParagraph"/>
        <w:numPr>
          <w:ilvl w:val="0"/>
          <w:numId w:val="21"/>
        </w:numPr>
        <w:spacing w:after="120"/>
        <w:ind w:left="782" w:hanging="357"/>
        <w:contextualSpacing w:val="0"/>
        <w:jc w:val="both"/>
      </w:pPr>
      <w:r w:rsidRPr="00756C88">
        <w:t>What is the right partnership governance arrangement, including conflict resolution?</w:t>
      </w:r>
    </w:p>
    <w:p w14:paraId="05BD5178" w14:textId="77777777" w:rsidR="005373DF" w:rsidRPr="00756C88" w:rsidRDefault="005373DF" w:rsidP="00BB099C">
      <w:pPr>
        <w:pStyle w:val="ListParagraph"/>
        <w:numPr>
          <w:ilvl w:val="0"/>
          <w:numId w:val="21"/>
        </w:numPr>
        <w:spacing w:after="120"/>
        <w:ind w:left="782" w:hanging="357"/>
        <w:contextualSpacing w:val="0"/>
        <w:jc w:val="both"/>
      </w:pPr>
      <w:r w:rsidRPr="00756C88">
        <w:t>What should be the extent and nature of internal partnerships?</w:t>
      </w:r>
    </w:p>
    <w:p w14:paraId="4AEB0956" w14:textId="01B00D0E" w:rsidR="005373DF" w:rsidRPr="00756C88" w:rsidRDefault="005373DF" w:rsidP="00BB099C">
      <w:pPr>
        <w:spacing w:after="120"/>
        <w:jc w:val="both"/>
      </w:pPr>
      <w:r w:rsidRPr="00756C88">
        <w:t xml:space="preserve">In-house provision decisions to be </w:t>
      </w:r>
      <w:r w:rsidR="00B72B3D" w:rsidRPr="00756C88">
        <w:t>considered</w:t>
      </w:r>
      <w:r w:rsidRPr="00756C88">
        <w:t xml:space="preserve"> include:</w:t>
      </w:r>
    </w:p>
    <w:p w14:paraId="35D2108B" w14:textId="051ED705" w:rsidR="005373DF" w:rsidRPr="00756C88" w:rsidRDefault="005373DF" w:rsidP="00BB099C">
      <w:pPr>
        <w:pStyle w:val="ListParagraph"/>
        <w:numPr>
          <w:ilvl w:val="0"/>
          <w:numId w:val="22"/>
        </w:numPr>
        <w:spacing w:after="120"/>
        <w:ind w:left="782" w:hanging="357"/>
        <w:contextualSpacing w:val="0"/>
        <w:jc w:val="both"/>
      </w:pPr>
      <w:r w:rsidRPr="00756C88">
        <w:t>What should be the extent of in-house provision?</w:t>
      </w:r>
    </w:p>
    <w:p w14:paraId="56D17857" w14:textId="0B2B7C3D" w:rsidR="005373DF" w:rsidRPr="00756C88" w:rsidRDefault="005373DF" w:rsidP="00BB099C">
      <w:pPr>
        <w:pStyle w:val="ListParagraph"/>
        <w:numPr>
          <w:ilvl w:val="0"/>
          <w:numId w:val="22"/>
        </w:numPr>
        <w:spacing w:after="120"/>
        <w:ind w:left="782" w:hanging="357"/>
        <w:contextualSpacing w:val="0"/>
        <w:jc w:val="both"/>
      </w:pPr>
      <w:r w:rsidRPr="00756C88">
        <w:t>What would be the rationale and justification for in-house provision?</w:t>
      </w:r>
    </w:p>
    <w:p w14:paraId="3D028543" w14:textId="1E49E416" w:rsidR="005373DF" w:rsidRPr="00756C88" w:rsidRDefault="005373DF" w:rsidP="00BB099C">
      <w:pPr>
        <w:pStyle w:val="ListParagraph"/>
        <w:numPr>
          <w:ilvl w:val="0"/>
          <w:numId w:val="22"/>
        </w:numPr>
        <w:spacing w:after="120"/>
        <w:ind w:left="782" w:hanging="357"/>
        <w:contextualSpacing w:val="0"/>
        <w:jc w:val="both"/>
      </w:pPr>
      <w:r w:rsidRPr="00756C88">
        <w:t>How can the outputs of the design</w:t>
      </w:r>
      <w:r w:rsidR="0033675D" w:rsidRPr="00756C88">
        <w:t xml:space="preserve"> services</w:t>
      </w:r>
      <w:r w:rsidRPr="00756C88">
        <w:t xml:space="preserve"> phase be used to inform the design of the internal service?</w:t>
      </w:r>
    </w:p>
    <w:p w14:paraId="24BF2525" w14:textId="77777777" w:rsidR="005373DF" w:rsidRPr="00756C88" w:rsidRDefault="005373DF" w:rsidP="00BB099C">
      <w:pPr>
        <w:pStyle w:val="ListParagraph"/>
        <w:numPr>
          <w:ilvl w:val="0"/>
          <w:numId w:val="22"/>
        </w:numPr>
        <w:spacing w:after="120"/>
        <w:ind w:left="782" w:hanging="357"/>
        <w:contextualSpacing w:val="0"/>
        <w:jc w:val="both"/>
      </w:pPr>
      <w:r w:rsidRPr="00756C88">
        <w:t>What should the interfaces be with any external services procured as part of the initiative?</w:t>
      </w:r>
    </w:p>
    <w:p w14:paraId="5400D30F" w14:textId="13BFF51D" w:rsidR="005373DF" w:rsidRPr="00756C88" w:rsidRDefault="005373DF" w:rsidP="00BB099C">
      <w:pPr>
        <w:pStyle w:val="ListParagraph"/>
        <w:numPr>
          <w:ilvl w:val="0"/>
          <w:numId w:val="22"/>
        </w:numPr>
        <w:spacing w:after="120"/>
        <w:ind w:left="782" w:hanging="357"/>
        <w:contextualSpacing w:val="0"/>
        <w:jc w:val="both"/>
      </w:pPr>
      <w:r w:rsidRPr="00756C88">
        <w:t>What should the internal interfaces be with associated in-house services?</w:t>
      </w:r>
    </w:p>
    <w:p w14:paraId="3EADBF64" w14:textId="462B1A33" w:rsidR="005373DF" w:rsidRPr="00756C88" w:rsidRDefault="005373DF" w:rsidP="00BB099C">
      <w:pPr>
        <w:spacing w:after="120"/>
        <w:jc w:val="both"/>
      </w:pPr>
      <w:r w:rsidRPr="00756C88">
        <w:t xml:space="preserve">Like external procurement, a </w:t>
      </w:r>
      <w:r w:rsidR="000863AB" w:rsidRPr="00756C88">
        <w:t>s</w:t>
      </w:r>
      <w:r w:rsidRPr="00756C88">
        <w:t xml:space="preserve">ervice </w:t>
      </w:r>
      <w:r w:rsidR="000863AB" w:rsidRPr="00756C88">
        <w:t>s</w:t>
      </w:r>
      <w:r w:rsidRPr="00756C88">
        <w:t>pecification is also required for in-house provision</w:t>
      </w:r>
      <w:r w:rsidR="00B237E2" w:rsidRPr="00756C88">
        <w:t>,</w:t>
      </w:r>
      <w:r w:rsidRPr="00756C88">
        <w:t xml:space="preserve"> which addresses the strategic intent and objectives, service philosophy, service scope, service model, target group and eligibility, target catchment, </w:t>
      </w:r>
      <w:r w:rsidR="00EF7379" w:rsidRPr="00756C88">
        <w:t xml:space="preserve">and </w:t>
      </w:r>
      <w:r w:rsidRPr="00756C88">
        <w:t>service interfaces.</w:t>
      </w:r>
    </w:p>
    <w:p w14:paraId="1120324A" w14:textId="29013321" w:rsidR="005373DF" w:rsidRPr="00756C88" w:rsidRDefault="005373DF" w:rsidP="0026315D">
      <w:pPr>
        <w:pStyle w:val="Heading2"/>
        <w:spacing w:line="259" w:lineRule="auto"/>
        <w:jc w:val="both"/>
      </w:pPr>
      <w:bookmarkStart w:id="26" w:name="_Toc117861728"/>
      <w:r w:rsidRPr="00756C88">
        <w:t xml:space="preserve">4.2 </w:t>
      </w:r>
      <w:bookmarkEnd w:id="25"/>
      <w:r w:rsidRPr="00756C88">
        <w:t xml:space="preserve">Consider risks and </w:t>
      </w:r>
      <w:proofErr w:type="gramStart"/>
      <w:r w:rsidRPr="00756C88">
        <w:t>mitigation</w:t>
      </w:r>
      <w:bookmarkEnd w:id="26"/>
      <w:proofErr w:type="gramEnd"/>
    </w:p>
    <w:p w14:paraId="1B360A9D" w14:textId="1AB602E3" w:rsidR="005373DF" w:rsidRPr="00756C88" w:rsidRDefault="005373DF" w:rsidP="00BB099C">
      <w:pPr>
        <w:spacing w:after="120"/>
        <w:jc w:val="both"/>
      </w:pPr>
      <w:r w:rsidRPr="00756C88">
        <w:t xml:space="preserve">When we implement change through co-commissioning </w:t>
      </w:r>
      <w:r w:rsidR="00F676AF" w:rsidRPr="00756C88">
        <w:t xml:space="preserve">or </w:t>
      </w:r>
      <w:r w:rsidRPr="00756C88">
        <w:t>provide services in</w:t>
      </w:r>
      <w:r w:rsidR="005353C2" w:rsidRPr="00756C88">
        <w:t>-</w:t>
      </w:r>
      <w:r w:rsidRPr="00756C88">
        <w:t>house or through procurement, there are several risks involved</w:t>
      </w:r>
      <w:r w:rsidR="001734D7" w:rsidRPr="00756C88">
        <w:t xml:space="preserve"> and</w:t>
      </w:r>
      <w:r w:rsidRPr="00756C88">
        <w:t xml:space="preserve"> steps we can take to mitigate those </w:t>
      </w:r>
      <w:r w:rsidR="002E5E98" w:rsidRPr="00756C88">
        <w:t>risks</w:t>
      </w:r>
      <w:r w:rsidRPr="00756C88">
        <w:t>.</w:t>
      </w:r>
    </w:p>
    <w:p w14:paraId="0341F8B0" w14:textId="7402DE43" w:rsidR="005373DF" w:rsidRPr="00756C88" w:rsidRDefault="005373DF" w:rsidP="00BB099C">
      <w:pPr>
        <w:pStyle w:val="ListParagraph"/>
        <w:numPr>
          <w:ilvl w:val="0"/>
          <w:numId w:val="13"/>
        </w:numPr>
        <w:spacing w:after="120"/>
        <w:ind w:left="782" w:hanging="357"/>
        <w:contextualSpacing w:val="0"/>
        <w:jc w:val="both"/>
      </w:pPr>
      <w:r w:rsidRPr="00756C88">
        <w:rPr>
          <w:b/>
          <w:bCs/>
        </w:rPr>
        <w:t>Relationships may be tested</w:t>
      </w:r>
      <w:r w:rsidR="006106D7" w:rsidRPr="00756C88">
        <w:rPr>
          <w:b/>
          <w:bCs/>
        </w:rPr>
        <w:t>:</w:t>
      </w:r>
      <w:r w:rsidRPr="00756C88">
        <w:t xml:space="preserve"> Commissioners will find that strategic partnerships and personal relationships might be tested</w:t>
      </w:r>
      <w:r w:rsidR="00D13038" w:rsidRPr="00756C88">
        <w:t xml:space="preserve"> so </w:t>
      </w:r>
      <w:r w:rsidRPr="00756C88">
        <w:t>conflict resolution protocols are advisable.</w:t>
      </w:r>
    </w:p>
    <w:p w14:paraId="14EE2EA3" w14:textId="21544D6B" w:rsidR="005373DF" w:rsidRPr="00756C88" w:rsidRDefault="005373DF" w:rsidP="00BB099C">
      <w:pPr>
        <w:pStyle w:val="ListParagraph"/>
        <w:numPr>
          <w:ilvl w:val="0"/>
          <w:numId w:val="13"/>
        </w:numPr>
        <w:spacing w:after="120"/>
        <w:ind w:left="782" w:hanging="357"/>
        <w:contextualSpacing w:val="0"/>
        <w:jc w:val="both"/>
      </w:pPr>
      <w:r w:rsidRPr="00756C88">
        <w:rPr>
          <w:b/>
          <w:bCs/>
        </w:rPr>
        <w:t>Political influence</w:t>
      </w:r>
      <w:r w:rsidR="006106D7" w:rsidRPr="00756C88">
        <w:rPr>
          <w:b/>
          <w:bCs/>
        </w:rPr>
        <w:t>:</w:t>
      </w:r>
      <w:r w:rsidRPr="00756C88">
        <w:t xml:space="preserve"> </w:t>
      </w:r>
      <w:r w:rsidR="00D13038" w:rsidRPr="00756C88">
        <w:t>There</w:t>
      </w:r>
      <w:r w:rsidRPr="00756C88">
        <w:t xml:space="preserve"> may be political factors to </w:t>
      </w:r>
      <w:proofErr w:type="gramStart"/>
      <w:r w:rsidRPr="00756C88">
        <w:t>consider</w:t>
      </w:r>
      <w:proofErr w:type="gramEnd"/>
      <w:r w:rsidRPr="00756C88">
        <w:t xml:space="preserve"> and </w:t>
      </w:r>
      <w:r w:rsidR="00E53385">
        <w:t>m</w:t>
      </w:r>
      <w:r w:rsidRPr="00756C88">
        <w:t>inisters should be kept updated and informed of the timings of announcements.</w:t>
      </w:r>
    </w:p>
    <w:p w14:paraId="107FEDA0" w14:textId="539982CC" w:rsidR="005373DF" w:rsidRPr="00756C88" w:rsidRDefault="005373DF" w:rsidP="00BB099C">
      <w:pPr>
        <w:pStyle w:val="ListParagraph"/>
        <w:numPr>
          <w:ilvl w:val="0"/>
          <w:numId w:val="13"/>
        </w:numPr>
        <w:spacing w:after="120"/>
        <w:ind w:left="782" w:hanging="357"/>
        <w:contextualSpacing w:val="0"/>
        <w:jc w:val="both"/>
      </w:pPr>
      <w:r w:rsidRPr="00756C88">
        <w:rPr>
          <w:b/>
          <w:bCs/>
        </w:rPr>
        <w:t>Decommissioning</w:t>
      </w:r>
      <w:r w:rsidR="006106D7" w:rsidRPr="00756C88">
        <w:rPr>
          <w:b/>
          <w:bCs/>
        </w:rPr>
        <w:t>:</w:t>
      </w:r>
      <w:r w:rsidRPr="00756C88">
        <w:t xml:space="preserve"> Consider the direct and indirect consequences of decommissioning f</w:t>
      </w:r>
      <w:r w:rsidR="000F345E" w:rsidRPr="00756C88">
        <w:t>or</w:t>
      </w:r>
      <w:r w:rsidRPr="00756C88">
        <w:t xml:space="preserve"> service providers and users.</w:t>
      </w:r>
    </w:p>
    <w:p w14:paraId="16CBC568" w14:textId="5CB1C4A8" w:rsidR="005373DF" w:rsidRPr="00756C88" w:rsidRDefault="005373DF" w:rsidP="00BB099C">
      <w:pPr>
        <w:pStyle w:val="ListParagraph"/>
        <w:numPr>
          <w:ilvl w:val="0"/>
          <w:numId w:val="13"/>
        </w:numPr>
        <w:spacing w:after="120"/>
        <w:ind w:left="782" w:hanging="357"/>
        <w:contextualSpacing w:val="0"/>
        <w:jc w:val="both"/>
      </w:pPr>
      <w:r w:rsidRPr="00756C88">
        <w:rPr>
          <w:b/>
          <w:bCs/>
        </w:rPr>
        <w:t>Industrial implications</w:t>
      </w:r>
      <w:r w:rsidR="006106D7" w:rsidRPr="00756C88">
        <w:rPr>
          <w:b/>
          <w:bCs/>
        </w:rPr>
        <w:t>:</w:t>
      </w:r>
      <w:r w:rsidRPr="00756C88">
        <w:t xml:space="preserve"> The effects of industrial action need to be considered and managed sensitively.</w:t>
      </w:r>
    </w:p>
    <w:p w14:paraId="77F28F89" w14:textId="5B7A5C15" w:rsidR="005373DF" w:rsidRPr="00756C88" w:rsidRDefault="005373DF" w:rsidP="00BB099C">
      <w:pPr>
        <w:pStyle w:val="ListParagraph"/>
        <w:numPr>
          <w:ilvl w:val="0"/>
          <w:numId w:val="13"/>
        </w:numPr>
        <w:spacing w:after="120"/>
        <w:ind w:left="782" w:hanging="357"/>
        <w:contextualSpacing w:val="0"/>
        <w:jc w:val="both"/>
      </w:pPr>
      <w:r w:rsidRPr="00756C88">
        <w:rPr>
          <w:b/>
          <w:bCs/>
        </w:rPr>
        <w:t>Media management</w:t>
      </w:r>
      <w:r w:rsidR="006106D7" w:rsidRPr="00756C88">
        <w:rPr>
          <w:b/>
          <w:bCs/>
        </w:rPr>
        <w:t>:</w:t>
      </w:r>
      <w:r w:rsidRPr="00756C88">
        <w:t xml:space="preserve"> Assess the </w:t>
      </w:r>
      <w:r w:rsidR="00B855DB" w:rsidRPr="00756C88">
        <w:t>likelihood</w:t>
      </w:r>
      <w:r w:rsidRPr="00756C88">
        <w:t xml:space="preserve"> of interest from the media and plan accordingly.</w:t>
      </w:r>
    </w:p>
    <w:p w14:paraId="2E23BB13" w14:textId="6FA381D3" w:rsidR="005373DF" w:rsidRPr="00756C88" w:rsidRDefault="005373DF" w:rsidP="0026315D">
      <w:pPr>
        <w:pStyle w:val="Heading1"/>
        <w:spacing w:line="259" w:lineRule="auto"/>
        <w:jc w:val="both"/>
      </w:pPr>
      <w:bookmarkStart w:id="27" w:name="_Toc113981294"/>
      <w:bookmarkStart w:id="28" w:name="_Toc117861730"/>
      <w:r w:rsidRPr="00756C88">
        <w:lastRenderedPageBreak/>
        <w:t xml:space="preserve">5. </w:t>
      </w:r>
      <w:bookmarkEnd w:id="27"/>
      <w:r w:rsidRPr="00756C88">
        <w:t>Decommission services</w:t>
      </w:r>
      <w:bookmarkEnd w:id="28"/>
    </w:p>
    <w:p w14:paraId="2BCC8AD1" w14:textId="65DE87A5" w:rsidR="005373DF" w:rsidRPr="00756C88" w:rsidRDefault="005373DF" w:rsidP="0026315D">
      <w:pPr>
        <w:pStyle w:val="Heading2"/>
        <w:spacing w:line="259" w:lineRule="auto"/>
        <w:jc w:val="both"/>
      </w:pPr>
      <w:bookmarkStart w:id="29" w:name="_Toc113981295"/>
      <w:bookmarkStart w:id="30" w:name="_Toc117861731"/>
      <w:r w:rsidRPr="00756C88">
        <w:t xml:space="preserve">5.1 </w:t>
      </w:r>
      <w:bookmarkEnd w:id="29"/>
      <w:r w:rsidRPr="00756C88">
        <w:t xml:space="preserve">Confirm rationale for </w:t>
      </w:r>
      <w:proofErr w:type="gramStart"/>
      <w:r w:rsidRPr="00756C88">
        <w:t>decommissioning</w:t>
      </w:r>
      <w:bookmarkEnd w:id="30"/>
      <w:proofErr w:type="gramEnd"/>
    </w:p>
    <w:p w14:paraId="60F62F44" w14:textId="19F6E0E0" w:rsidR="005373DF" w:rsidRPr="00756C88" w:rsidRDefault="005373DF" w:rsidP="00BB099C">
      <w:pPr>
        <w:spacing w:after="120"/>
        <w:jc w:val="both"/>
      </w:pPr>
      <w:r w:rsidRPr="00756C88">
        <w:t>Decommissioning is the process of ceasing service delivery from a service provider</w:t>
      </w:r>
      <w:r w:rsidR="00756C88" w:rsidRPr="00756C88">
        <w:t xml:space="preserve"> and is part of our suite of options to modify and enhance the service provision landscape.</w:t>
      </w:r>
      <w:r w:rsidRPr="00756C88">
        <w:t xml:space="preserve"> It may </w:t>
      </w:r>
      <w:r w:rsidR="00795874">
        <w:t>include</w:t>
      </w:r>
      <w:r w:rsidR="00795874" w:rsidRPr="00756C88">
        <w:t xml:space="preserve"> </w:t>
      </w:r>
      <w:r w:rsidR="005F3640" w:rsidRPr="00756C88">
        <w:t>some</w:t>
      </w:r>
      <w:r w:rsidRPr="00756C88">
        <w:t xml:space="preserve"> or </w:t>
      </w:r>
      <w:r w:rsidR="00907BC7" w:rsidRPr="00756C88">
        <w:t>all</w:t>
      </w:r>
      <w:r w:rsidRPr="00756C88">
        <w:t xml:space="preserve"> the services provided by </w:t>
      </w:r>
      <w:r w:rsidR="00756C88" w:rsidRPr="00756C88">
        <w:t>a</w:t>
      </w:r>
      <w:r w:rsidRPr="00756C88">
        <w:t xml:space="preserve"> </w:t>
      </w:r>
      <w:r w:rsidR="001F5CD2" w:rsidRPr="00756C88">
        <w:t>service provider</w:t>
      </w:r>
      <w:r w:rsidRPr="00756C88">
        <w:t>. To decommission a service, we need to confirm the reasons why the service is no longer required or viable. Key reasons include:</w:t>
      </w:r>
    </w:p>
    <w:p w14:paraId="5F803E82" w14:textId="570912D7" w:rsidR="005373DF" w:rsidRPr="00756C88" w:rsidRDefault="00795874" w:rsidP="00BB099C">
      <w:pPr>
        <w:pStyle w:val="ListParagraph"/>
        <w:numPr>
          <w:ilvl w:val="0"/>
          <w:numId w:val="3"/>
        </w:numPr>
        <w:spacing w:after="120"/>
        <w:ind w:left="782" w:hanging="357"/>
        <w:contextualSpacing w:val="0"/>
        <w:jc w:val="both"/>
      </w:pPr>
      <w:r>
        <w:t>s</w:t>
      </w:r>
      <w:r w:rsidR="005373DF" w:rsidRPr="00756C88">
        <w:t xml:space="preserve">tate or commonwealth cease to fund a </w:t>
      </w:r>
      <w:proofErr w:type="gramStart"/>
      <w:r w:rsidR="005373DF" w:rsidRPr="00756C88">
        <w:t>service</w:t>
      </w:r>
      <w:proofErr w:type="gramEnd"/>
    </w:p>
    <w:p w14:paraId="55EAF643" w14:textId="5259F249" w:rsidR="005373DF" w:rsidRPr="00756C88" w:rsidRDefault="00795874" w:rsidP="00BB099C">
      <w:pPr>
        <w:pStyle w:val="ListParagraph"/>
        <w:numPr>
          <w:ilvl w:val="0"/>
          <w:numId w:val="3"/>
        </w:numPr>
        <w:spacing w:after="120"/>
        <w:ind w:left="782" w:hanging="357"/>
        <w:contextualSpacing w:val="0"/>
        <w:jc w:val="both"/>
      </w:pPr>
      <w:r>
        <w:t>s</w:t>
      </w:r>
      <w:r w:rsidR="005373DF" w:rsidRPr="00756C88">
        <w:t>hifting needs o</w:t>
      </w:r>
      <w:r w:rsidR="00194B68" w:rsidRPr="00756C88">
        <w:t>r</w:t>
      </w:r>
      <w:r w:rsidR="005373DF" w:rsidRPr="00756C88">
        <w:t xml:space="preserve"> priorities within a </w:t>
      </w:r>
      <w:r w:rsidR="0035616B" w:rsidRPr="00756C88">
        <w:t xml:space="preserve">Western </w:t>
      </w:r>
      <w:r w:rsidR="00194B68" w:rsidRPr="00756C88">
        <w:t>Australian</w:t>
      </w:r>
      <w:r w:rsidR="005373DF" w:rsidRPr="00756C88">
        <w:t xml:space="preserve"> </w:t>
      </w:r>
      <w:r w:rsidR="00D13038" w:rsidRPr="00756C88">
        <w:t>c</w:t>
      </w:r>
      <w:r w:rsidR="005373DF" w:rsidRPr="00756C88">
        <w:t>ommunity</w:t>
      </w:r>
    </w:p>
    <w:p w14:paraId="31F65DE7" w14:textId="27E86727" w:rsidR="005373DF" w:rsidRPr="00756C88" w:rsidRDefault="00795874" w:rsidP="00BB099C">
      <w:pPr>
        <w:pStyle w:val="ListParagraph"/>
        <w:numPr>
          <w:ilvl w:val="0"/>
          <w:numId w:val="3"/>
        </w:numPr>
        <w:spacing w:after="120"/>
        <w:ind w:left="782" w:hanging="357"/>
        <w:contextualSpacing w:val="0"/>
        <w:jc w:val="both"/>
      </w:pPr>
      <w:r>
        <w:t>s</w:t>
      </w:r>
      <w:r w:rsidR="005373DF" w:rsidRPr="00756C88">
        <w:t>ervice provider performance failure</w:t>
      </w:r>
    </w:p>
    <w:p w14:paraId="537D4088" w14:textId="2F1DBD94" w:rsidR="005373DF" w:rsidRPr="00756C88" w:rsidRDefault="00795874" w:rsidP="00BB099C">
      <w:pPr>
        <w:pStyle w:val="ListParagraph"/>
        <w:numPr>
          <w:ilvl w:val="0"/>
          <w:numId w:val="3"/>
        </w:numPr>
        <w:spacing w:after="120"/>
        <w:ind w:left="782" w:hanging="357"/>
        <w:contextualSpacing w:val="0"/>
        <w:jc w:val="both"/>
      </w:pPr>
      <w:r>
        <w:t>s</w:t>
      </w:r>
      <w:r w:rsidR="005373DF" w:rsidRPr="00756C88">
        <w:t>ervice provider withdraws from a contract</w:t>
      </w:r>
      <w:r w:rsidR="0035616B" w:rsidRPr="00756C88">
        <w:t>.</w:t>
      </w:r>
    </w:p>
    <w:p w14:paraId="0721848A" w14:textId="3996BDB9" w:rsidR="005373DF" w:rsidRPr="00756C88" w:rsidRDefault="005373DF" w:rsidP="0026315D">
      <w:pPr>
        <w:pStyle w:val="Heading2"/>
        <w:spacing w:line="259" w:lineRule="auto"/>
        <w:jc w:val="both"/>
      </w:pPr>
      <w:bookmarkStart w:id="31" w:name="_Toc113981296"/>
      <w:bookmarkStart w:id="32" w:name="_Toc117861732"/>
      <w:r w:rsidRPr="00756C88">
        <w:t xml:space="preserve">5.2 </w:t>
      </w:r>
      <w:bookmarkEnd w:id="31"/>
      <w:r w:rsidRPr="00756C88">
        <w:t xml:space="preserve">Develop decommissioning project </w:t>
      </w:r>
      <w:proofErr w:type="gramStart"/>
      <w:r w:rsidRPr="00756C88">
        <w:t>plan</w:t>
      </w:r>
      <w:bookmarkEnd w:id="32"/>
      <w:proofErr w:type="gramEnd"/>
    </w:p>
    <w:p w14:paraId="2BE66186" w14:textId="68E10041" w:rsidR="005373DF" w:rsidRPr="00756C88" w:rsidRDefault="0030326B" w:rsidP="00BB099C">
      <w:pPr>
        <w:spacing w:after="120"/>
        <w:jc w:val="both"/>
      </w:pPr>
      <w:r w:rsidRPr="00756C88">
        <w:t>When</w:t>
      </w:r>
      <w:r w:rsidR="005373DF" w:rsidRPr="00756C88">
        <w:t xml:space="preserve"> </w:t>
      </w:r>
      <w:r w:rsidR="00EA0155" w:rsidRPr="00756C88">
        <w:t>creating</w:t>
      </w:r>
      <w:r w:rsidR="005373DF" w:rsidRPr="00756C88">
        <w:t xml:space="preserve"> a </w:t>
      </w:r>
      <w:r w:rsidR="00756C88" w:rsidRPr="00756C88">
        <w:t xml:space="preserve">decommissioning project </w:t>
      </w:r>
      <w:r w:rsidR="005373DF" w:rsidRPr="00756C88">
        <w:t xml:space="preserve">plan, thorough analysis and evidence will have been collected to justify the decommissioning process. The project plan needs to outline our approach and the scope of the decommissioning process. </w:t>
      </w:r>
      <w:r w:rsidR="00756C88" w:rsidRPr="00756C88">
        <w:t>Key</w:t>
      </w:r>
      <w:r w:rsidR="005373DF" w:rsidRPr="00756C88">
        <w:t xml:space="preserve"> stakeholders need to be identified and briefed on the expectations of the </w:t>
      </w:r>
      <w:r w:rsidR="00F32276" w:rsidRPr="00756C88">
        <w:t xml:space="preserve">decommissioning </w:t>
      </w:r>
      <w:r w:rsidR="005373DF" w:rsidRPr="00756C88">
        <w:t>project and the required activities. Within the plan</w:t>
      </w:r>
      <w:r w:rsidR="00EE48BD" w:rsidRPr="00756C88">
        <w:t>,</w:t>
      </w:r>
      <w:r w:rsidR="005373DF" w:rsidRPr="00756C88">
        <w:t xml:space="preserve"> agreements should be made regarding deliverables, project governance structures and timeframes.</w:t>
      </w:r>
    </w:p>
    <w:p w14:paraId="40381EC8" w14:textId="30A52B7D" w:rsidR="005373DF" w:rsidRDefault="00467B47" w:rsidP="00BB099C">
      <w:pPr>
        <w:spacing w:after="120"/>
        <w:jc w:val="both"/>
      </w:pPr>
      <w:r w:rsidRPr="00756C88">
        <w:t>Decommissioning projects can carry</w:t>
      </w:r>
      <w:r w:rsidR="00C31127" w:rsidRPr="00756C88">
        <w:t xml:space="preserve"> significant risks</w:t>
      </w:r>
      <w:r w:rsidR="006E4D66">
        <w:t xml:space="preserve"> and </w:t>
      </w:r>
      <w:r w:rsidR="00C31127" w:rsidRPr="00756C88">
        <w:t xml:space="preserve">thorough risk identification and mitigation should be undertaken. </w:t>
      </w:r>
      <w:r w:rsidR="005373DF" w:rsidRPr="00756C88">
        <w:t>Each risk identified should have an individual, detailed description and steps that the organisation can take to mitigate those risks. The project plan should include a timeline and highlight key deliverables, meetings, and milestones.</w:t>
      </w:r>
    </w:p>
    <w:p w14:paraId="5E0CC20F" w14:textId="7C23D3AC" w:rsidR="00E53385" w:rsidRPr="00756C88" w:rsidRDefault="00E53385" w:rsidP="0026315D">
      <w:pPr>
        <w:pStyle w:val="Heading2"/>
        <w:spacing w:line="259" w:lineRule="auto"/>
        <w:jc w:val="both"/>
      </w:pPr>
      <w:r>
        <w:t>5</w:t>
      </w:r>
      <w:r w:rsidRPr="00756C88">
        <w:t xml:space="preserve">.3 Understanding the rationale and impact of </w:t>
      </w:r>
      <w:proofErr w:type="gramStart"/>
      <w:r w:rsidRPr="00756C88">
        <w:t>decommissioning</w:t>
      </w:r>
      <w:proofErr w:type="gramEnd"/>
    </w:p>
    <w:p w14:paraId="2A7D91F1" w14:textId="77777777" w:rsidR="00E53385" w:rsidRPr="00756C88" w:rsidRDefault="00E53385" w:rsidP="00BB099C">
      <w:pPr>
        <w:spacing w:after="120"/>
        <w:jc w:val="both"/>
      </w:pPr>
      <w:r w:rsidRPr="00756C88">
        <w:t xml:space="preserve">Before decommissioning, </w:t>
      </w:r>
      <w:r>
        <w:t>we should</w:t>
      </w:r>
      <w:r w:rsidRPr="00756C88">
        <w:t xml:space="preserve"> re-evaluate the justification for the decision</w:t>
      </w:r>
      <w:r>
        <w:t xml:space="preserve"> and consider factors such as adjusting the service provider costs or allocation of benefits. </w:t>
      </w:r>
      <w:r w:rsidRPr="00756C88">
        <w:t>We should have discussions with our service providers and system partners to fully understand the impact and risks of a decommissioning event and incorporate their views into our decommissioning planning</w:t>
      </w:r>
      <w:r>
        <w:t>, while being careful not to disclose market-sensitive information.</w:t>
      </w:r>
    </w:p>
    <w:p w14:paraId="2E5491E2" w14:textId="77777777" w:rsidR="00E53385" w:rsidRPr="00756C88" w:rsidRDefault="00E53385" w:rsidP="00BB099C">
      <w:pPr>
        <w:spacing w:after="120"/>
        <w:jc w:val="both"/>
      </w:pPr>
      <w:r w:rsidRPr="00756C88">
        <w:t>The types of risks and impacts that may emerge from discussions with service providers and partners include:</w:t>
      </w:r>
    </w:p>
    <w:p w14:paraId="7D6D61F1" w14:textId="77777777" w:rsidR="00E53385" w:rsidRPr="00756C88" w:rsidRDefault="00E53385" w:rsidP="00BB099C">
      <w:pPr>
        <w:pStyle w:val="ListParagraph"/>
        <w:numPr>
          <w:ilvl w:val="0"/>
          <w:numId w:val="24"/>
        </w:numPr>
        <w:spacing w:after="120"/>
        <w:ind w:left="782" w:hanging="357"/>
        <w:contextualSpacing w:val="0"/>
        <w:jc w:val="both"/>
      </w:pPr>
      <w:r w:rsidRPr="00756C88">
        <w:t>The destabilisation of other services due to financial and operational impacts on the service provider’s total business</w:t>
      </w:r>
      <w:r>
        <w:t>.</w:t>
      </w:r>
    </w:p>
    <w:p w14:paraId="68534865" w14:textId="77777777" w:rsidR="00E53385" w:rsidRPr="00756C88" w:rsidRDefault="00E53385" w:rsidP="00BB099C">
      <w:pPr>
        <w:pStyle w:val="ListParagraph"/>
        <w:numPr>
          <w:ilvl w:val="0"/>
          <w:numId w:val="24"/>
        </w:numPr>
        <w:spacing w:after="120"/>
        <w:ind w:left="782" w:hanging="357"/>
        <w:contextualSpacing w:val="0"/>
        <w:jc w:val="both"/>
      </w:pPr>
      <w:r w:rsidRPr="00756C88">
        <w:lastRenderedPageBreak/>
        <w:t>The impact on service users no longer able to access services from the service provider (this may include the service being decommissioned as well as other services provided by the service provider that have been impacted)</w:t>
      </w:r>
      <w:r>
        <w:t>.</w:t>
      </w:r>
    </w:p>
    <w:p w14:paraId="5E0D2F9E" w14:textId="1E3A6DF6" w:rsidR="00E53385" w:rsidRPr="00756C88" w:rsidRDefault="00E53385" w:rsidP="00BB099C">
      <w:pPr>
        <w:pStyle w:val="ListParagraph"/>
        <w:numPr>
          <w:ilvl w:val="0"/>
          <w:numId w:val="24"/>
        </w:numPr>
        <w:spacing w:after="120"/>
        <w:ind w:left="782" w:hanging="357"/>
        <w:contextualSpacing w:val="0"/>
        <w:jc w:val="both"/>
      </w:pPr>
      <w:r w:rsidRPr="00756C88">
        <w:t xml:space="preserve">Changes to staff numbers or roles, we may need to consider how staff can be transferred. Staff may become aware of plans to decommission a service, which may lead them to seek employment elsewhere, so it is essential to have strategies in place </w:t>
      </w:r>
      <w:r w:rsidR="00B57B18">
        <w:t>to retain</w:t>
      </w:r>
      <w:r w:rsidRPr="00756C88">
        <w:t xml:space="preserve"> staff</w:t>
      </w:r>
      <w:r w:rsidR="00B57B18">
        <w:t>.</w:t>
      </w:r>
    </w:p>
    <w:p w14:paraId="4B823A8B" w14:textId="3AE8B3F0" w:rsidR="00E53385" w:rsidRDefault="00E53385" w:rsidP="00BB099C">
      <w:pPr>
        <w:spacing w:after="120"/>
        <w:jc w:val="both"/>
      </w:pPr>
      <w:r w:rsidRPr="00756C88">
        <w:t>It is also critical to involve service users and experts in developing and managing a transition plan to ensure the safe management of service user needs.</w:t>
      </w:r>
    </w:p>
    <w:p w14:paraId="4401B4F9" w14:textId="6C1E5808" w:rsidR="005373DF" w:rsidRPr="00756C88" w:rsidRDefault="005373DF" w:rsidP="0026315D">
      <w:pPr>
        <w:pStyle w:val="Heading2"/>
        <w:spacing w:line="259" w:lineRule="auto"/>
        <w:jc w:val="both"/>
      </w:pPr>
      <w:bookmarkStart w:id="33" w:name="_Toc117861733"/>
      <w:r w:rsidRPr="00756C88">
        <w:t>5.</w:t>
      </w:r>
      <w:r w:rsidR="00E53385">
        <w:t>4</w:t>
      </w:r>
      <w:r w:rsidRPr="00756C88">
        <w:t xml:space="preserve"> Principles for decommissioning</w:t>
      </w:r>
      <w:bookmarkEnd w:id="33"/>
    </w:p>
    <w:p w14:paraId="108897E4" w14:textId="71BD492B" w:rsidR="005373DF" w:rsidRPr="00756C88" w:rsidRDefault="005373DF" w:rsidP="00BB099C">
      <w:pPr>
        <w:spacing w:after="120"/>
        <w:jc w:val="both"/>
      </w:pPr>
      <w:r w:rsidRPr="00756C88">
        <w:t>Successful decommissioning should be underpinned by the following principles</w:t>
      </w:r>
      <w:r w:rsidR="00BE33BC" w:rsidRPr="00756C88">
        <w:t>. Decommissioning should</w:t>
      </w:r>
      <w:r w:rsidRPr="00756C88">
        <w:t>:</w:t>
      </w:r>
    </w:p>
    <w:p w14:paraId="6337BABA" w14:textId="304716C6" w:rsidR="005373DF" w:rsidRPr="00756C88" w:rsidRDefault="00684918" w:rsidP="00BB099C">
      <w:pPr>
        <w:pStyle w:val="ListParagraph"/>
        <w:numPr>
          <w:ilvl w:val="0"/>
          <w:numId w:val="4"/>
        </w:numPr>
        <w:spacing w:after="120"/>
        <w:ind w:left="782" w:hanging="357"/>
        <w:contextualSpacing w:val="0"/>
        <w:jc w:val="both"/>
      </w:pPr>
      <w:r w:rsidRPr="00756C88">
        <w:t>B</w:t>
      </w:r>
      <w:r w:rsidR="00BE33BC" w:rsidRPr="00756C88">
        <w:t>e</w:t>
      </w:r>
      <w:r w:rsidR="005373DF" w:rsidRPr="00756C88">
        <w:t xml:space="preserve"> strategy led and have a vision for the whole system. The plan should explain how the decommissioning process will support the broader vision</w:t>
      </w:r>
      <w:r w:rsidR="00756C88" w:rsidRPr="00756C88">
        <w:t>.</w:t>
      </w:r>
    </w:p>
    <w:p w14:paraId="6C03548C" w14:textId="30FC2B65" w:rsidR="005373DF" w:rsidRPr="00756C88" w:rsidRDefault="007A5BBF" w:rsidP="00BB099C">
      <w:pPr>
        <w:pStyle w:val="ListParagraph"/>
        <w:numPr>
          <w:ilvl w:val="0"/>
          <w:numId w:val="4"/>
        </w:numPr>
        <w:spacing w:after="120"/>
        <w:ind w:left="782" w:hanging="357"/>
        <w:contextualSpacing w:val="0"/>
        <w:jc w:val="both"/>
      </w:pPr>
      <w:r w:rsidRPr="00756C88">
        <w:t>E</w:t>
      </w:r>
      <w:r w:rsidR="005373DF" w:rsidRPr="00756C88">
        <w:t xml:space="preserve">ngage and involve experts in the discussion </w:t>
      </w:r>
      <w:r w:rsidR="005B2D06">
        <w:t>as</w:t>
      </w:r>
      <w:r w:rsidR="005373DF" w:rsidRPr="00756C88">
        <w:t xml:space="preserve"> their support will be crucial</w:t>
      </w:r>
      <w:r w:rsidR="00756C88" w:rsidRPr="00756C88">
        <w:t>.</w:t>
      </w:r>
    </w:p>
    <w:p w14:paraId="56CF7D0A" w14:textId="52D51D8D" w:rsidR="005373DF" w:rsidRPr="00756C88" w:rsidRDefault="005373DF" w:rsidP="00BB099C">
      <w:pPr>
        <w:pStyle w:val="ListParagraph"/>
        <w:numPr>
          <w:ilvl w:val="0"/>
          <w:numId w:val="4"/>
        </w:numPr>
        <w:spacing w:after="120"/>
        <w:ind w:left="782" w:hanging="357"/>
        <w:contextualSpacing w:val="0"/>
        <w:jc w:val="both"/>
      </w:pPr>
      <w:r w:rsidRPr="00756C88">
        <w:t>Engage the local community and service users in planning and ensure that the service is designed with them in mind</w:t>
      </w:r>
      <w:r w:rsidR="00756C88" w:rsidRPr="00756C88">
        <w:t>.</w:t>
      </w:r>
    </w:p>
    <w:p w14:paraId="70FCBDF9" w14:textId="05B67C5B" w:rsidR="005373DF" w:rsidRPr="00756C88" w:rsidRDefault="005373DF" w:rsidP="00BB099C">
      <w:pPr>
        <w:pStyle w:val="ListParagraph"/>
        <w:numPr>
          <w:ilvl w:val="0"/>
          <w:numId w:val="4"/>
        </w:numPr>
        <w:spacing w:after="120"/>
        <w:ind w:left="782" w:hanging="357"/>
        <w:contextualSpacing w:val="0"/>
        <w:jc w:val="both"/>
      </w:pPr>
      <w:r w:rsidRPr="00756C88">
        <w:t xml:space="preserve">Involve service providers in proposals </w:t>
      </w:r>
      <w:r w:rsidR="00C33D10" w:rsidRPr="00756C88">
        <w:t>early</w:t>
      </w:r>
      <w:r w:rsidRPr="00756C88">
        <w:t xml:space="preserve"> and seek to understand the impact of decommissioning on the relevant service providers</w:t>
      </w:r>
      <w:r w:rsidR="00756C88" w:rsidRPr="00756C88">
        <w:t>.</w:t>
      </w:r>
    </w:p>
    <w:p w14:paraId="2B10F564" w14:textId="4B2FFDEF" w:rsidR="005373DF" w:rsidRPr="00756C88" w:rsidRDefault="005373DF" w:rsidP="00BB099C">
      <w:pPr>
        <w:pStyle w:val="ListParagraph"/>
        <w:numPr>
          <w:ilvl w:val="0"/>
          <w:numId w:val="4"/>
        </w:numPr>
        <w:spacing w:after="120"/>
        <w:ind w:left="782" w:hanging="357"/>
        <w:contextualSpacing w:val="0"/>
        <w:jc w:val="both"/>
      </w:pPr>
      <w:r w:rsidRPr="00756C88">
        <w:t xml:space="preserve">Be </w:t>
      </w:r>
      <w:r w:rsidR="00BC104F" w:rsidRPr="00756C88">
        <w:t>evidence-based</w:t>
      </w:r>
      <w:r w:rsidR="0083057B" w:rsidRPr="00756C88">
        <w:t xml:space="preserve"> so that</w:t>
      </w:r>
      <w:r w:rsidR="00BC104F" w:rsidRPr="00756C88">
        <w:t xml:space="preserve"> </w:t>
      </w:r>
      <w:r w:rsidRPr="00756C88">
        <w:t xml:space="preserve">we can </w:t>
      </w:r>
      <w:r w:rsidR="00AE729F" w:rsidRPr="00756C88">
        <w:t>justify</w:t>
      </w:r>
      <w:r w:rsidRPr="00756C88">
        <w:t xml:space="preserve"> the reasoning behind our decision</w:t>
      </w:r>
      <w:r w:rsidR="00756C88" w:rsidRPr="00756C88">
        <w:t>.</w:t>
      </w:r>
    </w:p>
    <w:p w14:paraId="44A2C196" w14:textId="73DCFAB8" w:rsidR="005373DF" w:rsidRPr="00756C88" w:rsidRDefault="005373DF" w:rsidP="00BB099C">
      <w:pPr>
        <w:pStyle w:val="ListParagraph"/>
        <w:numPr>
          <w:ilvl w:val="0"/>
          <w:numId w:val="4"/>
        </w:numPr>
        <w:spacing w:after="120"/>
        <w:ind w:left="782" w:hanging="357"/>
        <w:contextualSpacing w:val="0"/>
        <w:jc w:val="both"/>
      </w:pPr>
      <w:r w:rsidRPr="00756C88">
        <w:t xml:space="preserve">Be equitable and ensure that no sector is given </w:t>
      </w:r>
      <w:r w:rsidR="00DC23C1" w:rsidRPr="00756C88">
        <w:t xml:space="preserve">an </w:t>
      </w:r>
      <w:r w:rsidRPr="00756C88">
        <w:t>unfair advantage during the process</w:t>
      </w:r>
      <w:r w:rsidR="00756C88" w:rsidRPr="00756C88">
        <w:t>.</w:t>
      </w:r>
    </w:p>
    <w:p w14:paraId="32E9838A" w14:textId="3B489CF4" w:rsidR="005373DF" w:rsidRPr="00756C88" w:rsidRDefault="005373DF" w:rsidP="00BB099C">
      <w:pPr>
        <w:pStyle w:val="ListParagraph"/>
        <w:numPr>
          <w:ilvl w:val="0"/>
          <w:numId w:val="4"/>
        </w:numPr>
        <w:spacing w:after="120"/>
        <w:ind w:left="782" w:hanging="357"/>
        <w:contextualSpacing w:val="0"/>
        <w:jc w:val="both"/>
      </w:pPr>
      <w:r w:rsidRPr="00756C88">
        <w:t xml:space="preserve">Have a clear audit trail </w:t>
      </w:r>
      <w:r w:rsidR="00FF6867" w:rsidRPr="00756C88">
        <w:t>of</w:t>
      </w:r>
      <w:r w:rsidRPr="00756C88">
        <w:t xml:space="preserve"> all </w:t>
      </w:r>
      <w:r w:rsidR="000B65DC" w:rsidRPr="00756C88">
        <w:t>critical</w:t>
      </w:r>
      <w:r w:rsidRPr="00756C88">
        <w:t xml:space="preserve"> decisions</w:t>
      </w:r>
      <w:r w:rsidR="00756C88" w:rsidRPr="00756C88">
        <w:t>.</w:t>
      </w:r>
    </w:p>
    <w:p w14:paraId="43681C20" w14:textId="5DAE078A" w:rsidR="005373DF" w:rsidRPr="00756C88" w:rsidRDefault="005373DF" w:rsidP="00BB099C">
      <w:pPr>
        <w:pStyle w:val="ListParagraph"/>
        <w:numPr>
          <w:ilvl w:val="0"/>
          <w:numId w:val="4"/>
        </w:numPr>
        <w:spacing w:after="120"/>
        <w:ind w:left="782" w:hanging="357"/>
        <w:contextualSpacing w:val="0"/>
        <w:jc w:val="both"/>
      </w:pPr>
      <w:r w:rsidRPr="00756C88">
        <w:t>Carry out an impact assessment to identify the anticipated or actua</w:t>
      </w:r>
      <w:r w:rsidR="007A5BBF" w:rsidRPr="00756C88">
        <w:t>l</w:t>
      </w:r>
      <w:r w:rsidRPr="00756C88">
        <w:t xml:space="preserve"> impact of the change to services</w:t>
      </w:r>
      <w:r w:rsidR="00756C88" w:rsidRPr="00756C88">
        <w:t>.</w:t>
      </w:r>
    </w:p>
    <w:p w14:paraId="3BC5FB88" w14:textId="35CAC301" w:rsidR="005373DF" w:rsidRPr="00756C88" w:rsidRDefault="005373DF" w:rsidP="00BB099C">
      <w:pPr>
        <w:pStyle w:val="ListParagraph"/>
        <w:numPr>
          <w:ilvl w:val="0"/>
          <w:numId w:val="4"/>
        </w:numPr>
        <w:spacing w:after="120"/>
        <w:ind w:left="782" w:hanging="357"/>
        <w:contextualSpacing w:val="0"/>
        <w:jc w:val="both"/>
      </w:pPr>
      <w:r w:rsidRPr="00756C88">
        <w:t>Follow a reasonable time</w:t>
      </w:r>
      <w:r w:rsidR="00FF6867" w:rsidRPr="00756C88">
        <w:t>frame</w:t>
      </w:r>
      <w:r w:rsidR="007A5BBF" w:rsidRPr="00756C88">
        <w:t>.</w:t>
      </w:r>
    </w:p>
    <w:p w14:paraId="5F459E1A" w14:textId="77777777" w:rsidR="00E53385" w:rsidRDefault="00E53385" w:rsidP="0026315D">
      <w:pPr>
        <w:jc w:val="both"/>
        <w:rPr>
          <w:b/>
          <w:bCs/>
          <w:sz w:val="36"/>
          <w:szCs w:val="36"/>
        </w:rPr>
      </w:pPr>
      <w:bookmarkStart w:id="34" w:name="_Toc117861734"/>
      <w:r>
        <w:br w:type="page"/>
      </w:r>
    </w:p>
    <w:p w14:paraId="448BCEF6" w14:textId="12BC5CED" w:rsidR="005373DF" w:rsidRPr="00756C88" w:rsidRDefault="005373DF" w:rsidP="0026315D">
      <w:pPr>
        <w:pStyle w:val="Heading1"/>
        <w:spacing w:line="259" w:lineRule="auto"/>
        <w:jc w:val="both"/>
      </w:pPr>
      <w:r w:rsidRPr="00756C88">
        <w:lastRenderedPageBreak/>
        <w:t xml:space="preserve">6. Considerations for </w:t>
      </w:r>
      <w:r w:rsidR="00684918" w:rsidRPr="00756C88">
        <w:t>c</w:t>
      </w:r>
      <w:r w:rsidRPr="00756C88">
        <w:t>o-</w:t>
      </w:r>
      <w:r w:rsidR="00684918" w:rsidRPr="00756C88">
        <w:t>d</w:t>
      </w:r>
      <w:r w:rsidRPr="00756C88">
        <w:t xml:space="preserve">esign and </w:t>
      </w:r>
      <w:r w:rsidR="00684918" w:rsidRPr="00756C88">
        <w:t>c</w:t>
      </w:r>
      <w:r w:rsidRPr="00756C88">
        <w:t xml:space="preserve">ultural </w:t>
      </w:r>
      <w:r w:rsidR="00684918" w:rsidRPr="00756C88">
        <w:t>s</w:t>
      </w:r>
      <w:r w:rsidRPr="00756C88">
        <w:t>afety</w:t>
      </w:r>
      <w:bookmarkEnd w:id="34"/>
    </w:p>
    <w:p w14:paraId="428F8F14" w14:textId="2EBD6BF1" w:rsidR="005373DF" w:rsidRPr="00756C88" w:rsidRDefault="005373DF" w:rsidP="0026315D">
      <w:pPr>
        <w:pStyle w:val="Heading2"/>
        <w:spacing w:line="259" w:lineRule="auto"/>
        <w:jc w:val="both"/>
      </w:pPr>
      <w:bookmarkStart w:id="35" w:name="_Toc117861735"/>
      <w:r w:rsidRPr="00756C88">
        <w:t xml:space="preserve">6.1 Co-design to understand partnering </w:t>
      </w:r>
      <w:proofErr w:type="gramStart"/>
      <w:r w:rsidRPr="00756C88">
        <w:t>approaches</w:t>
      </w:r>
      <w:bookmarkEnd w:id="35"/>
      <w:proofErr w:type="gramEnd"/>
    </w:p>
    <w:p w14:paraId="1870D8B2" w14:textId="2A6C27BF" w:rsidR="005373DF" w:rsidRPr="00756C88" w:rsidRDefault="005373DF" w:rsidP="00BB099C">
      <w:pPr>
        <w:spacing w:after="120"/>
        <w:jc w:val="both"/>
      </w:pPr>
      <w:r w:rsidRPr="00756C88">
        <w:t xml:space="preserve">Co-design is the process of involving and creating services or products with the </w:t>
      </w:r>
      <w:r w:rsidR="001F5CD2" w:rsidRPr="00756C88">
        <w:t>individuals and communities</w:t>
      </w:r>
      <w:r w:rsidRPr="00756C88">
        <w:t xml:space="preserve"> that will use or deliver them. By collaborating with system partners, it will enable us to:</w:t>
      </w:r>
    </w:p>
    <w:p w14:paraId="3C35E3C1" w14:textId="3AD0A691" w:rsidR="005373DF" w:rsidRPr="00505AB8" w:rsidRDefault="00756C88" w:rsidP="00BB099C">
      <w:pPr>
        <w:pStyle w:val="ListParagraph"/>
        <w:numPr>
          <w:ilvl w:val="0"/>
          <w:numId w:val="14"/>
        </w:numPr>
        <w:spacing w:after="120"/>
        <w:ind w:left="782" w:hanging="357"/>
        <w:contextualSpacing w:val="0"/>
        <w:jc w:val="both"/>
        <w:rPr>
          <w:rStyle w:val="eop"/>
          <w:rFonts w:cs="Arial"/>
          <w:sz w:val="19"/>
          <w:szCs w:val="19"/>
        </w:rPr>
      </w:pPr>
      <w:r>
        <w:rPr>
          <w:rStyle w:val="normaltextrun"/>
          <w:rFonts w:cs="Arial"/>
          <w:color w:val="000000"/>
        </w:rPr>
        <w:t>U</w:t>
      </w:r>
      <w:r w:rsidR="005373DF" w:rsidRPr="00505AB8">
        <w:rPr>
          <w:rStyle w:val="normaltextrun"/>
          <w:rFonts w:cs="Arial"/>
          <w:color w:val="000000"/>
        </w:rPr>
        <w:t>nderstand the</w:t>
      </w:r>
      <w:r w:rsidR="00C42B95">
        <w:rPr>
          <w:rStyle w:val="normaltextrun"/>
          <w:rFonts w:cs="Arial"/>
          <w:color w:val="000000"/>
        </w:rPr>
        <w:t xml:space="preserve"> </w:t>
      </w:r>
      <w:r w:rsidR="005373DF" w:rsidRPr="00505AB8">
        <w:rPr>
          <w:rStyle w:val="normaltextrun"/>
          <w:rFonts w:cs="Arial"/>
          <w:color w:val="000000"/>
        </w:rPr>
        <w:t>responsibilities and cultures of other sectors and partner agencies</w:t>
      </w:r>
      <w:r>
        <w:rPr>
          <w:rStyle w:val="normaltextrun"/>
          <w:rFonts w:cs="Arial"/>
          <w:color w:val="000000"/>
        </w:rPr>
        <w:t>.</w:t>
      </w:r>
    </w:p>
    <w:p w14:paraId="7A6F3AB4" w14:textId="278D9BB8" w:rsidR="005373DF" w:rsidRPr="00505AB8" w:rsidRDefault="00756C88" w:rsidP="00BB099C">
      <w:pPr>
        <w:pStyle w:val="ListParagraph"/>
        <w:numPr>
          <w:ilvl w:val="0"/>
          <w:numId w:val="14"/>
        </w:numPr>
        <w:spacing w:after="120"/>
        <w:ind w:left="782" w:hanging="357"/>
        <w:contextualSpacing w:val="0"/>
        <w:jc w:val="both"/>
        <w:rPr>
          <w:rStyle w:val="eop"/>
          <w:rFonts w:cs="Arial"/>
          <w:sz w:val="19"/>
          <w:szCs w:val="19"/>
        </w:rPr>
      </w:pPr>
      <w:r>
        <w:rPr>
          <w:rStyle w:val="normaltextrun"/>
          <w:rFonts w:cs="Arial"/>
          <w:color w:val="000000"/>
        </w:rPr>
        <w:t>B</w:t>
      </w:r>
      <w:r w:rsidR="005373DF" w:rsidRPr="00505AB8">
        <w:rPr>
          <w:rStyle w:val="normaltextrun"/>
          <w:rFonts w:cs="Arial"/>
          <w:color w:val="000000"/>
        </w:rPr>
        <w:t>uild</w:t>
      </w:r>
      <w:r w:rsidR="00B02045">
        <w:rPr>
          <w:rStyle w:val="normaltextrun"/>
          <w:rFonts w:cs="Arial"/>
          <w:color w:val="000000"/>
        </w:rPr>
        <w:t xml:space="preserve"> </w:t>
      </w:r>
      <w:r w:rsidR="005373DF" w:rsidRPr="00505AB8">
        <w:rPr>
          <w:rStyle w:val="normaltextrun"/>
          <w:rFonts w:cs="Arial"/>
          <w:color w:val="000000"/>
        </w:rPr>
        <w:t>credibility</w:t>
      </w:r>
      <w:r w:rsidR="00B02045">
        <w:rPr>
          <w:rStyle w:val="normaltextrun"/>
          <w:rFonts w:cs="Arial"/>
          <w:color w:val="000000"/>
        </w:rPr>
        <w:t xml:space="preserve"> </w:t>
      </w:r>
      <w:r w:rsidR="005373DF" w:rsidRPr="00505AB8">
        <w:rPr>
          <w:rStyle w:val="normaltextrun"/>
          <w:rFonts w:cs="Arial"/>
          <w:color w:val="000000"/>
        </w:rPr>
        <w:t xml:space="preserve">with system partners, including </w:t>
      </w:r>
      <w:r w:rsidR="00EF7379" w:rsidRPr="00505AB8">
        <w:rPr>
          <w:rStyle w:val="normaltextrun"/>
          <w:rFonts w:cs="Arial"/>
          <w:color w:val="000000"/>
        </w:rPr>
        <w:t>Aboriginal Community Controlled Organisation</w:t>
      </w:r>
      <w:r w:rsidR="005373DF" w:rsidRPr="00505AB8">
        <w:rPr>
          <w:rStyle w:val="normaltextrun"/>
          <w:rFonts w:cs="Arial"/>
          <w:color w:val="000000"/>
        </w:rPr>
        <w:t xml:space="preserve">s, </w:t>
      </w:r>
      <w:r>
        <w:rPr>
          <w:rStyle w:val="normaltextrun"/>
          <w:rFonts w:cs="Arial"/>
          <w:color w:val="000000"/>
        </w:rPr>
        <w:t>n</w:t>
      </w:r>
      <w:r w:rsidRPr="00756C88">
        <w:rPr>
          <w:rStyle w:val="normaltextrun"/>
          <w:rFonts w:cs="Arial"/>
          <w:color w:val="000000"/>
        </w:rPr>
        <w:t>on-</w:t>
      </w:r>
      <w:r>
        <w:rPr>
          <w:rStyle w:val="normaltextrun"/>
          <w:rFonts w:cs="Arial"/>
          <w:color w:val="000000"/>
        </w:rPr>
        <w:t>g</w:t>
      </w:r>
      <w:r w:rsidRPr="00756C88">
        <w:rPr>
          <w:rStyle w:val="normaltextrun"/>
          <w:rFonts w:cs="Arial"/>
          <w:color w:val="000000"/>
        </w:rPr>
        <w:t>overnment</w:t>
      </w:r>
      <w:r w:rsidR="00EF7379" w:rsidRPr="00505AB8">
        <w:rPr>
          <w:rStyle w:val="normaltextrun"/>
          <w:rFonts w:cs="Arial"/>
          <w:color w:val="000000"/>
        </w:rPr>
        <w:t xml:space="preserve"> </w:t>
      </w:r>
      <w:r>
        <w:rPr>
          <w:rStyle w:val="normaltextrun"/>
          <w:rFonts w:cs="Arial"/>
          <w:color w:val="000000"/>
        </w:rPr>
        <w:t>o</w:t>
      </w:r>
      <w:r w:rsidR="00EF7379" w:rsidRPr="00505AB8">
        <w:rPr>
          <w:rStyle w:val="normaltextrun"/>
          <w:rFonts w:cs="Arial"/>
          <w:color w:val="000000"/>
        </w:rPr>
        <w:t>rganisation</w:t>
      </w:r>
      <w:r w:rsidR="005373DF" w:rsidRPr="00505AB8">
        <w:rPr>
          <w:rStyle w:val="normaltextrun"/>
          <w:rFonts w:cs="Arial"/>
          <w:color w:val="000000"/>
        </w:rPr>
        <w:t>s, universities, local government, state government and social services</w:t>
      </w:r>
      <w:r>
        <w:rPr>
          <w:rStyle w:val="normaltextrun"/>
          <w:rFonts w:cs="Arial"/>
          <w:color w:val="000000"/>
        </w:rPr>
        <w:t>.</w:t>
      </w:r>
    </w:p>
    <w:p w14:paraId="182BF232" w14:textId="5A86D20A" w:rsidR="005373DF" w:rsidRPr="00505AB8" w:rsidRDefault="00756C88" w:rsidP="00BB099C">
      <w:pPr>
        <w:pStyle w:val="ListParagraph"/>
        <w:numPr>
          <w:ilvl w:val="0"/>
          <w:numId w:val="14"/>
        </w:numPr>
        <w:spacing w:after="120"/>
        <w:ind w:left="782" w:hanging="357"/>
        <w:contextualSpacing w:val="0"/>
        <w:jc w:val="both"/>
        <w:rPr>
          <w:rStyle w:val="eop"/>
          <w:rFonts w:cs="Arial"/>
          <w:sz w:val="19"/>
          <w:szCs w:val="19"/>
        </w:rPr>
      </w:pPr>
      <w:r>
        <w:rPr>
          <w:rStyle w:val="normaltextrun"/>
          <w:rFonts w:cs="Arial"/>
          <w:color w:val="000000"/>
        </w:rPr>
        <w:t>F</w:t>
      </w:r>
      <w:r w:rsidR="005373DF" w:rsidRPr="00505AB8">
        <w:rPr>
          <w:rStyle w:val="normaltextrun"/>
          <w:rFonts w:cs="Arial"/>
          <w:color w:val="000000"/>
        </w:rPr>
        <w:t>acilitate partnerships and integration of services</w:t>
      </w:r>
      <w:r>
        <w:rPr>
          <w:rStyle w:val="normaltextrun"/>
          <w:rFonts w:cs="Arial"/>
          <w:color w:val="000000"/>
        </w:rPr>
        <w:t>.</w:t>
      </w:r>
    </w:p>
    <w:p w14:paraId="68F723BB" w14:textId="3033E246" w:rsidR="005373DF" w:rsidRPr="00505AB8" w:rsidRDefault="00756C88" w:rsidP="00BB099C">
      <w:pPr>
        <w:pStyle w:val="ListParagraph"/>
        <w:numPr>
          <w:ilvl w:val="0"/>
          <w:numId w:val="14"/>
        </w:numPr>
        <w:spacing w:after="120"/>
        <w:ind w:left="782" w:hanging="357"/>
        <w:contextualSpacing w:val="0"/>
        <w:jc w:val="both"/>
        <w:rPr>
          <w:rStyle w:val="eop"/>
          <w:rFonts w:cs="Arial"/>
          <w:sz w:val="19"/>
          <w:szCs w:val="19"/>
        </w:rPr>
      </w:pPr>
      <w:r>
        <w:rPr>
          <w:rStyle w:val="normaltextrun"/>
          <w:rFonts w:cs="Arial"/>
          <w:color w:val="000000"/>
        </w:rPr>
        <w:t>E</w:t>
      </w:r>
      <w:r w:rsidR="005373DF" w:rsidRPr="00505AB8">
        <w:rPr>
          <w:rStyle w:val="normaltextrun"/>
          <w:rFonts w:cs="Arial"/>
          <w:color w:val="000000"/>
        </w:rPr>
        <w:t>ngage system partners to increase the use of co-commissioning</w:t>
      </w:r>
      <w:r>
        <w:rPr>
          <w:rStyle w:val="normaltextrun"/>
          <w:rFonts w:cs="Arial"/>
          <w:color w:val="000000"/>
        </w:rPr>
        <w:t>.</w:t>
      </w:r>
    </w:p>
    <w:p w14:paraId="6C22A648" w14:textId="3365A952" w:rsidR="005373DF" w:rsidRPr="00505AB8" w:rsidRDefault="00756C88" w:rsidP="00BB099C">
      <w:pPr>
        <w:pStyle w:val="ListParagraph"/>
        <w:numPr>
          <w:ilvl w:val="0"/>
          <w:numId w:val="14"/>
        </w:numPr>
        <w:spacing w:after="120"/>
        <w:ind w:left="782" w:hanging="357"/>
        <w:contextualSpacing w:val="0"/>
        <w:jc w:val="both"/>
        <w:rPr>
          <w:rStyle w:val="eop"/>
          <w:rFonts w:cs="Arial"/>
          <w:sz w:val="19"/>
          <w:szCs w:val="19"/>
        </w:rPr>
      </w:pPr>
      <w:r>
        <w:rPr>
          <w:rStyle w:val="normaltextrun"/>
          <w:rFonts w:cs="Arial"/>
          <w:color w:val="000000"/>
        </w:rPr>
        <w:t>T</w:t>
      </w:r>
      <w:r w:rsidR="005373DF" w:rsidRPr="00505AB8">
        <w:rPr>
          <w:rStyle w:val="normaltextrun"/>
          <w:rFonts w:cs="Arial"/>
          <w:color w:val="000000"/>
        </w:rPr>
        <w:t>ake responsibility for contentious decisions instead of avoiding them</w:t>
      </w:r>
      <w:r>
        <w:rPr>
          <w:rStyle w:val="normaltextrun"/>
          <w:rFonts w:cs="Arial"/>
          <w:color w:val="000000"/>
        </w:rPr>
        <w:t>.</w:t>
      </w:r>
    </w:p>
    <w:p w14:paraId="085200D6" w14:textId="5E1D8C39" w:rsidR="005373DF" w:rsidRPr="00505AB8" w:rsidRDefault="00756C88" w:rsidP="00BB099C">
      <w:pPr>
        <w:pStyle w:val="ListParagraph"/>
        <w:numPr>
          <w:ilvl w:val="0"/>
          <w:numId w:val="14"/>
        </w:numPr>
        <w:spacing w:after="120"/>
        <w:ind w:left="782" w:hanging="357"/>
        <w:contextualSpacing w:val="0"/>
        <w:jc w:val="both"/>
        <w:rPr>
          <w:rFonts w:cs="Arial"/>
          <w:sz w:val="19"/>
          <w:szCs w:val="19"/>
        </w:rPr>
      </w:pPr>
      <w:r>
        <w:rPr>
          <w:rStyle w:val="normaltextrun"/>
          <w:rFonts w:cs="Arial"/>
          <w:color w:val="000000"/>
        </w:rPr>
        <w:t>C</w:t>
      </w:r>
      <w:r w:rsidR="005373DF" w:rsidRPr="00505AB8">
        <w:rPr>
          <w:rStyle w:val="normaltextrun"/>
          <w:rFonts w:cs="Arial"/>
          <w:color w:val="000000"/>
        </w:rPr>
        <w:t>o-design the whole system rather than just the part of the system that we fund</w:t>
      </w:r>
      <w:r w:rsidR="007A5BBF" w:rsidRPr="00505AB8">
        <w:rPr>
          <w:rStyle w:val="eop"/>
          <w:rFonts w:ascii="Arial" w:hAnsi="Arial" w:cs="Arial"/>
        </w:rPr>
        <w:t>.</w:t>
      </w:r>
    </w:p>
    <w:p w14:paraId="308E9750" w14:textId="2E9953F4" w:rsidR="005373DF" w:rsidRPr="00756C88" w:rsidRDefault="005373DF" w:rsidP="0026315D">
      <w:pPr>
        <w:pStyle w:val="Heading2"/>
        <w:spacing w:line="259" w:lineRule="auto"/>
        <w:jc w:val="both"/>
      </w:pPr>
      <w:bookmarkStart w:id="36" w:name="_Toc117861736"/>
      <w:r w:rsidRPr="00756C88">
        <w:t>6.2 Market-shaping to a</w:t>
      </w:r>
      <w:r w:rsidR="00E04E00" w:rsidRPr="00756C88">
        <w:t>ssist</w:t>
      </w:r>
      <w:r w:rsidRPr="00756C88">
        <w:t xml:space="preserve"> disadvantaged </w:t>
      </w:r>
      <w:r w:rsidR="001F5CD2" w:rsidRPr="00756C88">
        <w:t xml:space="preserve">service </w:t>
      </w:r>
      <w:proofErr w:type="gramStart"/>
      <w:r w:rsidR="001F5CD2" w:rsidRPr="00756C88">
        <w:t>provider</w:t>
      </w:r>
      <w:r w:rsidRPr="00756C88">
        <w:t>s</w:t>
      </w:r>
      <w:bookmarkEnd w:id="36"/>
      <w:proofErr w:type="gramEnd"/>
    </w:p>
    <w:p w14:paraId="16737132" w14:textId="2DDA73FF" w:rsidR="003F760E" w:rsidRPr="00756C88" w:rsidRDefault="005373DF" w:rsidP="00BB099C">
      <w:pPr>
        <w:spacing w:after="120"/>
        <w:jc w:val="both"/>
      </w:pPr>
      <w:r w:rsidRPr="00756C88">
        <w:t>As commissioners, we have our own insights into the market and the services we want to commission. However, the market may not be ready to respond to our needs</w:t>
      </w:r>
      <w:r w:rsidR="00756C88">
        <w:t>. T</w:t>
      </w:r>
      <w:r w:rsidRPr="00756C88">
        <w:t>herefore</w:t>
      </w:r>
      <w:r w:rsidR="00756C88">
        <w:t>,</w:t>
      </w:r>
      <w:r w:rsidRPr="00756C88">
        <w:t xml:space="preserve"> we need to </w:t>
      </w:r>
      <w:r w:rsidR="002E2F45" w:rsidRPr="00756C88">
        <w:t>use</w:t>
      </w:r>
      <w:r w:rsidRPr="00756C88">
        <w:t xml:space="preserve"> </w:t>
      </w:r>
      <w:r w:rsidR="00EA4C81" w:rsidRPr="00756C88">
        <w:t>market-shaping</w:t>
      </w:r>
      <w:r w:rsidRPr="00756C88">
        <w:t xml:space="preserve"> skills</w:t>
      </w:r>
      <w:r w:rsidR="00756C88">
        <w:t xml:space="preserve"> to</w:t>
      </w:r>
      <w:r w:rsidRPr="00756C88">
        <w:t xml:space="preserve"> </w:t>
      </w:r>
      <w:r w:rsidR="00756C88">
        <w:t>promote</w:t>
      </w:r>
      <w:r w:rsidR="00756C88" w:rsidRPr="00756C88">
        <w:t xml:space="preserve"> fairness within the market</w:t>
      </w:r>
      <w:r w:rsidRPr="00756C88">
        <w:t xml:space="preserve">. This may involve a series of activities to help disadvantaged </w:t>
      </w:r>
      <w:r w:rsidR="001F5CD2" w:rsidRPr="00756C88">
        <w:t>service provider</w:t>
      </w:r>
      <w:r w:rsidRPr="00756C88">
        <w:t>s.</w:t>
      </w:r>
    </w:p>
    <w:p w14:paraId="694F9F9E" w14:textId="105F20E7" w:rsidR="005373DF" w:rsidRPr="00756C88" w:rsidRDefault="005F162F" w:rsidP="00BB099C">
      <w:pPr>
        <w:spacing w:after="120"/>
        <w:jc w:val="both"/>
      </w:pPr>
      <w:r w:rsidRPr="00756C88">
        <w:t>P</w:t>
      </w:r>
      <w:r w:rsidR="005373DF" w:rsidRPr="00756C88">
        <w:t xml:space="preserve">artnerships, alliances, or mergers </w:t>
      </w:r>
      <w:r w:rsidRPr="00756C88">
        <w:t xml:space="preserve">may </w:t>
      </w:r>
      <w:r w:rsidR="005373DF" w:rsidRPr="00756C88">
        <w:t>increase the ability</w:t>
      </w:r>
      <w:r w:rsidR="00756C88">
        <w:t xml:space="preserve"> of individual service providers</w:t>
      </w:r>
      <w:r w:rsidR="005373DF" w:rsidRPr="00756C88">
        <w:t xml:space="preserve"> to respond to our needs. </w:t>
      </w:r>
      <w:r w:rsidR="00702AEE">
        <w:t>We may consider disaggregating tenders o</w:t>
      </w:r>
      <w:r w:rsidR="005B2D06">
        <w:t>r</w:t>
      </w:r>
      <w:r w:rsidR="00702AEE">
        <w:t xml:space="preserve"> contracts to assist smaller service providers. We can also consider removing restrictions or provide training if disadvantaged service providers face barriers to responding to our requirements.</w:t>
      </w:r>
    </w:p>
    <w:p w14:paraId="1AC4745E" w14:textId="14FBA654" w:rsidR="00476A19" w:rsidRPr="00756C88" w:rsidRDefault="00476A19" w:rsidP="00BB099C">
      <w:pPr>
        <w:spacing w:after="120"/>
        <w:ind w:left="142"/>
        <w:jc w:val="both"/>
      </w:pPr>
      <w:bookmarkStart w:id="37" w:name="_Toc117861738"/>
      <w:r w:rsidRPr="00756C88">
        <w:br w:type="page"/>
      </w:r>
    </w:p>
    <w:p w14:paraId="7860BBA2" w14:textId="0A46CAF9" w:rsidR="005373DF" w:rsidRPr="00756C88" w:rsidRDefault="005373DF" w:rsidP="0026315D">
      <w:pPr>
        <w:pStyle w:val="Heading1"/>
        <w:spacing w:line="259" w:lineRule="auto"/>
        <w:jc w:val="both"/>
      </w:pPr>
      <w:r w:rsidRPr="00756C88">
        <w:lastRenderedPageBreak/>
        <w:t xml:space="preserve">7. Communicating </w:t>
      </w:r>
      <w:r w:rsidR="00050C81" w:rsidRPr="00756C88">
        <w:t>i</w:t>
      </w:r>
      <w:r w:rsidRPr="00756C88">
        <w:t>ntentions</w:t>
      </w:r>
      <w:bookmarkEnd w:id="37"/>
    </w:p>
    <w:p w14:paraId="320B3741" w14:textId="34410E64" w:rsidR="005373DF" w:rsidRPr="00756C88" w:rsidRDefault="005373DF" w:rsidP="0026315D">
      <w:pPr>
        <w:pStyle w:val="Heading2"/>
        <w:spacing w:line="259" w:lineRule="auto"/>
        <w:jc w:val="both"/>
      </w:pPr>
      <w:bookmarkStart w:id="38" w:name="_Toc117861739"/>
      <w:r w:rsidRPr="00756C88">
        <w:t>7.1 Communicate intentions to key stakeholders</w:t>
      </w:r>
      <w:r w:rsidR="00EC61EB" w:rsidRPr="00756C88">
        <w:t>,</w:t>
      </w:r>
      <w:r w:rsidRPr="00756C88">
        <w:t xml:space="preserve"> including </w:t>
      </w:r>
      <w:proofErr w:type="gramStart"/>
      <w:r w:rsidRPr="00756C88">
        <w:t>communities</w:t>
      </w:r>
      <w:bookmarkEnd w:id="38"/>
      <w:proofErr w:type="gramEnd"/>
    </w:p>
    <w:p w14:paraId="43A74BEA" w14:textId="592A98BE" w:rsidR="007B0CDF" w:rsidRPr="00756C88" w:rsidRDefault="00F33C21" w:rsidP="00BB099C">
      <w:pPr>
        <w:spacing w:after="120"/>
        <w:jc w:val="both"/>
      </w:pPr>
      <w:r>
        <w:t>We</w:t>
      </w:r>
      <w:r w:rsidR="00EC61EB" w:rsidRPr="00756C88">
        <w:t xml:space="preserve"> must</w:t>
      </w:r>
      <w:r w:rsidR="007B0CDF" w:rsidRPr="00756C88">
        <w:t xml:space="preserve"> communicate our intentions with key stakeholders concerning our plans to </w:t>
      </w:r>
      <w:r w:rsidR="00EC61EB" w:rsidRPr="00756C88">
        <w:t>P</w:t>
      </w:r>
      <w:r w:rsidR="007B0CDF" w:rsidRPr="00756C88">
        <w:t xml:space="preserve">artner and </w:t>
      </w:r>
      <w:r w:rsidR="00EC61EB" w:rsidRPr="00756C88">
        <w:t>P</w:t>
      </w:r>
      <w:r w:rsidR="007B0CDF" w:rsidRPr="00756C88">
        <w:t>rovide</w:t>
      </w:r>
      <w:r w:rsidR="00EC61EB" w:rsidRPr="00756C88">
        <w:t>. It is</w:t>
      </w:r>
      <w:r w:rsidR="007B0CDF" w:rsidRPr="00756C88">
        <w:t xml:space="preserve"> especially important to communicate our intentions to decommission services.</w:t>
      </w:r>
      <w:r w:rsidR="005B2D06">
        <w:t xml:space="preserve"> </w:t>
      </w:r>
      <w:r w:rsidR="007A7583" w:rsidRPr="00756C88">
        <w:t>Communities will expect significant positive change to be the result of our partnerships. Therefore, we should be clear about what we intend to achieve through the partnership.</w:t>
      </w:r>
    </w:p>
    <w:p w14:paraId="4BEF1FEB" w14:textId="2FB28EE4" w:rsidR="007A7583" w:rsidRPr="00756C88" w:rsidRDefault="007A7583" w:rsidP="00BB099C">
      <w:pPr>
        <w:spacing w:after="120"/>
        <w:jc w:val="both"/>
      </w:pPr>
      <w:r w:rsidRPr="00756C88">
        <w:t xml:space="preserve">Decommissioning can often be seen as a loss to service users and community members. </w:t>
      </w:r>
      <w:r w:rsidR="005B2D06">
        <w:t>It</w:t>
      </w:r>
      <w:r w:rsidRPr="00756C88">
        <w:t xml:space="preserve"> is important that commissioners develop robust messaging and thoroughly develop their stakeholder engagement strategy for decommissioning projects</w:t>
      </w:r>
      <w:r w:rsidR="00DF5845" w:rsidRPr="00756C88">
        <w:t xml:space="preserve"> (</w:t>
      </w:r>
      <w:r w:rsidRPr="00756C88">
        <w:t xml:space="preserve">see </w:t>
      </w:r>
      <w:r w:rsidRPr="0026315D">
        <w:t xml:space="preserve">Planning </w:t>
      </w:r>
      <w:r w:rsidR="00DF5845" w:rsidRPr="00756C88">
        <w:t>t</w:t>
      </w:r>
      <w:r w:rsidRPr="00756C88">
        <w:t>ool</w:t>
      </w:r>
      <w:r w:rsidR="00DF5845" w:rsidRPr="00756C88">
        <w:t>)</w:t>
      </w:r>
      <w:r w:rsidRPr="00756C88">
        <w:t>.</w:t>
      </w:r>
      <w:r w:rsidR="0075757E" w:rsidRPr="00756C88">
        <w:t xml:space="preserve"> Messaging should explain, in simple terms, the rationale and how communities will have better services as a result of the change.</w:t>
      </w:r>
    </w:p>
    <w:p w14:paraId="735386C3" w14:textId="70209485" w:rsidR="005373DF" w:rsidRPr="00756C88" w:rsidRDefault="0075757E" w:rsidP="00BB099C">
      <w:pPr>
        <w:spacing w:after="120"/>
        <w:jc w:val="both"/>
      </w:pPr>
      <w:r w:rsidRPr="00756C88">
        <w:t xml:space="preserve">There are many channels </w:t>
      </w:r>
      <w:r w:rsidR="005373DF" w:rsidRPr="00756C88">
        <w:t>for communication with key stakeholders and the community more broadly</w:t>
      </w:r>
      <w:r w:rsidRPr="00756C88">
        <w:t>, which</w:t>
      </w:r>
      <w:r w:rsidR="005373DF" w:rsidRPr="00756C88">
        <w:t xml:space="preserve"> include:</w:t>
      </w:r>
    </w:p>
    <w:p w14:paraId="6665D1FC" w14:textId="5C88650B" w:rsidR="005373DF" w:rsidRPr="00756C88" w:rsidRDefault="00702AEE" w:rsidP="0026315D">
      <w:pPr>
        <w:pStyle w:val="ListParagraph"/>
        <w:numPr>
          <w:ilvl w:val="0"/>
          <w:numId w:val="5"/>
        </w:numPr>
        <w:spacing w:before="120" w:after="120"/>
        <w:ind w:left="782" w:hanging="357"/>
        <w:contextualSpacing w:val="0"/>
        <w:jc w:val="both"/>
      </w:pPr>
      <w:r>
        <w:t>c</w:t>
      </w:r>
      <w:r w:rsidR="005373DF" w:rsidRPr="00756C88">
        <w:t>ommunity briefings</w:t>
      </w:r>
    </w:p>
    <w:p w14:paraId="6B35A728" w14:textId="250A06C0" w:rsidR="005373DF" w:rsidRPr="00756C88" w:rsidRDefault="00702AEE" w:rsidP="0026315D">
      <w:pPr>
        <w:pStyle w:val="ListParagraph"/>
        <w:numPr>
          <w:ilvl w:val="0"/>
          <w:numId w:val="5"/>
        </w:numPr>
        <w:spacing w:before="120" w:after="120"/>
        <w:ind w:left="782" w:hanging="357"/>
        <w:contextualSpacing w:val="0"/>
        <w:jc w:val="both"/>
      </w:pPr>
      <w:r>
        <w:t>s</w:t>
      </w:r>
      <w:r w:rsidR="005373DF" w:rsidRPr="00756C88">
        <w:t>ector briefings</w:t>
      </w:r>
    </w:p>
    <w:p w14:paraId="045A97FB" w14:textId="4001A40C" w:rsidR="005373DF" w:rsidRPr="00756C88" w:rsidRDefault="00702AEE" w:rsidP="0026315D">
      <w:pPr>
        <w:pStyle w:val="ListParagraph"/>
        <w:numPr>
          <w:ilvl w:val="0"/>
          <w:numId w:val="5"/>
        </w:numPr>
        <w:spacing w:before="120" w:after="120"/>
        <w:ind w:left="782" w:hanging="357"/>
        <w:contextualSpacing w:val="0"/>
        <w:jc w:val="both"/>
      </w:pPr>
      <w:r>
        <w:t>s</w:t>
      </w:r>
      <w:r w:rsidR="005373DF" w:rsidRPr="00756C88">
        <w:t xml:space="preserve">ector peak </w:t>
      </w:r>
      <w:r w:rsidR="00E31333" w:rsidRPr="00756C88">
        <w:t>announcements</w:t>
      </w:r>
    </w:p>
    <w:p w14:paraId="228521C5" w14:textId="12EC065A" w:rsidR="005373DF" w:rsidRPr="00756C88" w:rsidRDefault="00702AEE" w:rsidP="0026315D">
      <w:pPr>
        <w:pStyle w:val="ListParagraph"/>
        <w:numPr>
          <w:ilvl w:val="0"/>
          <w:numId w:val="5"/>
        </w:numPr>
        <w:spacing w:before="120" w:after="120"/>
        <w:ind w:left="782" w:hanging="357"/>
        <w:contextualSpacing w:val="0"/>
        <w:jc w:val="both"/>
      </w:pPr>
      <w:r>
        <w:t>t</w:t>
      </w:r>
      <w:r w:rsidR="005373DF" w:rsidRPr="00756C88">
        <w:t xml:space="preserve">ender </w:t>
      </w:r>
      <w:r w:rsidR="00FF6867" w:rsidRPr="00756C88">
        <w:t>briefings</w:t>
      </w:r>
    </w:p>
    <w:p w14:paraId="686D5523" w14:textId="0A397C33" w:rsidR="005373DF" w:rsidRPr="00756C88" w:rsidRDefault="00702AEE" w:rsidP="0026315D">
      <w:pPr>
        <w:pStyle w:val="ListParagraph"/>
        <w:numPr>
          <w:ilvl w:val="0"/>
          <w:numId w:val="5"/>
        </w:numPr>
        <w:spacing w:before="120" w:after="120"/>
        <w:ind w:left="782" w:hanging="357"/>
        <w:contextualSpacing w:val="0"/>
        <w:jc w:val="both"/>
      </w:pPr>
      <w:r>
        <w:t>r</w:t>
      </w:r>
      <w:r w:rsidR="005373DF" w:rsidRPr="00756C88">
        <w:t>egistered stakeholder newsletters/updates</w:t>
      </w:r>
    </w:p>
    <w:p w14:paraId="4567FFFF" w14:textId="594BECAC" w:rsidR="005373DF" w:rsidRPr="00756C88" w:rsidRDefault="00702AEE" w:rsidP="0026315D">
      <w:pPr>
        <w:pStyle w:val="ListParagraph"/>
        <w:numPr>
          <w:ilvl w:val="0"/>
          <w:numId w:val="5"/>
        </w:numPr>
        <w:spacing w:before="120" w:after="120"/>
        <w:ind w:left="782" w:hanging="357"/>
        <w:contextualSpacing w:val="0"/>
        <w:jc w:val="both"/>
      </w:pPr>
      <w:r>
        <w:t>w</w:t>
      </w:r>
      <w:r w:rsidR="005373DF" w:rsidRPr="00756C88">
        <w:t>ebsite updates</w:t>
      </w:r>
    </w:p>
    <w:p w14:paraId="41D4C323" w14:textId="2018D2E5" w:rsidR="005373DF" w:rsidRPr="00756C88" w:rsidRDefault="00702AEE" w:rsidP="0026315D">
      <w:pPr>
        <w:pStyle w:val="ListParagraph"/>
        <w:numPr>
          <w:ilvl w:val="0"/>
          <w:numId w:val="5"/>
        </w:numPr>
        <w:spacing w:before="120" w:after="120"/>
        <w:ind w:left="782" w:hanging="357"/>
        <w:contextualSpacing w:val="0"/>
        <w:jc w:val="both"/>
      </w:pPr>
      <w:r>
        <w:t>m</w:t>
      </w:r>
      <w:r w:rsidR="005373DF" w:rsidRPr="00756C88">
        <w:t>edia releases</w:t>
      </w:r>
    </w:p>
    <w:p w14:paraId="1A4EE5F7" w14:textId="6503BA61" w:rsidR="005373DF" w:rsidRPr="00756C88" w:rsidRDefault="00702AEE" w:rsidP="0026315D">
      <w:pPr>
        <w:pStyle w:val="ListParagraph"/>
        <w:numPr>
          <w:ilvl w:val="0"/>
          <w:numId w:val="5"/>
        </w:numPr>
        <w:spacing w:before="120" w:after="120"/>
        <w:ind w:left="782" w:hanging="357"/>
        <w:contextualSpacing w:val="0"/>
        <w:jc w:val="both"/>
      </w:pPr>
      <w:r>
        <w:t>f</w:t>
      </w:r>
      <w:r w:rsidR="005373DF" w:rsidRPr="00756C88">
        <w:t>eatured articles in industry journals</w:t>
      </w:r>
      <w:r>
        <w:t>.</w:t>
      </w:r>
    </w:p>
    <w:p w14:paraId="5FD8FCCF" w14:textId="13531A8A" w:rsidR="005373DF" w:rsidRPr="00756C88" w:rsidRDefault="005373DF" w:rsidP="0026315D">
      <w:pPr>
        <w:pStyle w:val="Heading1"/>
        <w:spacing w:line="259" w:lineRule="auto"/>
        <w:jc w:val="both"/>
      </w:pPr>
      <w:bookmarkStart w:id="39" w:name="_Toc117861740"/>
      <w:r w:rsidRPr="00756C88">
        <w:t xml:space="preserve">8. Links to </w:t>
      </w:r>
      <w:r w:rsidR="00DF5845" w:rsidRPr="00756C88">
        <w:t>r</w:t>
      </w:r>
      <w:r w:rsidRPr="00756C88">
        <w:t>esources</w:t>
      </w:r>
      <w:bookmarkEnd w:id="39"/>
    </w:p>
    <w:p w14:paraId="446BDFEB" w14:textId="74BC6469" w:rsidR="008C6558" w:rsidRPr="00756C88" w:rsidRDefault="006156B5" w:rsidP="00BB099C">
      <w:pPr>
        <w:jc w:val="both"/>
      </w:pPr>
      <w:r w:rsidRPr="00756C88">
        <w:t>Nil</w:t>
      </w:r>
    </w:p>
    <w:sectPr w:rsidR="008C6558" w:rsidRPr="00756C88" w:rsidSect="00537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F159" w14:textId="77777777" w:rsidR="009A41C3" w:rsidRDefault="009A41C3" w:rsidP="00713455">
      <w:pPr>
        <w:spacing w:after="0" w:line="240" w:lineRule="auto"/>
      </w:pPr>
      <w:r>
        <w:separator/>
      </w:r>
    </w:p>
  </w:endnote>
  <w:endnote w:type="continuationSeparator" w:id="0">
    <w:p w14:paraId="7066BDA5" w14:textId="77777777" w:rsidR="009A41C3" w:rsidRDefault="009A41C3" w:rsidP="00713455">
      <w:pPr>
        <w:spacing w:after="0" w:line="240" w:lineRule="auto"/>
      </w:pPr>
      <w:r>
        <w:continuationSeparator/>
      </w:r>
    </w:p>
  </w:endnote>
  <w:endnote w:type="continuationNotice" w:id="1">
    <w:p w14:paraId="4CE1C48C" w14:textId="77777777" w:rsidR="009A41C3" w:rsidRDefault="009A4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A1853"/>
      </w:rPr>
      <w:id w:val="-437057259"/>
      <w:docPartObj>
        <w:docPartGallery w:val="Page Numbers (Bottom of Page)"/>
        <w:docPartUnique/>
      </w:docPartObj>
    </w:sdtPr>
    <w:sdtEndPr>
      <w:rPr>
        <w:noProof/>
        <w:sz w:val="18"/>
        <w:szCs w:val="18"/>
      </w:rPr>
    </w:sdtEndPr>
    <w:sdtContent>
      <w:p w14:paraId="65DD98DF" w14:textId="1E2FC748" w:rsidR="00F73959" w:rsidRPr="00A245BF" w:rsidRDefault="00F73959" w:rsidP="00F73959">
        <w:pPr>
          <w:pStyle w:val="Footer"/>
          <w:rPr>
            <w:color w:val="8A1853"/>
            <w:sz w:val="18"/>
            <w:szCs w:val="18"/>
          </w:rPr>
        </w:pPr>
        <w:r w:rsidRPr="005318C8">
          <w:rPr>
            <w:color w:val="8A1853"/>
            <w:sz w:val="18"/>
            <w:szCs w:val="18"/>
          </w:rPr>
          <w:fldChar w:fldCharType="begin"/>
        </w:r>
        <w:r w:rsidRPr="005318C8">
          <w:rPr>
            <w:color w:val="8A1853"/>
            <w:sz w:val="18"/>
            <w:szCs w:val="18"/>
          </w:rPr>
          <w:instrText xml:space="preserve"> PAGE   \* MERGEFORMAT </w:instrText>
        </w:r>
        <w:r w:rsidRPr="005318C8">
          <w:rPr>
            <w:color w:val="8A1853"/>
            <w:sz w:val="18"/>
            <w:szCs w:val="18"/>
          </w:rPr>
          <w:fldChar w:fldCharType="separate"/>
        </w:r>
        <w:r>
          <w:rPr>
            <w:color w:val="8A1853"/>
            <w:sz w:val="18"/>
            <w:szCs w:val="18"/>
          </w:rPr>
          <w:t>2</w:t>
        </w:r>
        <w:r w:rsidRPr="005318C8">
          <w:rPr>
            <w:noProof/>
            <w:color w:val="8A1853"/>
            <w:sz w:val="18"/>
            <w:szCs w:val="18"/>
          </w:rPr>
          <w:fldChar w:fldCharType="end"/>
        </w:r>
        <w:r w:rsidRPr="005318C8">
          <w:rPr>
            <w:color w:val="8A1853"/>
            <w:sz w:val="18"/>
            <w:szCs w:val="18"/>
          </w:rPr>
          <w:t xml:space="preserve"> </w:t>
        </w:r>
        <w:r w:rsidRPr="005318C8">
          <w:rPr>
            <w:b/>
            <w:bCs/>
            <w:color w:val="8A1853"/>
            <w:sz w:val="18"/>
            <w:szCs w:val="18"/>
          </w:rPr>
          <w:t xml:space="preserve">Commissioning Toolkit </w:t>
        </w:r>
        <w:r w:rsidRPr="005318C8">
          <w:rPr>
            <w:color w:val="8A1853"/>
            <w:sz w:val="18"/>
            <w:szCs w:val="18"/>
          </w:rPr>
          <w:t xml:space="preserve">| Tool </w:t>
        </w:r>
        <w:r>
          <w:rPr>
            <w:color w:val="8A1853"/>
            <w:sz w:val="18"/>
            <w:szCs w:val="18"/>
          </w:rPr>
          <w:t>6</w:t>
        </w:r>
        <w:r w:rsidRPr="005318C8">
          <w:rPr>
            <w:color w:val="8A1853"/>
            <w:sz w:val="18"/>
            <w:szCs w:val="18"/>
          </w:rPr>
          <w:t xml:space="preserve">: </w:t>
        </w:r>
        <w:r>
          <w:rPr>
            <w:color w:val="8A1853"/>
            <w:sz w:val="18"/>
            <w:szCs w:val="18"/>
          </w:rPr>
          <w:t>Modify and Enhance</w:t>
        </w:r>
      </w:p>
    </w:sdtContent>
  </w:sdt>
  <w:p w14:paraId="2AC8BFE6" w14:textId="77777777" w:rsidR="00713455" w:rsidRDefault="0071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4DA2" w14:textId="77777777" w:rsidR="009A41C3" w:rsidRDefault="009A41C3" w:rsidP="00713455">
      <w:pPr>
        <w:spacing w:after="0" w:line="240" w:lineRule="auto"/>
      </w:pPr>
      <w:r>
        <w:separator/>
      </w:r>
    </w:p>
  </w:footnote>
  <w:footnote w:type="continuationSeparator" w:id="0">
    <w:p w14:paraId="2BF7B786" w14:textId="77777777" w:rsidR="009A41C3" w:rsidRDefault="009A41C3" w:rsidP="00713455">
      <w:pPr>
        <w:spacing w:after="0" w:line="240" w:lineRule="auto"/>
      </w:pPr>
      <w:r>
        <w:continuationSeparator/>
      </w:r>
    </w:p>
  </w:footnote>
  <w:footnote w:type="continuationNotice" w:id="1">
    <w:p w14:paraId="7D8B4D98" w14:textId="77777777" w:rsidR="009A41C3" w:rsidRDefault="009A4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2AE0" w14:textId="77777777" w:rsidR="009A41C3" w:rsidRDefault="009A4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2D8"/>
    <w:multiLevelType w:val="hybridMultilevel"/>
    <w:tmpl w:val="64688470"/>
    <w:lvl w:ilvl="0" w:tplc="56CEB3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25932"/>
    <w:multiLevelType w:val="hybridMultilevel"/>
    <w:tmpl w:val="58AC4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E13A2"/>
    <w:multiLevelType w:val="hybridMultilevel"/>
    <w:tmpl w:val="D74C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17669"/>
    <w:multiLevelType w:val="hybridMultilevel"/>
    <w:tmpl w:val="CF08ECC4"/>
    <w:lvl w:ilvl="0" w:tplc="C9A8CF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B6D64"/>
    <w:multiLevelType w:val="hybridMultilevel"/>
    <w:tmpl w:val="D778D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752FB"/>
    <w:multiLevelType w:val="hybridMultilevel"/>
    <w:tmpl w:val="4C56F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F62AE"/>
    <w:multiLevelType w:val="hybridMultilevel"/>
    <w:tmpl w:val="07EC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B7540"/>
    <w:multiLevelType w:val="hybridMultilevel"/>
    <w:tmpl w:val="F45C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04F98"/>
    <w:multiLevelType w:val="hybridMultilevel"/>
    <w:tmpl w:val="8F3A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7719DB"/>
    <w:multiLevelType w:val="hybridMultilevel"/>
    <w:tmpl w:val="6D966CBE"/>
    <w:lvl w:ilvl="0" w:tplc="2F9861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0F77E4"/>
    <w:multiLevelType w:val="hybridMultilevel"/>
    <w:tmpl w:val="B3F8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F3575F"/>
    <w:multiLevelType w:val="hybridMultilevel"/>
    <w:tmpl w:val="25FC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262E9"/>
    <w:multiLevelType w:val="hybridMultilevel"/>
    <w:tmpl w:val="BE1A7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663C82"/>
    <w:multiLevelType w:val="hybridMultilevel"/>
    <w:tmpl w:val="341E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D50A4"/>
    <w:multiLevelType w:val="hybridMultilevel"/>
    <w:tmpl w:val="F9FA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C0601F"/>
    <w:multiLevelType w:val="hybridMultilevel"/>
    <w:tmpl w:val="8B22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C97323"/>
    <w:multiLevelType w:val="hybridMultilevel"/>
    <w:tmpl w:val="C8B0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5D4FDA"/>
    <w:multiLevelType w:val="hybridMultilevel"/>
    <w:tmpl w:val="6CD4A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8921D3"/>
    <w:multiLevelType w:val="hybridMultilevel"/>
    <w:tmpl w:val="70C0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C2CA9"/>
    <w:multiLevelType w:val="hybridMultilevel"/>
    <w:tmpl w:val="042ED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735539"/>
    <w:multiLevelType w:val="hybridMultilevel"/>
    <w:tmpl w:val="5558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9A6CC5"/>
    <w:multiLevelType w:val="hybridMultilevel"/>
    <w:tmpl w:val="AB30FFC2"/>
    <w:lvl w:ilvl="0" w:tplc="0C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D33D60"/>
    <w:multiLevelType w:val="hybridMultilevel"/>
    <w:tmpl w:val="9C42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792316"/>
    <w:multiLevelType w:val="hybridMultilevel"/>
    <w:tmpl w:val="90325F5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16cid:durableId="694497501">
    <w:abstractNumId w:val="3"/>
  </w:num>
  <w:num w:numId="2" w16cid:durableId="20514059">
    <w:abstractNumId w:val="0"/>
  </w:num>
  <w:num w:numId="3" w16cid:durableId="834415024">
    <w:abstractNumId w:val="14"/>
  </w:num>
  <w:num w:numId="4" w16cid:durableId="389038718">
    <w:abstractNumId w:val="17"/>
  </w:num>
  <w:num w:numId="5" w16cid:durableId="236015768">
    <w:abstractNumId w:val="1"/>
  </w:num>
  <w:num w:numId="6" w16cid:durableId="1952542277">
    <w:abstractNumId w:val="2"/>
  </w:num>
  <w:num w:numId="7" w16cid:durableId="2000887984">
    <w:abstractNumId w:val="5"/>
  </w:num>
  <w:num w:numId="8" w16cid:durableId="1958828288">
    <w:abstractNumId w:val="10"/>
  </w:num>
  <w:num w:numId="9" w16cid:durableId="1304584353">
    <w:abstractNumId w:val="23"/>
  </w:num>
  <w:num w:numId="10" w16cid:durableId="383648261">
    <w:abstractNumId w:val="22"/>
  </w:num>
  <w:num w:numId="11" w16cid:durableId="1006053831">
    <w:abstractNumId w:val="6"/>
  </w:num>
  <w:num w:numId="12" w16cid:durableId="1424497483">
    <w:abstractNumId w:val="19"/>
  </w:num>
  <w:num w:numId="13" w16cid:durableId="1011105100">
    <w:abstractNumId w:val="16"/>
  </w:num>
  <w:num w:numId="14" w16cid:durableId="503009012">
    <w:abstractNumId w:val="8"/>
  </w:num>
  <w:num w:numId="15" w16cid:durableId="1864324285">
    <w:abstractNumId w:val="9"/>
  </w:num>
  <w:num w:numId="16" w16cid:durableId="99688554">
    <w:abstractNumId w:val="15"/>
  </w:num>
  <w:num w:numId="17" w16cid:durableId="474370792">
    <w:abstractNumId w:val="13"/>
  </w:num>
  <w:num w:numId="18" w16cid:durableId="2062435404">
    <w:abstractNumId w:val="11"/>
  </w:num>
  <w:num w:numId="19" w16cid:durableId="1862815760">
    <w:abstractNumId w:val="4"/>
  </w:num>
  <w:num w:numId="20" w16cid:durableId="459885106">
    <w:abstractNumId w:val="20"/>
  </w:num>
  <w:num w:numId="21" w16cid:durableId="649945277">
    <w:abstractNumId w:val="18"/>
  </w:num>
  <w:num w:numId="22" w16cid:durableId="808207397">
    <w:abstractNumId w:val="12"/>
  </w:num>
  <w:num w:numId="23" w16cid:durableId="2006203130">
    <w:abstractNumId w:val="21"/>
  </w:num>
  <w:num w:numId="24" w16cid:durableId="1613898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jc2MDA1MDY1MbBU0lEKTi0uzszPAykwqwUAOqAY9ywAAAA="/>
  </w:docVars>
  <w:rsids>
    <w:rsidRoot w:val="008C6558"/>
    <w:rsid w:val="000017CB"/>
    <w:rsid w:val="000166BD"/>
    <w:rsid w:val="0001706B"/>
    <w:rsid w:val="00017838"/>
    <w:rsid w:val="00022C3D"/>
    <w:rsid w:val="00025D93"/>
    <w:rsid w:val="00031E27"/>
    <w:rsid w:val="00032D72"/>
    <w:rsid w:val="000361C0"/>
    <w:rsid w:val="00040203"/>
    <w:rsid w:val="00040523"/>
    <w:rsid w:val="00047BD8"/>
    <w:rsid w:val="00050C81"/>
    <w:rsid w:val="0005791A"/>
    <w:rsid w:val="00061BCD"/>
    <w:rsid w:val="00061C9C"/>
    <w:rsid w:val="00075893"/>
    <w:rsid w:val="00083474"/>
    <w:rsid w:val="000863AB"/>
    <w:rsid w:val="00086E7B"/>
    <w:rsid w:val="000A4A99"/>
    <w:rsid w:val="000B65DC"/>
    <w:rsid w:val="000B748A"/>
    <w:rsid w:val="000C2CD1"/>
    <w:rsid w:val="000D2717"/>
    <w:rsid w:val="000D3693"/>
    <w:rsid w:val="000D518B"/>
    <w:rsid w:val="000F2BC0"/>
    <w:rsid w:val="000F345E"/>
    <w:rsid w:val="000F3C5A"/>
    <w:rsid w:val="000F72FD"/>
    <w:rsid w:val="00101689"/>
    <w:rsid w:val="00101FFF"/>
    <w:rsid w:val="001077D3"/>
    <w:rsid w:val="00112F5F"/>
    <w:rsid w:val="001156E0"/>
    <w:rsid w:val="0011694D"/>
    <w:rsid w:val="00117B0A"/>
    <w:rsid w:val="0012023E"/>
    <w:rsid w:val="001255FB"/>
    <w:rsid w:val="00133577"/>
    <w:rsid w:val="00134F8B"/>
    <w:rsid w:val="001460A1"/>
    <w:rsid w:val="0014762F"/>
    <w:rsid w:val="00150574"/>
    <w:rsid w:val="00155DB4"/>
    <w:rsid w:val="00170C2F"/>
    <w:rsid w:val="00171689"/>
    <w:rsid w:val="001734D7"/>
    <w:rsid w:val="00182868"/>
    <w:rsid w:val="001845B8"/>
    <w:rsid w:val="00194B68"/>
    <w:rsid w:val="001973A5"/>
    <w:rsid w:val="00197B4B"/>
    <w:rsid w:val="001A2868"/>
    <w:rsid w:val="001A5A2F"/>
    <w:rsid w:val="001B096F"/>
    <w:rsid w:val="001C413A"/>
    <w:rsid w:val="001C7331"/>
    <w:rsid w:val="001E1954"/>
    <w:rsid w:val="001F05E3"/>
    <w:rsid w:val="001F3D3F"/>
    <w:rsid w:val="001F5CD2"/>
    <w:rsid w:val="00201476"/>
    <w:rsid w:val="002017C6"/>
    <w:rsid w:val="00217DB0"/>
    <w:rsid w:val="00221664"/>
    <w:rsid w:val="002253C4"/>
    <w:rsid w:val="00226C6C"/>
    <w:rsid w:val="00235E48"/>
    <w:rsid w:val="00236A31"/>
    <w:rsid w:val="002409A7"/>
    <w:rsid w:val="00240DA6"/>
    <w:rsid w:val="00250B5C"/>
    <w:rsid w:val="00253D10"/>
    <w:rsid w:val="002555B3"/>
    <w:rsid w:val="0026315D"/>
    <w:rsid w:val="00273932"/>
    <w:rsid w:val="002910D8"/>
    <w:rsid w:val="002914F6"/>
    <w:rsid w:val="00292725"/>
    <w:rsid w:val="00294FF9"/>
    <w:rsid w:val="002A2833"/>
    <w:rsid w:val="002A309C"/>
    <w:rsid w:val="002B4321"/>
    <w:rsid w:val="002B6E69"/>
    <w:rsid w:val="002B6FB2"/>
    <w:rsid w:val="002C2C26"/>
    <w:rsid w:val="002D0A89"/>
    <w:rsid w:val="002E1003"/>
    <w:rsid w:val="002E2F45"/>
    <w:rsid w:val="002E5E98"/>
    <w:rsid w:val="002F7DEE"/>
    <w:rsid w:val="0030326B"/>
    <w:rsid w:val="00321730"/>
    <w:rsid w:val="0033675D"/>
    <w:rsid w:val="00336F33"/>
    <w:rsid w:val="00341E88"/>
    <w:rsid w:val="00345588"/>
    <w:rsid w:val="003535B5"/>
    <w:rsid w:val="00354C0F"/>
    <w:rsid w:val="0035616B"/>
    <w:rsid w:val="00357A05"/>
    <w:rsid w:val="00357F20"/>
    <w:rsid w:val="0037499E"/>
    <w:rsid w:val="00374BD5"/>
    <w:rsid w:val="00375C61"/>
    <w:rsid w:val="00385D1B"/>
    <w:rsid w:val="00385F75"/>
    <w:rsid w:val="0039582E"/>
    <w:rsid w:val="003A3EDA"/>
    <w:rsid w:val="003A68B3"/>
    <w:rsid w:val="003C35FB"/>
    <w:rsid w:val="003D1B55"/>
    <w:rsid w:val="003D5D61"/>
    <w:rsid w:val="003E2E0F"/>
    <w:rsid w:val="003E6016"/>
    <w:rsid w:val="003F6B6A"/>
    <w:rsid w:val="003F7547"/>
    <w:rsid w:val="003F760E"/>
    <w:rsid w:val="00403954"/>
    <w:rsid w:val="00407EEB"/>
    <w:rsid w:val="00415A27"/>
    <w:rsid w:val="004259E3"/>
    <w:rsid w:val="00425F77"/>
    <w:rsid w:val="00434853"/>
    <w:rsid w:val="004379D1"/>
    <w:rsid w:val="004451BF"/>
    <w:rsid w:val="00447375"/>
    <w:rsid w:val="00457EFE"/>
    <w:rsid w:val="004678DD"/>
    <w:rsid w:val="00467B47"/>
    <w:rsid w:val="004719FA"/>
    <w:rsid w:val="00473CDF"/>
    <w:rsid w:val="00474BDA"/>
    <w:rsid w:val="00476A19"/>
    <w:rsid w:val="00483B64"/>
    <w:rsid w:val="00485E7A"/>
    <w:rsid w:val="0049250F"/>
    <w:rsid w:val="004940A8"/>
    <w:rsid w:val="00496927"/>
    <w:rsid w:val="004A31D4"/>
    <w:rsid w:val="004B0AB0"/>
    <w:rsid w:val="004C097E"/>
    <w:rsid w:val="004C2FC0"/>
    <w:rsid w:val="004D43F0"/>
    <w:rsid w:val="004E2C63"/>
    <w:rsid w:val="004F29E0"/>
    <w:rsid w:val="00500101"/>
    <w:rsid w:val="005040A8"/>
    <w:rsid w:val="00505AB8"/>
    <w:rsid w:val="0050655A"/>
    <w:rsid w:val="0051123C"/>
    <w:rsid w:val="0051517A"/>
    <w:rsid w:val="00524F59"/>
    <w:rsid w:val="00532082"/>
    <w:rsid w:val="005353C2"/>
    <w:rsid w:val="005373DF"/>
    <w:rsid w:val="00537E8F"/>
    <w:rsid w:val="0054151A"/>
    <w:rsid w:val="005502EB"/>
    <w:rsid w:val="00567B77"/>
    <w:rsid w:val="00586517"/>
    <w:rsid w:val="00594790"/>
    <w:rsid w:val="005A1473"/>
    <w:rsid w:val="005A1BEE"/>
    <w:rsid w:val="005A2D73"/>
    <w:rsid w:val="005B2D06"/>
    <w:rsid w:val="005D2D17"/>
    <w:rsid w:val="005D56CB"/>
    <w:rsid w:val="005D7827"/>
    <w:rsid w:val="005E65AF"/>
    <w:rsid w:val="005F162F"/>
    <w:rsid w:val="005F21D5"/>
    <w:rsid w:val="005F319A"/>
    <w:rsid w:val="005F3640"/>
    <w:rsid w:val="00604654"/>
    <w:rsid w:val="006106D7"/>
    <w:rsid w:val="00613A2E"/>
    <w:rsid w:val="006156B5"/>
    <w:rsid w:val="00620513"/>
    <w:rsid w:val="00624BD8"/>
    <w:rsid w:val="00630FC9"/>
    <w:rsid w:val="00643C21"/>
    <w:rsid w:val="0066244F"/>
    <w:rsid w:val="00664230"/>
    <w:rsid w:val="00665C82"/>
    <w:rsid w:val="00671D84"/>
    <w:rsid w:val="006764B2"/>
    <w:rsid w:val="00684918"/>
    <w:rsid w:val="00695EE6"/>
    <w:rsid w:val="006976A9"/>
    <w:rsid w:val="006B4878"/>
    <w:rsid w:val="006B74E2"/>
    <w:rsid w:val="006C386D"/>
    <w:rsid w:val="006C4F5E"/>
    <w:rsid w:val="006D120D"/>
    <w:rsid w:val="006D58C2"/>
    <w:rsid w:val="006D696F"/>
    <w:rsid w:val="006E0D61"/>
    <w:rsid w:val="006E1416"/>
    <w:rsid w:val="006E4D66"/>
    <w:rsid w:val="006E4F12"/>
    <w:rsid w:val="006F6C05"/>
    <w:rsid w:val="006F779D"/>
    <w:rsid w:val="00702AEE"/>
    <w:rsid w:val="00713455"/>
    <w:rsid w:val="00723555"/>
    <w:rsid w:val="0072526B"/>
    <w:rsid w:val="007358EC"/>
    <w:rsid w:val="00742D1A"/>
    <w:rsid w:val="0075080B"/>
    <w:rsid w:val="00751942"/>
    <w:rsid w:val="00752AA2"/>
    <w:rsid w:val="00753464"/>
    <w:rsid w:val="00756C88"/>
    <w:rsid w:val="00757428"/>
    <w:rsid w:val="0075757E"/>
    <w:rsid w:val="00757C3D"/>
    <w:rsid w:val="00757F8C"/>
    <w:rsid w:val="0076068A"/>
    <w:rsid w:val="007734D5"/>
    <w:rsid w:val="0077581E"/>
    <w:rsid w:val="00780543"/>
    <w:rsid w:val="007825A1"/>
    <w:rsid w:val="00790ABF"/>
    <w:rsid w:val="00792610"/>
    <w:rsid w:val="0079388F"/>
    <w:rsid w:val="00795874"/>
    <w:rsid w:val="00797783"/>
    <w:rsid w:val="007A5BBF"/>
    <w:rsid w:val="007A7583"/>
    <w:rsid w:val="007B0CDF"/>
    <w:rsid w:val="007C1024"/>
    <w:rsid w:val="007F09EA"/>
    <w:rsid w:val="007F5991"/>
    <w:rsid w:val="008151D8"/>
    <w:rsid w:val="008224CC"/>
    <w:rsid w:val="00822876"/>
    <w:rsid w:val="008303F2"/>
    <w:rsid w:val="0083057B"/>
    <w:rsid w:val="00861E16"/>
    <w:rsid w:val="00872403"/>
    <w:rsid w:val="008773FB"/>
    <w:rsid w:val="00886803"/>
    <w:rsid w:val="00892707"/>
    <w:rsid w:val="008A2896"/>
    <w:rsid w:val="008B3800"/>
    <w:rsid w:val="008B442C"/>
    <w:rsid w:val="008B4FE0"/>
    <w:rsid w:val="008C3DFD"/>
    <w:rsid w:val="008C6558"/>
    <w:rsid w:val="008E167F"/>
    <w:rsid w:val="008E1A87"/>
    <w:rsid w:val="008E7F25"/>
    <w:rsid w:val="008F40D6"/>
    <w:rsid w:val="00907BC7"/>
    <w:rsid w:val="00923356"/>
    <w:rsid w:val="00924D49"/>
    <w:rsid w:val="009252C9"/>
    <w:rsid w:val="00925E82"/>
    <w:rsid w:val="00935A7A"/>
    <w:rsid w:val="00935BB6"/>
    <w:rsid w:val="00940CBC"/>
    <w:rsid w:val="00944FF7"/>
    <w:rsid w:val="00951833"/>
    <w:rsid w:val="00951B0E"/>
    <w:rsid w:val="00953C86"/>
    <w:rsid w:val="009565F8"/>
    <w:rsid w:val="009635BA"/>
    <w:rsid w:val="009664AC"/>
    <w:rsid w:val="009702DA"/>
    <w:rsid w:val="00974663"/>
    <w:rsid w:val="00975F52"/>
    <w:rsid w:val="00981602"/>
    <w:rsid w:val="00986F41"/>
    <w:rsid w:val="009A41C3"/>
    <w:rsid w:val="009B2EB1"/>
    <w:rsid w:val="009C1BDF"/>
    <w:rsid w:val="009C3EAA"/>
    <w:rsid w:val="009C46DD"/>
    <w:rsid w:val="009D4CC6"/>
    <w:rsid w:val="009E02A9"/>
    <w:rsid w:val="009E0B18"/>
    <w:rsid w:val="009E6E45"/>
    <w:rsid w:val="009F040F"/>
    <w:rsid w:val="00A022D2"/>
    <w:rsid w:val="00A0667A"/>
    <w:rsid w:val="00A11EAC"/>
    <w:rsid w:val="00A178D0"/>
    <w:rsid w:val="00A2759E"/>
    <w:rsid w:val="00A313E9"/>
    <w:rsid w:val="00A33DBC"/>
    <w:rsid w:val="00A4351C"/>
    <w:rsid w:val="00A50250"/>
    <w:rsid w:val="00A55B08"/>
    <w:rsid w:val="00A57E51"/>
    <w:rsid w:val="00A6774B"/>
    <w:rsid w:val="00A67783"/>
    <w:rsid w:val="00A73F25"/>
    <w:rsid w:val="00A768BC"/>
    <w:rsid w:val="00A771C7"/>
    <w:rsid w:val="00A927BD"/>
    <w:rsid w:val="00AB663A"/>
    <w:rsid w:val="00AC1A21"/>
    <w:rsid w:val="00AC44A7"/>
    <w:rsid w:val="00AD30F4"/>
    <w:rsid w:val="00AD67C9"/>
    <w:rsid w:val="00AE729F"/>
    <w:rsid w:val="00AF09C9"/>
    <w:rsid w:val="00B02045"/>
    <w:rsid w:val="00B03763"/>
    <w:rsid w:val="00B06B67"/>
    <w:rsid w:val="00B10933"/>
    <w:rsid w:val="00B22975"/>
    <w:rsid w:val="00B237E2"/>
    <w:rsid w:val="00B27596"/>
    <w:rsid w:val="00B34398"/>
    <w:rsid w:val="00B40666"/>
    <w:rsid w:val="00B41406"/>
    <w:rsid w:val="00B42DAA"/>
    <w:rsid w:val="00B435AE"/>
    <w:rsid w:val="00B43C1E"/>
    <w:rsid w:val="00B4478F"/>
    <w:rsid w:val="00B500BC"/>
    <w:rsid w:val="00B57B18"/>
    <w:rsid w:val="00B60AAE"/>
    <w:rsid w:val="00B61E53"/>
    <w:rsid w:val="00B678B1"/>
    <w:rsid w:val="00B72B3D"/>
    <w:rsid w:val="00B73CAE"/>
    <w:rsid w:val="00B804C0"/>
    <w:rsid w:val="00B8156D"/>
    <w:rsid w:val="00B84B53"/>
    <w:rsid w:val="00B855DB"/>
    <w:rsid w:val="00B85819"/>
    <w:rsid w:val="00B90C3C"/>
    <w:rsid w:val="00B94147"/>
    <w:rsid w:val="00B96B6D"/>
    <w:rsid w:val="00BA6588"/>
    <w:rsid w:val="00BB099C"/>
    <w:rsid w:val="00BB1731"/>
    <w:rsid w:val="00BB260D"/>
    <w:rsid w:val="00BB2ABA"/>
    <w:rsid w:val="00BB531E"/>
    <w:rsid w:val="00BC104F"/>
    <w:rsid w:val="00BC4617"/>
    <w:rsid w:val="00BC6C45"/>
    <w:rsid w:val="00BD0DEA"/>
    <w:rsid w:val="00BD194E"/>
    <w:rsid w:val="00BD4467"/>
    <w:rsid w:val="00BE33BC"/>
    <w:rsid w:val="00BE6166"/>
    <w:rsid w:val="00BF13B7"/>
    <w:rsid w:val="00BF5D46"/>
    <w:rsid w:val="00C07F81"/>
    <w:rsid w:val="00C27B17"/>
    <w:rsid w:val="00C30C03"/>
    <w:rsid w:val="00C31127"/>
    <w:rsid w:val="00C33D10"/>
    <w:rsid w:val="00C36370"/>
    <w:rsid w:val="00C42B95"/>
    <w:rsid w:val="00C47124"/>
    <w:rsid w:val="00C87542"/>
    <w:rsid w:val="00C96996"/>
    <w:rsid w:val="00CA1512"/>
    <w:rsid w:val="00CB3453"/>
    <w:rsid w:val="00CD4096"/>
    <w:rsid w:val="00CD65D5"/>
    <w:rsid w:val="00CE72BB"/>
    <w:rsid w:val="00CF0754"/>
    <w:rsid w:val="00D1266F"/>
    <w:rsid w:val="00D13038"/>
    <w:rsid w:val="00D21AAE"/>
    <w:rsid w:val="00D2355C"/>
    <w:rsid w:val="00D25EA4"/>
    <w:rsid w:val="00D2708B"/>
    <w:rsid w:val="00D37F95"/>
    <w:rsid w:val="00D63F89"/>
    <w:rsid w:val="00D658DF"/>
    <w:rsid w:val="00D841D2"/>
    <w:rsid w:val="00D85F30"/>
    <w:rsid w:val="00D87C9F"/>
    <w:rsid w:val="00D953A6"/>
    <w:rsid w:val="00D976C8"/>
    <w:rsid w:val="00DB04E2"/>
    <w:rsid w:val="00DC1C4A"/>
    <w:rsid w:val="00DC23C1"/>
    <w:rsid w:val="00DC605F"/>
    <w:rsid w:val="00DE7A50"/>
    <w:rsid w:val="00DE7DE4"/>
    <w:rsid w:val="00DF000D"/>
    <w:rsid w:val="00DF0C80"/>
    <w:rsid w:val="00DF0E29"/>
    <w:rsid w:val="00DF5845"/>
    <w:rsid w:val="00E04E00"/>
    <w:rsid w:val="00E0605F"/>
    <w:rsid w:val="00E1403D"/>
    <w:rsid w:val="00E17145"/>
    <w:rsid w:val="00E1752D"/>
    <w:rsid w:val="00E20B14"/>
    <w:rsid w:val="00E20F80"/>
    <w:rsid w:val="00E23FC6"/>
    <w:rsid w:val="00E24CE4"/>
    <w:rsid w:val="00E304DC"/>
    <w:rsid w:val="00E30509"/>
    <w:rsid w:val="00E31333"/>
    <w:rsid w:val="00E53385"/>
    <w:rsid w:val="00E57999"/>
    <w:rsid w:val="00E57F31"/>
    <w:rsid w:val="00E62255"/>
    <w:rsid w:val="00E720EF"/>
    <w:rsid w:val="00E73841"/>
    <w:rsid w:val="00E74E81"/>
    <w:rsid w:val="00E76F40"/>
    <w:rsid w:val="00E770F0"/>
    <w:rsid w:val="00E77180"/>
    <w:rsid w:val="00E813E9"/>
    <w:rsid w:val="00E932BF"/>
    <w:rsid w:val="00EA0155"/>
    <w:rsid w:val="00EA381A"/>
    <w:rsid w:val="00EA4695"/>
    <w:rsid w:val="00EA4C81"/>
    <w:rsid w:val="00EA6CB9"/>
    <w:rsid w:val="00EB0290"/>
    <w:rsid w:val="00EB1FF6"/>
    <w:rsid w:val="00EC0E0F"/>
    <w:rsid w:val="00EC54B5"/>
    <w:rsid w:val="00EC61EB"/>
    <w:rsid w:val="00EC6DC3"/>
    <w:rsid w:val="00EE1DB2"/>
    <w:rsid w:val="00EE3612"/>
    <w:rsid w:val="00EE48BD"/>
    <w:rsid w:val="00EE615F"/>
    <w:rsid w:val="00EE6FF1"/>
    <w:rsid w:val="00EF7379"/>
    <w:rsid w:val="00F06BE7"/>
    <w:rsid w:val="00F14216"/>
    <w:rsid w:val="00F2165E"/>
    <w:rsid w:val="00F25F90"/>
    <w:rsid w:val="00F32276"/>
    <w:rsid w:val="00F33C21"/>
    <w:rsid w:val="00F34093"/>
    <w:rsid w:val="00F36D68"/>
    <w:rsid w:val="00F44593"/>
    <w:rsid w:val="00F51A55"/>
    <w:rsid w:val="00F53242"/>
    <w:rsid w:val="00F55E6A"/>
    <w:rsid w:val="00F61D26"/>
    <w:rsid w:val="00F64C47"/>
    <w:rsid w:val="00F676AF"/>
    <w:rsid w:val="00F73959"/>
    <w:rsid w:val="00F75B4C"/>
    <w:rsid w:val="00F9041A"/>
    <w:rsid w:val="00F96B2C"/>
    <w:rsid w:val="00FA2598"/>
    <w:rsid w:val="00FA7BE2"/>
    <w:rsid w:val="00FB2D4F"/>
    <w:rsid w:val="00FB43D7"/>
    <w:rsid w:val="00FC1DC9"/>
    <w:rsid w:val="00FC537B"/>
    <w:rsid w:val="00FC6D8D"/>
    <w:rsid w:val="00FD2137"/>
    <w:rsid w:val="00FE15EE"/>
    <w:rsid w:val="00FE4F51"/>
    <w:rsid w:val="00FF0672"/>
    <w:rsid w:val="00FF2024"/>
    <w:rsid w:val="00FF5174"/>
    <w:rsid w:val="00FF6867"/>
    <w:rsid w:val="083FAE21"/>
    <w:rsid w:val="0F31C14A"/>
    <w:rsid w:val="23D8CEF4"/>
    <w:rsid w:val="25231A1C"/>
    <w:rsid w:val="289F35A4"/>
    <w:rsid w:val="2CB3393F"/>
    <w:rsid w:val="34CED15A"/>
    <w:rsid w:val="3B4F6FEC"/>
    <w:rsid w:val="430A87C2"/>
    <w:rsid w:val="45A6A3A5"/>
    <w:rsid w:val="493D6970"/>
    <w:rsid w:val="54AC3D35"/>
    <w:rsid w:val="5B4F4357"/>
    <w:rsid w:val="5C9E26BD"/>
    <w:rsid w:val="5CE22999"/>
    <w:rsid w:val="5F915594"/>
    <w:rsid w:val="65456D04"/>
    <w:rsid w:val="6B4AA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04FF"/>
  <w15:chartTrackingRefBased/>
  <w15:docId w15:val="{643ED79F-22A9-4E9F-A4FC-7D2225CD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89"/>
    <w:rPr>
      <w:rFonts w:ascii="Neue Haas Grotesk Text Pro" w:hAnsi="Neue Haas Grotesk Text Pro"/>
      <w:sz w:val="24"/>
      <w:szCs w:val="24"/>
    </w:rPr>
  </w:style>
  <w:style w:type="paragraph" w:styleId="Heading1">
    <w:name w:val="heading 1"/>
    <w:basedOn w:val="Normal"/>
    <w:next w:val="Normal"/>
    <w:link w:val="Heading1Char"/>
    <w:uiPriority w:val="9"/>
    <w:qFormat/>
    <w:rsid w:val="00D85F30"/>
    <w:pPr>
      <w:spacing w:before="480" w:after="120" w:line="240" w:lineRule="auto"/>
      <w:outlineLvl w:val="0"/>
    </w:pPr>
    <w:rPr>
      <w:b/>
      <w:bCs/>
      <w:sz w:val="36"/>
      <w:szCs w:val="36"/>
    </w:rPr>
  </w:style>
  <w:style w:type="paragraph" w:styleId="Heading2">
    <w:name w:val="heading 2"/>
    <w:basedOn w:val="Normal"/>
    <w:next w:val="Normal"/>
    <w:link w:val="Heading2Char"/>
    <w:uiPriority w:val="9"/>
    <w:unhideWhenUsed/>
    <w:qFormat/>
    <w:rsid w:val="00B90C3C"/>
    <w:pPr>
      <w:spacing w:before="360" w:after="12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1689"/>
    <w:pPr>
      <w:spacing w:before="1680" w:after="960" w:line="240" w:lineRule="auto"/>
    </w:pPr>
    <w:rPr>
      <w:b/>
      <w:bCs/>
      <w:sz w:val="72"/>
      <w:szCs w:val="72"/>
    </w:rPr>
  </w:style>
  <w:style w:type="character" w:customStyle="1" w:styleId="TitleChar">
    <w:name w:val="Title Char"/>
    <w:basedOn w:val="DefaultParagraphFont"/>
    <w:link w:val="Title"/>
    <w:uiPriority w:val="10"/>
    <w:rsid w:val="00171689"/>
    <w:rPr>
      <w:rFonts w:ascii="Neue Haas Grotesk Text Pro" w:hAnsi="Neue Haas Grotesk Text Pro"/>
      <w:b/>
      <w:bCs/>
      <w:sz w:val="72"/>
      <w:szCs w:val="72"/>
    </w:rPr>
  </w:style>
  <w:style w:type="paragraph" w:styleId="Subtitle">
    <w:name w:val="Subtitle"/>
    <w:basedOn w:val="Normal"/>
    <w:next w:val="Normal"/>
    <w:link w:val="SubtitleChar"/>
    <w:uiPriority w:val="11"/>
    <w:qFormat/>
    <w:rsid w:val="00171689"/>
    <w:pPr>
      <w:spacing w:before="1320" w:after="720"/>
    </w:pPr>
    <w:rPr>
      <w:b/>
      <w:bCs/>
      <w:sz w:val="48"/>
      <w:szCs w:val="48"/>
    </w:rPr>
  </w:style>
  <w:style w:type="character" w:customStyle="1" w:styleId="SubtitleChar">
    <w:name w:val="Subtitle Char"/>
    <w:basedOn w:val="DefaultParagraphFont"/>
    <w:link w:val="Subtitle"/>
    <w:uiPriority w:val="11"/>
    <w:rsid w:val="00171689"/>
    <w:rPr>
      <w:rFonts w:ascii="Neue Haas Grotesk Text Pro" w:hAnsi="Neue Haas Grotesk Text Pro"/>
      <w:b/>
      <w:bCs/>
      <w:sz w:val="48"/>
      <w:szCs w:val="48"/>
    </w:rPr>
  </w:style>
  <w:style w:type="character" w:customStyle="1" w:styleId="Heading1Char">
    <w:name w:val="Heading 1 Char"/>
    <w:basedOn w:val="DefaultParagraphFont"/>
    <w:link w:val="Heading1"/>
    <w:uiPriority w:val="9"/>
    <w:rsid w:val="00D85F30"/>
    <w:rPr>
      <w:rFonts w:ascii="Neue Haas Grotesk Text Pro" w:hAnsi="Neue Haas Grotesk Text Pro"/>
      <w:b/>
      <w:bCs/>
      <w:sz w:val="36"/>
      <w:szCs w:val="36"/>
    </w:rPr>
  </w:style>
  <w:style w:type="character" w:customStyle="1" w:styleId="Heading2Char">
    <w:name w:val="Heading 2 Char"/>
    <w:basedOn w:val="DefaultParagraphFont"/>
    <w:link w:val="Heading2"/>
    <w:uiPriority w:val="9"/>
    <w:rsid w:val="00B90C3C"/>
    <w:rPr>
      <w:rFonts w:ascii="Neue Haas Grotesk Text Pro" w:hAnsi="Neue Haas Grotesk Text Pro"/>
      <w:b/>
      <w:bCs/>
      <w:sz w:val="28"/>
      <w:szCs w:val="28"/>
    </w:rPr>
  </w:style>
  <w:style w:type="paragraph" w:styleId="TOCHeading">
    <w:name w:val="TOC Heading"/>
    <w:basedOn w:val="Heading1"/>
    <w:next w:val="Normal"/>
    <w:uiPriority w:val="39"/>
    <w:unhideWhenUsed/>
    <w:qFormat/>
    <w:rsid w:val="00A927B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927BD"/>
    <w:pPr>
      <w:spacing w:after="100"/>
    </w:pPr>
  </w:style>
  <w:style w:type="paragraph" w:styleId="TOC2">
    <w:name w:val="toc 2"/>
    <w:basedOn w:val="Normal"/>
    <w:next w:val="Normal"/>
    <w:autoRedefine/>
    <w:uiPriority w:val="39"/>
    <w:unhideWhenUsed/>
    <w:rsid w:val="00A927BD"/>
    <w:pPr>
      <w:spacing w:after="100"/>
      <w:ind w:left="240"/>
    </w:pPr>
  </w:style>
  <w:style w:type="character" w:styleId="Hyperlink">
    <w:name w:val="Hyperlink"/>
    <w:basedOn w:val="DefaultParagraphFont"/>
    <w:uiPriority w:val="99"/>
    <w:unhideWhenUsed/>
    <w:rsid w:val="00A927BD"/>
    <w:rPr>
      <w:color w:val="0563C1" w:themeColor="hyperlink"/>
      <w:u w:val="single"/>
    </w:rPr>
  </w:style>
  <w:style w:type="paragraph" w:styleId="ListParagraph">
    <w:name w:val="List Paragraph"/>
    <w:basedOn w:val="Normal"/>
    <w:uiPriority w:val="34"/>
    <w:qFormat/>
    <w:rsid w:val="005373DF"/>
    <w:pPr>
      <w:ind w:left="720"/>
      <w:contextualSpacing/>
    </w:pPr>
  </w:style>
  <w:style w:type="paragraph" w:customStyle="1" w:styleId="paragraph">
    <w:name w:val="paragraph"/>
    <w:basedOn w:val="Normal"/>
    <w:rsid w:val="005373DF"/>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5373DF"/>
  </w:style>
  <w:style w:type="character" w:customStyle="1" w:styleId="eop">
    <w:name w:val="eop"/>
    <w:basedOn w:val="DefaultParagraphFont"/>
    <w:rsid w:val="005373DF"/>
  </w:style>
  <w:style w:type="character" w:styleId="CommentReference">
    <w:name w:val="annotation reference"/>
    <w:basedOn w:val="DefaultParagraphFont"/>
    <w:uiPriority w:val="99"/>
    <w:semiHidden/>
    <w:unhideWhenUsed/>
    <w:rsid w:val="00B40666"/>
    <w:rPr>
      <w:sz w:val="16"/>
      <w:szCs w:val="16"/>
    </w:rPr>
  </w:style>
  <w:style w:type="paragraph" w:styleId="CommentText">
    <w:name w:val="annotation text"/>
    <w:basedOn w:val="Normal"/>
    <w:link w:val="CommentTextChar"/>
    <w:uiPriority w:val="99"/>
    <w:unhideWhenUsed/>
    <w:rsid w:val="00B40666"/>
    <w:pPr>
      <w:spacing w:line="240" w:lineRule="auto"/>
    </w:pPr>
    <w:rPr>
      <w:sz w:val="20"/>
      <w:szCs w:val="20"/>
    </w:rPr>
  </w:style>
  <w:style w:type="character" w:customStyle="1" w:styleId="CommentTextChar">
    <w:name w:val="Comment Text Char"/>
    <w:basedOn w:val="DefaultParagraphFont"/>
    <w:link w:val="CommentText"/>
    <w:uiPriority w:val="99"/>
    <w:rsid w:val="00B40666"/>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B40666"/>
    <w:rPr>
      <w:b/>
      <w:bCs/>
    </w:rPr>
  </w:style>
  <w:style w:type="character" w:customStyle="1" w:styleId="CommentSubjectChar">
    <w:name w:val="Comment Subject Char"/>
    <w:basedOn w:val="CommentTextChar"/>
    <w:link w:val="CommentSubject"/>
    <w:uiPriority w:val="99"/>
    <w:semiHidden/>
    <w:rsid w:val="00B40666"/>
    <w:rPr>
      <w:rFonts w:ascii="Neue Haas Grotesk Text Pro" w:hAnsi="Neue Haas Grotesk Text Pro"/>
      <w:b/>
      <w:bCs/>
      <w:sz w:val="20"/>
      <w:szCs w:val="20"/>
    </w:rPr>
  </w:style>
  <w:style w:type="paragraph" w:styleId="Header">
    <w:name w:val="header"/>
    <w:basedOn w:val="Normal"/>
    <w:link w:val="HeaderChar"/>
    <w:uiPriority w:val="99"/>
    <w:unhideWhenUsed/>
    <w:rsid w:val="00713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455"/>
    <w:rPr>
      <w:rFonts w:ascii="Neue Haas Grotesk Text Pro" w:hAnsi="Neue Haas Grotesk Text Pro"/>
      <w:sz w:val="24"/>
      <w:szCs w:val="24"/>
    </w:rPr>
  </w:style>
  <w:style w:type="paragraph" w:styleId="Footer">
    <w:name w:val="footer"/>
    <w:basedOn w:val="Normal"/>
    <w:link w:val="FooterChar"/>
    <w:uiPriority w:val="99"/>
    <w:unhideWhenUsed/>
    <w:rsid w:val="00713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455"/>
    <w:rPr>
      <w:rFonts w:ascii="Neue Haas Grotesk Text Pro" w:hAnsi="Neue Haas Grotesk Text Pro"/>
      <w:sz w:val="24"/>
      <w:szCs w:val="24"/>
    </w:rPr>
  </w:style>
  <w:style w:type="paragraph" w:styleId="Caption">
    <w:name w:val="caption"/>
    <w:basedOn w:val="Normal"/>
    <w:next w:val="Normal"/>
    <w:uiPriority w:val="35"/>
    <w:unhideWhenUsed/>
    <w:qFormat/>
    <w:rsid w:val="0011694D"/>
    <w:pPr>
      <w:spacing w:after="200" w:line="240" w:lineRule="auto"/>
    </w:pPr>
    <w:rPr>
      <w:i/>
      <w:iCs/>
      <w:color w:val="44546A" w:themeColor="text2"/>
      <w:sz w:val="18"/>
      <w:szCs w:val="18"/>
    </w:rPr>
  </w:style>
  <w:style w:type="paragraph" w:styleId="Revision">
    <w:name w:val="Revision"/>
    <w:hidden/>
    <w:uiPriority w:val="99"/>
    <w:semiHidden/>
    <w:rsid w:val="00221664"/>
    <w:pPr>
      <w:spacing w:after="0" w:line="240" w:lineRule="auto"/>
    </w:pPr>
    <w:rPr>
      <w:rFonts w:ascii="Neue Haas Grotesk Text Pro" w:hAnsi="Neue Haas Grotesk Tex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91235">
      <w:bodyDiv w:val="1"/>
      <w:marLeft w:val="0"/>
      <w:marRight w:val="0"/>
      <w:marTop w:val="0"/>
      <w:marBottom w:val="0"/>
      <w:divBdr>
        <w:top w:val="none" w:sz="0" w:space="0" w:color="auto"/>
        <w:left w:val="none" w:sz="0" w:space="0" w:color="auto"/>
        <w:bottom w:val="none" w:sz="0" w:space="0" w:color="auto"/>
        <w:right w:val="none" w:sz="0" w:space="0" w:color="auto"/>
      </w:divBdr>
    </w:div>
    <w:div w:id="1652245129">
      <w:bodyDiv w:val="1"/>
      <w:marLeft w:val="0"/>
      <w:marRight w:val="0"/>
      <w:marTop w:val="0"/>
      <w:marBottom w:val="0"/>
      <w:divBdr>
        <w:top w:val="none" w:sz="0" w:space="0" w:color="auto"/>
        <w:left w:val="none" w:sz="0" w:space="0" w:color="auto"/>
        <w:bottom w:val="none" w:sz="0" w:space="0" w:color="auto"/>
        <w:right w:val="none" w:sz="0" w:space="0" w:color="auto"/>
      </w:divBdr>
      <w:divsChild>
        <w:div w:id="236257573">
          <w:marLeft w:val="0"/>
          <w:marRight w:val="0"/>
          <w:marTop w:val="0"/>
          <w:marBottom w:val="0"/>
          <w:divBdr>
            <w:top w:val="none" w:sz="0" w:space="0" w:color="auto"/>
            <w:left w:val="none" w:sz="0" w:space="0" w:color="auto"/>
            <w:bottom w:val="none" w:sz="0" w:space="0" w:color="auto"/>
            <w:right w:val="none" w:sz="0" w:space="0" w:color="auto"/>
          </w:divBdr>
        </w:div>
        <w:div w:id="133649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bbeck.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3e77e6-3b33-4e7f-baf7-b806218a5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9FF03CCD0DD42BDD5001F7CD6E94E" ma:contentTypeVersion="6" ma:contentTypeDescription="Create a new document." ma:contentTypeScope="" ma:versionID="db8dab5a0ced7de93499622306d5ea3d">
  <xsd:schema xmlns:xsd="http://www.w3.org/2001/XMLSchema" xmlns:xs="http://www.w3.org/2001/XMLSchema" xmlns:p="http://schemas.microsoft.com/office/2006/metadata/properties" xmlns:ns2="193e77e6-3b33-4e7f-baf7-b806218a50f2" targetNamespace="http://schemas.microsoft.com/office/2006/metadata/properties" ma:root="true" ma:fieldsID="7069d28d500ef4d7328120da0113da2e" ns2:_="">
    <xsd:import namespace="193e77e6-3b33-4e7f-baf7-b806218a50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77e6-3b33-4e7f-baf7-b806218a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152efd-5bd1-4882-bbd3-e5266976f6b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CF3CE-0E89-4406-BAF2-F12C004CA92D}">
  <ds:schemaRefs>
    <ds:schemaRef ds:uri="http://schemas.openxmlformats.org/officeDocument/2006/bibliography"/>
  </ds:schemaRefs>
</ds:datastoreItem>
</file>

<file path=customXml/itemProps2.xml><?xml version="1.0" encoding="utf-8"?>
<ds:datastoreItem xmlns:ds="http://schemas.openxmlformats.org/officeDocument/2006/customXml" ds:itemID="{93410726-F2ED-4809-9D99-6292AB3FD8E8}">
  <ds:schemaRefs>
    <ds:schemaRef ds:uri="http://schemas.microsoft.com/office/2006/metadata/properties"/>
    <ds:schemaRef ds:uri="http://schemas.microsoft.com/office/infopath/2007/PartnerControls"/>
    <ds:schemaRef ds:uri="193e77e6-3b33-4e7f-baf7-b806218a50f2"/>
  </ds:schemaRefs>
</ds:datastoreItem>
</file>

<file path=customXml/itemProps3.xml><?xml version="1.0" encoding="utf-8"?>
<ds:datastoreItem xmlns:ds="http://schemas.openxmlformats.org/officeDocument/2006/customXml" ds:itemID="{DA30C825-8E21-4359-8670-B94C80C3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e77e6-3b33-4e7f-baf7-b806218a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562E1-9E3A-4918-8098-DCFAC8CB6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Links>
    <vt:vector size="156" baseType="variant">
      <vt:variant>
        <vt:i4>1310779</vt:i4>
      </vt:variant>
      <vt:variant>
        <vt:i4>149</vt:i4>
      </vt:variant>
      <vt:variant>
        <vt:i4>0</vt:i4>
      </vt:variant>
      <vt:variant>
        <vt:i4>5</vt:i4>
      </vt:variant>
      <vt:variant>
        <vt:lpwstr/>
      </vt:variant>
      <vt:variant>
        <vt:lpwstr>_Toc116484427</vt:lpwstr>
      </vt:variant>
      <vt:variant>
        <vt:i4>1310779</vt:i4>
      </vt:variant>
      <vt:variant>
        <vt:i4>143</vt:i4>
      </vt:variant>
      <vt:variant>
        <vt:i4>0</vt:i4>
      </vt:variant>
      <vt:variant>
        <vt:i4>5</vt:i4>
      </vt:variant>
      <vt:variant>
        <vt:lpwstr/>
      </vt:variant>
      <vt:variant>
        <vt:lpwstr>_Toc116484426</vt:lpwstr>
      </vt:variant>
      <vt:variant>
        <vt:i4>1310779</vt:i4>
      </vt:variant>
      <vt:variant>
        <vt:i4>137</vt:i4>
      </vt:variant>
      <vt:variant>
        <vt:i4>0</vt:i4>
      </vt:variant>
      <vt:variant>
        <vt:i4>5</vt:i4>
      </vt:variant>
      <vt:variant>
        <vt:lpwstr/>
      </vt:variant>
      <vt:variant>
        <vt:lpwstr>_Toc116484425</vt:lpwstr>
      </vt:variant>
      <vt:variant>
        <vt:i4>1310779</vt:i4>
      </vt:variant>
      <vt:variant>
        <vt:i4>131</vt:i4>
      </vt:variant>
      <vt:variant>
        <vt:i4>0</vt:i4>
      </vt:variant>
      <vt:variant>
        <vt:i4>5</vt:i4>
      </vt:variant>
      <vt:variant>
        <vt:lpwstr/>
      </vt:variant>
      <vt:variant>
        <vt:lpwstr>_Toc116484424</vt:lpwstr>
      </vt:variant>
      <vt:variant>
        <vt:i4>1310779</vt:i4>
      </vt:variant>
      <vt:variant>
        <vt:i4>125</vt:i4>
      </vt:variant>
      <vt:variant>
        <vt:i4>0</vt:i4>
      </vt:variant>
      <vt:variant>
        <vt:i4>5</vt:i4>
      </vt:variant>
      <vt:variant>
        <vt:lpwstr/>
      </vt:variant>
      <vt:variant>
        <vt:lpwstr>_Toc116484423</vt:lpwstr>
      </vt:variant>
      <vt:variant>
        <vt:i4>1310779</vt:i4>
      </vt:variant>
      <vt:variant>
        <vt:i4>119</vt:i4>
      </vt:variant>
      <vt:variant>
        <vt:i4>0</vt:i4>
      </vt:variant>
      <vt:variant>
        <vt:i4>5</vt:i4>
      </vt:variant>
      <vt:variant>
        <vt:lpwstr/>
      </vt:variant>
      <vt:variant>
        <vt:lpwstr>_Toc116484422</vt:lpwstr>
      </vt:variant>
      <vt:variant>
        <vt:i4>1310779</vt:i4>
      </vt:variant>
      <vt:variant>
        <vt:i4>113</vt:i4>
      </vt:variant>
      <vt:variant>
        <vt:i4>0</vt:i4>
      </vt:variant>
      <vt:variant>
        <vt:i4>5</vt:i4>
      </vt:variant>
      <vt:variant>
        <vt:lpwstr/>
      </vt:variant>
      <vt:variant>
        <vt:lpwstr>_Toc116484421</vt:lpwstr>
      </vt:variant>
      <vt:variant>
        <vt:i4>1310779</vt:i4>
      </vt:variant>
      <vt:variant>
        <vt:i4>107</vt:i4>
      </vt:variant>
      <vt:variant>
        <vt:i4>0</vt:i4>
      </vt:variant>
      <vt:variant>
        <vt:i4>5</vt:i4>
      </vt:variant>
      <vt:variant>
        <vt:lpwstr/>
      </vt:variant>
      <vt:variant>
        <vt:lpwstr>_Toc116484420</vt:lpwstr>
      </vt:variant>
      <vt:variant>
        <vt:i4>1507387</vt:i4>
      </vt:variant>
      <vt:variant>
        <vt:i4>101</vt:i4>
      </vt:variant>
      <vt:variant>
        <vt:i4>0</vt:i4>
      </vt:variant>
      <vt:variant>
        <vt:i4>5</vt:i4>
      </vt:variant>
      <vt:variant>
        <vt:lpwstr/>
      </vt:variant>
      <vt:variant>
        <vt:lpwstr>_Toc116484419</vt:lpwstr>
      </vt:variant>
      <vt:variant>
        <vt:i4>1507387</vt:i4>
      </vt:variant>
      <vt:variant>
        <vt:i4>95</vt:i4>
      </vt:variant>
      <vt:variant>
        <vt:i4>0</vt:i4>
      </vt:variant>
      <vt:variant>
        <vt:i4>5</vt:i4>
      </vt:variant>
      <vt:variant>
        <vt:lpwstr/>
      </vt:variant>
      <vt:variant>
        <vt:lpwstr>_Toc116484418</vt:lpwstr>
      </vt:variant>
      <vt:variant>
        <vt:i4>1507387</vt:i4>
      </vt:variant>
      <vt:variant>
        <vt:i4>89</vt:i4>
      </vt:variant>
      <vt:variant>
        <vt:i4>0</vt:i4>
      </vt:variant>
      <vt:variant>
        <vt:i4>5</vt:i4>
      </vt:variant>
      <vt:variant>
        <vt:lpwstr/>
      </vt:variant>
      <vt:variant>
        <vt:lpwstr>_Toc116484417</vt:lpwstr>
      </vt:variant>
      <vt:variant>
        <vt:i4>1507387</vt:i4>
      </vt:variant>
      <vt:variant>
        <vt:i4>83</vt:i4>
      </vt:variant>
      <vt:variant>
        <vt:i4>0</vt:i4>
      </vt:variant>
      <vt:variant>
        <vt:i4>5</vt:i4>
      </vt:variant>
      <vt:variant>
        <vt:lpwstr/>
      </vt:variant>
      <vt:variant>
        <vt:lpwstr>_Toc116484416</vt:lpwstr>
      </vt:variant>
      <vt:variant>
        <vt:i4>1507387</vt:i4>
      </vt:variant>
      <vt:variant>
        <vt:i4>77</vt:i4>
      </vt:variant>
      <vt:variant>
        <vt:i4>0</vt:i4>
      </vt:variant>
      <vt:variant>
        <vt:i4>5</vt:i4>
      </vt:variant>
      <vt:variant>
        <vt:lpwstr/>
      </vt:variant>
      <vt:variant>
        <vt:lpwstr>_Toc116484415</vt:lpwstr>
      </vt:variant>
      <vt:variant>
        <vt:i4>1507387</vt:i4>
      </vt:variant>
      <vt:variant>
        <vt:i4>71</vt:i4>
      </vt:variant>
      <vt:variant>
        <vt:i4>0</vt:i4>
      </vt:variant>
      <vt:variant>
        <vt:i4>5</vt:i4>
      </vt:variant>
      <vt:variant>
        <vt:lpwstr/>
      </vt:variant>
      <vt:variant>
        <vt:lpwstr>_Toc116484414</vt:lpwstr>
      </vt:variant>
      <vt:variant>
        <vt:i4>1507387</vt:i4>
      </vt:variant>
      <vt:variant>
        <vt:i4>65</vt:i4>
      </vt:variant>
      <vt:variant>
        <vt:i4>0</vt:i4>
      </vt:variant>
      <vt:variant>
        <vt:i4>5</vt:i4>
      </vt:variant>
      <vt:variant>
        <vt:lpwstr/>
      </vt:variant>
      <vt:variant>
        <vt:lpwstr>_Toc116484413</vt:lpwstr>
      </vt:variant>
      <vt:variant>
        <vt:i4>1507387</vt:i4>
      </vt:variant>
      <vt:variant>
        <vt:i4>59</vt:i4>
      </vt:variant>
      <vt:variant>
        <vt:i4>0</vt:i4>
      </vt:variant>
      <vt:variant>
        <vt:i4>5</vt:i4>
      </vt:variant>
      <vt:variant>
        <vt:lpwstr/>
      </vt:variant>
      <vt:variant>
        <vt:lpwstr>_Toc116484412</vt:lpwstr>
      </vt:variant>
      <vt:variant>
        <vt:i4>1507387</vt:i4>
      </vt:variant>
      <vt:variant>
        <vt:i4>53</vt:i4>
      </vt:variant>
      <vt:variant>
        <vt:i4>0</vt:i4>
      </vt:variant>
      <vt:variant>
        <vt:i4>5</vt:i4>
      </vt:variant>
      <vt:variant>
        <vt:lpwstr/>
      </vt:variant>
      <vt:variant>
        <vt:lpwstr>_Toc116484411</vt:lpwstr>
      </vt:variant>
      <vt:variant>
        <vt:i4>1507387</vt:i4>
      </vt:variant>
      <vt:variant>
        <vt:i4>47</vt:i4>
      </vt:variant>
      <vt:variant>
        <vt:i4>0</vt:i4>
      </vt:variant>
      <vt:variant>
        <vt:i4>5</vt:i4>
      </vt:variant>
      <vt:variant>
        <vt:lpwstr/>
      </vt:variant>
      <vt:variant>
        <vt:lpwstr>_Toc116484410</vt:lpwstr>
      </vt:variant>
      <vt:variant>
        <vt:i4>1441851</vt:i4>
      </vt:variant>
      <vt:variant>
        <vt:i4>41</vt:i4>
      </vt:variant>
      <vt:variant>
        <vt:i4>0</vt:i4>
      </vt:variant>
      <vt:variant>
        <vt:i4>5</vt:i4>
      </vt:variant>
      <vt:variant>
        <vt:lpwstr/>
      </vt:variant>
      <vt:variant>
        <vt:lpwstr>_Toc116484409</vt:lpwstr>
      </vt:variant>
      <vt:variant>
        <vt:i4>1441851</vt:i4>
      </vt:variant>
      <vt:variant>
        <vt:i4>35</vt:i4>
      </vt:variant>
      <vt:variant>
        <vt:i4>0</vt:i4>
      </vt:variant>
      <vt:variant>
        <vt:i4>5</vt:i4>
      </vt:variant>
      <vt:variant>
        <vt:lpwstr/>
      </vt:variant>
      <vt:variant>
        <vt:lpwstr>_Toc116484408</vt:lpwstr>
      </vt:variant>
      <vt:variant>
        <vt:i4>1441851</vt:i4>
      </vt:variant>
      <vt:variant>
        <vt:i4>29</vt:i4>
      </vt:variant>
      <vt:variant>
        <vt:i4>0</vt:i4>
      </vt:variant>
      <vt:variant>
        <vt:i4>5</vt:i4>
      </vt:variant>
      <vt:variant>
        <vt:lpwstr/>
      </vt:variant>
      <vt:variant>
        <vt:lpwstr>_Toc116484407</vt:lpwstr>
      </vt:variant>
      <vt:variant>
        <vt:i4>1441851</vt:i4>
      </vt:variant>
      <vt:variant>
        <vt:i4>23</vt:i4>
      </vt:variant>
      <vt:variant>
        <vt:i4>0</vt:i4>
      </vt:variant>
      <vt:variant>
        <vt:i4>5</vt:i4>
      </vt:variant>
      <vt:variant>
        <vt:lpwstr/>
      </vt:variant>
      <vt:variant>
        <vt:lpwstr>_Toc116484406</vt:lpwstr>
      </vt:variant>
      <vt:variant>
        <vt:i4>1441851</vt:i4>
      </vt:variant>
      <vt:variant>
        <vt:i4>17</vt:i4>
      </vt:variant>
      <vt:variant>
        <vt:i4>0</vt:i4>
      </vt:variant>
      <vt:variant>
        <vt:i4>5</vt:i4>
      </vt:variant>
      <vt:variant>
        <vt:lpwstr/>
      </vt:variant>
      <vt:variant>
        <vt:lpwstr>_Toc116484405</vt:lpwstr>
      </vt:variant>
      <vt:variant>
        <vt:i4>1441851</vt:i4>
      </vt:variant>
      <vt:variant>
        <vt:i4>11</vt:i4>
      </vt:variant>
      <vt:variant>
        <vt:i4>0</vt:i4>
      </vt:variant>
      <vt:variant>
        <vt:i4>5</vt:i4>
      </vt:variant>
      <vt:variant>
        <vt:lpwstr/>
      </vt:variant>
      <vt:variant>
        <vt:lpwstr>_Toc116484404</vt:lpwstr>
      </vt:variant>
      <vt:variant>
        <vt:i4>1441851</vt:i4>
      </vt:variant>
      <vt:variant>
        <vt:i4>5</vt:i4>
      </vt:variant>
      <vt:variant>
        <vt:i4>0</vt:i4>
      </vt:variant>
      <vt:variant>
        <vt:i4>5</vt:i4>
      </vt:variant>
      <vt:variant>
        <vt:lpwstr/>
      </vt:variant>
      <vt:variant>
        <vt:lpwstr>_Toc116484403</vt:lpwstr>
      </vt:variant>
      <vt:variant>
        <vt:i4>3866741</vt:i4>
      </vt:variant>
      <vt:variant>
        <vt:i4>0</vt:i4>
      </vt:variant>
      <vt:variant>
        <vt:i4>0</vt:i4>
      </vt:variant>
      <vt:variant>
        <vt:i4>5</vt:i4>
      </vt:variant>
      <vt:variant>
        <vt:lpwstr>http://www.rebbeck.com/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 Sophie</dc:creator>
  <cp:keywords/>
  <dc:description/>
  <cp:lastModifiedBy>Nugent, Maurice</cp:lastModifiedBy>
  <cp:revision>2</cp:revision>
  <dcterms:created xsi:type="dcterms:W3CDTF">2023-05-02T08:52:00Z</dcterms:created>
  <dcterms:modified xsi:type="dcterms:W3CDTF">2023-05-02T08:52:00Z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0x010100E9B9FF03CCD0DD42BDD5001F7CD6E94E</vt:lpwstr>
  </property>
  <property fmtid="{D5CDD505-2E9C-101B-9397-08002B2CF9AE}" pid="3" name="MediaServiceImageTags">
    <vt:lpwstr/>
  </property>
  <property fmtid="{D5CDD505-2E9C-101B-9397-08002B2CF9AE}" pid="4" name="GrammarlyDocumentId">
    <vt:lpwstr>74fe3d457ba27002df4297caf288cdfb657b7373aa94bf336c0121cb2e08d991</vt:lpwstr>
  </property>
</Properties>
</file>