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8C75" w14:textId="45E2D0DD" w:rsidR="00403954" w:rsidRDefault="00BC4617" w:rsidP="0090132D">
      <w:pPr>
        <w:spacing w:line="240" w:lineRule="auto"/>
        <w:jc w:val="both"/>
      </w:pPr>
      <w:r>
        <w:rPr>
          <w:noProof/>
        </w:rPr>
        <w:drawing>
          <wp:inline distT="0" distB="0" distL="0" distR="0" wp14:anchorId="4C1A0B14" wp14:editId="14CA699F">
            <wp:extent cx="3924300" cy="542397"/>
            <wp:effectExtent l="0" t="0" r="0" b="0"/>
            <wp:docPr id="5" name="Picture 5" descr="Government of Western Australia 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overnment of Western Australia Department of Finan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9669" cy="554196"/>
                    </a:xfrm>
                    <a:prstGeom prst="rect">
                      <a:avLst/>
                    </a:prstGeom>
                    <a:noFill/>
                  </pic:spPr>
                </pic:pic>
              </a:graphicData>
            </a:graphic>
          </wp:inline>
        </w:drawing>
      </w:r>
    </w:p>
    <w:p w14:paraId="0A6C92AE" w14:textId="5E29340D" w:rsidR="008C6558" w:rsidRPr="006E4F12" w:rsidRDefault="006E4F12" w:rsidP="0090132D">
      <w:pPr>
        <w:pStyle w:val="Title"/>
        <w:jc w:val="center"/>
      </w:pPr>
      <w:r w:rsidRPr="006E4F12">
        <w:t>Commissioning Toolkit for Community Services</w:t>
      </w:r>
    </w:p>
    <w:p w14:paraId="67B6A05C" w14:textId="1633E844" w:rsidR="00A16BCF" w:rsidRDefault="00D85F30" w:rsidP="0090132D">
      <w:pPr>
        <w:pStyle w:val="Subtitle"/>
        <w:spacing w:after="4080" w:line="240" w:lineRule="auto"/>
        <w:jc w:val="center"/>
      </w:pPr>
      <w:r>
        <w:t xml:space="preserve">Tool </w:t>
      </w:r>
      <w:r w:rsidR="008D4444">
        <w:t>7</w:t>
      </w:r>
      <w:r>
        <w:t>:</w:t>
      </w:r>
      <w:r w:rsidRPr="00D85F30">
        <w:t xml:space="preserve"> </w:t>
      </w:r>
      <w:r w:rsidR="00C873A6">
        <w:t>Manage and Monitor</w:t>
      </w:r>
    </w:p>
    <w:p w14:paraId="57A9C189" w14:textId="77777777" w:rsidR="00A16BCF" w:rsidRDefault="00A16BCF" w:rsidP="0090132D">
      <w:pPr>
        <w:spacing w:line="240" w:lineRule="auto"/>
        <w:jc w:val="both"/>
      </w:pPr>
      <w:r>
        <w:rPr>
          <w:noProof/>
        </w:rPr>
        <w:drawing>
          <wp:inline distT="0" distB="0" distL="0" distR="0" wp14:anchorId="73622E12" wp14:editId="36525754">
            <wp:extent cx="1670538" cy="591474"/>
            <wp:effectExtent l="0" t="0" r="6350" b="0"/>
            <wp:docPr id="28" name="Picture 28" descr="Rebbe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Rebbeck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181" cy="600199"/>
                    </a:xfrm>
                    <a:prstGeom prst="rect">
                      <a:avLst/>
                    </a:prstGeom>
                    <a:noFill/>
                    <a:ln>
                      <a:noFill/>
                    </a:ln>
                  </pic:spPr>
                </pic:pic>
              </a:graphicData>
            </a:graphic>
          </wp:inline>
        </w:drawing>
      </w:r>
    </w:p>
    <w:p w14:paraId="26729829" w14:textId="77777777" w:rsidR="00A16BCF" w:rsidRDefault="00A16BCF" w:rsidP="0090132D">
      <w:pPr>
        <w:spacing w:line="240" w:lineRule="auto"/>
        <w:jc w:val="both"/>
        <w:rPr>
          <w:sz w:val="20"/>
          <w:szCs w:val="20"/>
        </w:rPr>
      </w:pPr>
      <w:r w:rsidRPr="006B094F">
        <w:rPr>
          <w:sz w:val="20"/>
          <w:szCs w:val="20"/>
        </w:rPr>
        <w:t>The</w:t>
      </w:r>
      <w:r>
        <w:rPr>
          <w:sz w:val="20"/>
          <w:szCs w:val="20"/>
        </w:rPr>
        <w:t>se Commissioning Capability Tools have been developed by the Western Australian</w:t>
      </w:r>
      <w:r w:rsidRPr="006B094F">
        <w:rPr>
          <w:sz w:val="20"/>
          <w:szCs w:val="20"/>
        </w:rPr>
        <w:t xml:space="preserve"> Department of </w:t>
      </w:r>
      <w:r w:rsidRPr="005304BD">
        <w:rPr>
          <w:sz w:val="20"/>
          <w:szCs w:val="20"/>
        </w:rPr>
        <w:t>Finance, in</w:t>
      </w:r>
      <w:r w:rsidRPr="006B094F">
        <w:rPr>
          <w:sz w:val="20"/>
          <w:szCs w:val="20"/>
        </w:rPr>
        <w:t xml:space="preserve"> partnership with Rebbeck</w:t>
      </w:r>
      <w:r>
        <w:rPr>
          <w:sz w:val="20"/>
          <w:szCs w:val="20"/>
        </w:rPr>
        <w:t>.</w:t>
      </w:r>
    </w:p>
    <w:p w14:paraId="07166A2E" w14:textId="687E8223" w:rsidR="008C6558" w:rsidRPr="00A16BCF" w:rsidRDefault="00A16BCF" w:rsidP="0090132D">
      <w:pPr>
        <w:spacing w:line="240" w:lineRule="auto"/>
        <w:jc w:val="both"/>
        <w:rPr>
          <w:color w:val="0563C1" w:themeColor="hyperlink"/>
          <w:sz w:val="20"/>
          <w:szCs w:val="20"/>
          <w:u w:val="single"/>
        </w:rPr>
      </w:pPr>
      <w:r w:rsidRPr="006B094F">
        <w:rPr>
          <w:sz w:val="20"/>
          <w:szCs w:val="20"/>
        </w:rPr>
        <w:t xml:space="preserve">Rebbeck is a boutique strategy consultancy and commissioning support organisation that specialises in commissioning capability development. Rebbeck works with healthcare and public services organisations across Australia to support commissioning with a focus on reshaping services to achieve sustainable outcomes for the people of Australia. Find out more at </w:t>
      </w:r>
      <w:hyperlink r:id="rId13" w:history="1">
        <w:r w:rsidRPr="006B094F">
          <w:rPr>
            <w:rStyle w:val="Hyperlink"/>
            <w:sz w:val="20"/>
            <w:szCs w:val="20"/>
          </w:rPr>
          <w:t>www.rebbeck.com</w:t>
        </w:r>
      </w:hyperlink>
      <w:r w:rsidR="008C6558" w:rsidRPr="00BC4617">
        <w:br w:type="page"/>
      </w:r>
    </w:p>
    <w:p w14:paraId="1320CC9C" w14:textId="58535B2B" w:rsidR="00265CC6" w:rsidRPr="0090132D" w:rsidRDefault="00265CC6" w:rsidP="0090132D">
      <w:pPr>
        <w:pStyle w:val="Heading1"/>
        <w:jc w:val="both"/>
        <w:rPr>
          <w:color w:val="2F5496" w:themeColor="accent1" w:themeShade="BF"/>
        </w:rPr>
      </w:pPr>
      <w:bookmarkStart w:id="0" w:name="_Toc113979629"/>
      <w:r w:rsidRPr="0090132D">
        <w:rPr>
          <w:color w:val="2F5496" w:themeColor="accent1" w:themeShade="BF"/>
        </w:rPr>
        <w:lastRenderedPageBreak/>
        <w:t>Manage and Monitor</w:t>
      </w:r>
      <w:r w:rsidR="00542EF4" w:rsidRPr="0090132D">
        <w:rPr>
          <w:color w:val="2F5496" w:themeColor="accent1" w:themeShade="BF"/>
        </w:rPr>
        <w:t>:</w:t>
      </w:r>
      <w:r w:rsidRPr="0090132D">
        <w:rPr>
          <w:color w:val="2F5496" w:themeColor="accent1" w:themeShade="BF"/>
        </w:rPr>
        <w:t xml:space="preserve"> At a </w:t>
      </w:r>
      <w:proofErr w:type="gramStart"/>
      <w:r w:rsidR="00871912" w:rsidRPr="0090132D">
        <w:rPr>
          <w:color w:val="2F5496" w:themeColor="accent1" w:themeShade="BF"/>
        </w:rPr>
        <w:t>g</w:t>
      </w:r>
      <w:r w:rsidRPr="0090132D">
        <w:rPr>
          <w:color w:val="2F5496" w:themeColor="accent1" w:themeShade="BF"/>
        </w:rPr>
        <w:t>lanc</w:t>
      </w:r>
      <w:bookmarkEnd w:id="0"/>
      <w:r w:rsidRPr="0090132D">
        <w:rPr>
          <w:color w:val="2F5496" w:themeColor="accent1" w:themeShade="BF"/>
        </w:rPr>
        <w:t>e</w:t>
      </w:r>
      <w:proofErr w:type="gramEnd"/>
    </w:p>
    <w:p w14:paraId="6C563BC2" w14:textId="77777777" w:rsidR="00265CC6" w:rsidRDefault="00265CC6" w:rsidP="0090132D">
      <w:pPr>
        <w:spacing w:after="0" w:line="240" w:lineRule="auto"/>
        <w:jc w:val="both"/>
        <w:rPr>
          <w:b/>
          <w:bCs/>
          <w:color w:val="0C4C4C"/>
          <w:sz w:val="36"/>
          <w:szCs w:val="36"/>
        </w:rPr>
        <w:sectPr w:rsidR="00265CC6" w:rsidSect="00BE624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20"/>
          <w:titlePg/>
          <w:docGrid w:linePitch="326"/>
        </w:sectPr>
      </w:pPr>
    </w:p>
    <w:p w14:paraId="433F7F6E" w14:textId="77777777" w:rsidR="00265CC6" w:rsidRPr="003A2D2F" w:rsidRDefault="00265CC6" w:rsidP="0090132D">
      <w:pPr>
        <w:jc w:val="both"/>
        <w:rPr>
          <w:b/>
          <w:bCs/>
          <w:sz w:val="28"/>
          <w:szCs w:val="28"/>
        </w:rPr>
        <w:sectPr w:rsidR="00265CC6" w:rsidRPr="003A2D2F">
          <w:type w:val="continuous"/>
          <w:pgSz w:w="11906" w:h="16838"/>
          <w:pgMar w:top="1440" w:right="1440" w:bottom="1440" w:left="1440" w:header="708" w:footer="708" w:gutter="0"/>
          <w:cols w:num="2" w:space="706"/>
        </w:sectPr>
      </w:pPr>
    </w:p>
    <w:p w14:paraId="760885D6" w14:textId="5ADD663D" w:rsidR="00265CC6" w:rsidRPr="0090132D" w:rsidRDefault="00C03F07" w:rsidP="0090132D">
      <w:pPr>
        <w:jc w:val="both"/>
        <w:rPr>
          <w:b/>
          <w:bCs/>
          <w:color w:val="2F5496" w:themeColor="accent1" w:themeShade="BF"/>
          <w:sz w:val="28"/>
          <w:szCs w:val="28"/>
        </w:rPr>
      </w:pPr>
      <w:r w:rsidRPr="0090132D">
        <w:rPr>
          <w:b/>
          <w:bCs/>
          <w:color w:val="2F5496" w:themeColor="accent1" w:themeShade="BF"/>
          <w:sz w:val="28"/>
          <w:szCs w:val="28"/>
        </w:rPr>
        <w:t xml:space="preserve">1. </w:t>
      </w:r>
      <w:r w:rsidR="00265CC6" w:rsidRPr="0090132D">
        <w:rPr>
          <w:b/>
          <w:bCs/>
          <w:color w:val="2F5496" w:themeColor="accent1" w:themeShade="BF"/>
          <w:sz w:val="28"/>
          <w:szCs w:val="28"/>
        </w:rPr>
        <w:t>Overview</w:t>
      </w:r>
    </w:p>
    <w:p w14:paraId="7C810C5C" w14:textId="524ECC24" w:rsidR="00741213" w:rsidRPr="0090132D" w:rsidRDefault="00AE36A1" w:rsidP="0090132D">
      <w:pPr>
        <w:jc w:val="both"/>
        <w:rPr>
          <w:b/>
          <w:bCs/>
        </w:rPr>
      </w:pPr>
      <w:r w:rsidRPr="0090132D">
        <w:t xml:space="preserve">This tool uses the logic model (developed in Design Services) </w:t>
      </w:r>
      <w:r w:rsidR="006F70D8" w:rsidRPr="0090132D">
        <w:t xml:space="preserve">to </w:t>
      </w:r>
      <w:r w:rsidR="00EF53FB" w:rsidRPr="0090132D">
        <w:t>explain how we can identify and measure th</w:t>
      </w:r>
      <w:r w:rsidR="00406E13" w:rsidRPr="0090132D">
        <w:t xml:space="preserve">e data needed to manage performance and drive improvements. </w:t>
      </w:r>
    </w:p>
    <w:p w14:paraId="5979B7CE" w14:textId="53FC7B80" w:rsidR="00265CC6" w:rsidRPr="0090132D" w:rsidRDefault="00C03F07" w:rsidP="0090132D">
      <w:pPr>
        <w:jc w:val="both"/>
        <w:rPr>
          <w:b/>
          <w:bCs/>
          <w:color w:val="2F5496" w:themeColor="accent1" w:themeShade="BF"/>
          <w:sz w:val="28"/>
          <w:szCs w:val="28"/>
        </w:rPr>
      </w:pPr>
      <w:r w:rsidRPr="0090132D">
        <w:rPr>
          <w:b/>
          <w:bCs/>
          <w:color w:val="2F5496" w:themeColor="accent1" w:themeShade="BF"/>
          <w:sz w:val="28"/>
          <w:szCs w:val="28"/>
        </w:rPr>
        <w:t xml:space="preserve">2. </w:t>
      </w:r>
      <w:r w:rsidR="00265CC6" w:rsidRPr="0090132D">
        <w:rPr>
          <w:b/>
          <w:bCs/>
          <w:color w:val="2F5496" w:themeColor="accent1" w:themeShade="BF"/>
          <w:sz w:val="28"/>
          <w:szCs w:val="28"/>
        </w:rPr>
        <w:t>Purpose</w:t>
      </w:r>
    </w:p>
    <w:p w14:paraId="2D8D42E3" w14:textId="64EF0E51" w:rsidR="00265CC6" w:rsidRPr="000A7B0A" w:rsidRDefault="00EB3FCE" w:rsidP="0090132D">
      <w:pPr>
        <w:jc w:val="both"/>
      </w:pPr>
      <w:r w:rsidRPr="0090132D">
        <w:t xml:space="preserve">Manage and Monitor </w:t>
      </w:r>
      <w:r w:rsidR="000D08D7" w:rsidRPr="0090132D">
        <w:t>will aid commissioners in driving improved outcomes</w:t>
      </w:r>
      <w:r w:rsidR="00567403" w:rsidRPr="0090132D">
        <w:t>,</w:t>
      </w:r>
      <w:r w:rsidR="005E4552" w:rsidRPr="0090132D">
        <w:t xml:space="preserve"> which are good value for money and </w:t>
      </w:r>
      <w:r w:rsidR="00601BCF" w:rsidRPr="0090132D">
        <w:t xml:space="preserve">improve relationships </w:t>
      </w:r>
      <w:r w:rsidR="005B39D7" w:rsidRPr="0090132D">
        <w:t>with service providers</w:t>
      </w:r>
      <w:r w:rsidR="000A7B0A">
        <w:t>.</w:t>
      </w:r>
    </w:p>
    <w:p w14:paraId="0FDCB57F" w14:textId="48AE3038" w:rsidR="00741213" w:rsidRPr="008D2CEA" w:rsidRDefault="00265CC6" w:rsidP="0090132D">
      <w:pPr>
        <w:rPr>
          <w:b/>
          <w:bCs/>
          <w:sz w:val="28"/>
          <w:szCs w:val="28"/>
        </w:rPr>
      </w:pPr>
      <w:r w:rsidRPr="0090132D">
        <w:rPr>
          <w:b/>
          <w:bCs/>
          <w:color w:val="2F5496" w:themeColor="accent1" w:themeShade="BF"/>
          <w:sz w:val="28"/>
          <w:szCs w:val="28"/>
        </w:rPr>
        <w:t>3. Workflow</w:t>
      </w:r>
      <w:r>
        <w:rPr>
          <w:noProof/>
        </w:rPr>
        <mc:AlternateContent>
          <mc:Choice Requires="wpg">
            <w:drawing>
              <wp:inline distT="0" distB="0" distL="0" distR="0" wp14:anchorId="178AA93C" wp14:editId="04E3AA67">
                <wp:extent cx="2449000" cy="4263645"/>
                <wp:effectExtent l="0" t="0" r="27940" b="22860"/>
                <wp:docPr id="3" name="Group 3" descr="Workflow diagram showing 3 step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000" cy="4263645"/>
                          <a:chOff x="-106" y="0"/>
                          <a:chExt cx="24490" cy="42636"/>
                        </a:xfrm>
                      </wpg:grpSpPr>
                      <wpg:grpSp>
                        <wpg:cNvPr id="4" name="Group 28"/>
                        <wpg:cNvGrpSpPr>
                          <a:grpSpLocks/>
                        </wpg:cNvGrpSpPr>
                        <wpg:grpSpPr bwMode="auto">
                          <a:xfrm>
                            <a:off x="0" y="0"/>
                            <a:ext cx="24384" cy="14748"/>
                            <a:chOff x="0" y="0"/>
                            <a:chExt cx="24384" cy="14748"/>
                          </a:xfrm>
                        </wpg:grpSpPr>
                        <wpg:grpSp>
                          <wpg:cNvPr id="6" name="Group 18"/>
                          <wpg:cNvGrpSpPr>
                            <a:grpSpLocks/>
                          </wpg:cNvGrpSpPr>
                          <wpg:grpSpPr bwMode="auto">
                            <a:xfrm>
                              <a:off x="0" y="0"/>
                              <a:ext cx="24384" cy="12653"/>
                              <a:chOff x="0" y="571"/>
                              <a:chExt cx="24384" cy="12653"/>
                            </a:xfrm>
                          </wpg:grpSpPr>
                          <wps:wsp>
                            <wps:cNvPr id="7" name="Rectangle 16"/>
                            <wps:cNvSpPr>
                              <a:spLocks noChangeArrowheads="1"/>
                            </wps:cNvSpPr>
                            <wps:spPr bwMode="auto">
                              <a:xfrm>
                                <a:off x="0" y="2952"/>
                                <a:ext cx="24384" cy="10272"/>
                              </a:xfrm>
                              <a:prstGeom prst="rect">
                                <a:avLst/>
                              </a:prstGeom>
                              <a:noFill/>
                              <a:ln w="12700">
                                <a:solidFill>
                                  <a:schemeClr val="accent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F699889" w14:textId="77777777" w:rsidR="00265CC6" w:rsidRPr="0090132D" w:rsidRDefault="00265CC6" w:rsidP="00265CC6">
                                  <w:pPr>
                                    <w:jc w:val="center"/>
                                    <w:rPr>
                                      <w:color w:val="000000" w:themeColor="text1"/>
                                      <w:lang w:val="en-US"/>
                                    </w:rPr>
                                  </w:pPr>
                                </w:p>
                                <w:p w14:paraId="010D8F6C" w14:textId="6EBEDAB7" w:rsidR="00265CC6" w:rsidRPr="0090132D" w:rsidRDefault="00542EF4" w:rsidP="00265CC6">
                                  <w:pPr>
                                    <w:jc w:val="center"/>
                                    <w:rPr>
                                      <w:b/>
                                      <w:bCs/>
                                      <w:color w:val="000000" w:themeColor="text1"/>
                                      <w:lang w:val="en-US"/>
                                    </w:rPr>
                                  </w:pPr>
                                  <w:r w:rsidRPr="0090132D">
                                    <w:rPr>
                                      <w:b/>
                                      <w:bCs/>
                                      <w:color w:val="000000" w:themeColor="text1"/>
                                      <w:lang w:val="en-US"/>
                                    </w:rPr>
                                    <w:t>Identify measures</w:t>
                                  </w:r>
                                  <w:r w:rsidRPr="0090132D">
                                    <w:rPr>
                                      <w:color w:val="000000" w:themeColor="text1"/>
                                      <w:lang w:val="en-US"/>
                                    </w:rPr>
                                    <w:t xml:space="preserve"> and </w:t>
                                  </w:r>
                                  <w:r w:rsidRPr="0090132D">
                                    <w:rPr>
                                      <w:b/>
                                      <w:bCs/>
                                      <w:color w:val="000000" w:themeColor="text1"/>
                                      <w:lang w:val="en-US"/>
                                    </w:rPr>
                                    <w:t>indicators</w:t>
                                  </w:r>
                                </w:p>
                              </w:txbxContent>
                            </wps:txbx>
                            <wps:bodyPr rot="0" vert="horz" wrap="square" lIns="91440" tIns="45720" rIns="91440" bIns="45720" anchor="ctr" anchorCtr="0" upright="1">
                              <a:noAutofit/>
                            </wps:bodyPr>
                          </wps:wsp>
                          <wps:wsp>
                            <wps:cNvPr id="8" name="Oval 17"/>
                            <wps:cNvSpPr>
                              <a:spLocks noChangeArrowheads="1"/>
                            </wps:cNvSpPr>
                            <wps:spPr bwMode="auto">
                              <a:xfrm>
                                <a:off x="9906" y="571"/>
                                <a:ext cx="4572" cy="4572"/>
                              </a:xfrm>
                              <a:prstGeom prst="ellipse">
                                <a:avLst/>
                              </a:prstGeom>
                              <a:solidFill>
                                <a:schemeClr val="accent1">
                                  <a:lumMod val="75000"/>
                                </a:schemeClr>
                              </a:solidFill>
                              <a:ln w="12700">
                                <a:solidFill>
                                  <a:schemeClr val="accent1">
                                    <a:lumMod val="75000"/>
                                  </a:schemeClr>
                                </a:solidFill>
                                <a:miter lim="800000"/>
                                <a:headEnd/>
                                <a:tailEnd/>
                              </a:ln>
                            </wps:spPr>
                            <wps:txbx>
                              <w:txbxContent>
                                <w:p w14:paraId="45E6133B" w14:textId="77777777" w:rsidR="00265CC6" w:rsidRPr="00A16BCF" w:rsidRDefault="00265CC6" w:rsidP="00265CC6">
                                  <w:pPr>
                                    <w:jc w:val="center"/>
                                    <w:rPr>
                                      <w:b/>
                                      <w:bCs/>
                                      <w:color w:val="FFFFFF" w:themeColor="background1"/>
                                      <w:sz w:val="30"/>
                                      <w:szCs w:val="30"/>
                                      <w:lang w:val="en-US"/>
                                    </w:rPr>
                                  </w:pPr>
                                  <w:r w:rsidRPr="00A16BCF">
                                    <w:rPr>
                                      <w:b/>
                                      <w:bCs/>
                                      <w:color w:val="FFFFFF" w:themeColor="background1"/>
                                      <w:sz w:val="30"/>
                                      <w:szCs w:val="30"/>
                                      <w:lang w:val="en-US"/>
                                    </w:rPr>
                                    <w:t>1</w:t>
                                  </w:r>
                                </w:p>
                              </w:txbxContent>
                            </wps:txbx>
                            <wps:bodyPr rot="0" vert="horz" wrap="square" lIns="91440" tIns="45720" rIns="91440" bIns="45720" anchor="ctr" anchorCtr="0" upright="1">
                              <a:noAutofit/>
                            </wps:bodyPr>
                          </wps:wsp>
                        </wpg:grpSp>
                        <wps:wsp>
                          <wps:cNvPr id="9" name="Isosceles Triangle 19"/>
                          <wps:cNvSpPr>
                            <a:spLocks noChangeArrowheads="1"/>
                          </wps:cNvSpPr>
                          <wps:spPr bwMode="auto">
                            <a:xfrm rot="10800000">
                              <a:off x="9693" y="12653"/>
                              <a:ext cx="4667" cy="2095"/>
                            </a:xfrm>
                            <a:prstGeom prst="triangle">
                              <a:avLst>
                                <a:gd name="adj" fmla="val 50000"/>
                              </a:avLst>
                            </a:prstGeom>
                            <a:solidFill>
                              <a:schemeClr val="accent1">
                                <a:lumMod val="75000"/>
                              </a:schemeClr>
                            </a:solidFill>
                            <a:ln w="12700">
                              <a:solidFill>
                                <a:schemeClr val="accent1">
                                  <a:lumMod val="75000"/>
                                </a:schemeClr>
                              </a:solidFill>
                              <a:miter lim="800000"/>
                              <a:headEnd/>
                              <a:tailEnd/>
                            </a:ln>
                          </wps:spPr>
                          <wps:bodyPr rot="0" vert="horz" wrap="square" lIns="91440" tIns="45720" rIns="91440" bIns="45720" anchor="ctr" anchorCtr="0" upright="1">
                            <a:noAutofit/>
                          </wps:bodyPr>
                        </wps:wsp>
                      </wpg:grpSp>
                      <wpg:grpSp>
                        <wpg:cNvPr id="10" name="Group 34"/>
                        <wpg:cNvGrpSpPr>
                          <a:grpSpLocks/>
                        </wpg:cNvGrpSpPr>
                        <wpg:grpSpPr bwMode="auto">
                          <a:xfrm>
                            <a:off x="0" y="15309"/>
                            <a:ext cx="24384" cy="14905"/>
                            <a:chOff x="0" y="-1169"/>
                            <a:chExt cx="24384" cy="14904"/>
                          </a:xfrm>
                        </wpg:grpSpPr>
                        <wpg:grpSp>
                          <wpg:cNvPr id="11" name="Group 36"/>
                          <wpg:cNvGrpSpPr>
                            <a:grpSpLocks/>
                          </wpg:cNvGrpSpPr>
                          <wpg:grpSpPr bwMode="auto">
                            <a:xfrm>
                              <a:off x="0" y="-1169"/>
                              <a:ext cx="24384" cy="12653"/>
                              <a:chOff x="0" y="-598"/>
                              <a:chExt cx="24384" cy="12653"/>
                            </a:xfrm>
                          </wpg:grpSpPr>
                          <wps:wsp>
                            <wps:cNvPr id="12" name="Rectangle 37"/>
                            <wps:cNvSpPr>
                              <a:spLocks noChangeArrowheads="1"/>
                            </wps:cNvSpPr>
                            <wps:spPr bwMode="auto">
                              <a:xfrm>
                                <a:off x="0" y="2420"/>
                                <a:ext cx="24384" cy="9635"/>
                              </a:xfrm>
                              <a:prstGeom prst="rect">
                                <a:avLst/>
                              </a:prstGeom>
                              <a:noFill/>
                              <a:ln w="12700">
                                <a:solidFill>
                                  <a:schemeClr val="accent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0338E8" w14:textId="2AD992D9" w:rsidR="00265CC6" w:rsidRPr="0090132D" w:rsidRDefault="00222D62" w:rsidP="00265CC6">
                                  <w:pPr>
                                    <w:jc w:val="center"/>
                                    <w:rPr>
                                      <w:color w:val="000000" w:themeColor="text1"/>
                                      <w:lang w:val="en-US"/>
                                    </w:rPr>
                                  </w:pPr>
                                  <w:r w:rsidRPr="0090132D">
                                    <w:rPr>
                                      <w:color w:val="000000" w:themeColor="text1"/>
                                      <w:lang w:val="en-US"/>
                                    </w:rPr>
                                    <w:t xml:space="preserve">Develop a </w:t>
                                  </w:r>
                                  <w:r w:rsidRPr="0090132D">
                                    <w:rPr>
                                      <w:b/>
                                      <w:bCs/>
                                      <w:color w:val="000000" w:themeColor="text1"/>
                                      <w:lang w:val="en-US"/>
                                    </w:rPr>
                                    <w:t>monitoring plan</w:t>
                                  </w:r>
                                </w:p>
                              </w:txbxContent>
                            </wps:txbx>
                            <wps:bodyPr rot="0" vert="horz" wrap="square" lIns="91440" tIns="45720" rIns="91440" bIns="45720" anchor="ctr" anchorCtr="0" upright="1">
                              <a:noAutofit/>
                            </wps:bodyPr>
                          </wps:wsp>
                          <wps:wsp>
                            <wps:cNvPr id="13" name="Oval 38"/>
                            <wps:cNvSpPr>
                              <a:spLocks noChangeArrowheads="1"/>
                            </wps:cNvSpPr>
                            <wps:spPr bwMode="auto">
                              <a:xfrm>
                                <a:off x="9906" y="-598"/>
                                <a:ext cx="4572" cy="4572"/>
                              </a:xfrm>
                              <a:prstGeom prst="ellipse">
                                <a:avLst/>
                              </a:prstGeom>
                              <a:solidFill>
                                <a:schemeClr val="accent1">
                                  <a:lumMod val="75000"/>
                                </a:schemeClr>
                              </a:solidFill>
                              <a:ln w="12700">
                                <a:solidFill>
                                  <a:schemeClr val="accent1">
                                    <a:lumMod val="75000"/>
                                  </a:schemeClr>
                                </a:solidFill>
                                <a:miter lim="800000"/>
                                <a:headEnd/>
                                <a:tailEnd/>
                              </a:ln>
                            </wps:spPr>
                            <wps:txbx>
                              <w:txbxContent>
                                <w:p w14:paraId="5008125C" w14:textId="77777777" w:rsidR="00265CC6" w:rsidRPr="00A16BCF" w:rsidRDefault="00265CC6" w:rsidP="00265CC6">
                                  <w:pPr>
                                    <w:jc w:val="right"/>
                                    <w:rPr>
                                      <w:b/>
                                      <w:bCs/>
                                      <w:color w:val="FFFFFF" w:themeColor="background1"/>
                                      <w:sz w:val="30"/>
                                      <w:szCs w:val="30"/>
                                      <w:lang w:val="en-US"/>
                                    </w:rPr>
                                  </w:pPr>
                                  <w:r w:rsidRPr="00A16BCF">
                                    <w:rPr>
                                      <w:b/>
                                      <w:bCs/>
                                      <w:color w:val="FFFFFF" w:themeColor="background1"/>
                                      <w:sz w:val="30"/>
                                      <w:szCs w:val="30"/>
                                      <w:lang w:val="en-US"/>
                                    </w:rPr>
                                    <w:t>2</w:t>
                                  </w:r>
                                </w:p>
                              </w:txbxContent>
                            </wps:txbx>
                            <wps:bodyPr rot="0" vert="horz" wrap="square" lIns="91440" tIns="45720" rIns="91440" bIns="45720" anchor="ctr" anchorCtr="0" upright="1">
                              <a:noAutofit/>
                            </wps:bodyPr>
                          </wps:wsp>
                        </wpg:grpSp>
                        <wps:wsp>
                          <wps:cNvPr id="14" name="Isosceles Triangle 39"/>
                          <wps:cNvSpPr>
                            <a:spLocks noChangeArrowheads="1"/>
                          </wps:cNvSpPr>
                          <wps:spPr bwMode="auto">
                            <a:xfrm rot="10800000">
                              <a:off x="9906" y="11640"/>
                              <a:ext cx="4667" cy="2095"/>
                            </a:xfrm>
                            <a:prstGeom prst="triangle">
                              <a:avLst>
                                <a:gd name="adj" fmla="val 50000"/>
                              </a:avLst>
                            </a:prstGeom>
                            <a:solidFill>
                              <a:schemeClr val="accent1">
                                <a:lumMod val="75000"/>
                              </a:schemeClr>
                            </a:solidFill>
                            <a:ln w="12700">
                              <a:solidFill>
                                <a:schemeClr val="accent1">
                                  <a:lumMod val="75000"/>
                                </a:schemeClr>
                              </a:solidFill>
                              <a:miter lim="800000"/>
                              <a:headEnd/>
                              <a:tailEnd/>
                            </a:ln>
                          </wps:spPr>
                          <wps:bodyPr rot="0" vert="horz" wrap="square" lIns="91440" tIns="45720" rIns="91440" bIns="45720" anchor="ctr" anchorCtr="0" upright="1">
                            <a:noAutofit/>
                          </wps:bodyPr>
                        </wps:wsp>
                      </wpg:grpSp>
                      <wpg:grpSp>
                        <wpg:cNvPr id="15" name="Group 41"/>
                        <wpg:cNvGrpSpPr>
                          <a:grpSpLocks/>
                        </wpg:cNvGrpSpPr>
                        <wpg:grpSpPr bwMode="auto">
                          <a:xfrm>
                            <a:off x="-106" y="30764"/>
                            <a:ext cx="24384" cy="11872"/>
                            <a:chOff x="-106" y="-1621"/>
                            <a:chExt cx="24384" cy="11872"/>
                          </a:xfrm>
                        </wpg:grpSpPr>
                        <wps:wsp>
                          <wps:cNvPr id="16" name="Rectangle 42"/>
                          <wps:cNvSpPr>
                            <a:spLocks noChangeArrowheads="1"/>
                          </wps:cNvSpPr>
                          <wps:spPr bwMode="auto">
                            <a:xfrm>
                              <a:off x="-106" y="1037"/>
                              <a:ext cx="24384" cy="9214"/>
                            </a:xfrm>
                            <a:prstGeom prst="rect">
                              <a:avLst/>
                            </a:prstGeom>
                            <a:noFill/>
                            <a:ln w="12700">
                              <a:solidFill>
                                <a:schemeClr val="accent1">
                                  <a:lumMod val="75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401BD36" w14:textId="69CD354A" w:rsidR="00265CC6" w:rsidRPr="0090132D" w:rsidRDefault="00222D62" w:rsidP="00265CC6">
                                <w:pPr>
                                  <w:jc w:val="center"/>
                                  <w:rPr>
                                    <w:color w:val="000000" w:themeColor="text1"/>
                                    <w:lang w:val="en-US"/>
                                  </w:rPr>
                                </w:pPr>
                                <w:r w:rsidRPr="0090132D">
                                  <w:rPr>
                                    <w:color w:val="000000" w:themeColor="text1"/>
                                    <w:lang w:val="en-US"/>
                                  </w:rPr>
                                  <w:t xml:space="preserve">Conduct </w:t>
                                </w:r>
                                <w:r w:rsidRPr="0090132D">
                                  <w:rPr>
                                    <w:b/>
                                    <w:bCs/>
                                    <w:color w:val="000000" w:themeColor="text1"/>
                                    <w:lang w:val="en-US"/>
                                  </w:rPr>
                                  <w:t>performance monitoring</w:t>
                                </w:r>
                                <w:r w:rsidRPr="0090132D">
                                  <w:rPr>
                                    <w:color w:val="000000" w:themeColor="text1"/>
                                    <w:lang w:val="en-US"/>
                                  </w:rPr>
                                  <w:t xml:space="preserve"> for improvement </w:t>
                                </w:r>
                              </w:p>
                            </w:txbxContent>
                          </wps:txbx>
                          <wps:bodyPr rot="0" vert="horz" wrap="square" lIns="91440" tIns="45720" rIns="91440" bIns="45720" anchor="ctr" anchorCtr="0" upright="1">
                            <a:noAutofit/>
                          </wps:bodyPr>
                        </wps:wsp>
                        <wps:wsp>
                          <wps:cNvPr id="17" name="Oval 43"/>
                          <wps:cNvSpPr>
                            <a:spLocks noChangeArrowheads="1"/>
                          </wps:cNvSpPr>
                          <wps:spPr bwMode="auto">
                            <a:xfrm>
                              <a:off x="9906" y="-1621"/>
                              <a:ext cx="4572" cy="4572"/>
                            </a:xfrm>
                            <a:prstGeom prst="ellipse">
                              <a:avLst/>
                            </a:prstGeom>
                            <a:solidFill>
                              <a:schemeClr val="accent1">
                                <a:lumMod val="75000"/>
                              </a:schemeClr>
                            </a:solidFill>
                            <a:ln w="12700">
                              <a:solidFill>
                                <a:schemeClr val="accent1">
                                  <a:lumMod val="75000"/>
                                </a:schemeClr>
                              </a:solidFill>
                              <a:miter lim="800000"/>
                              <a:headEnd/>
                              <a:tailEnd/>
                            </a:ln>
                          </wps:spPr>
                          <wps:txbx>
                            <w:txbxContent>
                              <w:p w14:paraId="3D69578F" w14:textId="77777777" w:rsidR="00265CC6" w:rsidRPr="00A16BCF" w:rsidRDefault="00265CC6" w:rsidP="00265CC6">
                                <w:pPr>
                                  <w:jc w:val="right"/>
                                  <w:rPr>
                                    <w:b/>
                                    <w:bCs/>
                                    <w:color w:val="FFFFFF" w:themeColor="background1"/>
                                    <w:sz w:val="30"/>
                                    <w:szCs w:val="30"/>
                                    <w:lang w:val="en-US"/>
                                  </w:rPr>
                                </w:pPr>
                                <w:r w:rsidRPr="00A16BCF">
                                  <w:rPr>
                                    <w:b/>
                                    <w:bCs/>
                                    <w:color w:val="FFFFFF" w:themeColor="background1"/>
                                    <w:sz w:val="30"/>
                                    <w:szCs w:val="30"/>
                                    <w:lang w:val="en-US"/>
                                  </w:rPr>
                                  <w:t>3</w:t>
                                </w:r>
                              </w:p>
                            </w:txbxContent>
                          </wps:txbx>
                          <wps:bodyPr rot="0" vert="horz" wrap="square" lIns="91440" tIns="45720" rIns="91440" bIns="45720" anchor="ctr" anchorCtr="0" upright="1">
                            <a:noAutofit/>
                          </wps:bodyPr>
                        </wps:wsp>
                      </wpg:grpSp>
                    </wpg:wgp>
                  </a:graphicData>
                </a:graphic>
              </wp:inline>
            </w:drawing>
          </mc:Choice>
          <mc:Fallback>
            <w:pict>
              <v:group w14:anchorId="178AA93C" id="Group 3" o:spid="_x0000_s1026" alt="Workflow diagram showing 3 steps" style="width:192.85pt;height:335.7pt;mso-position-horizontal-relative:char;mso-position-vertical-relative:line" coordorigin="-106" coordsize="24490,4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">
                <v:group id="Group 28" o:spid="_x0000_s1027" style="position:absolute;width:24384;height:14748" coordsize="24384,1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8" o:spid="_x0000_s1028" style="position:absolute;width:24384;height:12653" coordorigin=",571" coordsize="24384,1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6" o:spid="_x0000_s1029" style="position:absolute;top:2952;width:24384;height:10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" filled="f" strokecolor="#2f5496 [2404]" strokeweight="1pt">
                      <v:textbox>
                        <w:txbxContent>
                          <w:p w14:paraId="2F699889" w14:textId="77777777" w:rsidR="00265CC6" w:rsidRPr="0090132D" w:rsidRDefault="00265CC6" w:rsidP="00265CC6">
                            <w:pPr>
                              <w:jc w:val="center"/>
                              <w:rPr>
                                <w:color w:val="000000" w:themeColor="text1"/>
                                <w:lang w:val="en-US"/>
                              </w:rPr>
                            </w:pPr>
                          </w:p>
                          <w:p w14:paraId="010D8F6C" w14:textId="6EBEDAB7" w:rsidR="00265CC6" w:rsidRPr="0090132D" w:rsidRDefault="00542EF4" w:rsidP="00265CC6">
                            <w:pPr>
                              <w:jc w:val="center"/>
                              <w:rPr>
                                <w:b/>
                                <w:bCs/>
                                <w:color w:val="000000" w:themeColor="text1"/>
                                <w:lang w:val="en-US"/>
                              </w:rPr>
                            </w:pPr>
                            <w:r w:rsidRPr="0090132D">
                              <w:rPr>
                                <w:b/>
                                <w:bCs/>
                                <w:color w:val="000000" w:themeColor="text1"/>
                                <w:lang w:val="en-US"/>
                              </w:rPr>
                              <w:t>Identify measures</w:t>
                            </w:r>
                            <w:r w:rsidRPr="0090132D">
                              <w:rPr>
                                <w:color w:val="000000" w:themeColor="text1"/>
                                <w:lang w:val="en-US"/>
                              </w:rPr>
                              <w:t xml:space="preserve"> and </w:t>
                            </w:r>
                            <w:r w:rsidRPr="0090132D">
                              <w:rPr>
                                <w:b/>
                                <w:bCs/>
                                <w:color w:val="000000" w:themeColor="text1"/>
                                <w:lang w:val="en-US"/>
                              </w:rPr>
                              <w:t>indicators</w:t>
                            </w:r>
                          </w:p>
                        </w:txbxContent>
                      </v:textbox>
                    </v:rect>
                    <v:oval id="Oval 17" o:spid="_x0000_s1030" style="position:absolute;left:9906;top:571;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" fillcolor="#2f5496 [2404]" strokecolor="#2f5496 [2404]" strokeweight="1pt">
                      <v:stroke joinstyle="miter"/>
                      <v:textbox>
                        <w:txbxContent>
                          <w:p w14:paraId="45E6133B" w14:textId="77777777" w:rsidR="00265CC6" w:rsidRPr="00A16BCF" w:rsidRDefault="00265CC6" w:rsidP="00265CC6">
                            <w:pPr>
                              <w:jc w:val="center"/>
                              <w:rPr>
                                <w:b/>
                                <w:bCs/>
                                <w:color w:val="FFFFFF" w:themeColor="background1"/>
                                <w:sz w:val="30"/>
                                <w:szCs w:val="30"/>
                                <w:lang w:val="en-US"/>
                              </w:rPr>
                            </w:pPr>
                            <w:r w:rsidRPr="00A16BCF">
                              <w:rPr>
                                <w:b/>
                                <w:bCs/>
                                <w:color w:val="FFFFFF" w:themeColor="background1"/>
                                <w:sz w:val="30"/>
                                <w:szCs w:val="30"/>
                                <w:lang w:val="en-US"/>
                              </w:rPr>
                              <w:t>1</w:t>
                            </w:r>
                          </w:p>
                        </w:txbxContent>
                      </v:textbox>
                    </v:oval>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31" type="#_x0000_t5" style="position:absolute;left:9693;top:12653;width:4667;height:2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" fillcolor="#2f5496 [2404]" strokecolor="#2f5496 [2404]" strokeweight="1pt"/>
                </v:group>
                <v:group id="Group 34" o:spid="_x0000_s1032" style="position:absolute;top:15309;width:24384;height:14905" coordorigin=",-1169" coordsize="24384,1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36" o:spid="_x0000_s1033" style="position:absolute;top:-1169;width:24384;height:12653" coordorigin=",-598" coordsize="24384,1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7" o:spid="_x0000_s1034" style="position:absolute;top:2420;width:24384;height:9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" filled="f" strokecolor="#2f5496 [2404]" strokeweight="1pt">
                      <v:textbox>
                        <w:txbxContent>
                          <w:p w14:paraId="130338E8" w14:textId="2AD992D9" w:rsidR="00265CC6" w:rsidRPr="0090132D" w:rsidRDefault="00222D62" w:rsidP="00265CC6">
                            <w:pPr>
                              <w:jc w:val="center"/>
                              <w:rPr>
                                <w:color w:val="000000" w:themeColor="text1"/>
                                <w:lang w:val="en-US"/>
                              </w:rPr>
                            </w:pPr>
                            <w:r w:rsidRPr="0090132D">
                              <w:rPr>
                                <w:color w:val="000000" w:themeColor="text1"/>
                                <w:lang w:val="en-US"/>
                              </w:rPr>
                              <w:t xml:space="preserve">Develop a </w:t>
                            </w:r>
                            <w:r w:rsidRPr="0090132D">
                              <w:rPr>
                                <w:b/>
                                <w:bCs/>
                                <w:color w:val="000000" w:themeColor="text1"/>
                                <w:lang w:val="en-US"/>
                              </w:rPr>
                              <w:t>monitoring plan</w:t>
                            </w:r>
                          </w:p>
                        </w:txbxContent>
                      </v:textbox>
                    </v:rect>
                    <v:oval id="Oval 38" o:spid="_x0000_s1035" style="position:absolute;left:9906;top:-598;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" fillcolor="#2f5496 [2404]" strokecolor="#2f5496 [2404]" strokeweight="1pt">
                      <v:stroke joinstyle="miter"/>
                      <v:textbox>
                        <w:txbxContent>
                          <w:p w14:paraId="5008125C" w14:textId="77777777" w:rsidR="00265CC6" w:rsidRPr="00A16BCF" w:rsidRDefault="00265CC6" w:rsidP="00265CC6">
                            <w:pPr>
                              <w:jc w:val="right"/>
                              <w:rPr>
                                <w:b/>
                                <w:bCs/>
                                <w:color w:val="FFFFFF" w:themeColor="background1"/>
                                <w:sz w:val="30"/>
                                <w:szCs w:val="30"/>
                                <w:lang w:val="en-US"/>
                              </w:rPr>
                            </w:pPr>
                            <w:r w:rsidRPr="00A16BCF">
                              <w:rPr>
                                <w:b/>
                                <w:bCs/>
                                <w:color w:val="FFFFFF" w:themeColor="background1"/>
                                <w:sz w:val="30"/>
                                <w:szCs w:val="30"/>
                                <w:lang w:val="en-US"/>
                              </w:rPr>
                              <w:t>2</w:t>
                            </w:r>
                          </w:p>
                        </w:txbxContent>
                      </v:textbox>
                    </v:oval>
                  </v:group>
                  <v:shape id="Isosceles Triangle 39" o:spid="_x0000_s1036" type="#_x0000_t5" style="position:absolute;left:9906;top:11640;width:4667;height:2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" fillcolor="#2f5496 [2404]" strokecolor="#2f5496 [2404]" strokeweight="1pt"/>
                </v:group>
                <v:group id="Group 41" o:spid="_x0000_s1037" style="position:absolute;left:-106;top:30764;width:24384;height:11872" coordorigin="-106,-1621" coordsize="24384,1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42" o:spid="_x0000_s1038" style="position:absolute;left:-106;top:1037;width:24384;height:9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" filled="f" strokecolor="#2f5496 [2404]" strokeweight="1pt">
                    <v:textbox>
                      <w:txbxContent>
                        <w:p w14:paraId="4401BD36" w14:textId="69CD354A" w:rsidR="00265CC6" w:rsidRPr="0090132D" w:rsidRDefault="00222D62" w:rsidP="00265CC6">
                          <w:pPr>
                            <w:jc w:val="center"/>
                            <w:rPr>
                              <w:color w:val="000000" w:themeColor="text1"/>
                              <w:lang w:val="en-US"/>
                            </w:rPr>
                          </w:pPr>
                          <w:r w:rsidRPr="0090132D">
                            <w:rPr>
                              <w:color w:val="000000" w:themeColor="text1"/>
                              <w:lang w:val="en-US"/>
                            </w:rPr>
                            <w:t xml:space="preserve">Conduct </w:t>
                          </w:r>
                          <w:r w:rsidRPr="0090132D">
                            <w:rPr>
                              <w:b/>
                              <w:bCs/>
                              <w:color w:val="000000" w:themeColor="text1"/>
                              <w:lang w:val="en-US"/>
                            </w:rPr>
                            <w:t>performance monitoring</w:t>
                          </w:r>
                          <w:r w:rsidRPr="0090132D">
                            <w:rPr>
                              <w:color w:val="000000" w:themeColor="text1"/>
                              <w:lang w:val="en-US"/>
                            </w:rPr>
                            <w:t xml:space="preserve"> for improvement </w:t>
                          </w:r>
                        </w:p>
                      </w:txbxContent>
                    </v:textbox>
                  </v:rect>
                  <v:oval id="Oval 43" o:spid="_x0000_s1039" style="position:absolute;left:9906;top:-1621;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" fillcolor="#2f5496 [2404]" strokecolor="#2f5496 [2404]" strokeweight="1pt">
                    <v:stroke joinstyle="miter"/>
                    <v:textbox>
                      <w:txbxContent>
                        <w:p w14:paraId="3D69578F" w14:textId="77777777" w:rsidR="00265CC6" w:rsidRPr="00A16BCF" w:rsidRDefault="00265CC6" w:rsidP="00265CC6">
                          <w:pPr>
                            <w:jc w:val="right"/>
                            <w:rPr>
                              <w:b/>
                              <w:bCs/>
                              <w:color w:val="FFFFFF" w:themeColor="background1"/>
                              <w:sz w:val="30"/>
                              <w:szCs w:val="30"/>
                              <w:lang w:val="en-US"/>
                            </w:rPr>
                          </w:pPr>
                          <w:r w:rsidRPr="00A16BCF">
                            <w:rPr>
                              <w:b/>
                              <w:bCs/>
                              <w:color w:val="FFFFFF" w:themeColor="background1"/>
                              <w:sz w:val="30"/>
                              <w:szCs w:val="30"/>
                              <w:lang w:val="en-US"/>
                            </w:rPr>
                            <w:t>3</w:t>
                          </w:r>
                        </w:p>
                      </w:txbxContent>
                    </v:textbox>
                  </v:oval>
                </v:group>
                <w10:anchorlock/>
              </v:group>
            </w:pict>
          </mc:Fallback>
        </mc:AlternateContent>
      </w:r>
    </w:p>
    <w:p w14:paraId="7811F0C6" w14:textId="77777777" w:rsidR="00A16BCF" w:rsidRPr="0090132D" w:rsidRDefault="00A16BCF" w:rsidP="0090132D">
      <w:pPr>
        <w:spacing w:after="120"/>
        <w:jc w:val="both"/>
        <w:rPr>
          <w:b/>
          <w:bCs/>
          <w:color w:val="2F5496" w:themeColor="accent1" w:themeShade="BF"/>
          <w:sz w:val="28"/>
          <w:szCs w:val="28"/>
        </w:rPr>
      </w:pPr>
    </w:p>
    <w:p w14:paraId="5B68FF24" w14:textId="634EE319" w:rsidR="00265CC6" w:rsidRPr="0090132D" w:rsidRDefault="00265CC6" w:rsidP="0090132D">
      <w:pPr>
        <w:spacing w:after="120"/>
        <w:jc w:val="both"/>
        <w:rPr>
          <w:b/>
          <w:bCs/>
          <w:color w:val="2F5496" w:themeColor="accent1" w:themeShade="BF"/>
          <w:sz w:val="28"/>
          <w:szCs w:val="28"/>
        </w:rPr>
      </w:pPr>
      <w:r w:rsidRPr="0090132D">
        <w:rPr>
          <w:b/>
          <w:bCs/>
          <w:color w:val="2F5496" w:themeColor="accent1" w:themeShade="BF"/>
          <w:sz w:val="28"/>
          <w:szCs w:val="28"/>
        </w:rPr>
        <w:t>4. Output</w:t>
      </w:r>
    </w:p>
    <w:p w14:paraId="30B4E62C" w14:textId="16D7A2EF" w:rsidR="00265CC6" w:rsidRPr="0090132D" w:rsidRDefault="00934DF2" w:rsidP="0090132D">
      <w:pPr>
        <w:spacing w:after="120"/>
        <w:jc w:val="both"/>
      </w:pPr>
      <w:r w:rsidRPr="0090132D">
        <w:t>The tool enables commission</w:t>
      </w:r>
      <w:r w:rsidR="00CB5BD5" w:rsidRPr="0090132D">
        <w:t>ers</w:t>
      </w:r>
      <w:r w:rsidRPr="0090132D">
        <w:t xml:space="preserve"> to </w:t>
      </w:r>
      <w:r w:rsidR="00542EF4" w:rsidRPr="0090132D">
        <w:t>develop a plan for measurement and</w:t>
      </w:r>
      <w:r w:rsidR="00537C68" w:rsidRPr="0090132D">
        <w:t xml:space="preserve"> performance improvement which considers </w:t>
      </w:r>
      <w:r w:rsidR="00542EF4" w:rsidRPr="0090132D">
        <w:t xml:space="preserve">the barriers and evolution of </w:t>
      </w:r>
      <w:r w:rsidR="00613EE3" w:rsidRPr="0090132D">
        <w:t xml:space="preserve">data collection </w:t>
      </w:r>
      <w:r w:rsidR="00542EF4" w:rsidRPr="0090132D">
        <w:t>across a program</w:t>
      </w:r>
      <w:r w:rsidR="00C16AC5" w:rsidRPr="0090132D">
        <w:t>.</w:t>
      </w:r>
    </w:p>
    <w:p w14:paraId="26EF037F" w14:textId="208C703C" w:rsidR="00265CC6" w:rsidRPr="0090132D" w:rsidRDefault="00265CC6" w:rsidP="0090132D">
      <w:pPr>
        <w:spacing w:after="120"/>
        <w:jc w:val="both"/>
        <w:rPr>
          <w:b/>
          <w:bCs/>
          <w:color w:val="2F5496" w:themeColor="accent1" w:themeShade="BF"/>
          <w:sz w:val="28"/>
          <w:szCs w:val="28"/>
        </w:rPr>
      </w:pPr>
      <w:r w:rsidRPr="0090132D">
        <w:rPr>
          <w:b/>
          <w:bCs/>
          <w:color w:val="2F5496" w:themeColor="accent1" w:themeShade="BF"/>
          <w:sz w:val="28"/>
          <w:szCs w:val="28"/>
        </w:rPr>
        <w:t xml:space="preserve">5. Tools and </w:t>
      </w:r>
      <w:r w:rsidR="006F4671" w:rsidRPr="0090132D">
        <w:rPr>
          <w:b/>
          <w:bCs/>
          <w:color w:val="2F5496" w:themeColor="accent1" w:themeShade="BF"/>
          <w:sz w:val="28"/>
          <w:szCs w:val="28"/>
        </w:rPr>
        <w:t>r</w:t>
      </w:r>
      <w:r w:rsidRPr="0090132D">
        <w:rPr>
          <w:b/>
          <w:bCs/>
          <w:color w:val="2F5496" w:themeColor="accent1" w:themeShade="BF"/>
          <w:sz w:val="28"/>
          <w:szCs w:val="28"/>
        </w:rPr>
        <w:t>esources</w:t>
      </w:r>
    </w:p>
    <w:p w14:paraId="3A65ECFD" w14:textId="33825A3A" w:rsidR="00265CC6" w:rsidRPr="0090132D" w:rsidRDefault="00542EF4" w:rsidP="0090132D">
      <w:pPr>
        <w:spacing w:after="120"/>
        <w:jc w:val="both"/>
        <w:rPr>
          <w:b/>
          <w:bCs/>
        </w:rPr>
      </w:pPr>
      <w:r w:rsidRPr="0090132D">
        <w:t>Nil</w:t>
      </w:r>
    </w:p>
    <w:p w14:paraId="422BE708" w14:textId="6D8A6AF5" w:rsidR="00265CC6" w:rsidRPr="0090132D" w:rsidRDefault="00265CC6" w:rsidP="0090132D">
      <w:pPr>
        <w:jc w:val="both"/>
        <w:rPr>
          <w:sz w:val="20"/>
          <w:szCs w:val="20"/>
        </w:rPr>
        <w:sectPr w:rsidR="00265CC6" w:rsidRPr="0090132D">
          <w:type w:val="continuous"/>
          <w:pgSz w:w="11906" w:h="16838"/>
          <w:pgMar w:top="1440" w:right="1440" w:bottom="1440" w:left="1440" w:header="708" w:footer="708" w:gutter="0"/>
          <w:cols w:num="2" w:space="706"/>
        </w:sectPr>
      </w:pPr>
    </w:p>
    <w:p w14:paraId="1B5F2CEF" w14:textId="38733CBB" w:rsidR="00D85F30" w:rsidRDefault="00AB4C2D" w:rsidP="0090132D">
      <w:pPr>
        <w:pStyle w:val="Heading1"/>
        <w:jc w:val="both"/>
      </w:pPr>
      <w:bookmarkStart w:id="1" w:name="_Toc115940705"/>
      <w:bookmarkStart w:id="2" w:name="_Toc1713229240"/>
      <w:r>
        <w:rPr>
          <w:noProof/>
        </w:rPr>
        <w:lastRenderedPageBreak/>
        <w:drawing>
          <wp:anchor distT="0" distB="0" distL="114300" distR="114300" simplePos="0" relativeHeight="251658240" behindDoc="0" locked="0" layoutInCell="1" allowOverlap="1" wp14:anchorId="324A3B81" wp14:editId="007A04BA">
            <wp:simplePos x="0" y="0"/>
            <wp:positionH relativeFrom="margin">
              <wp:posOffset>3317331</wp:posOffset>
            </wp:positionH>
            <wp:positionV relativeFrom="paragraph">
              <wp:posOffset>313146</wp:posOffset>
            </wp:positionV>
            <wp:extent cx="2678299" cy="2667000"/>
            <wp:effectExtent l="0" t="0" r="825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78299" cy="2667000"/>
                    </a:xfrm>
                    <a:prstGeom prst="rect">
                      <a:avLst/>
                    </a:prstGeom>
                    <a:noFill/>
                  </pic:spPr>
                </pic:pic>
              </a:graphicData>
            </a:graphic>
          </wp:anchor>
        </w:drawing>
      </w:r>
      <w:r w:rsidR="00A927BD">
        <w:t xml:space="preserve">1. </w:t>
      </w:r>
      <w:r w:rsidR="00D85F30">
        <w:t>Overview</w:t>
      </w:r>
      <w:bookmarkEnd w:id="1"/>
      <w:r w:rsidR="00D85F30">
        <w:t xml:space="preserve"> </w:t>
      </w:r>
      <w:bookmarkEnd w:id="2"/>
    </w:p>
    <w:p w14:paraId="4184793F" w14:textId="36EE4C68" w:rsidR="00AB3146" w:rsidRPr="00063A91" w:rsidRDefault="00AB3146" w:rsidP="00007E2A">
      <w:pPr>
        <w:pStyle w:val="Heading2"/>
        <w:spacing w:line="259" w:lineRule="auto"/>
        <w:jc w:val="both"/>
        <w:rPr>
          <w:b w:val="0"/>
          <w:bCs w:val="0"/>
          <w:sz w:val="24"/>
          <w:szCs w:val="24"/>
        </w:rPr>
      </w:pPr>
      <w:bookmarkStart w:id="3" w:name="_Toc115940706"/>
      <w:bookmarkStart w:id="4" w:name="_Toc2142770640"/>
      <w:r w:rsidRPr="00063A91">
        <w:rPr>
          <w:b w:val="0"/>
          <w:bCs w:val="0"/>
          <w:sz w:val="24"/>
          <w:szCs w:val="24"/>
        </w:rPr>
        <w:t>Once services have been procured</w:t>
      </w:r>
      <w:r w:rsidR="00AB4C2D" w:rsidRPr="00063A91">
        <w:rPr>
          <w:b w:val="0"/>
          <w:bCs w:val="0"/>
          <w:sz w:val="24"/>
          <w:szCs w:val="24"/>
        </w:rPr>
        <w:t xml:space="preserve">, </w:t>
      </w:r>
      <w:r w:rsidR="00B838AE">
        <w:rPr>
          <w:b w:val="0"/>
          <w:bCs w:val="0"/>
          <w:sz w:val="24"/>
          <w:szCs w:val="24"/>
        </w:rPr>
        <w:t>commissioners need to have oversight of the performance of the</w:t>
      </w:r>
      <w:r w:rsidR="00AB4C2D" w:rsidRPr="00063A91">
        <w:rPr>
          <w:b w:val="0"/>
          <w:bCs w:val="0"/>
          <w:sz w:val="24"/>
          <w:szCs w:val="24"/>
        </w:rPr>
        <w:t xml:space="preserve"> contracted service provider. This tool covers the Manage and Monitor </w:t>
      </w:r>
      <w:r w:rsidR="00223A15">
        <w:rPr>
          <w:b w:val="0"/>
          <w:bCs w:val="0"/>
          <w:sz w:val="24"/>
          <w:szCs w:val="24"/>
        </w:rPr>
        <w:t>phase</w:t>
      </w:r>
      <w:r w:rsidR="00AB4C2D" w:rsidRPr="00063A91">
        <w:rPr>
          <w:b w:val="0"/>
          <w:bCs w:val="0"/>
          <w:sz w:val="24"/>
          <w:szCs w:val="24"/>
        </w:rPr>
        <w:t xml:space="preserve"> of the commissioning cycle.</w:t>
      </w:r>
    </w:p>
    <w:p w14:paraId="396D25F4" w14:textId="4769A9B9" w:rsidR="009A5B4D" w:rsidRPr="00063A91" w:rsidRDefault="00D00B2E" w:rsidP="00E26823">
      <w:pPr>
        <w:jc w:val="both"/>
      </w:pPr>
      <w:r>
        <w:rPr>
          <w:noProof/>
        </w:rPr>
        <mc:AlternateContent>
          <mc:Choice Requires="wps">
            <w:drawing>
              <wp:anchor distT="0" distB="0" distL="114300" distR="114300" simplePos="0" relativeHeight="251660288" behindDoc="0" locked="0" layoutInCell="1" allowOverlap="1" wp14:anchorId="0003D487" wp14:editId="6413FEF4">
                <wp:simplePos x="0" y="0"/>
                <wp:positionH relativeFrom="column">
                  <wp:posOffset>3460750</wp:posOffset>
                </wp:positionH>
                <wp:positionV relativeFrom="paragraph">
                  <wp:posOffset>1312092</wp:posOffset>
                </wp:positionV>
                <wp:extent cx="2386330" cy="635"/>
                <wp:effectExtent l="0" t="0" r="0" b="0"/>
                <wp:wrapSquare wrapText="bothSides"/>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86330" cy="635"/>
                        </a:xfrm>
                        <a:prstGeom prst="rect">
                          <a:avLst/>
                        </a:prstGeom>
                        <a:solidFill>
                          <a:prstClr val="white"/>
                        </a:solidFill>
                        <a:ln>
                          <a:noFill/>
                        </a:ln>
                      </wps:spPr>
                      <wps:txbx>
                        <w:txbxContent>
                          <w:p w14:paraId="5B6897E1" w14:textId="77777777" w:rsidR="009A5B4D" w:rsidRPr="0090132D" w:rsidRDefault="009A5B4D" w:rsidP="009A5B4D">
                            <w:pPr>
                              <w:pStyle w:val="Caption"/>
                              <w:jc w:val="center"/>
                              <w:rPr>
                                <w:i w:val="0"/>
                                <w:iCs w:val="0"/>
                                <w:noProof/>
                                <w:sz w:val="24"/>
                                <w:szCs w:val="24"/>
                              </w:rPr>
                            </w:pPr>
                            <w:r w:rsidRPr="0090132D">
                              <w:rPr>
                                <w:i w:val="0"/>
                                <w:iCs w:val="0"/>
                                <w:sz w:val="24"/>
                                <w:szCs w:val="24"/>
                              </w:rPr>
                              <w:t xml:space="preserve">Figure </w:t>
                            </w:r>
                            <w:r w:rsidR="0090132D" w:rsidRPr="0090132D">
                              <w:rPr>
                                <w:i w:val="0"/>
                                <w:iCs w:val="0"/>
                                <w:sz w:val="24"/>
                                <w:szCs w:val="24"/>
                              </w:rPr>
                              <w:fldChar w:fldCharType="begin"/>
                            </w:r>
                            <w:r w:rsidR="0090132D" w:rsidRPr="0090132D">
                              <w:rPr>
                                <w:i w:val="0"/>
                                <w:iCs w:val="0"/>
                                <w:sz w:val="24"/>
                                <w:szCs w:val="24"/>
                              </w:rPr>
                              <w:instrText xml:space="preserve"> SEQ Figure \* ARABIC </w:instrText>
                            </w:r>
                            <w:r w:rsidR="0090132D" w:rsidRPr="0090132D">
                              <w:rPr>
                                <w:i w:val="0"/>
                                <w:iCs w:val="0"/>
                                <w:sz w:val="24"/>
                                <w:szCs w:val="24"/>
                              </w:rPr>
                              <w:fldChar w:fldCharType="separate"/>
                            </w:r>
                            <w:r w:rsidRPr="0090132D">
                              <w:rPr>
                                <w:i w:val="0"/>
                                <w:iCs w:val="0"/>
                                <w:sz w:val="24"/>
                                <w:szCs w:val="24"/>
                              </w:rPr>
                              <w:t>1</w:t>
                            </w:r>
                            <w:r w:rsidR="0090132D" w:rsidRPr="0090132D">
                              <w:rPr>
                                <w:i w:val="0"/>
                                <w:iCs w:val="0"/>
                                <w:sz w:val="24"/>
                                <w:szCs w:val="24"/>
                              </w:rPr>
                              <w:fldChar w:fldCharType="end"/>
                            </w:r>
                            <w:r w:rsidRPr="0090132D">
                              <w:rPr>
                                <w:i w:val="0"/>
                                <w:iCs w:val="0"/>
                                <w:sz w:val="24"/>
                                <w:szCs w:val="24"/>
                              </w:rPr>
                              <w:t>: Commissioning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003D487" id="_x0000_t202" coordsize="21600,21600" o:spt="202" path="m,l,21600r21600,l21600,xe">
                <v:stroke joinstyle="miter"/>
                <v:path gradientshapeok="t" o:connecttype="rect"/>
              </v:shapetype>
              <v:shape id="Text Box 18" o:spid="_x0000_s1040" type="#_x0000_t202" alt="&quot;&quot;" style="position:absolute;left:0;text-align:left;margin-left:272.5pt;margin-top:103.3pt;width:187.9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" stroked="f">
                <v:textbox style="mso-fit-shape-to-text:t" inset="0,0,0,0">
                  <w:txbxContent>
                    <w:p w14:paraId="5B6897E1" w14:textId="77777777" w:rsidR="009A5B4D" w:rsidRPr="0090132D" w:rsidRDefault="009A5B4D" w:rsidP="009A5B4D">
                      <w:pPr>
                        <w:pStyle w:val="Caption"/>
                        <w:jc w:val="center"/>
                        <w:rPr>
                          <w:i w:val="0"/>
                          <w:iCs w:val="0"/>
                          <w:noProof/>
                          <w:sz w:val="24"/>
                          <w:szCs w:val="24"/>
                        </w:rPr>
                      </w:pPr>
                      <w:r w:rsidRPr="0090132D">
                        <w:rPr>
                          <w:i w:val="0"/>
                          <w:iCs w:val="0"/>
                          <w:sz w:val="24"/>
                          <w:szCs w:val="24"/>
                        </w:rPr>
                        <w:t xml:space="preserve">Figure </w:t>
                      </w:r>
                      <w:r w:rsidR="0090132D" w:rsidRPr="0090132D">
                        <w:rPr>
                          <w:i w:val="0"/>
                          <w:iCs w:val="0"/>
                          <w:sz w:val="24"/>
                          <w:szCs w:val="24"/>
                        </w:rPr>
                        <w:fldChar w:fldCharType="begin"/>
                      </w:r>
                      <w:r w:rsidR="0090132D" w:rsidRPr="0090132D">
                        <w:rPr>
                          <w:i w:val="0"/>
                          <w:iCs w:val="0"/>
                          <w:sz w:val="24"/>
                          <w:szCs w:val="24"/>
                        </w:rPr>
                        <w:instrText xml:space="preserve"> SEQ Figure \* ARABIC </w:instrText>
                      </w:r>
                      <w:r w:rsidR="0090132D" w:rsidRPr="0090132D">
                        <w:rPr>
                          <w:i w:val="0"/>
                          <w:iCs w:val="0"/>
                          <w:sz w:val="24"/>
                          <w:szCs w:val="24"/>
                        </w:rPr>
                        <w:fldChar w:fldCharType="separate"/>
                      </w:r>
                      <w:r w:rsidRPr="0090132D">
                        <w:rPr>
                          <w:i w:val="0"/>
                          <w:iCs w:val="0"/>
                          <w:sz w:val="24"/>
                          <w:szCs w:val="24"/>
                        </w:rPr>
                        <w:t>1</w:t>
                      </w:r>
                      <w:r w:rsidR="0090132D" w:rsidRPr="0090132D">
                        <w:rPr>
                          <w:i w:val="0"/>
                          <w:iCs w:val="0"/>
                          <w:sz w:val="24"/>
                          <w:szCs w:val="24"/>
                        </w:rPr>
                        <w:fldChar w:fldCharType="end"/>
                      </w:r>
                      <w:r w:rsidRPr="0090132D">
                        <w:rPr>
                          <w:i w:val="0"/>
                          <w:iCs w:val="0"/>
                          <w:sz w:val="24"/>
                          <w:szCs w:val="24"/>
                        </w:rPr>
                        <w:t>: Commissioning cycle</w:t>
                      </w:r>
                    </w:p>
                  </w:txbxContent>
                </v:textbox>
                <w10:wrap type="square"/>
              </v:shape>
            </w:pict>
          </mc:Fallback>
        </mc:AlternateContent>
      </w:r>
      <w:r w:rsidR="0028647D">
        <w:rPr>
          <w:noProof/>
        </w:rPr>
        <w:t>We</w:t>
      </w:r>
      <w:r w:rsidR="00063A91">
        <w:t xml:space="preserve"> will discuss how government agencies in Western Australia can</w:t>
      </w:r>
      <w:r w:rsidR="00F041DD">
        <w:t xml:space="preserve"> measure the most relevant </w:t>
      </w:r>
      <w:r>
        <w:t>service delivery indicators to</w:t>
      </w:r>
      <w:r w:rsidR="00063A91">
        <w:t xml:space="preserve"> </w:t>
      </w:r>
      <w:r w:rsidR="009A5B4D">
        <w:t>ensure</w:t>
      </w:r>
      <w:r w:rsidR="0043792A">
        <w:t xml:space="preserve"> services are being delivered correctly and work </w:t>
      </w:r>
      <w:r w:rsidR="00EA3D47">
        <w:t>collaboratively with service providers to resolve issues to</w:t>
      </w:r>
      <w:r w:rsidR="002C5EF7">
        <w:t xml:space="preserve"> drive service performance and achieve outcomes for communities.</w:t>
      </w:r>
    </w:p>
    <w:p w14:paraId="2D4B7F41" w14:textId="4C9334B8" w:rsidR="00D85F30" w:rsidRDefault="00A927BD" w:rsidP="00007E2A">
      <w:pPr>
        <w:pStyle w:val="Heading2"/>
        <w:spacing w:line="259" w:lineRule="auto"/>
        <w:jc w:val="both"/>
      </w:pPr>
      <w:r>
        <w:t xml:space="preserve">1.1 </w:t>
      </w:r>
      <w:r w:rsidR="00674122">
        <w:t xml:space="preserve">Performance </w:t>
      </w:r>
      <w:r w:rsidR="00631AB9">
        <w:t>m</w:t>
      </w:r>
      <w:r w:rsidR="00674122">
        <w:t>anagement</w:t>
      </w:r>
      <w:r w:rsidR="00524B17">
        <w:t xml:space="preserve"> vs</w:t>
      </w:r>
      <w:r w:rsidR="00674122">
        <w:t xml:space="preserve"> </w:t>
      </w:r>
      <w:r w:rsidR="00631AB9">
        <w:t>p</w:t>
      </w:r>
      <w:r w:rsidR="00506B9D">
        <w:t xml:space="preserve">erformance </w:t>
      </w:r>
      <w:r w:rsidR="00631AB9">
        <w:t>m</w:t>
      </w:r>
      <w:r w:rsidR="00674122">
        <w:t xml:space="preserve">onitoring </w:t>
      </w:r>
      <w:r w:rsidR="00871912">
        <w:t>vs performance</w:t>
      </w:r>
      <w:r w:rsidR="00674122">
        <w:t xml:space="preserve"> </w:t>
      </w:r>
      <w:r w:rsidR="00631AB9">
        <w:t>i</w:t>
      </w:r>
      <w:r w:rsidR="00674122">
        <w:t>mprovement</w:t>
      </w:r>
      <w:bookmarkEnd w:id="3"/>
      <w:bookmarkEnd w:id="4"/>
    </w:p>
    <w:p w14:paraId="6FD43D45" w14:textId="46BEE7F4" w:rsidR="00D85F30" w:rsidRPr="00D85F30" w:rsidRDefault="006C0027" w:rsidP="00E26823">
      <w:pPr>
        <w:jc w:val="both"/>
      </w:pPr>
      <w:r>
        <w:t>Performance management</w:t>
      </w:r>
      <w:r w:rsidR="00D74AEE">
        <w:t xml:space="preserve"> involves </w:t>
      </w:r>
      <w:r w:rsidR="007C6EF6">
        <w:t>reviewing</w:t>
      </w:r>
      <w:r w:rsidR="00D74AEE">
        <w:t xml:space="preserve"> s</w:t>
      </w:r>
      <w:r w:rsidR="00137061">
        <w:t xml:space="preserve">ervice </w:t>
      </w:r>
      <w:r w:rsidR="00D74AEE">
        <w:t>delivery</w:t>
      </w:r>
      <w:r w:rsidR="00371F24">
        <w:t xml:space="preserve"> reports to ensure </w:t>
      </w:r>
      <w:r w:rsidR="006E56C5">
        <w:t>Key Performance Indicators (</w:t>
      </w:r>
      <w:r w:rsidR="00371F24">
        <w:t>KPIs</w:t>
      </w:r>
      <w:r w:rsidR="006E56C5">
        <w:t>)</w:t>
      </w:r>
      <w:r w:rsidR="00371F24">
        <w:t xml:space="preserve"> </w:t>
      </w:r>
      <w:r w:rsidR="00B27E2A">
        <w:t xml:space="preserve">or service outcomes </w:t>
      </w:r>
      <w:r w:rsidR="00371F24">
        <w:t xml:space="preserve">are </w:t>
      </w:r>
      <w:r w:rsidR="00A05B9D">
        <w:t xml:space="preserve">being </w:t>
      </w:r>
      <w:r w:rsidR="00371F24">
        <w:t>met</w:t>
      </w:r>
      <w:r w:rsidR="00915A66">
        <w:t>,</w:t>
      </w:r>
      <w:r w:rsidR="00371F24">
        <w:t xml:space="preserve"> and we are </w:t>
      </w:r>
      <w:r w:rsidR="00543FF3">
        <w:t xml:space="preserve">obtaining </w:t>
      </w:r>
      <w:r w:rsidR="00A05B9D">
        <w:t>value for money</w:t>
      </w:r>
      <w:r w:rsidR="00371F24">
        <w:t xml:space="preserve">. </w:t>
      </w:r>
      <w:r w:rsidR="00CF0C43">
        <w:t xml:space="preserve">While we need to manage and monitor contracts, we should also </w:t>
      </w:r>
      <w:r w:rsidR="006E0ED1">
        <w:t>work collaboratively with service providers</w:t>
      </w:r>
      <w:r w:rsidR="00B27E2A">
        <w:t xml:space="preserve"> </w:t>
      </w:r>
      <w:r w:rsidR="002A25DB">
        <w:t>to enable them to perform to the best of their ability and ensure that</w:t>
      </w:r>
      <w:r w:rsidR="002174BD">
        <w:t xml:space="preserve"> we are </w:t>
      </w:r>
      <w:r w:rsidR="0067205D">
        <w:t xml:space="preserve">in the best position </w:t>
      </w:r>
      <w:r w:rsidR="002174BD">
        <w:t xml:space="preserve">to react to changing priorities and opportunities. Performance monitoring and improvement </w:t>
      </w:r>
      <w:r w:rsidR="00C16A90">
        <w:t xml:space="preserve">is a cycle </w:t>
      </w:r>
      <w:r w:rsidR="003968D4">
        <w:t>that</w:t>
      </w:r>
      <w:r w:rsidR="00C16A90">
        <w:t xml:space="preserve"> involves planning </w:t>
      </w:r>
      <w:r w:rsidR="0067205D">
        <w:t>the collection of data</w:t>
      </w:r>
      <w:r w:rsidR="00C16A90">
        <w:t xml:space="preserve">, </w:t>
      </w:r>
      <w:r w:rsidR="00A8032D">
        <w:t>monitoring,</w:t>
      </w:r>
      <w:r w:rsidR="00C16A90">
        <w:t xml:space="preserve"> and analysing the data</w:t>
      </w:r>
      <w:r w:rsidR="008F56D2">
        <w:t xml:space="preserve">, identifying and </w:t>
      </w:r>
      <w:r w:rsidR="009F2578">
        <w:t xml:space="preserve">implementing </w:t>
      </w:r>
      <w:r w:rsidR="003968D4">
        <w:t>improvements</w:t>
      </w:r>
      <w:r w:rsidR="009F2578">
        <w:t xml:space="preserve"> and providing feedback.</w:t>
      </w:r>
    </w:p>
    <w:p w14:paraId="445D9D75" w14:textId="126C8FBA" w:rsidR="00D85F30" w:rsidRDefault="00A927BD" w:rsidP="00007E2A">
      <w:pPr>
        <w:pStyle w:val="Heading2"/>
        <w:spacing w:line="259" w:lineRule="auto"/>
        <w:jc w:val="both"/>
      </w:pPr>
      <w:bookmarkStart w:id="5" w:name="_Toc115940707"/>
      <w:bookmarkStart w:id="6" w:name="_Toc887080046"/>
      <w:r>
        <w:t xml:space="preserve">1.2 </w:t>
      </w:r>
      <w:r w:rsidR="00325AB6">
        <w:t xml:space="preserve">Logic </w:t>
      </w:r>
      <w:r w:rsidR="001230FC">
        <w:t>m</w:t>
      </w:r>
      <w:r w:rsidR="00325AB6">
        <w:t xml:space="preserve">odels to </w:t>
      </w:r>
      <w:r w:rsidR="00CD12FA">
        <w:t>f</w:t>
      </w:r>
      <w:r w:rsidR="00325AB6">
        <w:t xml:space="preserve">rame </w:t>
      </w:r>
      <w:r w:rsidR="001230FC">
        <w:t>p</w:t>
      </w:r>
      <w:r w:rsidR="00325AB6">
        <w:t xml:space="preserve">erformance </w:t>
      </w:r>
      <w:r w:rsidR="001230FC">
        <w:t>m</w:t>
      </w:r>
      <w:r w:rsidR="00325AB6">
        <w:t>onitoring</w:t>
      </w:r>
      <w:bookmarkEnd w:id="5"/>
      <w:bookmarkEnd w:id="6"/>
    </w:p>
    <w:p w14:paraId="73943817" w14:textId="51C72624" w:rsidR="00130A48" w:rsidRDefault="00871912" w:rsidP="00E26823">
      <w:pPr>
        <w:jc w:val="both"/>
      </w:pPr>
      <w:bookmarkStart w:id="7" w:name="_Toc115940708"/>
      <w:bookmarkStart w:id="8" w:name="_Toc19500694"/>
      <w:r>
        <w:t>L</w:t>
      </w:r>
      <w:r w:rsidR="00302733">
        <w:t xml:space="preserve">ogic </w:t>
      </w:r>
      <w:r>
        <w:t xml:space="preserve">modelling </w:t>
      </w:r>
      <w:r w:rsidR="00302733">
        <w:t xml:space="preserve">is a central </w:t>
      </w:r>
      <w:r w:rsidR="00657845">
        <w:t>technique</w:t>
      </w:r>
      <w:r w:rsidR="00302733">
        <w:t xml:space="preserve"> in outcomes-based commissioning and explains the rationale linking needs, responses and the outcomes and experiences </w:t>
      </w:r>
      <w:r w:rsidR="00CD12FA">
        <w:t>of</w:t>
      </w:r>
      <w:r w:rsidR="00302733">
        <w:t xml:space="preserve"> </w:t>
      </w:r>
      <w:r w:rsidR="003A459A">
        <w:t>service users</w:t>
      </w:r>
      <w:r w:rsidR="00302733">
        <w:t xml:space="preserve">. This tool uses </w:t>
      </w:r>
      <w:r>
        <w:t>logic model</w:t>
      </w:r>
      <w:r w:rsidR="00657845">
        <w:t>s</w:t>
      </w:r>
      <w:r w:rsidR="00302733">
        <w:t xml:space="preserve"> to establish the fundamental philosophy for performance monitoring</w:t>
      </w:r>
      <w:r w:rsidR="00C917E0">
        <w:t>.</w:t>
      </w:r>
    </w:p>
    <w:p w14:paraId="464FB6B8" w14:textId="538935E5" w:rsidR="00302733" w:rsidRDefault="0060591E" w:rsidP="00E26823">
      <w:pPr>
        <w:jc w:val="both"/>
      </w:pPr>
      <w:r>
        <w:t xml:space="preserve">Taking a logic </w:t>
      </w:r>
      <w:r w:rsidR="00871912">
        <w:t xml:space="preserve">model </w:t>
      </w:r>
      <w:r>
        <w:t xml:space="preserve">approach means that we are focused only on the </w:t>
      </w:r>
      <w:r w:rsidR="00CD12FA">
        <w:t xml:space="preserve">important </w:t>
      </w:r>
      <w:r>
        <w:t xml:space="preserve">inputs, activities and outputs </w:t>
      </w:r>
      <w:r w:rsidR="00CD12FA">
        <w:t>and</w:t>
      </w:r>
      <w:r>
        <w:t xml:space="preserve"> outcomes</w:t>
      </w:r>
      <w:r w:rsidR="00B27E2A">
        <w:t xml:space="preserve"> to reduce unnecessary reporting burdens</w:t>
      </w:r>
      <w:r w:rsidR="00CD12FA">
        <w:t xml:space="preserve">. The logic </w:t>
      </w:r>
      <w:r w:rsidR="00871912">
        <w:t xml:space="preserve">model </w:t>
      </w:r>
      <w:r w:rsidR="00CD12FA">
        <w:t>describes the sequence of events of the program across time</w:t>
      </w:r>
      <w:r w:rsidR="00B27E2A">
        <w:t xml:space="preserve"> and provide </w:t>
      </w:r>
      <w:r w:rsidR="00CD12FA">
        <w:t>guid</w:t>
      </w:r>
      <w:r w:rsidR="00B27E2A">
        <w:t>ance</w:t>
      </w:r>
      <w:r w:rsidR="00CD12FA">
        <w:t xml:space="preserve"> as to which indicators are most important to focus on at the beginning, middle, and end of the program.</w:t>
      </w:r>
    </w:p>
    <w:p w14:paraId="165B3C65" w14:textId="77777777" w:rsidR="0090132D" w:rsidRDefault="0090132D" w:rsidP="00E26823">
      <w:pPr>
        <w:rPr>
          <w:b/>
          <w:bCs/>
          <w:sz w:val="36"/>
          <w:szCs w:val="36"/>
        </w:rPr>
      </w:pPr>
      <w:r>
        <w:br w:type="page"/>
      </w:r>
    </w:p>
    <w:p w14:paraId="622D8243" w14:textId="0788636F" w:rsidR="00D85F30" w:rsidRPr="00D85F30" w:rsidRDefault="00A927BD" w:rsidP="00007E2A">
      <w:pPr>
        <w:pStyle w:val="Heading1"/>
        <w:spacing w:line="259" w:lineRule="auto"/>
        <w:jc w:val="both"/>
      </w:pPr>
      <w:r>
        <w:lastRenderedPageBreak/>
        <w:t xml:space="preserve">2. </w:t>
      </w:r>
      <w:r w:rsidR="00D85F30" w:rsidRPr="00D85F30">
        <w:t>Purpose</w:t>
      </w:r>
      <w:bookmarkEnd w:id="7"/>
      <w:bookmarkEnd w:id="8"/>
    </w:p>
    <w:p w14:paraId="734FB2A0" w14:textId="749BB0B0" w:rsidR="00D85F30" w:rsidRDefault="00A927BD" w:rsidP="00007E2A">
      <w:pPr>
        <w:pStyle w:val="Heading2"/>
        <w:spacing w:line="259" w:lineRule="auto"/>
        <w:jc w:val="both"/>
      </w:pPr>
      <w:bookmarkStart w:id="9" w:name="_Toc115940709"/>
      <w:bookmarkStart w:id="10" w:name="_Toc762027181"/>
      <w:r>
        <w:t xml:space="preserve">2.1 </w:t>
      </w:r>
      <w:r w:rsidR="00325AB6">
        <w:t xml:space="preserve">Why </w:t>
      </w:r>
      <w:r w:rsidR="001230FC">
        <w:t>d</w:t>
      </w:r>
      <w:r w:rsidR="00325AB6">
        <w:t xml:space="preserve">o </w:t>
      </w:r>
      <w:r w:rsidR="001230FC">
        <w:t>w</w:t>
      </w:r>
      <w:r w:rsidR="00325AB6">
        <w:t xml:space="preserve">e </w:t>
      </w:r>
      <w:r w:rsidR="001230FC">
        <w:t>c</w:t>
      </w:r>
      <w:r w:rsidR="00325AB6">
        <w:t xml:space="preserve">onduct </w:t>
      </w:r>
      <w:r w:rsidR="001230FC">
        <w:t>p</w:t>
      </w:r>
      <w:r w:rsidR="00325AB6">
        <w:t xml:space="preserve">erformance </w:t>
      </w:r>
      <w:r w:rsidR="001230FC">
        <w:t>m</w:t>
      </w:r>
      <w:r w:rsidR="00325AB6">
        <w:t xml:space="preserve">anagement and </w:t>
      </w:r>
      <w:r w:rsidR="001230FC">
        <w:t>m</w:t>
      </w:r>
      <w:r w:rsidR="00325AB6">
        <w:t>onitoring?</w:t>
      </w:r>
      <w:bookmarkEnd w:id="9"/>
      <w:bookmarkEnd w:id="10"/>
    </w:p>
    <w:p w14:paraId="3961CF92" w14:textId="1E2F5973" w:rsidR="00542BE3" w:rsidRDefault="00542BE3" w:rsidP="00E26823">
      <w:pPr>
        <w:jc w:val="both"/>
      </w:pPr>
      <w:r>
        <w:t xml:space="preserve">Performance management and monitoring </w:t>
      </w:r>
      <w:r w:rsidR="007E797B">
        <w:t>are</w:t>
      </w:r>
      <w:r>
        <w:t xml:space="preserve"> essential to ensure </w:t>
      </w:r>
      <w:r w:rsidR="00B506F2">
        <w:t>we obtain</w:t>
      </w:r>
      <w:r w:rsidR="00C2727F">
        <w:t xml:space="preserve"> value for money. It also ensures that selected </w:t>
      </w:r>
      <w:r w:rsidR="00C44585">
        <w:t>service provider</w:t>
      </w:r>
      <w:r w:rsidR="00C2727F">
        <w:t xml:space="preserve">s are performing against </w:t>
      </w:r>
      <w:r w:rsidR="00252B9E">
        <w:t>KPIs</w:t>
      </w:r>
      <w:r w:rsidR="003A459A">
        <w:t>. If</w:t>
      </w:r>
      <w:r w:rsidR="00175A0A">
        <w:t xml:space="preserve"> poor performance is identified</w:t>
      </w:r>
      <w:r w:rsidR="003A459A">
        <w:t>,</w:t>
      </w:r>
      <w:r w:rsidR="00175A0A">
        <w:t xml:space="preserve"> it serves as a feedback mechanism to drive improvement.</w:t>
      </w:r>
    </w:p>
    <w:p w14:paraId="2171FC9B" w14:textId="5783B294" w:rsidR="00D85F30" w:rsidRPr="00D85F30" w:rsidRDefault="00A927BD" w:rsidP="00007E2A">
      <w:pPr>
        <w:pStyle w:val="Heading1"/>
        <w:spacing w:line="259" w:lineRule="auto"/>
        <w:jc w:val="both"/>
      </w:pPr>
      <w:bookmarkStart w:id="11" w:name="_Toc115940710"/>
      <w:bookmarkStart w:id="12" w:name="_Toc2049834442"/>
      <w:r>
        <w:t xml:space="preserve">3. </w:t>
      </w:r>
      <w:r w:rsidR="00D85F30" w:rsidRPr="00D85F30">
        <w:t>Assess community needs</w:t>
      </w:r>
      <w:bookmarkEnd w:id="11"/>
      <w:bookmarkEnd w:id="12"/>
    </w:p>
    <w:p w14:paraId="2CF48314" w14:textId="788E2D51" w:rsidR="00D85F30" w:rsidRDefault="00A927BD" w:rsidP="00007E2A">
      <w:pPr>
        <w:pStyle w:val="Heading2"/>
        <w:spacing w:line="259" w:lineRule="auto"/>
        <w:jc w:val="both"/>
      </w:pPr>
      <w:bookmarkStart w:id="13" w:name="_Toc115940711"/>
      <w:bookmarkStart w:id="14" w:name="_Toc1343636448"/>
      <w:r>
        <w:t xml:space="preserve">3.1 </w:t>
      </w:r>
      <w:r w:rsidR="00325AB6">
        <w:t xml:space="preserve">Identifying </w:t>
      </w:r>
      <w:r w:rsidR="001230FC">
        <w:t>t</w:t>
      </w:r>
      <w:r w:rsidR="00325AB6">
        <w:t xml:space="preserve">arget </w:t>
      </w:r>
      <w:r w:rsidR="001230FC">
        <w:t>i</w:t>
      </w:r>
      <w:r w:rsidR="00325AB6">
        <w:t xml:space="preserve">ndicators from </w:t>
      </w:r>
      <w:r w:rsidR="001230FC">
        <w:t>l</w:t>
      </w:r>
      <w:r w:rsidR="00325AB6">
        <w:t xml:space="preserve">ogic </w:t>
      </w:r>
      <w:r w:rsidR="001230FC">
        <w:t>m</w:t>
      </w:r>
      <w:r w:rsidR="00325AB6">
        <w:t>odels</w:t>
      </w:r>
      <w:bookmarkEnd w:id="13"/>
      <w:bookmarkEnd w:id="14"/>
    </w:p>
    <w:p w14:paraId="7635024A" w14:textId="03D14372" w:rsidR="00D44C25" w:rsidRDefault="0039470D" w:rsidP="00E26823">
      <w:pPr>
        <w:jc w:val="both"/>
      </w:pPr>
      <w:r>
        <w:t>As well as providing an understanding of how the program delivers outcomes to address identified needs, logic models also provide the logical underpinning for our performance monitoring. The statements under each section of our logic model can be translated into a series of indicators.</w:t>
      </w:r>
    </w:p>
    <w:p w14:paraId="72877673" w14:textId="0E150D76" w:rsidR="00D44C25" w:rsidRDefault="0039470D" w:rsidP="00E26823">
      <w:pPr>
        <w:jc w:val="both"/>
      </w:pPr>
      <w:r>
        <w:t xml:space="preserve">The logic model provides an understanding of when in the program's lifecycle we can expect to measure changes in the respective indicators. For example, we shouldn’t expect any changes to </w:t>
      </w:r>
      <w:r w:rsidR="007E797B">
        <w:t>outcome</w:t>
      </w:r>
      <w:r>
        <w:t xml:space="preserve"> measures in the early stages of the program as the interventions have not happened yet.</w:t>
      </w:r>
    </w:p>
    <w:p w14:paraId="5891F29A" w14:textId="58B21F50" w:rsidR="00530376" w:rsidRDefault="0039470D" w:rsidP="00E26823">
      <w:pPr>
        <w:jc w:val="both"/>
      </w:pPr>
      <w:r>
        <w:t xml:space="preserve">In the planning and </w:t>
      </w:r>
      <w:r w:rsidR="00814F6D">
        <w:t>set-up</w:t>
      </w:r>
      <w:r>
        <w:t xml:space="preserve"> stage</w:t>
      </w:r>
      <w:r w:rsidR="00814F6D">
        <w:t>s</w:t>
      </w:r>
      <w:r>
        <w:t xml:space="preserve">, we should focus on tracking input indicators to </w:t>
      </w:r>
      <w:r w:rsidR="004A114A">
        <w:t>make sure the correct resources are helping establish</w:t>
      </w:r>
      <w:r>
        <w:t xml:space="preserve"> the program. Once launched, we move on to tracking activity indicators to ensure the program is happening. When </w:t>
      </w:r>
      <w:r w:rsidR="00351C96">
        <w:t xml:space="preserve">the program is </w:t>
      </w:r>
      <w:r>
        <w:t xml:space="preserve">established, we can track output indicators to ensure the program activities </w:t>
      </w:r>
      <w:r w:rsidR="00814F6D">
        <w:t>result</w:t>
      </w:r>
      <w:r>
        <w:t xml:space="preserve"> in </w:t>
      </w:r>
      <w:r w:rsidR="00351C96">
        <w:t xml:space="preserve">the desired </w:t>
      </w:r>
      <w:r>
        <w:t>outputs. At this point, we keep track of the input indicators, but these are no longer our focus.</w:t>
      </w:r>
    </w:p>
    <w:p w14:paraId="3583C749" w14:textId="6B17E92C" w:rsidR="0039470D" w:rsidRDefault="0039470D" w:rsidP="00E26823">
      <w:pPr>
        <w:jc w:val="both"/>
      </w:pPr>
      <w:r>
        <w:t>Once the program has been implemented, we focus on short-term outcome indicators to demonstrate that the program is achieving the intended results. We may also be able to track medium-term outcome indicators during the program. Often the long-term outcome indicators can only be measured after the life of the program</w:t>
      </w:r>
      <w:r w:rsidR="00C349A2">
        <w:t>.</w:t>
      </w:r>
    </w:p>
    <w:p w14:paraId="44CAEFEC" w14:textId="77777777" w:rsidR="00EF4251" w:rsidRDefault="00EF4251" w:rsidP="0090132D">
      <w:pPr>
        <w:keepNext/>
        <w:jc w:val="center"/>
      </w:pPr>
      <w:r>
        <w:rPr>
          <w:noProof/>
        </w:rPr>
        <w:lastRenderedPageBreak/>
        <w:drawing>
          <wp:inline distT="0" distB="0" distL="0" distR="0" wp14:anchorId="7956E24F" wp14:editId="2088BCDC">
            <wp:extent cx="5788463" cy="1382233"/>
            <wp:effectExtent l="0" t="0" r="3175" b="8890"/>
            <wp:docPr id="20" name="Picture 20" descr="Figure 2. Performance monitoring indicators are extracted from the program log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2. Performance monitoring indicators are extracted from the program logic mode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59407" cy="1399174"/>
                    </a:xfrm>
                    <a:prstGeom prst="rect">
                      <a:avLst/>
                    </a:prstGeom>
                    <a:noFill/>
                  </pic:spPr>
                </pic:pic>
              </a:graphicData>
            </a:graphic>
          </wp:inline>
        </w:drawing>
      </w:r>
    </w:p>
    <w:p w14:paraId="6CD8BD69" w14:textId="395A989B" w:rsidR="00EF4C68" w:rsidRPr="0090132D" w:rsidRDefault="00EF4251" w:rsidP="0090132D">
      <w:pPr>
        <w:pStyle w:val="Caption"/>
        <w:jc w:val="center"/>
        <w:rPr>
          <w:i w:val="0"/>
          <w:iCs w:val="0"/>
          <w:sz w:val="24"/>
          <w:szCs w:val="24"/>
        </w:rPr>
      </w:pPr>
      <w:r w:rsidRPr="0090132D">
        <w:rPr>
          <w:i w:val="0"/>
          <w:iCs w:val="0"/>
          <w:sz w:val="24"/>
          <w:szCs w:val="24"/>
        </w:rPr>
        <w:t xml:space="preserve">Figure </w:t>
      </w:r>
      <w:r w:rsidR="006F701B" w:rsidRPr="0090132D">
        <w:rPr>
          <w:i w:val="0"/>
          <w:iCs w:val="0"/>
          <w:sz w:val="24"/>
          <w:szCs w:val="24"/>
        </w:rPr>
        <w:t>2</w:t>
      </w:r>
      <w:r w:rsidRPr="0090132D">
        <w:rPr>
          <w:i w:val="0"/>
          <w:iCs w:val="0"/>
          <w:sz w:val="24"/>
          <w:szCs w:val="24"/>
        </w:rPr>
        <w:t>. Performance monitoring indicators are extracted from the program logic model.</w:t>
      </w:r>
    </w:p>
    <w:p w14:paraId="53C3DB22" w14:textId="31529F63" w:rsidR="00D85F30" w:rsidRDefault="00A927BD" w:rsidP="00007E2A">
      <w:pPr>
        <w:pStyle w:val="Heading2"/>
        <w:spacing w:line="259" w:lineRule="auto"/>
        <w:jc w:val="both"/>
      </w:pPr>
      <w:bookmarkStart w:id="15" w:name="_Toc115940713"/>
      <w:bookmarkStart w:id="16" w:name="_Toc682453311"/>
      <w:r>
        <w:t>3.</w:t>
      </w:r>
      <w:r w:rsidR="002A567C">
        <w:t>2</w:t>
      </w:r>
      <w:r w:rsidR="00BE3529">
        <w:t xml:space="preserve"> </w:t>
      </w:r>
      <w:bookmarkEnd w:id="15"/>
      <w:bookmarkEnd w:id="16"/>
      <w:r w:rsidR="003B7C09">
        <w:t xml:space="preserve">Evolving </w:t>
      </w:r>
      <w:r w:rsidR="004176BD">
        <w:t>d</w:t>
      </w:r>
      <w:r w:rsidR="003B7C09">
        <w:t xml:space="preserve">ata </w:t>
      </w:r>
      <w:r w:rsidR="004176BD">
        <w:t>c</w:t>
      </w:r>
      <w:r w:rsidR="003B7C09">
        <w:t xml:space="preserve">ollection </w:t>
      </w:r>
      <w:r w:rsidR="004176BD">
        <w:t>o</w:t>
      </w:r>
      <w:r w:rsidR="003B7C09">
        <w:t xml:space="preserve">ver </w:t>
      </w:r>
      <w:r w:rsidR="004176BD">
        <w:t>t</w:t>
      </w:r>
      <w:r w:rsidR="003B7C09">
        <w:t>ime</w:t>
      </w:r>
      <w:r w:rsidR="004A114A">
        <w:t>: U</w:t>
      </w:r>
      <w:r w:rsidR="003B7C09">
        <w:t xml:space="preserve">nderstanding and </w:t>
      </w:r>
      <w:r w:rsidR="004176BD">
        <w:t>a</w:t>
      </w:r>
      <w:r w:rsidR="003B7C09">
        <w:t xml:space="preserve">ddressing </w:t>
      </w:r>
      <w:r w:rsidR="004176BD">
        <w:t>d</w:t>
      </w:r>
      <w:r w:rsidR="003B7C09">
        <w:t xml:space="preserve">ata </w:t>
      </w:r>
      <w:r w:rsidR="004176BD">
        <w:t>b</w:t>
      </w:r>
      <w:r w:rsidR="003B7C09">
        <w:t>arriers</w:t>
      </w:r>
    </w:p>
    <w:p w14:paraId="4851B7D0" w14:textId="47B7DEAA" w:rsidR="008226E0" w:rsidRPr="00871912" w:rsidRDefault="008226E0" w:rsidP="00E26823">
      <w:pPr>
        <w:jc w:val="both"/>
      </w:pPr>
      <w:r w:rsidRPr="00871912">
        <w:t xml:space="preserve">Some data </w:t>
      </w:r>
      <w:r w:rsidR="00ED55FC">
        <w:t>we collect</w:t>
      </w:r>
      <w:r w:rsidRPr="00871912">
        <w:t xml:space="preserve"> will </w:t>
      </w:r>
      <w:r w:rsidR="002F593D" w:rsidRPr="00871912">
        <w:t xml:space="preserve">be </w:t>
      </w:r>
      <w:r w:rsidRPr="00871912">
        <w:t>readily available</w:t>
      </w:r>
      <w:r w:rsidR="00ED55FC">
        <w:t>, while o</w:t>
      </w:r>
      <w:r w:rsidRPr="00871912">
        <w:t xml:space="preserve">ther data will be harder to </w:t>
      </w:r>
      <w:proofErr w:type="gramStart"/>
      <w:r w:rsidRPr="00871912">
        <w:t>obtain</w:t>
      </w:r>
      <w:proofErr w:type="gramEnd"/>
      <w:r w:rsidRPr="00871912">
        <w:t> an</w:t>
      </w:r>
      <w:r w:rsidR="00575F72">
        <w:t>d</w:t>
      </w:r>
      <w:r w:rsidRPr="00871912">
        <w:t xml:space="preserve"> we will need to work with providers, partners and other program stakeholders to be able to collect</w:t>
      </w:r>
      <w:r w:rsidR="00F737DF">
        <w:t xml:space="preserve"> </w:t>
      </w:r>
      <w:r w:rsidRPr="00871912">
        <w:t>the data in the future.</w:t>
      </w:r>
      <w:r w:rsidR="00ED55FC">
        <w:t xml:space="preserve"> There are some barriers to data collection, including:</w:t>
      </w:r>
    </w:p>
    <w:p w14:paraId="02058B32" w14:textId="5E3555FB" w:rsidR="008226E0" w:rsidRPr="0090132D" w:rsidRDefault="008226E0" w:rsidP="00E26823">
      <w:pPr>
        <w:pStyle w:val="ListParagraph"/>
        <w:numPr>
          <w:ilvl w:val="0"/>
          <w:numId w:val="13"/>
        </w:numPr>
        <w:spacing w:after="120"/>
        <w:ind w:left="714" w:hanging="357"/>
        <w:contextualSpacing w:val="0"/>
        <w:jc w:val="both"/>
      </w:pPr>
      <w:r w:rsidRPr="0090132D">
        <w:rPr>
          <w:b/>
          <w:bCs/>
        </w:rPr>
        <w:t>Data availability</w:t>
      </w:r>
      <w:r w:rsidR="00E603EC" w:rsidRPr="0090132D">
        <w:rPr>
          <w:b/>
          <w:bCs/>
        </w:rPr>
        <w:t>:</w:t>
      </w:r>
      <w:r w:rsidR="00E603EC" w:rsidRPr="0090132D">
        <w:t xml:space="preserve"> </w:t>
      </w:r>
      <w:r w:rsidRPr="0090132D">
        <w:t>Some data points will not be available from the outset of the program</w:t>
      </w:r>
      <w:r w:rsidR="00ED55FC" w:rsidRPr="0090132D">
        <w:t xml:space="preserve"> and s</w:t>
      </w:r>
      <w:r w:rsidRPr="0090132D">
        <w:t xml:space="preserve">ystems </w:t>
      </w:r>
      <w:r w:rsidR="001B70FE" w:rsidRPr="0090132D">
        <w:t>or</w:t>
      </w:r>
      <w:r w:rsidR="0090132D">
        <w:t xml:space="preserve"> </w:t>
      </w:r>
      <w:r w:rsidRPr="0090132D">
        <w:t xml:space="preserve">processes may need to be put in place to enable the capturing of the data. For example, new data collection templates may need to be created to request </w:t>
      </w:r>
      <w:r w:rsidR="00871912" w:rsidRPr="0090132D">
        <w:t xml:space="preserve">service </w:t>
      </w:r>
      <w:r w:rsidRPr="0090132D">
        <w:t xml:space="preserve">providers provide certain information. </w:t>
      </w:r>
      <w:r w:rsidR="00ED55FC" w:rsidRPr="0090132D">
        <w:t>Additional technology, such as a mobile app for service users,</w:t>
      </w:r>
      <w:r w:rsidRPr="0090132D">
        <w:t xml:space="preserve"> can</w:t>
      </w:r>
      <w:r w:rsidR="0090132D">
        <w:t xml:space="preserve"> </w:t>
      </w:r>
      <w:r w:rsidR="00ED55FC" w:rsidRPr="0090132D">
        <w:t xml:space="preserve">also </w:t>
      </w:r>
      <w:r w:rsidR="00871912" w:rsidRPr="0090132D">
        <w:t>offer</w:t>
      </w:r>
      <w:r w:rsidRPr="0090132D">
        <w:t xml:space="preserve"> a way to collect more data</w:t>
      </w:r>
      <w:r w:rsidR="00ED55FC" w:rsidRPr="0090132D">
        <w:t>.</w:t>
      </w:r>
    </w:p>
    <w:p w14:paraId="29B9AE78" w14:textId="73E60834" w:rsidR="008226E0" w:rsidRPr="0090132D" w:rsidRDefault="008226E0" w:rsidP="00E26823">
      <w:pPr>
        <w:pStyle w:val="ListParagraph"/>
        <w:numPr>
          <w:ilvl w:val="0"/>
          <w:numId w:val="13"/>
        </w:numPr>
        <w:spacing w:after="120"/>
        <w:ind w:left="714" w:hanging="357"/>
        <w:contextualSpacing w:val="0"/>
        <w:jc w:val="both"/>
      </w:pPr>
      <w:r w:rsidRPr="0090132D">
        <w:rPr>
          <w:b/>
          <w:bCs/>
        </w:rPr>
        <w:t>Data sharing</w:t>
      </w:r>
      <w:r w:rsidR="00E603EC" w:rsidRPr="0090132D">
        <w:rPr>
          <w:b/>
          <w:bCs/>
        </w:rPr>
        <w:t>:</w:t>
      </w:r>
      <w:r w:rsidRPr="0090132D">
        <w:t xml:space="preserve"> </w:t>
      </w:r>
      <w:r w:rsidR="00871912" w:rsidRPr="0090132D">
        <w:t>Service p</w:t>
      </w:r>
      <w:r w:rsidRPr="0090132D">
        <w:t>roviders or partners may have policies that prevent them from sharing data</w:t>
      </w:r>
      <w:r w:rsidR="0090132D">
        <w:t xml:space="preserve"> </w:t>
      </w:r>
      <w:r w:rsidRPr="0090132D">
        <w:t>with external organisations</w:t>
      </w:r>
      <w:r w:rsidR="00ED55FC" w:rsidRPr="0090132D">
        <w:t xml:space="preserve"> </w:t>
      </w:r>
      <w:r w:rsidR="00E634BE" w:rsidRPr="0090132D">
        <w:t>so</w:t>
      </w:r>
      <w:r w:rsidR="00ED55FC" w:rsidRPr="0090132D">
        <w:t xml:space="preserve"> data sharing agreements may be required</w:t>
      </w:r>
      <w:r w:rsidRPr="0090132D">
        <w:t xml:space="preserve">. Demonstrating how the data will be used and the value it provides the program can </w:t>
      </w:r>
      <w:r w:rsidR="00ED55FC" w:rsidRPr="0090132D">
        <w:t xml:space="preserve">help </w:t>
      </w:r>
      <w:proofErr w:type="gramStart"/>
      <w:r w:rsidRPr="0090132D">
        <w:t>open up</w:t>
      </w:r>
      <w:proofErr w:type="gramEnd"/>
      <w:r w:rsidRPr="0090132D">
        <w:t> data sharing.</w:t>
      </w:r>
    </w:p>
    <w:p w14:paraId="5366F900" w14:textId="570A2BD5" w:rsidR="008226E0" w:rsidRPr="0090132D" w:rsidRDefault="008226E0" w:rsidP="00E26823">
      <w:pPr>
        <w:pStyle w:val="ListParagraph"/>
        <w:numPr>
          <w:ilvl w:val="0"/>
          <w:numId w:val="13"/>
        </w:numPr>
        <w:spacing w:after="120"/>
        <w:ind w:left="714" w:hanging="357"/>
        <w:contextualSpacing w:val="0"/>
        <w:jc w:val="both"/>
      </w:pPr>
      <w:r w:rsidRPr="0090132D">
        <w:rPr>
          <w:b/>
          <w:bCs/>
        </w:rPr>
        <w:t>Data sovereignty</w:t>
      </w:r>
      <w:r w:rsidR="00E603EC" w:rsidRPr="0090132D">
        <w:rPr>
          <w:b/>
          <w:bCs/>
        </w:rPr>
        <w:t>:</w:t>
      </w:r>
      <w:r w:rsidR="00E603EC" w:rsidRPr="0090132D">
        <w:t xml:space="preserve"> </w:t>
      </w:r>
      <w:r w:rsidRPr="0090132D">
        <w:t xml:space="preserve">Historically, Aboriginal people have been isolated from the language, control and production of data. This has led to data framing Aboriginal people as </w:t>
      </w:r>
      <w:r w:rsidR="00E603EC" w:rsidRPr="0090132D">
        <w:t>‘</w:t>
      </w:r>
      <w:r w:rsidRPr="0090132D">
        <w:t>the problem</w:t>
      </w:r>
      <w:r w:rsidR="00E603EC" w:rsidRPr="0090132D">
        <w:t>’</w:t>
      </w:r>
      <w:r w:rsidRPr="0090132D">
        <w:t xml:space="preserve"> and has reduced the agency of Aboriginal </w:t>
      </w:r>
      <w:r w:rsidR="00C818BA" w:rsidRPr="0090132D">
        <w:t>people</w:t>
      </w:r>
      <w:r w:rsidRPr="0090132D">
        <w:t xml:space="preserve"> to govern their </w:t>
      </w:r>
      <w:r w:rsidR="009F4545" w:rsidRPr="0090132D">
        <w:t>communities,</w:t>
      </w:r>
      <w:r w:rsidRPr="0090132D">
        <w:t xml:space="preserve"> which contravenes their inherent human rights. Indigenous </w:t>
      </w:r>
      <w:r w:rsidR="00C818BA" w:rsidRPr="0090132D">
        <w:t>d</w:t>
      </w:r>
      <w:r w:rsidRPr="0090132D">
        <w:t xml:space="preserve">ata </w:t>
      </w:r>
      <w:r w:rsidR="00C818BA" w:rsidRPr="0090132D">
        <w:t>s</w:t>
      </w:r>
      <w:r w:rsidRPr="0090132D">
        <w:t xml:space="preserve">overeignty </w:t>
      </w:r>
      <w:r w:rsidR="00C818BA" w:rsidRPr="0090132D">
        <w:t>p</w:t>
      </w:r>
      <w:r w:rsidRPr="0090132D">
        <w:t>rinciples set out the restoration of data ownership to Aboriginal communities.</w:t>
      </w:r>
    </w:p>
    <w:p w14:paraId="01BCDE11" w14:textId="5AADEDA3" w:rsidR="008226E0" w:rsidRDefault="008226E0" w:rsidP="00E26823">
      <w:pPr>
        <w:jc w:val="both"/>
      </w:pPr>
      <w:r w:rsidRPr="00871912">
        <w:t xml:space="preserve">We should work closely with </w:t>
      </w:r>
      <w:r w:rsidR="009F4545">
        <w:t xml:space="preserve">service </w:t>
      </w:r>
      <w:r w:rsidRPr="00871912">
        <w:t>providers and partner organisations to establish appropriate data governance </w:t>
      </w:r>
      <w:r w:rsidR="007E136E">
        <w:t>to</w:t>
      </w:r>
      <w:r w:rsidRPr="00871912">
        <w:t> achieve the performance monitoring and evaluation aims of the program</w:t>
      </w:r>
      <w:r w:rsidR="00ED55FC">
        <w:t>,</w:t>
      </w:r>
      <w:r w:rsidRPr="00871912">
        <w:t xml:space="preserve"> while also respecting the proper ownership of data assets.</w:t>
      </w:r>
    </w:p>
    <w:p w14:paraId="03210F29" w14:textId="63094100" w:rsidR="00E82F59" w:rsidRDefault="00216BE4" w:rsidP="00E26823">
      <w:pPr>
        <w:jc w:val="both"/>
      </w:pPr>
      <w:r>
        <w:t xml:space="preserve">Data </w:t>
      </w:r>
      <w:r w:rsidR="0070416F">
        <w:t>c</w:t>
      </w:r>
      <w:r>
        <w:t>ollect</w:t>
      </w:r>
      <w:r w:rsidR="0070416F">
        <w:t xml:space="preserve">ion is vital for us </w:t>
      </w:r>
      <w:r>
        <w:t xml:space="preserve">to monitor performance. </w:t>
      </w:r>
      <w:r w:rsidR="00F45D56">
        <w:t xml:space="preserve">The collection of data </w:t>
      </w:r>
      <w:r w:rsidR="00871912">
        <w:t>should b</w:t>
      </w:r>
      <w:r w:rsidR="00F45D56">
        <w:t>e assess</w:t>
      </w:r>
      <w:r w:rsidR="00203346">
        <w:t xml:space="preserve">ed on </w:t>
      </w:r>
      <w:r w:rsidR="0026583E">
        <w:t>its</w:t>
      </w:r>
      <w:r w:rsidR="00203346">
        <w:t xml:space="preserve"> ease of collection and the impact that it </w:t>
      </w:r>
      <w:r w:rsidR="008A2394">
        <w:t>has</w:t>
      </w:r>
      <w:r w:rsidR="00203346">
        <w:t xml:space="preserve">. </w:t>
      </w:r>
      <w:r w:rsidR="00E82F59">
        <w:t>The Ease and Impact Matrix is a practical way of working out which data we can collect from the beginning of the program and which we need to work on with our service providers.</w:t>
      </w:r>
    </w:p>
    <w:p w14:paraId="5C3B5728" w14:textId="77777777" w:rsidR="00643D14" w:rsidRDefault="00263B0F" w:rsidP="0090132D">
      <w:pPr>
        <w:keepNext/>
        <w:jc w:val="both"/>
      </w:pPr>
      <w:r>
        <w:rPr>
          <w:noProof/>
        </w:rPr>
        <w:lastRenderedPageBreak/>
        <w:drawing>
          <wp:inline distT="0" distB="0" distL="0" distR="0" wp14:anchorId="748E1D80" wp14:editId="6D0BCCBD">
            <wp:extent cx="5570677" cy="2828925"/>
            <wp:effectExtent l="0" t="0" r="0" b="0"/>
            <wp:docPr id="1" name="Picture 1" descr="Figure 3. Ease and Impact matrix to assess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3. Ease and Impact matrix to assess indicators."/>
                    <pic:cNvPicPr/>
                  </pic:nvPicPr>
                  <pic:blipFill>
                    <a:blip r:embed="rId22">
                      <a:extLst>
                        <a:ext uri="{28A0092B-C50C-407E-A947-70E740481C1C}">
                          <a14:useLocalDpi xmlns:a14="http://schemas.microsoft.com/office/drawing/2010/main" val="0"/>
                        </a:ext>
                      </a:extLst>
                    </a:blip>
                    <a:stretch>
                      <a:fillRect/>
                    </a:stretch>
                  </pic:blipFill>
                  <pic:spPr>
                    <a:xfrm>
                      <a:off x="0" y="0"/>
                      <a:ext cx="5574672" cy="2830954"/>
                    </a:xfrm>
                    <a:prstGeom prst="rect">
                      <a:avLst/>
                    </a:prstGeom>
                  </pic:spPr>
                </pic:pic>
              </a:graphicData>
            </a:graphic>
          </wp:inline>
        </w:drawing>
      </w:r>
    </w:p>
    <w:p w14:paraId="1E21FA10" w14:textId="2373CB82" w:rsidR="008226E0" w:rsidRPr="0090132D" w:rsidRDefault="00643D14" w:rsidP="0090132D">
      <w:pPr>
        <w:pStyle w:val="Caption"/>
        <w:jc w:val="center"/>
        <w:rPr>
          <w:i w:val="0"/>
          <w:iCs w:val="0"/>
          <w:sz w:val="24"/>
          <w:szCs w:val="24"/>
        </w:rPr>
      </w:pPr>
      <w:r w:rsidRPr="0090132D">
        <w:rPr>
          <w:i w:val="0"/>
          <w:iCs w:val="0"/>
          <w:sz w:val="24"/>
          <w:szCs w:val="24"/>
        </w:rPr>
        <w:t xml:space="preserve">Figure </w:t>
      </w:r>
      <w:r w:rsidR="006F701B" w:rsidRPr="0090132D">
        <w:rPr>
          <w:i w:val="0"/>
          <w:iCs w:val="0"/>
          <w:sz w:val="24"/>
          <w:szCs w:val="24"/>
        </w:rPr>
        <w:t>3</w:t>
      </w:r>
      <w:r w:rsidRPr="0090132D">
        <w:rPr>
          <w:i w:val="0"/>
          <w:iCs w:val="0"/>
          <w:sz w:val="24"/>
          <w:szCs w:val="24"/>
        </w:rPr>
        <w:t>. Ease and Impact matrix to assess indicators.</w:t>
      </w:r>
    </w:p>
    <w:p w14:paraId="0AEEDE1B" w14:textId="5D827D46" w:rsidR="00BB5A59" w:rsidRPr="00B22536" w:rsidRDefault="00BB5A59" w:rsidP="00007E2A">
      <w:pPr>
        <w:pStyle w:val="paragraph"/>
        <w:spacing w:before="0" w:beforeAutospacing="0" w:after="160" w:afterAutospacing="0" w:line="259" w:lineRule="auto"/>
        <w:jc w:val="both"/>
        <w:textAlignment w:val="baseline"/>
        <w:rPr>
          <w:rFonts w:ascii="Neue Haas Grotesk Text Pro" w:eastAsiaTheme="minorHAnsi" w:hAnsi="Neue Haas Grotesk Text Pro" w:cstheme="minorBidi"/>
          <w:lang w:eastAsia="en-US"/>
        </w:rPr>
      </w:pPr>
      <w:r w:rsidRPr="00B22536">
        <w:rPr>
          <w:rFonts w:ascii="Neue Haas Grotesk Text Pro" w:eastAsiaTheme="minorHAnsi" w:hAnsi="Neue Haas Grotesk Text Pro" w:cstheme="minorBidi"/>
          <w:lang w:eastAsia="en-US"/>
        </w:rPr>
        <w:t xml:space="preserve">Data that </w:t>
      </w:r>
      <w:r w:rsidR="00B54971">
        <w:rPr>
          <w:rFonts w:ascii="Neue Haas Grotesk Text Pro" w:eastAsiaTheme="minorHAnsi" w:hAnsi="Neue Haas Grotesk Text Pro" w:cstheme="minorBidi"/>
          <w:lang w:eastAsia="en-US"/>
        </w:rPr>
        <w:t>score</w:t>
      </w:r>
      <w:r w:rsidRPr="00B22536">
        <w:rPr>
          <w:rFonts w:ascii="Neue Haas Grotesk Text Pro" w:eastAsiaTheme="minorHAnsi" w:hAnsi="Neue Haas Grotesk Text Pro" w:cstheme="minorBidi"/>
          <w:lang w:eastAsia="en-US"/>
        </w:rPr>
        <w:t xml:space="preserve"> high on both </w:t>
      </w:r>
      <w:r w:rsidR="001F760B">
        <w:rPr>
          <w:rFonts w:ascii="Neue Haas Grotesk Text Pro" w:eastAsiaTheme="minorHAnsi" w:hAnsi="Neue Haas Grotesk Text Pro" w:cstheme="minorBidi"/>
          <w:lang w:eastAsia="en-US"/>
        </w:rPr>
        <w:t>e</w:t>
      </w:r>
      <w:r w:rsidRPr="00B22536">
        <w:rPr>
          <w:rFonts w:ascii="Neue Haas Grotesk Text Pro" w:eastAsiaTheme="minorHAnsi" w:hAnsi="Neue Haas Grotesk Text Pro" w:cstheme="minorBidi"/>
          <w:lang w:eastAsia="en-US"/>
        </w:rPr>
        <w:t xml:space="preserve">ase and </w:t>
      </w:r>
      <w:r w:rsidR="001F760B">
        <w:rPr>
          <w:rFonts w:ascii="Neue Haas Grotesk Text Pro" w:eastAsiaTheme="minorHAnsi" w:hAnsi="Neue Haas Grotesk Text Pro" w:cstheme="minorBidi"/>
          <w:lang w:eastAsia="en-US"/>
        </w:rPr>
        <w:t>i</w:t>
      </w:r>
      <w:r w:rsidRPr="00B22536">
        <w:rPr>
          <w:rFonts w:ascii="Neue Haas Grotesk Text Pro" w:eastAsiaTheme="minorHAnsi" w:hAnsi="Neue Haas Grotesk Text Pro" w:cstheme="minorBidi"/>
          <w:lang w:eastAsia="en-US"/>
        </w:rPr>
        <w:t xml:space="preserve">mpact are those that we should collect immediately and continue to collect. High-impact data with low ease should be actively targeted through closely working with </w:t>
      </w:r>
      <w:r w:rsidR="00B22536" w:rsidRPr="00B22536">
        <w:rPr>
          <w:rFonts w:ascii="Neue Haas Grotesk Text Pro" w:eastAsiaTheme="minorHAnsi" w:hAnsi="Neue Haas Grotesk Text Pro" w:cstheme="minorBidi"/>
          <w:lang w:eastAsia="en-US"/>
        </w:rPr>
        <w:t xml:space="preserve">service </w:t>
      </w:r>
      <w:r w:rsidRPr="00B22536">
        <w:rPr>
          <w:rFonts w:ascii="Neue Haas Grotesk Text Pro" w:eastAsiaTheme="minorHAnsi" w:hAnsi="Neue Haas Grotesk Text Pro" w:cstheme="minorBidi"/>
          <w:lang w:eastAsia="en-US"/>
        </w:rPr>
        <w:t>providers and partners.</w:t>
      </w:r>
    </w:p>
    <w:p w14:paraId="7BA72ED8" w14:textId="7EAE93C3" w:rsidR="00D85F30" w:rsidRDefault="00A927BD" w:rsidP="00007E2A">
      <w:pPr>
        <w:pStyle w:val="Heading1"/>
        <w:spacing w:line="259" w:lineRule="auto"/>
        <w:jc w:val="both"/>
      </w:pPr>
      <w:bookmarkStart w:id="17" w:name="_Toc115940714"/>
      <w:bookmarkStart w:id="18" w:name="_Toc2048427578"/>
      <w:r>
        <w:t xml:space="preserve">4. </w:t>
      </w:r>
      <w:r w:rsidR="00C76624">
        <w:t xml:space="preserve">Developing a </w:t>
      </w:r>
      <w:r w:rsidR="001F760B">
        <w:t>m</w:t>
      </w:r>
      <w:r w:rsidR="00C76624">
        <w:t xml:space="preserve">onitoring </w:t>
      </w:r>
      <w:r w:rsidR="001F760B">
        <w:t>p</w:t>
      </w:r>
      <w:r w:rsidR="00C76624">
        <w:t>lan</w:t>
      </w:r>
      <w:bookmarkEnd w:id="17"/>
      <w:bookmarkEnd w:id="18"/>
    </w:p>
    <w:p w14:paraId="57BD05FC" w14:textId="76BDE414" w:rsidR="00D85F30" w:rsidRDefault="00A927BD" w:rsidP="00007E2A">
      <w:pPr>
        <w:pStyle w:val="Heading2"/>
        <w:spacing w:line="259" w:lineRule="auto"/>
        <w:jc w:val="both"/>
      </w:pPr>
      <w:bookmarkStart w:id="19" w:name="_Toc115940715"/>
      <w:bookmarkStart w:id="20" w:name="_Toc578752047"/>
      <w:r>
        <w:t xml:space="preserve">4.1 </w:t>
      </w:r>
      <w:r w:rsidR="00C76624">
        <w:t xml:space="preserve">Developing a </w:t>
      </w:r>
      <w:r w:rsidR="004176BD">
        <w:t>m</w:t>
      </w:r>
      <w:r w:rsidR="00C76624">
        <w:t xml:space="preserve">onitoring </w:t>
      </w:r>
      <w:r w:rsidR="004176BD">
        <w:t>p</w:t>
      </w:r>
      <w:r w:rsidR="00C76624">
        <w:t>lan</w:t>
      </w:r>
      <w:bookmarkEnd w:id="19"/>
      <w:bookmarkEnd w:id="20"/>
    </w:p>
    <w:p w14:paraId="1878315A" w14:textId="05BD4245" w:rsidR="00BB5A59" w:rsidRDefault="005B05CA" w:rsidP="00E26823">
      <w:pPr>
        <w:jc w:val="both"/>
      </w:pPr>
      <w:r>
        <w:t xml:space="preserve">The performance management and monitoring plan should </w:t>
      </w:r>
      <w:r w:rsidR="00BB5A59">
        <w:t>describe the indicators identified from the logic model and the data collection plan aligned to the program progression</w:t>
      </w:r>
      <w:r w:rsidR="00AC7862">
        <w:t>,</w:t>
      </w:r>
      <w:r w:rsidR="00BB5A59">
        <w:t xml:space="preserve"> a</w:t>
      </w:r>
      <w:r w:rsidR="00AC7862">
        <w:t>long with</w:t>
      </w:r>
      <w:r w:rsidR="00BB5A59">
        <w:t xml:space="preserve"> the evolution of data collection derived from the Ease and Impact matrix. However, there are further practical considerations that will need to be described in the plan. This will include considerations around the effort and resource allocated to program monitoring and evaluation, the frequency of reporting and monitoring activities and the dependencies that our monitoring and evaluation activities have on other timelines.</w:t>
      </w:r>
    </w:p>
    <w:p w14:paraId="65CA2897" w14:textId="6A14F822" w:rsidR="00AC7862" w:rsidRPr="0090132D" w:rsidRDefault="00CB4424" w:rsidP="00E26823">
      <w:pPr>
        <w:jc w:val="both"/>
      </w:pPr>
      <w:r>
        <w:t xml:space="preserve">Further considerations </w:t>
      </w:r>
      <w:r w:rsidR="00741894">
        <w:t xml:space="preserve">for </w:t>
      </w:r>
      <w:r w:rsidR="005D1CED">
        <w:t xml:space="preserve">how each of these </w:t>
      </w:r>
      <w:r w:rsidR="00741894">
        <w:t>components</w:t>
      </w:r>
      <w:r w:rsidR="005D1CED">
        <w:t xml:space="preserve"> should shape the program monitoring</w:t>
      </w:r>
      <w:r w:rsidR="00C130C3">
        <w:t xml:space="preserve"> plan</w:t>
      </w:r>
      <w:r w:rsidR="00741894">
        <w:t xml:space="preserve"> are outlined below:</w:t>
      </w:r>
    </w:p>
    <w:p w14:paraId="1060D9E9" w14:textId="5C41DD0D" w:rsidR="002A7B38" w:rsidRPr="00C130C3" w:rsidRDefault="002A7B38" w:rsidP="00E26823">
      <w:pPr>
        <w:jc w:val="both"/>
        <w:rPr>
          <w:b/>
          <w:bCs/>
        </w:rPr>
      </w:pPr>
      <w:r w:rsidRPr="00C130C3">
        <w:rPr>
          <w:b/>
          <w:bCs/>
        </w:rPr>
        <w:t xml:space="preserve">Size </w:t>
      </w:r>
    </w:p>
    <w:p w14:paraId="5DD1C622" w14:textId="16BC3A8C" w:rsidR="00C84C24" w:rsidRDefault="002A7B38" w:rsidP="00E26823">
      <w:pPr>
        <w:pStyle w:val="ListParagraph"/>
        <w:numPr>
          <w:ilvl w:val="0"/>
          <w:numId w:val="9"/>
        </w:numPr>
        <w:spacing w:after="120"/>
        <w:ind w:left="782" w:hanging="357"/>
        <w:contextualSpacing w:val="0"/>
        <w:jc w:val="both"/>
      </w:pPr>
      <w:r>
        <w:t xml:space="preserve">What scale </w:t>
      </w:r>
      <w:r w:rsidR="00C84C24">
        <w:t>effort/resource allocation for</w:t>
      </w:r>
      <w:r>
        <w:t xml:space="preserve"> </w:t>
      </w:r>
      <w:r w:rsidR="00F44009">
        <w:t>monitoring is</w:t>
      </w:r>
      <w:r>
        <w:t xml:space="preserve"> appropriate? This is determined by several factors including</w:t>
      </w:r>
      <w:r w:rsidR="00C84C24">
        <w:t>:</w:t>
      </w:r>
    </w:p>
    <w:p w14:paraId="0B47F809" w14:textId="7D9C354F" w:rsidR="00C84C24" w:rsidRDefault="0090132D" w:rsidP="00E26823">
      <w:pPr>
        <w:pStyle w:val="ListParagraph"/>
        <w:numPr>
          <w:ilvl w:val="1"/>
          <w:numId w:val="14"/>
        </w:numPr>
        <w:spacing w:after="120"/>
        <w:contextualSpacing w:val="0"/>
        <w:jc w:val="both"/>
      </w:pPr>
      <w:r>
        <w:t>s</w:t>
      </w:r>
      <w:r w:rsidR="00E634BE">
        <w:t>i</w:t>
      </w:r>
      <w:r w:rsidR="002A7B38">
        <w:t>ze of investment in the program</w:t>
      </w:r>
    </w:p>
    <w:p w14:paraId="0A7A16B1" w14:textId="6CB60EAF" w:rsidR="00C84C24" w:rsidRDefault="0090132D" w:rsidP="00E26823">
      <w:pPr>
        <w:pStyle w:val="ListParagraph"/>
        <w:numPr>
          <w:ilvl w:val="1"/>
          <w:numId w:val="14"/>
        </w:numPr>
        <w:spacing w:after="120"/>
        <w:contextualSpacing w:val="0"/>
        <w:jc w:val="both"/>
      </w:pPr>
      <w:r>
        <w:t>l</w:t>
      </w:r>
      <w:r w:rsidR="002A7B38">
        <w:t xml:space="preserve">evel of risk in the program (including delivery risk, </w:t>
      </w:r>
      <w:r w:rsidR="00C84C24">
        <w:t>political/reputational</w:t>
      </w:r>
      <w:r w:rsidR="002A7B38">
        <w:t xml:space="preserve"> risk, financial risk, systematic risk etc.)</w:t>
      </w:r>
    </w:p>
    <w:p w14:paraId="018F0C22" w14:textId="5BAFA450" w:rsidR="00C84C24" w:rsidRDefault="0090132D" w:rsidP="00E26823">
      <w:pPr>
        <w:pStyle w:val="ListParagraph"/>
        <w:numPr>
          <w:ilvl w:val="1"/>
          <w:numId w:val="14"/>
        </w:numPr>
        <w:spacing w:after="120"/>
        <w:contextualSpacing w:val="0"/>
        <w:jc w:val="both"/>
      </w:pPr>
      <w:r>
        <w:lastRenderedPageBreak/>
        <w:t>l</w:t>
      </w:r>
      <w:r w:rsidR="002A7B38">
        <w:t>evel of innovation (more innovative programs may require closer scrutiny than established programs)</w:t>
      </w:r>
    </w:p>
    <w:p w14:paraId="4D25B782" w14:textId="7BFAB2F0" w:rsidR="00E92F13" w:rsidRDefault="0090132D" w:rsidP="00E26823">
      <w:pPr>
        <w:pStyle w:val="ListParagraph"/>
        <w:numPr>
          <w:ilvl w:val="1"/>
          <w:numId w:val="14"/>
        </w:numPr>
        <w:spacing w:after="120"/>
        <w:contextualSpacing w:val="0"/>
        <w:jc w:val="both"/>
      </w:pPr>
      <w:r>
        <w:t>s</w:t>
      </w:r>
      <w:r w:rsidR="002A7B38">
        <w:t xml:space="preserve">trategic importance of the program to </w:t>
      </w:r>
      <w:r w:rsidR="00B936C6">
        <w:t xml:space="preserve">the </w:t>
      </w:r>
      <w:r w:rsidR="00646038">
        <w:t>government agency</w:t>
      </w:r>
      <w:r w:rsidR="00B936C6">
        <w:t>.</w:t>
      </w:r>
    </w:p>
    <w:p w14:paraId="5429DD60" w14:textId="233A4693" w:rsidR="002A7B38" w:rsidRDefault="002A7B38" w:rsidP="00E26823">
      <w:pPr>
        <w:pStyle w:val="ListParagraph"/>
        <w:numPr>
          <w:ilvl w:val="0"/>
          <w:numId w:val="9"/>
        </w:numPr>
        <w:spacing w:after="120"/>
        <w:ind w:left="782" w:hanging="357"/>
        <w:contextualSpacing w:val="0"/>
        <w:jc w:val="both"/>
      </w:pPr>
      <w:r>
        <w:t xml:space="preserve">Is there </w:t>
      </w:r>
      <w:r w:rsidR="00C84C24">
        <w:t xml:space="preserve">a </w:t>
      </w:r>
      <w:r>
        <w:t xml:space="preserve">budget set aside for </w:t>
      </w:r>
      <w:r w:rsidR="00194402">
        <w:t>the monitoring plan</w:t>
      </w:r>
      <w:r>
        <w:t>? Some program budgets will have provisions for</w:t>
      </w:r>
      <w:r w:rsidR="00F04083">
        <w:t xml:space="preserve"> performance monitoring</w:t>
      </w:r>
      <w:r>
        <w:t>, others may need budget allocation.</w:t>
      </w:r>
    </w:p>
    <w:p w14:paraId="2A682CD2" w14:textId="77777777" w:rsidR="00D54A87" w:rsidRDefault="002A7B38" w:rsidP="00E26823">
      <w:pPr>
        <w:jc w:val="both"/>
        <w:rPr>
          <w:b/>
          <w:bCs/>
        </w:rPr>
      </w:pPr>
      <w:r w:rsidRPr="00D54A87">
        <w:rPr>
          <w:b/>
          <w:bCs/>
        </w:rPr>
        <w:t xml:space="preserve">Frequency </w:t>
      </w:r>
    </w:p>
    <w:p w14:paraId="38FB151D" w14:textId="5222D1D7" w:rsidR="00F04083" w:rsidRPr="00C84C24" w:rsidRDefault="002A7B38" w:rsidP="00E26823">
      <w:pPr>
        <w:pStyle w:val="ListParagraph"/>
        <w:numPr>
          <w:ilvl w:val="0"/>
          <w:numId w:val="11"/>
        </w:numPr>
        <w:spacing w:after="120"/>
        <w:ind w:left="782" w:hanging="357"/>
        <w:contextualSpacing w:val="0"/>
        <w:jc w:val="both"/>
      </w:pPr>
      <w:r w:rsidRPr="00C84C24">
        <w:t xml:space="preserve">How often should performance be monitored? Performance monitoring is an ongoing activity, with </w:t>
      </w:r>
      <w:r w:rsidR="00CE50C5">
        <w:t>various</w:t>
      </w:r>
      <w:r w:rsidRPr="00C84C24">
        <w:t xml:space="preserve"> formal and informal methods </w:t>
      </w:r>
      <w:r w:rsidR="00BC0490">
        <w:t>used</w:t>
      </w:r>
      <w:r w:rsidRPr="00C84C24">
        <w:t xml:space="preserve"> to ensure that contracted service providers achieve their contracted deliverables. The frequency of reporting needs to be balanced between effectively tracking performance without placing excessive reporting burden on </w:t>
      </w:r>
      <w:r w:rsidR="00C44585" w:rsidRPr="00C84C24">
        <w:t>service provider</w:t>
      </w:r>
      <w:r w:rsidRPr="00C84C24">
        <w:t>s</w:t>
      </w:r>
      <w:r w:rsidR="00C44585" w:rsidRPr="00C84C24">
        <w:t>.</w:t>
      </w:r>
    </w:p>
    <w:p w14:paraId="1FD9C0E3" w14:textId="4C577479" w:rsidR="00575E7D" w:rsidRPr="00C84C24" w:rsidRDefault="00575E7D" w:rsidP="00E26823">
      <w:pPr>
        <w:pStyle w:val="ListParagraph"/>
        <w:numPr>
          <w:ilvl w:val="0"/>
          <w:numId w:val="11"/>
        </w:numPr>
        <w:spacing w:after="120"/>
        <w:ind w:left="782" w:hanging="357"/>
        <w:contextualSpacing w:val="0"/>
        <w:jc w:val="both"/>
      </w:pPr>
      <w:r w:rsidRPr="00C84C24">
        <w:t xml:space="preserve">Is </w:t>
      </w:r>
      <w:r w:rsidR="00FE0266">
        <w:t>e</w:t>
      </w:r>
      <w:r w:rsidR="00FE0266" w:rsidRPr="00C84C24">
        <w:t xml:space="preserve">xternal </w:t>
      </w:r>
      <w:r w:rsidRPr="00C84C24">
        <w:t>performance monitoring expected?</w:t>
      </w:r>
      <w:r w:rsidR="0093227D" w:rsidRPr="00C84C24">
        <w:t xml:space="preserve"> Any external monitoring</w:t>
      </w:r>
      <w:r w:rsidR="00B9136B">
        <w:t>,</w:t>
      </w:r>
      <w:r w:rsidR="0093227D" w:rsidRPr="00C84C24">
        <w:t xml:space="preserve"> </w:t>
      </w:r>
      <w:r w:rsidR="007C6EF6">
        <w:t>whether</w:t>
      </w:r>
      <w:r w:rsidR="0093227D" w:rsidRPr="00C84C24">
        <w:t xml:space="preserve"> conducted by funding bodies or other external agencies</w:t>
      </w:r>
      <w:r w:rsidR="00B9136B">
        <w:t>,</w:t>
      </w:r>
      <w:r w:rsidR="0093227D" w:rsidRPr="00C84C24">
        <w:t xml:space="preserve"> will have an impact on planning for internal evaluations, including the timelines and resources available to conduct the evaluations</w:t>
      </w:r>
      <w:r w:rsidR="007C6EF6">
        <w:t>.</w:t>
      </w:r>
    </w:p>
    <w:p w14:paraId="05A0EF7D" w14:textId="77777777" w:rsidR="00F41933" w:rsidRDefault="00F41933" w:rsidP="00E26823">
      <w:pPr>
        <w:jc w:val="both"/>
        <w:rPr>
          <w:b/>
          <w:bCs/>
        </w:rPr>
      </w:pPr>
      <w:r w:rsidRPr="00F41933">
        <w:rPr>
          <w:b/>
          <w:bCs/>
        </w:rPr>
        <w:t>T</w:t>
      </w:r>
      <w:r w:rsidR="002A7B38" w:rsidRPr="00F41933">
        <w:rPr>
          <w:b/>
          <w:bCs/>
        </w:rPr>
        <w:t xml:space="preserve">iming </w:t>
      </w:r>
    </w:p>
    <w:p w14:paraId="72364A18" w14:textId="5012FEAC" w:rsidR="001B4489" w:rsidRPr="00C84C24" w:rsidRDefault="002A7B38" w:rsidP="00E26823">
      <w:pPr>
        <w:pStyle w:val="ListParagraph"/>
        <w:numPr>
          <w:ilvl w:val="0"/>
          <w:numId w:val="12"/>
        </w:numPr>
        <w:spacing w:after="120"/>
        <w:ind w:left="782" w:hanging="357"/>
        <w:contextualSpacing w:val="0"/>
        <w:jc w:val="both"/>
      </w:pPr>
      <w:r w:rsidRPr="00C84C24">
        <w:t xml:space="preserve">Are there key milestones in the program that are natural points for </w:t>
      </w:r>
      <w:r w:rsidR="00F41933" w:rsidRPr="00C84C24">
        <w:t>performance monitoring</w:t>
      </w:r>
      <w:r w:rsidRPr="00C84C24">
        <w:t>? Key points in the program plan provide natural opportunities to</w:t>
      </w:r>
      <w:r w:rsidR="00C84C24">
        <w:t xml:space="preserve"> hold</w:t>
      </w:r>
      <w:r w:rsidRPr="00C84C24">
        <w:t xml:space="preserve"> </w:t>
      </w:r>
      <w:r w:rsidR="00F41933" w:rsidRPr="00C84C24">
        <w:t xml:space="preserve">performance </w:t>
      </w:r>
      <w:r w:rsidR="00C84C24">
        <w:t>improvement conversations</w:t>
      </w:r>
      <w:r w:rsidRPr="00C84C24">
        <w:t>.</w:t>
      </w:r>
    </w:p>
    <w:p w14:paraId="5A108C85" w14:textId="6FDE158F" w:rsidR="00624092" w:rsidRPr="00C84C24" w:rsidRDefault="00C84C24" w:rsidP="00E26823">
      <w:pPr>
        <w:pStyle w:val="ListParagraph"/>
        <w:numPr>
          <w:ilvl w:val="0"/>
          <w:numId w:val="12"/>
        </w:numPr>
        <w:spacing w:after="120"/>
        <w:ind w:left="782" w:hanging="357"/>
        <w:contextualSpacing w:val="0"/>
        <w:jc w:val="both"/>
      </w:pPr>
      <w:r>
        <w:t>Are</w:t>
      </w:r>
      <w:r w:rsidR="00166F0D" w:rsidRPr="00C84C24">
        <w:t xml:space="preserve"> performance </w:t>
      </w:r>
      <w:r>
        <w:t>update</w:t>
      </w:r>
      <w:r w:rsidR="00B9136B">
        <w:t>s</w:t>
      </w:r>
      <w:r w:rsidR="002A7B38" w:rsidRPr="00C84C24">
        <w:t xml:space="preserve"> expected at the end of funding </w:t>
      </w:r>
      <w:r w:rsidR="00747DD6">
        <w:t>periods</w:t>
      </w:r>
      <w:r w:rsidR="002A7B38" w:rsidRPr="00C84C24">
        <w:t>? Some funding agreements will stipulate evaluation activities, including when the reports are expected to be completed.</w:t>
      </w:r>
    </w:p>
    <w:p w14:paraId="11C1C3EC" w14:textId="0957D674" w:rsidR="00624092" w:rsidRPr="00C84C24" w:rsidRDefault="002A7B38" w:rsidP="00E26823">
      <w:pPr>
        <w:pStyle w:val="ListParagraph"/>
        <w:numPr>
          <w:ilvl w:val="0"/>
          <w:numId w:val="12"/>
        </w:numPr>
        <w:spacing w:after="120"/>
        <w:ind w:left="782" w:hanging="357"/>
        <w:contextualSpacing w:val="0"/>
        <w:jc w:val="both"/>
      </w:pPr>
      <w:r w:rsidRPr="00C84C24">
        <w:t>When in the program should we expect to shift focus on types of indicators</w:t>
      </w:r>
      <w:r w:rsidR="00747DD6">
        <w:t xml:space="preserve">? </w:t>
      </w:r>
      <w:r w:rsidRPr="00C84C24">
        <w:t xml:space="preserve">Our focus on specific indicators will change over the </w:t>
      </w:r>
      <w:r w:rsidR="002D7845">
        <w:t>program’s course</w:t>
      </w:r>
      <w:r w:rsidRPr="00C84C24">
        <w:t xml:space="preserve"> as it moves from establishment into implementation and </w:t>
      </w:r>
      <w:r w:rsidR="00166F0D" w:rsidRPr="00C84C24">
        <w:t>beyond</w:t>
      </w:r>
      <w:r w:rsidR="009A4987">
        <w:t>.</w:t>
      </w:r>
    </w:p>
    <w:p w14:paraId="57A9CD18" w14:textId="09CACBE7" w:rsidR="00D85F30" w:rsidRPr="00C84C24" w:rsidRDefault="002A7B38" w:rsidP="00E26823">
      <w:pPr>
        <w:pStyle w:val="ListParagraph"/>
        <w:numPr>
          <w:ilvl w:val="0"/>
          <w:numId w:val="12"/>
        </w:numPr>
        <w:spacing w:after="120"/>
        <w:ind w:left="782" w:hanging="357"/>
        <w:contextualSpacing w:val="0"/>
        <w:jc w:val="both"/>
      </w:pPr>
      <w:r w:rsidRPr="00C84C24">
        <w:t>When are data going to be available? Our ability to measure indicators will also depend on when we can expect the data to be available</w:t>
      </w:r>
      <w:r w:rsidR="009A4987">
        <w:t>.</w:t>
      </w:r>
    </w:p>
    <w:p w14:paraId="2E58EF6A" w14:textId="1E85CB03" w:rsidR="0078677A" w:rsidRDefault="00A927BD" w:rsidP="00007E2A">
      <w:pPr>
        <w:pStyle w:val="Heading1"/>
        <w:spacing w:line="259" w:lineRule="auto"/>
        <w:jc w:val="both"/>
      </w:pPr>
      <w:bookmarkStart w:id="21" w:name="_Toc115940717"/>
      <w:bookmarkStart w:id="22" w:name="_Toc1328342134"/>
      <w:r>
        <w:t xml:space="preserve">5. </w:t>
      </w:r>
      <w:r w:rsidR="00C76624">
        <w:t>Conduct</w:t>
      </w:r>
      <w:r w:rsidR="00B9136B">
        <w:t>ing</w:t>
      </w:r>
      <w:r w:rsidR="00C76624">
        <w:t xml:space="preserve"> </w:t>
      </w:r>
      <w:r w:rsidR="009A4987">
        <w:t>p</w:t>
      </w:r>
      <w:r w:rsidR="00C76624">
        <w:t xml:space="preserve">erformance </w:t>
      </w:r>
      <w:r w:rsidR="009A4987">
        <w:t>m</w:t>
      </w:r>
      <w:r w:rsidR="00C76624">
        <w:t xml:space="preserve">onitoring </w:t>
      </w:r>
      <w:r w:rsidR="00A460E7">
        <w:t xml:space="preserve">for </w:t>
      </w:r>
      <w:r w:rsidR="009A4987">
        <w:t>i</w:t>
      </w:r>
      <w:r w:rsidR="00A460E7">
        <w:t>mprovement</w:t>
      </w:r>
      <w:bookmarkEnd w:id="21"/>
      <w:bookmarkEnd w:id="22"/>
    </w:p>
    <w:p w14:paraId="4E2C4D1B" w14:textId="04FCCBA9" w:rsidR="00C40284" w:rsidRDefault="00747DD6" w:rsidP="00E26823">
      <w:pPr>
        <w:jc w:val="both"/>
      </w:pPr>
      <w:r>
        <w:t>P</w:t>
      </w:r>
      <w:r w:rsidR="0078677A">
        <w:t xml:space="preserve">erformance monitoring is </w:t>
      </w:r>
      <w:r>
        <w:t xml:space="preserve">often </w:t>
      </w:r>
      <w:r w:rsidR="0078677A">
        <w:t xml:space="preserve">undertaken to ensure compliance </w:t>
      </w:r>
      <w:r>
        <w:t>with</w:t>
      </w:r>
      <w:r w:rsidR="0078677A">
        <w:t xml:space="preserve"> contracts and to fulfil our internal reporting obligations. However, effective performance monitoring and evaluation should be more about performance improvement than monitoring. We must </w:t>
      </w:r>
      <w:r w:rsidR="009A4987">
        <w:t>‘</w:t>
      </w:r>
      <w:r w:rsidR="0078677A">
        <w:t>close the loop</w:t>
      </w:r>
      <w:r w:rsidR="009A4987">
        <w:t>’</w:t>
      </w:r>
      <w:r w:rsidR="0078677A">
        <w:t xml:space="preserve"> with our </w:t>
      </w:r>
      <w:r w:rsidR="00C44585">
        <w:t>service provider</w:t>
      </w:r>
      <w:r w:rsidR="0078677A">
        <w:t xml:space="preserve">s and partners, using </w:t>
      </w:r>
      <w:r w:rsidR="0078677A">
        <w:lastRenderedPageBreak/>
        <w:t>the insights gained from performance monitoring to inform improvement focussed conversations.</w:t>
      </w:r>
    </w:p>
    <w:p w14:paraId="7851CF19" w14:textId="792B4064" w:rsidR="00024816" w:rsidRDefault="0078677A" w:rsidP="0090132D">
      <w:pPr>
        <w:jc w:val="both"/>
      </w:pPr>
      <w:r>
        <w:t>All program team stakeholders should approach performance monitoring with a commitment to continuous improvement</w:t>
      </w:r>
      <w:r w:rsidR="00747DD6">
        <w:t xml:space="preserve"> and work</w:t>
      </w:r>
      <w:r>
        <w:t xml:space="preserve"> collaboratively </w:t>
      </w:r>
      <w:r w:rsidR="00747DD6">
        <w:t xml:space="preserve">to create </w:t>
      </w:r>
      <w:r>
        <w:t xml:space="preserve">strategies to achieve the improvements. This requires all parties </w:t>
      </w:r>
      <w:r w:rsidR="00C7406E">
        <w:t>to be</w:t>
      </w:r>
      <w:r>
        <w:t xml:space="preserve"> equally invested in achieving the improvement rather than placing the burden solely on the contracted service provider.</w:t>
      </w:r>
      <w:r w:rsidR="00747DD6">
        <w:t xml:space="preserve"> This doesn’t replace the need to monitor contract compliance but is important for building lasting and effective relationships with service providers.</w:t>
      </w:r>
    </w:p>
    <w:p w14:paraId="045745C7" w14:textId="31CD8452" w:rsidR="00747DD6" w:rsidRDefault="00B433B1" w:rsidP="0090132D">
      <w:pPr>
        <w:jc w:val="both"/>
      </w:pPr>
      <w:r>
        <w:t xml:space="preserve">Providing useful feedback is an effective way to </w:t>
      </w:r>
      <w:r w:rsidR="00747DD6">
        <w:t xml:space="preserve">encourage </w:t>
      </w:r>
      <w:r>
        <w:t xml:space="preserve">the required behaviours and performance from </w:t>
      </w:r>
      <w:r w:rsidR="00C44585">
        <w:t>service provider</w:t>
      </w:r>
      <w:r>
        <w:t xml:space="preserve">s and drive outcomes from our programs. Feedback </w:t>
      </w:r>
      <w:r w:rsidR="00747DD6">
        <w:t xml:space="preserve">should be outcomes focused and </w:t>
      </w:r>
      <w:r>
        <w:t xml:space="preserve">include recognising strong performance as well as identifying areas for improvement. </w:t>
      </w:r>
      <w:r w:rsidR="00747DD6">
        <w:t>Providing feedback offers value to the service provider</w:t>
      </w:r>
      <w:r w:rsidR="00E82F59">
        <w:t xml:space="preserve"> and promotes greater data sharing.</w:t>
      </w:r>
    </w:p>
    <w:p w14:paraId="6EDF0881" w14:textId="09CF74B0" w:rsidR="00502B29" w:rsidRDefault="00502B29" w:rsidP="0090132D">
      <w:pPr>
        <w:jc w:val="both"/>
      </w:pPr>
    </w:p>
    <w:p w14:paraId="015919D0" w14:textId="77777777" w:rsidR="00A470A2" w:rsidRDefault="00A470A2" w:rsidP="0090132D">
      <w:pPr>
        <w:keepNext/>
        <w:jc w:val="center"/>
      </w:pPr>
      <w:r>
        <w:rPr>
          <w:noProof/>
        </w:rPr>
        <w:drawing>
          <wp:inline distT="0" distB="0" distL="0" distR="0" wp14:anchorId="0736493F" wp14:editId="694B1538">
            <wp:extent cx="4780068" cy="3370521"/>
            <wp:effectExtent l="0" t="0" r="0" b="0"/>
            <wp:docPr id="21" name="Picture 21" descr="Figure 4. The continuous cycle of performance improvement and the steps invol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4. The continuous cycle of performance improvement and the steps involv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99830" cy="3384455"/>
                    </a:xfrm>
                    <a:prstGeom prst="rect">
                      <a:avLst/>
                    </a:prstGeom>
                    <a:noFill/>
                  </pic:spPr>
                </pic:pic>
              </a:graphicData>
            </a:graphic>
          </wp:inline>
        </w:drawing>
      </w:r>
    </w:p>
    <w:p w14:paraId="05522CAE" w14:textId="0456457D" w:rsidR="00B433B1" w:rsidRPr="0090132D" w:rsidRDefault="00A470A2" w:rsidP="0090132D">
      <w:pPr>
        <w:pStyle w:val="Caption"/>
        <w:jc w:val="center"/>
        <w:rPr>
          <w:i w:val="0"/>
          <w:iCs w:val="0"/>
          <w:sz w:val="24"/>
          <w:szCs w:val="24"/>
        </w:rPr>
      </w:pPr>
      <w:r w:rsidRPr="0090132D">
        <w:rPr>
          <w:i w:val="0"/>
          <w:iCs w:val="0"/>
          <w:sz w:val="24"/>
          <w:szCs w:val="24"/>
        </w:rPr>
        <w:t xml:space="preserve">Figure </w:t>
      </w:r>
      <w:r w:rsidR="006F701B" w:rsidRPr="0090132D">
        <w:rPr>
          <w:i w:val="0"/>
          <w:iCs w:val="0"/>
          <w:sz w:val="24"/>
          <w:szCs w:val="24"/>
        </w:rPr>
        <w:t>4</w:t>
      </w:r>
      <w:r w:rsidRPr="0090132D">
        <w:rPr>
          <w:i w:val="0"/>
          <w:iCs w:val="0"/>
          <w:sz w:val="24"/>
          <w:szCs w:val="24"/>
        </w:rPr>
        <w:t>. The continuous cycle of performance improvement and the steps involved.</w:t>
      </w:r>
    </w:p>
    <w:p w14:paraId="2FBD5720" w14:textId="77777777" w:rsidR="00705126" w:rsidRDefault="00705126" w:rsidP="0090132D">
      <w:pPr>
        <w:jc w:val="both"/>
        <w:rPr>
          <w:b/>
          <w:bCs/>
          <w:sz w:val="36"/>
          <w:szCs w:val="36"/>
        </w:rPr>
      </w:pPr>
      <w:bookmarkStart w:id="23" w:name="_Toc115940718"/>
      <w:bookmarkStart w:id="24" w:name="_Toc1609431047"/>
      <w:r>
        <w:br w:type="page"/>
      </w:r>
    </w:p>
    <w:p w14:paraId="27A4C53D" w14:textId="0370BC81" w:rsidR="003C096B" w:rsidRDefault="00A927BD" w:rsidP="00007E2A">
      <w:pPr>
        <w:pStyle w:val="Heading1"/>
        <w:spacing w:line="259" w:lineRule="auto"/>
        <w:jc w:val="both"/>
      </w:pPr>
      <w:r>
        <w:lastRenderedPageBreak/>
        <w:t xml:space="preserve">6. </w:t>
      </w:r>
      <w:r w:rsidR="00007E2A">
        <w:t>Developing a performance monitoring plan</w:t>
      </w:r>
      <w:bookmarkEnd w:id="23"/>
      <w:bookmarkEnd w:id="24"/>
    </w:p>
    <w:p w14:paraId="431116DD" w14:textId="5006C87C" w:rsidR="006906E9" w:rsidRDefault="003C096B" w:rsidP="00007E2A">
      <w:pPr>
        <w:pStyle w:val="Heading2"/>
        <w:spacing w:line="259" w:lineRule="auto"/>
        <w:jc w:val="both"/>
      </w:pPr>
      <w:bookmarkStart w:id="25" w:name="_Toc115940723"/>
      <w:bookmarkStart w:id="26" w:name="_Toc501580052"/>
      <w:r w:rsidRPr="00B9136B">
        <w:t>6.</w:t>
      </w:r>
      <w:r w:rsidR="003B7C09" w:rsidRPr="00B9136B">
        <w:t>1</w:t>
      </w:r>
      <w:r w:rsidRPr="00B9136B">
        <w:t xml:space="preserve"> Developing a </w:t>
      </w:r>
      <w:r w:rsidR="004176BD" w:rsidRPr="00B9136B">
        <w:t>p</w:t>
      </w:r>
      <w:r w:rsidRPr="00B9136B">
        <w:t xml:space="preserve">erformance </w:t>
      </w:r>
      <w:r w:rsidR="004176BD" w:rsidRPr="00B9136B">
        <w:t>m</w:t>
      </w:r>
      <w:r w:rsidRPr="00B9136B">
        <w:t xml:space="preserve">onitoring </w:t>
      </w:r>
      <w:r w:rsidR="004176BD" w:rsidRPr="00B9136B">
        <w:t>p</w:t>
      </w:r>
      <w:r w:rsidRPr="00B9136B">
        <w:t xml:space="preserve">lan with </w:t>
      </w:r>
      <w:r w:rsidR="004176BD" w:rsidRPr="00B9136B">
        <w:t>s</w:t>
      </w:r>
      <w:r w:rsidR="00C44585" w:rsidRPr="00B9136B">
        <w:t>ervice provider</w:t>
      </w:r>
      <w:r w:rsidRPr="00B9136B">
        <w:t>s</w:t>
      </w:r>
      <w:bookmarkEnd w:id="25"/>
      <w:bookmarkEnd w:id="26"/>
    </w:p>
    <w:p w14:paraId="16F12BF4" w14:textId="71E135DF" w:rsidR="009710AF" w:rsidRDefault="0044289B" w:rsidP="00E26823">
      <w:pPr>
        <w:jc w:val="both"/>
      </w:pPr>
      <w:r>
        <w:t>Collaborat</w:t>
      </w:r>
      <w:r w:rsidR="00E82F59">
        <w:t>ion</w:t>
      </w:r>
      <w:r>
        <w:t xml:space="preserve"> to </w:t>
      </w:r>
      <w:r w:rsidR="00852AA4">
        <w:t>p</w:t>
      </w:r>
      <w:r w:rsidR="00EC2A3D">
        <w:t>roduce a performance monitoring plan</w:t>
      </w:r>
      <w:r w:rsidR="00A4656F">
        <w:t xml:space="preserve"> </w:t>
      </w:r>
      <w:r w:rsidR="009710AF">
        <w:t>allows</w:t>
      </w:r>
      <w:r w:rsidR="00A4656F">
        <w:t xml:space="preserve"> </w:t>
      </w:r>
      <w:r w:rsidR="004B51B1">
        <w:t>commissioners and service providers to</w:t>
      </w:r>
      <w:r w:rsidR="00E52B6F">
        <w:t xml:space="preserve"> </w:t>
      </w:r>
      <w:r w:rsidR="004F7074">
        <w:t xml:space="preserve">identify and agree </w:t>
      </w:r>
      <w:r w:rsidR="00D617A3">
        <w:t xml:space="preserve">on </w:t>
      </w:r>
      <w:r w:rsidR="004F7074">
        <w:t>the most appropriate indicators to monitor</w:t>
      </w:r>
      <w:r w:rsidR="00E82F59">
        <w:t xml:space="preserve"> and associated timeframes. </w:t>
      </w:r>
      <w:r w:rsidR="004E0FE0">
        <w:t xml:space="preserve">If data barriers are identified, we can </w:t>
      </w:r>
      <w:r w:rsidR="00E87671">
        <w:t>collaborate</w:t>
      </w:r>
      <w:r w:rsidR="004E0FE0">
        <w:t xml:space="preserve"> to develop solutions </w:t>
      </w:r>
      <w:r w:rsidR="003168CC">
        <w:t>to</w:t>
      </w:r>
      <w:r w:rsidR="00FC306F">
        <w:t xml:space="preserve"> data collection issues.</w:t>
      </w:r>
    </w:p>
    <w:p w14:paraId="7DFD92A1" w14:textId="4742F682" w:rsidR="006906E9" w:rsidRDefault="00E82F59" w:rsidP="00E26823">
      <w:pPr>
        <w:jc w:val="both"/>
      </w:pPr>
      <w:r>
        <w:t>W</w:t>
      </w:r>
      <w:r w:rsidR="00B90473">
        <w:t xml:space="preserve">orking together </w:t>
      </w:r>
      <w:r w:rsidR="00AD7BE7">
        <w:t>ensure</w:t>
      </w:r>
      <w:r w:rsidR="002E22F7">
        <w:t xml:space="preserve">s that the monitoring plan </w:t>
      </w:r>
      <w:r w:rsidR="008E173F">
        <w:t xml:space="preserve">is going to work for </w:t>
      </w:r>
      <w:r w:rsidR="008B5F1A">
        <w:t xml:space="preserve">both the </w:t>
      </w:r>
      <w:r w:rsidR="009710AF">
        <w:t>g</w:t>
      </w:r>
      <w:r w:rsidR="008B5F1A">
        <w:t>overnment agencies as well as the service providers</w:t>
      </w:r>
      <w:r w:rsidR="002827AB">
        <w:t xml:space="preserve">. </w:t>
      </w:r>
      <w:r w:rsidR="00B9136B">
        <w:t xml:space="preserve">However, </w:t>
      </w:r>
      <w:r w:rsidR="00BF5583">
        <w:t xml:space="preserve">commissioners </w:t>
      </w:r>
      <w:r w:rsidR="002A38B7">
        <w:t xml:space="preserve">are </w:t>
      </w:r>
      <w:r w:rsidR="00B9136B">
        <w:t xml:space="preserve">ultimately </w:t>
      </w:r>
      <w:r w:rsidR="002A38B7">
        <w:t>responsible for delivering positive outcomes for the community</w:t>
      </w:r>
      <w:r w:rsidR="00AC7862">
        <w:t xml:space="preserve"> and must ensure the</w:t>
      </w:r>
      <w:r w:rsidR="00B64321">
        <w:t xml:space="preserve"> performance management</w:t>
      </w:r>
      <w:r w:rsidR="008C34DD">
        <w:t xml:space="preserve"> </w:t>
      </w:r>
      <w:r w:rsidR="0080600C">
        <w:t xml:space="preserve">plan </w:t>
      </w:r>
      <w:r w:rsidR="00AC7862">
        <w:t>keeps</w:t>
      </w:r>
      <w:r w:rsidR="0080600C">
        <w:t xml:space="preserve"> service providers accountable.</w:t>
      </w:r>
    </w:p>
    <w:p w14:paraId="1190285E" w14:textId="1F9840D5" w:rsidR="00A927BD" w:rsidRDefault="00B03763" w:rsidP="00007E2A">
      <w:pPr>
        <w:pStyle w:val="Heading1"/>
        <w:spacing w:line="259" w:lineRule="auto"/>
        <w:jc w:val="both"/>
      </w:pPr>
      <w:bookmarkStart w:id="27" w:name="_Toc115940724"/>
      <w:bookmarkStart w:id="28" w:name="_Toc1002808194"/>
      <w:r>
        <w:t xml:space="preserve">7. Communicating </w:t>
      </w:r>
      <w:r w:rsidR="009710AF">
        <w:t>i</w:t>
      </w:r>
      <w:r>
        <w:t>ntentions</w:t>
      </w:r>
      <w:bookmarkEnd w:id="27"/>
      <w:bookmarkEnd w:id="28"/>
    </w:p>
    <w:p w14:paraId="0812135A" w14:textId="4BDD7C96" w:rsidR="006906E9" w:rsidRDefault="006906E9" w:rsidP="00007E2A">
      <w:pPr>
        <w:pStyle w:val="Heading2"/>
        <w:spacing w:line="259" w:lineRule="auto"/>
        <w:jc w:val="both"/>
      </w:pPr>
      <w:bookmarkStart w:id="29" w:name="_Toc115940725"/>
      <w:bookmarkStart w:id="30" w:name="_Toc1304243854"/>
      <w:r w:rsidRPr="00B9136B">
        <w:t xml:space="preserve">7.1 Share </w:t>
      </w:r>
      <w:r w:rsidR="00CA1574" w:rsidRPr="00B9136B">
        <w:t>p</w:t>
      </w:r>
      <w:r w:rsidRPr="00B9136B">
        <w:t xml:space="preserve">erformance </w:t>
      </w:r>
      <w:r w:rsidR="00CA1574" w:rsidRPr="00B9136B">
        <w:t>m</w:t>
      </w:r>
      <w:r w:rsidRPr="00B9136B">
        <w:t xml:space="preserve">onitoring </w:t>
      </w:r>
      <w:r w:rsidR="004176BD" w:rsidRPr="00B9136B">
        <w:t>p</w:t>
      </w:r>
      <w:r w:rsidRPr="00B9136B">
        <w:t>lan</w:t>
      </w:r>
      <w:bookmarkEnd w:id="29"/>
      <w:bookmarkEnd w:id="30"/>
    </w:p>
    <w:p w14:paraId="6D5BC1EE" w14:textId="2CEBF2CF" w:rsidR="00B03763" w:rsidRDefault="001B0E75" w:rsidP="00E26823">
      <w:pPr>
        <w:jc w:val="both"/>
      </w:pPr>
      <w:r>
        <w:t xml:space="preserve">Given that </w:t>
      </w:r>
      <w:r w:rsidR="007F16F2">
        <w:t>it is recommended</w:t>
      </w:r>
      <w:r>
        <w:t xml:space="preserve"> </w:t>
      </w:r>
      <w:r w:rsidR="007F16F2">
        <w:t xml:space="preserve">that </w:t>
      </w:r>
      <w:r>
        <w:t xml:space="preserve">service providers are involved in </w:t>
      </w:r>
      <w:r w:rsidR="007F16F2">
        <w:t>developing</w:t>
      </w:r>
      <w:r>
        <w:t xml:space="preserve"> a performance monitoring plan, </w:t>
      </w:r>
      <w:r w:rsidR="00121A41">
        <w:t>the agreement should be</w:t>
      </w:r>
      <w:r w:rsidR="00127F52">
        <w:t xml:space="preserve"> shared </w:t>
      </w:r>
      <w:r w:rsidR="00F00F6E">
        <w:t xml:space="preserve">with </w:t>
      </w:r>
      <w:r w:rsidR="00F61D41">
        <w:t>them</w:t>
      </w:r>
      <w:r w:rsidR="00FF5FF7">
        <w:t>. It</w:t>
      </w:r>
      <w:r w:rsidR="00960DBA">
        <w:t xml:space="preserve"> </w:t>
      </w:r>
      <w:r w:rsidR="00ED77A0">
        <w:t xml:space="preserve">is a record of what has been agreed to and will </w:t>
      </w:r>
      <w:r w:rsidR="00E82F59">
        <w:t xml:space="preserve">help </w:t>
      </w:r>
      <w:r w:rsidR="00ED77A0">
        <w:t xml:space="preserve">service providers </w:t>
      </w:r>
      <w:r w:rsidR="00E82F59">
        <w:t>track</w:t>
      </w:r>
      <w:r w:rsidR="00ED77A0">
        <w:t xml:space="preserve"> the</w:t>
      </w:r>
      <w:r w:rsidR="00F556BB">
        <w:t xml:space="preserve">ir performance against the agreed </w:t>
      </w:r>
      <w:r w:rsidR="009710AF">
        <w:t>KPIs</w:t>
      </w:r>
      <w:r w:rsidR="00B17804">
        <w:t>,</w:t>
      </w:r>
      <w:r w:rsidR="00F556BB">
        <w:t xml:space="preserve"> which in turn should lead to </w:t>
      </w:r>
      <w:r w:rsidR="006D7A97">
        <w:t>improved</w:t>
      </w:r>
      <w:r w:rsidR="00F556BB">
        <w:t xml:space="preserve"> program delivery.</w:t>
      </w:r>
    </w:p>
    <w:p w14:paraId="08643330" w14:textId="5C59491D" w:rsidR="00B03763" w:rsidRDefault="00B03763" w:rsidP="00007E2A">
      <w:pPr>
        <w:pStyle w:val="Heading1"/>
        <w:spacing w:line="259" w:lineRule="auto"/>
        <w:jc w:val="both"/>
      </w:pPr>
      <w:bookmarkStart w:id="31" w:name="_Toc115940726"/>
      <w:bookmarkStart w:id="32" w:name="_Toc1390706328"/>
      <w:r>
        <w:t xml:space="preserve">8. Links to </w:t>
      </w:r>
      <w:r w:rsidR="009710AF">
        <w:t>r</w:t>
      </w:r>
      <w:r>
        <w:t>esources</w:t>
      </w:r>
      <w:bookmarkEnd w:id="31"/>
      <w:bookmarkEnd w:id="32"/>
    </w:p>
    <w:p w14:paraId="446BDFEB" w14:textId="1A50E486" w:rsidR="008C6558" w:rsidRDefault="00891AA2" w:rsidP="0090132D">
      <w:pPr>
        <w:jc w:val="both"/>
      </w:pPr>
      <w:r>
        <w:t>Nil</w:t>
      </w:r>
    </w:p>
    <w:sectPr w:rsidR="008C6558" w:rsidSect="007412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42CD" w14:textId="77777777" w:rsidR="0038661A" w:rsidRDefault="0038661A" w:rsidP="00695E34">
      <w:pPr>
        <w:spacing w:after="0" w:line="240" w:lineRule="auto"/>
      </w:pPr>
      <w:r>
        <w:separator/>
      </w:r>
    </w:p>
  </w:endnote>
  <w:endnote w:type="continuationSeparator" w:id="0">
    <w:p w14:paraId="74AB4E9D" w14:textId="77777777" w:rsidR="0038661A" w:rsidRDefault="0038661A" w:rsidP="00695E34">
      <w:pPr>
        <w:spacing w:after="0" w:line="240" w:lineRule="auto"/>
      </w:pPr>
      <w:r>
        <w:continuationSeparator/>
      </w:r>
    </w:p>
  </w:endnote>
  <w:endnote w:type="continuationNotice" w:id="1">
    <w:p w14:paraId="270E2F42" w14:textId="77777777" w:rsidR="0038661A" w:rsidRDefault="00386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panose1 w:val="020B05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32D4" w14:textId="77777777" w:rsidR="001D1B42" w:rsidRDefault="001D1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514A"/>
      </w:rPr>
      <w:id w:val="-437057259"/>
      <w:docPartObj>
        <w:docPartGallery w:val="Page Numbers (Bottom of Page)"/>
        <w:docPartUnique/>
      </w:docPartObj>
    </w:sdtPr>
    <w:sdtEndPr>
      <w:rPr>
        <w:noProof/>
        <w:color w:val="1F4E79" w:themeColor="accent5" w:themeShade="80"/>
        <w:sz w:val="18"/>
        <w:szCs w:val="18"/>
      </w:rPr>
    </w:sdtEndPr>
    <w:sdtContent>
      <w:p w14:paraId="160D74A7" w14:textId="3E3789A3" w:rsidR="00252B9E" w:rsidRPr="001D1B42" w:rsidRDefault="00252B9E" w:rsidP="00252B9E">
        <w:pPr>
          <w:pStyle w:val="Footer"/>
          <w:rPr>
            <w:color w:val="1F4E79" w:themeColor="accent5" w:themeShade="80"/>
            <w:sz w:val="18"/>
            <w:szCs w:val="18"/>
          </w:rPr>
        </w:pPr>
        <w:r w:rsidRPr="001D1B42">
          <w:rPr>
            <w:color w:val="1F4E79" w:themeColor="accent5" w:themeShade="80"/>
            <w:sz w:val="18"/>
            <w:szCs w:val="18"/>
          </w:rPr>
          <w:fldChar w:fldCharType="begin"/>
        </w:r>
        <w:r w:rsidRPr="001D1B42">
          <w:rPr>
            <w:color w:val="1F4E79" w:themeColor="accent5" w:themeShade="80"/>
            <w:sz w:val="18"/>
            <w:szCs w:val="18"/>
          </w:rPr>
          <w:instrText xml:space="preserve"> PAGE   \* MERGEFORMAT </w:instrText>
        </w:r>
        <w:r w:rsidRPr="001D1B42">
          <w:rPr>
            <w:color w:val="1F4E79" w:themeColor="accent5" w:themeShade="80"/>
            <w:sz w:val="18"/>
            <w:szCs w:val="18"/>
          </w:rPr>
          <w:fldChar w:fldCharType="separate"/>
        </w:r>
        <w:r w:rsidRPr="001D1B42">
          <w:rPr>
            <w:color w:val="1F4E79" w:themeColor="accent5" w:themeShade="80"/>
            <w:sz w:val="18"/>
            <w:szCs w:val="18"/>
          </w:rPr>
          <w:t>2</w:t>
        </w:r>
        <w:r w:rsidRPr="001D1B42">
          <w:rPr>
            <w:noProof/>
            <w:color w:val="1F4E79" w:themeColor="accent5" w:themeShade="80"/>
            <w:sz w:val="18"/>
            <w:szCs w:val="18"/>
          </w:rPr>
          <w:fldChar w:fldCharType="end"/>
        </w:r>
        <w:r w:rsidRPr="001D1B42">
          <w:rPr>
            <w:color w:val="1F4E79" w:themeColor="accent5" w:themeShade="80"/>
            <w:sz w:val="18"/>
            <w:szCs w:val="18"/>
          </w:rPr>
          <w:t xml:space="preserve"> </w:t>
        </w:r>
        <w:r w:rsidRPr="001D1B42">
          <w:rPr>
            <w:b/>
            <w:bCs/>
            <w:color w:val="1F4E79" w:themeColor="accent5" w:themeShade="80"/>
            <w:sz w:val="18"/>
            <w:szCs w:val="18"/>
          </w:rPr>
          <w:t xml:space="preserve">Commissioning Toolkit </w:t>
        </w:r>
        <w:r w:rsidRPr="001D1B42">
          <w:rPr>
            <w:color w:val="1F4E79" w:themeColor="accent5" w:themeShade="80"/>
            <w:sz w:val="18"/>
            <w:szCs w:val="18"/>
          </w:rPr>
          <w:t>| Tool 7: Manage and Monitor</w:t>
        </w:r>
      </w:p>
    </w:sdtContent>
  </w:sdt>
  <w:p w14:paraId="53911C65" w14:textId="77777777" w:rsidR="00695E34" w:rsidRDefault="00695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217" w14:textId="77777777" w:rsidR="001D1B42" w:rsidRDefault="001D1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9795" w14:textId="77777777" w:rsidR="0038661A" w:rsidRDefault="0038661A" w:rsidP="00695E34">
      <w:pPr>
        <w:spacing w:after="0" w:line="240" w:lineRule="auto"/>
      </w:pPr>
      <w:r>
        <w:separator/>
      </w:r>
    </w:p>
  </w:footnote>
  <w:footnote w:type="continuationSeparator" w:id="0">
    <w:p w14:paraId="3DC18DB9" w14:textId="77777777" w:rsidR="0038661A" w:rsidRDefault="0038661A" w:rsidP="00695E34">
      <w:pPr>
        <w:spacing w:after="0" w:line="240" w:lineRule="auto"/>
      </w:pPr>
      <w:r>
        <w:continuationSeparator/>
      </w:r>
    </w:p>
  </w:footnote>
  <w:footnote w:type="continuationNotice" w:id="1">
    <w:p w14:paraId="152D08D5" w14:textId="77777777" w:rsidR="0038661A" w:rsidRDefault="00386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6EC8" w14:textId="77777777" w:rsidR="001D1B42" w:rsidRDefault="001D1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7382" w14:textId="77777777" w:rsidR="001D1B42" w:rsidRDefault="001D1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D406" w14:textId="77777777" w:rsidR="001D1B42" w:rsidRDefault="001D1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172"/>
    <w:multiLevelType w:val="hybridMultilevel"/>
    <w:tmpl w:val="2D7C3C8E"/>
    <w:lvl w:ilvl="0" w:tplc="E9A4EB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D81FE6"/>
    <w:multiLevelType w:val="hybridMultilevel"/>
    <w:tmpl w:val="F4782CD6"/>
    <w:lvl w:ilvl="0" w:tplc="FFFFFFFF">
      <w:start w:val="1"/>
      <w:numFmt w:val="decimal"/>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117669"/>
    <w:multiLevelType w:val="hybridMultilevel"/>
    <w:tmpl w:val="CF08ECC4"/>
    <w:lvl w:ilvl="0" w:tplc="C9A8CF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2441CB"/>
    <w:multiLevelType w:val="hybridMultilevel"/>
    <w:tmpl w:val="1BC6BB5E"/>
    <w:lvl w:ilvl="0" w:tplc="E9A4EB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940627"/>
    <w:multiLevelType w:val="hybridMultilevel"/>
    <w:tmpl w:val="302C9368"/>
    <w:lvl w:ilvl="0" w:tplc="E9A4EB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741979"/>
    <w:multiLevelType w:val="hybridMultilevel"/>
    <w:tmpl w:val="C4FA208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5B5722"/>
    <w:multiLevelType w:val="hybridMultilevel"/>
    <w:tmpl w:val="A9B410C2"/>
    <w:lvl w:ilvl="0" w:tplc="E9A4EB1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0F0619"/>
    <w:multiLevelType w:val="hybridMultilevel"/>
    <w:tmpl w:val="8A9AD69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AE61E9"/>
    <w:multiLevelType w:val="hybridMultilevel"/>
    <w:tmpl w:val="C9044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102610"/>
    <w:multiLevelType w:val="hybridMultilevel"/>
    <w:tmpl w:val="2A1CE882"/>
    <w:lvl w:ilvl="0" w:tplc="FFFFFFFF">
      <w:start w:val="1"/>
      <w:numFmt w:val="decimal"/>
      <w:lvlText w:val="%1)"/>
      <w:lvlJc w:val="left"/>
      <w:pPr>
        <w:ind w:left="720" w:hanging="360"/>
      </w:pPr>
    </w:lvl>
    <w:lvl w:ilvl="1" w:tplc="5C9070D4">
      <w:start w:val="1"/>
      <w:numFmt w:val="bullet"/>
      <w:lvlText w:val="­"/>
      <w:lvlJc w:val="left"/>
      <w:pPr>
        <w:ind w:left="1440" w:hanging="360"/>
      </w:pPr>
      <w:rPr>
        <w:rFonts w:ascii="Courier New" w:hAnsi="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0676D0"/>
    <w:multiLevelType w:val="hybridMultilevel"/>
    <w:tmpl w:val="7A266062"/>
    <w:lvl w:ilvl="0" w:tplc="C4A6CC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4E1350"/>
    <w:multiLevelType w:val="hybridMultilevel"/>
    <w:tmpl w:val="536A5F7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E53C79"/>
    <w:multiLevelType w:val="hybridMultilevel"/>
    <w:tmpl w:val="56A4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65A7E"/>
    <w:multiLevelType w:val="hybridMultilevel"/>
    <w:tmpl w:val="2EE6AC2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3636778">
    <w:abstractNumId w:val="2"/>
  </w:num>
  <w:num w:numId="2" w16cid:durableId="1686125601">
    <w:abstractNumId w:val="10"/>
  </w:num>
  <w:num w:numId="3" w16cid:durableId="1279096480">
    <w:abstractNumId w:val="6"/>
  </w:num>
  <w:num w:numId="4" w16cid:durableId="267851785">
    <w:abstractNumId w:val="0"/>
  </w:num>
  <w:num w:numId="5" w16cid:durableId="13970094">
    <w:abstractNumId w:val="3"/>
  </w:num>
  <w:num w:numId="6" w16cid:durableId="1991592527">
    <w:abstractNumId w:val="4"/>
  </w:num>
  <w:num w:numId="7" w16cid:durableId="121273364">
    <w:abstractNumId w:val="8"/>
  </w:num>
  <w:num w:numId="8" w16cid:durableId="1272517620">
    <w:abstractNumId w:val="11"/>
  </w:num>
  <w:num w:numId="9" w16cid:durableId="1558084220">
    <w:abstractNumId w:val="7"/>
  </w:num>
  <w:num w:numId="10" w16cid:durableId="346062046">
    <w:abstractNumId w:val="1"/>
  </w:num>
  <w:num w:numId="11" w16cid:durableId="1125536526">
    <w:abstractNumId w:val="13"/>
  </w:num>
  <w:num w:numId="12" w16cid:durableId="193153314">
    <w:abstractNumId w:val="5"/>
  </w:num>
  <w:num w:numId="13" w16cid:durableId="2047827349">
    <w:abstractNumId w:val="12"/>
  </w:num>
  <w:num w:numId="14" w16cid:durableId="1910075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jc2MDA1MDY1MbBU0lEKTi0uzszPAykwqwUAOqAY9ywAAAA="/>
  </w:docVars>
  <w:rsids>
    <w:rsidRoot w:val="008C6558"/>
    <w:rsid w:val="00001013"/>
    <w:rsid w:val="000017CB"/>
    <w:rsid w:val="00004630"/>
    <w:rsid w:val="00007E2A"/>
    <w:rsid w:val="0001706B"/>
    <w:rsid w:val="0001743B"/>
    <w:rsid w:val="00024816"/>
    <w:rsid w:val="00024DFD"/>
    <w:rsid w:val="0005168B"/>
    <w:rsid w:val="00054042"/>
    <w:rsid w:val="00056A3C"/>
    <w:rsid w:val="00063A91"/>
    <w:rsid w:val="00064C2D"/>
    <w:rsid w:val="000751E0"/>
    <w:rsid w:val="000867E0"/>
    <w:rsid w:val="00096D38"/>
    <w:rsid w:val="000A0D97"/>
    <w:rsid w:val="000A7B0A"/>
    <w:rsid w:val="000D08D7"/>
    <w:rsid w:val="000D2806"/>
    <w:rsid w:val="000D2D35"/>
    <w:rsid w:val="000D6F1A"/>
    <w:rsid w:val="00101C1D"/>
    <w:rsid w:val="00112130"/>
    <w:rsid w:val="00121A41"/>
    <w:rsid w:val="001230FC"/>
    <w:rsid w:val="00127F52"/>
    <w:rsid w:val="00130A48"/>
    <w:rsid w:val="001342A3"/>
    <w:rsid w:val="00137061"/>
    <w:rsid w:val="00152095"/>
    <w:rsid w:val="00156B4F"/>
    <w:rsid w:val="001577B9"/>
    <w:rsid w:val="00160E3A"/>
    <w:rsid w:val="00161C07"/>
    <w:rsid w:val="00166F0D"/>
    <w:rsid w:val="00171689"/>
    <w:rsid w:val="00175A0A"/>
    <w:rsid w:val="001907EA"/>
    <w:rsid w:val="00194402"/>
    <w:rsid w:val="001958E7"/>
    <w:rsid w:val="001A50D4"/>
    <w:rsid w:val="001A7EB2"/>
    <w:rsid w:val="001B0E75"/>
    <w:rsid w:val="001B4489"/>
    <w:rsid w:val="001B70FE"/>
    <w:rsid w:val="001C55D7"/>
    <w:rsid w:val="001D1B42"/>
    <w:rsid w:val="001D1FDD"/>
    <w:rsid w:val="001F760B"/>
    <w:rsid w:val="00203346"/>
    <w:rsid w:val="00203B1E"/>
    <w:rsid w:val="00216BE4"/>
    <w:rsid w:val="002174BD"/>
    <w:rsid w:val="00221E4D"/>
    <w:rsid w:val="00222D62"/>
    <w:rsid w:val="00223A15"/>
    <w:rsid w:val="00226B37"/>
    <w:rsid w:val="00230184"/>
    <w:rsid w:val="00231173"/>
    <w:rsid w:val="00235038"/>
    <w:rsid w:val="00242B7C"/>
    <w:rsid w:val="00252A02"/>
    <w:rsid w:val="00252B9E"/>
    <w:rsid w:val="0025695C"/>
    <w:rsid w:val="0026136F"/>
    <w:rsid w:val="00263B0F"/>
    <w:rsid w:val="00264697"/>
    <w:rsid w:val="0026583E"/>
    <w:rsid w:val="00265CC6"/>
    <w:rsid w:val="00281444"/>
    <w:rsid w:val="002827AB"/>
    <w:rsid w:val="002859F6"/>
    <w:rsid w:val="0028647D"/>
    <w:rsid w:val="00297B55"/>
    <w:rsid w:val="002A25DB"/>
    <w:rsid w:val="002A2833"/>
    <w:rsid w:val="002A38B7"/>
    <w:rsid w:val="002A567C"/>
    <w:rsid w:val="002A7B38"/>
    <w:rsid w:val="002B0E19"/>
    <w:rsid w:val="002B6E69"/>
    <w:rsid w:val="002C3EAE"/>
    <w:rsid w:val="002C5EF7"/>
    <w:rsid w:val="002D7845"/>
    <w:rsid w:val="002E1752"/>
    <w:rsid w:val="002E22F7"/>
    <w:rsid w:val="002E2E06"/>
    <w:rsid w:val="002E7D0D"/>
    <w:rsid w:val="002F0E74"/>
    <w:rsid w:val="002F593D"/>
    <w:rsid w:val="00301A95"/>
    <w:rsid w:val="00301FD2"/>
    <w:rsid w:val="00302733"/>
    <w:rsid w:val="003168CC"/>
    <w:rsid w:val="00316DAA"/>
    <w:rsid w:val="0032036A"/>
    <w:rsid w:val="0032173B"/>
    <w:rsid w:val="00325AB6"/>
    <w:rsid w:val="00330130"/>
    <w:rsid w:val="00336F33"/>
    <w:rsid w:val="00344B8A"/>
    <w:rsid w:val="00351C96"/>
    <w:rsid w:val="0036087F"/>
    <w:rsid w:val="00361362"/>
    <w:rsid w:val="003645E8"/>
    <w:rsid w:val="00371F24"/>
    <w:rsid w:val="00372DA8"/>
    <w:rsid w:val="00375A08"/>
    <w:rsid w:val="0038661A"/>
    <w:rsid w:val="0039470D"/>
    <w:rsid w:val="0039582E"/>
    <w:rsid w:val="003968D4"/>
    <w:rsid w:val="003A12EF"/>
    <w:rsid w:val="003A2D2F"/>
    <w:rsid w:val="003A32B6"/>
    <w:rsid w:val="003A459A"/>
    <w:rsid w:val="003A4D71"/>
    <w:rsid w:val="003B294A"/>
    <w:rsid w:val="003B7C09"/>
    <w:rsid w:val="003C096B"/>
    <w:rsid w:val="003C31CD"/>
    <w:rsid w:val="003D2EC0"/>
    <w:rsid w:val="003D68F1"/>
    <w:rsid w:val="003E2E0F"/>
    <w:rsid w:val="003E39BC"/>
    <w:rsid w:val="003E5265"/>
    <w:rsid w:val="003F6C9B"/>
    <w:rsid w:val="00403954"/>
    <w:rsid w:val="00406E13"/>
    <w:rsid w:val="004176BD"/>
    <w:rsid w:val="004315D4"/>
    <w:rsid w:val="0043792A"/>
    <w:rsid w:val="0044289B"/>
    <w:rsid w:val="00445055"/>
    <w:rsid w:val="0046275D"/>
    <w:rsid w:val="004654CD"/>
    <w:rsid w:val="00480BA0"/>
    <w:rsid w:val="00484850"/>
    <w:rsid w:val="004A114A"/>
    <w:rsid w:val="004A5A56"/>
    <w:rsid w:val="004B51B1"/>
    <w:rsid w:val="004C07F9"/>
    <w:rsid w:val="004C5660"/>
    <w:rsid w:val="004D7FBD"/>
    <w:rsid w:val="004E0FE0"/>
    <w:rsid w:val="004E1B11"/>
    <w:rsid w:val="004F7074"/>
    <w:rsid w:val="0050031D"/>
    <w:rsid w:val="00502B29"/>
    <w:rsid w:val="00506B9D"/>
    <w:rsid w:val="00524B17"/>
    <w:rsid w:val="00530376"/>
    <w:rsid w:val="00537C68"/>
    <w:rsid w:val="00542BE3"/>
    <w:rsid w:val="00542EF4"/>
    <w:rsid w:val="00543FF3"/>
    <w:rsid w:val="0054535C"/>
    <w:rsid w:val="0056264A"/>
    <w:rsid w:val="005636D5"/>
    <w:rsid w:val="005638BC"/>
    <w:rsid w:val="00567403"/>
    <w:rsid w:val="00575E7D"/>
    <w:rsid w:val="00575F72"/>
    <w:rsid w:val="00576B8F"/>
    <w:rsid w:val="0059112E"/>
    <w:rsid w:val="005927A4"/>
    <w:rsid w:val="005A693F"/>
    <w:rsid w:val="005B05CA"/>
    <w:rsid w:val="005B1A91"/>
    <w:rsid w:val="005B39D7"/>
    <w:rsid w:val="005B4948"/>
    <w:rsid w:val="005D1CED"/>
    <w:rsid w:val="005E4552"/>
    <w:rsid w:val="005F21D5"/>
    <w:rsid w:val="005F7C47"/>
    <w:rsid w:val="00601BCF"/>
    <w:rsid w:val="0060591E"/>
    <w:rsid w:val="00613EE3"/>
    <w:rsid w:val="00616E4D"/>
    <w:rsid w:val="00623614"/>
    <w:rsid w:val="00624092"/>
    <w:rsid w:val="00630FC9"/>
    <w:rsid w:val="00631AB9"/>
    <w:rsid w:val="00643D14"/>
    <w:rsid w:val="00646038"/>
    <w:rsid w:val="006523FE"/>
    <w:rsid w:val="00657845"/>
    <w:rsid w:val="0067205D"/>
    <w:rsid w:val="00674122"/>
    <w:rsid w:val="0067509B"/>
    <w:rsid w:val="006906E9"/>
    <w:rsid w:val="00695489"/>
    <w:rsid w:val="00695E34"/>
    <w:rsid w:val="006A2EB2"/>
    <w:rsid w:val="006B4087"/>
    <w:rsid w:val="006B5EDF"/>
    <w:rsid w:val="006C0027"/>
    <w:rsid w:val="006C5F78"/>
    <w:rsid w:val="006D5C3D"/>
    <w:rsid w:val="006D7A97"/>
    <w:rsid w:val="006E0ED1"/>
    <w:rsid w:val="006E4F12"/>
    <w:rsid w:val="006E56C5"/>
    <w:rsid w:val="006E6DBB"/>
    <w:rsid w:val="006E7D34"/>
    <w:rsid w:val="006F2DCF"/>
    <w:rsid w:val="006F3021"/>
    <w:rsid w:val="006F32FE"/>
    <w:rsid w:val="006F4671"/>
    <w:rsid w:val="006F701B"/>
    <w:rsid w:val="006F70D8"/>
    <w:rsid w:val="006F7CBE"/>
    <w:rsid w:val="0070416F"/>
    <w:rsid w:val="00705126"/>
    <w:rsid w:val="0072056C"/>
    <w:rsid w:val="007236E1"/>
    <w:rsid w:val="00731854"/>
    <w:rsid w:val="0073291A"/>
    <w:rsid w:val="00741213"/>
    <w:rsid w:val="00741894"/>
    <w:rsid w:val="00743D0F"/>
    <w:rsid w:val="00747DD6"/>
    <w:rsid w:val="00752F8F"/>
    <w:rsid w:val="0076329A"/>
    <w:rsid w:val="0078677A"/>
    <w:rsid w:val="007A0120"/>
    <w:rsid w:val="007A4047"/>
    <w:rsid w:val="007B2057"/>
    <w:rsid w:val="007C2E8F"/>
    <w:rsid w:val="007C6EF6"/>
    <w:rsid w:val="007D45A8"/>
    <w:rsid w:val="007E136E"/>
    <w:rsid w:val="007E4139"/>
    <w:rsid w:val="007E797B"/>
    <w:rsid w:val="007F16F2"/>
    <w:rsid w:val="0080600C"/>
    <w:rsid w:val="00806FD3"/>
    <w:rsid w:val="0081004F"/>
    <w:rsid w:val="00814F6D"/>
    <w:rsid w:val="008226E0"/>
    <w:rsid w:val="00834921"/>
    <w:rsid w:val="00847736"/>
    <w:rsid w:val="00852AA4"/>
    <w:rsid w:val="00862897"/>
    <w:rsid w:val="008645F1"/>
    <w:rsid w:val="008672E9"/>
    <w:rsid w:val="00871912"/>
    <w:rsid w:val="008801A0"/>
    <w:rsid w:val="00891701"/>
    <w:rsid w:val="00891AA2"/>
    <w:rsid w:val="00893EBB"/>
    <w:rsid w:val="008A0B08"/>
    <w:rsid w:val="008A2394"/>
    <w:rsid w:val="008B5F1A"/>
    <w:rsid w:val="008C34DD"/>
    <w:rsid w:val="008C6558"/>
    <w:rsid w:val="008D137B"/>
    <w:rsid w:val="008D2CEA"/>
    <w:rsid w:val="008D4444"/>
    <w:rsid w:val="008D73F4"/>
    <w:rsid w:val="008E173F"/>
    <w:rsid w:val="008F04B0"/>
    <w:rsid w:val="008F2722"/>
    <w:rsid w:val="008F56D2"/>
    <w:rsid w:val="00900C0E"/>
    <w:rsid w:val="0090132D"/>
    <w:rsid w:val="00902854"/>
    <w:rsid w:val="00906CF9"/>
    <w:rsid w:val="00915A66"/>
    <w:rsid w:val="0093227D"/>
    <w:rsid w:val="00934DF2"/>
    <w:rsid w:val="00936675"/>
    <w:rsid w:val="00960DBA"/>
    <w:rsid w:val="00961708"/>
    <w:rsid w:val="009710AF"/>
    <w:rsid w:val="009856FA"/>
    <w:rsid w:val="009A2ABC"/>
    <w:rsid w:val="009A4987"/>
    <w:rsid w:val="009A5B4D"/>
    <w:rsid w:val="009A7E5E"/>
    <w:rsid w:val="009B1056"/>
    <w:rsid w:val="009E0618"/>
    <w:rsid w:val="009E4176"/>
    <w:rsid w:val="009F17C0"/>
    <w:rsid w:val="009F2578"/>
    <w:rsid w:val="009F4545"/>
    <w:rsid w:val="00A05B9D"/>
    <w:rsid w:val="00A068D8"/>
    <w:rsid w:val="00A144C5"/>
    <w:rsid w:val="00A16BCF"/>
    <w:rsid w:val="00A32082"/>
    <w:rsid w:val="00A34641"/>
    <w:rsid w:val="00A4236B"/>
    <w:rsid w:val="00A460E7"/>
    <w:rsid w:val="00A4656F"/>
    <w:rsid w:val="00A470A2"/>
    <w:rsid w:val="00A63EB0"/>
    <w:rsid w:val="00A67D62"/>
    <w:rsid w:val="00A8032D"/>
    <w:rsid w:val="00A927BD"/>
    <w:rsid w:val="00A9534D"/>
    <w:rsid w:val="00AB3146"/>
    <w:rsid w:val="00AB4C2D"/>
    <w:rsid w:val="00AC7862"/>
    <w:rsid w:val="00AD2ADA"/>
    <w:rsid w:val="00AD7BE7"/>
    <w:rsid w:val="00AE12E6"/>
    <w:rsid w:val="00AE36A1"/>
    <w:rsid w:val="00B0257F"/>
    <w:rsid w:val="00B03763"/>
    <w:rsid w:val="00B107E5"/>
    <w:rsid w:val="00B17804"/>
    <w:rsid w:val="00B22536"/>
    <w:rsid w:val="00B27E2A"/>
    <w:rsid w:val="00B433B1"/>
    <w:rsid w:val="00B506F2"/>
    <w:rsid w:val="00B54971"/>
    <w:rsid w:val="00B5676C"/>
    <w:rsid w:val="00B60AAE"/>
    <w:rsid w:val="00B64321"/>
    <w:rsid w:val="00B67FFC"/>
    <w:rsid w:val="00B70535"/>
    <w:rsid w:val="00B77794"/>
    <w:rsid w:val="00B838AE"/>
    <w:rsid w:val="00B90473"/>
    <w:rsid w:val="00B90C3C"/>
    <w:rsid w:val="00B9136B"/>
    <w:rsid w:val="00B936C6"/>
    <w:rsid w:val="00BB08A4"/>
    <w:rsid w:val="00BB5A59"/>
    <w:rsid w:val="00BC0490"/>
    <w:rsid w:val="00BC4617"/>
    <w:rsid w:val="00BE3529"/>
    <w:rsid w:val="00BE6244"/>
    <w:rsid w:val="00BF305A"/>
    <w:rsid w:val="00BF5583"/>
    <w:rsid w:val="00BF7634"/>
    <w:rsid w:val="00C013D7"/>
    <w:rsid w:val="00C03F07"/>
    <w:rsid w:val="00C130C3"/>
    <w:rsid w:val="00C14056"/>
    <w:rsid w:val="00C16A90"/>
    <w:rsid w:val="00C16AC5"/>
    <w:rsid w:val="00C20276"/>
    <w:rsid w:val="00C22A96"/>
    <w:rsid w:val="00C263C3"/>
    <w:rsid w:val="00C2727F"/>
    <w:rsid w:val="00C349A2"/>
    <w:rsid w:val="00C40284"/>
    <w:rsid w:val="00C44585"/>
    <w:rsid w:val="00C52BE7"/>
    <w:rsid w:val="00C55E8A"/>
    <w:rsid w:val="00C636F1"/>
    <w:rsid w:val="00C648C8"/>
    <w:rsid w:val="00C7406E"/>
    <w:rsid w:val="00C76624"/>
    <w:rsid w:val="00C818BA"/>
    <w:rsid w:val="00C83E64"/>
    <w:rsid w:val="00C84C24"/>
    <w:rsid w:val="00C873A6"/>
    <w:rsid w:val="00C87D48"/>
    <w:rsid w:val="00C917E0"/>
    <w:rsid w:val="00C9688A"/>
    <w:rsid w:val="00CA1574"/>
    <w:rsid w:val="00CA5F7A"/>
    <w:rsid w:val="00CB3347"/>
    <w:rsid w:val="00CB3F80"/>
    <w:rsid w:val="00CB4424"/>
    <w:rsid w:val="00CB5BD5"/>
    <w:rsid w:val="00CD12FA"/>
    <w:rsid w:val="00CD6152"/>
    <w:rsid w:val="00CD76E3"/>
    <w:rsid w:val="00CE185F"/>
    <w:rsid w:val="00CE50C5"/>
    <w:rsid w:val="00CF0C43"/>
    <w:rsid w:val="00D00B2E"/>
    <w:rsid w:val="00D14A5E"/>
    <w:rsid w:val="00D267C7"/>
    <w:rsid w:val="00D2763F"/>
    <w:rsid w:val="00D30D9C"/>
    <w:rsid w:val="00D44C25"/>
    <w:rsid w:val="00D54A87"/>
    <w:rsid w:val="00D554A0"/>
    <w:rsid w:val="00D617A3"/>
    <w:rsid w:val="00D66B35"/>
    <w:rsid w:val="00D74AEE"/>
    <w:rsid w:val="00D7525D"/>
    <w:rsid w:val="00D85F30"/>
    <w:rsid w:val="00D96A1A"/>
    <w:rsid w:val="00DB0352"/>
    <w:rsid w:val="00DD115D"/>
    <w:rsid w:val="00E03B07"/>
    <w:rsid w:val="00E05EDF"/>
    <w:rsid w:val="00E07BF5"/>
    <w:rsid w:val="00E134D1"/>
    <w:rsid w:val="00E22998"/>
    <w:rsid w:val="00E23FC6"/>
    <w:rsid w:val="00E26823"/>
    <w:rsid w:val="00E52B6F"/>
    <w:rsid w:val="00E603EC"/>
    <w:rsid w:val="00E634BE"/>
    <w:rsid w:val="00E70667"/>
    <w:rsid w:val="00E82F59"/>
    <w:rsid w:val="00E86D19"/>
    <w:rsid w:val="00E87671"/>
    <w:rsid w:val="00E92F13"/>
    <w:rsid w:val="00EA3D47"/>
    <w:rsid w:val="00EB247C"/>
    <w:rsid w:val="00EB3FCE"/>
    <w:rsid w:val="00EB72D8"/>
    <w:rsid w:val="00EC15F6"/>
    <w:rsid w:val="00EC2A3D"/>
    <w:rsid w:val="00ED4479"/>
    <w:rsid w:val="00ED55FC"/>
    <w:rsid w:val="00ED77A0"/>
    <w:rsid w:val="00EE02D8"/>
    <w:rsid w:val="00EE5E1D"/>
    <w:rsid w:val="00EF4251"/>
    <w:rsid w:val="00EF4C68"/>
    <w:rsid w:val="00EF53FB"/>
    <w:rsid w:val="00EF6A0C"/>
    <w:rsid w:val="00F00F6E"/>
    <w:rsid w:val="00F0286C"/>
    <w:rsid w:val="00F034F1"/>
    <w:rsid w:val="00F04083"/>
    <w:rsid w:val="00F041DD"/>
    <w:rsid w:val="00F15880"/>
    <w:rsid w:val="00F15987"/>
    <w:rsid w:val="00F22EE4"/>
    <w:rsid w:val="00F24FB3"/>
    <w:rsid w:val="00F31E33"/>
    <w:rsid w:val="00F40C05"/>
    <w:rsid w:val="00F41933"/>
    <w:rsid w:val="00F44009"/>
    <w:rsid w:val="00F44C5F"/>
    <w:rsid w:val="00F45D56"/>
    <w:rsid w:val="00F556BB"/>
    <w:rsid w:val="00F5693B"/>
    <w:rsid w:val="00F61D41"/>
    <w:rsid w:val="00F61F4C"/>
    <w:rsid w:val="00F737DF"/>
    <w:rsid w:val="00F77500"/>
    <w:rsid w:val="00F829F7"/>
    <w:rsid w:val="00F83916"/>
    <w:rsid w:val="00FA1471"/>
    <w:rsid w:val="00FA197B"/>
    <w:rsid w:val="00FA2A7D"/>
    <w:rsid w:val="00FA48CD"/>
    <w:rsid w:val="00FB13E7"/>
    <w:rsid w:val="00FC306F"/>
    <w:rsid w:val="00FE0266"/>
    <w:rsid w:val="00FF5950"/>
    <w:rsid w:val="00FF5FF7"/>
    <w:rsid w:val="475B16E3"/>
    <w:rsid w:val="74D14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E04FF"/>
  <w15:chartTrackingRefBased/>
  <w15:docId w15:val="{AEB4F915-4167-419B-AFD4-F1A709A2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89"/>
    <w:rPr>
      <w:rFonts w:ascii="Neue Haas Grotesk Text Pro" w:hAnsi="Neue Haas Grotesk Text Pro"/>
      <w:sz w:val="24"/>
      <w:szCs w:val="24"/>
    </w:rPr>
  </w:style>
  <w:style w:type="paragraph" w:styleId="Heading1">
    <w:name w:val="heading 1"/>
    <w:basedOn w:val="Normal"/>
    <w:next w:val="Normal"/>
    <w:link w:val="Heading1Char"/>
    <w:uiPriority w:val="9"/>
    <w:qFormat/>
    <w:rsid w:val="00D85F30"/>
    <w:pPr>
      <w:spacing w:before="480" w:after="120" w:line="240" w:lineRule="auto"/>
      <w:outlineLvl w:val="0"/>
    </w:pPr>
    <w:rPr>
      <w:b/>
      <w:bCs/>
      <w:sz w:val="36"/>
      <w:szCs w:val="36"/>
    </w:rPr>
  </w:style>
  <w:style w:type="paragraph" w:styleId="Heading2">
    <w:name w:val="heading 2"/>
    <w:basedOn w:val="Normal"/>
    <w:next w:val="Normal"/>
    <w:link w:val="Heading2Char"/>
    <w:uiPriority w:val="9"/>
    <w:unhideWhenUsed/>
    <w:qFormat/>
    <w:rsid w:val="00B90C3C"/>
    <w:pPr>
      <w:spacing w:before="360" w:after="12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1689"/>
    <w:pPr>
      <w:spacing w:before="1680" w:after="960" w:line="240" w:lineRule="auto"/>
    </w:pPr>
    <w:rPr>
      <w:b/>
      <w:bCs/>
      <w:sz w:val="72"/>
      <w:szCs w:val="72"/>
    </w:rPr>
  </w:style>
  <w:style w:type="character" w:customStyle="1" w:styleId="TitleChar">
    <w:name w:val="Title Char"/>
    <w:basedOn w:val="DefaultParagraphFont"/>
    <w:link w:val="Title"/>
    <w:uiPriority w:val="10"/>
    <w:rsid w:val="00171689"/>
    <w:rPr>
      <w:rFonts w:ascii="Neue Haas Grotesk Text Pro" w:hAnsi="Neue Haas Grotesk Text Pro"/>
      <w:b/>
      <w:bCs/>
      <w:sz w:val="72"/>
      <w:szCs w:val="72"/>
    </w:rPr>
  </w:style>
  <w:style w:type="paragraph" w:styleId="Subtitle">
    <w:name w:val="Subtitle"/>
    <w:basedOn w:val="Normal"/>
    <w:next w:val="Normal"/>
    <w:link w:val="SubtitleChar"/>
    <w:uiPriority w:val="11"/>
    <w:qFormat/>
    <w:rsid w:val="00171689"/>
    <w:pPr>
      <w:spacing w:before="1320" w:after="720"/>
    </w:pPr>
    <w:rPr>
      <w:b/>
      <w:bCs/>
      <w:sz w:val="48"/>
      <w:szCs w:val="48"/>
    </w:rPr>
  </w:style>
  <w:style w:type="character" w:customStyle="1" w:styleId="SubtitleChar">
    <w:name w:val="Subtitle Char"/>
    <w:basedOn w:val="DefaultParagraphFont"/>
    <w:link w:val="Subtitle"/>
    <w:uiPriority w:val="11"/>
    <w:rsid w:val="00171689"/>
    <w:rPr>
      <w:rFonts w:ascii="Neue Haas Grotesk Text Pro" w:hAnsi="Neue Haas Grotesk Text Pro"/>
      <w:b/>
      <w:bCs/>
      <w:sz w:val="48"/>
      <w:szCs w:val="48"/>
    </w:rPr>
  </w:style>
  <w:style w:type="character" w:customStyle="1" w:styleId="Heading1Char">
    <w:name w:val="Heading 1 Char"/>
    <w:basedOn w:val="DefaultParagraphFont"/>
    <w:link w:val="Heading1"/>
    <w:uiPriority w:val="9"/>
    <w:rsid w:val="00D85F30"/>
    <w:rPr>
      <w:rFonts w:ascii="Neue Haas Grotesk Text Pro" w:hAnsi="Neue Haas Grotesk Text Pro"/>
      <w:b/>
      <w:bCs/>
      <w:sz w:val="36"/>
      <w:szCs w:val="36"/>
    </w:rPr>
  </w:style>
  <w:style w:type="character" w:customStyle="1" w:styleId="Heading2Char">
    <w:name w:val="Heading 2 Char"/>
    <w:basedOn w:val="DefaultParagraphFont"/>
    <w:link w:val="Heading2"/>
    <w:uiPriority w:val="9"/>
    <w:rsid w:val="00B90C3C"/>
    <w:rPr>
      <w:rFonts w:ascii="Neue Haas Grotesk Text Pro" w:hAnsi="Neue Haas Grotesk Text Pro"/>
      <w:b/>
      <w:bCs/>
      <w:sz w:val="28"/>
      <w:szCs w:val="28"/>
    </w:rPr>
  </w:style>
  <w:style w:type="paragraph" w:styleId="TOCHeading">
    <w:name w:val="TOC Heading"/>
    <w:basedOn w:val="Heading1"/>
    <w:next w:val="Normal"/>
    <w:uiPriority w:val="39"/>
    <w:unhideWhenUsed/>
    <w:qFormat/>
    <w:rsid w:val="00A927BD"/>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A927BD"/>
    <w:pPr>
      <w:spacing w:after="100"/>
    </w:pPr>
  </w:style>
  <w:style w:type="paragraph" w:styleId="TOC2">
    <w:name w:val="toc 2"/>
    <w:basedOn w:val="Normal"/>
    <w:next w:val="Normal"/>
    <w:autoRedefine/>
    <w:uiPriority w:val="39"/>
    <w:unhideWhenUsed/>
    <w:rsid w:val="00A927BD"/>
    <w:pPr>
      <w:spacing w:after="100"/>
      <w:ind w:left="240"/>
    </w:pPr>
  </w:style>
  <w:style w:type="character" w:styleId="Hyperlink">
    <w:name w:val="Hyperlink"/>
    <w:basedOn w:val="DefaultParagraphFont"/>
    <w:uiPriority w:val="99"/>
    <w:unhideWhenUsed/>
    <w:rsid w:val="00A927BD"/>
    <w:rPr>
      <w:color w:val="0563C1" w:themeColor="hyperlink"/>
      <w:u w:val="single"/>
    </w:rPr>
  </w:style>
  <w:style w:type="paragraph" w:styleId="ListParagraph">
    <w:name w:val="List Paragraph"/>
    <w:basedOn w:val="Normal"/>
    <w:uiPriority w:val="34"/>
    <w:rsid w:val="00741213"/>
    <w:pPr>
      <w:ind w:left="720"/>
      <w:contextualSpacing/>
    </w:pPr>
  </w:style>
  <w:style w:type="paragraph" w:customStyle="1" w:styleId="paragraph">
    <w:name w:val="paragraph"/>
    <w:basedOn w:val="Normal"/>
    <w:rsid w:val="004C5660"/>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4C5660"/>
  </w:style>
  <w:style w:type="character" w:customStyle="1" w:styleId="eop">
    <w:name w:val="eop"/>
    <w:basedOn w:val="DefaultParagraphFont"/>
    <w:rsid w:val="004C5660"/>
  </w:style>
  <w:style w:type="character" w:styleId="CommentReference">
    <w:name w:val="annotation reference"/>
    <w:basedOn w:val="DefaultParagraphFont"/>
    <w:uiPriority w:val="99"/>
    <w:semiHidden/>
    <w:unhideWhenUsed/>
    <w:rsid w:val="0076329A"/>
    <w:rPr>
      <w:sz w:val="16"/>
      <w:szCs w:val="16"/>
    </w:rPr>
  </w:style>
  <w:style w:type="paragraph" w:styleId="CommentText">
    <w:name w:val="annotation text"/>
    <w:basedOn w:val="Normal"/>
    <w:link w:val="CommentTextChar"/>
    <w:uiPriority w:val="99"/>
    <w:unhideWhenUsed/>
    <w:rsid w:val="0076329A"/>
    <w:pPr>
      <w:spacing w:line="240" w:lineRule="auto"/>
    </w:pPr>
    <w:rPr>
      <w:sz w:val="20"/>
      <w:szCs w:val="20"/>
    </w:rPr>
  </w:style>
  <w:style w:type="character" w:customStyle="1" w:styleId="CommentTextChar">
    <w:name w:val="Comment Text Char"/>
    <w:basedOn w:val="DefaultParagraphFont"/>
    <w:link w:val="CommentText"/>
    <w:uiPriority w:val="99"/>
    <w:rsid w:val="0076329A"/>
    <w:rPr>
      <w:rFonts w:ascii="Neue Haas Grotesk Text Pro" w:hAnsi="Neue Haas Grotesk Text Pro"/>
      <w:sz w:val="20"/>
      <w:szCs w:val="20"/>
    </w:rPr>
  </w:style>
  <w:style w:type="paragraph" w:styleId="CommentSubject">
    <w:name w:val="annotation subject"/>
    <w:basedOn w:val="CommentText"/>
    <w:next w:val="CommentText"/>
    <w:link w:val="CommentSubjectChar"/>
    <w:uiPriority w:val="99"/>
    <w:semiHidden/>
    <w:unhideWhenUsed/>
    <w:rsid w:val="0076329A"/>
    <w:rPr>
      <w:b/>
      <w:bCs/>
    </w:rPr>
  </w:style>
  <w:style w:type="character" w:customStyle="1" w:styleId="CommentSubjectChar">
    <w:name w:val="Comment Subject Char"/>
    <w:basedOn w:val="CommentTextChar"/>
    <w:link w:val="CommentSubject"/>
    <w:uiPriority w:val="99"/>
    <w:semiHidden/>
    <w:rsid w:val="0076329A"/>
    <w:rPr>
      <w:rFonts w:ascii="Neue Haas Grotesk Text Pro" w:hAnsi="Neue Haas Grotesk Text Pro"/>
      <w:b/>
      <w:bCs/>
      <w:sz w:val="20"/>
      <w:szCs w:val="20"/>
    </w:rPr>
  </w:style>
  <w:style w:type="character" w:customStyle="1" w:styleId="contextualspellingandgrammarerror">
    <w:name w:val="contextualspellingandgrammarerror"/>
    <w:basedOn w:val="DefaultParagraphFont"/>
    <w:rsid w:val="008226E0"/>
  </w:style>
  <w:style w:type="character" w:customStyle="1" w:styleId="advancedproofingissue">
    <w:name w:val="advancedproofingissue"/>
    <w:basedOn w:val="DefaultParagraphFont"/>
    <w:rsid w:val="008226E0"/>
  </w:style>
  <w:style w:type="paragraph" w:styleId="Header">
    <w:name w:val="header"/>
    <w:basedOn w:val="Normal"/>
    <w:link w:val="HeaderChar"/>
    <w:uiPriority w:val="99"/>
    <w:unhideWhenUsed/>
    <w:rsid w:val="00695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E34"/>
    <w:rPr>
      <w:rFonts w:ascii="Neue Haas Grotesk Text Pro" w:hAnsi="Neue Haas Grotesk Text Pro"/>
      <w:sz w:val="24"/>
      <w:szCs w:val="24"/>
    </w:rPr>
  </w:style>
  <w:style w:type="paragraph" w:styleId="Footer">
    <w:name w:val="footer"/>
    <w:basedOn w:val="Normal"/>
    <w:link w:val="FooterChar"/>
    <w:uiPriority w:val="99"/>
    <w:unhideWhenUsed/>
    <w:rsid w:val="00695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E34"/>
    <w:rPr>
      <w:rFonts w:ascii="Neue Haas Grotesk Text Pro" w:hAnsi="Neue Haas Grotesk Text Pro"/>
      <w:sz w:val="24"/>
      <w:szCs w:val="24"/>
    </w:rPr>
  </w:style>
  <w:style w:type="paragraph" w:styleId="Caption">
    <w:name w:val="caption"/>
    <w:basedOn w:val="Normal"/>
    <w:next w:val="Normal"/>
    <w:uiPriority w:val="35"/>
    <w:unhideWhenUsed/>
    <w:qFormat/>
    <w:rsid w:val="00EF4251"/>
    <w:pPr>
      <w:spacing w:after="200" w:line="240" w:lineRule="auto"/>
    </w:pPr>
    <w:rPr>
      <w:i/>
      <w:iCs/>
      <w:color w:val="44546A" w:themeColor="text2"/>
      <w:sz w:val="18"/>
      <w:szCs w:val="18"/>
    </w:rPr>
  </w:style>
  <w:style w:type="paragraph" w:styleId="Revision">
    <w:name w:val="Revision"/>
    <w:hidden/>
    <w:uiPriority w:val="99"/>
    <w:semiHidden/>
    <w:rsid w:val="007C6EF6"/>
    <w:pPr>
      <w:spacing w:after="0" w:line="240" w:lineRule="auto"/>
    </w:pPr>
    <w:rPr>
      <w:rFonts w:ascii="Neue Haas Grotesk Text Pro" w:hAnsi="Neue Haas Grotesk Text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0167">
      <w:bodyDiv w:val="1"/>
      <w:marLeft w:val="0"/>
      <w:marRight w:val="0"/>
      <w:marTop w:val="0"/>
      <w:marBottom w:val="0"/>
      <w:divBdr>
        <w:top w:val="none" w:sz="0" w:space="0" w:color="auto"/>
        <w:left w:val="none" w:sz="0" w:space="0" w:color="auto"/>
        <w:bottom w:val="none" w:sz="0" w:space="0" w:color="auto"/>
        <w:right w:val="none" w:sz="0" w:space="0" w:color="auto"/>
      </w:divBdr>
      <w:divsChild>
        <w:div w:id="474034118">
          <w:marLeft w:val="0"/>
          <w:marRight w:val="0"/>
          <w:marTop w:val="0"/>
          <w:marBottom w:val="0"/>
          <w:divBdr>
            <w:top w:val="none" w:sz="0" w:space="0" w:color="auto"/>
            <w:left w:val="none" w:sz="0" w:space="0" w:color="auto"/>
            <w:bottom w:val="none" w:sz="0" w:space="0" w:color="auto"/>
            <w:right w:val="none" w:sz="0" w:space="0" w:color="auto"/>
          </w:divBdr>
        </w:div>
        <w:div w:id="825054008">
          <w:marLeft w:val="0"/>
          <w:marRight w:val="0"/>
          <w:marTop w:val="0"/>
          <w:marBottom w:val="0"/>
          <w:divBdr>
            <w:top w:val="none" w:sz="0" w:space="0" w:color="auto"/>
            <w:left w:val="none" w:sz="0" w:space="0" w:color="auto"/>
            <w:bottom w:val="none" w:sz="0" w:space="0" w:color="auto"/>
            <w:right w:val="none" w:sz="0" w:space="0" w:color="auto"/>
          </w:divBdr>
        </w:div>
        <w:div w:id="1160464050">
          <w:marLeft w:val="0"/>
          <w:marRight w:val="0"/>
          <w:marTop w:val="0"/>
          <w:marBottom w:val="0"/>
          <w:divBdr>
            <w:top w:val="none" w:sz="0" w:space="0" w:color="auto"/>
            <w:left w:val="none" w:sz="0" w:space="0" w:color="auto"/>
            <w:bottom w:val="none" w:sz="0" w:space="0" w:color="auto"/>
            <w:right w:val="none" w:sz="0" w:space="0" w:color="auto"/>
          </w:divBdr>
        </w:div>
        <w:div w:id="1221937725">
          <w:marLeft w:val="0"/>
          <w:marRight w:val="0"/>
          <w:marTop w:val="0"/>
          <w:marBottom w:val="0"/>
          <w:divBdr>
            <w:top w:val="none" w:sz="0" w:space="0" w:color="auto"/>
            <w:left w:val="none" w:sz="0" w:space="0" w:color="auto"/>
            <w:bottom w:val="none" w:sz="0" w:space="0" w:color="auto"/>
            <w:right w:val="none" w:sz="0" w:space="0" w:color="auto"/>
          </w:divBdr>
        </w:div>
        <w:div w:id="1256788271">
          <w:marLeft w:val="0"/>
          <w:marRight w:val="0"/>
          <w:marTop w:val="0"/>
          <w:marBottom w:val="0"/>
          <w:divBdr>
            <w:top w:val="none" w:sz="0" w:space="0" w:color="auto"/>
            <w:left w:val="none" w:sz="0" w:space="0" w:color="auto"/>
            <w:bottom w:val="none" w:sz="0" w:space="0" w:color="auto"/>
            <w:right w:val="none" w:sz="0" w:space="0" w:color="auto"/>
          </w:divBdr>
        </w:div>
      </w:divsChild>
    </w:div>
    <w:div w:id="1853186101">
      <w:bodyDiv w:val="1"/>
      <w:marLeft w:val="0"/>
      <w:marRight w:val="0"/>
      <w:marTop w:val="0"/>
      <w:marBottom w:val="0"/>
      <w:divBdr>
        <w:top w:val="none" w:sz="0" w:space="0" w:color="auto"/>
        <w:left w:val="none" w:sz="0" w:space="0" w:color="auto"/>
        <w:bottom w:val="none" w:sz="0" w:space="0" w:color="auto"/>
        <w:right w:val="none" w:sz="0" w:space="0" w:color="auto"/>
      </w:divBdr>
    </w:div>
    <w:div w:id="1867016906">
      <w:bodyDiv w:val="1"/>
      <w:marLeft w:val="0"/>
      <w:marRight w:val="0"/>
      <w:marTop w:val="0"/>
      <w:marBottom w:val="0"/>
      <w:divBdr>
        <w:top w:val="none" w:sz="0" w:space="0" w:color="auto"/>
        <w:left w:val="none" w:sz="0" w:space="0" w:color="auto"/>
        <w:bottom w:val="none" w:sz="0" w:space="0" w:color="auto"/>
        <w:right w:val="none" w:sz="0" w:space="0" w:color="auto"/>
      </w:divBdr>
      <w:divsChild>
        <w:div w:id="54083735">
          <w:marLeft w:val="0"/>
          <w:marRight w:val="0"/>
          <w:marTop w:val="0"/>
          <w:marBottom w:val="0"/>
          <w:divBdr>
            <w:top w:val="none" w:sz="0" w:space="0" w:color="auto"/>
            <w:left w:val="none" w:sz="0" w:space="0" w:color="auto"/>
            <w:bottom w:val="none" w:sz="0" w:space="0" w:color="auto"/>
            <w:right w:val="none" w:sz="0" w:space="0" w:color="auto"/>
          </w:divBdr>
        </w:div>
        <w:div w:id="88162634">
          <w:marLeft w:val="0"/>
          <w:marRight w:val="0"/>
          <w:marTop w:val="0"/>
          <w:marBottom w:val="0"/>
          <w:divBdr>
            <w:top w:val="none" w:sz="0" w:space="0" w:color="auto"/>
            <w:left w:val="none" w:sz="0" w:space="0" w:color="auto"/>
            <w:bottom w:val="none" w:sz="0" w:space="0" w:color="auto"/>
            <w:right w:val="none" w:sz="0" w:space="0" w:color="auto"/>
          </w:divBdr>
        </w:div>
        <w:div w:id="457067469">
          <w:marLeft w:val="0"/>
          <w:marRight w:val="0"/>
          <w:marTop w:val="0"/>
          <w:marBottom w:val="0"/>
          <w:divBdr>
            <w:top w:val="none" w:sz="0" w:space="0" w:color="auto"/>
            <w:left w:val="none" w:sz="0" w:space="0" w:color="auto"/>
            <w:bottom w:val="none" w:sz="0" w:space="0" w:color="auto"/>
            <w:right w:val="none" w:sz="0" w:space="0" w:color="auto"/>
          </w:divBdr>
        </w:div>
        <w:div w:id="619846127">
          <w:marLeft w:val="0"/>
          <w:marRight w:val="0"/>
          <w:marTop w:val="0"/>
          <w:marBottom w:val="0"/>
          <w:divBdr>
            <w:top w:val="none" w:sz="0" w:space="0" w:color="auto"/>
            <w:left w:val="none" w:sz="0" w:space="0" w:color="auto"/>
            <w:bottom w:val="none" w:sz="0" w:space="0" w:color="auto"/>
            <w:right w:val="none" w:sz="0" w:space="0" w:color="auto"/>
          </w:divBdr>
        </w:div>
        <w:div w:id="1377729761">
          <w:marLeft w:val="0"/>
          <w:marRight w:val="0"/>
          <w:marTop w:val="0"/>
          <w:marBottom w:val="0"/>
          <w:divBdr>
            <w:top w:val="none" w:sz="0" w:space="0" w:color="auto"/>
            <w:left w:val="none" w:sz="0" w:space="0" w:color="auto"/>
            <w:bottom w:val="none" w:sz="0" w:space="0" w:color="auto"/>
            <w:right w:val="none" w:sz="0" w:space="0" w:color="auto"/>
          </w:divBdr>
        </w:div>
        <w:div w:id="1629122942">
          <w:marLeft w:val="0"/>
          <w:marRight w:val="0"/>
          <w:marTop w:val="0"/>
          <w:marBottom w:val="0"/>
          <w:divBdr>
            <w:top w:val="none" w:sz="0" w:space="0" w:color="auto"/>
            <w:left w:val="none" w:sz="0" w:space="0" w:color="auto"/>
            <w:bottom w:val="none" w:sz="0" w:space="0" w:color="auto"/>
            <w:right w:val="none" w:sz="0" w:space="0" w:color="auto"/>
          </w:divBdr>
        </w:div>
        <w:div w:id="1963072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bbeck.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9FF03CCD0DD42BDD5001F7CD6E94E" ma:contentTypeVersion="6" ma:contentTypeDescription="Create a new document." ma:contentTypeScope="" ma:versionID="db8dab5a0ced7de93499622306d5ea3d">
  <xsd:schema xmlns:xsd="http://www.w3.org/2001/XMLSchema" xmlns:xs="http://www.w3.org/2001/XMLSchema" xmlns:p="http://schemas.microsoft.com/office/2006/metadata/properties" xmlns:ns2="193e77e6-3b33-4e7f-baf7-b806218a50f2" targetNamespace="http://schemas.microsoft.com/office/2006/metadata/properties" ma:root="true" ma:fieldsID="7069d28d500ef4d7328120da0113da2e" ns2:_="">
    <xsd:import namespace="193e77e6-3b33-4e7f-baf7-b806218a50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e77e6-3b33-4e7f-baf7-b806218a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152efd-5bd1-4882-bbd3-e5266976f6b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3e77e6-3b33-4e7f-baf7-b806218a5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040E3A-0DD4-4D53-B88C-72ED27A9C06B}">
  <ds:schemaRefs>
    <ds:schemaRef ds:uri="http://schemas.openxmlformats.org/officeDocument/2006/bibliography"/>
  </ds:schemaRefs>
</ds:datastoreItem>
</file>

<file path=customXml/itemProps2.xml><?xml version="1.0" encoding="utf-8"?>
<ds:datastoreItem xmlns:ds="http://schemas.openxmlformats.org/officeDocument/2006/customXml" ds:itemID="{41E562E1-9E3A-4918-8098-DCFAC8CB6D82}">
  <ds:schemaRefs>
    <ds:schemaRef ds:uri="http://schemas.microsoft.com/sharepoint/v3/contenttype/forms"/>
  </ds:schemaRefs>
</ds:datastoreItem>
</file>

<file path=customXml/itemProps3.xml><?xml version="1.0" encoding="utf-8"?>
<ds:datastoreItem xmlns:ds="http://schemas.openxmlformats.org/officeDocument/2006/customXml" ds:itemID="{DA30C825-8E21-4359-8670-B94C80C3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e77e6-3b33-4e7f-baf7-b806218a5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10726-F2ED-4809-9D99-6292AB3FD8E8}">
  <ds:schemaRefs>
    <ds:schemaRef ds:uri="http://schemas.microsoft.com/office/2006/metadata/properties"/>
    <ds:schemaRef ds:uri="http://schemas.microsoft.com/office/infopath/2007/PartnerControls"/>
    <ds:schemaRef ds:uri="193e77e6-3b33-4e7f-baf7-b806218a50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Parnell, Sophie</dc:creator>
  <cp:keywords/>
  <dc:description/>
  <cp:lastModifiedBy>Nugent, Maurice</cp:lastModifiedBy>
  <cp:revision>2</cp:revision>
  <dcterms:created xsi:type="dcterms:W3CDTF">2023-05-02T08:59:00Z</dcterms:created>
  <dcterms:modified xsi:type="dcterms:W3CDTF">2023-05-02T08:59:00Z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0x010100E9B9FF03CCD0DD42BDD5001F7CD6E94E</vt:lpwstr>
  </property>
  <property fmtid="{D5CDD505-2E9C-101B-9397-08002B2CF9AE}" pid="3" name="MediaServiceImageTags">
    <vt:lpwstr/>
  </property>
  <property fmtid="{D5CDD505-2E9C-101B-9397-08002B2CF9AE}" pid="4" name="GrammarlyDocumentId">
    <vt:lpwstr>95d3261ba295ca4e0c8fe01995f44c63886baa0eb64eaef076698302a8292614</vt:lpwstr>
  </property>
</Properties>
</file>