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DF46D" w14:textId="10F20932" w:rsidR="003C0273" w:rsidRDefault="003937B8" w:rsidP="003C0273">
      <w:pPr>
        <w:jc w:val="center"/>
      </w:pPr>
      <w:r>
        <w:rPr>
          <w:noProof/>
          <w:lang w:eastAsia="en-AU"/>
        </w:rPr>
        <w:drawing>
          <wp:anchor distT="0" distB="0" distL="114300" distR="114300" simplePos="0" relativeHeight="251658240" behindDoc="0" locked="0" layoutInCell="1" allowOverlap="1" wp14:anchorId="73C2EE43" wp14:editId="183B77B4">
            <wp:simplePos x="0" y="0"/>
            <wp:positionH relativeFrom="column">
              <wp:posOffset>-933450</wp:posOffset>
            </wp:positionH>
            <wp:positionV relativeFrom="paragraph">
              <wp:posOffset>-904876</wp:posOffset>
            </wp:positionV>
            <wp:extent cx="7569743" cy="10704555"/>
            <wp:effectExtent l="0" t="0" r="0" b="1905"/>
            <wp:wrapNone/>
            <wp:docPr id="2" name="Picture 2" descr="WA Government crest" title="WA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Open Data Policy - Updated.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567" cy="10714204"/>
                    </a:xfrm>
                    <a:prstGeom prst="rect">
                      <a:avLst/>
                    </a:prstGeom>
                  </pic:spPr>
                </pic:pic>
              </a:graphicData>
            </a:graphic>
            <wp14:sizeRelH relativeFrom="page">
              <wp14:pctWidth>0</wp14:pctWidth>
            </wp14:sizeRelH>
            <wp14:sizeRelV relativeFrom="page">
              <wp14:pctHeight>0</wp14:pctHeight>
            </wp14:sizeRelV>
          </wp:anchor>
        </w:drawing>
      </w:r>
    </w:p>
    <w:p w14:paraId="1606FDED" w14:textId="77777777" w:rsidR="003937B8" w:rsidRDefault="003937B8" w:rsidP="003C0273">
      <w:pPr>
        <w:jc w:val="center"/>
        <w:sectPr w:rsidR="003937B8" w:rsidSect="002074AD">
          <w:footerReference w:type="default" r:id="rId9"/>
          <w:pgSz w:w="11906" w:h="16838"/>
          <w:pgMar w:top="1440" w:right="1191" w:bottom="1440" w:left="1440" w:header="709" w:footer="624" w:gutter="0"/>
          <w:cols w:space="708"/>
          <w:docGrid w:linePitch="360"/>
        </w:sectPr>
      </w:pPr>
    </w:p>
    <w:p w14:paraId="2548182F" w14:textId="77777777" w:rsidR="003937B8" w:rsidRPr="008E3FCD" w:rsidRDefault="003937B8" w:rsidP="003937B8">
      <w:pPr>
        <w:rPr>
          <w:b/>
        </w:rPr>
      </w:pPr>
      <w:r w:rsidRPr="008E3FCD">
        <w:rPr>
          <w:b/>
        </w:rPr>
        <w:lastRenderedPageBreak/>
        <w:t>The Western Australian Whole of Government Open Data Policy</w:t>
      </w:r>
    </w:p>
    <w:p w14:paraId="59D4878F" w14:textId="7208C188" w:rsidR="003937B8" w:rsidRPr="008E3FCD" w:rsidRDefault="003937B8" w:rsidP="003937B8">
      <w:r w:rsidRPr="008E3FCD">
        <w:t xml:space="preserve">Version </w:t>
      </w:r>
      <w:r w:rsidR="0027111F">
        <w:t>2</w:t>
      </w:r>
      <w:r w:rsidR="00A6599B">
        <w:t>. March 2022</w:t>
      </w:r>
    </w:p>
    <w:p w14:paraId="4961538A" w14:textId="77777777" w:rsidR="003937B8" w:rsidRPr="008E3FCD" w:rsidRDefault="003937B8" w:rsidP="003937B8">
      <w:pPr>
        <w:rPr>
          <w:b/>
        </w:rPr>
      </w:pPr>
    </w:p>
    <w:p w14:paraId="35CE9FC3" w14:textId="77777777" w:rsidR="003937B8" w:rsidRPr="008E3FCD" w:rsidRDefault="003937B8" w:rsidP="003937B8">
      <w:pPr>
        <w:rPr>
          <w:b/>
        </w:rPr>
      </w:pPr>
      <w:r w:rsidRPr="008E3FCD">
        <w:rPr>
          <w:b/>
        </w:rPr>
        <w:t>Produced and published by</w:t>
      </w:r>
    </w:p>
    <w:p w14:paraId="52D3D262" w14:textId="77777777" w:rsidR="003937B8" w:rsidRPr="008E3FCD" w:rsidRDefault="003937B8" w:rsidP="003937B8">
      <w:r w:rsidRPr="008E3FCD">
        <w:t>The Department of the Premier and Cabinet</w:t>
      </w:r>
    </w:p>
    <w:p w14:paraId="233ACB93" w14:textId="77777777" w:rsidR="003937B8" w:rsidRPr="008E3FCD" w:rsidRDefault="003937B8" w:rsidP="003937B8"/>
    <w:p w14:paraId="21A0954E" w14:textId="77777777" w:rsidR="003937B8" w:rsidRPr="008E3FCD" w:rsidRDefault="003937B8" w:rsidP="003937B8">
      <w:pPr>
        <w:rPr>
          <w:b/>
        </w:rPr>
      </w:pPr>
      <w:r w:rsidRPr="008E3FCD">
        <w:rPr>
          <w:b/>
        </w:rPr>
        <w:t>Acknowledgements</w:t>
      </w:r>
    </w:p>
    <w:p w14:paraId="288C8F14" w14:textId="77777777" w:rsidR="003937B8" w:rsidRPr="008E3FCD" w:rsidRDefault="003937B8" w:rsidP="003937B8">
      <w:r w:rsidRPr="008E3FCD">
        <w:t xml:space="preserve">The Policy was developed in collaboration with Landgate, the Departments of Finance, Treasury and Commerce, and the Economic Regulation Authority Western Australia. </w:t>
      </w:r>
      <w:r w:rsidRPr="008E3FCD">
        <w:br/>
        <w:t>See the back page of the Policy for full acknowledgements.</w:t>
      </w:r>
    </w:p>
    <w:p w14:paraId="3359BF85" w14:textId="77777777" w:rsidR="003937B8" w:rsidRPr="008E3FCD" w:rsidRDefault="003937B8" w:rsidP="003937B8"/>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ntact details for policy and implementation"/>
        <w:tblDescription w:val="Email COAG-WA@dpc.wa.gov.au for policy, email walis@walis.wa.gov.au for implementation queires."/>
      </w:tblPr>
      <w:tblGrid>
        <w:gridCol w:w="1384"/>
        <w:gridCol w:w="3158"/>
        <w:gridCol w:w="1378"/>
        <w:gridCol w:w="2552"/>
      </w:tblGrid>
      <w:tr w:rsidR="003937B8" w:rsidRPr="008E3FCD" w14:paraId="528FAE10" w14:textId="77777777" w:rsidTr="00A6599B">
        <w:trPr>
          <w:tblHeader/>
        </w:trPr>
        <w:tc>
          <w:tcPr>
            <w:tcW w:w="4542" w:type="dxa"/>
            <w:gridSpan w:val="2"/>
          </w:tcPr>
          <w:p w14:paraId="15150F36" w14:textId="77777777" w:rsidR="003937B8" w:rsidRPr="008E3FCD" w:rsidRDefault="003937B8" w:rsidP="00914B93">
            <w:r w:rsidRPr="008E3FCD">
              <w:rPr>
                <w:b/>
              </w:rPr>
              <w:t>Contact (Policy)</w:t>
            </w:r>
          </w:p>
        </w:tc>
        <w:tc>
          <w:tcPr>
            <w:tcW w:w="3930" w:type="dxa"/>
            <w:gridSpan w:val="2"/>
          </w:tcPr>
          <w:p w14:paraId="63F53F71" w14:textId="77777777" w:rsidR="003937B8" w:rsidRPr="008E3FCD" w:rsidRDefault="003937B8" w:rsidP="00914B93">
            <w:r w:rsidRPr="008E3FCD">
              <w:rPr>
                <w:b/>
              </w:rPr>
              <w:t>Contact (Implementation)</w:t>
            </w:r>
          </w:p>
        </w:tc>
      </w:tr>
      <w:tr w:rsidR="003937B8" w:rsidRPr="008E3FCD" w14:paraId="17B6CF19" w14:textId="77777777" w:rsidTr="00A6599B">
        <w:tc>
          <w:tcPr>
            <w:tcW w:w="1384" w:type="dxa"/>
          </w:tcPr>
          <w:p w14:paraId="6D1577BF" w14:textId="77777777" w:rsidR="003937B8" w:rsidRPr="008E3FCD" w:rsidRDefault="003937B8" w:rsidP="00914B93">
            <w:pPr>
              <w:spacing w:after="120"/>
            </w:pPr>
            <w:r w:rsidRPr="008E3FCD">
              <w:t>Agency:</w:t>
            </w:r>
          </w:p>
        </w:tc>
        <w:tc>
          <w:tcPr>
            <w:tcW w:w="3158" w:type="dxa"/>
          </w:tcPr>
          <w:p w14:paraId="6B9FD5B7" w14:textId="4CB1DF15" w:rsidR="003937B8" w:rsidRPr="008E3FCD" w:rsidRDefault="003937B8" w:rsidP="00914B93">
            <w:pPr>
              <w:spacing w:after="120"/>
            </w:pPr>
            <w:r w:rsidRPr="008E3FCD">
              <w:t>Department of the Premier and Cabinet</w:t>
            </w:r>
          </w:p>
        </w:tc>
        <w:tc>
          <w:tcPr>
            <w:tcW w:w="1378" w:type="dxa"/>
          </w:tcPr>
          <w:p w14:paraId="6DD6CD15" w14:textId="77777777" w:rsidR="003937B8" w:rsidRPr="008E3FCD" w:rsidRDefault="003937B8" w:rsidP="00914B93">
            <w:pPr>
              <w:spacing w:after="120"/>
            </w:pPr>
            <w:r w:rsidRPr="008E3FCD">
              <w:t>Agency:</w:t>
            </w:r>
          </w:p>
        </w:tc>
        <w:tc>
          <w:tcPr>
            <w:tcW w:w="2552" w:type="dxa"/>
          </w:tcPr>
          <w:p w14:paraId="6486855B" w14:textId="77777777" w:rsidR="003937B8" w:rsidRPr="008E3FCD" w:rsidRDefault="003937B8" w:rsidP="00914B93">
            <w:pPr>
              <w:spacing w:after="120"/>
            </w:pPr>
            <w:r w:rsidRPr="008E3FCD">
              <w:t>Landgate</w:t>
            </w:r>
          </w:p>
        </w:tc>
      </w:tr>
      <w:tr w:rsidR="003937B8" w:rsidRPr="008E3FCD" w14:paraId="6F85A96F" w14:textId="77777777" w:rsidTr="00A6599B">
        <w:tc>
          <w:tcPr>
            <w:tcW w:w="1384" w:type="dxa"/>
          </w:tcPr>
          <w:p w14:paraId="5B33C028" w14:textId="77777777" w:rsidR="003937B8" w:rsidRPr="008E3FCD" w:rsidRDefault="003937B8" w:rsidP="00914B93">
            <w:pPr>
              <w:spacing w:after="120"/>
            </w:pPr>
            <w:r w:rsidRPr="008E3FCD">
              <w:t>Address:</w:t>
            </w:r>
          </w:p>
        </w:tc>
        <w:tc>
          <w:tcPr>
            <w:tcW w:w="3158" w:type="dxa"/>
          </w:tcPr>
          <w:p w14:paraId="6B5FA2B5" w14:textId="77777777" w:rsidR="003937B8" w:rsidRPr="008E3FCD" w:rsidRDefault="003937B8" w:rsidP="00914B93">
            <w:pPr>
              <w:spacing w:after="120"/>
            </w:pPr>
            <w:r w:rsidRPr="008E3FCD">
              <w:t>2 Havelock Street</w:t>
            </w:r>
            <w:r w:rsidRPr="008E3FCD">
              <w:br/>
              <w:t>WEST PERTH  WA  6005</w:t>
            </w:r>
          </w:p>
        </w:tc>
        <w:tc>
          <w:tcPr>
            <w:tcW w:w="1378" w:type="dxa"/>
          </w:tcPr>
          <w:p w14:paraId="4EF1F456" w14:textId="77777777" w:rsidR="003937B8" w:rsidRPr="008E3FCD" w:rsidRDefault="003937B8" w:rsidP="00914B93">
            <w:pPr>
              <w:spacing w:after="120"/>
            </w:pPr>
            <w:r w:rsidRPr="008E3FCD">
              <w:t>Address:</w:t>
            </w:r>
          </w:p>
        </w:tc>
        <w:tc>
          <w:tcPr>
            <w:tcW w:w="2552" w:type="dxa"/>
          </w:tcPr>
          <w:p w14:paraId="33376760" w14:textId="77777777" w:rsidR="003937B8" w:rsidRPr="008E3FCD" w:rsidRDefault="003937B8" w:rsidP="00914B93">
            <w:pPr>
              <w:spacing w:after="120"/>
            </w:pPr>
            <w:r w:rsidRPr="008E3FCD">
              <w:t>1 Midland Square</w:t>
            </w:r>
            <w:r w:rsidRPr="008E3FCD">
              <w:br/>
              <w:t>MIDLAND  WA  6056</w:t>
            </w:r>
          </w:p>
        </w:tc>
      </w:tr>
      <w:tr w:rsidR="003937B8" w:rsidRPr="008E3FCD" w14:paraId="2B675A5E" w14:textId="77777777" w:rsidTr="00A6599B">
        <w:tc>
          <w:tcPr>
            <w:tcW w:w="1384" w:type="dxa"/>
          </w:tcPr>
          <w:p w14:paraId="75C2062D" w14:textId="77777777" w:rsidR="003937B8" w:rsidRPr="008E3FCD" w:rsidRDefault="003937B8" w:rsidP="00914B93">
            <w:pPr>
              <w:spacing w:after="120"/>
            </w:pPr>
            <w:r w:rsidRPr="008E3FCD">
              <w:t>Telephone:</w:t>
            </w:r>
          </w:p>
        </w:tc>
        <w:tc>
          <w:tcPr>
            <w:tcW w:w="3158" w:type="dxa"/>
          </w:tcPr>
          <w:p w14:paraId="2F73DA1E" w14:textId="77777777" w:rsidR="003937B8" w:rsidRPr="008E3FCD" w:rsidRDefault="003937B8" w:rsidP="00914B93">
            <w:pPr>
              <w:spacing w:after="120"/>
            </w:pPr>
            <w:r w:rsidRPr="008E3FCD">
              <w:t>(08) 6552 5444</w:t>
            </w:r>
          </w:p>
        </w:tc>
        <w:tc>
          <w:tcPr>
            <w:tcW w:w="1378" w:type="dxa"/>
          </w:tcPr>
          <w:p w14:paraId="0A838ECA" w14:textId="77777777" w:rsidR="003937B8" w:rsidRPr="008E3FCD" w:rsidRDefault="003937B8" w:rsidP="00914B93">
            <w:pPr>
              <w:spacing w:after="120"/>
            </w:pPr>
            <w:r w:rsidRPr="008E3FCD">
              <w:t>Telephone:</w:t>
            </w:r>
          </w:p>
        </w:tc>
        <w:tc>
          <w:tcPr>
            <w:tcW w:w="2552" w:type="dxa"/>
          </w:tcPr>
          <w:p w14:paraId="74097F58" w14:textId="77777777" w:rsidR="003937B8" w:rsidRPr="008E3FCD" w:rsidRDefault="003937B8" w:rsidP="00914B93">
            <w:pPr>
              <w:spacing w:after="120"/>
            </w:pPr>
            <w:r w:rsidRPr="008E3FCD">
              <w:t>(08) 9273 9391</w:t>
            </w:r>
          </w:p>
        </w:tc>
      </w:tr>
      <w:tr w:rsidR="003937B8" w:rsidRPr="008E3FCD" w14:paraId="4DFD12FF" w14:textId="77777777" w:rsidTr="00A6599B">
        <w:tc>
          <w:tcPr>
            <w:tcW w:w="1384" w:type="dxa"/>
          </w:tcPr>
          <w:p w14:paraId="37028451" w14:textId="77777777" w:rsidR="003937B8" w:rsidRPr="008E3FCD" w:rsidRDefault="003937B8" w:rsidP="00914B93">
            <w:pPr>
              <w:spacing w:after="120"/>
            </w:pPr>
            <w:r w:rsidRPr="008E3FCD">
              <w:t>Email:</w:t>
            </w:r>
          </w:p>
        </w:tc>
        <w:tc>
          <w:tcPr>
            <w:tcW w:w="3158" w:type="dxa"/>
          </w:tcPr>
          <w:p w14:paraId="769AEBCB" w14:textId="5A00A593" w:rsidR="003D7196" w:rsidRPr="008E3FCD" w:rsidRDefault="003D7196" w:rsidP="00914B93">
            <w:pPr>
              <w:spacing w:after="120"/>
            </w:pPr>
            <w:r w:rsidRPr="003D7196">
              <w:rPr>
                <w:sz w:val="22"/>
                <w:szCs w:val="22"/>
              </w:rPr>
              <w:t>dgov-administrator@dpc.wa.gov.au</w:t>
            </w:r>
          </w:p>
        </w:tc>
        <w:tc>
          <w:tcPr>
            <w:tcW w:w="1378" w:type="dxa"/>
          </w:tcPr>
          <w:p w14:paraId="3054B8D1" w14:textId="77777777" w:rsidR="003937B8" w:rsidRPr="008E3FCD" w:rsidRDefault="003937B8" w:rsidP="00914B93">
            <w:pPr>
              <w:spacing w:after="120"/>
            </w:pPr>
            <w:r w:rsidRPr="008E3FCD">
              <w:t>Email:</w:t>
            </w:r>
          </w:p>
        </w:tc>
        <w:tc>
          <w:tcPr>
            <w:tcW w:w="2552" w:type="dxa"/>
          </w:tcPr>
          <w:p w14:paraId="3D42FD52" w14:textId="6C54C7BE" w:rsidR="003D7196" w:rsidRPr="008E3FCD" w:rsidRDefault="003D7196" w:rsidP="00914B93">
            <w:pPr>
              <w:spacing w:after="120"/>
            </w:pPr>
            <w:r w:rsidRPr="003D7196">
              <w:t>info@data.wa.gov.au</w:t>
            </w:r>
          </w:p>
        </w:tc>
      </w:tr>
    </w:tbl>
    <w:p w14:paraId="12567CFE" w14:textId="77777777" w:rsidR="003937B8" w:rsidRDefault="003937B8" w:rsidP="003937B8"/>
    <w:p w14:paraId="1B05E3FC" w14:textId="77777777" w:rsidR="003937B8" w:rsidRDefault="003937B8" w:rsidP="003937B8">
      <w:r>
        <w:rPr>
          <w:noProof/>
          <w:lang w:eastAsia="en-AU"/>
        </w:rPr>
        <w:drawing>
          <wp:inline distT="0" distB="0" distL="0" distR="0" wp14:anchorId="3C6BF581" wp14:editId="14B629C9">
            <wp:extent cx="828675" cy="295275"/>
            <wp:effectExtent l="0" t="0" r="9525" b="9525"/>
            <wp:docPr id="1" name="Picture 1" descr="logo only" title="Creative commons Attribution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4C07F301" w14:textId="5397BE34" w:rsidR="003937B8" w:rsidRPr="008E3FCD" w:rsidRDefault="003937B8" w:rsidP="003937B8">
      <w:pPr>
        <w:rPr>
          <w:bCs/>
        </w:rPr>
      </w:pPr>
      <w:r w:rsidRPr="008E3FCD">
        <w:t xml:space="preserve">This document, the </w:t>
      </w:r>
      <w:r w:rsidRPr="008E3FCD">
        <w:rPr>
          <w:b/>
          <w:bCs/>
          <w:color w:val="222222"/>
          <w:shd w:val="clear" w:color="auto" w:fill="FFFFFF"/>
        </w:rPr>
        <w:t xml:space="preserve">Western Australian Whole of Government Open Data Policy, Version </w:t>
      </w:r>
      <w:r w:rsidR="0069677F">
        <w:rPr>
          <w:b/>
          <w:bCs/>
          <w:color w:val="222222"/>
          <w:shd w:val="clear" w:color="auto" w:fill="FFFFFF"/>
        </w:rPr>
        <w:t>2</w:t>
      </w:r>
      <w:r w:rsidR="0069677F" w:rsidRPr="008E3FCD">
        <w:rPr>
          <w:rStyle w:val="apple-converted-space"/>
          <w:rFonts w:eastAsiaTheme="majorEastAsia"/>
          <w:color w:val="222222"/>
          <w:shd w:val="clear" w:color="auto" w:fill="FFFFFF"/>
        </w:rPr>
        <w:t> </w:t>
      </w:r>
      <w:r w:rsidRPr="008E3FCD">
        <w:t xml:space="preserve">is licensed under a </w:t>
      </w:r>
      <w:r w:rsidRPr="008E3FCD">
        <w:rPr>
          <w:b/>
          <w:bCs/>
        </w:rPr>
        <w:t>Creative Commons Attribution 4.0 International Licence</w:t>
      </w:r>
      <w:r w:rsidRPr="008E3FCD">
        <w:rPr>
          <w:bCs/>
        </w:rPr>
        <w:t>. You are free to re-use the work under that licence, on the condition that you attribute the Government of Western Australia (Department of the Premier and Cabinet) as author, indicate if changes were made</w:t>
      </w:r>
      <w:r>
        <w:rPr>
          <w:bCs/>
        </w:rPr>
        <w:t>,</w:t>
      </w:r>
      <w:r w:rsidRPr="008E3FCD">
        <w:rPr>
          <w:bCs/>
        </w:rPr>
        <w:t xml:space="preserve"> and comply with the other licence terms. The licence does not apply to any branding or images.</w:t>
      </w:r>
    </w:p>
    <w:p w14:paraId="68025540" w14:textId="77777777" w:rsidR="003937B8" w:rsidRPr="00A95BD2" w:rsidRDefault="003937B8" w:rsidP="003937B8">
      <w:pPr>
        <w:rPr>
          <w:rStyle w:val="Hyperlink"/>
          <w:rFonts w:eastAsiaTheme="majorEastAsia"/>
          <w:color w:val="auto"/>
        </w:rPr>
      </w:pPr>
    </w:p>
    <w:p w14:paraId="3C8D5F5A" w14:textId="4DE9C8CD" w:rsidR="003937B8" w:rsidRPr="008E3FCD" w:rsidRDefault="003937B8" w:rsidP="003937B8">
      <w:pPr>
        <w:spacing w:after="120"/>
      </w:pPr>
      <w:r w:rsidRPr="008E3FCD">
        <w:rPr>
          <w:b/>
          <w:bCs/>
        </w:rPr>
        <w:t xml:space="preserve">License URL: </w:t>
      </w:r>
      <w:hyperlink r:id="rId13" w:history="1">
        <w:r w:rsidRPr="008E3FCD">
          <w:rPr>
            <w:rStyle w:val="Hyperlink"/>
            <w:rFonts w:eastAsiaTheme="majorEastAsia"/>
          </w:rPr>
          <w:t>https://creativecommons.org/licenses/by/4.0/legalcode</w:t>
        </w:r>
      </w:hyperlink>
    </w:p>
    <w:p w14:paraId="168FD724" w14:textId="7C5EE203" w:rsidR="003937B8" w:rsidRPr="008E3FCD" w:rsidRDefault="003937B8" w:rsidP="003937B8">
      <w:pPr>
        <w:spacing w:after="120"/>
      </w:pPr>
      <w:r w:rsidRPr="008E3FCD">
        <w:rPr>
          <w:b/>
          <w:bCs/>
        </w:rPr>
        <w:t xml:space="preserve">Attribution: </w:t>
      </w:r>
      <w:r w:rsidRPr="008E3FCD">
        <w:t>© Government of Western Australia (</w:t>
      </w:r>
      <w:hyperlink r:id="rId14" w:history="1">
        <w:r w:rsidRPr="008E3FCD">
          <w:rPr>
            <w:rStyle w:val="Hyperlink"/>
            <w:rFonts w:eastAsiaTheme="majorEastAsia"/>
          </w:rPr>
          <w:t>Department of Premier and Cabinet</w:t>
        </w:r>
      </w:hyperlink>
      <w:r w:rsidRPr="008E3FCD">
        <w:t>) 20</w:t>
      </w:r>
      <w:r w:rsidR="00300D1F">
        <w:t>21</w:t>
      </w:r>
    </w:p>
    <w:p w14:paraId="273D3295" w14:textId="77777777" w:rsidR="003937B8" w:rsidRPr="008E3FCD" w:rsidRDefault="003937B8" w:rsidP="003937B8">
      <w:pPr>
        <w:spacing w:after="120"/>
        <w:rPr>
          <w:b/>
          <w:bCs/>
        </w:rPr>
      </w:pPr>
      <w:r w:rsidRPr="008E3FCD">
        <w:rPr>
          <w:b/>
          <w:bCs/>
        </w:rPr>
        <w:t>Notice Identifying Other Material and/or Rights in this Publication:</w:t>
      </w:r>
    </w:p>
    <w:p w14:paraId="71CA41F0" w14:textId="20D3FF99" w:rsidR="003937B8" w:rsidRPr="008E3FCD" w:rsidRDefault="003937B8" w:rsidP="003937B8">
      <w:pPr>
        <w:pStyle w:val="ListParagraph"/>
        <w:numPr>
          <w:ilvl w:val="0"/>
          <w:numId w:val="41"/>
        </w:numPr>
        <w:spacing w:after="120"/>
      </w:pPr>
      <w:r w:rsidRPr="008E3FCD">
        <w:t xml:space="preserve">The Creative Commons licence does not apply to the Government of Western Australia Coat of Arms.  Permission to reuse the Coat of Arms can be obtained from the </w:t>
      </w:r>
      <w:hyperlink r:id="rId15" w:history="1">
        <w:r w:rsidRPr="008E3FCD">
          <w:rPr>
            <w:rStyle w:val="Hyperlink"/>
          </w:rPr>
          <w:t>Department of Premier and Cabinet</w:t>
        </w:r>
      </w:hyperlink>
      <w:r w:rsidRPr="008E3FCD">
        <w:t xml:space="preserve">.  </w:t>
      </w:r>
    </w:p>
    <w:p w14:paraId="77507CC9" w14:textId="762C52AF" w:rsidR="003937B8" w:rsidRPr="008E3FCD" w:rsidRDefault="003937B8" w:rsidP="003937B8">
      <w:pPr>
        <w:pStyle w:val="ListParagraph"/>
        <w:numPr>
          <w:ilvl w:val="0"/>
          <w:numId w:val="41"/>
        </w:numPr>
        <w:ind w:left="714" w:hanging="357"/>
      </w:pPr>
      <w:r w:rsidRPr="008E3FCD">
        <w:t xml:space="preserve">The cover image by </w:t>
      </w:r>
      <w:hyperlink r:id="rId16" w:history="1">
        <w:r w:rsidRPr="008E3FCD">
          <w:rPr>
            <w:rStyle w:val="Hyperlink"/>
          </w:rPr>
          <w:t>chokkicx</w:t>
        </w:r>
      </w:hyperlink>
      <w:r w:rsidRPr="008E3FCD">
        <w:t xml:space="preserve"> is reproduced with the permission of </w:t>
      </w:r>
      <w:hyperlink r:id="rId17" w:history="1">
        <w:r w:rsidRPr="008E3FCD">
          <w:rPr>
            <w:rStyle w:val="Hyperlink"/>
          </w:rPr>
          <w:t>istock</w:t>
        </w:r>
      </w:hyperlink>
      <w:r w:rsidRPr="008E3FCD">
        <w:t>.</w:t>
      </w:r>
    </w:p>
    <w:p w14:paraId="65D01ABC" w14:textId="77777777" w:rsidR="003937B8" w:rsidRDefault="003937B8" w:rsidP="003937B8">
      <w:pPr>
        <w:rPr>
          <w:b/>
        </w:rPr>
      </w:pPr>
    </w:p>
    <w:p w14:paraId="7B9E97E7" w14:textId="77777777" w:rsidR="003937B8" w:rsidRPr="008E3FCD" w:rsidRDefault="003937B8" w:rsidP="003937B8">
      <w:pPr>
        <w:rPr>
          <w:color w:val="000000"/>
        </w:rPr>
      </w:pPr>
      <w:r w:rsidRPr="008E3FCD">
        <w:rPr>
          <w:b/>
        </w:rPr>
        <w:t>ISBN (Print):</w:t>
      </w:r>
      <w:r w:rsidRPr="008E3FCD">
        <w:t xml:space="preserve"> </w:t>
      </w:r>
      <w:r w:rsidRPr="008E3FCD">
        <w:rPr>
          <w:color w:val="000000"/>
        </w:rPr>
        <w:t>9780730702658</w:t>
      </w:r>
    </w:p>
    <w:p w14:paraId="0E36718E" w14:textId="77777777" w:rsidR="003937B8" w:rsidRPr="008E3FCD" w:rsidRDefault="003937B8" w:rsidP="003937B8">
      <w:r w:rsidRPr="008E3FCD">
        <w:rPr>
          <w:b/>
          <w:color w:val="000000"/>
        </w:rPr>
        <w:t xml:space="preserve">ISBN (Electronic): </w:t>
      </w:r>
      <w:r w:rsidRPr="008E3FCD">
        <w:rPr>
          <w:color w:val="000000"/>
        </w:rPr>
        <w:t>9780730702665</w:t>
      </w:r>
    </w:p>
    <w:p w14:paraId="59AF1925" w14:textId="77777777" w:rsidR="003C0273" w:rsidRDefault="003C0273" w:rsidP="003C0273">
      <w:pPr>
        <w:sectPr w:rsidR="003C0273" w:rsidSect="002074AD">
          <w:pgSz w:w="11906" w:h="16838"/>
          <w:pgMar w:top="1440" w:right="1191" w:bottom="1440" w:left="1440" w:header="709" w:footer="624" w:gutter="0"/>
          <w:cols w:space="708"/>
          <w:docGrid w:linePitch="360"/>
        </w:sectPr>
      </w:pPr>
    </w:p>
    <w:p w14:paraId="2D648200" w14:textId="77777777" w:rsidR="00C22FB5" w:rsidRPr="00B874FA" w:rsidRDefault="00C22FB5" w:rsidP="00DD6B76">
      <w:pPr>
        <w:pStyle w:val="Heading1"/>
      </w:pPr>
      <w:r w:rsidRPr="00DD6B76">
        <w:lastRenderedPageBreak/>
        <w:t>INTRODUCTION</w:t>
      </w:r>
    </w:p>
    <w:p w14:paraId="35B823E4" w14:textId="1875DAC4" w:rsidR="005E113F" w:rsidRDefault="005E113F" w:rsidP="005E113F">
      <w:r>
        <w:t xml:space="preserve">The Western Australian </w:t>
      </w:r>
      <w:r w:rsidR="00D242F8">
        <w:t>p</w:t>
      </w:r>
      <w:r>
        <w:t xml:space="preserve">ublic </w:t>
      </w:r>
      <w:r w:rsidR="00D242F8">
        <w:t>s</w:t>
      </w:r>
      <w:r>
        <w:t xml:space="preserve">ector collects and uses a vast array of </w:t>
      </w:r>
      <w:r w:rsidRPr="00BF1E9E">
        <w:t>data</w:t>
      </w:r>
      <w:r>
        <w:t xml:space="preserve"> in the course of its </w:t>
      </w:r>
      <w:r w:rsidR="00AA2CD4">
        <w:t>everyday</w:t>
      </w:r>
      <w:r>
        <w:t xml:space="preserve"> operations. This data is</w:t>
      </w:r>
      <w:r w:rsidR="00905E67">
        <w:t xml:space="preserve"> a valuable asset that can help us improve the quality and efficiency of government services and deliver a healthier society, environment and economy. </w:t>
      </w:r>
      <w:r>
        <w:t>.</w:t>
      </w:r>
      <w:r w:rsidR="000D7B92">
        <w:t xml:space="preserve"> </w:t>
      </w:r>
    </w:p>
    <w:p w14:paraId="7445C27C" w14:textId="77777777" w:rsidR="005E113F" w:rsidRDefault="005E113F" w:rsidP="005E113F"/>
    <w:p w14:paraId="3342F506" w14:textId="77777777" w:rsidR="00A24E14" w:rsidRDefault="005E113F" w:rsidP="00CC340C">
      <w:r>
        <w:t xml:space="preserve">Many </w:t>
      </w:r>
      <w:r w:rsidR="00A52809">
        <w:t>agencies</w:t>
      </w:r>
      <w:r w:rsidR="00D242F8">
        <w:t xml:space="preserve"> </w:t>
      </w:r>
      <w:r>
        <w:t xml:space="preserve">already make </w:t>
      </w:r>
      <w:r w:rsidR="00BA7962">
        <w:t xml:space="preserve">their </w:t>
      </w:r>
      <w:r>
        <w:t>data available to the public</w:t>
      </w:r>
      <w:r w:rsidR="00BA7962">
        <w:t>, including</w:t>
      </w:r>
      <w:r w:rsidR="00D67068">
        <w:t xml:space="preserve"> </w:t>
      </w:r>
      <w:r>
        <w:t>on their website</w:t>
      </w:r>
      <w:r w:rsidR="00FB7EE1">
        <w:t>s</w:t>
      </w:r>
      <w:r>
        <w:t xml:space="preserve"> </w:t>
      </w:r>
      <w:r w:rsidR="00F204AB">
        <w:t>or</w:t>
      </w:r>
      <w:r>
        <w:t xml:space="preserve"> in reports </w:t>
      </w:r>
      <w:r w:rsidR="00F204AB">
        <w:t>and</w:t>
      </w:r>
      <w:r>
        <w:t xml:space="preserve"> publications. </w:t>
      </w:r>
      <w:r w:rsidR="00FB7EE1">
        <w:t>Taking steps to m</w:t>
      </w:r>
      <w:r w:rsidR="00BA7962">
        <w:t>ak</w:t>
      </w:r>
      <w:r w:rsidR="00FB7EE1">
        <w:t>e</w:t>
      </w:r>
      <w:r w:rsidR="00BA7962">
        <w:t xml:space="preserve"> this data easier to find and use, </w:t>
      </w:r>
      <w:r w:rsidR="00351FA9">
        <w:t xml:space="preserve">and </w:t>
      </w:r>
      <w:r w:rsidR="00BA7962">
        <w:t>opening</w:t>
      </w:r>
      <w:r w:rsidR="000F6D2D">
        <w:t xml:space="preserve"> access to </w:t>
      </w:r>
      <w:r w:rsidR="00F36453">
        <w:t>other</w:t>
      </w:r>
      <w:r w:rsidR="0093032A">
        <w:t xml:space="preserve"> </w:t>
      </w:r>
      <w:r w:rsidR="000F6D2D">
        <w:t>datasets</w:t>
      </w:r>
      <w:r w:rsidR="00BA7962">
        <w:t xml:space="preserve">, will </w:t>
      </w:r>
      <w:r w:rsidR="00F204AB">
        <w:t xml:space="preserve">unlock opportunities for the </w:t>
      </w:r>
      <w:r w:rsidR="00D242F8">
        <w:t>p</w:t>
      </w:r>
      <w:r w:rsidR="00F204AB">
        <w:t xml:space="preserve">ublic </w:t>
      </w:r>
      <w:r w:rsidR="00D242F8">
        <w:t>s</w:t>
      </w:r>
      <w:r w:rsidR="00F204AB">
        <w:t xml:space="preserve">ector, businesses and communities to </w:t>
      </w:r>
      <w:r w:rsidR="00132F85">
        <w:t>utilise</w:t>
      </w:r>
      <w:r w:rsidR="00696691">
        <w:t xml:space="preserve"> </w:t>
      </w:r>
      <w:r w:rsidR="00193A44">
        <w:t>data in more and diverse</w:t>
      </w:r>
      <w:r w:rsidR="00F204AB">
        <w:t xml:space="preserve"> ways</w:t>
      </w:r>
      <w:r w:rsidR="00BA7962">
        <w:t>. This give</w:t>
      </w:r>
      <w:r w:rsidR="00F36453">
        <w:t>s</w:t>
      </w:r>
      <w:r w:rsidR="00BA7962">
        <w:t xml:space="preserve"> rise to </w:t>
      </w:r>
      <w:r w:rsidR="00132F85">
        <w:t xml:space="preserve">the development of </w:t>
      </w:r>
      <w:r w:rsidR="00A24E14">
        <w:t xml:space="preserve">new insights, ideas and services that </w:t>
      </w:r>
      <w:r w:rsidR="005B22F6">
        <w:t xml:space="preserve">have the potential to </w:t>
      </w:r>
      <w:r w:rsidR="00A24E14">
        <w:t xml:space="preserve">improve the way </w:t>
      </w:r>
      <w:r w:rsidR="00132F85">
        <w:t>we</w:t>
      </w:r>
      <w:r w:rsidR="0059507D">
        <w:t xml:space="preserve"> </w:t>
      </w:r>
      <w:r w:rsidR="00A24E14">
        <w:t>work and live.</w:t>
      </w:r>
    </w:p>
    <w:p w14:paraId="38174AC6" w14:textId="77777777" w:rsidR="00542829" w:rsidRPr="00B874FA" w:rsidRDefault="00B874FA" w:rsidP="00DD6B76">
      <w:pPr>
        <w:pStyle w:val="Heading1"/>
      </w:pPr>
      <w:r w:rsidRPr="0081667C">
        <w:t>PURPOSE</w:t>
      </w:r>
    </w:p>
    <w:p w14:paraId="709C5F13" w14:textId="77777777" w:rsidR="00A5138F" w:rsidRPr="009D770E" w:rsidRDefault="0034610C" w:rsidP="00A5138F">
      <w:r>
        <w:t>T</w:t>
      </w:r>
      <w:r w:rsidR="0030496F" w:rsidRPr="00057AA3">
        <w:t xml:space="preserve">he </w:t>
      </w:r>
      <w:r w:rsidR="00A22C12">
        <w:t xml:space="preserve">purpose of the </w:t>
      </w:r>
      <w:r w:rsidR="0030496F" w:rsidRPr="00057AA3">
        <w:t xml:space="preserve">Western Australian </w:t>
      </w:r>
      <w:r w:rsidR="00B020BF">
        <w:t xml:space="preserve">Whole of </w:t>
      </w:r>
      <w:r w:rsidR="0030496F" w:rsidRPr="00057AA3">
        <w:t>Government Open Data Policy</w:t>
      </w:r>
      <w:r w:rsidR="00CC340C">
        <w:t xml:space="preserve"> (the Policy)</w:t>
      </w:r>
      <w:r w:rsidR="0030496F" w:rsidRPr="00057AA3">
        <w:t xml:space="preserve"> </w:t>
      </w:r>
      <w:r w:rsidR="00A22C12">
        <w:t xml:space="preserve">is to improve management and </w:t>
      </w:r>
      <w:r w:rsidR="002B0737">
        <w:t>use</w:t>
      </w:r>
      <w:r w:rsidR="00A22C12">
        <w:t xml:space="preserve"> of the public sector’s data</w:t>
      </w:r>
      <w:r w:rsidR="00CF1BF6">
        <w:t xml:space="preserve"> </w:t>
      </w:r>
      <w:r w:rsidR="00A22C12">
        <w:t>assets</w:t>
      </w:r>
      <w:r w:rsidR="009704CC" w:rsidRPr="00057AA3">
        <w:t xml:space="preserve"> </w:t>
      </w:r>
      <w:r w:rsidR="00A5138F">
        <w:t xml:space="preserve">in order to </w:t>
      </w:r>
      <w:r w:rsidR="00A22C12">
        <w:t xml:space="preserve">deliver </w:t>
      </w:r>
      <w:r w:rsidR="00A5138F">
        <w:t>value</w:t>
      </w:r>
      <w:r w:rsidR="00A22C12">
        <w:t xml:space="preserve"> and </w:t>
      </w:r>
      <w:r w:rsidR="00CF1BF6">
        <w:t>benefits for</w:t>
      </w:r>
      <w:r w:rsidR="00A22C12">
        <w:t xml:space="preserve"> </w:t>
      </w:r>
      <w:r w:rsidR="00BC3F56">
        <w:t xml:space="preserve">all </w:t>
      </w:r>
      <w:r w:rsidR="00A22C12">
        <w:t>Wes</w:t>
      </w:r>
      <w:r w:rsidR="00CF1BF6">
        <w:t xml:space="preserve">tern Australians. This includes greater </w:t>
      </w:r>
      <w:r w:rsidR="009704CC" w:rsidRPr="00057AA3">
        <w:t xml:space="preserve">release of </w:t>
      </w:r>
      <w:r w:rsidR="00F36453">
        <w:t xml:space="preserve">appropriate </w:t>
      </w:r>
      <w:r w:rsidR="00F36453" w:rsidRPr="00201F5D">
        <w:t xml:space="preserve">and </w:t>
      </w:r>
      <w:r w:rsidR="009D770E">
        <w:t>high-value</w:t>
      </w:r>
      <w:r w:rsidR="0097018D">
        <w:t xml:space="preserve"> </w:t>
      </w:r>
      <w:r w:rsidR="009704CC" w:rsidRPr="00057AA3">
        <w:t>data</w:t>
      </w:r>
      <w:r w:rsidR="00B16420">
        <w:t xml:space="preserve"> to the public</w:t>
      </w:r>
      <w:r w:rsidR="0093032A">
        <w:t xml:space="preserve"> </w:t>
      </w:r>
      <w:r w:rsidR="009704CC" w:rsidRPr="00057AA3">
        <w:t xml:space="preserve">in ways that </w:t>
      </w:r>
      <w:r w:rsidR="00CF1BF6">
        <w:t>are eas</w:t>
      </w:r>
      <w:r w:rsidR="00E244CD">
        <w:t xml:space="preserve">ily </w:t>
      </w:r>
      <w:r w:rsidR="00E244CD">
        <w:rPr>
          <w:i/>
        </w:rPr>
        <w:t xml:space="preserve">discoverable </w:t>
      </w:r>
      <w:r w:rsidR="00E244CD">
        <w:t xml:space="preserve">and </w:t>
      </w:r>
      <w:r w:rsidR="00E244CD">
        <w:rPr>
          <w:i/>
        </w:rPr>
        <w:t>usable.</w:t>
      </w:r>
    </w:p>
    <w:p w14:paraId="39F8513E" w14:textId="77777777" w:rsidR="00A5138F" w:rsidRDefault="00A5138F" w:rsidP="00A5138F"/>
    <w:p w14:paraId="06517C63" w14:textId="77777777" w:rsidR="007C66BA" w:rsidRPr="00B874FA" w:rsidRDefault="00CA6936" w:rsidP="00A5138F">
      <w:r>
        <w:t>It is intended that o</w:t>
      </w:r>
      <w:r w:rsidR="00A5138F" w:rsidRPr="00447841">
        <w:t xml:space="preserve">pening access to public sector data </w:t>
      </w:r>
      <w:r>
        <w:t>will</w:t>
      </w:r>
      <w:r w:rsidR="00A5138F" w:rsidRPr="00447841">
        <w:t xml:space="preserve"> </w:t>
      </w:r>
      <w:r w:rsidR="007C6088" w:rsidRPr="00447841">
        <w:t xml:space="preserve">increase productivity and improve service delivery </w:t>
      </w:r>
      <w:r w:rsidR="0093032A" w:rsidRPr="00447841">
        <w:t xml:space="preserve">by supporting </w:t>
      </w:r>
      <w:r w:rsidR="00C1697D" w:rsidRPr="00447841">
        <w:t xml:space="preserve">innovation, </w:t>
      </w:r>
      <w:r w:rsidR="007C66BA" w:rsidRPr="00447841">
        <w:t>research and education</w:t>
      </w:r>
      <w:r w:rsidR="0097018D">
        <w:t>,</w:t>
      </w:r>
      <w:r w:rsidR="0093032A" w:rsidRPr="00447841">
        <w:t xml:space="preserve"> </w:t>
      </w:r>
      <w:r w:rsidR="007C6088" w:rsidRPr="00447841">
        <w:t xml:space="preserve">and </w:t>
      </w:r>
      <w:r w:rsidR="0097018D">
        <w:t xml:space="preserve">by </w:t>
      </w:r>
      <w:r w:rsidR="007C6088" w:rsidRPr="00447841">
        <w:t xml:space="preserve">facilitating </w:t>
      </w:r>
      <w:r w:rsidR="00C1697D" w:rsidRPr="00447841">
        <w:t>collaboration</w:t>
      </w:r>
      <w:r w:rsidR="007C66BA" w:rsidRPr="00447841">
        <w:t xml:space="preserve"> </w:t>
      </w:r>
      <w:r w:rsidR="00C1697D" w:rsidRPr="00447841">
        <w:t>and</w:t>
      </w:r>
      <w:r w:rsidR="007C66BA" w:rsidRPr="00447841">
        <w:t xml:space="preserve"> evidence-based decision making</w:t>
      </w:r>
      <w:r w:rsidR="00447841" w:rsidRPr="00447841">
        <w:t>.</w:t>
      </w:r>
      <w:r w:rsidR="007C66BA" w:rsidRPr="00447841">
        <w:t xml:space="preserve"> </w:t>
      </w:r>
    </w:p>
    <w:p w14:paraId="7F1D92AA" w14:textId="77777777" w:rsidR="000C2CB8" w:rsidRDefault="000C2CB8" w:rsidP="008F276E"/>
    <w:p w14:paraId="3F8501B8" w14:textId="77777777" w:rsidR="0030496F" w:rsidRPr="00B71C56" w:rsidRDefault="00E757A8" w:rsidP="00CB00F0">
      <w:pPr>
        <w:spacing w:after="120"/>
      </w:pPr>
      <w:r>
        <w:t>The</w:t>
      </w:r>
      <w:r w:rsidR="00D25645">
        <w:t xml:space="preserve"> </w:t>
      </w:r>
      <w:r w:rsidR="0030496F">
        <w:t>Policy</w:t>
      </w:r>
      <w:r w:rsidR="00F51B9B">
        <w:t xml:space="preserve"> and its implementation </w:t>
      </w:r>
      <w:r w:rsidR="006B4DB1">
        <w:t xml:space="preserve">guidance and </w:t>
      </w:r>
      <w:r w:rsidR="00F51B9B">
        <w:t>tools</w:t>
      </w:r>
      <w:r w:rsidR="0030496F" w:rsidRPr="00B71C56">
        <w:t>:</w:t>
      </w:r>
    </w:p>
    <w:p w14:paraId="6C9FB72C" w14:textId="77777777" w:rsidR="009704CC" w:rsidRDefault="00BD7F0B" w:rsidP="00552C82">
      <w:pPr>
        <w:pStyle w:val="ListParagraph"/>
        <w:ind w:left="567"/>
      </w:pPr>
      <w:r>
        <w:t xml:space="preserve">clearly </w:t>
      </w:r>
      <w:r w:rsidR="00F51B9B">
        <w:t>outline</w:t>
      </w:r>
      <w:r w:rsidR="002074AD">
        <w:t>s</w:t>
      </w:r>
      <w:r w:rsidR="00F51B9B">
        <w:t xml:space="preserve"> the</w:t>
      </w:r>
      <w:r w:rsidR="00F22FFA">
        <w:t xml:space="preserve"> </w:t>
      </w:r>
      <w:r w:rsidR="00F51B9B">
        <w:t xml:space="preserve">Western Australian </w:t>
      </w:r>
      <w:r w:rsidR="00A631DE">
        <w:t>G</w:t>
      </w:r>
      <w:r w:rsidR="00F22FFA">
        <w:t xml:space="preserve">overnment’s </w:t>
      </w:r>
      <w:r w:rsidR="001E23E3">
        <w:t>position</w:t>
      </w:r>
      <w:r w:rsidR="00F22FFA">
        <w:t xml:space="preserve"> </w:t>
      </w:r>
      <w:r w:rsidR="001E23E3">
        <w:t>on</w:t>
      </w:r>
      <w:r w:rsidR="00F22FFA">
        <w:t xml:space="preserve"> open data</w:t>
      </w:r>
      <w:r w:rsidR="009704CC">
        <w:t>;</w:t>
      </w:r>
    </w:p>
    <w:p w14:paraId="46431031" w14:textId="77777777" w:rsidR="0081667C" w:rsidRDefault="001E23E3" w:rsidP="00552C82">
      <w:pPr>
        <w:pStyle w:val="ListParagraph"/>
        <w:ind w:left="567"/>
      </w:pPr>
      <w:r>
        <w:t>encourage</w:t>
      </w:r>
      <w:r w:rsidR="002074AD">
        <w:t>s</w:t>
      </w:r>
      <w:r w:rsidR="0081667C">
        <w:t xml:space="preserve"> a </w:t>
      </w:r>
      <w:r w:rsidR="009C205D">
        <w:t xml:space="preserve">well-considered and </w:t>
      </w:r>
      <w:r w:rsidR="0081667C">
        <w:t xml:space="preserve">consistent approach </w:t>
      </w:r>
      <w:r w:rsidR="009C205D">
        <w:t xml:space="preserve">across the public sector </w:t>
      </w:r>
      <w:r w:rsidR="0081667C">
        <w:t xml:space="preserve">to </w:t>
      </w:r>
      <w:r w:rsidR="00F51B9B">
        <w:t>opening access to</w:t>
      </w:r>
      <w:r w:rsidR="0081667C">
        <w:t xml:space="preserve"> data</w:t>
      </w:r>
      <w:r w:rsidR="000E6120">
        <w:t xml:space="preserve"> (which also ensures the privacy of individuals is </w:t>
      </w:r>
      <w:r w:rsidR="00456846">
        <w:t xml:space="preserve">adequately </w:t>
      </w:r>
      <w:r w:rsidR="000E6120">
        <w:t>protected)</w:t>
      </w:r>
      <w:r w:rsidR="0081667C">
        <w:t>;</w:t>
      </w:r>
    </w:p>
    <w:p w14:paraId="15D0EF5C" w14:textId="77777777" w:rsidR="00830317" w:rsidRDefault="009C205D" w:rsidP="00552C82">
      <w:pPr>
        <w:pStyle w:val="ListParagraph"/>
        <w:ind w:left="567"/>
      </w:pPr>
      <w:r>
        <w:t>demonstrate</w:t>
      </w:r>
      <w:r w:rsidR="002074AD">
        <w:t>s</w:t>
      </w:r>
      <w:r>
        <w:t xml:space="preserve"> the</w:t>
      </w:r>
      <w:r w:rsidR="00F22FFA">
        <w:t xml:space="preserve"> </w:t>
      </w:r>
      <w:r w:rsidR="00921847">
        <w:t>value</w:t>
      </w:r>
      <w:r w:rsidR="00F22FFA">
        <w:t xml:space="preserve"> </w:t>
      </w:r>
      <w:r w:rsidR="009816B1">
        <w:t>of data</w:t>
      </w:r>
      <w:r w:rsidR="00830317">
        <w:t xml:space="preserve"> </w:t>
      </w:r>
      <w:r w:rsidR="001E23E3">
        <w:t xml:space="preserve">and </w:t>
      </w:r>
      <w:r w:rsidR="009816B1">
        <w:t xml:space="preserve">the </w:t>
      </w:r>
      <w:r w:rsidR="001E23E3">
        <w:t xml:space="preserve">potential benefits </w:t>
      </w:r>
      <w:r w:rsidR="00F22FFA">
        <w:t xml:space="preserve">of </w:t>
      </w:r>
      <w:r w:rsidR="00F51B9B">
        <w:t>opening access to</w:t>
      </w:r>
      <w:r w:rsidR="00F22FFA">
        <w:t xml:space="preserve"> data</w:t>
      </w:r>
      <w:r w:rsidR="00830317">
        <w:t>; and</w:t>
      </w:r>
    </w:p>
    <w:p w14:paraId="0B7B61CF" w14:textId="77777777" w:rsidR="00F51B9B" w:rsidRDefault="00830317" w:rsidP="00552C82">
      <w:pPr>
        <w:pStyle w:val="ListParagraph"/>
        <w:ind w:left="567"/>
      </w:pPr>
      <w:r>
        <w:t>help</w:t>
      </w:r>
      <w:r w:rsidR="002074AD">
        <w:t>s</w:t>
      </w:r>
      <w:r>
        <w:t xml:space="preserve"> agencies implement best practice information management principles to achieve open data objectives.</w:t>
      </w:r>
    </w:p>
    <w:p w14:paraId="1763FD52" w14:textId="77777777" w:rsidR="00CE1007" w:rsidRPr="00B874FA" w:rsidRDefault="002F3A2A" w:rsidP="00DD6B76">
      <w:pPr>
        <w:pStyle w:val="Heading1"/>
      </w:pPr>
      <w:r>
        <w:t>BACKGROUND</w:t>
      </w:r>
    </w:p>
    <w:p w14:paraId="71F9F253" w14:textId="77777777" w:rsidR="00F41F39" w:rsidRDefault="00F41F39" w:rsidP="00DD6B76">
      <w:pPr>
        <w:pStyle w:val="Heading2"/>
      </w:pPr>
      <w:r>
        <w:t>What is open data?</w:t>
      </w:r>
    </w:p>
    <w:p w14:paraId="1CD25B8E" w14:textId="76F85817" w:rsidR="00F042D1" w:rsidRPr="00E244CD" w:rsidRDefault="003A2DF9" w:rsidP="00F042D1">
      <w:r w:rsidRPr="00E244CD">
        <w:t>In practice</w:t>
      </w:r>
      <w:r w:rsidR="00A5138F" w:rsidRPr="00E244CD">
        <w:t xml:space="preserve"> across Australia and the world, the approach to open data varies to some extent</w:t>
      </w:r>
      <w:r w:rsidRPr="00E244CD">
        <w:t>.</w:t>
      </w:r>
      <w:r w:rsidR="004058DC" w:rsidRPr="00E244CD">
        <w:t xml:space="preserve"> For the purpose of this Policy,</w:t>
      </w:r>
      <w:r w:rsidR="00622B8E" w:rsidRPr="00E244CD">
        <w:t xml:space="preserve"> data is considered ‘open’ when it is:</w:t>
      </w:r>
      <w:r w:rsidR="004058DC" w:rsidRPr="00E244CD">
        <w:t xml:space="preserve"> </w:t>
      </w:r>
    </w:p>
    <w:p w14:paraId="4D0F24BC" w14:textId="77777777" w:rsidR="00036CDE" w:rsidRPr="00E244CD" w:rsidRDefault="00622B8E" w:rsidP="00036CDE">
      <w:pPr>
        <w:pStyle w:val="ListParagraph"/>
        <w:numPr>
          <w:ilvl w:val="0"/>
          <w:numId w:val="38"/>
        </w:numPr>
      </w:pPr>
      <w:r w:rsidRPr="00E244CD">
        <w:t xml:space="preserve">released </w:t>
      </w:r>
      <w:r w:rsidR="008776A7" w:rsidRPr="00E244CD">
        <w:t>and available for the general public</w:t>
      </w:r>
      <w:r w:rsidR="000E6120">
        <w:t xml:space="preserve"> (not for exclusive use)</w:t>
      </w:r>
      <w:r w:rsidR="00036CDE" w:rsidRPr="00E244CD">
        <w:t>;</w:t>
      </w:r>
    </w:p>
    <w:p w14:paraId="59012B71" w14:textId="77777777" w:rsidR="00CD5759" w:rsidRPr="00E244CD" w:rsidRDefault="00E244CD" w:rsidP="00036CDE">
      <w:pPr>
        <w:pStyle w:val="ListParagraph"/>
        <w:numPr>
          <w:ilvl w:val="0"/>
          <w:numId w:val="38"/>
        </w:numPr>
      </w:pPr>
      <w:r w:rsidRPr="00E244CD">
        <w:lastRenderedPageBreak/>
        <w:t xml:space="preserve">easily </w:t>
      </w:r>
      <w:r w:rsidR="00036CDE" w:rsidRPr="00E244CD">
        <w:rPr>
          <w:i/>
        </w:rPr>
        <w:t>discoverable</w:t>
      </w:r>
      <w:r w:rsidR="00CD5759" w:rsidRPr="00E244CD">
        <w:t>;</w:t>
      </w:r>
    </w:p>
    <w:p w14:paraId="1CEC8484" w14:textId="77777777" w:rsidR="00E244CD" w:rsidRPr="00E244CD" w:rsidRDefault="00E244CD" w:rsidP="006B56B6">
      <w:pPr>
        <w:pStyle w:val="ListParagraph"/>
        <w:numPr>
          <w:ilvl w:val="0"/>
          <w:numId w:val="38"/>
        </w:numPr>
      </w:pPr>
      <w:r w:rsidRPr="00E244CD">
        <w:t xml:space="preserve">in </w:t>
      </w:r>
      <w:r w:rsidR="00CD5759" w:rsidRPr="00E244CD">
        <w:t xml:space="preserve">formats that are </w:t>
      </w:r>
      <w:r w:rsidR="006B56B6" w:rsidRPr="00E244CD">
        <w:t>modifiable,</w:t>
      </w:r>
      <w:r w:rsidR="006B56B6" w:rsidRPr="00E244CD">
        <w:rPr>
          <w:i/>
        </w:rPr>
        <w:t xml:space="preserve"> non-proprietary</w:t>
      </w:r>
      <w:r w:rsidR="006C6B79" w:rsidRPr="00E244CD">
        <w:rPr>
          <w:i/>
        </w:rPr>
        <w:t xml:space="preserve"> </w:t>
      </w:r>
      <w:r w:rsidR="00CD5759" w:rsidRPr="00E244CD">
        <w:t xml:space="preserve">and </w:t>
      </w:r>
      <w:r w:rsidR="00CD5759" w:rsidRPr="00E244CD">
        <w:rPr>
          <w:i/>
        </w:rPr>
        <w:t>machine-readable</w:t>
      </w:r>
      <w:r w:rsidR="00036CDE" w:rsidRPr="00E244CD">
        <w:t>;</w:t>
      </w:r>
      <w:r w:rsidRPr="00E244CD">
        <w:t xml:space="preserve"> </w:t>
      </w:r>
    </w:p>
    <w:p w14:paraId="38A47619" w14:textId="77777777" w:rsidR="00036CDE" w:rsidRPr="00E244CD" w:rsidRDefault="00CD5759" w:rsidP="006B56B6">
      <w:pPr>
        <w:pStyle w:val="ListParagraph"/>
        <w:numPr>
          <w:ilvl w:val="0"/>
          <w:numId w:val="38"/>
        </w:numPr>
      </w:pPr>
      <w:r w:rsidRPr="00E244CD">
        <w:t>licensed to</w:t>
      </w:r>
      <w:r w:rsidR="00036CDE" w:rsidRPr="00E244CD">
        <w:t xml:space="preserve"> </w:t>
      </w:r>
      <w:r w:rsidR="000C27C9" w:rsidRPr="00E244CD">
        <w:t>e</w:t>
      </w:r>
      <w:r w:rsidR="009C2A8E" w:rsidRPr="00E244CD">
        <w:t>nabl</w:t>
      </w:r>
      <w:r w:rsidRPr="00E244CD">
        <w:t>e</w:t>
      </w:r>
      <w:r w:rsidR="00D53E4C" w:rsidRPr="00E244CD">
        <w:t xml:space="preserve"> reuse and redistribution;</w:t>
      </w:r>
      <w:r w:rsidR="009C2A8E" w:rsidRPr="00E244CD">
        <w:t xml:space="preserve"> and</w:t>
      </w:r>
    </w:p>
    <w:p w14:paraId="18537520" w14:textId="77777777" w:rsidR="00C5037E" w:rsidRPr="00E244CD" w:rsidRDefault="00DF47A7" w:rsidP="00390A0E">
      <w:pPr>
        <w:pStyle w:val="ListParagraph"/>
        <w:numPr>
          <w:ilvl w:val="0"/>
          <w:numId w:val="38"/>
        </w:numPr>
      </w:pPr>
      <w:r w:rsidRPr="00E244CD">
        <w:t xml:space="preserve">available </w:t>
      </w:r>
      <w:r w:rsidR="00D53E4C" w:rsidRPr="00E244CD">
        <w:t xml:space="preserve">at no cost to </w:t>
      </w:r>
      <w:r w:rsidRPr="00E244CD">
        <w:t>users</w:t>
      </w:r>
      <w:r w:rsidR="006B56B6" w:rsidRPr="00E244CD">
        <w:t>.</w:t>
      </w:r>
    </w:p>
    <w:p w14:paraId="54C11082" w14:textId="77777777" w:rsidR="004058DC" w:rsidRPr="00E244CD" w:rsidRDefault="004058DC" w:rsidP="004058DC"/>
    <w:p w14:paraId="0DA33ACC" w14:textId="0D8A0562" w:rsidR="008F276E" w:rsidRPr="008F276E" w:rsidRDefault="00E769A6" w:rsidP="008F276E">
      <w:r w:rsidRPr="00E769A6">
        <w:t>The Policy recognises the above situation for ‘</w:t>
      </w:r>
      <w:r w:rsidR="00986C53">
        <w:t>open’</w:t>
      </w:r>
      <w:r w:rsidRPr="00E769A6">
        <w:t xml:space="preserve"> data is not always </w:t>
      </w:r>
      <w:r w:rsidR="008776A7" w:rsidRPr="00E769A6">
        <w:t>possible or appropriate</w:t>
      </w:r>
      <w:r w:rsidR="00986C53">
        <w:t xml:space="preserve">. </w:t>
      </w:r>
      <w:r w:rsidR="00C63B3B">
        <w:t>For example, t</w:t>
      </w:r>
      <w:r w:rsidR="008776A7" w:rsidRPr="00E769A6">
        <w:t xml:space="preserve">here may be instances where more restrictive licences are used and/or a charge </w:t>
      </w:r>
      <w:r w:rsidRPr="00E769A6">
        <w:t>is applied.</w:t>
      </w:r>
    </w:p>
    <w:p w14:paraId="4A136958" w14:textId="77777777" w:rsidR="00F41F39" w:rsidRDefault="0081667C" w:rsidP="00DD6B76">
      <w:pPr>
        <w:pStyle w:val="Heading2"/>
      </w:pPr>
      <w:r>
        <w:t>Why open data?</w:t>
      </w:r>
    </w:p>
    <w:p w14:paraId="65BD2883" w14:textId="77777777" w:rsidR="00CD0A71" w:rsidRDefault="00FF2E1D" w:rsidP="00854349">
      <w:r>
        <w:t xml:space="preserve">Opening access to </w:t>
      </w:r>
      <w:r w:rsidR="003773F6">
        <w:t xml:space="preserve">public sector </w:t>
      </w:r>
      <w:r>
        <w:t xml:space="preserve">data, together with approaches to </w:t>
      </w:r>
      <w:r w:rsidR="00830317">
        <w:t xml:space="preserve">removing </w:t>
      </w:r>
      <w:r>
        <w:t>restrictions</w:t>
      </w:r>
      <w:r w:rsidR="00706E1B">
        <w:t xml:space="preserve"> surrounding </w:t>
      </w:r>
      <w:r w:rsidR="00DD1D37">
        <w:t xml:space="preserve">its </w:t>
      </w:r>
      <w:r w:rsidR="00706E1B">
        <w:t>use</w:t>
      </w:r>
      <w:r>
        <w:t xml:space="preserve">, is </w:t>
      </w:r>
      <w:r w:rsidR="00B67BB9">
        <w:t xml:space="preserve">a </w:t>
      </w:r>
      <w:r>
        <w:t>growing trend nationally and inte</w:t>
      </w:r>
      <w:r w:rsidR="00B67BB9">
        <w:t>rnationally</w:t>
      </w:r>
      <w:r w:rsidR="00703C09">
        <w:t xml:space="preserve">. Better </w:t>
      </w:r>
      <w:r w:rsidR="00437A70">
        <w:t>management and use of</w:t>
      </w:r>
      <w:r w:rsidR="00703C09">
        <w:t xml:space="preserve"> data within government</w:t>
      </w:r>
      <w:r w:rsidR="00437A70">
        <w:t>,</w:t>
      </w:r>
      <w:r w:rsidR="00703C09">
        <w:t xml:space="preserve"> and </w:t>
      </w:r>
      <w:r w:rsidR="00437A70">
        <w:t xml:space="preserve">enabling broader access and use </w:t>
      </w:r>
      <w:r w:rsidR="007F6C1E">
        <w:t>(</w:t>
      </w:r>
      <w:r w:rsidR="00703C09">
        <w:t xml:space="preserve">e.g. </w:t>
      </w:r>
      <w:r w:rsidR="00437A70">
        <w:t xml:space="preserve">by </w:t>
      </w:r>
      <w:r w:rsidR="00703C09">
        <w:t>non-government organisations, businesses and industry, aca</w:t>
      </w:r>
      <w:r w:rsidR="00437A70">
        <w:t>demia and members of the public</w:t>
      </w:r>
      <w:r w:rsidR="007F6C1E">
        <w:t>)</w:t>
      </w:r>
      <w:r w:rsidR="00437A70">
        <w:t xml:space="preserve"> </w:t>
      </w:r>
      <w:r w:rsidR="00703C09">
        <w:t>has</w:t>
      </w:r>
      <w:r>
        <w:t xml:space="preserve"> a range of potential b</w:t>
      </w:r>
      <w:r w:rsidR="00B67BB9">
        <w:t>enefits</w:t>
      </w:r>
      <w:r>
        <w:t xml:space="preserve"> </w:t>
      </w:r>
      <w:r w:rsidR="00B67BB9">
        <w:t xml:space="preserve">for </w:t>
      </w:r>
      <w:r>
        <w:t>both the public sector and the community</w:t>
      </w:r>
      <w:r w:rsidR="000601F7">
        <w:t>.</w:t>
      </w:r>
    </w:p>
    <w:p w14:paraId="24C817BD" w14:textId="77777777" w:rsidR="00CD0A71" w:rsidRDefault="00CD0A71" w:rsidP="00854349"/>
    <w:p w14:paraId="2B436196" w14:textId="77777777" w:rsidR="00DD1D37" w:rsidRDefault="002D6A96" w:rsidP="00854349">
      <w:r w:rsidRPr="00623B23">
        <w:t>This includes</w:t>
      </w:r>
      <w:r w:rsidR="00CD0A71" w:rsidRPr="00623B23">
        <w:t xml:space="preserve"> </w:t>
      </w:r>
      <w:r w:rsidRPr="00623B23">
        <w:t xml:space="preserve">a </w:t>
      </w:r>
      <w:r w:rsidR="00CD0A71" w:rsidRPr="00623B23">
        <w:t xml:space="preserve">more efficient and effective </w:t>
      </w:r>
      <w:r w:rsidR="008F7D7F">
        <w:t>public sector</w:t>
      </w:r>
      <w:r w:rsidR="008F7D7F" w:rsidRPr="00623B23">
        <w:t xml:space="preserve"> </w:t>
      </w:r>
      <w:r w:rsidR="00CD0A71" w:rsidRPr="00623B23">
        <w:t xml:space="preserve">through improvements in the use and application of data for financial and </w:t>
      </w:r>
      <w:r w:rsidR="003D6631">
        <w:t>evidence</w:t>
      </w:r>
      <w:r w:rsidR="00DD1D37">
        <w:t>-</w:t>
      </w:r>
      <w:r w:rsidR="00032B55">
        <w:t xml:space="preserve">based </w:t>
      </w:r>
      <w:r w:rsidR="00CD0A71" w:rsidRPr="00623B23">
        <w:t xml:space="preserve">policy </w:t>
      </w:r>
      <w:r w:rsidR="00DD1D37">
        <w:t>decisions</w:t>
      </w:r>
      <w:r w:rsidR="00CD0A71" w:rsidRPr="00623B23">
        <w:t xml:space="preserve">; </w:t>
      </w:r>
      <w:r w:rsidR="00032B55">
        <w:t>strategic and targeted</w:t>
      </w:r>
      <w:r w:rsidRPr="00623B23">
        <w:t xml:space="preserve"> </w:t>
      </w:r>
      <w:r w:rsidR="00CD0A71" w:rsidRPr="00623B23">
        <w:t xml:space="preserve">cross-agency collaboration; </w:t>
      </w:r>
      <w:r w:rsidR="003D6631">
        <w:t xml:space="preserve">and </w:t>
      </w:r>
      <w:r w:rsidR="00CD0A71" w:rsidRPr="00623B23">
        <w:t>the development of innovative solutions, services and tools</w:t>
      </w:r>
      <w:r w:rsidRPr="00623B23">
        <w:t xml:space="preserve"> </w:t>
      </w:r>
      <w:r w:rsidR="003C33F7" w:rsidRPr="00623B23">
        <w:t>where there is a</w:t>
      </w:r>
      <w:r w:rsidR="00032B55">
        <w:t>n identified</w:t>
      </w:r>
      <w:r w:rsidR="003C33F7" w:rsidRPr="00623B23">
        <w:t xml:space="preserve"> </w:t>
      </w:r>
      <w:r w:rsidRPr="00623B23">
        <w:t xml:space="preserve">policy or community </w:t>
      </w:r>
      <w:r w:rsidR="003C33F7" w:rsidRPr="00623B23">
        <w:t>need</w:t>
      </w:r>
      <w:r w:rsidR="00CD0A71" w:rsidRPr="00623B23">
        <w:t xml:space="preserve">. </w:t>
      </w:r>
      <w:r w:rsidR="00DD1D37">
        <w:t>Open</w:t>
      </w:r>
      <w:r w:rsidR="00EE62BC">
        <w:t>ing access to</w:t>
      </w:r>
      <w:r w:rsidR="00DD1D37">
        <w:t xml:space="preserve"> data </w:t>
      </w:r>
      <w:r w:rsidR="003D6631">
        <w:t>also support</w:t>
      </w:r>
      <w:r w:rsidR="00DD1D37">
        <w:t xml:space="preserve">s public sector efficiencies and savings </w:t>
      </w:r>
      <w:r w:rsidR="003D6631">
        <w:t xml:space="preserve">through reduced duplication, streamlined processes, and the development and delivery of </w:t>
      </w:r>
      <w:r w:rsidR="00EE62BC">
        <w:t>tools/</w:t>
      </w:r>
      <w:r w:rsidR="003D6631">
        <w:t xml:space="preserve">services </w:t>
      </w:r>
      <w:r w:rsidR="000C2CB8">
        <w:t>more quickly</w:t>
      </w:r>
      <w:r w:rsidR="00DD1D37">
        <w:t xml:space="preserve"> and at lower costs. </w:t>
      </w:r>
    </w:p>
    <w:p w14:paraId="53038C9C" w14:textId="77777777" w:rsidR="003D6631" w:rsidRDefault="00830317" w:rsidP="00854349">
      <w:r>
        <w:t>For the broader community, p</w:t>
      </w:r>
      <w:r w:rsidR="002D6A96" w:rsidRPr="00623B23">
        <w:t>otential</w:t>
      </w:r>
      <w:r w:rsidR="00DD2FA1" w:rsidRPr="00623B23">
        <w:t xml:space="preserve"> s</w:t>
      </w:r>
      <w:r w:rsidR="00CD0A71" w:rsidRPr="00623B23">
        <w:t xml:space="preserve">ocial and economic benefits </w:t>
      </w:r>
      <w:r w:rsidR="00DD2FA1" w:rsidRPr="00623B23">
        <w:t>includ</w:t>
      </w:r>
      <w:r w:rsidR="002D6A96" w:rsidRPr="00623B23">
        <w:t>e</w:t>
      </w:r>
      <w:r w:rsidR="003C33F7" w:rsidRPr="00623B23">
        <w:t xml:space="preserve"> </w:t>
      </w:r>
      <w:r w:rsidRPr="00623B23">
        <w:t xml:space="preserve">opportunities </w:t>
      </w:r>
      <w:r>
        <w:t xml:space="preserve">to </w:t>
      </w:r>
      <w:r w:rsidR="003C33F7" w:rsidRPr="00623B23">
        <w:t>develop new businesses and industries</w:t>
      </w:r>
      <w:r w:rsidR="003D6631">
        <w:t xml:space="preserve"> (including </w:t>
      </w:r>
      <w:r w:rsidR="008F7D7F">
        <w:t xml:space="preserve">the </w:t>
      </w:r>
      <w:r w:rsidR="003D6631">
        <w:t>not-for-profit sector)</w:t>
      </w:r>
      <w:r w:rsidR="003C33F7" w:rsidRPr="00623B23">
        <w:t xml:space="preserve">; </w:t>
      </w:r>
      <w:r w:rsidR="00DD2FA1" w:rsidRPr="00623B23">
        <w:t xml:space="preserve">improved research outcomes; and </w:t>
      </w:r>
      <w:r w:rsidR="007F6C1E">
        <w:t>better</w:t>
      </w:r>
      <w:r w:rsidR="007F6C1E" w:rsidRPr="00623B23">
        <w:t xml:space="preserve"> </w:t>
      </w:r>
      <w:r w:rsidR="003C33F7" w:rsidRPr="00623B23">
        <w:t xml:space="preserve">business </w:t>
      </w:r>
      <w:r w:rsidR="00283F37">
        <w:t xml:space="preserve">and community </w:t>
      </w:r>
      <w:r w:rsidR="003C33F7" w:rsidRPr="00623B23">
        <w:t xml:space="preserve">decision making. </w:t>
      </w:r>
    </w:p>
    <w:p w14:paraId="4A3623B3" w14:textId="77777777" w:rsidR="003D6631" w:rsidRDefault="003D6631" w:rsidP="00854349"/>
    <w:p w14:paraId="1A045A81" w14:textId="77777777" w:rsidR="00DD1D37" w:rsidRDefault="003C33F7" w:rsidP="00390A0E">
      <w:pPr>
        <w:rPr>
          <w:rFonts w:eastAsiaTheme="majorEastAsia" w:cs="Arial"/>
          <w:b/>
          <w:bCs/>
          <w:color w:val="365F91" w:themeColor="accent1" w:themeShade="BF"/>
          <w:sz w:val="28"/>
          <w:szCs w:val="28"/>
        </w:rPr>
      </w:pPr>
      <w:r w:rsidRPr="00623B23">
        <w:t>Open</w:t>
      </w:r>
      <w:r w:rsidR="00DD2FA1" w:rsidRPr="00623B23">
        <w:t>ing access to</w:t>
      </w:r>
      <w:r w:rsidRPr="00623B23">
        <w:t xml:space="preserve"> </w:t>
      </w:r>
      <w:r w:rsidR="007F6C1E">
        <w:t xml:space="preserve">public sector </w:t>
      </w:r>
      <w:r w:rsidRPr="00623B23">
        <w:t xml:space="preserve">data also promotes a more transparent and accountable government by </w:t>
      </w:r>
      <w:r w:rsidR="003D6631">
        <w:t>providing greater</w:t>
      </w:r>
      <w:r w:rsidRPr="00623B23">
        <w:t xml:space="preserve"> visibility </w:t>
      </w:r>
      <w:r w:rsidR="003D6631">
        <w:t>around</w:t>
      </w:r>
      <w:r w:rsidRPr="00623B23">
        <w:t xml:space="preserve"> government </w:t>
      </w:r>
      <w:r w:rsidR="003D6631">
        <w:t>activity and expenditure</w:t>
      </w:r>
      <w:r w:rsidRPr="00623B23">
        <w:t>.</w:t>
      </w:r>
    </w:p>
    <w:p w14:paraId="3410BD7D" w14:textId="77777777" w:rsidR="00F41F39" w:rsidRDefault="00F41F39" w:rsidP="00DD6B76">
      <w:pPr>
        <w:pStyle w:val="Heading1"/>
      </w:pPr>
      <w:r>
        <w:t>SCOPE</w:t>
      </w:r>
    </w:p>
    <w:p w14:paraId="014227DA" w14:textId="77777777" w:rsidR="00283F37" w:rsidRDefault="00283F37" w:rsidP="00283F37">
      <w:r>
        <w:t>The target beneficiaries of this Policy are the people of Western Australia.</w:t>
      </w:r>
    </w:p>
    <w:p w14:paraId="61FF7597" w14:textId="77777777" w:rsidR="00283F37" w:rsidRDefault="00283F37" w:rsidP="00283F37"/>
    <w:p w14:paraId="204EFFD2" w14:textId="77777777" w:rsidR="00DC44AC" w:rsidRDefault="00F41F39" w:rsidP="008B7262">
      <w:r>
        <w:t>Th</w:t>
      </w:r>
      <w:r w:rsidR="008F7D7F">
        <w:t>e</w:t>
      </w:r>
      <w:r>
        <w:t xml:space="preserve"> Policy applies t</w:t>
      </w:r>
      <w:r w:rsidR="006D0EB8">
        <w:t xml:space="preserve">o all </w:t>
      </w:r>
      <w:r w:rsidR="0053111D">
        <w:t xml:space="preserve">agencies and organisations </w:t>
      </w:r>
      <w:r w:rsidR="001A35A8">
        <w:t xml:space="preserve">(agencies) </w:t>
      </w:r>
      <w:r w:rsidR="000C75FF">
        <w:t xml:space="preserve">covered by the </w:t>
      </w:r>
      <w:r w:rsidR="000C75FF" w:rsidRPr="00E038C4">
        <w:rPr>
          <w:i/>
        </w:rPr>
        <w:t>Public Sector Management Act 1994</w:t>
      </w:r>
      <w:r w:rsidR="00B35469">
        <w:rPr>
          <w:i/>
        </w:rPr>
        <w:t xml:space="preserve"> </w:t>
      </w:r>
      <w:r w:rsidR="001A35A8">
        <w:t>(the Act)</w:t>
      </w:r>
      <w:r w:rsidR="008F7D7F">
        <w:t xml:space="preserve">. </w:t>
      </w:r>
      <w:r w:rsidR="00986C53">
        <w:t>T</w:t>
      </w:r>
      <w:r w:rsidR="00C13D1B">
        <w:t xml:space="preserve">he Policy also applies to agencies listed in Schedules 1 and 2 to the Act (e.g. government enterprises, </w:t>
      </w:r>
      <w:r w:rsidR="00C13D1B" w:rsidRPr="00DC44AC">
        <w:t>universities, local government,</w:t>
      </w:r>
      <w:r w:rsidR="00986C53">
        <w:t xml:space="preserve"> courts and tribunals)</w:t>
      </w:r>
      <w:r w:rsidR="004B625E">
        <w:t>,</w:t>
      </w:r>
      <w:r w:rsidR="00C13D1B">
        <w:t xml:space="preserve"> consultant</w:t>
      </w:r>
      <w:r w:rsidR="00986C53">
        <w:t>s and contractors to government</w:t>
      </w:r>
      <w:r w:rsidR="004B625E">
        <w:t>,</w:t>
      </w:r>
      <w:r w:rsidR="00C13D1B">
        <w:t xml:space="preserve"> and recipients of government grants. </w:t>
      </w:r>
    </w:p>
    <w:p w14:paraId="11B8D1B1" w14:textId="77777777" w:rsidR="00DC44AC" w:rsidRDefault="00DC44AC" w:rsidP="00123617"/>
    <w:p w14:paraId="7A5121D4" w14:textId="77777777" w:rsidR="00C444CD" w:rsidRDefault="00C444CD" w:rsidP="00DC44AC">
      <w:r w:rsidRPr="00177144">
        <w:lastRenderedPageBreak/>
        <w:t>The focus of th</w:t>
      </w:r>
      <w:r w:rsidR="00956D08">
        <w:t>e</w:t>
      </w:r>
      <w:r w:rsidRPr="00177144">
        <w:t xml:space="preserve"> Policy is</w:t>
      </w:r>
      <w:r w:rsidR="00DC44AC" w:rsidRPr="00177144">
        <w:t xml:space="preserve"> </w:t>
      </w:r>
      <w:r w:rsidR="00DC44AC" w:rsidRPr="00177144">
        <w:rPr>
          <w:i/>
        </w:rPr>
        <w:t>raw data</w:t>
      </w:r>
      <w:r w:rsidRPr="00177144">
        <w:t xml:space="preserve"> (</w:t>
      </w:r>
      <w:r w:rsidR="006163D4">
        <w:t xml:space="preserve">data </w:t>
      </w:r>
      <w:r w:rsidR="006163D4" w:rsidRPr="003D2F0E">
        <w:t>not yet subjected to analysis</w:t>
      </w:r>
      <w:r w:rsidR="006163D4">
        <w:t xml:space="preserve"> or interpretation</w:t>
      </w:r>
      <w:r w:rsidR="00305D9D">
        <w:t>)</w:t>
      </w:r>
      <w:r w:rsidR="000023D5">
        <w:t>. However, the Policy</w:t>
      </w:r>
      <w:r w:rsidR="004B625E">
        <w:t xml:space="preserve"> </w:t>
      </w:r>
      <w:r w:rsidR="005404E4" w:rsidRPr="00177144">
        <w:t>can also apply to</w:t>
      </w:r>
      <w:r w:rsidR="000C2CB8">
        <w:t xml:space="preserve"> other types of</w:t>
      </w:r>
      <w:r w:rsidR="005404E4" w:rsidRPr="00177144">
        <w:t xml:space="preserve"> </w:t>
      </w:r>
      <w:r w:rsidR="006163D4">
        <w:rPr>
          <w:i/>
        </w:rPr>
        <w:t xml:space="preserve">information </w:t>
      </w:r>
      <w:r w:rsidR="004B625E">
        <w:t>such as</w:t>
      </w:r>
      <w:r w:rsidR="000C2CB8">
        <w:t xml:space="preserve"> </w:t>
      </w:r>
      <w:r w:rsidR="005404E4" w:rsidRPr="00177144">
        <w:t>data that has been pro</w:t>
      </w:r>
      <w:r w:rsidR="005404E4">
        <w:t>cessed to provide greater valu</w:t>
      </w:r>
      <w:r w:rsidR="004B625E">
        <w:t>e</w:t>
      </w:r>
      <w:r w:rsidR="000023D5">
        <w:rPr>
          <w:rStyle w:val="FootnoteReference"/>
        </w:rPr>
        <w:footnoteReference w:id="1"/>
      </w:r>
      <w:r w:rsidR="000023D5">
        <w:t>.</w:t>
      </w:r>
    </w:p>
    <w:p w14:paraId="158BBA81" w14:textId="77777777" w:rsidR="00CE163B" w:rsidRDefault="00CE163B" w:rsidP="00DC44AC"/>
    <w:p w14:paraId="2C7E9D56" w14:textId="77777777" w:rsidR="00ED4DA1" w:rsidRDefault="00BA6D16" w:rsidP="006F3454">
      <w:r>
        <w:t xml:space="preserve">Achieving </w:t>
      </w:r>
      <w:r w:rsidR="00ED2E58">
        <w:t xml:space="preserve">a comprehensive approach to </w:t>
      </w:r>
      <w:r w:rsidR="00ED2E58" w:rsidRPr="000023D5">
        <w:rPr>
          <w:i/>
        </w:rPr>
        <w:t>open data</w:t>
      </w:r>
      <w:r>
        <w:t xml:space="preserve"> is a progressive and evolving process. </w:t>
      </w:r>
      <w:r w:rsidR="00ED4DA1">
        <w:t>In the first instance, a</w:t>
      </w:r>
      <w:r w:rsidR="00ED4DA1" w:rsidRPr="00DC44AC">
        <w:t xml:space="preserve">gencies </w:t>
      </w:r>
      <w:r>
        <w:t>should</w:t>
      </w:r>
      <w:r w:rsidR="00ED4DA1" w:rsidRPr="00DC44AC">
        <w:t xml:space="preserve"> imp</w:t>
      </w:r>
      <w:r w:rsidR="000C2CB8">
        <w:t xml:space="preserve">rove the </w:t>
      </w:r>
      <w:r w:rsidR="000C2CB8" w:rsidRPr="00ED2E58">
        <w:rPr>
          <w:i/>
        </w:rPr>
        <w:t>discoverability</w:t>
      </w:r>
      <w:r w:rsidR="000C2CB8">
        <w:t xml:space="preserve"> and </w:t>
      </w:r>
      <w:r w:rsidR="000C2CB8" w:rsidRPr="00ED2E58">
        <w:rPr>
          <w:i/>
        </w:rPr>
        <w:t>us</w:t>
      </w:r>
      <w:r w:rsidR="00ED4DA1" w:rsidRPr="00ED2E58">
        <w:rPr>
          <w:i/>
        </w:rPr>
        <w:t>ability</w:t>
      </w:r>
      <w:r w:rsidR="00ED4DA1" w:rsidRPr="00DC44AC">
        <w:t xml:space="preserve"> of existing datasets by making them open, prioritising </w:t>
      </w:r>
      <w:r w:rsidR="00ED2E58">
        <w:t xml:space="preserve">those </w:t>
      </w:r>
      <w:r w:rsidR="00ED4DA1" w:rsidRPr="00DC44AC">
        <w:t>datasets that are already publicly available</w:t>
      </w:r>
      <w:r w:rsidR="00ED4DA1">
        <w:t>,</w:t>
      </w:r>
      <w:r w:rsidR="00ED4DA1" w:rsidRPr="00DC44AC">
        <w:t xml:space="preserve"> in demand </w:t>
      </w:r>
      <w:r w:rsidR="00ED4DA1">
        <w:t>by the public</w:t>
      </w:r>
      <w:r>
        <w:t>,</w:t>
      </w:r>
      <w:r w:rsidR="00ED4DA1">
        <w:t xml:space="preserve"> </w:t>
      </w:r>
      <w:r w:rsidR="00ED2E58">
        <w:t>and/</w:t>
      </w:r>
      <w:r w:rsidR="00ED4DA1" w:rsidRPr="00DC44AC">
        <w:t xml:space="preserve">or considered </w:t>
      </w:r>
      <w:r w:rsidR="00ED4DA1" w:rsidRPr="00283F37">
        <w:t>high-value.</w:t>
      </w:r>
    </w:p>
    <w:p w14:paraId="1066C81C" w14:textId="77777777" w:rsidR="00ED4DA1" w:rsidRDefault="00ED4DA1" w:rsidP="006F3454"/>
    <w:p w14:paraId="521781CF" w14:textId="77777777" w:rsidR="006F3454" w:rsidRPr="00DC44AC" w:rsidRDefault="00ED2E58" w:rsidP="006F3454">
      <w:r>
        <w:t>T</w:t>
      </w:r>
      <w:r w:rsidR="006F3454" w:rsidRPr="00DC44AC">
        <w:t xml:space="preserve">he Policy </w:t>
      </w:r>
      <w:r w:rsidR="003C02F6">
        <w:t xml:space="preserve">also </w:t>
      </w:r>
      <w:r>
        <w:t>applies</w:t>
      </w:r>
      <w:r w:rsidR="00BA6D16">
        <w:t xml:space="preserve"> </w:t>
      </w:r>
      <w:r w:rsidR="006F3454" w:rsidRPr="00DC44AC">
        <w:t xml:space="preserve">to all new data collection and creation, </w:t>
      </w:r>
      <w:r w:rsidR="006967CC">
        <w:t xml:space="preserve">development of </w:t>
      </w:r>
      <w:r w:rsidR="006F3454" w:rsidRPr="00DC44AC">
        <w:t>system</w:t>
      </w:r>
      <w:r w:rsidR="006967CC">
        <w:t xml:space="preserve">s that collect or create data, and </w:t>
      </w:r>
      <w:r w:rsidR="006F3454" w:rsidRPr="00DC44AC">
        <w:t>any modernisation projects that update existing data systems.</w:t>
      </w:r>
    </w:p>
    <w:p w14:paraId="6ADBBF68" w14:textId="77777777" w:rsidR="006F3454" w:rsidRPr="00DC44AC" w:rsidRDefault="006F3454" w:rsidP="006F3454"/>
    <w:p w14:paraId="0B4AF77D" w14:textId="77777777" w:rsidR="006A3FE0" w:rsidRDefault="006A3FE0" w:rsidP="006A3FE0">
      <w:r>
        <w:t>Before publishing data, agencies should consider the</w:t>
      </w:r>
      <w:r w:rsidR="00ED2E58">
        <w:t>ir own legislative requirements, and the</w:t>
      </w:r>
      <w:r>
        <w:t xml:space="preserve"> value and </w:t>
      </w:r>
      <w:r w:rsidR="006967CC">
        <w:t>intended outcome of</w:t>
      </w:r>
      <w:r>
        <w:t xml:space="preserve"> openness against the cost and </w:t>
      </w:r>
      <w:r w:rsidR="000E6F06">
        <w:t xml:space="preserve">potential </w:t>
      </w:r>
      <w:r w:rsidR="006967CC">
        <w:t>implications</w:t>
      </w:r>
      <w:r>
        <w:t xml:space="preserve"> of making that data open. This will </w:t>
      </w:r>
      <w:r w:rsidR="006967CC">
        <w:t>assist with decisions surrounding</w:t>
      </w:r>
      <w:r>
        <w:t xml:space="preserve"> how best </w:t>
      </w:r>
      <w:r w:rsidR="00ED2E58">
        <w:t xml:space="preserve">to </w:t>
      </w:r>
      <w:r>
        <w:t>manage the data, including whether to releas</w:t>
      </w:r>
      <w:r w:rsidR="006967CC">
        <w:t>e the</w:t>
      </w:r>
      <w:r w:rsidR="00ED2E58">
        <w:t xml:space="preserve"> data and under what conditions,</w:t>
      </w:r>
      <w:r w:rsidR="006967CC">
        <w:t xml:space="preserve"> and the priorities for release</w:t>
      </w:r>
      <w:r>
        <w:t xml:space="preserve">. </w:t>
      </w:r>
    </w:p>
    <w:p w14:paraId="56052FE1" w14:textId="77777777" w:rsidR="00D12209" w:rsidRDefault="00D12209" w:rsidP="006F3454"/>
    <w:p w14:paraId="200AB0CB" w14:textId="77777777" w:rsidR="009C2A8E" w:rsidRDefault="00D6645E" w:rsidP="006F3454">
      <w:r>
        <w:t xml:space="preserve">It is expected </w:t>
      </w:r>
      <w:r w:rsidR="00283F37">
        <w:t xml:space="preserve">that </w:t>
      </w:r>
      <w:r>
        <w:t>a</w:t>
      </w:r>
      <w:r w:rsidR="006967CC" w:rsidRPr="00BA6D16">
        <w:t>gencies will implement the Policy using existing budgets and resources.</w:t>
      </w:r>
    </w:p>
    <w:p w14:paraId="3EF27541" w14:textId="100AD750" w:rsidR="00F41F39" w:rsidRDefault="00F41F39" w:rsidP="00DD6B76">
      <w:pPr>
        <w:pStyle w:val="Heading1"/>
      </w:pPr>
      <w:r>
        <w:t>DATA QUALITY</w:t>
      </w:r>
    </w:p>
    <w:p w14:paraId="7689238A" w14:textId="77777777" w:rsidR="00627C4C" w:rsidRDefault="00E038C4" w:rsidP="001E799E">
      <w:r>
        <w:t xml:space="preserve">It is important </w:t>
      </w:r>
      <w:r w:rsidR="00CB0C90">
        <w:t>users have</w:t>
      </w:r>
      <w:r>
        <w:t xml:space="preserve"> confidence </w:t>
      </w:r>
      <w:r w:rsidR="00CB0C90">
        <w:t>in the</w:t>
      </w:r>
      <w:r>
        <w:t xml:space="preserve"> data they are accessing</w:t>
      </w:r>
      <w:r w:rsidR="00CB0C90">
        <w:t xml:space="preserve"> and using</w:t>
      </w:r>
      <w:r w:rsidR="00627C4C">
        <w:t xml:space="preserve">, and are made aware of any </w:t>
      </w:r>
      <w:r w:rsidR="000C2688">
        <w:t>caveats relating to it</w:t>
      </w:r>
      <w:r w:rsidR="0079542F">
        <w:t xml:space="preserve">. </w:t>
      </w:r>
      <w:r w:rsidR="000355EA">
        <w:t xml:space="preserve">To </w:t>
      </w:r>
      <w:r w:rsidR="000C2688">
        <w:t>enable</w:t>
      </w:r>
      <w:r w:rsidR="000355EA">
        <w:t xml:space="preserve"> users </w:t>
      </w:r>
      <w:r w:rsidR="004C7A09">
        <w:t xml:space="preserve">to </w:t>
      </w:r>
      <w:r w:rsidR="000355EA">
        <w:t>determine whether a dataset is suitable for their purpose</w:t>
      </w:r>
      <w:r w:rsidR="000C2688">
        <w:t>s</w:t>
      </w:r>
      <w:r w:rsidR="000355EA">
        <w:t xml:space="preserve">, </w:t>
      </w:r>
      <w:r w:rsidR="00050ECC">
        <w:t>data</w:t>
      </w:r>
      <w:r w:rsidR="00627C4C">
        <w:t xml:space="preserve"> </w:t>
      </w:r>
      <w:r w:rsidR="00300E7B">
        <w:t xml:space="preserve">should be made available with </w:t>
      </w:r>
      <w:r w:rsidR="00341474">
        <w:t>a statement</w:t>
      </w:r>
      <w:r w:rsidR="00956D08">
        <w:t xml:space="preserve">, or </w:t>
      </w:r>
      <w:r w:rsidR="00956D08" w:rsidRPr="00956D08">
        <w:rPr>
          <w:i/>
        </w:rPr>
        <w:t>metadata</w:t>
      </w:r>
      <w:r w:rsidR="00956D08">
        <w:t>,</w:t>
      </w:r>
      <w:r w:rsidR="00341474">
        <w:t xml:space="preserve"> regarding its</w:t>
      </w:r>
      <w:r w:rsidR="00974F78">
        <w:t xml:space="preserve"> purpose and</w:t>
      </w:r>
      <w:r w:rsidR="003C17E0">
        <w:t xml:space="preserve"> </w:t>
      </w:r>
      <w:r w:rsidR="003C17E0" w:rsidRPr="00390A0E">
        <w:rPr>
          <w:i/>
        </w:rPr>
        <w:t>quality</w:t>
      </w:r>
      <w:r w:rsidR="003C17E0">
        <w:t>.</w:t>
      </w:r>
      <w:r w:rsidR="00050ECC">
        <w:t xml:space="preserve"> </w:t>
      </w:r>
    </w:p>
    <w:p w14:paraId="062558AD" w14:textId="77777777" w:rsidR="00E038C4" w:rsidRDefault="00E038C4" w:rsidP="00E33196"/>
    <w:p w14:paraId="61C79BEB" w14:textId="77777777" w:rsidR="00384960" w:rsidRDefault="0010005C" w:rsidP="00390A0E">
      <w:pPr>
        <w:rPr>
          <w:rFonts w:eastAsiaTheme="majorEastAsia" w:cs="Arial"/>
          <w:b/>
          <w:bCs/>
          <w:color w:val="365F91" w:themeColor="accent1" w:themeShade="BF"/>
          <w:sz w:val="28"/>
          <w:szCs w:val="28"/>
        </w:rPr>
      </w:pPr>
      <w:r>
        <w:t>Even where there are limitation</w:t>
      </w:r>
      <w:r w:rsidR="00300E7B">
        <w:t>s</w:t>
      </w:r>
      <w:r>
        <w:t xml:space="preserve"> </w:t>
      </w:r>
      <w:r w:rsidR="00300E7B">
        <w:t xml:space="preserve">with regard </w:t>
      </w:r>
      <w:r>
        <w:t xml:space="preserve">to a dataset, </w:t>
      </w:r>
      <w:r w:rsidR="00DE3383">
        <w:t>such as</w:t>
      </w:r>
      <w:r w:rsidR="00300E7B">
        <w:t xml:space="preserve"> an incomplete dataset, </w:t>
      </w:r>
      <w:r>
        <w:t xml:space="preserve">releasing the data is </w:t>
      </w:r>
      <w:r w:rsidR="00050ECC">
        <w:t>encouraged</w:t>
      </w:r>
      <w:r w:rsidR="00F81E00">
        <w:t>,</w:t>
      </w:r>
      <w:r w:rsidR="009E2690">
        <w:t xml:space="preserve"> provided </w:t>
      </w:r>
      <w:r w:rsidR="00300E7B">
        <w:t>sufficient</w:t>
      </w:r>
      <w:r>
        <w:t xml:space="preserve"> </w:t>
      </w:r>
      <w:r w:rsidR="0079542F">
        <w:t>information</w:t>
      </w:r>
      <w:r>
        <w:t xml:space="preserve"> </w:t>
      </w:r>
      <w:r w:rsidR="009E2690">
        <w:t>is</w:t>
      </w:r>
      <w:r>
        <w:t xml:space="preserve"> included to notify users </w:t>
      </w:r>
      <w:r w:rsidR="00300E7B">
        <w:t>of any</w:t>
      </w:r>
      <w:r>
        <w:t xml:space="preserve"> </w:t>
      </w:r>
      <w:r w:rsidR="000C2688">
        <w:t>limitations or gaps</w:t>
      </w:r>
      <w:r>
        <w:t>.</w:t>
      </w:r>
    </w:p>
    <w:p w14:paraId="41B5739E" w14:textId="77777777" w:rsidR="00F41F39" w:rsidRDefault="00F41F39" w:rsidP="00DD6B76">
      <w:pPr>
        <w:pStyle w:val="Heading1"/>
      </w:pPr>
      <w:r>
        <w:t>PRINCIPLES</w:t>
      </w:r>
    </w:p>
    <w:p w14:paraId="692147CB" w14:textId="77777777" w:rsidR="00FB2F01" w:rsidRDefault="00F41F39" w:rsidP="00F41F39">
      <w:r>
        <w:t xml:space="preserve">The following principles </w:t>
      </w:r>
      <w:r w:rsidR="00ED2E58">
        <w:t>describe best-</w:t>
      </w:r>
      <w:r w:rsidR="007960C5">
        <w:t xml:space="preserve">practice </w:t>
      </w:r>
      <w:r w:rsidR="00D8685E">
        <w:t xml:space="preserve">information management </w:t>
      </w:r>
      <w:r w:rsidR="007960C5">
        <w:t xml:space="preserve">standards for open data </w:t>
      </w:r>
      <w:r w:rsidR="00D8685E">
        <w:t xml:space="preserve">across the </w:t>
      </w:r>
      <w:r w:rsidR="007960C5">
        <w:t>Western Australia</w:t>
      </w:r>
      <w:r w:rsidR="00D8685E">
        <w:t>n public sector</w:t>
      </w:r>
      <w:r w:rsidR="007960C5">
        <w:t>.</w:t>
      </w:r>
      <w:r w:rsidR="008210EC">
        <w:t xml:space="preserve"> </w:t>
      </w:r>
    </w:p>
    <w:p w14:paraId="3CCC16F4" w14:textId="77777777" w:rsidR="009D07B8" w:rsidRDefault="009D07B8" w:rsidP="00DD6B76">
      <w:pPr>
        <w:pStyle w:val="Heading2"/>
      </w:pPr>
      <w:r w:rsidRPr="00DD6B76">
        <w:t>Open</w:t>
      </w:r>
      <w:r>
        <w:t xml:space="preserve"> by default</w:t>
      </w:r>
    </w:p>
    <w:p w14:paraId="7C99712B" w14:textId="77777777" w:rsidR="001E2EB5" w:rsidRDefault="0079542F" w:rsidP="00F41F39">
      <w:r>
        <w:t>A</w:t>
      </w:r>
      <w:r w:rsidR="009D07B8">
        <w:t xml:space="preserve">gencies </w:t>
      </w:r>
      <w:r>
        <w:t xml:space="preserve">are encouraged </w:t>
      </w:r>
      <w:r w:rsidR="00C842E2">
        <w:t xml:space="preserve">to </w:t>
      </w:r>
      <w:r w:rsidR="00BA6D16">
        <w:t>adopt</w:t>
      </w:r>
      <w:r w:rsidR="009D07B8">
        <w:t xml:space="preserve"> a position of data openness, with the prerogative in favour of data release, unless there is </w:t>
      </w:r>
      <w:r w:rsidR="004C7A09">
        <w:t xml:space="preserve">a </w:t>
      </w:r>
      <w:r w:rsidR="00EB7407">
        <w:t xml:space="preserve">clear need to restrict </w:t>
      </w:r>
      <w:r w:rsidR="000C2688">
        <w:t xml:space="preserve">or preclude </w:t>
      </w:r>
      <w:r w:rsidR="00EB7407">
        <w:t>access</w:t>
      </w:r>
      <w:r>
        <w:t xml:space="preserve"> </w:t>
      </w:r>
      <w:r w:rsidR="00D8483C">
        <w:t xml:space="preserve">for reasons of privacy, </w:t>
      </w:r>
      <w:r w:rsidR="00AF7A68">
        <w:t xml:space="preserve">confidentiality, </w:t>
      </w:r>
      <w:r w:rsidR="00D8483C">
        <w:t xml:space="preserve">security or other </w:t>
      </w:r>
      <w:r w:rsidR="004C7A09">
        <w:t>relevant considerations (see section 6.4 of this Policy).</w:t>
      </w:r>
    </w:p>
    <w:p w14:paraId="2597795B" w14:textId="77777777" w:rsidR="000E6F06" w:rsidRDefault="000E6F06" w:rsidP="00F41F39"/>
    <w:p w14:paraId="3F175FEA" w14:textId="77777777" w:rsidR="00974F78" w:rsidRDefault="00B82536" w:rsidP="00F41F39">
      <w:r w:rsidRPr="00E769A6">
        <w:t xml:space="preserve">Wherever possible, data should be made available at no </w:t>
      </w:r>
      <w:r w:rsidR="00DE56C4" w:rsidRPr="00E769A6">
        <w:t xml:space="preserve">or minimal </w:t>
      </w:r>
      <w:r w:rsidRPr="00E769A6">
        <w:t xml:space="preserve">cost </w:t>
      </w:r>
      <w:r w:rsidR="0074093F" w:rsidRPr="00E769A6">
        <w:t xml:space="preserve">to users </w:t>
      </w:r>
      <w:r w:rsidRPr="00E769A6">
        <w:t>in order to</w:t>
      </w:r>
      <w:r w:rsidR="0079542F" w:rsidRPr="00E769A6">
        <w:t xml:space="preserve"> maximise </w:t>
      </w:r>
      <w:r w:rsidR="000C2688" w:rsidRPr="00E769A6">
        <w:t xml:space="preserve">the potential for use. </w:t>
      </w:r>
      <w:r w:rsidR="00956D08" w:rsidRPr="00E769A6">
        <w:t>The Policy recognises that t</w:t>
      </w:r>
      <w:r w:rsidR="00C4223A" w:rsidRPr="00E769A6">
        <w:t xml:space="preserve">here may be </w:t>
      </w:r>
      <w:r w:rsidR="00974F78" w:rsidRPr="00E769A6">
        <w:t xml:space="preserve">legitimate instances </w:t>
      </w:r>
      <w:r w:rsidR="004C7A09" w:rsidRPr="00E769A6">
        <w:t>where agencies consider applying a r</w:t>
      </w:r>
      <w:r w:rsidR="00974F78" w:rsidRPr="00E769A6">
        <w:t>easonable charge for the data</w:t>
      </w:r>
      <w:r w:rsidR="00536BC6">
        <w:t>,</w:t>
      </w:r>
      <w:r w:rsidR="00E769A6" w:rsidRPr="00E769A6">
        <w:t xml:space="preserve"> </w:t>
      </w:r>
      <w:r w:rsidR="00536BC6">
        <w:t>such as</w:t>
      </w:r>
      <w:r w:rsidR="00E769A6" w:rsidRPr="00E769A6">
        <w:t xml:space="preserve"> where there are significant costs in making the data available.</w:t>
      </w:r>
      <w:r w:rsidR="00974F78" w:rsidRPr="00E769A6">
        <w:t xml:space="preserve"> </w:t>
      </w:r>
      <w:r w:rsidR="00E769A6">
        <w:t>A</w:t>
      </w:r>
      <w:r w:rsidR="00956D08" w:rsidRPr="00E769A6">
        <w:t>g</w:t>
      </w:r>
      <w:r w:rsidR="00956D08">
        <w:t>encies are encouraged to discuss these considerations with the</w:t>
      </w:r>
      <w:r w:rsidR="00E769A6">
        <w:t xml:space="preserve"> lead agency for implementation</w:t>
      </w:r>
      <w:r w:rsidR="00456846">
        <w:t xml:space="preserve"> (Landgate)</w:t>
      </w:r>
      <w:r w:rsidR="00E769A6">
        <w:t>.</w:t>
      </w:r>
    </w:p>
    <w:p w14:paraId="7EC77543" w14:textId="77777777" w:rsidR="0079542F" w:rsidRDefault="0079542F" w:rsidP="00DD6B76">
      <w:pPr>
        <w:pStyle w:val="Heading2"/>
      </w:pPr>
      <w:r>
        <w:t>Easily discoverable and subject to public input</w:t>
      </w:r>
    </w:p>
    <w:p w14:paraId="44EA82B3" w14:textId="72BE348E" w:rsidR="00826A67" w:rsidRPr="006654F8" w:rsidRDefault="0079542F" w:rsidP="00826A67">
      <w:r>
        <w:t xml:space="preserve">Data </w:t>
      </w:r>
      <w:r w:rsidR="00776531">
        <w:t>will be</w:t>
      </w:r>
      <w:r>
        <w:t xml:space="preserve"> easily </w:t>
      </w:r>
      <w:r w:rsidRPr="00390A0E">
        <w:rPr>
          <w:i/>
        </w:rPr>
        <w:t>discoverable</w:t>
      </w:r>
      <w:r w:rsidR="00776531">
        <w:t xml:space="preserve"> by being </w:t>
      </w:r>
      <w:r w:rsidR="00826A67">
        <w:t xml:space="preserve">accessible through </w:t>
      </w:r>
      <w:r w:rsidR="00536BC6">
        <w:t>the</w:t>
      </w:r>
      <w:r w:rsidR="00ED2E58">
        <w:t xml:space="preserve"> Government of Western Australia</w:t>
      </w:r>
      <w:r w:rsidR="00536BC6">
        <w:t>’s</w:t>
      </w:r>
      <w:r w:rsidR="00ED2E58">
        <w:t xml:space="preserve"> </w:t>
      </w:r>
      <w:r w:rsidR="003C17E0">
        <w:t>online data portal</w:t>
      </w:r>
      <w:r w:rsidR="00826A67">
        <w:t xml:space="preserve"> (</w:t>
      </w:r>
      <w:hyperlink r:id="rId18" w:history="1">
        <w:r w:rsidR="005054AD" w:rsidRPr="00C3713F">
          <w:rPr>
            <w:rStyle w:val="Hyperlink"/>
          </w:rPr>
          <w:t>data.wa.gov.au</w:t>
        </w:r>
      </w:hyperlink>
      <w:r w:rsidR="00826A67" w:rsidRPr="002A23DA">
        <w:rPr>
          <w:rStyle w:val="Hyperlink"/>
          <w:color w:val="auto"/>
          <w:u w:val="none"/>
        </w:rPr>
        <w:t>)</w:t>
      </w:r>
      <w:r w:rsidR="005054AD">
        <w:rPr>
          <w:rStyle w:val="Hyperlink"/>
          <w:color w:val="auto"/>
          <w:u w:val="none"/>
        </w:rPr>
        <w:t>. The portal will provide a</w:t>
      </w:r>
      <w:r w:rsidR="00826A67">
        <w:t xml:space="preserve"> single and convenient point of access to open data in Western Australia. </w:t>
      </w:r>
      <w:r w:rsidR="00576042">
        <w:t>P</w:t>
      </w:r>
      <w:r w:rsidR="00776531" w:rsidRPr="008B7262">
        <w:t xml:space="preserve">ublishing </w:t>
      </w:r>
      <w:r w:rsidR="005054AD">
        <w:t xml:space="preserve">data </w:t>
      </w:r>
      <w:r w:rsidR="00776531" w:rsidRPr="008B7262">
        <w:t xml:space="preserve">with </w:t>
      </w:r>
      <w:r w:rsidR="00776531" w:rsidRPr="008B7262">
        <w:rPr>
          <w:i/>
        </w:rPr>
        <w:t xml:space="preserve">metadata </w:t>
      </w:r>
      <w:r w:rsidR="005054AD" w:rsidRPr="008B7262">
        <w:t xml:space="preserve">will </w:t>
      </w:r>
      <w:r w:rsidR="005054AD">
        <w:t xml:space="preserve">better </w:t>
      </w:r>
      <w:r w:rsidR="005054AD" w:rsidRPr="008B7262">
        <w:t xml:space="preserve">enable users to search </w:t>
      </w:r>
      <w:r w:rsidR="005054AD">
        <w:t xml:space="preserve">for </w:t>
      </w:r>
      <w:r w:rsidR="005054AD" w:rsidRPr="008B7262">
        <w:t xml:space="preserve">and understand </w:t>
      </w:r>
      <w:r w:rsidR="00956D08">
        <w:t xml:space="preserve">how best to use the </w:t>
      </w:r>
      <w:r w:rsidR="005054AD" w:rsidRPr="008B7262">
        <w:t>data.</w:t>
      </w:r>
    </w:p>
    <w:p w14:paraId="73A4F480" w14:textId="77777777" w:rsidR="00826A67" w:rsidRDefault="00826A67" w:rsidP="0079542F">
      <w:pPr>
        <w:rPr>
          <w:highlight w:val="yellow"/>
        </w:rPr>
      </w:pPr>
    </w:p>
    <w:p w14:paraId="1A44CCC9" w14:textId="77777777" w:rsidR="008210EC" w:rsidRDefault="005054AD" w:rsidP="0079542F">
      <w:r>
        <w:t>Opening access to</w:t>
      </w:r>
      <w:r w:rsidR="008C2835">
        <w:t xml:space="preserve"> data facilitates two-way engagement and collaboration between government and the public, industry and other </w:t>
      </w:r>
      <w:r w:rsidR="00826A67">
        <w:t>groups</w:t>
      </w:r>
      <w:r w:rsidR="008C2835">
        <w:t xml:space="preserve">. To support this, </w:t>
      </w:r>
      <w:r w:rsidR="00260401">
        <w:t>there will be</w:t>
      </w:r>
      <w:r w:rsidR="00F17156">
        <w:t xml:space="preserve"> </w:t>
      </w:r>
      <w:r w:rsidR="008210EC">
        <w:t xml:space="preserve">mechanisms </w:t>
      </w:r>
      <w:r w:rsidR="00260401">
        <w:t xml:space="preserve">to </w:t>
      </w:r>
      <w:r w:rsidR="006654F8">
        <w:t>enable</w:t>
      </w:r>
      <w:r w:rsidR="00260401">
        <w:t xml:space="preserve"> </w:t>
      </w:r>
      <w:r>
        <w:t xml:space="preserve">public </w:t>
      </w:r>
      <w:r w:rsidR="00260401">
        <w:t xml:space="preserve">input and engagement surrounding </w:t>
      </w:r>
      <w:r w:rsidR="006654F8">
        <w:t xml:space="preserve">the </w:t>
      </w:r>
      <w:r w:rsidR="00DC7D21">
        <w:t>data and how it is used.</w:t>
      </w:r>
    </w:p>
    <w:p w14:paraId="75FE32D6" w14:textId="70896422" w:rsidR="0079542F" w:rsidRDefault="0079542F" w:rsidP="00DD6B76">
      <w:pPr>
        <w:pStyle w:val="Heading2"/>
      </w:pPr>
      <w:r>
        <w:t>Usable</w:t>
      </w:r>
    </w:p>
    <w:p w14:paraId="0D61F9C2" w14:textId="77777777" w:rsidR="00300D1F" w:rsidRDefault="0079542F" w:rsidP="0079542F">
      <w:r>
        <w:t>Data should be published in</w:t>
      </w:r>
      <w:r w:rsidR="005A3BB0">
        <w:t xml:space="preserve"> </w:t>
      </w:r>
      <w:r w:rsidR="00181496">
        <w:t>internationally recognised</w:t>
      </w:r>
      <w:r w:rsidR="00D42956">
        <w:t>, open standard</w:t>
      </w:r>
      <w:r w:rsidR="00181496">
        <w:t xml:space="preserve"> </w:t>
      </w:r>
      <w:r w:rsidR="00F777C2">
        <w:t>format</w:t>
      </w:r>
      <w:r w:rsidR="00341474">
        <w:t>s</w:t>
      </w:r>
      <w:r w:rsidR="00F777C2">
        <w:t xml:space="preserve"> </w:t>
      </w:r>
      <w:r w:rsidR="00341474">
        <w:t xml:space="preserve">that make it easy to </w:t>
      </w:r>
      <w:r w:rsidRPr="006654F8">
        <w:t>use</w:t>
      </w:r>
      <w:r w:rsidR="00341474">
        <w:t xml:space="preserve"> and</w:t>
      </w:r>
      <w:r w:rsidRPr="006654F8">
        <w:t xml:space="preserve"> </w:t>
      </w:r>
      <w:r w:rsidRPr="00956D08">
        <w:t>transform</w:t>
      </w:r>
      <w:r w:rsidR="00341474">
        <w:t xml:space="preserve"> – th</w:t>
      </w:r>
      <w:r w:rsidR="00181496">
        <w:t xml:space="preserve">at is, formats that are </w:t>
      </w:r>
      <w:r w:rsidR="00181496">
        <w:rPr>
          <w:i/>
        </w:rPr>
        <w:t xml:space="preserve">non-proprietary </w:t>
      </w:r>
      <w:r w:rsidR="00181496">
        <w:t xml:space="preserve">and </w:t>
      </w:r>
      <w:r w:rsidR="00181496">
        <w:rPr>
          <w:i/>
        </w:rPr>
        <w:t>machine-readable.</w:t>
      </w:r>
      <w:r w:rsidR="00341474">
        <w:t xml:space="preserve"> </w:t>
      </w:r>
    </w:p>
    <w:p w14:paraId="483E2CC1" w14:textId="77777777" w:rsidR="00300D1F" w:rsidRDefault="00300D1F" w:rsidP="0079542F"/>
    <w:p w14:paraId="33F13919" w14:textId="02B72CCC" w:rsidR="00F17156" w:rsidRDefault="00341474" w:rsidP="0079542F">
      <w:r>
        <w:t xml:space="preserve">Publishing </w:t>
      </w:r>
      <w:r w:rsidR="00ED2E58">
        <w:t xml:space="preserve">raw </w:t>
      </w:r>
      <w:r>
        <w:t>data</w:t>
      </w:r>
      <w:r w:rsidR="0079542F">
        <w:t xml:space="preserve"> as collected at the source, with a high level of </w:t>
      </w:r>
      <w:r w:rsidR="0079542F" w:rsidRPr="00390A0E">
        <w:rPr>
          <w:i/>
        </w:rPr>
        <w:t>granularity</w:t>
      </w:r>
      <w:r w:rsidR="0079542F">
        <w:t xml:space="preserve">, </w:t>
      </w:r>
      <w:r w:rsidR="007A469E">
        <w:t xml:space="preserve">is </w:t>
      </w:r>
      <w:r w:rsidR="00C13D1B">
        <w:t>preferred</w:t>
      </w:r>
      <w:r w:rsidR="00E93C50">
        <w:t xml:space="preserve"> where appropriate</w:t>
      </w:r>
      <w:r w:rsidR="00C13D1B">
        <w:t>;</w:t>
      </w:r>
      <w:r w:rsidR="006654F8">
        <w:t xml:space="preserve"> however some data may </w:t>
      </w:r>
      <w:r w:rsidR="00845537">
        <w:t xml:space="preserve">be </w:t>
      </w:r>
      <w:r w:rsidR="00956D08">
        <w:t xml:space="preserve">best published </w:t>
      </w:r>
      <w:r w:rsidR="006654F8">
        <w:t xml:space="preserve">in </w:t>
      </w:r>
      <w:r w:rsidR="0079542F" w:rsidRPr="00FE3F9F">
        <w:rPr>
          <w:i/>
        </w:rPr>
        <w:t>aggregate</w:t>
      </w:r>
      <w:r w:rsidR="0079542F" w:rsidRPr="008B7262">
        <w:t xml:space="preserve"> </w:t>
      </w:r>
      <w:r w:rsidR="0079542F">
        <w:t>or modified forms</w:t>
      </w:r>
      <w:r w:rsidR="00956D08">
        <w:t>, for example where the considerations outlined in section 6.4 apply</w:t>
      </w:r>
      <w:r w:rsidR="0079542F">
        <w:t>.</w:t>
      </w:r>
      <w:r w:rsidR="00484F94">
        <w:t xml:space="preserve"> </w:t>
      </w:r>
    </w:p>
    <w:p w14:paraId="48284993" w14:textId="77777777" w:rsidR="00F17156" w:rsidRDefault="00F17156" w:rsidP="0079542F"/>
    <w:p w14:paraId="4C9B6FE8" w14:textId="77777777" w:rsidR="00E60291" w:rsidRDefault="005A3BB0" w:rsidP="00E60291">
      <w:r>
        <w:t xml:space="preserve">Data </w:t>
      </w:r>
      <w:r w:rsidR="000C25A0">
        <w:t>should be</w:t>
      </w:r>
      <w:r>
        <w:t xml:space="preserve"> licensed appropri</w:t>
      </w:r>
      <w:r w:rsidR="00F777C2">
        <w:t>ately by agencies</w:t>
      </w:r>
      <w:r w:rsidR="005054AD">
        <w:t xml:space="preserve"> with clear terms surrounding </w:t>
      </w:r>
      <w:r w:rsidR="00CD4138">
        <w:rPr>
          <w:i/>
        </w:rPr>
        <w:t xml:space="preserve">copyright </w:t>
      </w:r>
      <w:r w:rsidR="00CD4138">
        <w:t xml:space="preserve">and </w:t>
      </w:r>
      <w:r w:rsidR="005054AD">
        <w:t>use</w:t>
      </w:r>
      <w:r w:rsidR="00F777C2">
        <w:t>.</w:t>
      </w:r>
      <w:r w:rsidR="00B520C7">
        <w:t xml:space="preserve"> </w:t>
      </w:r>
      <w:r w:rsidR="00E0665A">
        <w:t>Where possible and appropriate</w:t>
      </w:r>
      <w:r w:rsidR="00CD4138">
        <w:t>,</w:t>
      </w:r>
      <w:r w:rsidR="00E60291">
        <w:t xml:space="preserve"> a</w:t>
      </w:r>
      <w:r w:rsidR="00ED2E58">
        <w:t xml:space="preserve"> non-restrictive </w:t>
      </w:r>
      <w:r w:rsidR="00E60291">
        <w:t>licence should be used to promote maximum dissemination and reuse of the data</w:t>
      </w:r>
      <w:r w:rsidR="0054732A">
        <w:t>.</w:t>
      </w:r>
    </w:p>
    <w:p w14:paraId="0220F984" w14:textId="77777777" w:rsidR="008F276E" w:rsidRDefault="008F276E" w:rsidP="00E60291"/>
    <w:p w14:paraId="4610F573" w14:textId="77777777" w:rsidR="008F276E" w:rsidRDefault="008F276E" w:rsidP="00E60291">
      <w:r>
        <w:t>Agencies are encouraged to use existing licensing arrangements applied to their data where this makes the data available according to the principles of the Policy. Where these are not suitable, or there is no existing licence in place, standardised licensing frameworks</w:t>
      </w:r>
      <w:r w:rsidR="004A1EE9">
        <w:t>,</w:t>
      </w:r>
      <w:r>
        <w:t xml:space="preserve"> such </w:t>
      </w:r>
      <w:r w:rsidR="004A1EE9">
        <w:t xml:space="preserve">as </w:t>
      </w:r>
      <w:r>
        <w:rPr>
          <w:i/>
        </w:rPr>
        <w:t>Creative Commons</w:t>
      </w:r>
      <w:r w:rsidR="004A1EE9">
        <w:t>,</w:t>
      </w:r>
      <w:r>
        <w:rPr>
          <w:i/>
        </w:rPr>
        <w:t xml:space="preserve"> </w:t>
      </w:r>
      <w:r>
        <w:t xml:space="preserve">may be useful. </w:t>
      </w:r>
      <w:r w:rsidR="004A1EE9">
        <w:t>T</w:t>
      </w:r>
      <w:r>
        <w:t xml:space="preserve">he </w:t>
      </w:r>
      <w:r>
        <w:rPr>
          <w:i/>
        </w:rPr>
        <w:t xml:space="preserve">Creative Commons Attribution </w:t>
      </w:r>
      <w:r w:rsidR="004A1EE9" w:rsidRPr="00552C82">
        <w:rPr>
          <w:i/>
        </w:rPr>
        <w:t>(CC BY)</w:t>
      </w:r>
      <w:r w:rsidR="004A1EE9">
        <w:t xml:space="preserve"> licence</w:t>
      </w:r>
      <w:r w:rsidR="004A1EE9" w:rsidRPr="004A1EE9">
        <w:t xml:space="preserve">, for example, </w:t>
      </w:r>
      <w:r w:rsidRPr="004A1EE9">
        <w:t>is consistent wit</w:t>
      </w:r>
      <w:r w:rsidR="004A1EE9" w:rsidRPr="004A1EE9">
        <w:t xml:space="preserve">h the principles of the Policy. However, it should be noted that once a </w:t>
      </w:r>
      <w:r w:rsidR="004A1EE9" w:rsidRPr="004A1EE9">
        <w:rPr>
          <w:i/>
        </w:rPr>
        <w:t>Creative Commons</w:t>
      </w:r>
      <w:r w:rsidR="004A1EE9" w:rsidRPr="004A1EE9">
        <w:t xml:space="preserve"> licence has been implemented, it cannot be revoked</w:t>
      </w:r>
      <w:r w:rsidR="004A1EE9">
        <w:t>.</w:t>
      </w:r>
    </w:p>
    <w:p w14:paraId="13A514F9" w14:textId="77777777" w:rsidR="004A1EE9" w:rsidRDefault="004A1EE9" w:rsidP="00E60291"/>
    <w:p w14:paraId="3F2256EB" w14:textId="77777777" w:rsidR="004B0747" w:rsidRDefault="004A1EE9" w:rsidP="00365BCA">
      <w:r w:rsidRPr="004A1EE9">
        <w:t xml:space="preserve">There may be instances where agencies are required to set out special copyright arrangements; legislation stipulates a particular copyright position; or a more restrictive licence to those provided under </w:t>
      </w:r>
      <w:r w:rsidRPr="004A1EE9">
        <w:rPr>
          <w:i/>
        </w:rPr>
        <w:t xml:space="preserve">Creative Commons </w:t>
      </w:r>
      <w:r w:rsidRPr="004A1EE9">
        <w:t xml:space="preserve">is required. </w:t>
      </w:r>
      <w:r w:rsidR="00D16215" w:rsidRPr="004A1EE9">
        <w:t xml:space="preserve">Agencies should check </w:t>
      </w:r>
      <w:r w:rsidR="00E0665A" w:rsidRPr="004A1EE9">
        <w:t xml:space="preserve">and consider </w:t>
      </w:r>
      <w:r w:rsidR="00D16215" w:rsidRPr="004A1EE9">
        <w:t>their own requirements prior to publishing data.</w:t>
      </w:r>
    </w:p>
    <w:p w14:paraId="236D53A2" w14:textId="77777777" w:rsidR="00D16215" w:rsidRDefault="00D16215" w:rsidP="00365BCA"/>
    <w:p w14:paraId="342E34A9" w14:textId="70253189" w:rsidR="00260974" w:rsidRPr="00A53C9C" w:rsidRDefault="00CD4138" w:rsidP="0079542F">
      <w:r w:rsidRPr="00447841">
        <w:t xml:space="preserve">Data may have inherent intellectual property </w:t>
      </w:r>
      <w:r w:rsidR="00AE7350" w:rsidRPr="00447841">
        <w:t xml:space="preserve">and </w:t>
      </w:r>
      <w:r w:rsidRPr="00447841">
        <w:t>deliver more value and better outcomes for the State when</w:t>
      </w:r>
      <w:r w:rsidRPr="00447841">
        <w:rPr>
          <w:color w:val="1F497D"/>
        </w:rPr>
        <w:t xml:space="preserve"> </w:t>
      </w:r>
      <w:r w:rsidRPr="00447841">
        <w:t xml:space="preserve">access </w:t>
      </w:r>
      <w:r w:rsidR="002B4032">
        <w:t xml:space="preserve">to the data </w:t>
      </w:r>
      <w:r w:rsidR="00AE7350" w:rsidRPr="00447841">
        <w:t xml:space="preserve">is </w:t>
      </w:r>
      <w:r w:rsidR="00264E6E" w:rsidRPr="00447841">
        <w:t>managed</w:t>
      </w:r>
      <w:r w:rsidR="00141622" w:rsidRPr="00447841">
        <w:t xml:space="preserve"> appropriately</w:t>
      </w:r>
      <w:r w:rsidRPr="00447841">
        <w:t xml:space="preserve">. Agencies should consider the </w:t>
      </w:r>
      <w:hyperlink r:id="rId19" w:tgtFrame="_blank" w:history="1">
        <w:r w:rsidR="003F1547" w:rsidRPr="00C3713F">
          <w:rPr>
            <w:rStyle w:val="Hyperlink"/>
          </w:rPr>
          <w:t>Western Australian Government Intellectual Property Policy 2015</w:t>
        </w:r>
      </w:hyperlink>
      <w:r w:rsidR="00536BC6">
        <w:t>,</w:t>
      </w:r>
      <w:r w:rsidRPr="00447841">
        <w:t xml:space="preserve"> which provides guidance on the development, management and use of intellectual property assets, including data.</w:t>
      </w:r>
    </w:p>
    <w:p w14:paraId="6BA703D2" w14:textId="77777777" w:rsidR="009D07B8" w:rsidRDefault="009D07B8" w:rsidP="00DD6B76">
      <w:pPr>
        <w:pStyle w:val="Heading2"/>
      </w:pPr>
      <w:r>
        <w:t>Protected where required</w:t>
      </w:r>
    </w:p>
    <w:p w14:paraId="014A739F" w14:textId="77777777" w:rsidR="00013F8F" w:rsidRDefault="00536BC6" w:rsidP="009D07B8">
      <w:r>
        <w:t xml:space="preserve">A large amount of data collected by the public sector will </w:t>
      </w:r>
      <w:r w:rsidR="00933D57">
        <w:t>be suitable for public release</w:t>
      </w:r>
      <w:r w:rsidR="00ED5712">
        <w:t>.</w:t>
      </w:r>
      <w:r w:rsidR="00933D57">
        <w:t xml:space="preserve"> </w:t>
      </w:r>
      <w:r w:rsidR="00ED5712">
        <w:t>H</w:t>
      </w:r>
      <w:r w:rsidR="00933D57">
        <w:t>owever</w:t>
      </w:r>
      <w:r w:rsidR="00905EF8">
        <w:t>,</w:t>
      </w:r>
      <w:r w:rsidR="00933D57">
        <w:t xml:space="preserve"> there are instances </w:t>
      </w:r>
      <w:r w:rsidR="008A134A">
        <w:t>whe</w:t>
      </w:r>
      <w:r w:rsidR="00ED5712">
        <w:t>re the data should be protected and</w:t>
      </w:r>
      <w:r>
        <w:t xml:space="preserve"> thus, access restricted </w:t>
      </w:r>
      <w:r w:rsidR="00905EF8">
        <w:t xml:space="preserve">or </w:t>
      </w:r>
      <w:r>
        <w:t xml:space="preserve">precluded, </w:t>
      </w:r>
      <w:r w:rsidR="00ED5712">
        <w:t>including:</w:t>
      </w:r>
    </w:p>
    <w:p w14:paraId="204256A2" w14:textId="77777777" w:rsidR="009D07B8" w:rsidRPr="00872E36" w:rsidRDefault="009D07B8" w:rsidP="000A2545">
      <w:pPr>
        <w:pStyle w:val="ListParagraph"/>
      </w:pPr>
      <w:r w:rsidRPr="00872E36">
        <w:t xml:space="preserve">privacy – where personal </w:t>
      </w:r>
      <w:r w:rsidR="00D16A41" w:rsidRPr="00872E36">
        <w:t xml:space="preserve">or sensitive </w:t>
      </w:r>
      <w:r w:rsidRPr="00872E36">
        <w:t>information is involved</w:t>
      </w:r>
      <w:r w:rsidR="0026354D">
        <w:t xml:space="preserve"> that can </w:t>
      </w:r>
      <w:r w:rsidR="00456846">
        <w:t xml:space="preserve">be </w:t>
      </w:r>
      <w:r w:rsidR="0026354D">
        <w:t>identif</w:t>
      </w:r>
      <w:r w:rsidR="00456846">
        <w:t>ied for</w:t>
      </w:r>
      <w:r w:rsidR="0026354D">
        <w:t xml:space="preserve"> an individual</w:t>
      </w:r>
      <w:r w:rsidR="00A33074" w:rsidRPr="00872E36">
        <w:t>, or may be involved as a</w:t>
      </w:r>
      <w:r w:rsidR="00AE7350" w:rsidRPr="00872E36">
        <w:t>n unintended</w:t>
      </w:r>
      <w:r w:rsidR="00A33074" w:rsidRPr="00872E36">
        <w:t xml:space="preserve"> result of </w:t>
      </w:r>
      <w:r w:rsidR="00A33074" w:rsidRPr="00872E36">
        <w:rPr>
          <w:i/>
        </w:rPr>
        <w:t xml:space="preserve">data </w:t>
      </w:r>
      <w:r w:rsidR="00341474" w:rsidRPr="00872E36">
        <w:rPr>
          <w:i/>
        </w:rPr>
        <w:t>linking</w:t>
      </w:r>
      <w:r w:rsidR="00872E36" w:rsidRPr="00872E36">
        <w:t xml:space="preserve"> or combination</w:t>
      </w:r>
      <w:r w:rsidR="00536BC6">
        <w:t xml:space="preserve"> (</w:t>
      </w:r>
      <w:r w:rsidR="00837AEC" w:rsidRPr="00872E36">
        <w:t>see below for more information</w:t>
      </w:r>
      <w:r w:rsidR="00536BC6">
        <w:t>)</w:t>
      </w:r>
      <w:r w:rsidR="00837AEC" w:rsidRPr="00872E36">
        <w:t>;</w:t>
      </w:r>
    </w:p>
    <w:p w14:paraId="2C023D5A" w14:textId="77777777" w:rsidR="009D07B8" w:rsidRPr="00872E36" w:rsidRDefault="009D07B8" w:rsidP="000A2545">
      <w:pPr>
        <w:pStyle w:val="ListParagraph"/>
      </w:pPr>
      <w:r w:rsidRPr="00872E36">
        <w:t>security – because of the nature of the data or information;</w:t>
      </w:r>
    </w:p>
    <w:p w14:paraId="6CF86306" w14:textId="77777777" w:rsidR="009D07B8" w:rsidRPr="00872E36" w:rsidRDefault="009D07B8" w:rsidP="000A2545">
      <w:pPr>
        <w:pStyle w:val="ListParagraph"/>
      </w:pPr>
      <w:r w:rsidRPr="00872E36">
        <w:t xml:space="preserve">confidentiality – arising because of the nature of the data or information itself or because a contractual </w:t>
      </w:r>
      <w:r w:rsidR="00956D08">
        <w:t>arrangement</w:t>
      </w:r>
      <w:r w:rsidR="00956D08" w:rsidRPr="00872E36">
        <w:t xml:space="preserve"> </w:t>
      </w:r>
      <w:r w:rsidRPr="00872E36">
        <w:t>has been made in relation to the data or information;</w:t>
      </w:r>
    </w:p>
    <w:p w14:paraId="0FFBBDA7" w14:textId="77777777" w:rsidR="00956D08" w:rsidRDefault="00536BC6" w:rsidP="000A2545">
      <w:pPr>
        <w:pStyle w:val="ListParagraph"/>
      </w:pPr>
      <w:r>
        <w:t>legal privilege – attached</w:t>
      </w:r>
      <w:r w:rsidR="009D07B8" w:rsidRPr="00872E36">
        <w:t xml:space="preserve"> to certain legal advice;</w:t>
      </w:r>
      <w:r w:rsidR="00857259" w:rsidRPr="00872E36">
        <w:t xml:space="preserve"> </w:t>
      </w:r>
    </w:p>
    <w:p w14:paraId="47A77115" w14:textId="77777777" w:rsidR="009D07B8" w:rsidRPr="00872E36" w:rsidRDefault="00956D08" w:rsidP="000A2545">
      <w:pPr>
        <w:pStyle w:val="ListParagraph"/>
      </w:pPr>
      <w:r>
        <w:t xml:space="preserve">commercial – </w:t>
      </w:r>
      <w:r w:rsidR="00536BC6">
        <w:t xml:space="preserve">such as </w:t>
      </w:r>
      <w:r w:rsidR="00905EF8">
        <w:t>commercial-in-confidence</w:t>
      </w:r>
      <w:r>
        <w:t>, patent pending or intel</w:t>
      </w:r>
      <w:r w:rsidR="00ED5712">
        <w:t>lectual property considerations</w:t>
      </w:r>
      <w:r>
        <w:t xml:space="preserve">; </w:t>
      </w:r>
      <w:r w:rsidR="00536BC6">
        <w:t>and</w:t>
      </w:r>
    </w:p>
    <w:p w14:paraId="7DA9FC0E" w14:textId="77777777" w:rsidR="00933D57" w:rsidRPr="00872E36" w:rsidRDefault="009D07B8" w:rsidP="009D07B8">
      <w:pPr>
        <w:pStyle w:val="ListParagraph"/>
      </w:pPr>
      <w:r w:rsidRPr="00872E36">
        <w:t xml:space="preserve">public interest – if there are public interest considerations against </w:t>
      </w:r>
      <w:r w:rsidR="00837AEC" w:rsidRPr="00872E36">
        <w:t xml:space="preserve">release </w:t>
      </w:r>
      <w:r w:rsidRPr="00872E36">
        <w:t xml:space="preserve">and, on balance, those considerations outweigh the public interest considerations in favour of </w:t>
      </w:r>
      <w:r w:rsidR="00837AEC" w:rsidRPr="00872E36">
        <w:t>release</w:t>
      </w:r>
      <w:r w:rsidRPr="00872E36">
        <w:t>.</w:t>
      </w:r>
    </w:p>
    <w:p w14:paraId="7D37A596" w14:textId="77777777" w:rsidR="008B7262" w:rsidRDefault="008B7262" w:rsidP="00390A0E"/>
    <w:p w14:paraId="5AD8591C" w14:textId="77777777" w:rsidR="008B7262" w:rsidRDefault="008B7262" w:rsidP="00390A0E">
      <w:r>
        <w:t>Before releasing data, agencies should carefu</w:t>
      </w:r>
      <w:r w:rsidR="00837AEC">
        <w:t>l</w:t>
      </w:r>
      <w:r>
        <w:t>l</w:t>
      </w:r>
      <w:r w:rsidR="00837AEC">
        <w:t>y</w:t>
      </w:r>
      <w:r>
        <w:t xml:space="preserve"> consider an</w:t>
      </w:r>
      <w:r w:rsidR="00837AEC">
        <w:t>d address any privacy concerns</w:t>
      </w:r>
      <w:r w:rsidR="00536BC6">
        <w:t>. That is, d</w:t>
      </w:r>
      <w:r>
        <w:t>ata that is released must not be</w:t>
      </w:r>
      <w:r w:rsidR="00837AEC">
        <w:t>, or able to be,</w:t>
      </w:r>
      <w:r>
        <w:t xml:space="preserve"> associated with any individual</w:t>
      </w:r>
      <w:r w:rsidR="00837AEC">
        <w:t>.</w:t>
      </w:r>
      <w:r w:rsidR="00B25696">
        <w:t xml:space="preserve"> Agencies may need to de-identify data, which mean</w:t>
      </w:r>
      <w:r w:rsidR="00FF0F2C">
        <w:t>s</w:t>
      </w:r>
      <w:r w:rsidR="00B25696">
        <w:t xml:space="preserve"> removing anything that can identify a person. Caution needs to be exercised</w:t>
      </w:r>
      <w:r w:rsidR="00837AEC">
        <w:t xml:space="preserve"> where disparate datasets, individually de-identified, could potentially be linked or </w:t>
      </w:r>
      <w:r w:rsidR="00872E36">
        <w:t>combined</w:t>
      </w:r>
      <w:r w:rsidR="00837AEC">
        <w:t xml:space="preserve"> to re-identify individuals.</w:t>
      </w:r>
    </w:p>
    <w:p w14:paraId="38DF7D7C" w14:textId="77777777" w:rsidR="00691B8F" w:rsidRDefault="00691B8F" w:rsidP="00390A0E"/>
    <w:p w14:paraId="70DDD09D" w14:textId="20469480" w:rsidR="00691B8F" w:rsidRDefault="00691B8F" w:rsidP="00390A0E">
      <w:r w:rsidRPr="00691B8F">
        <w:t xml:space="preserve">Agencies should </w:t>
      </w:r>
      <w:r w:rsidR="00300D1F">
        <w:t xml:space="preserve">classify their information in accordance with the </w:t>
      </w:r>
      <w:hyperlink r:id="rId20" w:history="1">
        <w:r w:rsidR="00300D1F" w:rsidRPr="00C3713F">
          <w:rPr>
            <w:rStyle w:val="Hyperlink"/>
          </w:rPr>
          <w:t>WA Information Classification Policy</w:t>
        </w:r>
      </w:hyperlink>
      <w:r w:rsidR="00300D1F">
        <w:t xml:space="preserve"> to understand </w:t>
      </w:r>
      <w:r w:rsidR="00BA26E9">
        <w:t xml:space="preserve">the sensitivity of their data assets. Agencies can then apply appropriate controls including </w:t>
      </w:r>
      <w:r w:rsidRPr="00691B8F">
        <w:t xml:space="preserve"> own specific legislative provisions </w:t>
      </w:r>
      <w:r>
        <w:t>relating</w:t>
      </w:r>
      <w:r w:rsidRPr="00691B8F">
        <w:t xml:space="preserve"> </w:t>
      </w:r>
      <w:r w:rsidR="00536BC6">
        <w:t xml:space="preserve">to </w:t>
      </w:r>
      <w:r w:rsidRPr="00691B8F">
        <w:t>the release of data and information.</w:t>
      </w:r>
    </w:p>
    <w:p w14:paraId="08991DAF" w14:textId="77777777" w:rsidR="00057AA3" w:rsidRDefault="00057AA3" w:rsidP="00DD6B76">
      <w:pPr>
        <w:pStyle w:val="Heading2"/>
      </w:pPr>
      <w:r>
        <w:t>Timely</w:t>
      </w:r>
    </w:p>
    <w:p w14:paraId="751485C8" w14:textId="77777777" w:rsidR="00136F0C" w:rsidRDefault="005C16E8" w:rsidP="00136F0C">
      <w:r>
        <w:t>Data should</w:t>
      </w:r>
      <w:r w:rsidR="002C22EC">
        <w:t xml:space="preserve"> </w:t>
      </w:r>
      <w:r w:rsidR="006640D1">
        <w:t xml:space="preserve">be as up-to-date as possible and </w:t>
      </w:r>
      <w:r w:rsidR="002C22EC">
        <w:t>made available</w:t>
      </w:r>
      <w:r w:rsidR="006640D1">
        <w:t xml:space="preserve"> to users</w:t>
      </w:r>
      <w:r w:rsidR="00260974">
        <w:t xml:space="preserve"> in a timely</w:t>
      </w:r>
      <w:r w:rsidR="000B40E0">
        <w:t xml:space="preserve"> manner.</w:t>
      </w:r>
      <w:r w:rsidR="00260974">
        <w:t xml:space="preserve"> </w:t>
      </w:r>
      <w:r w:rsidR="002C22EC">
        <w:t xml:space="preserve">Agencies should clearly state the </w:t>
      </w:r>
      <w:r w:rsidR="00136F0C">
        <w:t xml:space="preserve">date(s) of </w:t>
      </w:r>
      <w:r w:rsidR="002C22EC">
        <w:t xml:space="preserve">data </w:t>
      </w:r>
      <w:r w:rsidR="00136F0C">
        <w:t xml:space="preserve">collection and publishing so as to permit </w:t>
      </w:r>
      <w:r w:rsidR="006640D1">
        <w:t>users</w:t>
      </w:r>
      <w:r w:rsidR="00136F0C">
        <w:t xml:space="preserve"> </w:t>
      </w:r>
      <w:r w:rsidR="00136F0C">
        <w:lastRenderedPageBreak/>
        <w:t xml:space="preserve">to make a judgement on the currency of the dataset. As data </w:t>
      </w:r>
      <w:r w:rsidR="002A23DA">
        <w:t>is</w:t>
      </w:r>
      <w:r w:rsidR="00136F0C">
        <w:t xml:space="preserve"> updated</w:t>
      </w:r>
      <w:r w:rsidR="006640D1">
        <w:t>,</w:t>
      </w:r>
      <w:r w:rsidR="00136F0C">
        <w:t xml:space="preserve"> agencies </w:t>
      </w:r>
      <w:r w:rsidR="00437333">
        <w:t>should</w:t>
      </w:r>
      <w:r w:rsidR="00136F0C">
        <w:t xml:space="preserve"> aim to make </w:t>
      </w:r>
      <w:r w:rsidR="000B40E0">
        <w:t>it</w:t>
      </w:r>
      <w:r w:rsidR="00136F0C">
        <w:t xml:space="preserve"> available as soon as </w:t>
      </w:r>
      <w:r w:rsidR="00F84B40">
        <w:t>possible</w:t>
      </w:r>
      <w:r w:rsidR="000B40E0">
        <w:t xml:space="preserve">, or on </w:t>
      </w:r>
      <w:r w:rsidR="000B40E0" w:rsidRPr="00974F78">
        <w:t xml:space="preserve">a </w:t>
      </w:r>
      <w:r w:rsidR="000B40E0" w:rsidRPr="00390A0E">
        <w:t>consistent periodic basis</w:t>
      </w:r>
      <w:r w:rsidR="00136F0C" w:rsidRPr="00974F78">
        <w:t>.</w:t>
      </w:r>
    </w:p>
    <w:p w14:paraId="2F5D473D" w14:textId="7AC430CF" w:rsidR="00437333" w:rsidRDefault="002A35B4" w:rsidP="00DD6B76">
      <w:pPr>
        <w:pStyle w:val="Heading1"/>
      </w:pPr>
      <w:r>
        <w:t>IMPLEMENTATION</w:t>
      </w:r>
    </w:p>
    <w:p w14:paraId="2882B31F" w14:textId="77777777" w:rsidR="00437333" w:rsidRDefault="00625CF6" w:rsidP="00437333">
      <w:r>
        <w:t xml:space="preserve">Implementation and maintenance of the Policy </w:t>
      </w:r>
      <w:r w:rsidRPr="00852150">
        <w:t xml:space="preserve">will be </w:t>
      </w:r>
      <w:r w:rsidRPr="00390A0E">
        <w:t>led by Landgate</w:t>
      </w:r>
      <w:r w:rsidR="00852150" w:rsidRPr="00852150">
        <w:t>.</w:t>
      </w:r>
    </w:p>
    <w:p w14:paraId="391E7C70" w14:textId="77777777" w:rsidR="00F875FF" w:rsidRDefault="00F875FF" w:rsidP="00F875FF"/>
    <w:p w14:paraId="619895CC" w14:textId="6DC78DF6" w:rsidR="00253A8F" w:rsidRDefault="00253A8F" w:rsidP="00F875FF">
      <w:r>
        <w:t xml:space="preserve">This Policy will build on the </w:t>
      </w:r>
      <w:r w:rsidR="00BA5CEA">
        <w:t xml:space="preserve">Western Australian Government’s success in opening access to </w:t>
      </w:r>
      <w:r w:rsidR="00956D08">
        <w:t xml:space="preserve">location-based </w:t>
      </w:r>
      <w:r w:rsidR="00BA5CEA">
        <w:t xml:space="preserve">data through the </w:t>
      </w:r>
      <w:r w:rsidR="001969C8">
        <w:t xml:space="preserve">Open Data Portal </w:t>
      </w:r>
      <w:hyperlink r:id="rId21" w:history="1">
        <w:r w:rsidR="001969C8" w:rsidRPr="00C3713F">
          <w:rPr>
            <w:rStyle w:val="Hyperlink"/>
          </w:rPr>
          <w:t>data.wa.gov.au</w:t>
        </w:r>
      </w:hyperlink>
      <w:r w:rsidR="001969C8">
        <w:t xml:space="preserve">, </w:t>
      </w:r>
      <w:r>
        <w:t xml:space="preserve">and the </w:t>
      </w:r>
      <w:r w:rsidRPr="009A3C4F">
        <w:t>Shared Location Information Platform (SLIP)</w:t>
      </w:r>
      <w:r w:rsidR="00456846">
        <w:t xml:space="preserve"> established by Landgate</w:t>
      </w:r>
      <w:r w:rsidR="00141D0D">
        <w:t>.</w:t>
      </w:r>
    </w:p>
    <w:p w14:paraId="35B7AD65" w14:textId="77777777" w:rsidR="00253A8F" w:rsidRDefault="00253A8F" w:rsidP="00F875FF"/>
    <w:p w14:paraId="6283BFF3" w14:textId="77777777" w:rsidR="00F40DF8" w:rsidRDefault="00F40DF8" w:rsidP="00F40DF8">
      <w:r w:rsidRPr="00EF5992">
        <w:t>I</w:t>
      </w:r>
      <w:r w:rsidR="0004034F">
        <w:t>mplementation of this Policy</w:t>
      </w:r>
      <w:r w:rsidRPr="00EF5992">
        <w:t xml:space="preserve"> will be a progressive and evolving process</w:t>
      </w:r>
      <w:r w:rsidR="005558C8">
        <w:t>.</w:t>
      </w:r>
      <w:r w:rsidRPr="00EF5992">
        <w:t xml:space="preserve"> </w:t>
      </w:r>
      <w:r w:rsidR="005558C8">
        <w:t>I</w:t>
      </w:r>
      <w:r w:rsidRPr="00EF5992">
        <w:t>t is not expected that agencies will immediately assume a level of</w:t>
      </w:r>
      <w:r>
        <w:t xml:space="preserve"> </w:t>
      </w:r>
      <w:r w:rsidRPr="00EF5992">
        <w:rPr>
          <w:i/>
        </w:rPr>
        <w:t>open data maturity</w:t>
      </w:r>
      <w:r w:rsidRPr="00EF5992">
        <w:t xml:space="preserve">. Rather, agencies are encouraged to consider their current </w:t>
      </w:r>
      <w:r w:rsidR="00931FB0">
        <w:t>level</w:t>
      </w:r>
      <w:r w:rsidRPr="00EF5992">
        <w:t xml:space="preserve"> and move progressively towards </w:t>
      </w:r>
      <w:r w:rsidR="00931FB0">
        <w:t xml:space="preserve">a position of </w:t>
      </w:r>
      <w:r w:rsidRPr="00EF5992">
        <w:t>data openness</w:t>
      </w:r>
      <w:r>
        <w:t xml:space="preserve"> </w:t>
      </w:r>
      <w:r w:rsidRPr="00EF5992">
        <w:t>as outlined in this Policy</w:t>
      </w:r>
      <w:r w:rsidR="00931FB0">
        <w:t>.</w:t>
      </w:r>
    </w:p>
    <w:p w14:paraId="7367B952" w14:textId="77777777" w:rsidR="00FE724E" w:rsidRDefault="00FE724E" w:rsidP="00FE724E"/>
    <w:p w14:paraId="6AD06CEF" w14:textId="77777777" w:rsidR="00397AFA" w:rsidRDefault="004A1EE9" w:rsidP="00397AFA">
      <w:r>
        <w:t xml:space="preserve">Agencies should </w:t>
      </w:r>
      <w:r w:rsidR="00852150">
        <w:t>g</w:t>
      </w:r>
      <w:r w:rsidR="00397AFA">
        <w:t>iv</w:t>
      </w:r>
      <w:r w:rsidR="00852150">
        <w:t>e</w:t>
      </w:r>
      <w:r w:rsidR="00397AFA">
        <w:t xml:space="preserve"> consideration to how </w:t>
      </w:r>
      <w:r w:rsidR="008B21A6">
        <w:t xml:space="preserve">they can </w:t>
      </w:r>
      <w:r w:rsidR="00397AFA">
        <w:t xml:space="preserve">collect </w:t>
      </w:r>
      <w:r w:rsidR="008B21A6">
        <w:t>and manage</w:t>
      </w:r>
      <w:r w:rsidR="00397AFA">
        <w:t xml:space="preserve"> </w:t>
      </w:r>
      <w:r w:rsidR="008B21A6">
        <w:t xml:space="preserve">their data </w:t>
      </w:r>
      <w:r w:rsidR="00397AFA">
        <w:t xml:space="preserve">in a way that supports </w:t>
      </w:r>
      <w:r w:rsidR="00470381">
        <w:t xml:space="preserve">both </w:t>
      </w:r>
      <w:r w:rsidR="00397AFA">
        <w:t xml:space="preserve">downstream data processing and the release of data to the public in manners consistent with the </w:t>
      </w:r>
      <w:r w:rsidR="00470381">
        <w:t>Policy</w:t>
      </w:r>
      <w:r w:rsidR="00397AFA">
        <w:t xml:space="preserve"> </w:t>
      </w:r>
      <w:r w:rsidR="00470381">
        <w:t>(</w:t>
      </w:r>
      <w:r w:rsidR="00397AFA">
        <w:t>and without the need for costly retrofitting</w:t>
      </w:r>
      <w:r w:rsidR="00470381">
        <w:t>)</w:t>
      </w:r>
      <w:r w:rsidR="00C327B9">
        <w:t xml:space="preserve">. </w:t>
      </w:r>
      <w:r w:rsidR="00470381">
        <w:t>Agencies should also consider how they</w:t>
      </w:r>
      <w:r w:rsidR="008A0FC8">
        <w:t xml:space="preserve"> </w:t>
      </w:r>
      <w:r w:rsidR="00397AFA">
        <w:t xml:space="preserve">will effectively manage </w:t>
      </w:r>
      <w:r w:rsidR="008B21A6">
        <w:t>their data as an asset</w:t>
      </w:r>
      <w:r w:rsidR="00397AFA">
        <w:t>, such as by keeping a data inventory or asset register.</w:t>
      </w:r>
      <w:r>
        <w:t xml:space="preserve"> To support this, agencies are encouraged to develop their own agency-level open data policy, or incorporate open data into an existing data or information management policy.</w:t>
      </w:r>
    </w:p>
    <w:p w14:paraId="58EFF067" w14:textId="77777777" w:rsidR="00397AFA" w:rsidRDefault="00397AFA" w:rsidP="00D423A0"/>
    <w:p w14:paraId="07E688B2" w14:textId="6B41592A" w:rsidR="000520C0" w:rsidRDefault="00DA1E7E" w:rsidP="00437333">
      <w:r>
        <w:t xml:space="preserve">Additional </w:t>
      </w:r>
      <w:r w:rsidR="00260974">
        <w:t xml:space="preserve">information and </w:t>
      </w:r>
      <w:r w:rsidR="00DE7B1A">
        <w:t xml:space="preserve">guidance </w:t>
      </w:r>
      <w:r w:rsidR="000520C0">
        <w:t xml:space="preserve">has been developed </w:t>
      </w:r>
      <w:r w:rsidR="00DE7B1A">
        <w:t>to support agencies in implementing the Policy</w:t>
      </w:r>
      <w:r w:rsidR="00E37A64">
        <w:t xml:space="preserve"> </w:t>
      </w:r>
      <w:r w:rsidR="00D74F05">
        <w:t xml:space="preserve">including Common Standards for Core Data Fields and CodeWA — a </w:t>
      </w:r>
      <w:r w:rsidR="00D74F05" w:rsidRPr="00E37A64">
        <w:t>portal for sharing open source code, tools and software developed by the WA public sector</w:t>
      </w:r>
      <w:r w:rsidR="000520C0">
        <w:t xml:space="preserve">. </w:t>
      </w:r>
      <w:r w:rsidR="000D047F">
        <w:t>Landgate as t</w:t>
      </w:r>
      <w:r w:rsidR="000520C0">
        <w:t xml:space="preserve">he lead agency </w:t>
      </w:r>
      <w:r w:rsidR="00C327B9">
        <w:t xml:space="preserve">for implementation </w:t>
      </w:r>
      <w:r w:rsidR="00D20616">
        <w:t xml:space="preserve">will provide further support </w:t>
      </w:r>
      <w:r w:rsidR="000520C0">
        <w:t xml:space="preserve">as </w:t>
      </w:r>
      <w:r w:rsidR="00C327B9">
        <w:t>the Policy is rolled-out, capturing lessons from the experience of open data in Western Australia, other Australian jurisdictions and overseas</w:t>
      </w:r>
      <w:r w:rsidR="000520C0">
        <w:t>.</w:t>
      </w:r>
      <w:r w:rsidR="00D74F05">
        <w:t xml:space="preserve"> </w:t>
      </w:r>
    </w:p>
    <w:p w14:paraId="3216D002" w14:textId="77777777" w:rsidR="002A35B4" w:rsidRDefault="002A35B4" w:rsidP="00DD6B76">
      <w:pPr>
        <w:pStyle w:val="Heading1"/>
      </w:pPr>
      <w:r w:rsidRPr="00DD6B76">
        <w:t>REVIEW</w:t>
      </w:r>
    </w:p>
    <w:p w14:paraId="3036B12C" w14:textId="52BE64F3" w:rsidR="00D529DF" w:rsidRDefault="00136F0C" w:rsidP="00D45AF0">
      <w:r w:rsidRPr="00852150">
        <w:t>Th</w:t>
      </w:r>
      <w:r w:rsidR="00D45AF0" w:rsidRPr="00852150">
        <w:t>is</w:t>
      </w:r>
      <w:r w:rsidRPr="00852150">
        <w:t xml:space="preserve"> Policy is subject to review</w:t>
      </w:r>
      <w:r w:rsidR="00852150" w:rsidRPr="00852150">
        <w:t xml:space="preserve"> at </w:t>
      </w:r>
      <w:r w:rsidRPr="00390A0E">
        <w:t>least every two years</w:t>
      </w:r>
      <w:r w:rsidRPr="00852150">
        <w:t xml:space="preserve">, or as </w:t>
      </w:r>
      <w:r w:rsidR="00D45AF0" w:rsidRPr="00852150">
        <w:t xml:space="preserve">deemed </w:t>
      </w:r>
      <w:r w:rsidRPr="00852150">
        <w:t>appropriate</w:t>
      </w:r>
      <w:r w:rsidR="00852150" w:rsidRPr="00852150">
        <w:t>, thereafter</w:t>
      </w:r>
      <w:r w:rsidR="00933D57" w:rsidRPr="00852150">
        <w:t>.</w:t>
      </w:r>
    </w:p>
    <w:p w14:paraId="3D37B3A9" w14:textId="77777777" w:rsidR="002A35B4" w:rsidRDefault="002A35B4" w:rsidP="00DD6B76">
      <w:pPr>
        <w:pStyle w:val="Heading1"/>
      </w:pPr>
      <w:r>
        <w:t>RELATED GUIDANCE</w:t>
      </w:r>
    </w:p>
    <w:p w14:paraId="1CF42999" w14:textId="77777777" w:rsidR="003F1547" w:rsidRDefault="0090336C" w:rsidP="009E502E">
      <w:pPr>
        <w:spacing w:after="120"/>
      </w:pPr>
      <w:r w:rsidRPr="00766E6B">
        <w:t>Agencies will need to ensure implementation of</w:t>
      </w:r>
      <w:r w:rsidR="00293022">
        <w:t xml:space="preserve"> this Policy is consistent with, </w:t>
      </w:r>
      <w:r w:rsidRPr="00766E6B">
        <w:t>and operating within any applicable legis</w:t>
      </w:r>
      <w:r>
        <w:t>lative, policy and strategic frameworks. This may include, but is not limited to:</w:t>
      </w:r>
    </w:p>
    <w:p w14:paraId="5DEC85D5" w14:textId="77777777" w:rsidR="0090336C" w:rsidRPr="00E120FB" w:rsidRDefault="0090336C" w:rsidP="0090336C">
      <w:pPr>
        <w:spacing w:after="120"/>
        <w:rPr>
          <w:b/>
        </w:rPr>
      </w:pPr>
      <w:r>
        <w:rPr>
          <w:b/>
        </w:rPr>
        <w:t>Legislation</w:t>
      </w:r>
    </w:p>
    <w:p w14:paraId="55D71F82" w14:textId="77777777" w:rsidR="0090336C" w:rsidRPr="00D04935" w:rsidRDefault="0090336C" w:rsidP="0090336C">
      <w:pPr>
        <w:pStyle w:val="ListParagraph"/>
        <w:numPr>
          <w:ilvl w:val="0"/>
          <w:numId w:val="9"/>
        </w:numPr>
        <w:rPr>
          <w:i/>
        </w:rPr>
      </w:pPr>
      <w:r w:rsidRPr="00D04935">
        <w:rPr>
          <w:i/>
        </w:rPr>
        <w:lastRenderedPageBreak/>
        <w:t>Copyright</w:t>
      </w:r>
      <w:r>
        <w:rPr>
          <w:i/>
        </w:rPr>
        <w:t xml:space="preserve"> Act 1968 </w:t>
      </w:r>
      <w:r>
        <w:t>(Commonwealth)</w:t>
      </w:r>
    </w:p>
    <w:p w14:paraId="38E0A3FB" w14:textId="77777777" w:rsidR="00860F72" w:rsidRPr="006D0510" w:rsidRDefault="0090336C" w:rsidP="0090336C">
      <w:pPr>
        <w:pStyle w:val="ListParagraph"/>
        <w:numPr>
          <w:ilvl w:val="0"/>
          <w:numId w:val="9"/>
        </w:numPr>
        <w:rPr>
          <w:i/>
        </w:rPr>
      </w:pPr>
      <w:r w:rsidRPr="006D0510">
        <w:rPr>
          <w:i/>
        </w:rPr>
        <w:t>Privacy Act 1988</w:t>
      </w:r>
      <w:r>
        <w:rPr>
          <w:i/>
        </w:rPr>
        <w:t xml:space="preserve"> </w:t>
      </w:r>
      <w:r>
        <w:t>(Commonwealth)</w:t>
      </w:r>
    </w:p>
    <w:p w14:paraId="1CFFA14A" w14:textId="77777777" w:rsidR="0090336C" w:rsidRPr="003168CB" w:rsidRDefault="0090336C" w:rsidP="0090336C">
      <w:pPr>
        <w:pStyle w:val="ListParagraph"/>
        <w:numPr>
          <w:ilvl w:val="0"/>
          <w:numId w:val="9"/>
        </w:numPr>
      </w:pPr>
      <w:r>
        <w:rPr>
          <w:i/>
        </w:rPr>
        <w:t>Public Sector Management Act 1994</w:t>
      </w:r>
    </w:p>
    <w:p w14:paraId="15DB43D7" w14:textId="77777777" w:rsidR="0090336C" w:rsidRPr="00D04935" w:rsidRDefault="0090336C" w:rsidP="0090336C">
      <w:pPr>
        <w:pStyle w:val="ListParagraph"/>
        <w:numPr>
          <w:ilvl w:val="0"/>
          <w:numId w:val="9"/>
        </w:numPr>
      </w:pPr>
      <w:r>
        <w:rPr>
          <w:i/>
        </w:rPr>
        <w:t>Freedom of Information Act 1992</w:t>
      </w:r>
    </w:p>
    <w:p w14:paraId="17C64C2D" w14:textId="77777777" w:rsidR="0090336C" w:rsidRPr="00D04935" w:rsidRDefault="0090336C" w:rsidP="0090336C">
      <w:pPr>
        <w:pStyle w:val="ListParagraph"/>
        <w:numPr>
          <w:ilvl w:val="0"/>
          <w:numId w:val="9"/>
        </w:numPr>
        <w:rPr>
          <w:i/>
        </w:rPr>
      </w:pPr>
      <w:r>
        <w:rPr>
          <w:i/>
        </w:rPr>
        <w:t>State Records Act 2000</w:t>
      </w:r>
    </w:p>
    <w:p w14:paraId="2D650F40" w14:textId="77777777" w:rsidR="0090336C" w:rsidRDefault="0090336C" w:rsidP="0090336C">
      <w:pPr>
        <w:pStyle w:val="ListParagraph"/>
        <w:numPr>
          <w:ilvl w:val="0"/>
          <w:numId w:val="9"/>
        </w:numPr>
        <w:rPr>
          <w:i/>
        </w:rPr>
      </w:pPr>
      <w:r w:rsidRPr="00D04935">
        <w:rPr>
          <w:i/>
        </w:rPr>
        <w:t>Financial Management Act 2006</w:t>
      </w:r>
    </w:p>
    <w:p w14:paraId="1906C6DF" w14:textId="77777777" w:rsidR="0090336C" w:rsidRDefault="0090336C" w:rsidP="0090336C">
      <w:pPr>
        <w:rPr>
          <w:b/>
        </w:rPr>
      </w:pPr>
    </w:p>
    <w:p w14:paraId="34080A77" w14:textId="77777777" w:rsidR="0090336C" w:rsidRPr="00E120FB" w:rsidRDefault="0090336C" w:rsidP="0090336C">
      <w:pPr>
        <w:rPr>
          <w:b/>
        </w:rPr>
      </w:pPr>
      <w:r>
        <w:rPr>
          <w:b/>
        </w:rPr>
        <w:t>Policies and strategies</w:t>
      </w:r>
      <w:r w:rsidR="003F1547">
        <w:rPr>
          <w:b/>
        </w:rPr>
        <w:t xml:space="preserve"> </w:t>
      </w:r>
    </w:p>
    <w:p w14:paraId="14C201E6" w14:textId="24E144D9" w:rsidR="00C91809" w:rsidRPr="009C7757" w:rsidRDefault="00C3713F" w:rsidP="0090336C">
      <w:pPr>
        <w:pStyle w:val="ListParagraph"/>
        <w:numPr>
          <w:ilvl w:val="0"/>
          <w:numId w:val="24"/>
        </w:numPr>
        <w:rPr>
          <w:iCs/>
        </w:rPr>
      </w:pPr>
      <w:hyperlink r:id="rId22" w:history="1">
        <w:r w:rsidR="00C91809" w:rsidRPr="00C3713F">
          <w:rPr>
            <w:rStyle w:val="Hyperlink"/>
            <w:iCs/>
          </w:rPr>
          <w:t xml:space="preserve">Digital </w:t>
        </w:r>
        <w:r w:rsidR="00793AAC" w:rsidRPr="00C3713F">
          <w:rPr>
            <w:rStyle w:val="Hyperlink"/>
            <w:iCs/>
          </w:rPr>
          <w:t>Strategy for the Western Australian Government 2021 - 2025</w:t>
        </w:r>
      </w:hyperlink>
    </w:p>
    <w:p w14:paraId="423478F8" w14:textId="6C8D1C01" w:rsidR="0090336C" w:rsidRPr="007E74FA" w:rsidRDefault="007E74FA" w:rsidP="0090336C">
      <w:pPr>
        <w:pStyle w:val="ListParagraph"/>
        <w:numPr>
          <w:ilvl w:val="0"/>
          <w:numId w:val="24"/>
        </w:numPr>
        <w:rPr>
          <w:rStyle w:val="Hyperlink"/>
        </w:rPr>
      </w:pPr>
      <w:r>
        <w:fldChar w:fldCharType="begin"/>
      </w:r>
      <w:r w:rsidR="00A6599B">
        <w:instrText>HYPERLINK "https://www.wa.gov.au/system/files/2020-11/wa-ip-policy-2015.pdf"</w:instrText>
      </w:r>
      <w:r>
        <w:fldChar w:fldCharType="separate"/>
      </w:r>
      <w:r w:rsidR="003F1547" w:rsidRPr="007E74FA">
        <w:rPr>
          <w:rStyle w:val="Hyperlink"/>
        </w:rPr>
        <w:t>Western Australian Government Intellectual Property Policy 2015</w:t>
      </w:r>
    </w:p>
    <w:p w14:paraId="7029722C" w14:textId="3BF2C6B9" w:rsidR="00793AAC" w:rsidRPr="0090336C" w:rsidRDefault="007E74FA" w:rsidP="0090336C">
      <w:pPr>
        <w:pStyle w:val="ListParagraph"/>
        <w:numPr>
          <w:ilvl w:val="0"/>
          <w:numId w:val="24"/>
        </w:numPr>
      </w:pPr>
      <w:r>
        <w:fldChar w:fldCharType="end"/>
      </w:r>
      <w:hyperlink r:id="rId23" w:history="1">
        <w:r w:rsidR="00793AAC" w:rsidRPr="007E74FA">
          <w:rPr>
            <w:rStyle w:val="Hyperlink"/>
          </w:rPr>
          <w:t>Western Australian Information Classification Policy 2020</w:t>
        </w:r>
      </w:hyperlink>
    </w:p>
    <w:p w14:paraId="6FB93FF3" w14:textId="1D8A424D" w:rsidR="00094F41" w:rsidRDefault="00094F41" w:rsidP="00094F41">
      <w:pPr>
        <w:rPr>
          <w:b/>
        </w:rPr>
      </w:pPr>
      <w:r>
        <w:rPr>
          <w:b/>
        </w:rPr>
        <w:t>Resources</w:t>
      </w:r>
    </w:p>
    <w:p w14:paraId="276007ED" w14:textId="6AE93F72" w:rsidR="00094F41" w:rsidRPr="00A6599B" w:rsidRDefault="00094F41" w:rsidP="00094F41">
      <w:pPr>
        <w:pStyle w:val="ListParagraph"/>
        <w:numPr>
          <w:ilvl w:val="0"/>
          <w:numId w:val="24"/>
        </w:numPr>
        <w:rPr>
          <w:bCs/>
        </w:rPr>
      </w:pPr>
      <w:r>
        <w:rPr>
          <w:bCs/>
        </w:rPr>
        <w:t xml:space="preserve">WA Government </w:t>
      </w:r>
      <w:r w:rsidRPr="003A1360">
        <w:rPr>
          <w:bCs/>
        </w:rPr>
        <w:t xml:space="preserve">Common </w:t>
      </w:r>
      <w:r w:rsidR="003A1360">
        <w:rPr>
          <w:bCs/>
        </w:rPr>
        <w:t>S</w:t>
      </w:r>
      <w:r w:rsidRPr="00A6599B">
        <w:rPr>
          <w:bCs/>
        </w:rPr>
        <w:t>tandards for core data fields</w:t>
      </w:r>
    </w:p>
    <w:p w14:paraId="6BDCD2AB" w14:textId="3A10FEBF" w:rsidR="00094F41" w:rsidRPr="00094F41" w:rsidRDefault="00094F41" w:rsidP="00094F41">
      <w:pPr>
        <w:pStyle w:val="ListParagraph"/>
        <w:numPr>
          <w:ilvl w:val="0"/>
          <w:numId w:val="24"/>
        </w:numPr>
        <w:rPr>
          <w:bCs/>
        </w:rPr>
      </w:pPr>
      <w:r w:rsidRPr="00A6599B">
        <w:rPr>
          <w:bCs/>
        </w:rPr>
        <w:t>CodeWA -</w:t>
      </w:r>
      <w:r>
        <w:rPr>
          <w:bCs/>
        </w:rPr>
        <w:t xml:space="preserve"> </w:t>
      </w:r>
      <w:r w:rsidRPr="00A6599B">
        <w:rPr>
          <w:bCs/>
        </w:rPr>
        <w:t>a portal for sharing open source c</w:t>
      </w:r>
      <w:r>
        <w:rPr>
          <w:bCs/>
        </w:rPr>
        <w:t>ode, tools and software developed by the WA public sector.</w:t>
      </w:r>
    </w:p>
    <w:p w14:paraId="09284242" w14:textId="77777777" w:rsidR="0077137E" w:rsidRDefault="004050FA" w:rsidP="00DD6B76">
      <w:pPr>
        <w:pStyle w:val="Heading1"/>
        <w:numPr>
          <w:ilvl w:val="0"/>
          <w:numId w:val="0"/>
        </w:numPr>
      </w:pPr>
      <w:r>
        <w:t>APPENDIX</w:t>
      </w:r>
      <w:r w:rsidR="00D032D6">
        <w:t xml:space="preserve"> A – </w:t>
      </w:r>
      <w:r w:rsidR="0077137E">
        <w:t>DEFIN</w:t>
      </w:r>
      <w:r w:rsidR="002A23DA">
        <w:t>I</w:t>
      </w:r>
      <w:r w:rsidR="0077137E">
        <w:t>TION OF TERMS</w:t>
      </w:r>
    </w:p>
    <w:p w14:paraId="68828C48" w14:textId="77777777" w:rsidR="00576042" w:rsidRPr="007D5DD1" w:rsidRDefault="00576042" w:rsidP="00D1674C">
      <w:r w:rsidRPr="00571681">
        <w:rPr>
          <w:b/>
        </w:rPr>
        <w:t>Copyright</w:t>
      </w:r>
      <w:r w:rsidR="005404E4" w:rsidRPr="00571681">
        <w:rPr>
          <w:b/>
        </w:rPr>
        <w:t xml:space="preserve"> </w:t>
      </w:r>
      <w:r w:rsidR="00A50E28" w:rsidRPr="00355E8B">
        <w:t xml:space="preserve">is an exclusive and assignable legal right, given to the creator of a dataset to enjoy the use of the data. It has the meaning given to it in the </w:t>
      </w:r>
      <w:r w:rsidR="00A50E28" w:rsidRPr="00355E8B">
        <w:rPr>
          <w:i/>
        </w:rPr>
        <w:t xml:space="preserve">Copyright Act 1968 </w:t>
      </w:r>
      <w:r w:rsidR="00A50E28" w:rsidRPr="00355E8B">
        <w:t>and broadly refers to the legal rights that automatically apply to the original expression of an idea.</w:t>
      </w:r>
    </w:p>
    <w:p w14:paraId="734C89BC" w14:textId="77777777" w:rsidR="00FE373F" w:rsidRDefault="00FE373F" w:rsidP="00FE373F">
      <w:pPr>
        <w:rPr>
          <w:b/>
        </w:rPr>
      </w:pPr>
    </w:p>
    <w:p w14:paraId="5A4CDA7F" w14:textId="454839F7" w:rsidR="00576042" w:rsidRPr="00A6599B" w:rsidRDefault="00576042" w:rsidP="00FE373F">
      <w:pPr>
        <w:rPr>
          <w:b/>
        </w:rPr>
      </w:pPr>
      <w:r w:rsidRPr="003D2F0E">
        <w:rPr>
          <w:b/>
        </w:rPr>
        <w:t xml:space="preserve">Creative Commons </w:t>
      </w:r>
      <w:r w:rsidR="009D770E" w:rsidRPr="00A6599B">
        <w:rPr>
          <w:b/>
        </w:rPr>
        <w:t xml:space="preserve">licences </w:t>
      </w:r>
      <w:r w:rsidR="009D770E" w:rsidRPr="0027111F">
        <w:rPr>
          <w:bCs/>
        </w:rPr>
        <w:t xml:space="preserve">provide a </w:t>
      </w:r>
      <w:r w:rsidR="00BD6A33" w:rsidRPr="009F7953">
        <w:rPr>
          <w:bCs/>
        </w:rPr>
        <w:t xml:space="preserve">simple and standardised </w:t>
      </w:r>
      <w:r w:rsidR="009D770E" w:rsidRPr="009F7953">
        <w:rPr>
          <w:bCs/>
        </w:rPr>
        <w:t>way for</w:t>
      </w:r>
      <w:r w:rsidR="00BD6A33" w:rsidRPr="00B311F4">
        <w:rPr>
          <w:bCs/>
        </w:rPr>
        <w:t xml:space="preserve"> </w:t>
      </w:r>
      <w:r w:rsidRPr="00B311F4">
        <w:rPr>
          <w:bCs/>
        </w:rPr>
        <w:t xml:space="preserve">individual creators, companies and institutions </w:t>
      </w:r>
      <w:r w:rsidR="009D770E" w:rsidRPr="00094F41">
        <w:rPr>
          <w:bCs/>
        </w:rPr>
        <w:t>to share their work with others on flexible terms without infringing copyright</w:t>
      </w:r>
      <w:r w:rsidR="00BD6A33" w:rsidRPr="00094F41">
        <w:rPr>
          <w:bCs/>
        </w:rPr>
        <w:t xml:space="preserve">. </w:t>
      </w:r>
      <w:r w:rsidR="00060179" w:rsidRPr="00094F41">
        <w:rPr>
          <w:bCs/>
        </w:rPr>
        <w:t>The licences allow users to reuse, remix and share the content legally</w:t>
      </w:r>
      <w:r w:rsidRPr="00A6599B">
        <w:rPr>
          <w:bCs/>
        </w:rPr>
        <w:footnoteReference w:id="2"/>
      </w:r>
      <w:r w:rsidRPr="00A6599B">
        <w:rPr>
          <w:bCs/>
          <w:vertAlign w:val="superscript"/>
        </w:rPr>
        <w:t>.</w:t>
      </w:r>
    </w:p>
    <w:p w14:paraId="7EE48408" w14:textId="77777777" w:rsidR="00CB5679" w:rsidRPr="003D2F0E" w:rsidRDefault="00CB5679" w:rsidP="00FE373F"/>
    <w:p w14:paraId="516714E0" w14:textId="08C7A989" w:rsidR="00576042" w:rsidRPr="00A6599B" w:rsidRDefault="00576042" w:rsidP="00A6599B">
      <w:pPr>
        <w:rPr>
          <w:b/>
        </w:rPr>
      </w:pPr>
      <w:r w:rsidRPr="003D2F0E">
        <w:rPr>
          <w:b/>
        </w:rPr>
        <w:t>Creative Commons Attribution (CC BY)</w:t>
      </w:r>
      <w:r w:rsidR="00E95994">
        <w:rPr>
          <w:b/>
        </w:rPr>
        <w:t xml:space="preserve"> </w:t>
      </w:r>
      <w:r w:rsidR="008C37E2" w:rsidRPr="0027111F">
        <w:rPr>
          <w:bCs/>
        </w:rPr>
        <w:t xml:space="preserve">is a licence </w:t>
      </w:r>
      <w:r w:rsidR="00BD5A21" w:rsidRPr="0027111F">
        <w:rPr>
          <w:bCs/>
        </w:rPr>
        <w:t xml:space="preserve">that </w:t>
      </w:r>
      <w:r w:rsidR="00E95994" w:rsidRPr="009F7953">
        <w:rPr>
          <w:bCs/>
        </w:rPr>
        <w:t>allows user</w:t>
      </w:r>
      <w:r w:rsidR="00FE373F" w:rsidRPr="009F7953">
        <w:rPr>
          <w:bCs/>
        </w:rPr>
        <w:t>s</w:t>
      </w:r>
      <w:r w:rsidR="00E95994" w:rsidRPr="009F7953">
        <w:rPr>
          <w:bCs/>
        </w:rPr>
        <w:t xml:space="preserve"> to distribute, remix and build upon a work, and create Derivative Works – even for commercial use – provided they credit the original creator(s). It is the most</w:t>
      </w:r>
      <w:r w:rsidR="00E95994" w:rsidRPr="00B311F4">
        <w:rPr>
          <w:bCs/>
        </w:rPr>
        <w:t xml:space="preserve"> accommodating of the Creative Commons licences in terms of what other</w:t>
      </w:r>
      <w:r w:rsidR="00FE373F" w:rsidRPr="00094F41">
        <w:rPr>
          <w:bCs/>
        </w:rPr>
        <w:t>s</w:t>
      </w:r>
      <w:r w:rsidR="00E95994" w:rsidRPr="00094F41">
        <w:rPr>
          <w:bCs/>
        </w:rPr>
        <w:t xml:space="preserve"> can do with the work</w:t>
      </w:r>
      <w:r w:rsidR="00E95994" w:rsidRPr="00A6599B">
        <w:rPr>
          <w:b/>
        </w:rPr>
        <w:t>.</w:t>
      </w:r>
    </w:p>
    <w:p w14:paraId="7A98ADF0" w14:textId="77777777" w:rsidR="00576042" w:rsidRPr="003D2F0E" w:rsidRDefault="00576042" w:rsidP="00D1674C">
      <w:pPr>
        <w:rPr>
          <w:b/>
        </w:rPr>
      </w:pPr>
    </w:p>
    <w:p w14:paraId="4E55C4DA" w14:textId="77777777" w:rsidR="0082490D" w:rsidRPr="003D2F0E" w:rsidRDefault="00B35469" w:rsidP="00D1674C">
      <w:r w:rsidRPr="003D2F0E">
        <w:rPr>
          <w:b/>
        </w:rPr>
        <w:t xml:space="preserve">Data </w:t>
      </w:r>
      <w:r w:rsidR="00370A2D" w:rsidRPr="003D2F0E">
        <w:t xml:space="preserve">is </w:t>
      </w:r>
      <w:r w:rsidR="0082490D" w:rsidRPr="003D2F0E">
        <w:t>information</w:t>
      </w:r>
      <w:r w:rsidR="00FE373F">
        <w:t xml:space="preserve"> for computer processing. T</w:t>
      </w:r>
      <w:r w:rsidR="00640B53">
        <w:t>hat is,</w:t>
      </w:r>
      <w:r w:rsidR="0082490D" w:rsidRPr="003D2F0E">
        <w:t xml:space="preserve"> in a form suitable for storage in</w:t>
      </w:r>
      <w:r w:rsidR="00C35A37">
        <w:t>,</w:t>
      </w:r>
      <w:r w:rsidR="0082490D" w:rsidRPr="003D2F0E">
        <w:t xml:space="preserve"> or processing by</w:t>
      </w:r>
      <w:r w:rsidR="00640B53">
        <w:t xml:space="preserve"> </w:t>
      </w:r>
      <w:r w:rsidR="0082490D" w:rsidRPr="003D2F0E">
        <w:t>computer</w:t>
      </w:r>
      <w:r w:rsidR="00640B53">
        <w:t xml:space="preserve"> software</w:t>
      </w:r>
      <w:r w:rsidR="00C35A37">
        <w:t xml:space="preserve">. Data </w:t>
      </w:r>
      <w:r w:rsidR="005201F3">
        <w:t xml:space="preserve">typically comprises </w:t>
      </w:r>
      <w:r w:rsidR="0082490D" w:rsidRPr="003D2F0E">
        <w:t>n</w:t>
      </w:r>
      <w:r w:rsidR="00C35A37">
        <w:t>umbers</w:t>
      </w:r>
      <w:r w:rsidR="005201F3">
        <w:t xml:space="preserve"> and text but </w:t>
      </w:r>
      <w:r w:rsidR="00E55154">
        <w:t>c</w:t>
      </w:r>
      <w:r w:rsidR="005201F3">
        <w:t xml:space="preserve">an also comprise things such as </w:t>
      </w:r>
      <w:r w:rsidR="00C35A37">
        <w:t xml:space="preserve">images, </w:t>
      </w:r>
      <w:r w:rsidR="000D5D16" w:rsidRPr="003D2F0E">
        <w:t>sounds</w:t>
      </w:r>
      <w:r w:rsidR="00640B53">
        <w:t xml:space="preserve"> and symbols</w:t>
      </w:r>
      <w:r w:rsidR="005201F3">
        <w:t>.</w:t>
      </w:r>
      <w:r w:rsidR="00C35A37">
        <w:t xml:space="preserve"> A dataset is a collection of related data </w:t>
      </w:r>
      <w:r w:rsidR="005201F3">
        <w:t>records</w:t>
      </w:r>
      <w:r w:rsidR="00C35A37">
        <w:t>.</w:t>
      </w:r>
    </w:p>
    <w:p w14:paraId="4B6DB1FE" w14:textId="77777777" w:rsidR="00C35A37" w:rsidRDefault="00C35A37" w:rsidP="00A6599B">
      <w:pPr>
        <w:spacing w:before="120"/>
      </w:pPr>
      <w:r w:rsidRPr="003D2F0E">
        <w:rPr>
          <w:b/>
        </w:rPr>
        <w:lastRenderedPageBreak/>
        <w:t>Raw data</w:t>
      </w:r>
      <w:r w:rsidRPr="003D2F0E">
        <w:t xml:space="preserve"> is data </w:t>
      </w:r>
      <w:r w:rsidR="00FA417E">
        <w:t>in pre-interpreted form or</w:t>
      </w:r>
      <w:r>
        <w:t xml:space="preserve"> </w:t>
      </w:r>
      <w:r w:rsidRPr="003D2F0E">
        <w:t>not yet subjected to analysis</w:t>
      </w:r>
      <w:r w:rsidR="005201F3">
        <w:t xml:space="preserve"> or processing</w:t>
      </w:r>
      <w:r w:rsidRPr="003D2F0E">
        <w:t>.</w:t>
      </w:r>
    </w:p>
    <w:p w14:paraId="4A522C19" w14:textId="77777777" w:rsidR="00FE3F9F" w:rsidRDefault="003D2F0E" w:rsidP="00A6599B">
      <w:pPr>
        <w:spacing w:before="120"/>
      </w:pPr>
      <w:r w:rsidRPr="003D2F0E">
        <w:rPr>
          <w:b/>
        </w:rPr>
        <w:t xml:space="preserve">Information </w:t>
      </w:r>
      <w:r w:rsidRPr="003D2F0E">
        <w:t>is any collection of data that is processed, analysed, interpreted, classified or communicated in order to serve a useful purpose, present fact or represent knowledge in any medium or form</w:t>
      </w:r>
      <w:r w:rsidRPr="003D2F0E">
        <w:rPr>
          <w:rStyle w:val="FootnoteReference"/>
        </w:rPr>
        <w:footnoteReference w:id="3"/>
      </w:r>
      <w:r w:rsidRPr="003D2F0E">
        <w:t>.</w:t>
      </w:r>
    </w:p>
    <w:p w14:paraId="4D729838" w14:textId="77777777" w:rsidR="002447D6" w:rsidRDefault="002447D6" w:rsidP="00DC283F"/>
    <w:p w14:paraId="40466DB7" w14:textId="77777777" w:rsidR="00A30E76" w:rsidRDefault="00A30E76" w:rsidP="00E32F34">
      <w:r>
        <w:rPr>
          <w:b/>
        </w:rPr>
        <w:t xml:space="preserve">Data linking </w:t>
      </w:r>
      <w:r>
        <w:t xml:space="preserve">is where separate sets of data are combined or a connection </w:t>
      </w:r>
      <w:r w:rsidR="00DB3132">
        <w:t xml:space="preserve">between the data </w:t>
      </w:r>
      <w:r>
        <w:t>is made.</w:t>
      </w:r>
      <w:r w:rsidR="00D816FE">
        <w:t xml:space="preserve"> Data linking can provide a means for </w:t>
      </w:r>
      <w:r w:rsidR="00E32F34">
        <w:t xml:space="preserve">better </w:t>
      </w:r>
      <w:r w:rsidR="00D816FE">
        <w:t>analysi</w:t>
      </w:r>
      <w:r w:rsidR="00E32F34">
        <w:t>s</w:t>
      </w:r>
      <w:r w:rsidR="00D816FE">
        <w:t xml:space="preserve"> </w:t>
      </w:r>
      <w:r w:rsidR="00E32F34">
        <w:t xml:space="preserve">of </w:t>
      </w:r>
      <w:r w:rsidR="00D816FE">
        <w:t xml:space="preserve">the subjects of the </w:t>
      </w:r>
      <w:r w:rsidR="00552C82">
        <w:t>data;</w:t>
      </w:r>
      <w:r w:rsidR="00D816FE">
        <w:t xml:space="preserve"> however caution needs to be exercised to ensure </w:t>
      </w:r>
      <w:r w:rsidR="00E32F34">
        <w:t>it does not reveal personally-identifiable information.</w:t>
      </w:r>
    </w:p>
    <w:p w14:paraId="68EBE95C" w14:textId="77777777" w:rsidR="00A30E76" w:rsidRPr="00872E36" w:rsidRDefault="00A30E76" w:rsidP="00A30E76"/>
    <w:p w14:paraId="3D644D22" w14:textId="77777777" w:rsidR="00776531" w:rsidRPr="00FE3F9F" w:rsidRDefault="00FE3F9F" w:rsidP="0077137E">
      <w:r>
        <w:rPr>
          <w:b/>
        </w:rPr>
        <w:t>Discoverable/</w:t>
      </w:r>
      <w:r w:rsidR="00776531" w:rsidRPr="003D2F0E">
        <w:rPr>
          <w:b/>
        </w:rPr>
        <w:t>discoverability</w:t>
      </w:r>
      <w:r w:rsidR="008A3E7C">
        <w:rPr>
          <w:b/>
        </w:rPr>
        <w:t xml:space="preserve"> </w:t>
      </w:r>
      <w:r w:rsidR="005201F3">
        <w:t xml:space="preserve">for the purpose of this Policy </w:t>
      </w:r>
      <w:r w:rsidR="008A3E7C">
        <w:t xml:space="preserve">refers to </w:t>
      </w:r>
      <w:r w:rsidR="002B6C1C">
        <w:t xml:space="preserve">the ability </w:t>
      </w:r>
      <w:r w:rsidR="005201F3">
        <w:t xml:space="preserve">for anyone </w:t>
      </w:r>
      <w:r w:rsidR="00552C82">
        <w:t>to easily</w:t>
      </w:r>
      <w:r w:rsidR="00CA4AD5">
        <w:t xml:space="preserve"> </w:t>
      </w:r>
      <w:r w:rsidR="005201F3">
        <w:t xml:space="preserve">discover that </w:t>
      </w:r>
      <w:r w:rsidR="00CA4AD5">
        <w:t xml:space="preserve">a dataset </w:t>
      </w:r>
      <w:r w:rsidR="005201F3">
        <w:t>exists</w:t>
      </w:r>
      <w:r w:rsidR="00CA4AD5">
        <w:t xml:space="preserve"> and is provided </w:t>
      </w:r>
      <w:r w:rsidR="005201F3">
        <w:t xml:space="preserve">with </w:t>
      </w:r>
      <w:r w:rsidR="00CA4AD5">
        <w:t xml:space="preserve">sufficient </w:t>
      </w:r>
      <w:r w:rsidR="005201F3">
        <w:t xml:space="preserve">information </w:t>
      </w:r>
      <w:r w:rsidR="00CA4AD5">
        <w:t>on how to access the data</w:t>
      </w:r>
      <w:r w:rsidR="008A3E7C">
        <w:t xml:space="preserve">. </w:t>
      </w:r>
      <w:r w:rsidR="00CA4AD5">
        <w:t>T</w:t>
      </w:r>
      <w:r w:rsidR="002B6C1C">
        <w:t xml:space="preserve">his involves </w:t>
      </w:r>
      <w:r w:rsidR="00CA4AD5">
        <w:t xml:space="preserve">the data </w:t>
      </w:r>
      <w:r w:rsidR="008A3E7C" w:rsidRPr="008A3E7C">
        <w:t xml:space="preserve">being </w:t>
      </w:r>
      <w:r w:rsidR="00CA4AD5">
        <w:t>discoverable</w:t>
      </w:r>
      <w:r w:rsidR="008A3E7C" w:rsidRPr="008A3E7C">
        <w:t xml:space="preserve"> through</w:t>
      </w:r>
      <w:r w:rsidR="008A3E7C">
        <w:t xml:space="preserve"> </w:t>
      </w:r>
      <w:r w:rsidR="00CA4AD5">
        <w:t>the Western Australian Government’s</w:t>
      </w:r>
      <w:r w:rsidR="008A3E7C">
        <w:t xml:space="preserve"> online </w:t>
      </w:r>
      <w:r w:rsidR="00CA4AD5">
        <w:t xml:space="preserve">data </w:t>
      </w:r>
      <w:r w:rsidR="008A3E7C">
        <w:t>portal</w:t>
      </w:r>
      <w:r w:rsidR="002B6C1C">
        <w:t xml:space="preserve"> </w:t>
      </w:r>
      <w:r w:rsidR="00CA4AD5">
        <w:t>(data.wa.gov.au).</w:t>
      </w:r>
    </w:p>
    <w:p w14:paraId="2004E70C" w14:textId="77777777" w:rsidR="009C7757" w:rsidRDefault="009C7757" w:rsidP="0077137E">
      <w:pPr>
        <w:rPr>
          <w:b/>
        </w:rPr>
      </w:pPr>
    </w:p>
    <w:p w14:paraId="6B305A16" w14:textId="2F4AF38B" w:rsidR="00A04570" w:rsidRDefault="00B35469" w:rsidP="0077137E">
      <w:r w:rsidRPr="00EE008A">
        <w:rPr>
          <w:b/>
        </w:rPr>
        <w:t>Granular</w:t>
      </w:r>
      <w:r w:rsidR="00FE0FED">
        <w:rPr>
          <w:b/>
        </w:rPr>
        <w:t xml:space="preserve">ity </w:t>
      </w:r>
      <w:r w:rsidR="00FE0FED">
        <w:t xml:space="preserve">refers to the sub-division of data </w:t>
      </w:r>
      <w:r w:rsidR="00011B9F">
        <w:t>attributes</w:t>
      </w:r>
      <w:r w:rsidR="00FE0FED">
        <w:t xml:space="preserve">. A high level of granularity </w:t>
      </w:r>
      <w:r w:rsidR="00A04570">
        <w:t>means data is</w:t>
      </w:r>
      <w:r w:rsidR="00FE0FED">
        <w:t xml:space="preserve"> divided into multiple fields</w:t>
      </w:r>
      <w:r w:rsidR="00011B9F">
        <w:t xml:space="preserve"> with each representing a single piece of data. </w:t>
      </w:r>
      <w:r w:rsidR="002A23DA">
        <w:t>For example,</w:t>
      </w:r>
      <w:r w:rsidR="00011B9F">
        <w:t xml:space="preserve"> an </w:t>
      </w:r>
      <w:r w:rsidR="00011B9F" w:rsidRPr="003D2F0E">
        <w:t>address could be represented by many separate attributes such as a house number, a street name, a postcode, a state and so on, instead of a single ‘address’ attribute.</w:t>
      </w:r>
    </w:p>
    <w:p w14:paraId="696DD663" w14:textId="77777777" w:rsidR="0090668F" w:rsidRPr="00A6599B" w:rsidRDefault="0090668F" w:rsidP="0077137E">
      <w:pPr>
        <w:rPr>
          <w:b/>
          <w:bCs/>
        </w:rPr>
      </w:pPr>
    </w:p>
    <w:p w14:paraId="38FCF162" w14:textId="77777777" w:rsidR="00A04570" w:rsidRPr="00A6599B" w:rsidRDefault="0046267D" w:rsidP="00A6599B">
      <w:pPr>
        <w:rPr>
          <w:b/>
        </w:rPr>
      </w:pPr>
      <w:r w:rsidRPr="006B56B6">
        <w:rPr>
          <w:b/>
        </w:rPr>
        <w:t>A</w:t>
      </w:r>
      <w:r w:rsidR="00A04570" w:rsidRPr="00E93C50">
        <w:rPr>
          <w:b/>
        </w:rPr>
        <w:t>ggregate (data)</w:t>
      </w:r>
      <w:r w:rsidR="00872E36" w:rsidRPr="00E93C50">
        <w:rPr>
          <w:b/>
        </w:rPr>
        <w:t xml:space="preserve"> </w:t>
      </w:r>
      <w:r w:rsidR="00FE373F" w:rsidRPr="00CB5679">
        <w:rPr>
          <w:bCs/>
        </w:rPr>
        <w:t>is when groups of data records are replaced with summary records based on the original da</w:t>
      </w:r>
      <w:r w:rsidR="00FE373F" w:rsidRPr="0027111F">
        <w:rPr>
          <w:bCs/>
        </w:rPr>
        <w:t>ta. Aggregating data may be used to address the challenges</w:t>
      </w:r>
      <w:r w:rsidR="00A04570" w:rsidRPr="009F7953">
        <w:rPr>
          <w:bCs/>
        </w:rPr>
        <w:t xml:space="preserve"> </w:t>
      </w:r>
      <w:r w:rsidR="00FE373F" w:rsidRPr="009F7953">
        <w:rPr>
          <w:bCs/>
        </w:rPr>
        <w:t xml:space="preserve">discussed in section 6.4 of the Policy and can reduce the time to query </w:t>
      </w:r>
      <w:r w:rsidR="001748FD" w:rsidRPr="00B311F4">
        <w:rPr>
          <w:bCs/>
        </w:rPr>
        <w:t>large sets of data. However it</w:t>
      </w:r>
      <w:r w:rsidR="00FE373F" w:rsidRPr="00B311F4">
        <w:rPr>
          <w:bCs/>
        </w:rPr>
        <w:t xml:space="preserve"> comes at the cost of losing access to detail in the original data sources.</w:t>
      </w:r>
    </w:p>
    <w:p w14:paraId="5AC50BF3" w14:textId="77777777" w:rsidR="005B31D0" w:rsidRPr="0090668F" w:rsidRDefault="005B31D0" w:rsidP="003F6E6C">
      <w:pPr>
        <w:rPr>
          <w:b/>
        </w:rPr>
      </w:pPr>
    </w:p>
    <w:p w14:paraId="546850D4" w14:textId="77777777" w:rsidR="003F6E6C" w:rsidRPr="00571681" w:rsidRDefault="003F6E6C" w:rsidP="003F6E6C">
      <w:r w:rsidRPr="003D2F0E">
        <w:rPr>
          <w:b/>
        </w:rPr>
        <w:t>Machine-readable</w:t>
      </w:r>
      <w:r w:rsidR="004D1EE2">
        <w:rPr>
          <w:b/>
        </w:rPr>
        <w:t xml:space="preserve"> (data) </w:t>
      </w:r>
      <w:r w:rsidR="004D1EE2">
        <w:t xml:space="preserve">is data which </w:t>
      </w:r>
      <w:r w:rsidR="00CA4AD5">
        <w:t xml:space="preserve">is in a format that can </w:t>
      </w:r>
      <w:r w:rsidR="004D1EE2">
        <w:t xml:space="preserve">be read and interpreted by a computer program </w:t>
      </w:r>
      <w:r w:rsidR="00CA4AD5">
        <w:t xml:space="preserve">or through a calculation process </w:t>
      </w:r>
      <w:r w:rsidR="004D1EE2">
        <w:t xml:space="preserve">without the need for manual human intervention. </w:t>
      </w:r>
      <w:r w:rsidR="00CA4AD5">
        <w:t xml:space="preserve">Common examples are spreadsheets and data tables. Formats generally not considered </w:t>
      </w:r>
      <w:r w:rsidR="002325A3">
        <w:t>machine-</w:t>
      </w:r>
      <w:r w:rsidR="00CA4AD5">
        <w:t>readable include PDF documents.</w:t>
      </w:r>
    </w:p>
    <w:p w14:paraId="40F1AFE7" w14:textId="77777777" w:rsidR="00DE5508" w:rsidRPr="003D2F0E" w:rsidRDefault="00DE5508" w:rsidP="00DE5508">
      <w:pPr>
        <w:rPr>
          <w:b/>
        </w:rPr>
      </w:pPr>
    </w:p>
    <w:p w14:paraId="12F6176C" w14:textId="77777777" w:rsidR="00DE5508" w:rsidRPr="00A6599B" w:rsidRDefault="00DE5508" w:rsidP="00DE5508">
      <w:pPr>
        <w:rPr>
          <w:b/>
        </w:rPr>
      </w:pPr>
      <w:r w:rsidRPr="003D2F0E">
        <w:rPr>
          <w:b/>
        </w:rPr>
        <w:t>Metadata</w:t>
      </w:r>
      <w:r w:rsidRPr="00A6599B">
        <w:rPr>
          <w:b/>
        </w:rPr>
        <w:t xml:space="preserve"> </w:t>
      </w:r>
      <w:r w:rsidRPr="00A6599B">
        <w:rPr>
          <w:bCs/>
        </w:rPr>
        <w:t xml:space="preserve">is data that defines and describes other data, allowing users to find, manage, </w:t>
      </w:r>
      <w:r w:rsidR="00E93C50" w:rsidRPr="00A6599B">
        <w:rPr>
          <w:bCs/>
        </w:rPr>
        <w:t>control and understand that data</w:t>
      </w:r>
      <w:r w:rsidRPr="00A6599B">
        <w:rPr>
          <w:bCs/>
        </w:rPr>
        <w:t>.</w:t>
      </w:r>
    </w:p>
    <w:p w14:paraId="05ED504C" w14:textId="77777777" w:rsidR="003F6E6C" w:rsidRPr="003D2F0E" w:rsidRDefault="003F6E6C" w:rsidP="003F6E6C"/>
    <w:p w14:paraId="7C2E20B6" w14:textId="77777777" w:rsidR="006C6B79" w:rsidRPr="00A452C0" w:rsidRDefault="006C6B79" w:rsidP="003F6E6C">
      <w:r w:rsidRPr="003D2F0E">
        <w:rPr>
          <w:b/>
        </w:rPr>
        <w:t>Non-proprietary</w:t>
      </w:r>
      <w:r w:rsidR="00A452C0">
        <w:rPr>
          <w:b/>
        </w:rPr>
        <w:t xml:space="preserve"> </w:t>
      </w:r>
      <w:r w:rsidR="00A452C0">
        <w:t>formats can be accessed by any software</w:t>
      </w:r>
      <w:r w:rsidR="00E93C50">
        <w:t>, that is, is does not require specific software or systems to access it.</w:t>
      </w:r>
    </w:p>
    <w:p w14:paraId="10A9F3A9" w14:textId="77777777" w:rsidR="006C6B79" w:rsidRPr="003D2F0E" w:rsidRDefault="006C6B79" w:rsidP="003F6E6C">
      <w:pPr>
        <w:rPr>
          <w:b/>
        </w:rPr>
      </w:pPr>
    </w:p>
    <w:p w14:paraId="62F55284" w14:textId="77777777" w:rsidR="00CA4AD5" w:rsidRDefault="00FE3F9F" w:rsidP="00CA4AD5">
      <w:r w:rsidRPr="003D2F0E">
        <w:rPr>
          <w:b/>
        </w:rPr>
        <w:t>Open data</w:t>
      </w:r>
      <w:r w:rsidRPr="002447D6">
        <w:t>,</w:t>
      </w:r>
      <w:r>
        <w:rPr>
          <w:b/>
        </w:rPr>
        <w:t xml:space="preserve"> </w:t>
      </w:r>
      <w:r>
        <w:t>for the purpose of this Policy,</w:t>
      </w:r>
      <w:r w:rsidRPr="003D2F0E">
        <w:t xml:space="preserve"> is data </w:t>
      </w:r>
      <w:r w:rsidR="00CA4AD5">
        <w:t xml:space="preserve">released and available to the general public in a way that is easily </w:t>
      </w:r>
      <w:r w:rsidR="00CA4AD5">
        <w:rPr>
          <w:i/>
        </w:rPr>
        <w:t xml:space="preserve">discoverable and usable. </w:t>
      </w:r>
      <w:r w:rsidR="00CA4AD5">
        <w:t xml:space="preserve">Where possible and appropriate, data will be made available with </w:t>
      </w:r>
      <w:r w:rsidR="006816FC">
        <w:t xml:space="preserve">an </w:t>
      </w:r>
      <w:r w:rsidR="00CA4AD5">
        <w:t>unrestrictive licen</w:t>
      </w:r>
      <w:r w:rsidR="006816FC">
        <w:t>ce</w:t>
      </w:r>
      <w:r w:rsidR="00CA4AD5">
        <w:t xml:space="preserve"> and at no cost to users.</w:t>
      </w:r>
    </w:p>
    <w:p w14:paraId="4C5AF92F" w14:textId="77777777" w:rsidR="00527AE2" w:rsidRDefault="00527AE2" w:rsidP="003F6E6C">
      <w:pPr>
        <w:rPr>
          <w:b/>
        </w:rPr>
      </w:pPr>
    </w:p>
    <w:p w14:paraId="5916659A" w14:textId="771EE2C5" w:rsidR="006C6B79" w:rsidRPr="004812BC" w:rsidRDefault="006C6B79" w:rsidP="003F6E6C">
      <w:r w:rsidRPr="00D86F5D">
        <w:rPr>
          <w:b/>
        </w:rPr>
        <w:t>Open data maturity</w:t>
      </w:r>
      <w:r w:rsidR="00F014A2" w:rsidRPr="00D86F5D">
        <w:rPr>
          <w:b/>
        </w:rPr>
        <w:t xml:space="preserve"> </w:t>
      </w:r>
      <w:r w:rsidR="00F014A2" w:rsidRPr="00D86F5D">
        <w:t xml:space="preserve">refers </w:t>
      </w:r>
      <w:r w:rsidR="004812BC" w:rsidRPr="00D86F5D">
        <w:t>to a</w:t>
      </w:r>
      <w:r w:rsidR="00931FB0" w:rsidRPr="00D86F5D">
        <w:t xml:space="preserve"> level of </w:t>
      </w:r>
      <w:r w:rsidR="004812BC" w:rsidRPr="00D86F5D">
        <w:t xml:space="preserve">full </w:t>
      </w:r>
      <w:r w:rsidR="00931FB0" w:rsidRPr="00D86F5D">
        <w:t xml:space="preserve">data openness </w:t>
      </w:r>
      <w:r w:rsidR="004812BC" w:rsidRPr="00D86F5D">
        <w:t xml:space="preserve">as per the principles and scope of this Policy. </w:t>
      </w:r>
      <w:r w:rsidR="00571681" w:rsidRPr="00D86F5D">
        <w:t>Also, t</w:t>
      </w:r>
      <w:r w:rsidR="004812BC" w:rsidRPr="00D86F5D">
        <w:t xml:space="preserve">he World Wide Web </w:t>
      </w:r>
      <w:r w:rsidR="00552C82" w:rsidRPr="00D86F5D">
        <w:t>Consortium</w:t>
      </w:r>
      <w:r w:rsidR="00552C82">
        <w:t>’s</w:t>
      </w:r>
      <w:r w:rsidR="00552C82" w:rsidRPr="00D86F5D">
        <w:t xml:space="preserve"> 5</w:t>
      </w:r>
      <w:r w:rsidR="004812BC" w:rsidRPr="00D86F5D">
        <w:t xml:space="preserve"> Star Open Data Model</w:t>
      </w:r>
      <w:r w:rsidR="00B25CA4">
        <w:rPr>
          <w:rStyle w:val="FootnoteReference"/>
        </w:rPr>
        <w:footnoteReference w:id="4"/>
      </w:r>
      <w:r w:rsidR="00B25CA4">
        <w:t xml:space="preserve"> </w:t>
      </w:r>
      <w:r w:rsidR="004812BC" w:rsidRPr="00D86F5D">
        <w:t xml:space="preserve"> describes </w:t>
      </w:r>
      <w:r w:rsidR="006816FC">
        <w:t xml:space="preserve">the </w:t>
      </w:r>
      <w:r w:rsidR="004812BC" w:rsidRPr="00D86F5D">
        <w:t xml:space="preserve">different characteristics of open data and is used globally as a model for assessing data readiness for re-use. The </w:t>
      </w:r>
      <w:hyperlink r:id="rId24" w:history="1">
        <w:r w:rsidR="004812BC" w:rsidRPr="00D86F5D">
          <w:rPr>
            <w:rStyle w:val="Hyperlink"/>
          </w:rPr>
          <w:t xml:space="preserve">New Zealand </w:t>
        </w:r>
        <w:r w:rsidR="00571681" w:rsidRPr="00D86F5D">
          <w:rPr>
            <w:rStyle w:val="Hyperlink"/>
          </w:rPr>
          <w:t>Government’s guidance</w:t>
        </w:r>
        <w:r w:rsidR="005636E9">
          <w:rPr>
            <w:rStyle w:val="Hyperlink"/>
          </w:rPr>
          <w:t xml:space="preserve"> </w:t>
        </w:r>
        <w:r w:rsidR="00571681" w:rsidRPr="00D86F5D">
          <w:rPr>
            <w:rStyle w:val="Hyperlink"/>
          </w:rPr>
          <w:t xml:space="preserve">on applying </w:t>
        </w:r>
      </w:hyperlink>
      <w:hyperlink r:id="rId25" w:history="1">
        <w:r w:rsidR="003F7552" w:rsidRPr="003F7552">
          <w:rPr>
            <w:rStyle w:val="Hyperlink"/>
          </w:rPr>
          <w:t>Principles for managing data and information held by the New Zealand Government</w:t>
        </w:r>
      </w:hyperlink>
      <w:r w:rsidR="003F7552">
        <w:rPr>
          <w:rStyle w:val="Hyperlink"/>
        </w:rPr>
        <w:t xml:space="preserve"> </w:t>
      </w:r>
      <w:r w:rsidR="00571681" w:rsidRPr="00D86F5D">
        <w:t>is a useful resource for agencies.</w:t>
      </w:r>
    </w:p>
    <w:p w14:paraId="4B44A381" w14:textId="77777777" w:rsidR="00571681" w:rsidRDefault="00571681" w:rsidP="003F6E6C">
      <w:pPr>
        <w:rPr>
          <w:b/>
        </w:rPr>
      </w:pPr>
    </w:p>
    <w:p w14:paraId="23416E8C" w14:textId="77777777" w:rsidR="003F6E6C" w:rsidRPr="00406F48" w:rsidRDefault="003F6E6C" w:rsidP="003F6E6C">
      <w:r w:rsidRPr="003D2F0E">
        <w:rPr>
          <w:b/>
        </w:rPr>
        <w:t xml:space="preserve">Quality </w:t>
      </w:r>
      <w:r w:rsidRPr="003D2F0E">
        <w:t xml:space="preserve">(with </w:t>
      </w:r>
      <w:r w:rsidR="00FE3F9F">
        <w:t>regard</w:t>
      </w:r>
      <w:r w:rsidRPr="003D2F0E">
        <w:t xml:space="preserve"> to data)</w:t>
      </w:r>
      <w:r w:rsidRPr="003D2F0E">
        <w:rPr>
          <w:b/>
        </w:rPr>
        <w:t xml:space="preserve"> </w:t>
      </w:r>
      <w:r w:rsidR="0036215E">
        <w:t>is a multidimensional concept which include</w:t>
      </w:r>
      <w:r w:rsidR="005636E9">
        <w:t>s</w:t>
      </w:r>
      <w:r w:rsidRPr="003D2F0E">
        <w:t xml:space="preserve"> Institutional Environment, Relevance, Timeliness, Accuracy, Coherence, Interpretability and Accessibility.</w:t>
      </w:r>
      <w:r w:rsidRPr="003D2F0E">
        <w:rPr>
          <w:vertAlign w:val="superscript"/>
        </w:rPr>
        <w:footnoteReference w:id="5"/>
      </w:r>
    </w:p>
    <w:p w14:paraId="203AACCE" w14:textId="77777777" w:rsidR="003F6E6C" w:rsidRPr="003D2F0E" w:rsidRDefault="003F6E6C" w:rsidP="003F6E6C">
      <w:pPr>
        <w:rPr>
          <w:b/>
        </w:rPr>
      </w:pPr>
    </w:p>
    <w:p w14:paraId="33309416" w14:textId="77777777" w:rsidR="009C7757" w:rsidRDefault="004E49CF" w:rsidP="002E5FC8">
      <w:r>
        <w:rPr>
          <w:b/>
        </w:rPr>
        <w:t>Usable/us</w:t>
      </w:r>
      <w:r w:rsidR="00CD5759" w:rsidRPr="003D2F0E">
        <w:rPr>
          <w:b/>
        </w:rPr>
        <w:t>ability</w:t>
      </w:r>
      <w:r w:rsidR="00D02676">
        <w:rPr>
          <w:b/>
        </w:rPr>
        <w:t xml:space="preserve"> </w:t>
      </w:r>
      <w:r w:rsidR="00136925">
        <w:t xml:space="preserve">for the purpose of this Policy </w:t>
      </w:r>
      <w:r w:rsidR="00D02676">
        <w:t xml:space="preserve">refers to the ability </w:t>
      </w:r>
      <w:r w:rsidR="00136925">
        <w:t xml:space="preserve">of the data to be easily reused, transformed and shared by users through open formats and </w:t>
      </w:r>
      <w:r w:rsidR="00905EF8">
        <w:t>licences</w:t>
      </w:r>
      <w:r w:rsidR="00F22708">
        <w:t>.</w:t>
      </w:r>
    </w:p>
    <w:p w14:paraId="06041A4E" w14:textId="772074DF" w:rsidR="002E5FC8" w:rsidRDefault="002E5FC8" w:rsidP="002E5FC8">
      <w:pPr>
        <w:sectPr w:rsidR="002E5FC8" w:rsidSect="001E376D">
          <w:headerReference w:type="default" r:id="rId26"/>
          <w:footerReference w:type="even" r:id="rId27"/>
          <w:footerReference w:type="default" r:id="rId28"/>
          <w:pgSz w:w="11906" w:h="16838"/>
          <w:pgMar w:top="1440" w:right="1191" w:bottom="1440" w:left="1440" w:header="709" w:footer="624" w:gutter="0"/>
          <w:pgNumType w:start="1"/>
          <w:cols w:space="708"/>
          <w:docGrid w:linePitch="360"/>
        </w:sectPr>
      </w:pPr>
      <w:r>
        <w:t xml:space="preserve"> </w:t>
      </w:r>
    </w:p>
    <w:p w14:paraId="6671D00A" w14:textId="77777777" w:rsidR="002E5FC8" w:rsidRDefault="002E5FC8" w:rsidP="002E5FC8">
      <w:pPr>
        <w:spacing w:line="240" w:lineRule="auto"/>
        <w:jc w:val="left"/>
        <w:rPr>
          <w:b/>
          <w:lang w:val="en-GB"/>
        </w:rPr>
      </w:pPr>
    </w:p>
    <w:p w14:paraId="37470831" w14:textId="77777777" w:rsidR="002E5FC8" w:rsidRDefault="002E5FC8" w:rsidP="002E5FC8">
      <w:pPr>
        <w:spacing w:line="240" w:lineRule="auto"/>
        <w:jc w:val="left"/>
        <w:rPr>
          <w:b/>
          <w:lang w:val="en-GB"/>
        </w:rPr>
      </w:pPr>
    </w:p>
    <w:p w14:paraId="3B12239B" w14:textId="77777777" w:rsidR="002E5FC8" w:rsidRDefault="002E5FC8" w:rsidP="002E5FC8">
      <w:pPr>
        <w:spacing w:line="240" w:lineRule="auto"/>
        <w:jc w:val="left"/>
        <w:rPr>
          <w:b/>
          <w:lang w:val="en-GB"/>
        </w:rPr>
      </w:pPr>
    </w:p>
    <w:p w14:paraId="41ECC90D" w14:textId="77777777" w:rsidR="002E5FC8" w:rsidRDefault="002E5FC8" w:rsidP="002E5FC8">
      <w:pPr>
        <w:spacing w:line="240" w:lineRule="auto"/>
        <w:jc w:val="left"/>
        <w:rPr>
          <w:b/>
          <w:lang w:val="en-GB"/>
        </w:rPr>
      </w:pPr>
    </w:p>
    <w:p w14:paraId="33E9C619" w14:textId="77777777" w:rsidR="002E5FC8" w:rsidRDefault="002E5FC8" w:rsidP="002E5FC8">
      <w:pPr>
        <w:spacing w:line="240" w:lineRule="auto"/>
        <w:jc w:val="left"/>
        <w:rPr>
          <w:b/>
          <w:lang w:val="en-GB"/>
        </w:rPr>
      </w:pPr>
    </w:p>
    <w:p w14:paraId="2A6186C6" w14:textId="77777777" w:rsidR="002E5FC8" w:rsidRDefault="002E5FC8" w:rsidP="002E5FC8">
      <w:pPr>
        <w:spacing w:line="240" w:lineRule="auto"/>
        <w:jc w:val="left"/>
        <w:rPr>
          <w:b/>
          <w:lang w:val="en-GB"/>
        </w:rPr>
      </w:pPr>
    </w:p>
    <w:p w14:paraId="7A7C1DA9" w14:textId="77777777" w:rsidR="002E5FC8" w:rsidRDefault="002E5FC8" w:rsidP="002E5FC8">
      <w:pPr>
        <w:spacing w:line="240" w:lineRule="auto"/>
        <w:jc w:val="left"/>
        <w:rPr>
          <w:b/>
          <w:lang w:val="en-GB"/>
        </w:rPr>
      </w:pPr>
    </w:p>
    <w:p w14:paraId="068AE465" w14:textId="77777777" w:rsidR="002E5FC8" w:rsidRDefault="002E5FC8" w:rsidP="002E5FC8">
      <w:pPr>
        <w:spacing w:line="240" w:lineRule="auto"/>
        <w:jc w:val="left"/>
        <w:rPr>
          <w:b/>
          <w:lang w:val="en-GB"/>
        </w:rPr>
      </w:pPr>
    </w:p>
    <w:p w14:paraId="19689DE2" w14:textId="77777777" w:rsidR="002E5FC8" w:rsidRDefault="002E5FC8" w:rsidP="002E5FC8">
      <w:pPr>
        <w:spacing w:line="240" w:lineRule="auto"/>
        <w:jc w:val="left"/>
        <w:rPr>
          <w:b/>
          <w:lang w:val="en-GB"/>
        </w:rPr>
      </w:pPr>
    </w:p>
    <w:p w14:paraId="5D7D9A80" w14:textId="77777777" w:rsidR="002E5FC8" w:rsidRDefault="002E5FC8" w:rsidP="002E5FC8">
      <w:pPr>
        <w:spacing w:line="240" w:lineRule="auto"/>
        <w:jc w:val="left"/>
        <w:rPr>
          <w:b/>
          <w:lang w:val="en-GB"/>
        </w:rPr>
      </w:pPr>
    </w:p>
    <w:p w14:paraId="369D1191" w14:textId="77777777" w:rsidR="002E5FC8" w:rsidRDefault="002E5FC8" w:rsidP="002E5FC8">
      <w:pPr>
        <w:spacing w:line="240" w:lineRule="auto"/>
        <w:jc w:val="left"/>
        <w:rPr>
          <w:b/>
          <w:lang w:val="en-GB"/>
        </w:rPr>
      </w:pPr>
    </w:p>
    <w:p w14:paraId="42B7C530" w14:textId="77777777" w:rsidR="002E5FC8" w:rsidRDefault="002E5FC8" w:rsidP="002E5FC8">
      <w:pPr>
        <w:spacing w:line="240" w:lineRule="auto"/>
        <w:jc w:val="left"/>
        <w:rPr>
          <w:b/>
          <w:lang w:val="en-GB"/>
        </w:rPr>
      </w:pPr>
    </w:p>
    <w:p w14:paraId="1F14904A" w14:textId="77777777" w:rsidR="002E5FC8" w:rsidRDefault="002E5FC8" w:rsidP="002E5FC8">
      <w:pPr>
        <w:spacing w:line="240" w:lineRule="auto"/>
        <w:jc w:val="left"/>
        <w:rPr>
          <w:b/>
          <w:lang w:val="en-GB"/>
        </w:rPr>
      </w:pPr>
    </w:p>
    <w:p w14:paraId="72F03627" w14:textId="77777777" w:rsidR="002E5FC8" w:rsidRDefault="002E5FC8" w:rsidP="002E5FC8">
      <w:pPr>
        <w:spacing w:line="240" w:lineRule="auto"/>
        <w:jc w:val="left"/>
        <w:rPr>
          <w:b/>
          <w:lang w:val="en-GB"/>
        </w:rPr>
      </w:pPr>
    </w:p>
    <w:p w14:paraId="045A7D1E" w14:textId="77777777" w:rsidR="002E5FC8" w:rsidRDefault="002E5FC8" w:rsidP="002E5FC8">
      <w:pPr>
        <w:spacing w:line="240" w:lineRule="auto"/>
        <w:jc w:val="left"/>
        <w:rPr>
          <w:b/>
          <w:lang w:val="en-GB"/>
        </w:rPr>
      </w:pPr>
    </w:p>
    <w:p w14:paraId="1E7EA09F" w14:textId="77777777" w:rsidR="002E5FC8" w:rsidRDefault="002E5FC8" w:rsidP="002E5FC8">
      <w:pPr>
        <w:spacing w:line="240" w:lineRule="auto"/>
        <w:jc w:val="left"/>
        <w:rPr>
          <w:b/>
          <w:lang w:val="en-GB"/>
        </w:rPr>
      </w:pPr>
    </w:p>
    <w:p w14:paraId="7AE4BA7E" w14:textId="77777777" w:rsidR="002E5FC8" w:rsidRDefault="002E5FC8" w:rsidP="002E5FC8">
      <w:pPr>
        <w:spacing w:line="240" w:lineRule="auto"/>
        <w:jc w:val="left"/>
        <w:rPr>
          <w:b/>
          <w:lang w:val="en-GB"/>
        </w:rPr>
      </w:pPr>
    </w:p>
    <w:p w14:paraId="33D35F99" w14:textId="77777777" w:rsidR="002E5FC8" w:rsidRDefault="002E5FC8" w:rsidP="002E5FC8">
      <w:pPr>
        <w:spacing w:line="240" w:lineRule="auto"/>
        <w:jc w:val="left"/>
        <w:rPr>
          <w:b/>
          <w:lang w:val="en-GB"/>
        </w:rPr>
      </w:pPr>
    </w:p>
    <w:p w14:paraId="4F0732BE" w14:textId="77777777" w:rsidR="002E5FC8" w:rsidRDefault="002E5FC8" w:rsidP="002E5FC8">
      <w:pPr>
        <w:spacing w:line="240" w:lineRule="auto"/>
        <w:jc w:val="left"/>
        <w:rPr>
          <w:b/>
          <w:lang w:val="en-GB"/>
        </w:rPr>
      </w:pPr>
    </w:p>
    <w:p w14:paraId="62328BC5" w14:textId="77777777" w:rsidR="002E5FC8" w:rsidRDefault="002E5FC8" w:rsidP="002E5FC8">
      <w:pPr>
        <w:spacing w:line="240" w:lineRule="auto"/>
        <w:jc w:val="left"/>
        <w:rPr>
          <w:b/>
          <w:lang w:val="en-GB"/>
        </w:rPr>
      </w:pPr>
    </w:p>
    <w:p w14:paraId="48290239" w14:textId="77777777" w:rsidR="00492E90" w:rsidRDefault="00492E90" w:rsidP="002E5FC8">
      <w:pPr>
        <w:spacing w:line="240" w:lineRule="auto"/>
        <w:jc w:val="left"/>
        <w:rPr>
          <w:b/>
          <w:lang w:val="en-GB"/>
        </w:rPr>
      </w:pPr>
    </w:p>
    <w:p w14:paraId="68470FA2" w14:textId="77777777" w:rsidR="00492E90" w:rsidRDefault="00492E90" w:rsidP="002E5FC8">
      <w:pPr>
        <w:spacing w:line="240" w:lineRule="auto"/>
        <w:jc w:val="left"/>
        <w:rPr>
          <w:b/>
          <w:lang w:val="en-GB"/>
        </w:rPr>
      </w:pPr>
    </w:p>
    <w:p w14:paraId="092FAC45" w14:textId="77777777" w:rsidR="002E5FC8" w:rsidRDefault="002E5FC8" w:rsidP="002E5FC8">
      <w:pPr>
        <w:spacing w:line="240" w:lineRule="auto"/>
        <w:jc w:val="left"/>
        <w:rPr>
          <w:b/>
          <w:lang w:val="en-GB"/>
        </w:rPr>
      </w:pPr>
    </w:p>
    <w:p w14:paraId="04F0948F" w14:textId="77777777" w:rsidR="002E5FC8" w:rsidRDefault="002E5FC8" w:rsidP="002E5FC8">
      <w:pPr>
        <w:spacing w:line="240" w:lineRule="auto"/>
        <w:jc w:val="left"/>
        <w:rPr>
          <w:b/>
          <w:lang w:val="en-GB"/>
        </w:rPr>
      </w:pPr>
    </w:p>
    <w:p w14:paraId="1C7FDBFD" w14:textId="77777777" w:rsidR="002E5FC8" w:rsidRDefault="002E5FC8" w:rsidP="002E5FC8">
      <w:pPr>
        <w:rPr>
          <w:b/>
          <w:lang w:val="en-GB"/>
        </w:rPr>
      </w:pPr>
    </w:p>
    <w:p w14:paraId="70272890" w14:textId="77777777" w:rsidR="00F22708" w:rsidRDefault="00F22708" w:rsidP="002E5FC8">
      <w:pPr>
        <w:rPr>
          <w:b/>
          <w:lang w:val="en-GB"/>
        </w:rPr>
      </w:pPr>
      <w:r>
        <w:rPr>
          <w:b/>
          <w:lang w:val="en-GB"/>
        </w:rPr>
        <w:t>Acknowledgements</w:t>
      </w:r>
    </w:p>
    <w:p w14:paraId="294C0A3C" w14:textId="48989A85" w:rsidR="00F22708" w:rsidRDefault="00F22708" w:rsidP="00F22708">
      <w:pPr>
        <w:rPr>
          <w:lang w:val="en-GB"/>
        </w:rPr>
      </w:pPr>
      <w:r>
        <w:rPr>
          <w:lang w:val="en-GB"/>
        </w:rPr>
        <w:t xml:space="preserve">Special recognition is given to the following individuals for their contribution to the development of the </w:t>
      </w:r>
      <w:r w:rsidR="00571F5E">
        <w:rPr>
          <w:lang w:val="en-GB"/>
        </w:rPr>
        <w:t xml:space="preserve">initial version of the </w:t>
      </w:r>
      <w:r>
        <w:rPr>
          <w:lang w:val="en-GB"/>
        </w:rPr>
        <w:t>Western Australian Whole of Government Open Data Policy.</w:t>
      </w:r>
    </w:p>
    <w:p w14:paraId="65316541" w14:textId="77777777" w:rsidR="00F22708" w:rsidRDefault="00F22708" w:rsidP="00F22708">
      <w:pPr>
        <w:rPr>
          <w:lang w:val="en-GB"/>
        </w:rPr>
      </w:pPr>
    </w:p>
    <w:p w14:paraId="33065710" w14:textId="77777777" w:rsidR="00F22708" w:rsidRDefault="00F22708" w:rsidP="00F22708">
      <w:pPr>
        <w:spacing w:after="120" w:line="240" w:lineRule="auto"/>
        <w:ind w:left="567"/>
        <w:rPr>
          <w:lang w:val="en-GB"/>
        </w:rPr>
      </w:pPr>
      <w:r>
        <w:rPr>
          <w:lang w:val="en-GB"/>
        </w:rPr>
        <w:t>Marion Burchell, Department of the Premier and Cabinet – Lead for policy development</w:t>
      </w:r>
    </w:p>
    <w:p w14:paraId="1546E299" w14:textId="77777777" w:rsidR="00F22708" w:rsidRDefault="00F22708" w:rsidP="00F22708">
      <w:pPr>
        <w:spacing w:after="120" w:line="240" w:lineRule="auto"/>
        <w:ind w:left="567"/>
        <w:rPr>
          <w:lang w:val="en-GB"/>
        </w:rPr>
      </w:pPr>
      <w:r>
        <w:rPr>
          <w:lang w:val="en-GB"/>
        </w:rPr>
        <w:t>Karina Schaap, Department of the Premier and Cabinet – Lead for policy development</w:t>
      </w:r>
    </w:p>
    <w:p w14:paraId="5B6FBCA1" w14:textId="77777777" w:rsidR="00F22708" w:rsidRDefault="00F22708" w:rsidP="00F22708">
      <w:pPr>
        <w:spacing w:after="120" w:line="240" w:lineRule="auto"/>
        <w:ind w:left="567"/>
        <w:rPr>
          <w:lang w:val="en-GB"/>
        </w:rPr>
      </w:pPr>
      <w:r>
        <w:rPr>
          <w:lang w:val="en-GB"/>
        </w:rPr>
        <w:t>Damian Shepherd, Landgate – Contributor and lead for implementation</w:t>
      </w:r>
    </w:p>
    <w:p w14:paraId="68A45D67" w14:textId="77777777" w:rsidR="00F22708" w:rsidRDefault="00F22708" w:rsidP="00F22708">
      <w:pPr>
        <w:spacing w:after="120" w:line="240" w:lineRule="auto"/>
        <w:ind w:left="567"/>
        <w:rPr>
          <w:lang w:val="en-GB"/>
        </w:rPr>
      </w:pPr>
      <w:r>
        <w:rPr>
          <w:lang w:val="en-GB"/>
        </w:rPr>
        <w:t>Keith Moss, Landgate – Contributor and lead for implementation</w:t>
      </w:r>
    </w:p>
    <w:p w14:paraId="04A02E5C" w14:textId="77777777" w:rsidR="00F22708" w:rsidRDefault="00F22708" w:rsidP="00F22708">
      <w:pPr>
        <w:spacing w:after="120" w:line="240" w:lineRule="auto"/>
        <w:ind w:left="567"/>
        <w:rPr>
          <w:lang w:val="en-GB"/>
        </w:rPr>
      </w:pPr>
      <w:r>
        <w:rPr>
          <w:lang w:val="en-GB"/>
        </w:rPr>
        <w:t>John Dixon, Department of Finance – Contributor</w:t>
      </w:r>
    </w:p>
    <w:p w14:paraId="101F2F28" w14:textId="77777777" w:rsidR="00F22708" w:rsidRDefault="00F22708" w:rsidP="00F22708">
      <w:pPr>
        <w:spacing w:after="120" w:line="240" w:lineRule="auto"/>
        <w:ind w:left="567"/>
        <w:rPr>
          <w:lang w:val="en-GB"/>
        </w:rPr>
      </w:pPr>
      <w:r>
        <w:rPr>
          <w:lang w:val="en-GB"/>
        </w:rPr>
        <w:t>Louise Yeaman, Department of Finance – Contributor</w:t>
      </w:r>
    </w:p>
    <w:p w14:paraId="1760B9B2" w14:textId="77777777" w:rsidR="00F22708" w:rsidRDefault="00F22708" w:rsidP="00F22708">
      <w:pPr>
        <w:spacing w:after="120" w:line="240" w:lineRule="auto"/>
        <w:ind w:left="567"/>
        <w:rPr>
          <w:lang w:val="en-GB"/>
        </w:rPr>
      </w:pPr>
      <w:r>
        <w:rPr>
          <w:lang w:val="en-GB"/>
        </w:rPr>
        <w:t>Daniel Rodricks, Department of Finance - Contributor</w:t>
      </w:r>
    </w:p>
    <w:p w14:paraId="74C0A2EC" w14:textId="77777777" w:rsidR="00F22708" w:rsidRDefault="00F22708" w:rsidP="00F22708">
      <w:pPr>
        <w:spacing w:after="120" w:line="240" w:lineRule="auto"/>
        <w:ind w:left="567"/>
        <w:rPr>
          <w:lang w:val="en-GB"/>
        </w:rPr>
      </w:pPr>
      <w:r>
        <w:rPr>
          <w:lang w:val="en-GB"/>
        </w:rPr>
        <w:t>Coan Harvey, Department of Treasury – Contributor</w:t>
      </w:r>
    </w:p>
    <w:p w14:paraId="1D373FF5" w14:textId="77777777" w:rsidR="00F22708" w:rsidRDefault="00F22708" w:rsidP="00F22708">
      <w:pPr>
        <w:spacing w:after="120" w:line="240" w:lineRule="auto"/>
        <w:ind w:left="567"/>
        <w:rPr>
          <w:lang w:val="en-GB"/>
        </w:rPr>
      </w:pPr>
      <w:r>
        <w:rPr>
          <w:lang w:val="en-GB"/>
        </w:rPr>
        <w:t>Kurt Sibma, Department of Treasury – Contributor</w:t>
      </w:r>
    </w:p>
    <w:p w14:paraId="6B9D562B" w14:textId="77777777" w:rsidR="00F22708" w:rsidRDefault="00F22708" w:rsidP="00F22708">
      <w:pPr>
        <w:spacing w:after="120" w:line="240" w:lineRule="auto"/>
        <w:ind w:left="567"/>
        <w:rPr>
          <w:lang w:val="en-GB"/>
        </w:rPr>
      </w:pPr>
      <w:r>
        <w:rPr>
          <w:lang w:val="en-GB"/>
        </w:rPr>
        <w:t>Helen Ensikat, Economic Regulation Authority – Contributor</w:t>
      </w:r>
    </w:p>
    <w:p w14:paraId="0DFFAA5B" w14:textId="77777777" w:rsidR="00F22708" w:rsidRDefault="00F22708" w:rsidP="00F22708">
      <w:pPr>
        <w:spacing w:after="120" w:line="240" w:lineRule="auto"/>
        <w:ind w:left="567"/>
        <w:rPr>
          <w:lang w:val="en-GB"/>
        </w:rPr>
      </w:pPr>
      <w:r>
        <w:rPr>
          <w:lang w:val="en-GB"/>
        </w:rPr>
        <w:t>Michael Dickson, Department of Commerce</w:t>
      </w:r>
      <w:bookmarkStart w:id="0" w:name="_GoBack"/>
      <w:bookmarkEnd w:id="0"/>
      <w:r>
        <w:rPr>
          <w:lang w:val="en-GB"/>
        </w:rPr>
        <w:t xml:space="preserve"> – Contributor</w:t>
      </w:r>
    </w:p>
    <w:p w14:paraId="24372CEB" w14:textId="77777777" w:rsidR="00F22708" w:rsidRPr="00136925" w:rsidRDefault="00F22708"/>
    <w:sectPr w:rsidR="00F22708" w:rsidRPr="00136925" w:rsidSect="002074AD">
      <w:headerReference w:type="default" r:id="rId29"/>
      <w:footerReference w:type="even" r:id="rId30"/>
      <w:footerReference w:type="default" r:id="rId31"/>
      <w:pgSz w:w="11906" w:h="16838"/>
      <w:pgMar w:top="1440" w:right="1191"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E796" w14:textId="77777777" w:rsidR="003D5B0A" w:rsidRDefault="003D5B0A" w:rsidP="00762007">
      <w:pPr>
        <w:spacing w:line="240" w:lineRule="auto"/>
      </w:pPr>
      <w:r>
        <w:separator/>
      </w:r>
    </w:p>
  </w:endnote>
  <w:endnote w:type="continuationSeparator" w:id="0">
    <w:p w14:paraId="407025E9" w14:textId="77777777" w:rsidR="003D5B0A" w:rsidRDefault="003D5B0A" w:rsidP="0076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75F4" w14:textId="77777777" w:rsidR="00762007" w:rsidRPr="004365F0" w:rsidRDefault="00762007" w:rsidP="003477BB">
    <w:pPr>
      <w:pStyle w:val="Footer"/>
      <w:tabs>
        <w:tab w:val="clear" w:pos="9026"/>
        <w:tab w:val="right" w:pos="9356"/>
      </w:tabs>
      <w:rPr>
        <w:sz w:val="20"/>
        <w:szCs w:val="20"/>
      </w:rPr>
    </w:pPr>
    <w:r w:rsidRPr="004365F0">
      <w:rPr>
        <w:sz w:val="20"/>
        <w:szCs w:val="20"/>
      </w:rPr>
      <w:tab/>
    </w:r>
    <w:r w:rsidRPr="004365F0">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ED00" w14:textId="781A6D19" w:rsidR="001E376D" w:rsidRDefault="001E376D">
    <w:pPr>
      <w:pStyle w:val="Footer"/>
    </w:pPr>
    <w:r w:rsidRPr="004365F0">
      <w:rPr>
        <w:sz w:val="20"/>
        <w:szCs w:val="20"/>
      </w:rPr>
      <w:t xml:space="preserve">Page </w:t>
    </w:r>
    <w:r w:rsidRPr="004365F0">
      <w:rPr>
        <w:sz w:val="20"/>
        <w:szCs w:val="20"/>
      </w:rPr>
      <w:fldChar w:fldCharType="begin"/>
    </w:r>
    <w:r w:rsidRPr="004365F0">
      <w:rPr>
        <w:sz w:val="20"/>
        <w:szCs w:val="20"/>
      </w:rPr>
      <w:instrText xml:space="preserve"> PAGE   \* MERGEFORMAT </w:instrText>
    </w:r>
    <w:r w:rsidRPr="004365F0">
      <w:rPr>
        <w:sz w:val="20"/>
        <w:szCs w:val="20"/>
      </w:rPr>
      <w:fldChar w:fldCharType="separate"/>
    </w:r>
    <w:r w:rsidR="00A6599B">
      <w:rPr>
        <w:noProof/>
        <w:sz w:val="20"/>
        <w:szCs w:val="20"/>
      </w:rPr>
      <w:t>8</w:t>
    </w:r>
    <w:r w:rsidRPr="004365F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49E1" w14:textId="0D444B57" w:rsidR="003C0273" w:rsidRPr="004365F0" w:rsidRDefault="003C0273" w:rsidP="003477BB">
    <w:pPr>
      <w:pStyle w:val="Footer"/>
      <w:tabs>
        <w:tab w:val="clear" w:pos="9026"/>
        <w:tab w:val="right" w:pos="9356"/>
      </w:tabs>
      <w:rPr>
        <w:sz w:val="20"/>
        <w:szCs w:val="20"/>
      </w:rPr>
    </w:pPr>
    <w:r w:rsidRPr="004365F0">
      <w:rPr>
        <w:sz w:val="20"/>
        <w:szCs w:val="20"/>
      </w:rPr>
      <w:tab/>
    </w:r>
    <w:r w:rsidRPr="004365F0">
      <w:rPr>
        <w:sz w:val="20"/>
        <w:szCs w:val="20"/>
      </w:rPr>
      <w:tab/>
      <w:t xml:space="preserve">Page </w:t>
    </w:r>
    <w:r w:rsidRPr="004365F0">
      <w:rPr>
        <w:sz w:val="20"/>
        <w:szCs w:val="20"/>
      </w:rPr>
      <w:fldChar w:fldCharType="begin"/>
    </w:r>
    <w:r w:rsidRPr="004365F0">
      <w:rPr>
        <w:sz w:val="20"/>
        <w:szCs w:val="20"/>
      </w:rPr>
      <w:instrText xml:space="preserve"> PAGE   \* MERGEFORMAT </w:instrText>
    </w:r>
    <w:r w:rsidRPr="004365F0">
      <w:rPr>
        <w:sz w:val="20"/>
        <w:szCs w:val="20"/>
      </w:rPr>
      <w:fldChar w:fldCharType="separate"/>
    </w:r>
    <w:r w:rsidR="00A6599B">
      <w:rPr>
        <w:noProof/>
        <w:sz w:val="20"/>
        <w:szCs w:val="20"/>
      </w:rPr>
      <w:t>9</w:t>
    </w:r>
    <w:r w:rsidRPr="004365F0">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57BC" w14:textId="77777777" w:rsidR="001E376D" w:rsidRPr="001E376D" w:rsidRDefault="001E376D" w:rsidP="001E37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4D21" w14:textId="77777777" w:rsidR="002E5FC8" w:rsidRPr="004365F0" w:rsidRDefault="002E5FC8" w:rsidP="003477BB">
    <w:pPr>
      <w:pStyle w:val="Footer"/>
      <w:tabs>
        <w:tab w:val="clear" w:pos="9026"/>
        <w:tab w:val="right" w:pos="9356"/>
      </w:tabs>
      <w:rPr>
        <w:sz w:val="20"/>
        <w:szCs w:val="20"/>
      </w:rPr>
    </w:pPr>
    <w:r w:rsidRPr="004365F0">
      <w:rPr>
        <w:sz w:val="20"/>
        <w:szCs w:val="20"/>
      </w:rPr>
      <w:tab/>
    </w:r>
    <w:r w:rsidRPr="004365F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5E8E" w14:textId="77777777" w:rsidR="003D5B0A" w:rsidRDefault="003D5B0A" w:rsidP="00762007">
      <w:pPr>
        <w:spacing w:line="240" w:lineRule="auto"/>
      </w:pPr>
      <w:r>
        <w:separator/>
      </w:r>
    </w:p>
  </w:footnote>
  <w:footnote w:type="continuationSeparator" w:id="0">
    <w:p w14:paraId="1B3F0A2E" w14:textId="77777777" w:rsidR="003D5B0A" w:rsidRDefault="003D5B0A" w:rsidP="00762007">
      <w:pPr>
        <w:spacing w:line="240" w:lineRule="auto"/>
      </w:pPr>
      <w:r>
        <w:continuationSeparator/>
      </w:r>
    </w:p>
  </w:footnote>
  <w:footnote w:id="1">
    <w:p w14:paraId="0B00A02A" w14:textId="77777777" w:rsidR="000023D5" w:rsidRDefault="000023D5">
      <w:pPr>
        <w:pStyle w:val="FootnoteText"/>
      </w:pPr>
      <w:r>
        <w:rPr>
          <w:rStyle w:val="FootnoteReference"/>
        </w:rPr>
        <w:footnoteRef/>
      </w:r>
      <w:r>
        <w:t xml:space="preserve"> Refer to </w:t>
      </w:r>
      <w:r w:rsidRPr="000023D5">
        <w:rPr>
          <w:b/>
        </w:rPr>
        <w:t>Appendix A</w:t>
      </w:r>
      <w:r>
        <w:t xml:space="preserve"> for </w:t>
      </w:r>
      <w:r w:rsidR="00E41E69">
        <w:t xml:space="preserve">the </w:t>
      </w:r>
      <w:r>
        <w:t>definitions of terms used throughout the Policy</w:t>
      </w:r>
      <w:r w:rsidR="00FE373F" w:rsidRPr="00FE373F">
        <w:t xml:space="preserve"> </w:t>
      </w:r>
      <w:r w:rsidR="00FE373F">
        <w:t>(indicated in italics)</w:t>
      </w:r>
      <w:r>
        <w:t>.</w:t>
      </w:r>
    </w:p>
  </w:footnote>
  <w:footnote w:id="2">
    <w:p w14:paraId="320D1BF6" w14:textId="4B45223A" w:rsidR="00576042" w:rsidRPr="00492E90" w:rsidRDefault="00576042" w:rsidP="006816FC">
      <w:pPr>
        <w:pStyle w:val="FootnoteText"/>
        <w:spacing w:after="120"/>
        <w:ind w:left="142" w:hanging="142"/>
        <w:jc w:val="left"/>
      </w:pPr>
      <w:r w:rsidRPr="00492E90">
        <w:rPr>
          <w:rStyle w:val="FootnoteReference"/>
        </w:rPr>
        <w:footnoteRef/>
      </w:r>
      <w:r w:rsidRPr="00492E90">
        <w:t xml:space="preserve"> Creative Commons Australia</w:t>
      </w:r>
      <w:r w:rsidR="009B2D79" w:rsidRPr="00492E90">
        <w:t>.</w:t>
      </w:r>
      <w:r w:rsidR="0036215E" w:rsidRPr="00492E90">
        <w:t xml:space="preserve"> (n.d.).</w:t>
      </w:r>
      <w:r w:rsidR="009B2D79" w:rsidRPr="00492E90">
        <w:t xml:space="preserve"> </w:t>
      </w:r>
      <w:r w:rsidR="009B2D79" w:rsidRPr="00492E90">
        <w:rPr>
          <w:i/>
        </w:rPr>
        <w:t>About the Licences</w:t>
      </w:r>
      <w:r w:rsidR="009B2D79" w:rsidRPr="00492E90">
        <w:t xml:space="preserve">. Retrieved </w:t>
      </w:r>
      <w:r w:rsidR="00425729" w:rsidRPr="00492E90">
        <w:t xml:space="preserve">9 </w:t>
      </w:r>
      <w:r w:rsidR="0036215E" w:rsidRPr="00492E90">
        <w:t xml:space="preserve">April 2015, </w:t>
      </w:r>
      <w:r w:rsidR="009B2D79" w:rsidRPr="00492E90">
        <w:t xml:space="preserve">from </w:t>
      </w:r>
      <w:hyperlink r:id="rId1" w:history="1">
        <w:r w:rsidR="009B2D79" w:rsidRPr="00492E90">
          <w:rPr>
            <w:rStyle w:val="Hyperlink"/>
          </w:rPr>
          <w:t>http://creativecommons.org.au/learn/licences/</w:t>
        </w:r>
      </w:hyperlink>
      <w:r w:rsidR="009B2D79" w:rsidRPr="00492E90">
        <w:t xml:space="preserve"> </w:t>
      </w:r>
    </w:p>
  </w:footnote>
  <w:footnote w:id="3">
    <w:p w14:paraId="3BF688C1" w14:textId="416DEA63" w:rsidR="003D2F0E" w:rsidRDefault="003D2F0E" w:rsidP="008A594D">
      <w:pPr>
        <w:pStyle w:val="FootnoteText"/>
        <w:ind w:left="142" w:hanging="142"/>
        <w:jc w:val="left"/>
      </w:pPr>
      <w:r w:rsidRPr="00492E90">
        <w:rPr>
          <w:rStyle w:val="FootnoteReference"/>
        </w:rPr>
        <w:footnoteRef/>
      </w:r>
      <w:r w:rsidRPr="00492E90">
        <w:t xml:space="preserve"> Office of the Australian Information Commissioner</w:t>
      </w:r>
      <w:r w:rsidR="0036215E" w:rsidRPr="00492E90">
        <w:t xml:space="preserve">. (2012). </w:t>
      </w:r>
      <w:r w:rsidR="0036215E" w:rsidRPr="00492E90">
        <w:rPr>
          <w:i/>
        </w:rPr>
        <w:t xml:space="preserve">Open public sector information: from principles to practice. </w:t>
      </w:r>
      <w:r w:rsidR="0036215E" w:rsidRPr="00492E90">
        <w:t xml:space="preserve">Retrieved </w:t>
      </w:r>
      <w:r w:rsidR="00425729" w:rsidRPr="00492E90">
        <w:t xml:space="preserve">9 </w:t>
      </w:r>
      <w:r w:rsidR="0036215E" w:rsidRPr="00492E90">
        <w:t>April 2015, from</w:t>
      </w:r>
      <w:hyperlink r:id="rId2" w:history="1">
        <w:r w:rsidR="007E74FA" w:rsidRPr="007E74FA">
          <w:rPr>
            <w:rStyle w:val="Hyperlink"/>
          </w:rPr>
          <w:t>https://www.oaic.gov.au/information-policy/information-policy-resources/open-public-sector-information-from-principles-to-practice</w:t>
        </w:r>
      </w:hyperlink>
    </w:p>
  </w:footnote>
  <w:footnote w:id="4">
    <w:p w14:paraId="7BE92C86" w14:textId="725756D4" w:rsidR="00B25CA4" w:rsidRPr="008A594D" w:rsidRDefault="00B25CA4" w:rsidP="006816FC">
      <w:pPr>
        <w:pStyle w:val="FootnoteText"/>
        <w:spacing w:after="120"/>
        <w:ind w:left="142" w:hanging="142"/>
        <w:jc w:val="left"/>
      </w:pPr>
      <w:r>
        <w:rPr>
          <w:rStyle w:val="FootnoteReference"/>
        </w:rPr>
        <w:footnoteRef/>
      </w:r>
      <w:r>
        <w:t xml:space="preserve"> </w:t>
      </w:r>
      <w:r w:rsidR="008A594D">
        <w:t xml:space="preserve">Tim Berners-Lee, </w:t>
      </w:r>
      <w:r>
        <w:t>World Wide Web Consortium</w:t>
      </w:r>
      <w:r w:rsidR="008A594D">
        <w:t xml:space="preserve">. (2006). </w:t>
      </w:r>
      <w:r w:rsidR="008A594D">
        <w:rPr>
          <w:i/>
        </w:rPr>
        <w:t xml:space="preserve">5 Star Open Data Model. </w:t>
      </w:r>
      <w:r w:rsidR="008A594D">
        <w:t xml:space="preserve">Retrieved 9 April 2015, from </w:t>
      </w:r>
      <w:hyperlink r:id="rId3" w:history="1">
        <w:r w:rsidR="008A594D" w:rsidRPr="008B6D04">
          <w:rPr>
            <w:rStyle w:val="Hyperlink"/>
          </w:rPr>
          <w:t>http://5stardata.info/</w:t>
        </w:r>
      </w:hyperlink>
      <w:r w:rsidR="008A594D">
        <w:t xml:space="preserve">  </w:t>
      </w:r>
    </w:p>
  </w:footnote>
  <w:footnote w:id="5">
    <w:p w14:paraId="3B5E1DC5" w14:textId="28960DAD" w:rsidR="003F6E6C" w:rsidRDefault="003F6E6C" w:rsidP="008A594D">
      <w:pPr>
        <w:pStyle w:val="FootnoteText"/>
        <w:ind w:left="142" w:hanging="142"/>
        <w:jc w:val="left"/>
      </w:pPr>
      <w:r>
        <w:rPr>
          <w:vertAlign w:val="superscript"/>
        </w:rPr>
        <w:footnoteRef/>
      </w:r>
      <w:r>
        <w:t xml:space="preserve"> </w:t>
      </w:r>
      <w:r w:rsidR="0036215E">
        <w:t>Australian Bureau of Statistics</w:t>
      </w:r>
      <w:r w:rsidR="00425729">
        <w:t xml:space="preserve">. (2009). </w:t>
      </w:r>
      <w:r w:rsidR="00425729">
        <w:rPr>
          <w:i/>
        </w:rPr>
        <w:t xml:space="preserve">1520.0 – ABS Data Quality Framework. </w:t>
      </w:r>
      <w:r w:rsidR="00425729">
        <w:t xml:space="preserve">Retrieved 9 April 2015, from </w:t>
      </w:r>
      <w:hyperlink r:id="rId4" w:history="1">
        <w:r w:rsidR="001748FD" w:rsidRPr="008B6D04">
          <w:rPr>
            <w:rStyle w:val="Hyperlink"/>
          </w:rPr>
          <w:t>http://www.abs.gov.au/ausstats/abs@.nsf/Latestproducts/1520.0Main%20Features2May%202009?opendocument&amp;tabname=Summary&amp;prodno=1520.0&amp;issue=May%202009&amp;num=&amp;view</w:t>
        </w:r>
      </w:hyperlink>
      <w:r w:rsidR="004257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9F5B" w14:textId="77777777" w:rsidR="003C0273" w:rsidRPr="003477BB" w:rsidRDefault="003C0273" w:rsidP="003477BB">
    <w:pPr>
      <w:pStyle w:val="Header"/>
      <w:jc w:val="center"/>
      <w:rPr>
        <w:b/>
      </w:rPr>
    </w:pPr>
    <w:r w:rsidRPr="003477BB">
      <w:rPr>
        <w:b/>
      </w:rPr>
      <w:t xml:space="preserve">Western Australian </w:t>
    </w:r>
    <w:r>
      <w:rPr>
        <w:b/>
      </w:rPr>
      <w:t xml:space="preserve">Whole of Government </w:t>
    </w:r>
    <w:r w:rsidRPr="003477BB">
      <w:rPr>
        <w:b/>
      </w:rPr>
      <w:t>Open Data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737F" w14:textId="77777777" w:rsidR="002E5FC8" w:rsidRPr="002E5FC8" w:rsidRDefault="002E5FC8" w:rsidP="002E5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F7"/>
    <w:multiLevelType w:val="hybridMultilevel"/>
    <w:tmpl w:val="0220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6772D"/>
    <w:multiLevelType w:val="hybridMultilevel"/>
    <w:tmpl w:val="85F6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C6D2A"/>
    <w:multiLevelType w:val="hybridMultilevel"/>
    <w:tmpl w:val="41888A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EB43885"/>
    <w:multiLevelType w:val="hybridMultilevel"/>
    <w:tmpl w:val="2F1C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82BC5"/>
    <w:multiLevelType w:val="hybridMultilevel"/>
    <w:tmpl w:val="C6149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80128"/>
    <w:multiLevelType w:val="hybridMultilevel"/>
    <w:tmpl w:val="1C94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F1911"/>
    <w:multiLevelType w:val="hybridMultilevel"/>
    <w:tmpl w:val="BC8C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534EF"/>
    <w:multiLevelType w:val="hybridMultilevel"/>
    <w:tmpl w:val="F32A1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96EF2"/>
    <w:multiLevelType w:val="hybridMultilevel"/>
    <w:tmpl w:val="F754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06F3B"/>
    <w:multiLevelType w:val="hybridMultilevel"/>
    <w:tmpl w:val="F1284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A48C6"/>
    <w:multiLevelType w:val="hybridMultilevel"/>
    <w:tmpl w:val="4B14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96EE9"/>
    <w:multiLevelType w:val="hybridMultilevel"/>
    <w:tmpl w:val="718A5A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7EC3E0A"/>
    <w:multiLevelType w:val="hybridMultilevel"/>
    <w:tmpl w:val="9F5C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6643F"/>
    <w:multiLevelType w:val="hybridMultilevel"/>
    <w:tmpl w:val="B2029D86"/>
    <w:lvl w:ilvl="0" w:tplc="A942DBB6">
      <w:start w:val="1"/>
      <w:numFmt w:val="bullet"/>
      <w:pStyle w:val="ListParagraph"/>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F0793"/>
    <w:multiLevelType w:val="hybridMultilevel"/>
    <w:tmpl w:val="90B2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4201"/>
    <w:multiLevelType w:val="hybridMultilevel"/>
    <w:tmpl w:val="A782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77DC4"/>
    <w:multiLevelType w:val="hybridMultilevel"/>
    <w:tmpl w:val="2D2676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3FA01C8"/>
    <w:multiLevelType w:val="hybridMultilevel"/>
    <w:tmpl w:val="0694D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382174"/>
    <w:multiLevelType w:val="hybridMultilevel"/>
    <w:tmpl w:val="0E9849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D85201D"/>
    <w:multiLevelType w:val="hybridMultilevel"/>
    <w:tmpl w:val="6C94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03A82"/>
    <w:multiLevelType w:val="hybridMultilevel"/>
    <w:tmpl w:val="368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4116A"/>
    <w:multiLevelType w:val="hybridMultilevel"/>
    <w:tmpl w:val="A856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40449"/>
    <w:multiLevelType w:val="hybridMultilevel"/>
    <w:tmpl w:val="9DB6B8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4D127D5"/>
    <w:multiLevelType w:val="hybridMultilevel"/>
    <w:tmpl w:val="EF5AE4C4"/>
    <w:lvl w:ilvl="0" w:tplc="4B289DC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5956F9"/>
    <w:multiLevelType w:val="hybridMultilevel"/>
    <w:tmpl w:val="910A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E844E2"/>
    <w:multiLevelType w:val="hybridMultilevel"/>
    <w:tmpl w:val="D036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610205"/>
    <w:multiLevelType w:val="hybridMultilevel"/>
    <w:tmpl w:val="CF80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F36A83"/>
    <w:multiLevelType w:val="hybridMultilevel"/>
    <w:tmpl w:val="CFB6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A0B55"/>
    <w:multiLevelType w:val="hybridMultilevel"/>
    <w:tmpl w:val="BE9AA5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A6C79C7"/>
    <w:multiLevelType w:val="hybridMultilevel"/>
    <w:tmpl w:val="1FC42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5313A14"/>
    <w:multiLevelType w:val="hybridMultilevel"/>
    <w:tmpl w:val="8662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3319A"/>
    <w:multiLevelType w:val="multilevel"/>
    <w:tmpl w:val="9916478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98B2DBE"/>
    <w:multiLevelType w:val="hybridMultilevel"/>
    <w:tmpl w:val="F8880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6"/>
  </w:num>
  <w:num w:numId="4">
    <w:abstractNumId w:val="23"/>
  </w:num>
  <w:num w:numId="5">
    <w:abstractNumId w:val="12"/>
  </w:num>
  <w:num w:numId="6">
    <w:abstractNumId w:val="17"/>
  </w:num>
  <w:num w:numId="7">
    <w:abstractNumId w:val="25"/>
  </w:num>
  <w:num w:numId="8">
    <w:abstractNumId w:val="6"/>
  </w:num>
  <w:num w:numId="9">
    <w:abstractNumId w:val="29"/>
  </w:num>
  <w:num w:numId="10">
    <w:abstractNumId w:val="3"/>
  </w:num>
  <w:num w:numId="11">
    <w:abstractNumId w:val="28"/>
  </w:num>
  <w:num w:numId="12">
    <w:abstractNumId w:val="1"/>
  </w:num>
  <w:num w:numId="13">
    <w:abstractNumId w:val="31"/>
  </w:num>
  <w:num w:numId="14">
    <w:abstractNumId w:val="31"/>
  </w:num>
  <w:num w:numId="15">
    <w:abstractNumId w:val="10"/>
  </w:num>
  <w:num w:numId="16">
    <w:abstractNumId w:val="5"/>
  </w:num>
  <w:num w:numId="17">
    <w:abstractNumId w:val="9"/>
  </w:num>
  <w:num w:numId="18">
    <w:abstractNumId w:val="20"/>
  </w:num>
  <w:num w:numId="19">
    <w:abstractNumId w:val="13"/>
  </w:num>
  <w:num w:numId="20">
    <w:abstractNumId w:val="27"/>
  </w:num>
  <w:num w:numId="21">
    <w:abstractNumId w:val="14"/>
  </w:num>
  <w:num w:numId="22">
    <w:abstractNumId w:val="0"/>
  </w:num>
  <w:num w:numId="23">
    <w:abstractNumId w:val="15"/>
  </w:num>
  <w:num w:numId="24">
    <w:abstractNumId w:val="19"/>
  </w:num>
  <w:num w:numId="25">
    <w:abstractNumId w:val="7"/>
  </w:num>
  <w:num w:numId="26">
    <w:abstractNumId w:val="31"/>
  </w:num>
  <w:num w:numId="27">
    <w:abstractNumId w:val="16"/>
  </w:num>
  <w:num w:numId="28">
    <w:abstractNumId w:val="11"/>
  </w:num>
  <w:num w:numId="29">
    <w:abstractNumId w:val="21"/>
  </w:num>
  <w:num w:numId="30">
    <w:abstractNumId w:val="13"/>
  </w:num>
  <w:num w:numId="31">
    <w:abstractNumId w:val="24"/>
  </w:num>
  <w:num w:numId="32">
    <w:abstractNumId w:val="13"/>
  </w:num>
  <w:num w:numId="33">
    <w:abstractNumId w:val="13"/>
  </w:num>
  <w:num w:numId="34">
    <w:abstractNumId w:val="4"/>
  </w:num>
  <w:num w:numId="35">
    <w:abstractNumId w:val="8"/>
  </w:num>
  <w:num w:numId="36">
    <w:abstractNumId w:val="30"/>
  </w:num>
  <w:num w:numId="37">
    <w:abstractNumId w:val="2"/>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FA"/>
    <w:rsid w:val="00000045"/>
    <w:rsid w:val="00001577"/>
    <w:rsid w:val="000023D5"/>
    <w:rsid w:val="00002A26"/>
    <w:rsid w:val="000049FE"/>
    <w:rsid w:val="000051A4"/>
    <w:rsid w:val="00011B9F"/>
    <w:rsid w:val="00013F8F"/>
    <w:rsid w:val="000218A6"/>
    <w:rsid w:val="00021E56"/>
    <w:rsid w:val="0002250B"/>
    <w:rsid w:val="00022683"/>
    <w:rsid w:val="00027727"/>
    <w:rsid w:val="00027A91"/>
    <w:rsid w:val="00027D75"/>
    <w:rsid w:val="00032B55"/>
    <w:rsid w:val="000355EA"/>
    <w:rsid w:val="00036CDE"/>
    <w:rsid w:val="0004034F"/>
    <w:rsid w:val="00050ECC"/>
    <w:rsid w:val="000520C0"/>
    <w:rsid w:val="00057AA3"/>
    <w:rsid w:val="00060179"/>
    <w:rsid w:val="000601F7"/>
    <w:rsid w:val="00066F1C"/>
    <w:rsid w:val="00070BE6"/>
    <w:rsid w:val="00073AF4"/>
    <w:rsid w:val="00075337"/>
    <w:rsid w:val="00083349"/>
    <w:rsid w:val="00087BD4"/>
    <w:rsid w:val="00094F41"/>
    <w:rsid w:val="000A2545"/>
    <w:rsid w:val="000B40E0"/>
    <w:rsid w:val="000C25A0"/>
    <w:rsid w:val="000C2688"/>
    <w:rsid w:val="000C27C9"/>
    <w:rsid w:val="000C2CB8"/>
    <w:rsid w:val="000C542B"/>
    <w:rsid w:val="000C5C9C"/>
    <w:rsid w:val="000C62CD"/>
    <w:rsid w:val="000C75FF"/>
    <w:rsid w:val="000D047F"/>
    <w:rsid w:val="000D3C82"/>
    <w:rsid w:val="000D5D16"/>
    <w:rsid w:val="000D7B92"/>
    <w:rsid w:val="000E16D5"/>
    <w:rsid w:val="000E5C6A"/>
    <w:rsid w:val="000E6120"/>
    <w:rsid w:val="000E6F06"/>
    <w:rsid w:val="000F1DEB"/>
    <w:rsid w:val="000F4C03"/>
    <w:rsid w:val="000F68EB"/>
    <w:rsid w:val="000F6D2D"/>
    <w:rsid w:val="0010005C"/>
    <w:rsid w:val="0010325F"/>
    <w:rsid w:val="00107268"/>
    <w:rsid w:val="00107574"/>
    <w:rsid w:val="00110020"/>
    <w:rsid w:val="00114B9D"/>
    <w:rsid w:val="001151F7"/>
    <w:rsid w:val="00121DA9"/>
    <w:rsid w:val="001235E1"/>
    <w:rsid w:val="00123617"/>
    <w:rsid w:val="0012656B"/>
    <w:rsid w:val="00127E75"/>
    <w:rsid w:val="0013040F"/>
    <w:rsid w:val="00131FF9"/>
    <w:rsid w:val="00132F85"/>
    <w:rsid w:val="0013327D"/>
    <w:rsid w:val="00136925"/>
    <w:rsid w:val="00136F0C"/>
    <w:rsid w:val="00141622"/>
    <w:rsid w:val="00141D0D"/>
    <w:rsid w:val="00141F8C"/>
    <w:rsid w:val="00147D1E"/>
    <w:rsid w:val="00153532"/>
    <w:rsid w:val="00164118"/>
    <w:rsid w:val="0017097E"/>
    <w:rsid w:val="00173E8B"/>
    <w:rsid w:val="001748FD"/>
    <w:rsid w:val="00177144"/>
    <w:rsid w:val="00181496"/>
    <w:rsid w:val="0018468B"/>
    <w:rsid w:val="001920B2"/>
    <w:rsid w:val="00193A44"/>
    <w:rsid w:val="00194350"/>
    <w:rsid w:val="001969C8"/>
    <w:rsid w:val="001A0C84"/>
    <w:rsid w:val="001A12A4"/>
    <w:rsid w:val="001A15A6"/>
    <w:rsid w:val="001A35A8"/>
    <w:rsid w:val="001A39CC"/>
    <w:rsid w:val="001B309D"/>
    <w:rsid w:val="001C4C33"/>
    <w:rsid w:val="001C6755"/>
    <w:rsid w:val="001E0A29"/>
    <w:rsid w:val="001E1BBF"/>
    <w:rsid w:val="001E23E3"/>
    <w:rsid w:val="001E2EB5"/>
    <w:rsid w:val="001E376D"/>
    <w:rsid w:val="001E3A9A"/>
    <w:rsid w:val="001E3DCA"/>
    <w:rsid w:val="001E799E"/>
    <w:rsid w:val="00201F5D"/>
    <w:rsid w:val="00205E2A"/>
    <w:rsid w:val="002074AD"/>
    <w:rsid w:val="002163F4"/>
    <w:rsid w:val="00220635"/>
    <w:rsid w:val="00221961"/>
    <w:rsid w:val="0022523C"/>
    <w:rsid w:val="002325A3"/>
    <w:rsid w:val="00232A6C"/>
    <w:rsid w:val="00235093"/>
    <w:rsid w:val="00236112"/>
    <w:rsid w:val="00243880"/>
    <w:rsid w:val="002447D6"/>
    <w:rsid w:val="00252D65"/>
    <w:rsid w:val="00252E85"/>
    <w:rsid w:val="00253A8F"/>
    <w:rsid w:val="00257663"/>
    <w:rsid w:val="0026026A"/>
    <w:rsid w:val="00260401"/>
    <w:rsid w:val="00260974"/>
    <w:rsid w:val="0026354D"/>
    <w:rsid w:val="00264994"/>
    <w:rsid w:val="00264E6E"/>
    <w:rsid w:val="0027111F"/>
    <w:rsid w:val="00275D9F"/>
    <w:rsid w:val="00283F37"/>
    <w:rsid w:val="002876A3"/>
    <w:rsid w:val="00287C3D"/>
    <w:rsid w:val="002904A6"/>
    <w:rsid w:val="00290EB2"/>
    <w:rsid w:val="002916E9"/>
    <w:rsid w:val="002922C5"/>
    <w:rsid w:val="00293022"/>
    <w:rsid w:val="002A23DA"/>
    <w:rsid w:val="002A35B4"/>
    <w:rsid w:val="002B0737"/>
    <w:rsid w:val="002B1F22"/>
    <w:rsid w:val="002B30CC"/>
    <w:rsid w:val="002B4032"/>
    <w:rsid w:val="002B53D4"/>
    <w:rsid w:val="002B68DA"/>
    <w:rsid w:val="002B6C1C"/>
    <w:rsid w:val="002B7390"/>
    <w:rsid w:val="002C22EC"/>
    <w:rsid w:val="002D1CE4"/>
    <w:rsid w:val="002D6A96"/>
    <w:rsid w:val="002E0AA9"/>
    <w:rsid w:val="002E5FC8"/>
    <w:rsid w:val="002F03D4"/>
    <w:rsid w:val="002F152F"/>
    <w:rsid w:val="002F3A2A"/>
    <w:rsid w:val="002F5738"/>
    <w:rsid w:val="0030051A"/>
    <w:rsid w:val="00300D1F"/>
    <w:rsid w:val="00300E7B"/>
    <w:rsid w:val="0030496F"/>
    <w:rsid w:val="00305D9D"/>
    <w:rsid w:val="00311321"/>
    <w:rsid w:val="003113A3"/>
    <w:rsid w:val="003168CB"/>
    <w:rsid w:val="00332F79"/>
    <w:rsid w:val="003330A3"/>
    <w:rsid w:val="00341474"/>
    <w:rsid w:val="00341AB0"/>
    <w:rsid w:val="00343151"/>
    <w:rsid w:val="00344B24"/>
    <w:rsid w:val="00344E0A"/>
    <w:rsid w:val="0034610C"/>
    <w:rsid w:val="003466AA"/>
    <w:rsid w:val="003477BB"/>
    <w:rsid w:val="00351ECB"/>
    <w:rsid w:val="00351FA9"/>
    <w:rsid w:val="00354E3A"/>
    <w:rsid w:val="00355E8B"/>
    <w:rsid w:val="00356E74"/>
    <w:rsid w:val="00361E77"/>
    <w:rsid w:val="0036215E"/>
    <w:rsid w:val="00365BCA"/>
    <w:rsid w:val="00370A2D"/>
    <w:rsid w:val="00370A47"/>
    <w:rsid w:val="00370B4A"/>
    <w:rsid w:val="003773F6"/>
    <w:rsid w:val="00383BE1"/>
    <w:rsid w:val="00384960"/>
    <w:rsid w:val="00387381"/>
    <w:rsid w:val="00387646"/>
    <w:rsid w:val="00390A0E"/>
    <w:rsid w:val="003937B8"/>
    <w:rsid w:val="00397AFA"/>
    <w:rsid w:val="00397B68"/>
    <w:rsid w:val="003A00DF"/>
    <w:rsid w:val="003A1360"/>
    <w:rsid w:val="003A2DF9"/>
    <w:rsid w:val="003B6084"/>
    <w:rsid w:val="003C0273"/>
    <w:rsid w:val="003C02F6"/>
    <w:rsid w:val="003C17E0"/>
    <w:rsid w:val="003C33F7"/>
    <w:rsid w:val="003D1383"/>
    <w:rsid w:val="003D247F"/>
    <w:rsid w:val="003D2F0E"/>
    <w:rsid w:val="003D304D"/>
    <w:rsid w:val="003D37FC"/>
    <w:rsid w:val="003D5B0A"/>
    <w:rsid w:val="003D6631"/>
    <w:rsid w:val="003D7196"/>
    <w:rsid w:val="003F0B86"/>
    <w:rsid w:val="003F1547"/>
    <w:rsid w:val="003F2807"/>
    <w:rsid w:val="003F6E6C"/>
    <w:rsid w:val="003F7552"/>
    <w:rsid w:val="00400CA1"/>
    <w:rsid w:val="004050FA"/>
    <w:rsid w:val="004058DC"/>
    <w:rsid w:val="00406F48"/>
    <w:rsid w:val="00421161"/>
    <w:rsid w:val="00422FBD"/>
    <w:rsid w:val="00425729"/>
    <w:rsid w:val="004365F0"/>
    <w:rsid w:val="00437333"/>
    <w:rsid w:val="00437A70"/>
    <w:rsid w:val="00447841"/>
    <w:rsid w:val="00456846"/>
    <w:rsid w:val="0046267D"/>
    <w:rsid w:val="00464A95"/>
    <w:rsid w:val="0046551B"/>
    <w:rsid w:val="00470381"/>
    <w:rsid w:val="00473191"/>
    <w:rsid w:val="00473B52"/>
    <w:rsid w:val="00475835"/>
    <w:rsid w:val="0047692E"/>
    <w:rsid w:val="0047774A"/>
    <w:rsid w:val="004812BC"/>
    <w:rsid w:val="004816A1"/>
    <w:rsid w:val="00481D64"/>
    <w:rsid w:val="00481F59"/>
    <w:rsid w:val="00484F94"/>
    <w:rsid w:val="004859A6"/>
    <w:rsid w:val="0049258A"/>
    <w:rsid w:val="00492E90"/>
    <w:rsid w:val="004A1EE9"/>
    <w:rsid w:val="004A2D96"/>
    <w:rsid w:val="004B0747"/>
    <w:rsid w:val="004B0F7F"/>
    <w:rsid w:val="004B4687"/>
    <w:rsid w:val="004B625E"/>
    <w:rsid w:val="004C7A09"/>
    <w:rsid w:val="004D1EE2"/>
    <w:rsid w:val="004D3299"/>
    <w:rsid w:val="004D4185"/>
    <w:rsid w:val="004E0C82"/>
    <w:rsid w:val="004E0CF4"/>
    <w:rsid w:val="004E2233"/>
    <w:rsid w:val="004E49CF"/>
    <w:rsid w:val="004E61A4"/>
    <w:rsid w:val="004F3BAB"/>
    <w:rsid w:val="004F629A"/>
    <w:rsid w:val="004F7380"/>
    <w:rsid w:val="005054AD"/>
    <w:rsid w:val="00511236"/>
    <w:rsid w:val="00516963"/>
    <w:rsid w:val="005201F3"/>
    <w:rsid w:val="00520300"/>
    <w:rsid w:val="00521254"/>
    <w:rsid w:val="00526576"/>
    <w:rsid w:val="00527AE2"/>
    <w:rsid w:val="005309B3"/>
    <w:rsid w:val="0053111D"/>
    <w:rsid w:val="005336E9"/>
    <w:rsid w:val="00536BC6"/>
    <w:rsid w:val="00537B08"/>
    <w:rsid w:val="005404E4"/>
    <w:rsid w:val="00542829"/>
    <w:rsid w:val="0054732A"/>
    <w:rsid w:val="00550E90"/>
    <w:rsid w:val="00552C82"/>
    <w:rsid w:val="005558C8"/>
    <w:rsid w:val="005636E9"/>
    <w:rsid w:val="00571681"/>
    <w:rsid w:val="00571F5E"/>
    <w:rsid w:val="00576042"/>
    <w:rsid w:val="005808A2"/>
    <w:rsid w:val="00583FB3"/>
    <w:rsid w:val="005869A4"/>
    <w:rsid w:val="00587C82"/>
    <w:rsid w:val="00587FEE"/>
    <w:rsid w:val="00590298"/>
    <w:rsid w:val="005908FF"/>
    <w:rsid w:val="00591B93"/>
    <w:rsid w:val="0059507D"/>
    <w:rsid w:val="00597C33"/>
    <w:rsid w:val="005A1D9B"/>
    <w:rsid w:val="005A3BB0"/>
    <w:rsid w:val="005A5F7B"/>
    <w:rsid w:val="005B22F6"/>
    <w:rsid w:val="005B31D0"/>
    <w:rsid w:val="005B5B41"/>
    <w:rsid w:val="005B730C"/>
    <w:rsid w:val="005C052F"/>
    <w:rsid w:val="005C0CAD"/>
    <w:rsid w:val="005C16E8"/>
    <w:rsid w:val="005C3685"/>
    <w:rsid w:val="005C5D23"/>
    <w:rsid w:val="005C5E4B"/>
    <w:rsid w:val="005D23EE"/>
    <w:rsid w:val="005D25C2"/>
    <w:rsid w:val="005E113F"/>
    <w:rsid w:val="005F6861"/>
    <w:rsid w:val="005F792C"/>
    <w:rsid w:val="0060082F"/>
    <w:rsid w:val="00601A2E"/>
    <w:rsid w:val="00606A39"/>
    <w:rsid w:val="00614FD4"/>
    <w:rsid w:val="006163D4"/>
    <w:rsid w:val="006202DA"/>
    <w:rsid w:val="006206F7"/>
    <w:rsid w:val="00622B8E"/>
    <w:rsid w:val="00623258"/>
    <w:rsid w:val="00623B23"/>
    <w:rsid w:val="00625CF6"/>
    <w:rsid w:val="00627C4C"/>
    <w:rsid w:val="00634375"/>
    <w:rsid w:val="00634688"/>
    <w:rsid w:val="00640B53"/>
    <w:rsid w:val="00652014"/>
    <w:rsid w:val="00653757"/>
    <w:rsid w:val="006604B2"/>
    <w:rsid w:val="00661A3E"/>
    <w:rsid w:val="006637B4"/>
    <w:rsid w:val="006640D1"/>
    <w:rsid w:val="006645FD"/>
    <w:rsid w:val="00664DF1"/>
    <w:rsid w:val="006654F8"/>
    <w:rsid w:val="00666C38"/>
    <w:rsid w:val="006816FC"/>
    <w:rsid w:val="006846EB"/>
    <w:rsid w:val="006859D9"/>
    <w:rsid w:val="00691B8F"/>
    <w:rsid w:val="0069520D"/>
    <w:rsid w:val="00696691"/>
    <w:rsid w:val="0069677F"/>
    <w:rsid w:val="006967CC"/>
    <w:rsid w:val="006A2D87"/>
    <w:rsid w:val="006A31DA"/>
    <w:rsid w:val="006A3FE0"/>
    <w:rsid w:val="006B132E"/>
    <w:rsid w:val="006B4DB1"/>
    <w:rsid w:val="006B56B6"/>
    <w:rsid w:val="006B79F2"/>
    <w:rsid w:val="006C4345"/>
    <w:rsid w:val="006C53AD"/>
    <w:rsid w:val="006C556C"/>
    <w:rsid w:val="006C58AA"/>
    <w:rsid w:val="006C6B79"/>
    <w:rsid w:val="006D0510"/>
    <w:rsid w:val="006D0EB8"/>
    <w:rsid w:val="006D1A52"/>
    <w:rsid w:val="006D4A7B"/>
    <w:rsid w:val="006F25DF"/>
    <w:rsid w:val="006F29FB"/>
    <w:rsid w:val="006F3454"/>
    <w:rsid w:val="006F34C3"/>
    <w:rsid w:val="006F4316"/>
    <w:rsid w:val="006F6B8D"/>
    <w:rsid w:val="006F7202"/>
    <w:rsid w:val="00703050"/>
    <w:rsid w:val="00703C09"/>
    <w:rsid w:val="007043F5"/>
    <w:rsid w:val="00706E1B"/>
    <w:rsid w:val="00710678"/>
    <w:rsid w:val="00710C33"/>
    <w:rsid w:val="00716281"/>
    <w:rsid w:val="007164C1"/>
    <w:rsid w:val="00722CE9"/>
    <w:rsid w:val="0072368D"/>
    <w:rsid w:val="007239F0"/>
    <w:rsid w:val="00725F70"/>
    <w:rsid w:val="00727CA8"/>
    <w:rsid w:val="007308DF"/>
    <w:rsid w:val="00734C01"/>
    <w:rsid w:val="00736000"/>
    <w:rsid w:val="00737BFA"/>
    <w:rsid w:val="0074093F"/>
    <w:rsid w:val="007432D6"/>
    <w:rsid w:val="007440DD"/>
    <w:rsid w:val="00752CEF"/>
    <w:rsid w:val="0075359B"/>
    <w:rsid w:val="0075470A"/>
    <w:rsid w:val="00762007"/>
    <w:rsid w:val="007653C1"/>
    <w:rsid w:val="00766E6B"/>
    <w:rsid w:val="0077137E"/>
    <w:rsid w:val="00776531"/>
    <w:rsid w:val="00776B02"/>
    <w:rsid w:val="00787574"/>
    <w:rsid w:val="00793AAC"/>
    <w:rsid w:val="00794649"/>
    <w:rsid w:val="0079542F"/>
    <w:rsid w:val="00795CE0"/>
    <w:rsid w:val="007960C5"/>
    <w:rsid w:val="007A469E"/>
    <w:rsid w:val="007A5656"/>
    <w:rsid w:val="007A7963"/>
    <w:rsid w:val="007B5BDD"/>
    <w:rsid w:val="007B63A6"/>
    <w:rsid w:val="007C03BE"/>
    <w:rsid w:val="007C6088"/>
    <w:rsid w:val="007C66BA"/>
    <w:rsid w:val="007C6BF9"/>
    <w:rsid w:val="007C71B0"/>
    <w:rsid w:val="007D5DD1"/>
    <w:rsid w:val="007D6566"/>
    <w:rsid w:val="007E558A"/>
    <w:rsid w:val="007E74FA"/>
    <w:rsid w:val="007F024D"/>
    <w:rsid w:val="007F1BCA"/>
    <w:rsid w:val="007F1F9C"/>
    <w:rsid w:val="007F5C3C"/>
    <w:rsid w:val="007F6C1E"/>
    <w:rsid w:val="007F7AF7"/>
    <w:rsid w:val="008062EF"/>
    <w:rsid w:val="0080764E"/>
    <w:rsid w:val="008129E9"/>
    <w:rsid w:val="00816417"/>
    <w:rsid w:val="0081667C"/>
    <w:rsid w:val="00817EC8"/>
    <w:rsid w:val="008210EC"/>
    <w:rsid w:val="00822756"/>
    <w:rsid w:val="0082490D"/>
    <w:rsid w:val="00824E3C"/>
    <w:rsid w:val="00826A67"/>
    <w:rsid w:val="00827340"/>
    <w:rsid w:val="00830317"/>
    <w:rsid w:val="00835134"/>
    <w:rsid w:val="00835C72"/>
    <w:rsid w:val="00837AEC"/>
    <w:rsid w:val="0084220D"/>
    <w:rsid w:val="00845537"/>
    <w:rsid w:val="00852150"/>
    <w:rsid w:val="00853D1E"/>
    <w:rsid w:val="00854349"/>
    <w:rsid w:val="008558AA"/>
    <w:rsid w:val="00857259"/>
    <w:rsid w:val="00860F72"/>
    <w:rsid w:val="00863638"/>
    <w:rsid w:val="00864CB4"/>
    <w:rsid w:val="008654E0"/>
    <w:rsid w:val="00867F9E"/>
    <w:rsid w:val="00870E66"/>
    <w:rsid w:val="00872E36"/>
    <w:rsid w:val="0087462D"/>
    <w:rsid w:val="0087649F"/>
    <w:rsid w:val="008776A7"/>
    <w:rsid w:val="008827B9"/>
    <w:rsid w:val="00884DF6"/>
    <w:rsid w:val="00890DE9"/>
    <w:rsid w:val="00893E9C"/>
    <w:rsid w:val="008A0FC8"/>
    <w:rsid w:val="008A134A"/>
    <w:rsid w:val="008A3E7C"/>
    <w:rsid w:val="008A594D"/>
    <w:rsid w:val="008B17F0"/>
    <w:rsid w:val="008B21A6"/>
    <w:rsid w:val="008B7262"/>
    <w:rsid w:val="008B7FDB"/>
    <w:rsid w:val="008C2835"/>
    <w:rsid w:val="008C32F2"/>
    <w:rsid w:val="008C37E2"/>
    <w:rsid w:val="008C5A3E"/>
    <w:rsid w:val="008D116A"/>
    <w:rsid w:val="008D3D1E"/>
    <w:rsid w:val="008D732D"/>
    <w:rsid w:val="008E067A"/>
    <w:rsid w:val="008F2241"/>
    <w:rsid w:val="008F276E"/>
    <w:rsid w:val="008F79BD"/>
    <w:rsid w:val="008F7D7F"/>
    <w:rsid w:val="009030C7"/>
    <w:rsid w:val="0090336C"/>
    <w:rsid w:val="00905E67"/>
    <w:rsid w:val="00905EF8"/>
    <w:rsid w:val="0090668F"/>
    <w:rsid w:val="0090745A"/>
    <w:rsid w:val="00911E0F"/>
    <w:rsid w:val="00912D61"/>
    <w:rsid w:val="00921847"/>
    <w:rsid w:val="00922D1C"/>
    <w:rsid w:val="00924F6F"/>
    <w:rsid w:val="00925559"/>
    <w:rsid w:val="00925BBB"/>
    <w:rsid w:val="00926C84"/>
    <w:rsid w:val="0093032A"/>
    <w:rsid w:val="00931FB0"/>
    <w:rsid w:val="00933D57"/>
    <w:rsid w:val="00947037"/>
    <w:rsid w:val="00952009"/>
    <w:rsid w:val="00956745"/>
    <w:rsid w:val="00956D08"/>
    <w:rsid w:val="009600CF"/>
    <w:rsid w:val="0096335A"/>
    <w:rsid w:val="0097018D"/>
    <w:rsid w:val="009704CC"/>
    <w:rsid w:val="00971B30"/>
    <w:rsid w:val="00974F78"/>
    <w:rsid w:val="00977DE2"/>
    <w:rsid w:val="009806C6"/>
    <w:rsid w:val="0098076C"/>
    <w:rsid w:val="009816B1"/>
    <w:rsid w:val="00986C53"/>
    <w:rsid w:val="0099278D"/>
    <w:rsid w:val="00996D23"/>
    <w:rsid w:val="009978BC"/>
    <w:rsid w:val="009A042D"/>
    <w:rsid w:val="009A3C4F"/>
    <w:rsid w:val="009A493D"/>
    <w:rsid w:val="009A598E"/>
    <w:rsid w:val="009A7868"/>
    <w:rsid w:val="009B2D79"/>
    <w:rsid w:val="009C13DD"/>
    <w:rsid w:val="009C205D"/>
    <w:rsid w:val="009C2A8E"/>
    <w:rsid w:val="009C7757"/>
    <w:rsid w:val="009D07B8"/>
    <w:rsid w:val="009D1F99"/>
    <w:rsid w:val="009D770E"/>
    <w:rsid w:val="009E2690"/>
    <w:rsid w:val="009E4224"/>
    <w:rsid w:val="009E502E"/>
    <w:rsid w:val="009F16A8"/>
    <w:rsid w:val="009F7953"/>
    <w:rsid w:val="00A00684"/>
    <w:rsid w:val="00A04570"/>
    <w:rsid w:val="00A053B0"/>
    <w:rsid w:val="00A07416"/>
    <w:rsid w:val="00A07C98"/>
    <w:rsid w:val="00A115C0"/>
    <w:rsid w:val="00A14F3B"/>
    <w:rsid w:val="00A170A0"/>
    <w:rsid w:val="00A218F6"/>
    <w:rsid w:val="00A22C12"/>
    <w:rsid w:val="00A24E14"/>
    <w:rsid w:val="00A30E76"/>
    <w:rsid w:val="00A33074"/>
    <w:rsid w:val="00A33C1A"/>
    <w:rsid w:val="00A33D7B"/>
    <w:rsid w:val="00A37DFB"/>
    <w:rsid w:val="00A41112"/>
    <w:rsid w:val="00A433D2"/>
    <w:rsid w:val="00A452C0"/>
    <w:rsid w:val="00A50491"/>
    <w:rsid w:val="00A50E28"/>
    <w:rsid w:val="00A5138F"/>
    <w:rsid w:val="00A527CE"/>
    <w:rsid w:val="00A52809"/>
    <w:rsid w:val="00A53567"/>
    <w:rsid w:val="00A53C9C"/>
    <w:rsid w:val="00A55E5E"/>
    <w:rsid w:val="00A5716E"/>
    <w:rsid w:val="00A619BD"/>
    <w:rsid w:val="00A631DE"/>
    <w:rsid w:val="00A6599B"/>
    <w:rsid w:val="00A70D04"/>
    <w:rsid w:val="00A749CC"/>
    <w:rsid w:val="00A95BD2"/>
    <w:rsid w:val="00AA2CD4"/>
    <w:rsid w:val="00AA3FCB"/>
    <w:rsid w:val="00AB31E3"/>
    <w:rsid w:val="00AB6FFA"/>
    <w:rsid w:val="00AC0684"/>
    <w:rsid w:val="00AC09CE"/>
    <w:rsid w:val="00AC3BC6"/>
    <w:rsid w:val="00AD3096"/>
    <w:rsid w:val="00AD3395"/>
    <w:rsid w:val="00AD4D2A"/>
    <w:rsid w:val="00AE5D22"/>
    <w:rsid w:val="00AE7350"/>
    <w:rsid w:val="00AF0502"/>
    <w:rsid w:val="00AF7A68"/>
    <w:rsid w:val="00B020BF"/>
    <w:rsid w:val="00B13A1C"/>
    <w:rsid w:val="00B15F33"/>
    <w:rsid w:val="00B16420"/>
    <w:rsid w:val="00B25696"/>
    <w:rsid w:val="00B25C44"/>
    <w:rsid w:val="00B25CA4"/>
    <w:rsid w:val="00B301BD"/>
    <w:rsid w:val="00B3110B"/>
    <w:rsid w:val="00B311F4"/>
    <w:rsid w:val="00B35469"/>
    <w:rsid w:val="00B40040"/>
    <w:rsid w:val="00B44398"/>
    <w:rsid w:val="00B46555"/>
    <w:rsid w:val="00B520C7"/>
    <w:rsid w:val="00B640A6"/>
    <w:rsid w:val="00B67BB9"/>
    <w:rsid w:val="00B67E9A"/>
    <w:rsid w:val="00B77126"/>
    <w:rsid w:val="00B77BEE"/>
    <w:rsid w:val="00B80AB7"/>
    <w:rsid w:val="00B80F2A"/>
    <w:rsid w:val="00B82536"/>
    <w:rsid w:val="00B874FA"/>
    <w:rsid w:val="00B919F5"/>
    <w:rsid w:val="00B926BA"/>
    <w:rsid w:val="00BA26E9"/>
    <w:rsid w:val="00BA5CEA"/>
    <w:rsid w:val="00BA6D16"/>
    <w:rsid w:val="00BA7962"/>
    <w:rsid w:val="00BB43EB"/>
    <w:rsid w:val="00BB7565"/>
    <w:rsid w:val="00BC0359"/>
    <w:rsid w:val="00BC3F56"/>
    <w:rsid w:val="00BD5A21"/>
    <w:rsid w:val="00BD6A33"/>
    <w:rsid w:val="00BD7F0B"/>
    <w:rsid w:val="00BE29DD"/>
    <w:rsid w:val="00BE6720"/>
    <w:rsid w:val="00BF1E9E"/>
    <w:rsid w:val="00BF3B3D"/>
    <w:rsid w:val="00C04856"/>
    <w:rsid w:val="00C068E6"/>
    <w:rsid w:val="00C102CC"/>
    <w:rsid w:val="00C11826"/>
    <w:rsid w:val="00C13D1B"/>
    <w:rsid w:val="00C1697D"/>
    <w:rsid w:val="00C205E5"/>
    <w:rsid w:val="00C22FB5"/>
    <w:rsid w:val="00C24C06"/>
    <w:rsid w:val="00C26E5B"/>
    <w:rsid w:val="00C31B54"/>
    <w:rsid w:val="00C31EA9"/>
    <w:rsid w:val="00C327B9"/>
    <w:rsid w:val="00C357D2"/>
    <w:rsid w:val="00C35A37"/>
    <w:rsid w:val="00C3713F"/>
    <w:rsid w:val="00C41CCC"/>
    <w:rsid w:val="00C4223A"/>
    <w:rsid w:val="00C42374"/>
    <w:rsid w:val="00C444CD"/>
    <w:rsid w:val="00C44C87"/>
    <w:rsid w:val="00C452F7"/>
    <w:rsid w:val="00C5037E"/>
    <w:rsid w:val="00C55FFC"/>
    <w:rsid w:val="00C57C2D"/>
    <w:rsid w:val="00C57FF8"/>
    <w:rsid w:val="00C63B3B"/>
    <w:rsid w:val="00C6502F"/>
    <w:rsid w:val="00C72576"/>
    <w:rsid w:val="00C842E2"/>
    <w:rsid w:val="00C91809"/>
    <w:rsid w:val="00C96B09"/>
    <w:rsid w:val="00CA1648"/>
    <w:rsid w:val="00CA4AD5"/>
    <w:rsid w:val="00CA6936"/>
    <w:rsid w:val="00CB00F0"/>
    <w:rsid w:val="00CB0C90"/>
    <w:rsid w:val="00CB5679"/>
    <w:rsid w:val="00CB6592"/>
    <w:rsid w:val="00CC0FDE"/>
    <w:rsid w:val="00CC1554"/>
    <w:rsid w:val="00CC340C"/>
    <w:rsid w:val="00CD0A71"/>
    <w:rsid w:val="00CD4138"/>
    <w:rsid w:val="00CD440D"/>
    <w:rsid w:val="00CD52FD"/>
    <w:rsid w:val="00CD5759"/>
    <w:rsid w:val="00CE1007"/>
    <w:rsid w:val="00CE163B"/>
    <w:rsid w:val="00CE6C45"/>
    <w:rsid w:val="00CF1BF6"/>
    <w:rsid w:val="00CF30C0"/>
    <w:rsid w:val="00CF4193"/>
    <w:rsid w:val="00CF62F0"/>
    <w:rsid w:val="00D02676"/>
    <w:rsid w:val="00D032D6"/>
    <w:rsid w:val="00D04935"/>
    <w:rsid w:val="00D05747"/>
    <w:rsid w:val="00D06841"/>
    <w:rsid w:val="00D07697"/>
    <w:rsid w:val="00D10485"/>
    <w:rsid w:val="00D1162F"/>
    <w:rsid w:val="00D12209"/>
    <w:rsid w:val="00D14B15"/>
    <w:rsid w:val="00D16215"/>
    <w:rsid w:val="00D1674C"/>
    <w:rsid w:val="00D16A41"/>
    <w:rsid w:val="00D174F8"/>
    <w:rsid w:val="00D20616"/>
    <w:rsid w:val="00D210B6"/>
    <w:rsid w:val="00D218EE"/>
    <w:rsid w:val="00D21E70"/>
    <w:rsid w:val="00D242F8"/>
    <w:rsid w:val="00D25645"/>
    <w:rsid w:val="00D41D33"/>
    <w:rsid w:val="00D423A0"/>
    <w:rsid w:val="00D42487"/>
    <w:rsid w:val="00D426AD"/>
    <w:rsid w:val="00D42956"/>
    <w:rsid w:val="00D45AF0"/>
    <w:rsid w:val="00D50CD1"/>
    <w:rsid w:val="00D529DF"/>
    <w:rsid w:val="00D53E4C"/>
    <w:rsid w:val="00D57951"/>
    <w:rsid w:val="00D63E99"/>
    <w:rsid w:val="00D6645E"/>
    <w:rsid w:val="00D67068"/>
    <w:rsid w:val="00D7344E"/>
    <w:rsid w:val="00D74F05"/>
    <w:rsid w:val="00D816FE"/>
    <w:rsid w:val="00D82ADB"/>
    <w:rsid w:val="00D8338A"/>
    <w:rsid w:val="00D8483C"/>
    <w:rsid w:val="00D8685E"/>
    <w:rsid w:val="00D86F5D"/>
    <w:rsid w:val="00D9314D"/>
    <w:rsid w:val="00D96C2B"/>
    <w:rsid w:val="00DA1E7E"/>
    <w:rsid w:val="00DA2346"/>
    <w:rsid w:val="00DA4010"/>
    <w:rsid w:val="00DB3132"/>
    <w:rsid w:val="00DB7311"/>
    <w:rsid w:val="00DC03B5"/>
    <w:rsid w:val="00DC283F"/>
    <w:rsid w:val="00DC3A3D"/>
    <w:rsid w:val="00DC44AC"/>
    <w:rsid w:val="00DC4B89"/>
    <w:rsid w:val="00DC7D21"/>
    <w:rsid w:val="00DC7D88"/>
    <w:rsid w:val="00DD1D37"/>
    <w:rsid w:val="00DD2FA1"/>
    <w:rsid w:val="00DD6B76"/>
    <w:rsid w:val="00DE3383"/>
    <w:rsid w:val="00DE4F3F"/>
    <w:rsid w:val="00DE5508"/>
    <w:rsid w:val="00DE56C4"/>
    <w:rsid w:val="00DE7B1A"/>
    <w:rsid w:val="00DF47A7"/>
    <w:rsid w:val="00E0288A"/>
    <w:rsid w:val="00E038C4"/>
    <w:rsid w:val="00E0665A"/>
    <w:rsid w:val="00E120FB"/>
    <w:rsid w:val="00E12680"/>
    <w:rsid w:val="00E148EB"/>
    <w:rsid w:val="00E17597"/>
    <w:rsid w:val="00E244CD"/>
    <w:rsid w:val="00E316B6"/>
    <w:rsid w:val="00E31856"/>
    <w:rsid w:val="00E32F34"/>
    <w:rsid w:val="00E33196"/>
    <w:rsid w:val="00E365D6"/>
    <w:rsid w:val="00E37A64"/>
    <w:rsid w:val="00E41E69"/>
    <w:rsid w:val="00E45589"/>
    <w:rsid w:val="00E55154"/>
    <w:rsid w:val="00E57924"/>
    <w:rsid w:val="00E60291"/>
    <w:rsid w:val="00E71123"/>
    <w:rsid w:val="00E757A8"/>
    <w:rsid w:val="00E75E7E"/>
    <w:rsid w:val="00E769A6"/>
    <w:rsid w:val="00E769E4"/>
    <w:rsid w:val="00E76E61"/>
    <w:rsid w:val="00E778EA"/>
    <w:rsid w:val="00E93C50"/>
    <w:rsid w:val="00E95994"/>
    <w:rsid w:val="00EA1C37"/>
    <w:rsid w:val="00EA2049"/>
    <w:rsid w:val="00EA6274"/>
    <w:rsid w:val="00EA7924"/>
    <w:rsid w:val="00EB29E0"/>
    <w:rsid w:val="00EB7407"/>
    <w:rsid w:val="00EC0138"/>
    <w:rsid w:val="00EC5D64"/>
    <w:rsid w:val="00ED03C2"/>
    <w:rsid w:val="00ED2E58"/>
    <w:rsid w:val="00ED4DA1"/>
    <w:rsid w:val="00ED5712"/>
    <w:rsid w:val="00ED6125"/>
    <w:rsid w:val="00ED73A9"/>
    <w:rsid w:val="00EE008A"/>
    <w:rsid w:val="00EE2DED"/>
    <w:rsid w:val="00EE62BC"/>
    <w:rsid w:val="00EF5B68"/>
    <w:rsid w:val="00F00768"/>
    <w:rsid w:val="00F014A2"/>
    <w:rsid w:val="00F016A8"/>
    <w:rsid w:val="00F016F5"/>
    <w:rsid w:val="00F0242B"/>
    <w:rsid w:val="00F042D1"/>
    <w:rsid w:val="00F13C94"/>
    <w:rsid w:val="00F17156"/>
    <w:rsid w:val="00F204AB"/>
    <w:rsid w:val="00F22708"/>
    <w:rsid w:val="00F22FFA"/>
    <w:rsid w:val="00F25EE1"/>
    <w:rsid w:val="00F27E42"/>
    <w:rsid w:val="00F313CE"/>
    <w:rsid w:val="00F31E41"/>
    <w:rsid w:val="00F338F3"/>
    <w:rsid w:val="00F35015"/>
    <w:rsid w:val="00F35DE3"/>
    <w:rsid w:val="00F36453"/>
    <w:rsid w:val="00F404D4"/>
    <w:rsid w:val="00F40DF8"/>
    <w:rsid w:val="00F40EC7"/>
    <w:rsid w:val="00F41F39"/>
    <w:rsid w:val="00F42FA3"/>
    <w:rsid w:val="00F436D1"/>
    <w:rsid w:val="00F45FAF"/>
    <w:rsid w:val="00F462E3"/>
    <w:rsid w:val="00F51B9B"/>
    <w:rsid w:val="00F53D90"/>
    <w:rsid w:val="00F6063E"/>
    <w:rsid w:val="00F627F1"/>
    <w:rsid w:val="00F66A8C"/>
    <w:rsid w:val="00F70FF3"/>
    <w:rsid w:val="00F7184F"/>
    <w:rsid w:val="00F73C4E"/>
    <w:rsid w:val="00F75C18"/>
    <w:rsid w:val="00F76397"/>
    <w:rsid w:val="00F777C2"/>
    <w:rsid w:val="00F81DBE"/>
    <w:rsid w:val="00F81E00"/>
    <w:rsid w:val="00F84B40"/>
    <w:rsid w:val="00F875FF"/>
    <w:rsid w:val="00F87C45"/>
    <w:rsid w:val="00FA159A"/>
    <w:rsid w:val="00FA417E"/>
    <w:rsid w:val="00FA5C6F"/>
    <w:rsid w:val="00FB2F01"/>
    <w:rsid w:val="00FB7EE1"/>
    <w:rsid w:val="00FC6724"/>
    <w:rsid w:val="00FC7AB9"/>
    <w:rsid w:val="00FD00E8"/>
    <w:rsid w:val="00FD05E5"/>
    <w:rsid w:val="00FD0BB2"/>
    <w:rsid w:val="00FD444B"/>
    <w:rsid w:val="00FD5DC3"/>
    <w:rsid w:val="00FD6BF2"/>
    <w:rsid w:val="00FE0FED"/>
    <w:rsid w:val="00FE373F"/>
    <w:rsid w:val="00FE3F9F"/>
    <w:rsid w:val="00FE48C3"/>
    <w:rsid w:val="00FE5A94"/>
    <w:rsid w:val="00FE68FB"/>
    <w:rsid w:val="00FE724E"/>
    <w:rsid w:val="00FE7CE5"/>
    <w:rsid w:val="00FF0F2C"/>
    <w:rsid w:val="00FF2E1D"/>
    <w:rsid w:val="00FF7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6CC8"/>
  <w15:docId w15:val="{DEADD993-1F8F-4527-A00D-E26C600D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D6"/>
    <w:pPr>
      <w:spacing w:line="276" w:lineRule="auto"/>
      <w:jc w:val="both"/>
    </w:pPr>
    <w:rPr>
      <w:rFonts w:asciiTheme="minorHAnsi" w:hAnsiTheme="minorHAnsi"/>
      <w:sz w:val="24"/>
      <w:szCs w:val="24"/>
    </w:rPr>
  </w:style>
  <w:style w:type="paragraph" w:styleId="Heading1">
    <w:name w:val="heading 1"/>
    <w:basedOn w:val="Normal"/>
    <w:next w:val="Normal"/>
    <w:link w:val="Heading1Char"/>
    <w:qFormat/>
    <w:rsid w:val="00DD6B76"/>
    <w:pPr>
      <w:keepNext/>
      <w:keepLines/>
      <w:numPr>
        <w:numId w:val="1"/>
      </w:numPr>
      <w:spacing w:before="400" w:after="240"/>
      <w:ind w:left="426" w:hanging="426"/>
      <w:outlineLvl w:val="0"/>
    </w:pPr>
    <w:rPr>
      <w:rFonts w:eastAsiaTheme="majorEastAsia" w:cs="Arial"/>
      <w:b/>
      <w:bCs/>
      <w:color w:val="365F91" w:themeColor="accent1" w:themeShade="BF"/>
      <w:sz w:val="28"/>
      <w:szCs w:val="28"/>
    </w:rPr>
  </w:style>
  <w:style w:type="paragraph" w:styleId="Heading2">
    <w:name w:val="heading 2"/>
    <w:basedOn w:val="Normal"/>
    <w:next w:val="Normal"/>
    <w:link w:val="Heading2Char"/>
    <w:unhideWhenUsed/>
    <w:qFormat/>
    <w:rsid w:val="00DD6B76"/>
    <w:pPr>
      <w:keepNext/>
      <w:keepLines/>
      <w:numPr>
        <w:ilvl w:val="1"/>
        <w:numId w:val="1"/>
      </w:numPr>
      <w:spacing w:before="360" w:after="120"/>
      <w:ind w:left="709"/>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B76"/>
    <w:rPr>
      <w:rFonts w:asciiTheme="minorHAnsi" w:eastAsiaTheme="majorEastAsia" w:hAnsiTheme="minorHAnsi" w:cs="Arial"/>
      <w:b/>
      <w:bCs/>
      <w:color w:val="365F91" w:themeColor="accent1" w:themeShade="BF"/>
      <w:sz w:val="28"/>
      <w:szCs w:val="28"/>
    </w:rPr>
  </w:style>
  <w:style w:type="paragraph" w:styleId="Subtitle">
    <w:name w:val="Subtitle"/>
    <w:basedOn w:val="Normal"/>
    <w:next w:val="Normal"/>
    <w:link w:val="SubtitleChar"/>
    <w:qFormat/>
    <w:rsid w:val="00B874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874F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874FA"/>
    <w:rPr>
      <w:b/>
      <w:bCs/>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0A2545"/>
    <w:pPr>
      <w:numPr>
        <w:numId w:val="2"/>
      </w:numPr>
      <w:spacing w:before="80"/>
    </w:pPr>
    <w:rPr>
      <w:rFonts w:eastAsiaTheme="minorHAnsi" w:cs="Arial"/>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A2545"/>
    <w:rPr>
      <w:rFonts w:asciiTheme="minorHAnsi" w:eastAsiaTheme="minorHAnsi" w:hAnsiTheme="minorHAnsi" w:cs="Arial"/>
      <w:sz w:val="24"/>
      <w:szCs w:val="24"/>
    </w:rPr>
  </w:style>
  <w:style w:type="character" w:styleId="IntenseEmphasis">
    <w:name w:val="Intense Emphasis"/>
    <w:basedOn w:val="DefaultParagraphFont"/>
    <w:uiPriority w:val="21"/>
    <w:qFormat/>
    <w:rsid w:val="006846EB"/>
    <w:rPr>
      <w:b/>
      <w:bCs/>
      <w:i/>
      <w:iCs/>
      <w:color w:val="4F81BD" w:themeColor="accent1"/>
    </w:rPr>
  </w:style>
  <w:style w:type="character" w:customStyle="1" w:styleId="Heading2Char">
    <w:name w:val="Heading 2 Char"/>
    <w:basedOn w:val="DefaultParagraphFont"/>
    <w:link w:val="Heading2"/>
    <w:rsid w:val="00DD6B76"/>
    <w:rPr>
      <w:rFonts w:asciiTheme="minorHAnsi" w:eastAsiaTheme="majorEastAsia" w:hAnsiTheme="minorHAnsi" w:cstheme="majorBidi"/>
      <w:b/>
      <w:bCs/>
      <w:color w:val="4F81BD" w:themeColor="accent1"/>
      <w:sz w:val="26"/>
      <w:szCs w:val="26"/>
    </w:rPr>
  </w:style>
  <w:style w:type="character" w:styleId="CommentReference">
    <w:name w:val="annotation reference"/>
    <w:basedOn w:val="DefaultParagraphFont"/>
    <w:uiPriority w:val="99"/>
    <w:semiHidden/>
    <w:unhideWhenUsed/>
    <w:rsid w:val="00857259"/>
    <w:rPr>
      <w:sz w:val="16"/>
      <w:szCs w:val="16"/>
    </w:rPr>
  </w:style>
  <w:style w:type="paragraph" w:styleId="CommentText">
    <w:name w:val="annotation text"/>
    <w:basedOn w:val="Normal"/>
    <w:link w:val="CommentTextChar"/>
    <w:uiPriority w:val="99"/>
    <w:semiHidden/>
    <w:unhideWhenUsed/>
    <w:rsid w:val="00857259"/>
    <w:pPr>
      <w:spacing w:line="240" w:lineRule="auto"/>
    </w:pPr>
    <w:rPr>
      <w:sz w:val="20"/>
      <w:szCs w:val="20"/>
    </w:rPr>
  </w:style>
  <w:style w:type="character" w:customStyle="1" w:styleId="CommentTextChar">
    <w:name w:val="Comment Text Char"/>
    <w:basedOn w:val="DefaultParagraphFont"/>
    <w:link w:val="CommentText"/>
    <w:uiPriority w:val="99"/>
    <w:semiHidden/>
    <w:rsid w:val="008572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7259"/>
    <w:rPr>
      <w:b/>
      <w:bCs/>
    </w:rPr>
  </w:style>
  <w:style w:type="character" w:customStyle="1" w:styleId="CommentSubjectChar">
    <w:name w:val="Comment Subject Char"/>
    <w:basedOn w:val="CommentTextChar"/>
    <w:link w:val="CommentSubject"/>
    <w:uiPriority w:val="99"/>
    <w:semiHidden/>
    <w:rsid w:val="00857259"/>
    <w:rPr>
      <w:rFonts w:asciiTheme="minorHAnsi" w:hAnsiTheme="minorHAnsi"/>
      <w:b/>
      <w:bCs/>
    </w:rPr>
  </w:style>
  <w:style w:type="paragraph" w:styleId="BalloonText">
    <w:name w:val="Balloon Text"/>
    <w:basedOn w:val="Normal"/>
    <w:link w:val="BalloonTextChar"/>
    <w:uiPriority w:val="99"/>
    <w:semiHidden/>
    <w:unhideWhenUsed/>
    <w:rsid w:val="00857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59"/>
    <w:rPr>
      <w:rFonts w:ascii="Tahoma" w:hAnsi="Tahoma" w:cs="Tahoma"/>
      <w:sz w:val="16"/>
      <w:szCs w:val="16"/>
    </w:rPr>
  </w:style>
  <w:style w:type="character" w:styleId="Hyperlink">
    <w:name w:val="Hyperlink"/>
    <w:basedOn w:val="DefaultParagraphFont"/>
    <w:uiPriority w:val="99"/>
    <w:unhideWhenUsed/>
    <w:rsid w:val="00356E74"/>
    <w:rPr>
      <w:color w:val="0000FF" w:themeColor="hyperlink"/>
      <w:u w:val="single"/>
    </w:rPr>
  </w:style>
  <w:style w:type="paragraph" w:styleId="Header">
    <w:name w:val="header"/>
    <w:basedOn w:val="Normal"/>
    <w:link w:val="HeaderChar"/>
    <w:uiPriority w:val="99"/>
    <w:unhideWhenUsed/>
    <w:rsid w:val="00762007"/>
    <w:pPr>
      <w:tabs>
        <w:tab w:val="center" w:pos="4513"/>
        <w:tab w:val="right" w:pos="9026"/>
      </w:tabs>
      <w:spacing w:line="240" w:lineRule="auto"/>
    </w:pPr>
  </w:style>
  <w:style w:type="character" w:customStyle="1" w:styleId="HeaderChar">
    <w:name w:val="Header Char"/>
    <w:basedOn w:val="DefaultParagraphFont"/>
    <w:link w:val="Header"/>
    <w:uiPriority w:val="99"/>
    <w:rsid w:val="00762007"/>
    <w:rPr>
      <w:rFonts w:asciiTheme="minorHAnsi" w:hAnsiTheme="minorHAnsi"/>
      <w:sz w:val="24"/>
      <w:szCs w:val="24"/>
    </w:rPr>
  </w:style>
  <w:style w:type="paragraph" w:styleId="Footer">
    <w:name w:val="footer"/>
    <w:basedOn w:val="Normal"/>
    <w:link w:val="FooterChar"/>
    <w:uiPriority w:val="99"/>
    <w:unhideWhenUsed/>
    <w:rsid w:val="00762007"/>
    <w:pPr>
      <w:tabs>
        <w:tab w:val="center" w:pos="4513"/>
        <w:tab w:val="right" w:pos="9026"/>
      </w:tabs>
      <w:spacing w:line="240" w:lineRule="auto"/>
    </w:pPr>
  </w:style>
  <w:style w:type="character" w:customStyle="1" w:styleId="FooterChar">
    <w:name w:val="Footer Char"/>
    <w:basedOn w:val="DefaultParagraphFont"/>
    <w:link w:val="Footer"/>
    <w:uiPriority w:val="99"/>
    <w:rsid w:val="00762007"/>
    <w:rPr>
      <w:rFonts w:asciiTheme="minorHAnsi" w:hAnsiTheme="minorHAnsi"/>
      <w:sz w:val="24"/>
      <w:szCs w:val="24"/>
    </w:rPr>
  </w:style>
  <w:style w:type="paragraph" w:styleId="FootnoteText">
    <w:name w:val="footnote text"/>
    <w:basedOn w:val="Normal"/>
    <w:link w:val="FootnoteTextChar"/>
    <w:uiPriority w:val="99"/>
    <w:semiHidden/>
    <w:unhideWhenUsed/>
    <w:rsid w:val="00E33196"/>
    <w:pPr>
      <w:spacing w:line="240" w:lineRule="auto"/>
    </w:pPr>
    <w:rPr>
      <w:sz w:val="20"/>
      <w:szCs w:val="20"/>
    </w:rPr>
  </w:style>
  <w:style w:type="character" w:customStyle="1" w:styleId="FootnoteTextChar">
    <w:name w:val="Footnote Text Char"/>
    <w:basedOn w:val="DefaultParagraphFont"/>
    <w:link w:val="FootnoteText"/>
    <w:uiPriority w:val="99"/>
    <w:semiHidden/>
    <w:rsid w:val="00E33196"/>
    <w:rPr>
      <w:rFonts w:asciiTheme="minorHAnsi" w:hAnsiTheme="minorHAnsi"/>
    </w:rPr>
  </w:style>
  <w:style w:type="character" w:styleId="FootnoteReference">
    <w:name w:val="footnote reference"/>
    <w:basedOn w:val="DefaultParagraphFont"/>
    <w:uiPriority w:val="99"/>
    <w:semiHidden/>
    <w:unhideWhenUsed/>
    <w:rsid w:val="00E33196"/>
    <w:rPr>
      <w:vertAlign w:val="superscript"/>
    </w:rPr>
  </w:style>
  <w:style w:type="paragraph" w:styleId="EndnoteText">
    <w:name w:val="endnote text"/>
    <w:basedOn w:val="Normal"/>
    <w:link w:val="EndnoteTextChar"/>
    <w:uiPriority w:val="99"/>
    <w:semiHidden/>
    <w:unhideWhenUsed/>
    <w:rsid w:val="00C31B54"/>
    <w:pPr>
      <w:spacing w:line="240" w:lineRule="auto"/>
    </w:pPr>
    <w:rPr>
      <w:sz w:val="20"/>
      <w:szCs w:val="20"/>
    </w:rPr>
  </w:style>
  <w:style w:type="character" w:customStyle="1" w:styleId="EndnoteTextChar">
    <w:name w:val="Endnote Text Char"/>
    <w:basedOn w:val="DefaultParagraphFont"/>
    <w:link w:val="EndnoteText"/>
    <w:uiPriority w:val="99"/>
    <w:semiHidden/>
    <w:rsid w:val="00C31B54"/>
    <w:rPr>
      <w:rFonts w:asciiTheme="minorHAnsi" w:hAnsiTheme="minorHAnsi"/>
    </w:rPr>
  </w:style>
  <w:style w:type="character" w:styleId="EndnoteReference">
    <w:name w:val="endnote reference"/>
    <w:basedOn w:val="DefaultParagraphFont"/>
    <w:uiPriority w:val="99"/>
    <w:semiHidden/>
    <w:unhideWhenUsed/>
    <w:rsid w:val="00C31B54"/>
    <w:rPr>
      <w:vertAlign w:val="superscript"/>
    </w:rPr>
  </w:style>
  <w:style w:type="character" w:styleId="PlaceholderText">
    <w:name w:val="Placeholder Text"/>
    <w:basedOn w:val="DefaultParagraphFont"/>
    <w:uiPriority w:val="99"/>
    <w:semiHidden/>
    <w:rsid w:val="00947037"/>
    <w:rPr>
      <w:color w:val="808080"/>
    </w:rPr>
  </w:style>
  <w:style w:type="character" w:styleId="FollowedHyperlink">
    <w:name w:val="FollowedHyperlink"/>
    <w:basedOn w:val="DefaultParagraphFont"/>
    <w:uiPriority w:val="99"/>
    <w:semiHidden/>
    <w:unhideWhenUsed/>
    <w:rsid w:val="003D247F"/>
    <w:rPr>
      <w:color w:val="800080" w:themeColor="followedHyperlink"/>
      <w:u w:val="single"/>
    </w:rPr>
  </w:style>
  <w:style w:type="paragraph" w:styleId="Revision">
    <w:name w:val="Revision"/>
    <w:hidden/>
    <w:uiPriority w:val="99"/>
    <w:semiHidden/>
    <w:rsid w:val="006F7202"/>
    <w:rPr>
      <w:rFonts w:asciiTheme="minorHAnsi" w:hAnsiTheme="minorHAnsi"/>
      <w:sz w:val="24"/>
      <w:szCs w:val="24"/>
    </w:rPr>
  </w:style>
  <w:style w:type="table" w:styleId="TableGrid">
    <w:name w:val="Table Grid"/>
    <w:basedOn w:val="TableNormal"/>
    <w:uiPriority w:val="59"/>
    <w:rsid w:val="003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37B8"/>
  </w:style>
  <w:style w:type="character" w:customStyle="1" w:styleId="UnresolvedMention1">
    <w:name w:val="Unresolved Mention1"/>
    <w:basedOn w:val="DefaultParagraphFont"/>
    <w:uiPriority w:val="99"/>
    <w:semiHidden/>
    <w:unhideWhenUsed/>
    <w:rsid w:val="00817EC8"/>
    <w:rPr>
      <w:color w:val="605E5C"/>
      <w:shd w:val="clear" w:color="auto" w:fill="E1DFDD"/>
    </w:rPr>
  </w:style>
  <w:style w:type="character" w:customStyle="1" w:styleId="UnresolvedMention2">
    <w:name w:val="Unresolved Mention2"/>
    <w:basedOn w:val="DefaultParagraphFont"/>
    <w:uiPriority w:val="99"/>
    <w:semiHidden/>
    <w:unhideWhenUsed/>
    <w:rsid w:val="00C3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0195">
      <w:bodyDiv w:val="1"/>
      <w:marLeft w:val="0"/>
      <w:marRight w:val="0"/>
      <w:marTop w:val="0"/>
      <w:marBottom w:val="0"/>
      <w:divBdr>
        <w:top w:val="none" w:sz="0" w:space="0" w:color="auto"/>
        <w:left w:val="none" w:sz="0" w:space="0" w:color="auto"/>
        <w:bottom w:val="none" w:sz="0" w:space="0" w:color="auto"/>
        <w:right w:val="none" w:sz="0" w:space="0" w:color="auto"/>
      </w:divBdr>
    </w:div>
    <w:div w:id="1135022913">
      <w:bodyDiv w:val="1"/>
      <w:marLeft w:val="0"/>
      <w:marRight w:val="0"/>
      <w:marTop w:val="0"/>
      <w:marBottom w:val="0"/>
      <w:divBdr>
        <w:top w:val="none" w:sz="0" w:space="0" w:color="auto"/>
        <w:left w:val="none" w:sz="0" w:space="0" w:color="auto"/>
        <w:bottom w:val="none" w:sz="0" w:space="0" w:color="auto"/>
        <w:right w:val="none" w:sz="0" w:space="0" w:color="auto"/>
      </w:divBdr>
    </w:div>
    <w:div w:id="1411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creativecommons.org/licenses/by/4.0/legalcode" TargetMode="External"/><Relationship Id="rId18" Type="http://schemas.openxmlformats.org/officeDocument/2006/relationships/hyperlink" Target="https://data.wa.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ta.wa.gov.au/" TargetMode="External"/><Relationship Id="rId7" Type="http://schemas.openxmlformats.org/officeDocument/2006/relationships/endnotes" Target="endnotes.xml"/><Relationship Id="rId12" Type="http://schemas.openxmlformats.org/officeDocument/2006/relationships/image" Target="cid:image001.png@01D08C07.2BC9F5A0" TargetMode="External"/><Relationship Id="rId17" Type="http://schemas.openxmlformats.org/officeDocument/2006/relationships/hyperlink" Target="http://www.istockphoto.com/vector/global-cloud-computing-44403006" TargetMode="External"/><Relationship Id="rId25" Type="http://schemas.openxmlformats.org/officeDocument/2006/relationships/hyperlink" Target="https://www.data.govt.nz/toolkit/policies/new-zealand-data-and-information-management-princip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tockphoto.com/portfolio/chokkicx" TargetMode="External"/><Relationship Id="rId20" Type="http://schemas.openxmlformats.org/officeDocument/2006/relationships/hyperlink" Target="https://www.wa.gov.au/government/publications/western-australian-information-classification-polic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ct.govt.nz/guidance-and-resources/open-government/toolkit-agencies/applying-5-star-open-data-model-your-high-value-p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pc.wa.gov.au/GuidelinesAndPolicies/SymbolsOfWA/Pages/CoatofArms.aspx" TargetMode="External"/><Relationship Id="rId23" Type="http://schemas.openxmlformats.org/officeDocument/2006/relationships/hyperlink" Target="https://www.wa.gov.au/government/publications/western-australian-information-classification-policy" TargetMode="External"/><Relationship Id="rId28" Type="http://schemas.openxmlformats.org/officeDocument/2006/relationships/footer" Target="footer3.xml"/><Relationship Id="rId10" Type="http://schemas.openxmlformats.org/officeDocument/2006/relationships/hyperlink" Target="https://creativecommons.org/licenses/by/4.0/deed.us" TargetMode="External"/><Relationship Id="rId19" Type="http://schemas.openxmlformats.org/officeDocument/2006/relationships/hyperlink" Target="https://www.wa.gov.au/system/files/2020-11/wa-ip-policy-2015.pd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pc.wa.gov.au/Pages/Default.aspx" TargetMode="External"/><Relationship Id="rId22" Type="http://schemas.openxmlformats.org/officeDocument/2006/relationships/hyperlink" Target="https://www.wa.gov.au/organisation/department-of-the-premier-and-cabinet/digital-strategy-the-western-australian-government-2021-2025" TargetMode="External"/><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5stardata.info/" TargetMode="External"/><Relationship Id="rId2" Type="http://schemas.openxmlformats.org/officeDocument/2006/relationships/hyperlink" Target="https://www.oaic.gov.au/information-policy/information-policy-resources/open-public-sector-information-from-principles-to-practice" TargetMode="External"/><Relationship Id="rId1" Type="http://schemas.openxmlformats.org/officeDocument/2006/relationships/hyperlink" Target="http://creativecommons.org.au/learn/licences/" TargetMode="External"/><Relationship Id="rId4" Type="http://schemas.openxmlformats.org/officeDocument/2006/relationships/hyperlink" Target="http://www.abs.gov.au/ausstats/abs@.nsf/Latestproducts/1520.0Main%20Features2May%202009?opendocument&amp;tabname=Summary&amp;prodno=1520.0&amp;issue=May%202009&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62E3-E1D3-49BD-B341-B2B2480E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Open Data Policy</vt:lpstr>
    </vt:vector>
  </TitlesOfParts>
  <Company>Office of the Government Chief Information Officeer</Company>
  <LinksUpToDate>false</LinksUpToDate>
  <CharactersWithSpaces>22524</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Data Policy</dc:title>
  <dc:subject>Open Data Policy</dc:subject>
  <dc:creator>Barbara Pedersen</dc:creator>
  <cp:keywords>Open Data Policy</cp:keywords>
  <dc:description>Open Data Policy</dc:description>
  <cp:lastModifiedBy>Edwards, Adam</cp:lastModifiedBy>
  <cp:revision>2</cp:revision>
  <cp:lastPrinted>2015-04-13T01:45:00Z</cp:lastPrinted>
  <dcterms:created xsi:type="dcterms:W3CDTF">2022-03-08T03:39:00Z</dcterms:created>
  <dcterms:modified xsi:type="dcterms:W3CDTF">2022-03-08T03:39:00Z</dcterms:modified>
  <cp:category>Open Data Policy</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AdHocReviewCycleID">
    <vt:i4>-467532071</vt:i4>
  </property>
  <property fmtid="{D5CDD505-2E9C-101B-9397-08002B2CF9AE}" pid="5" name="_EmailSubject">
    <vt:lpwstr>Open Data Policy v2 2022 publishing</vt:lpwstr>
  </property>
  <property fmtid="{D5CDD505-2E9C-101B-9397-08002B2CF9AE}" pid="6" name="_AuthorEmail">
    <vt:lpwstr>Mike.Yeats@dpc.wa.gov.au</vt:lpwstr>
  </property>
  <property fmtid="{D5CDD505-2E9C-101B-9397-08002B2CF9AE}" pid="7" name="_AuthorEmailDisplayName">
    <vt:lpwstr>Yeats, Mike</vt:lpwstr>
  </property>
  <property fmtid="{D5CDD505-2E9C-101B-9397-08002B2CF9AE}" pid="9" name="_PreviousAdHocReviewCycleID">
    <vt:i4>-2041615470</vt:i4>
  </property>
</Properties>
</file>