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2C8EC" w14:textId="77777777" w:rsidR="00581E50" w:rsidRDefault="009C31A8" w:rsidP="001449FB">
      <w:pPr>
        <w:rPr>
          <w:rFonts w:cs="Arial"/>
          <w:b/>
          <w:noProof/>
          <w:color w:val="2C5C86"/>
          <w:sz w:val="60"/>
          <w:szCs w:val="80"/>
          <w:lang w:eastAsia="en-AU"/>
        </w:rPr>
      </w:pPr>
      <w:r w:rsidRPr="00581E50">
        <w:rPr>
          <w:rStyle w:val="TitleChar"/>
        </w:rPr>
        <w:t>Surveillance</w:t>
      </w:r>
    </w:p>
    <w:p w14:paraId="209F20F8" w14:textId="0B2A4697" w:rsidR="001449FB" w:rsidRDefault="009C31A8" w:rsidP="00581E50">
      <w:pPr>
        <w:pBdr>
          <w:top w:val="single" w:sz="4" w:space="1" w:color="auto"/>
          <w:left w:val="single" w:sz="4" w:space="4" w:color="auto"/>
          <w:bottom w:val="single" w:sz="4" w:space="1" w:color="auto"/>
          <w:right w:val="single" w:sz="4" w:space="4" w:color="auto"/>
        </w:pBdr>
        <w:spacing w:before="400"/>
      </w:pPr>
      <w:r w:rsidRPr="0091663B">
        <w:t xml:space="preserve">This information sheet </w:t>
      </w:r>
      <w:r>
        <w:t xml:space="preserve">provides guidance as to the use of surveillance and </w:t>
      </w:r>
      <w:bookmarkStart w:id="0" w:name="_Hlk72489611"/>
      <w:bookmarkStart w:id="1" w:name="_Toc64975844"/>
      <w:bookmarkStart w:id="2" w:name="_Toc170270947"/>
      <w:bookmarkStart w:id="3" w:name="_Toc422125606"/>
      <w:bookmarkStart w:id="4" w:name="_Toc433278172"/>
      <w:r w:rsidR="001449FB">
        <w:t>is part of a series of information sheets that have been developed to help everyone understand the Authorisation of Restrictive Practices in Funded Disability Services Policy (the Policy) that applies in Western Australia from 1 December 2020.</w:t>
      </w:r>
    </w:p>
    <w:p w14:paraId="6BF7E558" w14:textId="77777777" w:rsidR="0023051B" w:rsidRDefault="0023051B" w:rsidP="00581E50">
      <w:pPr>
        <w:pBdr>
          <w:top w:val="single" w:sz="4" w:space="1" w:color="auto"/>
          <w:left w:val="single" w:sz="4" w:space="4" w:color="auto"/>
          <w:bottom w:val="single" w:sz="4" w:space="1" w:color="auto"/>
          <w:right w:val="single" w:sz="4" w:space="4" w:color="auto"/>
        </w:pBdr>
        <w:rPr>
          <w:rStyle w:val="Hyperlink"/>
        </w:rPr>
      </w:pPr>
      <w:r>
        <w:t xml:space="preserve">For further detailed information please refer to the </w:t>
      </w:r>
      <w:hyperlink r:id="rId12" w:history="1">
        <w:r>
          <w:rPr>
            <w:rStyle w:val="Hyperlink"/>
          </w:rPr>
          <w:t>authorisation of restrictive practices</w:t>
        </w:r>
      </w:hyperlink>
      <w:r>
        <w:t xml:space="preserve"> website.</w:t>
      </w:r>
    </w:p>
    <w:bookmarkEnd w:id="0"/>
    <w:p w14:paraId="00AE7D8C" w14:textId="5B111689" w:rsidR="009C31A8" w:rsidRPr="009C31A8" w:rsidRDefault="009C31A8" w:rsidP="001449FB">
      <w:pPr>
        <w:pStyle w:val="Heading1"/>
      </w:pPr>
      <w:r w:rsidRPr="009C31A8">
        <w:t>Surveillance and restrictive practice</w:t>
      </w:r>
    </w:p>
    <w:p w14:paraId="41131BE8" w14:textId="6A42FD2B" w:rsidR="009C31A8" w:rsidRDefault="009C31A8" w:rsidP="00581E50">
      <w:pPr>
        <w:pStyle w:val="BodyText"/>
      </w:pPr>
      <w:bookmarkStart w:id="5" w:name="_Toc59617432"/>
      <w:r>
        <w:t>Environmental</w:t>
      </w:r>
      <w:r w:rsidRPr="006B389F">
        <w:t xml:space="preserve"> restraint </w:t>
      </w:r>
      <w:r>
        <w:t xml:space="preserve">is defined in the Policy </w:t>
      </w:r>
      <w:r w:rsidRPr="006B389F">
        <w:t>as a practice which restricts a person’s free access to all parts of their environment, including items or activities</w:t>
      </w:r>
      <w:r w:rsidRPr="006B389F">
        <w:rPr>
          <w:color w:val="000000" w:themeColor="text1"/>
        </w:rPr>
        <w:t>.</w:t>
      </w:r>
    </w:p>
    <w:p w14:paraId="15226807" w14:textId="26F74924" w:rsidR="009C31A8" w:rsidRDefault="009C31A8" w:rsidP="00581E50">
      <w:pPr>
        <w:pStyle w:val="BodyText"/>
      </w:pPr>
      <w:r>
        <w:t xml:space="preserve">Surveillance involves tracking a person’s behaviour or movement by capturing audio, visual or location data. This </w:t>
      </w:r>
      <w:r w:rsidRPr="006B389F">
        <w:t xml:space="preserve">may include electronic monitoring of a person (such as with a </w:t>
      </w:r>
      <w:r>
        <w:t>global positioning system</w:t>
      </w:r>
      <w:r w:rsidRPr="006B389F">
        <w:t xml:space="preserve">, </w:t>
      </w:r>
      <w:r>
        <w:t>closed circuit camera, video camera</w:t>
      </w:r>
      <w:r w:rsidRPr="006B389F">
        <w:t xml:space="preserve"> or baby monitor)</w:t>
      </w:r>
      <w:r>
        <w:t xml:space="preserve">, </w:t>
      </w:r>
      <w:r w:rsidRPr="006B389F">
        <w:t>line of sight supervision</w:t>
      </w:r>
      <w:r>
        <w:t xml:space="preserve"> or other methods</w:t>
      </w:r>
      <w:r w:rsidRPr="006B389F">
        <w:t>.</w:t>
      </w:r>
    </w:p>
    <w:p w14:paraId="63FDA431" w14:textId="77777777" w:rsidR="009C31A8" w:rsidRDefault="009C31A8" w:rsidP="00581E50">
      <w:pPr>
        <w:pStyle w:val="BodyText"/>
      </w:pPr>
      <w:r>
        <w:t>Service providers or families may contemplate using surveillance or monitoring of a person with disability for a range of reasons. Some of the most common are:</w:t>
      </w:r>
    </w:p>
    <w:p w14:paraId="1490C8DD" w14:textId="77777777" w:rsidR="009C31A8" w:rsidRDefault="009C31A8" w:rsidP="00581E50">
      <w:pPr>
        <w:pStyle w:val="Bullet1"/>
      </w:pPr>
      <w:r>
        <w:t>keeping the person or others safe (particularly when accessing the community)</w:t>
      </w:r>
    </w:p>
    <w:p w14:paraId="117690B1" w14:textId="77777777" w:rsidR="009C31A8" w:rsidRDefault="009C31A8" w:rsidP="00581E50">
      <w:pPr>
        <w:pStyle w:val="Bullet1"/>
      </w:pPr>
      <w:r>
        <w:t>collecting data about the person’s behaviour</w:t>
      </w:r>
    </w:p>
    <w:p w14:paraId="0C9997F1" w14:textId="4FC85740" w:rsidR="009C31A8" w:rsidRDefault="009C31A8" w:rsidP="00581E50">
      <w:pPr>
        <w:pStyle w:val="Bullet1"/>
      </w:pPr>
      <w:r>
        <w:t>protecting staff from allegations of abuse</w:t>
      </w:r>
      <w:r w:rsidR="0023051B">
        <w:t>.</w:t>
      </w:r>
    </w:p>
    <w:p w14:paraId="7B66B085" w14:textId="77BDC0D8" w:rsidR="009C31A8" w:rsidRDefault="009C31A8" w:rsidP="00581E50">
      <w:pPr>
        <w:pStyle w:val="BodyText"/>
      </w:pPr>
      <w:r w:rsidRPr="001F4626">
        <w:t>Surveillance and monitoring, while not restrictive practices in themselves, are often associated with environmental restraint. For example, a person may be restricted from accessing certain parts of their environment if surveillance is not in place (for example, if line of sight cannot be maintained)</w:t>
      </w:r>
      <w:r w:rsidR="008E2E76" w:rsidRPr="001F4626">
        <w:t xml:space="preserve">. </w:t>
      </w:r>
      <w:r w:rsidRPr="001F4626">
        <w:t>In this context, it is the act of preventing the person’s access that is a restrictive practice (environmental restraint), not the surveillance itself. Another example of surveillance being used to facilitate environmental restraint is when a GPS is used to monitor a person’s movements, so that they can be stopped by staff when going towards a particular location (e.g. a friend’s house).</w:t>
      </w:r>
    </w:p>
    <w:p w14:paraId="5B2C9AF5" w14:textId="77777777" w:rsidR="009C31A8" w:rsidRPr="009C31A8" w:rsidRDefault="009C31A8" w:rsidP="00581E50">
      <w:pPr>
        <w:pStyle w:val="Heading1"/>
      </w:pPr>
      <w:r w:rsidRPr="009C31A8">
        <w:lastRenderedPageBreak/>
        <w:t>Surveillance and human rights</w:t>
      </w:r>
    </w:p>
    <w:p w14:paraId="59419BA5" w14:textId="23AF45FA" w:rsidR="009C31A8" w:rsidRDefault="009C31A8" w:rsidP="00581E50">
      <w:pPr>
        <w:pStyle w:val="BodyText"/>
        <w:keepLines/>
      </w:pPr>
      <w:r w:rsidRPr="006B389F">
        <w:t xml:space="preserve">The </w:t>
      </w:r>
      <w:hyperlink r:id="rId13" w:history="1">
        <w:r w:rsidRPr="00581E50">
          <w:rPr>
            <w:rStyle w:val="Hyperlink"/>
          </w:rPr>
          <w:t>U</w:t>
        </w:r>
        <w:r w:rsidR="00581E50" w:rsidRPr="00581E50">
          <w:rPr>
            <w:rStyle w:val="Hyperlink"/>
          </w:rPr>
          <w:t xml:space="preserve">nited </w:t>
        </w:r>
        <w:r w:rsidRPr="00581E50">
          <w:rPr>
            <w:rStyle w:val="Hyperlink"/>
          </w:rPr>
          <w:t>N</w:t>
        </w:r>
        <w:r w:rsidR="00581E50" w:rsidRPr="00581E50">
          <w:rPr>
            <w:rStyle w:val="Hyperlink"/>
          </w:rPr>
          <w:t>ations</w:t>
        </w:r>
        <w:r w:rsidRPr="00581E50">
          <w:rPr>
            <w:rStyle w:val="Hyperlink"/>
          </w:rPr>
          <w:t xml:space="preserve"> Convention on the Rights of Persons with Disabilities</w:t>
        </w:r>
      </w:hyperlink>
      <w:r w:rsidRPr="006B389F">
        <w:t xml:space="preserve"> (Article 22) </w:t>
      </w:r>
      <w:r w:rsidR="0023051B">
        <w:t>states</w:t>
      </w:r>
      <w:r w:rsidR="0023051B" w:rsidRPr="006B389F">
        <w:t xml:space="preserve"> </w:t>
      </w:r>
      <w:r w:rsidRPr="006B389F">
        <w:t>that “</w:t>
      </w:r>
      <w:r w:rsidR="00503C3E">
        <w:t>n</w:t>
      </w:r>
      <w:r w:rsidRPr="006B389F">
        <w:t>o person with disabilities, regardless of place of residence or living arrangements, shall be subjected to arbitrary or unlawful interference with his or her privacy”</w:t>
      </w:r>
      <w:r>
        <w:t>.</w:t>
      </w:r>
      <w:r w:rsidRPr="006B389F">
        <w:t xml:space="preserve"> </w:t>
      </w:r>
    </w:p>
    <w:p w14:paraId="44FCDF55" w14:textId="3545DF7D" w:rsidR="009C31A8" w:rsidRDefault="009C31A8" w:rsidP="00581E50">
      <w:pPr>
        <w:pStyle w:val="BodyText"/>
      </w:pPr>
      <w:r w:rsidRPr="006B389F">
        <w:t xml:space="preserve">Standard One (Rights) of the </w:t>
      </w:r>
      <w:hyperlink r:id="rId14" w:history="1">
        <w:r w:rsidRPr="00581E50">
          <w:rPr>
            <w:rStyle w:val="Hyperlink"/>
          </w:rPr>
          <w:t>National Standards for Disability Services</w:t>
        </w:r>
      </w:hyperlink>
      <w:r>
        <w:t xml:space="preserve"> (2013) </w:t>
      </w:r>
      <w:r w:rsidRPr="006B389F">
        <w:t xml:space="preserve">also emphasises the fundamental right of people with disability to respect, dignity and privacy. </w:t>
      </w:r>
    </w:p>
    <w:p w14:paraId="3410AA47" w14:textId="24D85E9D" w:rsidR="009C31A8" w:rsidRDefault="009C31A8" w:rsidP="00581E50">
      <w:pPr>
        <w:pStyle w:val="BodyText"/>
      </w:pPr>
      <w:r>
        <w:t xml:space="preserve">Undertaking the surveillance of a person with disability may </w:t>
      </w:r>
      <w:proofErr w:type="gramStart"/>
      <w:r>
        <w:t>be in conflict with</w:t>
      </w:r>
      <w:proofErr w:type="gramEnd"/>
      <w:r>
        <w:t xml:space="preserve"> these principles. For example, surveillance may breach a person’s reasonable expectation to privacy, and may</w:t>
      </w:r>
      <w:r w:rsidR="0023051B">
        <w:t>,</w:t>
      </w:r>
      <w:r>
        <w:t xml:space="preserve"> in some circumstances</w:t>
      </w:r>
      <w:r w:rsidR="0023051B">
        <w:t>,</w:t>
      </w:r>
      <w:r>
        <w:t xml:space="preserve"> impact on the person’s sense of dignity. Being accompanied or kept in line of sight </w:t>
      </w:r>
      <w:proofErr w:type="gramStart"/>
      <w:r>
        <w:t>at all times</w:t>
      </w:r>
      <w:proofErr w:type="gramEnd"/>
      <w:r>
        <w:t xml:space="preserve"> </w:t>
      </w:r>
      <w:r w:rsidR="001F4626">
        <w:t>is</w:t>
      </w:r>
      <w:r>
        <w:t xml:space="preserve"> intrusive and may restrict the person’s sense of freedom and autonomy. In some circumstances it could also be considered abusive or illegal.</w:t>
      </w:r>
      <w:r w:rsidRPr="00DE3A82">
        <w:t xml:space="preserve"> </w:t>
      </w:r>
      <w:r w:rsidRPr="001F4626">
        <w:t>The act of monitoring may also influence a person’s behaviour in the absence of an explicit restrictive practice. An example of this is a person who does not go to visit an adult shop when they know they are under surveillance.</w:t>
      </w:r>
    </w:p>
    <w:p w14:paraId="7E613CEE" w14:textId="549B9015" w:rsidR="009C31A8" w:rsidRDefault="009C31A8" w:rsidP="00581E50">
      <w:pPr>
        <w:pStyle w:val="BodyText"/>
      </w:pPr>
      <w:r>
        <w:t>It is important to be mindful of the expectations of the general community around privacy and dignity, and make sure that the same standards are applied to people with disability. For example, an adult may reasonably expect that they will not be accompanied or monitored by others against their will. They are likely to have the opportunity to exercise their independence and autonomy as they desire and to take risks in their lives. At the same time, the community would expect a parent or carer to monitor the whereabouts of a small child very closely. People with disability must have the same rights afforded to them, and any impact on those rights must be carefully considered in the context of a person-centred approach to providing support services.</w:t>
      </w:r>
    </w:p>
    <w:p w14:paraId="7E213927" w14:textId="77777777" w:rsidR="009C31A8" w:rsidRPr="009C31A8" w:rsidRDefault="009C31A8" w:rsidP="00581E50">
      <w:pPr>
        <w:pStyle w:val="Heading1"/>
      </w:pPr>
      <w:r w:rsidRPr="009C31A8">
        <w:t xml:space="preserve">Weighing risks and benefits of surveillance </w:t>
      </w:r>
    </w:p>
    <w:p w14:paraId="5B9A8248" w14:textId="77777777" w:rsidR="009C31A8" w:rsidRDefault="009C31A8" w:rsidP="00581E50">
      <w:pPr>
        <w:pStyle w:val="BodyText"/>
      </w:pPr>
      <w:r>
        <w:t xml:space="preserve">Research </w:t>
      </w:r>
      <w:proofErr w:type="gramStart"/>
      <w:r>
        <w:t>in the area of</w:t>
      </w:r>
      <w:proofErr w:type="gramEnd"/>
      <w:r>
        <w:t xml:space="preserve"> surveillance interventions is somewhat limited, however, it has not been established that there are significant safety benefits in the use of surveillance with people with disabilities. For example, in</w:t>
      </w:r>
      <w:r w:rsidRPr="00D47CEB">
        <w:t xml:space="preserve"> a review of evidence for the use of GPS as an intervention for elopement of people with autism and other developmental disabilities, Hayward et al (2016) concluded that </w:t>
      </w:r>
      <w:r>
        <w:t>much</w:t>
      </w:r>
      <w:r w:rsidRPr="00D47CEB">
        <w:t xml:space="preserve"> of the existing research is biased toward perceived safety issues and carer wellbeing rather than evidence for the </w:t>
      </w:r>
      <w:r>
        <w:t>efficacy</w:t>
      </w:r>
      <w:r w:rsidRPr="00D47CEB">
        <w:t xml:space="preserve"> of interventions</w:t>
      </w:r>
      <w:r>
        <w:t xml:space="preserve"> themselves.</w:t>
      </w:r>
    </w:p>
    <w:p w14:paraId="5184DA66" w14:textId="62E1916D" w:rsidR="009C31A8" w:rsidRDefault="009C31A8" w:rsidP="00581E50">
      <w:pPr>
        <w:pStyle w:val="BodyText"/>
        <w:keepLines/>
        <w:rPr>
          <w:color w:val="000000"/>
        </w:rPr>
      </w:pPr>
      <w:r>
        <w:rPr>
          <w:color w:val="000000"/>
        </w:rPr>
        <w:lastRenderedPageBreak/>
        <w:t xml:space="preserve">A comprehensive functional behaviour assessment and behaviour support planning process may identify unmet needs or alternative ways to meet the person’s needs, thereby reducing or eliminating the need for surveillance. </w:t>
      </w:r>
      <w:r w:rsidRPr="001F4626">
        <w:rPr>
          <w:color w:val="000000"/>
        </w:rPr>
        <w:t xml:space="preserve">If surveillance is to be used in aid of a regulated restrictive practice, </w:t>
      </w:r>
      <w:r w:rsidR="001F4626" w:rsidRPr="001F4626">
        <w:rPr>
          <w:color w:val="000000"/>
        </w:rPr>
        <w:t>Policy requirements for authorisation of regulated restrictive practices will apply. As part of the authorisation requirements, i</w:t>
      </w:r>
      <w:r w:rsidRPr="001F4626">
        <w:rPr>
          <w:color w:val="000000"/>
        </w:rPr>
        <w:t xml:space="preserve">t is important that </w:t>
      </w:r>
      <w:r w:rsidR="001F4626" w:rsidRPr="001F4626">
        <w:rPr>
          <w:color w:val="000000"/>
        </w:rPr>
        <w:t>the use of the regulated restrictive practice</w:t>
      </w:r>
      <w:r w:rsidRPr="001F4626">
        <w:rPr>
          <w:color w:val="000000"/>
        </w:rPr>
        <w:t xml:space="preserve"> is considered carefully in the context of the principles for the use of restrictive practice outlined in section 4.1.2 of the</w:t>
      </w:r>
      <w:r w:rsidR="00581E50">
        <w:rPr>
          <w:color w:val="000000"/>
        </w:rPr>
        <w:t xml:space="preserve"> ‘</w:t>
      </w:r>
      <w:r w:rsidR="00EA784C">
        <w:t>Procedure guidelines for authorisation of restrictive practices in NDIS funded disability services – Stage two</w:t>
      </w:r>
      <w:r w:rsidR="00581E50">
        <w:rPr>
          <w:color w:val="000000"/>
        </w:rPr>
        <w:t xml:space="preserve">’ (document listed on the </w:t>
      </w:r>
      <w:hyperlink r:id="rId15" w:history="1">
        <w:r w:rsidR="00581E50" w:rsidRPr="00581E50">
          <w:rPr>
            <w:rStyle w:val="Hyperlink"/>
          </w:rPr>
          <w:t>restrictive practices resources</w:t>
        </w:r>
      </w:hyperlink>
      <w:r w:rsidR="00581E50">
        <w:rPr>
          <w:color w:val="000000"/>
        </w:rPr>
        <w:t xml:space="preserve"> page under ‘Policy and procedure guidelines’). </w:t>
      </w:r>
      <w:r>
        <w:rPr>
          <w:color w:val="000000"/>
        </w:rPr>
        <w:t>Wherever possible, the person with disability should be involved in supported decision-making around the practice.</w:t>
      </w:r>
    </w:p>
    <w:p w14:paraId="70BB5783" w14:textId="77777777" w:rsidR="009C31A8" w:rsidRPr="007B2396" w:rsidRDefault="009C31A8" w:rsidP="00581E50">
      <w:pPr>
        <w:pStyle w:val="BodyText"/>
        <w:rPr>
          <w:color w:val="000000"/>
        </w:rPr>
      </w:pPr>
      <w:r>
        <w:t>When considering the use of surveillance, it may also be helpful to consider the following questions to guide decision-making:</w:t>
      </w:r>
    </w:p>
    <w:p w14:paraId="5E194256" w14:textId="17C3E521" w:rsidR="009C31A8" w:rsidRPr="0038609B" w:rsidRDefault="009C31A8" w:rsidP="00581E50">
      <w:pPr>
        <w:pStyle w:val="Bullet1"/>
      </w:pPr>
      <w:r w:rsidRPr="0038609B">
        <w:t>What is the purpose of the surveillance?</w:t>
      </w:r>
    </w:p>
    <w:p w14:paraId="0A12BFED" w14:textId="77777777" w:rsidR="009C31A8" w:rsidRPr="0038609B" w:rsidRDefault="009C31A8" w:rsidP="00581E50">
      <w:pPr>
        <w:pStyle w:val="Bullet1"/>
      </w:pPr>
      <w:r w:rsidRPr="0038609B">
        <w:t>Who will benefit from the use of surveillance?</w:t>
      </w:r>
    </w:p>
    <w:p w14:paraId="0C59A30B" w14:textId="77777777" w:rsidR="009C31A8" w:rsidRPr="0038609B" w:rsidRDefault="009C31A8" w:rsidP="00581E50">
      <w:pPr>
        <w:pStyle w:val="Bullet1"/>
      </w:pPr>
      <w:r w:rsidRPr="0038609B">
        <w:t>How might the surveillance benefit the person? Does it support the person’s quality of life or simply reduce risk?</w:t>
      </w:r>
    </w:p>
    <w:p w14:paraId="65D09C75" w14:textId="77777777" w:rsidR="009C31A8" w:rsidRPr="0038609B" w:rsidRDefault="009C31A8" w:rsidP="00581E50">
      <w:pPr>
        <w:pStyle w:val="Bullet1"/>
      </w:pPr>
      <w:r w:rsidRPr="0038609B">
        <w:t>What are the possible impacts of surveillance on the person and others? Costs and benefits may include physical, emotional, psychological, ethical, and financial factors.</w:t>
      </w:r>
    </w:p>
    <w:p w14:paraId="0F0F2EF1" w14:textId="77777777" w:rsidR="009C31A8" w:rsidRDefault="009C31A8" w:rsidP="00581E50">
      <w:pPr>
        <w:pStyle w:val="Bullet1"/>
      </w:pPr>
      <w:r w:rsidRPr="0038609B">
        <w:t>What alternatives are there to the use of surveillance?</w:t>
      </w:r>
    </w:p>
    <w:p w14:paraId="54887F62" w14:textId="77777777" w:rsidR="009C31A8" w:rsidRPr="00AF0A65" w:rsidRDefault="009C31A8" w:rsidP="00581E50">
      <w:pPr>
        <w:pStyle w:val="Bullet1"/>
      </w:pPr>
      <w:r>
        <w:t>What supports could be put in place to reduce risks and avoid surveillance?</w:t>
      </w:r>
    </w:p>
    <w:p w14:paraId="71E18B85" w14:textId="77777777" w:rsidR="009C31A8" w:rsidRPr="00EB342A" w:rsidRDefault="009C31A8" w:rsidP="009C31A8">
      <w:pPr>
        <w:pStyle w:val="Heading1"/>
      </w:pPr>
      <w:r w:rsidRPr="0069406B">
        <w:t>Contact information</w:t>
      </w:r>
    </w:p>
    <w:p w14:paraId="0BBDC43E" w14:textId="77777777" w:rsidR="00194B1D" w:rsidRPr="003A6C9B" w:rsidRDefault="00194B1D" w:rsidP="00194B1D">
      <w:pPr>
        <w:pStyle w:val="BodyText"/>
      </w:pPr>
      <w:bookmarkStart w:id="6" w:name="_Hlk75182229"/>
      <w:r w:rsidRPr="001636B7">
        <w:t xml:space="preserve">For </w:t>
      </w:r>
      <w:r>
        <w:t>enquiries</w:t>
      </w:r>
      <w:r w:rsidRPr="001636B7">
        <w:t xml:space="preserve"> about the </w:t>
      </w:r>
      <w:r w:rsidRPr="003A6C9B">
        <w:t>Policy, please contact</w:t>
      </w:r>
      <w:r>
        <w:t xml:space="preserve"> the </w:t>
      </w:r>
      <w:r w:rsidRPr="003A6C9B">
        <w:t>Department of Communities</w:t>
      </w:r>
      <w:r>
        <w:t xml:space="preserve"> – authorisation of restrictive practices team:</w:t>
      </w:r>
    </w:p>
    <w:bookmarkEnd w:id="6"/>
    <w:p w14:paraId="17F331D9" w14:textId="5D0CC9C9" w:rsidR="009C31A8" w:rsidRDefault="009C31A8" w:rsidP="009C31A8">
      <w:pPr>
        <w:pStyle w:val="BodyText"/>
      </w:pPr>
      <w:r w:rsidRPr="0069406B">
        <w:rPr>
          <w:b/>
          <w:bCs/>
        </w:rPr>
        <w:t>Email</w:t>
      </w:r>
      <w:r w:rsidRPr="0069406B">
        <w:t xml:space="preserve">: </w:t>
      </w:r>
      <w:hyperlink r:id="rId16" w:history="1">
        <w:r w:rsidRPr="0069406B">
          <w:rPr>
            <w:rStyle w:val="Hyperlink"/>
            <w:bCs/>
          </w:rPr>
          <w:t>ARP@communities.wa.gov.au</w:t>
        </w:r>
      </w:hyperlink>
      <w:r w:rsidRPr="0069406B">
        <w:rPr>
          <w:rStyle w:val="Hyperlink"/>
          <w:bCs/>
        </w:rPr>
        <w:br/>
      </w:r>
      <w:r w:rsidRPr="0069406B">
        <w:rPr>
          <w:b/>
          <w:bCs/>
        </w:rPr>
        <w:t>Phone</w:t>
      </w:r>
      <w:r w:rsidRPr="0069406B">
        <w:t xml:space="preserve">: 08 6217 6888 or </w:t>
      </w:r>
      <w:r w:rsidR="00194B1D">
        <w:t xml:space="preserve">free call </w:t>
      </w:r>
      <w:r w:rsidRPr="0069406B">
        <w:t>1800 176 888</w:t>
      </w:r>
      <w:r w:rsidRPr="0069406B">
        <w:br/>
      </w:r>
      <w:r w:rsidRPr="0069406B">
        <w:rPr>
          <w:b/>
          <w:bCs/>
        </w:rPr>
        <w:t>Voice relay</w:t>
      </w:r>
      <w:r w:rsidRPr="0069406B">
        <w:t>: 1300 555 727</w:t>
      </w:r>
      <w:r w:rsidRPr="0069406B">
        <w:br/>
      </w:r>
      <w:r w:rsidRPr="0069406B">
        <w:rPr>
          <w:b/>
          <w:bCs/>
        </w:rPr>
        <w:t>Teletypewriter (TTY)</w:t>
      </w:r>
      <w:r w:rsidRPr="0069406B">
        <w:t>: 133 677</w:t>
      </w:r>
      <w:r w:rsidRPr="0069406B">
        <w:br/>
      </w:r>
      <w:r w:rsidRPr="0069406B">
        <w:rPr>
          <w:b/>
          <w:bCs/>
        </w:rPr>
        <w:t>SMS relay</w:t>
      </w:r>
      <w:r w:rsidRPr="0069406B">
        <w:t>: 0423 677 767</w:t>
      </w:r>
    </w:p>
    <w:p w14:paraId="58807282" w14:textId="77777777" w:rsidR="00A4422E" w:rsidRDefault="00A4422E" w:rsidP="00A4422E">
      <w:pPr>
        <w:pStyle w:val="Heading1"/>
      </w:pPr>
      <w:bookmarkStart w:id="7" w:name="_Toc59617435"/>
      <w:bookmarkEnd w:id="1"/>
      <w:bookmarkEnd w:id="2"/>
      <w:bookmarkEnd w:id="3"/>
      <w:bookmarkEnd w:id="4"/>
      <w:bookmarkEnd w:id="5"/>
      <w:r w:rsidRPr="0091663B">
        <w:t>References</w:t>
      </w:r>
      <w:bookmarkEnd w:id="7"/>
    </w:p>
    <w:p w14:paraId="2221F8D5" w14:textId="77777777" w:rsidR="00A4422E" w:rsidRPr="00A4422E" w:rsidRDefault="00A4422E" w:rsidP="00581E50">
      <w:pPr>
        <w:pStyle w:val="Bullet1"/>
        <w:rPr>
          <w:rFonts w:asciiTheme="minorHAnsi" w:hAnsiTheme="minorHAnsi" w:cstheme="minorHAnsi"/>
          <w:color w:val="231F20"/>
        </w:rPr>
      </w:pPr>
      <w:r w:rsidRPr="00A4422E">
        <w:rPr>
          <w:rFonts w:asciiTheme="minorHAnsi" w:hAnsiTheme="minorHAnsi" w:cstheme="minorHAnsi"/>
          <w:color w:val="231F20"/>
        </w:rPr>
        <w:t xml:space="preserve">Hayward, B., </w:t>
      </w:r>
      <w:proofErr w:type="spellStart"/>
      <w:r w:rsidRPr="00A4422E">
        <w:rPr>
          <w:rFonts w:asciiTheme="minorHAnsi" w:hAnsiTheme="minorHAnsi" w:cstheme="minorHAnsi"/>
          <w:color w:val="231F20"/>
        </w:rPr>
        <w:t>Ransley</w:t>
      </w:r>
      <w:proofErr w:type="spellEnd"/>
      <w:r w:rsidRPr="00A4422E">
        <w:rPr>
          <w:rFonts w:asciiTheme="minorHAnsi" w:hAnsiTheme="minorHAnsi" w:cstheme="minorHAnsi"/>
          <w:color w:val="231F20"/>
        </w:rPr>
        <w:t xml:space="preserve">, F., &amp; </w:t>
      </w:r>
      <w:proofErr w:type="spellStart"/>
      <w:r w:rsidRPr="00A4422E">
        <w:rPr>
          <w:rFonts w:asciiTheme="minorHAnsi" w:hAnsiTheme="minorHAnsi" w:cstheme="minorHAnsi"/>
          <w:color w:val="231F20"/>
        </w:rPr>
        <w:t>Memery</w:t>
      </w:r>
      <w:proofErr w:type="spellEnd"/>
      <w:r w:rsidRPr="00A4422E">
        <w:rPr>
          <w:rFonts w:asciiTheme="minorHAnsi" w:hAnsiTheme="minorHAnsi" w:cstheme="minorHAnsi"/>
          <w:color w:val="231F20"/>
        </w:rPr>
        <w:t xml:space="preserve">, R. (2016). GPS Devices for Elopement of People </w:t>
      </w:r>
      <w:proofErr w:type="gramStart"/>
      <w:r w:rsidRPr="00A4422E">
        <w:rPr>
          <w:rFonts w:asciiTheme="minorHAnsi" w:hAnsiTheme="minorHAnsi" w:cstheme="minorHAnsi"/>
          <w:color w:val="231F20"/>
        </w:rPr>
        <w:t>With</w:t>
      </w:r>
      <w:proofErr w:type="gramEnd"/>
      <w:r w:rsidRPr="00A4422E">
        <w:rPr>
          <w:rFonts w:asciiTheme="minorHAnsi" w:hAnsiTheme="minorHAnsi" w:cstheme="minorHAnsi"/>
          <w:color w:val="231F20"/>
        </w:rPr>
        <w:t xml:space="preserve"> Autism and Other Developmental Disabilities: A Review of the Published Literature, Journal of Policy and Practice in Intellectual Disabilities, 13:1, 69–74.</w:t>
      </w:r>
    </w:p>
    <w:p w14:paraId="0F1B31F9" w14:textId="3902CA0A" w:rsidR="00F9067D" w:rsidRPr="00581E50" w:rsidRDefault="00A4422E" w:rsidP="00581E50">
      <w:pPr>
        <w:pStyle w:val="Bullet1"/>
        <w:rPr>
          <w:rFonts w:asciiTheme="minorHAnsi" w:hAnsiTheme="minorHAnsi" w:cstheme="minorHAnsi"/>
        </w:rPr>
      </w:pPr>
      <w:r w:rsidRPr="00A4422E">
        <w:rPr>
          <w:rFonts w:asciiTheme="minorHAnsi" w:hAnsiTheme="minorHAnsi" w:cstheme="minorHAnsi"/>
        </w:rPr>
        <w:lastRenderedPageBreak/>
        <w:t>Hayward, B. A. (2017) The arguments against camera and closed-circuit television surveillance in the homes of people with disabilities to protect from abuse and neglect, Research and Practice in Intellectual and Developmental Disabilities, 4:2, 121-137.</w:t>
      </w:r>
    </w:p>
    <w:p w14:paraId="3C223E99" w14:textId="6BE9B2CE" w:rsidR="006C6C8F" w:rsidRDefault="001F4626" w:rsidP="00581E50">
      <w:pPr>
        <w:spacing w:before="1200" w:after="0" w:line="240" w:lineRule="auto"/>
        <w:rPr>
          <w:rFonts w:cs="Arial"/>
          <w:lang w:val="en-GB"/>
        </w:rPr>
      </w:pPr>
      <w:r>
        <w:t>[</w:t>
      </w:r>
      <w:r w:rsidR="00C01A5E">
        <w:t xml:space="preserve">Last updated </w:t>
      </w:r>
      <w:r w:rsidR="00503C3E">
        <w:t>June</w:t>
      </w:r>
      <w:r w:rsidR="00C01A5E">
        <w:t xml:space="preserve"> 2021</w:t>
      </w:r>
      <w:r>
        <w:t>]</w:t>
      </w:r>
    </w:p>
    <w:sectPr w:rsidR="006C6C8F" w:rsidSect="00A1342F">
      <w:headerReference w:type="default" r:id="rId17"/>
      <w:footerReference w:type="default" r:id="rId18"/>
      <w:headerReference w:type="first" r:id="rId19"/>
      <w:footerReference w:type="first" r:id="rId20"/>
      <w:pgSz w:w="11900" w:h="16840" w:code="9"/>
      <w:pgMar w:top="1418" w:right="1134" w:bottom="1134" w:left="1134" w:header="0" w:footer="51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488A5" w14:textId="77777777" w:rsidR="00A83CD8" w:rsidRDefault="00A83CD8" w:rsidP="00D41211">
      <w:r>
        <w:separator/>
      </w:r>
    </w:p>
  </w:endnote>
  <w:endnote w:type="continuationSeparator" w:id="0">
    <w:p w14:paraId="61E409D3" w14:textId="77777777" w:rsidR="00A83CD8" w:rsidRDefault="00A83CD8"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436426"/>
      <w:docPartObj>
        <w:docPartGallery w:val="Page Numbers (Bottom of Page)"/>
        <w:docPartUnique/>
      </w:docPartObj>
    </w:sdtPr>
    <w:sdtEndPr>
      <w:rPr>
        <w:noProof/>
      </w:rPr>
    </w:sdtEndPr>
    <w:sdtContent>
      <w:p w14:paraId="34FC946C" w14:textId="7332C17A"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EE3247">
          <w:rPr>
            <w:noProof/>
          </w:rPr>
          <w:t>5</w:t>
        </w:r>
        <w:r w:rsidRPr="001D4C4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1089467"/>
      <w:docPartObj>
        <w:docPartGallery w:val="Page Numbers (Bottom of Page)"/>
        <w:docPartUnique/>
      </w:docPartObj>
    </w:sdtPr>
    <w:sdtEndPr>
      <w:rPr>
        <w:noProof/>
      </w:rPr>
    </w:sdtEndPr>
    <w:sdtContent>
      <w:p w14:paraId="74510B65" w14:textId="644AB83F" w:rsidR="00811AFF" w:rsidRPr="00811AFF" w:rsidRDefault="00811AFF" w:rsidP="00811AFF">
        <w:pPr>
          <w:pStyle w:val="Footer"/>
        </w:pPr>
        <w:r w:rsidRPr="001D4C4E">
          <w:fldChar w:fldCharType="begin"/>
        </w:r>
        <w:r w:rsidRPr="001D4C4E">
          <w:instrText xml:space="preserve"> PAGE   \* MERGEFORMAT </w:instrText>
        </w:r>
        <w:r w:rsidRPr="001D4C4E">
          <w:fldChar w:fldCharType="separate"/>
        </w:r>
        <w:r w:rsidR="00EE3247">
          <w:rPr>
            <w:noProof/>
          </w:rPr>
          <w:t>1</w:t>
        </w:r>
        <w:r w:rsidRPr="001D4C4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28C52" w14:textId="77777777" w:rsidR="00A83CD8" w:rsidRDefault="00A83CD8" w:rsidP="00D41211">
      <w:r>
        <w:separator/>
      </w:r>
    </w:p>
  </w:footnote>
  <w:footnote w:type="continuationSeparator" w:id="0">
    <w:p w14:paraId="2ABC0A81" w14:textId="77777777" w:rsidR="00A83CD8" w:rsidRDefault="00A83CD8"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FB5F" w14:textId="77777777" w:rsidR="00104B99" w:rsidRDefault="00FF1E2E" w:rsidP="00104B99">
    <w:pPr>
      <w:ind w:left="-1134"/>
    </w:pPr>
    <w:r>
      <w:rPr>
        <w:noProof/>
        <w:lang w:eastAsia="en-AU"/>
      </w:rPr>
      <w:drawing>
        <wp:inline distT="0" distB="0" distL="0" distR="0" wp14:anchorId="72BBA76B" wp14:editId="1B3FF1EE">
          <wp:extent cx="7653020" cy="1073785"/>
          <wp:effectExtent l="0" t="0" r="508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53020" cy="1073785"/>
                  </a:xfrm>
                  <a:prstGeom prst="rect">
                    <a:avLst/>
                  </a:prstGeom>
                </pic:spPr>
              </pic:pic>
            </a:graphicData>
          </a:graphic>
        </wp:inline>
      </w:drawing>
    </w:r>
  </w:p>
  <w:p w14:paraId="77651E58" w14:textId="690531CB" w:rsidR="00206816" w:rsidRPr="00104B99" w:rsidRDefault="009C31A8" w:rsidP="00104B99">
    <w:pPr>
      <w:pStyle w:val="Header"/>
    </w:pPr>
    <w:r>
      <w:t>Surveillance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95A77" w14:textId="77777777" w:rsidR="00206816" w:rsidRDefault="00206816" w:rsidP="006C0114">
    <w:pPr>
      <w:pStyle w:val="nospace"/>
      <w:ind w:left="-1134"/>
    </w:pPr>
    <w:r>
      <w:rPr>
        <w:noProof/>
        <w:lang w:val="en-AU" w:eastAsia="en-AU"/>
      </w:rPr>
      <w:drawing>
        <wp:inline distT="0" distB="0" distL="0" distR="0" wp14:anchorId="5EE6D2C8" wp14:editId="0D47EC46">
          <wp:extent cx="7558095" cy="1438476"/>
          <wp:effectExtent l="0" t="0" r="5080" b="9525"/>
          <wp:docPr id="32" name="Picture 32" descr="Logo: Government of Western Australia Department of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ogo: Government of Western Australia Department of Communiti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95" cy="1438476"/>
                  </a:xfrm>
                  <a:prstGeom prst="rect">
                    <a:avLst/>
                  </a:prstGeom>
                  <a:noFill/>
                  <a:ln>
                    <a:noFill/>
                  </a:ln>
                </pic:spPr>
              </pic:pic>
            </a:graphicData>
          </a:graphic>
        </wp:inline>
      </w:drawing>
    </w:r>
  </w:p>
  <w:p w14:paraId="79F48567" w14:textId="77777777" w:rsidR="006C0114" w:rsidRDefault="006C0114" w:rsidP="006C01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FE6F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5A2B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229AA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6783C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E447E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48B5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3FABB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2387D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D769B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0E809450"/>
    <w:lvl w:ilvl="0" w:tplc="3154AA74">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A187F16"/>
    <w:multiLevelType w:val="hybridMultilevel"/>
    <w:tmpl w:val="A9BAC8D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4" w15:restartNumberingAfterBreak="0">
    <w:nsid w:val="102640C6"/>
    <w:multiLevelType w:val="multilevel"/>
    <w:tmpl w:val="68109DAC"/>
    <w:lvl w:ilvl="0">
      <w:start w:val="1"/>
      <w:numFmt w:val="none"/>
      <w:lvlText w:val="1."/>
      <w:lvlJc w:val="left"/>
      <w:pPr>
        <w:ind w:left="794" w:hanging="510"/>
      </w:pPr>
      <w:rPr>
        <w:rFonts w:hint="default"/>
      </w:rPr>
    </w:lvl>
    <w:lvl w:ilvl="1">
      <w:start w:val="1"/>
      <w:numFmt w:val="lowerLetter"/>
      <w:lvlText w:val="%2)"/>
      <w:lvlJc w:val="left"/>
      <w:pPr>
        <w:ind w:left="1588" w:hanging="453"/>
      </w:pPr>
      <w:rPr>
        <w:rFonts w:hint="default"/>
      </w:rPr>
    </w:lvl>
    <w:lvl w:ilvl="2">
      <w:start w:val="1"/>
      <w:numFmt w:val="lowerRoman"/>
      <w:lvlText w:val="%3)"/>
      <w:lvlJc w:val="right"/>
      <w:pPr>
        <w:ind w:left="1758" w:hanging="511"/>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15:restartNumberingAfterBreak="0">
    <w:nsid w:val="10AA00EE"/>
    <w:multiLevelType w:val="multilevel"/>
    <w:tmpl w:val="29A857C2"/>
    <w:lvl w:ilvl="0">
      <w:start w:val="1"/>
      <w:numFmt w:val="bullet"/>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6" w15:restartNumberingAfterBreak="0">
    <w:nsid w:val="10AA7F06"/>
    <w:multiLevelType w:val="hybridMultilevel"/>
    <w:tmpl w:val="9D94D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22" w15:restartNumberingAfterBreak="0">
    <w:nsid w:val="1D865D0F"/>
    <w:multiLevelType w:val="hybridMultilevel"/>
    <w:tmpl w:val="8C1A4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1A2DF6"/>
    <w:multiLevelType w:val="hybridMultilevel"/>
    <w:tmpl w:val="EA08CA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90A21F2"/>
    <w:multiLevelType w:val="hybridMultilevel"/>
    <w:tmpl w:val="0C30C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B43B4D"/>
    <w:multiLevelType w:val="multilevel"/>
    <w:tmpl w:val="B3A2D20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30"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31" w15:restartNumberingAfterBreak="0">
    <w:nsid w:val="47F67886"/>
    <w:multiLevelType w:val="multilevel"/>
    <w:tmpl w:val="9ADC660E"/>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32"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3"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4" w15:restartNumberingAfterBreak="0">
    <w:nsid w:val="5B4D699C"/>
    <w:multiLevelType w:val="hybridMultilevel"/>
    <w:tmpl w:val="A7144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7"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9"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9B7E3C"/>
    <w:multiLevelType w:val="multilevel"/>
    <w:tmpl w:val="111A5ECE"/>
    <w:lvl w:ilvl="0">
      <w:start w:val="1"/>
      <w:numFmt w:val="bullet"/>
      <w:lvlText w:val=""/>
      <w:lvlJc w:val="left"/>
      <w:pPr>
        <w:ind w:left="357" w:hanging="357"/>
      </w:pPr>
      <w:rPr>
        <w:rFonts w:ascii="Symbol" w:hAnsi="Symbol" w:hint="default"/>
        <w:color w:val="auto"/>
      </w:rPr>
    </w:lvl>
    <w:lvl w:ilvl="1">
      <w:start w:val="1"/>
      <w:numFmt w:val="bullet"/>
      <w:lvlText w:val="o"/>
      <w:lvlJc w:val="left"/>
      <w:pPr>
        <w:ind w:left="1434" w:hanging="357"/>
      </w:pPr>
      <w:rPr>
        <w:rFonts w:ascii="Courier New" w:hAnsi="Courier New" w:hint="default"/>
      </w:rPr>
    </w:lvl>
    <w:lvl w:ilvl="2">
      <w:start w:val="1"/>
      <w:numFmt w:val="bullet"/>
      <w:lvlText w:val=""/>
      <w:lvlJc w:val="left"/>
      <w:pPr>
        <w:ind w:left="2511" w:hanging="357"/>
      </w:pPr>
      <w:rPr>
        <w:rFonts w:ascii="Wingdings" w:hAnsi="Wingdings" w:hint="default"/>
      </w:rPr>
    </w:lvl>
    <w:lvl w:ilvl="3">
      <w:start w:val="1"/>
      <w:numFmt w:val="bullet"/>
      <w:lvlText w:val=""/>
      <w:lvlJc w:val="left"/>
      <w:pPr>
        <w:ind w:left="3588" w:hanging="357"/>
      </w:pPr>
      <w:rPr>
        <w:rFonts w:ascii="Symbol" w:hAnsi="Symbol" w:hint="default"/>
      </w:rPr>
    </w:lvl>
    <w:lvl w:ilvl="4">
      <w:start w:val="1"/>
      <w:numFmt w:val="bullet"/>
      <w:lvlText w:val="o"/>
      <w:lvlJc w:val="left"/>
      <w:pPr>
        <w:ind w:left="4665" w:hanging="357"/>
      </w:pPr>
      <w:rPr>
        <w:rFonts w:ascii="Courier New" w:hAnsi="Courier New" w:hint="default"/>
      </w:rPr>
    </w:lvl>
    <w:lvl w:ilvl="5">
      <w:start w:val="1"/>
      <w:numFmt w:val="bullet"/>
      <w:lvlText w:val=""/>
      <w:lvlJc w:val="left"/>
      <w:pPr>
        <w:ind w:left="5742" w:hanging="357"/>
      </w:pPr>
      <w:rPr>
        <w:rFonts w:ascii="Wingdings" w:hAnsi="Wingdings" w:hint="default"/>
      </w:rPr>
    </w:lvl>
    <w:lvl w:ilvl="6">
      <w:start w:val="1"/>
      <w:numFmt w:val="bullet"/>
      <w:lvlText w:val=""/>
      <w:lvlJc w:val="left"/>
      <w:pPr>
        <w:ind w:left="6819" w:hanging="357"/>
      </w:pPr>
      <w:rPr>
        <w:rFonts w:ascii="Symbol" w:hAnsi="Symbol" w:hint="default"/>
      </w:rPr>
    </w:lvl>
    <w:lvl w:ilvl="7">
      <w:start w:val="1"/>
      <w:numFmt w:val="bullet"/>
      <w:lvlText w:val="o"/>
      <w:lvlJc w:val="left"/>
      <w:pPr>
        <w:ind w:left="7896" w:hanging="357"/>
      </w:pPr>
      <w:rPr>
        <w:rFonts w:ascii="Courier New" w:hAnsi="Courier New" w:hint="default"/>
      </w:rPr>
    </w:lvl>
    <w:lvl w:ilvl="8">
      <w:start w:val="1"/>
      <w:numFmt w:val="bullet"/>
      <w:lvlText w:val=""/>
      <w:lvlJc w:val="left"/>
      <w:pPr>
        <w:ind w:left="8973" w:hanging="357"/>
      </w:pPr>
      <w:rPr>
        <w:rFonts w:ascii="Wingdings" w:hAnsi="Wingdings" w:hint="default"/>
      </w:rPr>
    </w:lvl>
  </w:abstractNum>
  <w:abstractNum w:abstractNumId="41"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7C940B6A"/>
    <w:multiLevelType w:val="hybridMultilevel"/>
    <w:tmpl w:val="BAEA5112"/>
    <w:lvl w:ilvl="0" w:tplc="9A342F66">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6A5DBF"/>
    <w:multiLevelType w:val="hybridMultilevel"/>
    <w:tmpl w:val="8446DB84"/>
    <w:lvl w:ilvl="0" w:tplc="D24C6C70">
      <w:start w:val="1"/>
      <w:numFmt w:val="decimal"/>
      <w:lvlText w:val="%1."/>
      <w:lvlJc w:val="left"/>
      <w:pPr>
        <w:ind w:left="360"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27"/>
  </w:num>
  <w:num w:numId="2">
    <w:abstractNumId w:val="20"/>
  </w:num>
  <w:num w:numId="3">
    <w:abstractNumId w:val="0"/>
  </w:num>
  <w:num w:numId="4">
    <w:abstractNumId w:val="35"/>
  </w:num>
  <w:num w:numId="5">
    <w:abstractNumId w:val="39"/>
  </w:num>
  <w:num w:numId="6">
    <w:abstractNumId w:val="11"/>
  </w:num>
  <w:num w:numId="7">
    <w:abstractNumId w:val="43"/>
  </w:num>
  <w:num w:numId="8">
    <w:abstractNumId w:val="32"/>
  </w:num>
  <w:num w:numId="9">
    <w:abstractNumId w:val="18"/>
  </w:num>
  <w:num w:numId="10">
    <w:abstractNumId w:val="28"/>
  </w:num>
  <w:num w:numId="11">
    <w:abstractNumId w:val="44"/>
  </w:num>
  <w:num w:numId="12">
    <w:abstractNumId w:val="19"/>
  </w:num>
  <w:num w:numId="13">
    <w:abstractNumId w:val="37"/>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1"/>
  </w:num>
  <w:num w:numId="25">
    <w:abstractNumId w:val="26"/>
  </w:num>
  <w:num w:numId="26">
    <w:abstractNumId w:val="12"/>
  </w:num>
  <w:num w:numId="27">
    <w:abstractNumId w:val="36"/>
  </w:num>
  <w:num w:numId="28">
    <w:abstractNumId w:val="33"/>
  </w:num>
  <w:num w:numId="29">
    <w:abstractNumId w:val="17"/>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41"/>
  </w:num>
  <w:num w:numId="33">
    <w:abstractNumId w:val="45"/>
  </w:num>
  <w:num w:numId="34">
    <w:abstractNumId w:val="26"/>
  </w:num>
  <w:num w:numId="35">
    <w:abstractNumId w:val="42"/>
  </w:num>
  <w:num w:numId="36">
    <w:abstractNumId w:val="38"/>
  </w:num>
  <w:num w:numId="37">
    <w:abstractNumId w:val="29"/>
  </w:num>
  <w:num w:numId="38">
    <w:abstractNumId w:val="14"/>
  </w:num>
  <w:num w:numId="39">
    <w:abstractNumId w:val="29"/>
    <w:lvlOverride w:ilvl="0">
      <w:lvl w:ilvl="0">
        <w:start w:val="1"/>
        <w:numFmt w:val="decimal"/>
        <w:pStyle w:val="ListParagraph"/>
        <w:lvlText w:val="%1."/>
        <w:lvlJc w:val="left"/>
        <w:pPr>
          <w:ind w:left="794" w:hanging="510"/>
        </w:pPr>
        <w:rPr>
          <w:rFonts w:hint="default"/>
        </w:rPr>
      </w:lvl>
    </w:lvlOverride>
    <w:lvlOverride w:ilvl="1">
      <w:lvl w:ilvl="1">
        <w:start w:val="1"/>
        <w:numFmt w:val="lowerLetter"/>
        <w:lvlText w:val="%2)"/>
        <w:lvlJc w:val="left"/>
        <w:pPr>
          <w:tabs>
            <w:tab w:val="num" w:pos="1361"/>
          </w:tabs>
          <w:ind w:left="1418" w:hanging="624"/>
        </w:pPr>
        <w:rPr>
          <w:rFonts w:hint="default"/>
        </w:rPr>
      </w:lvl>
    </w:lvlOverride>
    <w:lvlOverride w:ilvl="2">
      <w:lvl w:ilvl="2">
        <w:start w:val="1"/>
        <w:numFmt w:val="lowerRoman"/>
        <w:lvlText w:val="%3)"/>
        <w:lvlJc w:val="right"/>
        <w:pPr>
          <w:ind w:left="1985" w:hanging="397"/>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40">
    <w:abstractNumId w:val="11"/>
  </w:num>
  <w:num w:numId="41">
    <w:abstractNumId w:val="40"/>
  </w:num>
  <w:num w:numId="42">
    <w:abstractNumId w:val="31"/>
  </w:num>
  <w:num w:numId="43">
    <w:abstractNumId w:val="34"/>
  </w:num>
  <w:num w:numId="44">
    <w:abstractNumId w:val="13"/>
  </w:num>
  <w:num w:numId="45">
    <w:abstractNumId w:val="15"/>
  </w:num>
  <w:num w:numId="46">
    <w:abstractNumId w:val="16"/>
  </w:num>
  <w:num w:numId="47">
    <w:abstractNumId w:val="24"/>
  </w:num>
  <w:num w:numId="48">
    <w:abstractNumId w:val="22"/>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embedSystemFonts/>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00F7"/>
    <w:rsid w:val="00002BB8"/>
    <w:rsid w:val="00014F53"/>
    <w:rsid w:val="0002361C"/>
    <w:rsid w:val="00025F3F"/>
    <w:rsid w:val="000338B3"/>
    <w:rsid w:val="000342E2"/>
    <w:rsid w:val="00047DD6"/>
    <w:rsid w:val="00060292"/>
    <w:rsid w:val="00063172"/>
    <w:rsid w:val="00063F98"/>
    <w:rsid w:val="00066CCF"/>
    <w:rsid w:val="00075D15"/>
    <w:rsid w:val="00075F81"/>
    <w:rsid w:val="00083942"/>
    <w:rsid w:val="00095A4D"/>
    <w:rsid w:val="000A161D"/>
    <w:rsid w:val="000B1741"/>
    <w:rsid w:val="000C45FC"/>
    <w:rsid w:val="000E6A91"/>
    <w:rsid w:val="000F60E1"/>
    <w:rsid w:val="0010341D"/>
    <w:rsid w:val="0010445F"/>
    <w:rsid w:val="00104B99"/>
    <w:rsid w:val="00111D6C"/>
    <w:rsid w:val="00116BBF"/>
    <w:rsid w:val="001221FC"/>
    <w:rsid w:val="00123E91"/>
    <w:rsid w:val="00127199"/>
    <w:rsid w:val="00130FE2"/>
    <w:rsid w:val="001449FB"/>
    <w:rsid w:val="0015261A"/>
    <w:rsid w:val="00167608"/>
    <w:rsid w:val="00167F21"/>
    <w:rsid w:val="00170CC9"/>
    <w:rsid w:val="00173EED"/>
    <w:rsid w:val="00190E93"/>
    <w:rsid w:val="00194B1D"/>
    <w:rsid w:val="001A3B37"/>
    <w:rsid w:val="001A5FFE"/>
    <w:rsid w:val="001A7E88"/>
    <w:rsid w:val="001B4C4E"/>
    <w:rsid w:val="001B7FC8"/>
    <w:rsid w:val="001D4C4E"/>
    <w:rsid w:val="001E0EF3"/>
    <w:rsid w:val="001E7BE4"/>
    <w:rsid w:val="001F4626"/>
    <w:rsid w:val="001F483B"/>
    <w:rsid w:val="0020481B"/>
    <w:rsid w:val="00206816"/>
    <w:rsid w:val="00212411"/>
    <w:rsid w:val="0023051B"/>
    <w:rsid w:val="00235CE5"/>
    <w:rsid w:val="00235FFE"/>
    <w:rsid w:val="00237B08"/>
    <w:rsid w:val="00240916"/>
    <w:rsid w:val="00240EE5"/>
    <w:rsid w:val="002455F2"/>
    <w:rsid w:val="00252B09"/>
    <w:rsid w:val="0025755F"/>
    <w:rsid w:val="00257E1F"/>
    <w:rsid w:val="00262A84"/>
    <w:rsid w:val="00273975"/>
    <w:rsid w:val="0027419D"/>
    <w:rsid w:val="00276A09"/>
    <w:rsid w:val="00276DC9"/>
    <w:rsid w:val="00277361"/>
    <w:rsid w:val="00280D8D"/>
    <w:rsid w:val="00281683"/>
    <w:rsid w:val="00283350"/>
    <w:rsid w:val="002A2148"/>
    <w:rsid w:val="002C6CB1"/>
    <w:rsid w:val="002D50F7"/>
    <w:rsid w:val="002D6D83"/>
    <w:rsid w:val="002D777E"/>
    <w:rsid w:val="00306AFD"/>
    <w:rsid w:val="00314A45"/>
    <w:rsid w:val="00315515"/>
    <w:rsid w:val="00353B45"/>
    <w:rsid w:val="00361CEC"/>
    <w:rsid w:val="00367FD9"/>
    <w:rsid w:val="00374E81"/>
    <w:rsid w:val="00375DA1"/>
    <w:rsid w:val="003775E4"/>
    <w:rsid w:val="003817DC"/>
    <w:rsid w:val="003A77CE"/>
    <w:rsid w:val="003C5E51"/>
    <w:rsid w:val="003D5381"/>
    <w:rsid w:val="003D5FB8"/>
    <w:rsid w:val="003E343C"/>
    <w:rsid w:val="003F044D"/>
    <w:rsid w:val="003F238D"/>
    <w:rsid w:val="003F3D65"/>
    <w:rsid w:val="00401D09"/>
    <w:rsid w:val="0041092E"/>
    <w:rsid w:val="00410A26"/>
    <w:rsid w:val="00445369"/>
    <w:rsid w:val="00451D26"/>
    <w:rsid w:val="00463C84"/>
    <w:rsid w:val="00465381"/>
    <w:rsid w:val="00473FC0"/>
    <w:rsid w:val="00476D68"/>
    <w:rsid w:val="00490E41"/>
    <w:rsid w:val="004935A2"/>
    <w:rsid w:val="00496F6B"/>
    <w:rsid w:val="004A3317"/>
    <w:rsid w:val="004A4094"/>
    <w:rsid w:val="004A5F96"/>
    <w:rsid w:val="004B2915"/>
    <w:rsid w:val="004C2016"/>
    <w:rsid w:val="004C49FF"/>
    <w:rsid w:val="004D0771"/>
    <w:rsid w:val="004D4D47"/>
    <w:rsid w:val="004D546B"/>
    <w:rsid w:val="004F27B9"/>
    <w:rsid w:val="004F2E01"/>
    <w:rsid w:val="004F4563"/>
    <w:rsid w:val="00503C3E"/>
    <w:rsid w:val="00530C64"/>
    <w:rsid w:val="0054188B"/>
    <w:rsid w:val="005463CC"/>
    <w:rsid w:val="0055232E"/>
    <w:rsid w:val="00575F62"/>
    <w:rsid w:val="00581E50"/>
    <w:rsid w:val="005845AB"/>
    <w:rsid w:val="00584A89"/>
    <w:rsid w:val="005911B9"/>
    <w:rsid w:val="00594148"/>
    <w:rsid w:val="005A4BB7"/>
    <w:rsid w:val="005B0C0E"/>
    <w:rsid w:val="005D4D30"/>
    <w:rsid w:val="005D5911"/>
    <w:rsid w:val="005D65D3"/>
    <w:rsid w:val="005E6C72"/>
    <w:rsid w:val="005F46C1"/>
    <w:rsid w:val="00612F7B"/>
    <w:rsid w:val="00617DEA"/>
    <w:rsid w:val="00625DC2"/>
    <w:rsid w:val="006268B9"/>
    <w:rsid w:val="00627AF3"/>
    <w:rsid w:val="006340A9"/>
    <w:rsid w:val="00637FAE"/>
    <w:rsid w:val="00653107"/>
    <w:rsid w:val="006709A3"/>
    <w:rsid w:val="00675E8A"/>
    <w:rsid w:val="00685C3E"/>
    <w:rsid w:val="006870EE"/>
    <w:rsid w:val="006927B0"/>
    <w:rsid w:val="006A4A71"/>
    <w:rsid w:val="006B2471"/>
    <w:rsid w:val="006C0114"/>
    <w:rsid w:val="006C36C8"/>
    <w:rsid w:val="006C6C8F"/>
    <w:rsid w:val="006D1F87"/>
    <w:rsid w:val="006D3B1F"/>
    <w:rsid w:val="006E2B83"/>
    <w:rsid w:val="006E30CC"/>
    <w:rsid w:val="006E708E"/>
    <w:rsid w:val="006F21C9"/>
    <w:rsid w:val="006F3428"/>
    <w:rsid w:val="006F7711"/>
    <w:rsid w:val="0070090B"/>
    <w:rsid w:val="00707CDD"/>
    <w:rsid w:val="00717DD0"/>
    <w:rsid w:val="00720FAE"/>
    <w:rsid w:val="0072647A"/>
    <w:rsid w:val="00732863"/>
    <w:rsid w:val="00751600"/>
    <w:rsid w:val="00756C54"/>
    <w:rsid w:val="00787518"/>
    <w:rsid w:val="00793086"/>
    <w:rsid w:val="007A2462"/>
    <w:rsid w:val="007B0687"/>
    <w:rsid w:val="007B53F1"/>
    <w:rsid w:val="007D3AD2"/>
    <w:rsid w:val="007D72D5"/>
    <w:rsid w:val="007E569D"/>
    <w:rsid w:val="007F322D"/>
    <w:rsid w:val="007F51A6"/>
    <w:rsid w:val="007F645B"/>
    <w:rsid w:val="007F71DE"/>
    <w:rsid w:val="008011EB"/>
    <w:rsid w:val="00801EFE"/>
    <w:rsid w:val="00805848"/>
    <w:rsid w:val="00811AFF"/>
    <w:rsid w:val="00814D66"/>
    <w:rsid w:val="0082097F"/>
    <w:rsid w:val="00821D28"/>
    <w:rsid w:val="0082253C"/>
    <w:rsid w:val="008248DB"/>
    <w:rsid w:val="00833721"/>
    <w:rsid w:val="00833FDE"/>
    <w:rsid w:val="008444BC"/>
    <w:rsid w:val="00844742"/>
    <w:rsid w:val="00852E36"/>
    <w:rsid w:val="00856A5C"/>
    <w:rsid w:val="00860638"/>
    <w:rsid w:val="0086551B"/>
    <w:rsid w:val="00867A3D"/>
    <w:rsid w:val="008876B7"/>
    <w:rsid w:val="00887D9C"/>
    <w:rsid w:val="0089264E"/>
    <w:rsid w:val="008A32F0"/>
    <w:rsid w:val="008A67F3"/>
    <w:rsid w:val="008B142F"/>
    <w:rsid w:val="008B18AC"/>
    <w:rsid w:val="008C4DCC"/>
    <w:rsid w:val="008D2060"/>
    <w:rsid w:val="008E0253"/>
    <w:rsid w:val="008E04FB"/>
    <w:rsid w:val="008E2E76"/>
    <w:rsid w:val="008E4A63"/>
    <w:rsid w:val="008E606D"/>
    <w:rsid w:val="008E713B"/>
    <w:rsid w:val="008F292B"/>
    <w:rsid w:val="009070B8"/>
    <w:rsid w:val="00930B0F"/>
    <w:rsid w:val="00933955"/>
    <w:rsid w:val="00941B46"/>
    <w:rsid w:val="009460C7"/>
    <w:rsid w:val="0094672B"/>
    <w:rsid w:val="00946B25"/>
    <w:rsid w:val="00947FB5"/>
    <w:rsid w:val="009545F3"/>
    <w:rsid w:val="00957898"/>
    <w:rsid w:val="009675BB"/>
    <w:rsid w:val="00981199"/>
    <w:rsid w:val="00984EC9"/>
    <w:rsid w:val="00994ADB"/>
    <w:rsid w:val="009978E0"/>
    <w:rsid w:val="009A321C"/>
    <w:rsid w:val="009A4898"/>
    <w:rsid w:val="009B28EE"/>
    <w:rsid w:val="009B5EE9"/>
    <w:rsid w:val="009C31A8"/>
    <w:rsid w:val="009C77C4"/>
    <w:rsid w:val="009E00D1"/>
    <w:rsid w:val="009E29AD"/>
    <w:rsid w:val="00A0596F"/>
    <w:rsid w:val="00A05BEE"/>
    <w:rsid w:val="00A122AD"/>
    <w:rsid w:val="00A12E5C"/>
    <w:rsid w:val="00A1342F"/>
    <w:rsid w:val="00A14E26"/>
    <w:rsid w:val="00A16919"/>
    <w:rsid w:val="00A2202B"/>
    <w:rsid w:val="00A307F8"/>
    <w:rsid w:val="00A33B1C"/>
    <w:rsid w:val="00A4422E"/>
    <w:rsid w:val="00A458CE"/>
    <w:rsid w:val="00A45D6D"/>
    <w:rsid w:val="00A47B37"/>
    <w:rsid w:val="00A47E5F"/>
    <w:rsid w:val="00A83CD8"/>
    <w:rsid w:val="00A86B04"/>
    <w:rsid w:val="00A920E2"/>
    <w:rsid w:val="00A92374"/>
    <w:rsid w:val="00AA09A5"/>
    <w:rsid w:val="00AA43E2"/>
    <w:rsid w:val="00AC5EF0"/>
    <w:rsid w:val="00AC62FF"/>
    <w:rsid w:val="00AF3F9A"/>
    <w:rsid w:val="00B05729"/>
    <w:rsid w:val="00B05E21"/>
    <w:rsid w:val="00B07E38"/>
    <w:rsid w:val="00B15E7D"/>
    <w:rsid w:val="00B2376A"/>
    <w:rsid w:val="00B40BF4"/>
    <w:rsid w:val="00B547FE"/>
    <w:rsid w:val="00B62068"/>
    <w:rsid w:val="00B72235"/>
    <w:rsid w:val="00B847D0"/>
    <w:rsid w:val="00B90DAA"/>
    <w:rsid w:val="00B9230D"/>
    <w:rsid w:val="00B9585C"/>
    <w:rsid w:val="00BA3BBC"/>
    <w:rsid w:val="00BA7203"/>
    <w:rsid w:val="00BA7A57"/>
    <w:rsid w:val="00BB0301"/>
    <w:rsid w:val="00BB4029"/>
    <w:rsid w:val="00BB5604"/>
    <w:rsid w:val="00BC0994"/>
    <w:rsid w:val="00BC77EF"/>
    <w:rsid w:val="00BD0D55"/>
    <w:rsid w:val="00BE552A"/>
    <w:rsid w:val="00BE6B0A"/>
    <w:rsid w:val="00BF1C9B"/>
    <w:rsid w:val="00C01A5E"/>
    <w:rsid w:val="00C061FE"/>
    <w:rsid w:val="00C067B6"/>
    <w:rsid w:val="00C20B7D"/>
    <w:rsid w:val="00C515EC"/>
    <w:rsid w:val="00C61E5B"/>
    <w:rsid w:val="00C64B57"/>
    <w:rsid w:val="00C72BE5"/>
    <w:rsid w:val="00C74C57"/>
    <w:rsid w:val="00C8678C"/>
    <w:rsid w:val="00CA0C2B"/>
    <w:rsid w:val="00CA36C2"/>
    <w:rsid w:val="00CB022B"/>
    <w:rsid w:val="00CB2133"/>
    <w:rsid w:val="00CB4A25"/>
    <w:rsid w:val="00CC58EF"/>
    <w:rsid w:val="00CD06F0"/>
    <w:rsid w:val="00CE4032"/>
    <w:rsid w:val="00CF12E0"/>
    <w:rsid w:val="00CF25E9"/>
    <w:rsid w:val="00D02DB6"/>
    <w:rsid w:val="00D065E5"/>
    <w:rsid w:val="00D41211"/>
    <w:rsid w:val="00D54971"/>
    <w:rsid w:val="00D64FD2"/>
    <w:rsid w:val="00D65FB5"/>
    <w:rsid w:val="00D82E5F"/>
    <w:rsid w:val="00D84F90"/>
    <w:rsid w:val="00D94F0E"/>
    <w:rsid w:val="00DB6A14"/>
    <w:rsid w:val="00DC171A"/>
    <w:rsid w:val="00DD0DDB"/>
    <w:rsid w:val="00DD1E91"/>
    <w:rsid w:val="00DD715A"/>
    <w:rsid w:val="00DE0529"/>
    <w:rsid w:val="00DE1B3F"/>
    <w:rsid w:val="00DF272A"/>
    <w:rsid w:val="00DF3E9D"/>
    <w:rsid w:val="00E03756"/>
    <w:rsid w:val="00E13630"/>
    <w:rsid w:val="00E1725A"/>
    <w:rsid w:val="00E260C7"/>
    <w:rsid w:val="00E27127"/>
    <w:rsid w:val="00E30F5C"/>
    <w:rsid w:val="00E31418"/>
    <w:rsid w:val="00E457BC"/>
    <w:rsid w:val="00E5020E"/>
    <w:rsid w:val="00E5558A"/>
    <w:rsid w:val="00E57D67"/>
    <w:rsid w:val="00E63157"/>
    <w:rsid w:val="00E828A0"/>
    <w:rsid w:val="00E85102"/>
    <w:rsid w:val="00E92CD3"/>
    <w:rsid w:val="00E96060"/>
    <w:rsid w:val="00EA04AD"/>
    <w:rsid w:val="00EA3AD0"/>
    <w:rsid w:val="00EA784C"/>
    <w:rsid w:val="00EA7FD7"/>
    <w:rsid w:val="00EB3123"/>
    <w:rsid w:val="00EB55B1"/>
    <w:rsid w:val="00EC2B8A"/>
    <w:rsid w:val="00ED1557"/>
    <w:rsid w:val="00ED482F"/>
    <w:rsid w:val="00ED4CB0"/>
    <w:rsid w:val="00EE3247"/>
    <w:rsid w:val="00EE4916"/>
    <w:rsid w:val="00EF1A9D"/>
    <w:rsid w:val="00EF24FF"/>
    <w:rsid w:val="00F00D7F"/>
    <w:rsid w:val="00F03866"/>
    <w:rsid w:val="00F129D2"/>
    <w:rsid w:val="00F13490"/>
    <w:rsid w:val="00F1797C"/>
    <w:rsid w:val="00F23285"/>
    <w:rsid w:val="00F27366"/>
    <w:rsid w:val="00F4073F"/>
    <w:rsid w:val="00F41E11"/>
    <w:rsid w:val="00F612A9"/>
    <w:rsid w:val="00F61EFA"/>
    <w:rsid w:val="00F9067D"/>
    <w:rsid w:val="00F91AA9"/>
    <w:rsid w:val="00FC0260"/>
    <w:rsid w:val="00FC0BBA"/>
    <w:rsid w:val="00FC2072"/>
    <w:rsid w:val="00FC5966"/>
    <w:rsid w:val="00FD0D5A"/>
    <w:rsid w:val="00FD29CC"/>
    <w:rsid w:val="00FD2E9B"/>
    <w:rsid w:val="00FE0B92"/>
    <w:rsid w:val="00FF0C0D"/>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33721"/>
    <w:pPr>
      <w:spacing w:after="120" w:line="288" w:lineRule="auto"/>
    </w:pPr>
  </w:style>
  <w:style w:type="paragraph" w:styleId="Heading1">
    <w:name w:val="heading 1"/>
    <w:basedOn w:val="nospace"/>
    <w:next w:val="BodyText"/>
    <w:qFormat/>
    <w:rsid w:val="00375DA1"/>
    <w:pPr>
      <w:keepNext/>
      <w:spacing w:before="400" w:after="80"/>
      <w:outlineLvl w:val="0"/>
    </w:pPr>
    <w:rPr>
      <w:b/>
      <w:bCs/>
      <w:color w:val="2C5C86"/>
      <w:sz w:val="40"/>
      <w:szCs w:val="32"/>
    </w:rPr>
  </w:style>
  <w:style w:type="paragraph" w:styleId="Heading2">
    <w:name w:val="heading 2"/>
    <w:basedOn w:val="nospace"/>
    <w:next w:val="BodyText"/>
    <w:link w:val="Heading2Char"/>
    <w:qFormat/>
    <w:rsid w:val="008C4DCC"/>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qFormat/>
    <w:rsid w:val="00283350"/>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25"/>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B6A14"/>
    <w:pPr>
      <w:spacing w:before="120"/>
    </w:pPr>
    <w:rPr>
      <w:b/>
      <w:iCs/>
      <w:color w:val="000000" w:themeColor="text1"/>
      <w:sz w:val="22"/>
      <w:szCs w:val="18"/>
    </w:rPr>
  </w:style>
  <w:style w:type="character" w:customStyle="1" w:styleId="Heading2Char">
    <w:name w:val="Heading 2 Char"/>
    <w:basedOn w:val="DefaultParagraphFont"/>
    <w:link w:val="Heading2"/>
    <w:rsid w:val="008C4DCC"/>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CD06F0"/>
    <w:rPr>
      <w:rFonts w:cs="Arial"/>
    </w:rPr>
  </w:style>
  <w:style w:type="character" w:customStyle="1" w:styleId="BodyTextChar">
    <w:name w:val="Body Text Char"/>
    <w:basedOn w:val="DefaultParagraphFont"/>
    <w:link w:val="BodyText"/>
    <w:rsid w:val="00CD06F0"/>
    <w:rPr>
      <w:rFonts w:cs="Arial"/>
    </w:rPr>
  </w:style>
  <w:style w:type="paragraph" w:customStyle="1" w:styleId="Bullet1">
    <w:name w:val="Bullet 1"/>
    <w:basedOn w:val="BodyText"/>
    <w:qFormat/>
    <w:rsid w:val="00CD06F0"/>
    <w:pPr>
      <w:numPr>
        <w:numId w:val="42"/>
      </w:numPr>
      <w:contextualSpacing/>
    </w:pPr>
  </w:style>
  <w:style w:type="paragraph" w:customStyle="1" w:styleId="Bullet2">
    <w:name w:val="Bullet 2"/>
    <w:basedOn w:val="Normal"/>
    <w:next w:val="BodyText"/>
    <w:qFormat/>
    <w:rsid w:val="00CD06F0"/>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860638"/>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13"/>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styleId="Subtitle">
    <w:name w:val="Subtitle"/>
    <w:basedOn w:val="Normal"/>
    <w:next w:val="Normal"/>
    <w:link w:val="SubtitleChar"/>
    <w:qFormat/>
    <w:rsid w:val="00CD06F0"/>
    <w:pPr>
      <w:spacing w:after="600"/>
    </w:pPr>
    <w:rPr>
      <w:b/>
      <w:color w:val="403F47"/>
      <w:sz w:val="34"/>
      <w:szCs w:val="36"/>
      <w:lang w:eastAsia="en-AU"/>
    </w:rPr>
  </w:style>
  <w:style w:type="character" w:customStyle="1" w:styleId="SubtitleChar">
    <w:name w:val="Subtitle Char"/>
    <w:basedOn w:val="DefaultParagraphFont"/>
    <w:link w:val="Subtitle"/>
    <w:rsid w:val="00CD06F0"/>
    <w:rPr>
      <w:b/>
      <w:color w:val="403F47"/>
      <w:sz w:val="34"/>
      <w:szCs w:val="36"/>
      <w:lang w:eastAsia="en-AU"/>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72BE5"/>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uiPriority w:val="34"/>
    <w:qFormat/>
    <w:rsid w:val="009545F3"/>
    <w:pPr>
      <w:numPr>
        <w:numId w:val="37"/>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257E1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257E1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table" w:customStyle="1" w:styleId="TableStyle">
    <w:name w:val="Table Style"/>
    <w:basedOn w:val="TableNormal"/>
    <w:uiPriority w:val="99"/>
    <w:rsid w:val="00833721"/>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customStyle="1" w:styleId="TableCaption">
    <w:name w:val="Table Caption"/>
    <w:link w:val="TableCaptionChar"/>
    <w:qFormat/>
    <w:rsid w:val="0070090B"/>
    <w:pPr>
      <w:spacing w:before="120" w:after="120" w:line="288" w:lineRule="auto"/>
    </w:pPr>
    <w:rPr>
      <w:b/>
      <w:iCs/>
      <w:color w:val="000000"/>
      <w:sz w:val="22"/>
      <w:szCs w:val="18"/>
    </w:rPr>
  </w:style>
  <w:style w:type="paragraph" w:styleId="ListNumber">
    <w:name w:val="List Number"/>
    <w:basedOn w:val="Normal"/>
    <w:rsid w:val="00E260C7"/>
    <w:pPr>
      <w:numPr>
        <w:numId w:val="19"/>
      </w:numPr>
      <w:contextualSpacing/>
    </w:pPr>
  </w:style>
  <w:style w:type="character" w:customStyle="1" w:styleId="CaptionChar">
    <w:name w:val="Caption Char"/>
    <w:basedOn w:val="DefaultParagraphFont"/>
    <w:link w:val="Caption"/>
    <w:rsid w:val="00DB6A14"/>
    <w:rPr>
      <w:b/>
      <w:iCs/>
      <w:color w:val="000000" w:themeColor="text1"/>
      <w:sz w:val="22"/>
      <w:szCs w:val="18"/>
    </w:rPr>
  </w:style>
  <w:style w:type="character" w:customStyle="1" w:styleId="TableCaptionChar">
    <w:name w:val="Table Caption Char"/>
    <w:basedOn w:val="CaptionChar"/>
    <w:link w:val="TableCaption"/>
    <w:rsid w:val="0070090B"/>
    <w:rPr>
      <w:b/>
      <w:iCs/>
      <w:color w:val="000000"/>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lang w:val="en-GB"/>
    </w:rPr>
  </w:style>
  <w:style w:type="character" w:styleId="CommentReference">
    <w:name w:val="annotation reference"/>
    <w:basedOn w:val="DefaultParagraphFont"/>
    <w:uiPriority w:val="99"/>
    <w:semiHidden/>
    <w:unhideWhenUsed/>
    <w:rsid w:val="00AC62FF"/>
    <w:rPr>
      <w:sz w:val="16"/>
      <w:szCs w:val="16"/>
    </w:rPr>
  </w:style>
  <w:style w:type="paragraph" w:styleId="CommentText">
    <w:name w:val="annotation text"/>
    <w:basedOn w:val="Normal"/>
    <w:link w:val="CommentTextChar"/>
    <w:uiPriority w:val="99"/>
    <w:unhideWhenUsed/>
    <w:rsid w:val="00AC62FF"/>
    <w:pPr>
      <w:spacing w:line="240" w:lineRule="auto"/>
    </w:pPr>
    <w:rPr>
      <w:sz w:val="20"/>
      <w:szCs w:val="20"/>
    </w:rPr>
  </w:style>
  <w:style w:type="character" w:customStyle="1" w:styleId="CommentTextChar">
    <w:name w:val="Comment Text Char"/>
    <w:basedOn w:val="DefaultParagraphFont"/>
    <w:link w:val="CommentText"/>
    <w:uiPriority w:val="99"/>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36"/>
      </w:numPr>
    </w:pPr>
  </w:style>
  <w:style w:type="paragraph" w:styleId="BlockText">
    <w:name w:val="Block Text"/>
    <w:basedOn w:val="Normal"/>
    <w:uiPriority w:val="99"/>
    <w:qFormat/>
    <w:rsid w:val="00315515"/>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A0596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semiHidden/>
    <w:unhideWhenUsed/>
    <w:rsid w:val="00C01A5E"/>
    <w:rPr>
      <w:color w:val="3B7AA5" w:themeColor="followedHyperlink"/>
      <w:u w:val="single"/>
    </w:rPr>
  </w:style>
  <w:style w:type="character" w:styleId="UnresolvedMention">
    <w:name w:val="Unresolved Mention"/>
    <w:basedOn w:val="DefaultParagraphFont"/>
    <w:uiPriority w:val="99"/>
    <w:semiHidden/>
    <w:unhideWhenUsed/>
    <w:rsid w:val="00C01A5E"/>
    <w:rPr>
      <w:color w:val="605E5C"/>
      <w:shd w:val="clear" w:color="auto" w:fill="E1DFDD"/>
    </w:rPr>
  </w:style>
  <w:style w:type="paragraph" w:customStyle="1" w:styleId="Subheading">
    <w:name w:val="Subheading"/>
    <w:basedOn w:val="Normal"/>
    <w:qFormat/>
    <w:rsid w:val="00F9067D"/>
    <w:pPr>
      <w:spacing w:after="600"/>
    </w:pPr>
    <w:rPr>
      <w:b/>
      <w:color w:val="403F47"/>
      <w:sz w:val="34"/>
      <w:szCs w:val="36"/>
    </w:rPr>
  </w:style>
  <w:style w:type="paragraph" w:customStyle="1" w:styleId="Default">
    <w:name w:val="Default"/>
    <w:rsid w:val="009C31A8"/>
    <w:pPr>
      <w:autoSpaceDE w:val="0"/>
      <w:autoSpaceDN w:val="0"/>
      <w:adjustRightInd w:val="0"/>
    </w:pPr>
    <w:rPr>
      <w:rFont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6768">
      <w:bodyDiv w:val="1"/>
      <w:marLeft w:val="0"/>
      <w:marRight w:val="0"/>
      <w:marTop w:val="0"/>
      <w:marBottom w:val="0"/>
      <w:divBdr>
        <w:top w:val="none" w:sz="0" w:space="0" w:color="auto"/>
        <w:left w:val="none" w:sz="0" w:space="0" w:color="auto"/>
        <w:bottom w:val="none" w:sz="0" w:space="0" w:color="auto"/>
        <w:right w:val="none" w:sz="0" w:space="0" w:color="auto"/>
      </w:divBdr>
    </w:div>
    <w:div w:id="1079642214">
      <w:bodyDiv w:val="1"/>
      <w:marLeft w:val="0"/>
      <w:marRight w:val="0"/>
      <w:marTop w:val="0"/>
      <w:marBottom w:val="0"/>
      <w:divBdr>
        <w:top w:val="none" w:sz="0" w:space="0" w:color="auto"/>
        <w:left w:val="none" w:sz="0" w:space="0" w:color="auto"/>
        <w:bottom w:val="none" w:sz="0" w:space="0" w:color="auto"/>
        <w:right w:val="none" w:sz="0" w:space="0" w:color="auto"/>
      </w:divBdr>
    </w:div>
    <w:div w:id="1097824731">
      <w:bodyDiv w:val="1"/>
      <w:marLeft w:val="0"/>
      <w:marRight w:val="0"/>
      <w:marTop w:val="0"/>
      <w:marBottom w:val="0"/>
      <w:divBdr>
        <w:top w:val="none" w:sz="0" w:space="0" w:color="auto"/>
        <w:left w:val="none" w:sz="0" w:space="0" w:color="auto"/>
        <w:bottom w:val="none" w:sz="0" w:space="0" w:color="auto"/>
        <w:right w:val="none" w:sz="0" w:space="0" w:color="auto"/>
      </w:divBdr>
    </w:div>
    <w:div w:id="1712997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development/desa/disabilities/convention-on-the-rights-of-persons-with-disabilities.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communities.wa.gov.au/restrictivepractic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RP@communities.wa.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wa.gov.au/government/document-collections/authorisation-of-restrictive-practices-resource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ss.gov.au/our-responsibilities/disability-and-carers/standards-and-quality-assurance/national-standards-for-disability-servic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documentManagement>
</p:properties>
</file>

<file path=customXml/item4.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97e278f-9f50-4af2-bc61-3ec198ebef6c" ContentTypeId="0x01010000739C5F412E4FFF9422A5756B897F2D" PreviousValue="false"/>
</file>

<file path=customXml/itemProps1.xml><?xml version="1.0" encoding="utf-8"?>
<ds:datastoreItem xmlns:ds="http://schemas.openxmlformats.org/officeDocument/2006/customXml" ds:itemID="{18C87818-F588-4640-9298-2DB3E056677F}">
  <ds:schemaRefs>
    <ds:schemaRef ds:uri="http://schemas.microsoft.com/sharepoint/v3/contenttype/forms"/>
  </ds:schemaRefs>
</ds:datastoreItem>
</file>

<file path=customXml/itemProps2.xml><?xml version="1.0" encoding="utf-8"?>
<ds:datastoreItem xmlns:ds="http://schemas.openxmlformats.org/officeDocument/2006/customXml" ds:itemID="{6BD7E695-AE97-45D8-9F96-5701B8280ED7}">
  <ds:schemaRefs>
    <ds:schemaRef ds:uri="http://schemas.openxmlformats.org/officeDocument/2006/bibliography"/>
  </ds:schemaRefs>
</ds:datastoreItem>
</file>

<file path=customXml/itemProps3.xml><?xml version="1.0" encoding="utf-8"?>
<ds:datastoreItem xmlns:ds="http://schemas.openxmlformats.org/officeDocument/2006/customXml" ds:itemID="{351AEC27-17CE-43C3-A7DB-C47DA4968888}">
  <ds:schemaRefs>
    <ds:schemaRef ds:uri="http://schemas.microsoft.com/office/2006/metadata/properties"/>
    <ds:schemaRef ds:uri="http://schemas.microsoft.com/office/infopath/2007/PartnerControls"/>
    <ds:schemaRef ds:uri="e219927d-a993-4410-b48d-734d4bcf1f5b"/>
  </ds:schemaRefs>
</ds:datastoreItem>
</file>

<file path=customXml/itemProps4.xml><?xml version="1.0" encoding="utf-8"?>
<ds:datastoreItem xmlns:ds="http://schemas.openxmlformats.org/officeDocument/2006/customXml" ds:itemID="{63C841F9-0425-451E-B3BC-7F54956FF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0FC63C-F0BA-4B36-A400-21CE1CE809E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7396</CharactersWithSpaces>
  <SharedDoc>false</SharedDoc>
  <HyperlinkBase>www.communities.wa.gov.au/restrictivepractices</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Surveillance</dc:title>
  <dc:subject>Restrictive practices</dc:subject>
  <dc:creator/>
  <cp:keywords/>
  <dc:description/>
  <cp:lastModifiedBy/>
  <cp:revision>1</cp:revision>
  <dcterms:created xsi:type="dcterms:W3CDTF">2021-05-18T08:38:00Z</dcterms:created>
  <dcterms:modified xsi:type="dcterms:W3CDTF">2021-07-06T06:23:00Z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ies>
</file>