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69F81" w14:textId="46F407D8" w:rsidR="006C6C8F" w:rsidRPr="00BC0994" w:rsidRDefault="007E731D" w:rsidP="006C6C8F">
      <w:pPr>
        <w:pStyle w:val="Title"/>
      </w:pPr>
      <w:bookmarkStart w:id="0" w:name="_Toc501711837"/>
      <w:r>
        <w:t>Consultation Summary</w:t>
      </w:r>
    </w:p>
    <w:p w14:paraId="5441E09E" w14:textId="1200431F" w:rsidR="006C6C8F" w:rsidRPr="00FF1E2E" w:rsidRDefault="007E731D" w:rsidP="00CD06F0">
      <w:pPr>
        <w:pStyle w:val="Subtitle"/>
      </w:pPr>
      <w:r>
        <w:t>A Western Australia for Everyone: State Disability Strategy 2020-2030</w:t>
      </w:r>
    </w:p>
    <w:bookmarkEnd w:id="0"/>
    <w:p w14:paraId="7E52F58C" w14:textId="24235D33" w:rsidR="006C6C8F" w:rsidRPr="00240EE5" w:rsidRDefault="007E731D" w:rsidP="006C6C8F">
      <w:pPr>
        <w:pStyle w:val="Heading1"/>
      </w:pPr>
      <w:r>
        <w:t>Strategy consultation</w:t>
      </w:r>
    </w:p>
    <w:p w14:paraId="2BA55AC0" w14:textId="5E2502CF" w:rsidR="006C6C8F" w:rsidRDefault="006C6C8F" w:rsidP="006C6C8F">
      <w:pPr>
        <w:pStyle w:val="TableCaption"/>
        <w:rPr>
          <w:b w:val="0"/>
        </w:rPr>
      </w:pPr>
      <w:r>
        <w:t xml:space="preserve">Table </w:t>
      </w:r>
      <w:r w:rsidR="00BC12E6">
        <w:fldChar w:fldCharType="begin"/>
      </w:r>
      <w:r w:rsidR="00BC12E6">
        <w:instrText xml:space="preserve"> SEQ Table \* ARABIC </w:instrText>
      </w:r>
      <w:r w:rsidR="00BC12E6">
        <w:fldChar w:fldCharType="separate"/>
      </w:r>
      <w:r w:rsidR="00CD06F0">
        <w:rPr>
          <w:noProof/>
        </w:rPr>
        <w:t>1</w:t>
      </w:r>
      <w:r w:rsidR="00BC12E6">
        <w:rPr>
          <w:noProof/>
        </w:rPr>
        <w:fldChar w:fldCharType="end"/>
      </w:r>
      <w:r>
        <w:t xml:space="preserve"> – </w:t>
      </w:r>
      <w:r w:rsidR="007E731D">
        <w:t>Strategy consultation</w:t>
      </w:r>
    </w:p>
    <w:tbl>
      <w:tblPr>
        <w:tblStyle w:val="TableStyle"/>
        <w:tblW w:w="5000" w:type="pct"/>
        <w:tblLook w:val="04A0" w:firstRow="1" w:lastRow="0" w:firstColumn="1" w:lastColumn="0" w:noHBand="0" w:noVBand="1"/>
        <w:tblDescription w:val="Table example"/>
      </w:tblPr>
      <w:tblGrid>
        <w:gridCol w:w="1838"/>
        <w:gridCol w:w="2835"/>
        <w:gridCol w:w="2126"/>
        <w:gridCol w:w="2823"/>
      </w:tblGrid>
      <w:tr w:rsidR="007E731D" w:rsidRPr="00531866" w14:paraId="7F5B3572" w14:textId="78937526" w:rsidTr="007E7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55" w:type="pct"/>
          </w:tcPr>
          <w:p w14:paraId="01FBBA59" w14:textId="674AF71F" w:rsidR="007E731D" w:rsidRPr="00833721" w:rsidRDefault="007E731D" w:rsidP="00833721">
            <w:pPr>
              <w:pStyle w:val="TableContent"/>
            </w:pPr>
            <w:bookmarkStart w:id="1" w:name="_Hlk39578246"/>
            <w:r>
              <w:t>Time period</w:t>
            </w:r>
            <w:r w:rsidRPr="00833721">
              <w:t xml:space="preserve"> </w:t>
            </w:r>
          </w:p>
        </w:tc>
        <w:tc>
          <w:tcPr>
            <w:tcW w:w="1473" w:type="pct"/>
          </w:tcPr>
          <w:p w14:paraId="3128A553" w14:textId="4EC3AEA5" w:rsidR="007E731D" w:rsidRPr="00833721" w:rsidRDefault="007E731D" w:rsidP="00833721">
            <w:pPr>
              <w:pStyle w:val="TableContent"/>
            </w:pPr>
            <w:r>
              <w:t>Groups</w:t>
            </w:r>
          </w:p>
        </w:tc>
        <w:tc>
          <w:tcPr>
            <w:tcW w:w="1105" w:type="pct"/>
          </w:tcPr>
          <w:p w14:paraId="60F2FF10" w14:textId="38B9E645" w:rsidR="007E731D" w:rsidRPr="00833721" w:rsidRDefault="007E731D" w:rsidP="00833721">
            <w:pPr>
              <w:pStyle w:val="TableContent"/>
            </w:pPr>
            <w:r>
              <w:t>Type</w:t>
            </w:r>
          </w:p>
        </w:tc>
        <w:tc>
          <w:tcPr>
            <w:tcW w:w="1467" w:type="pct"/>
          </w:tcPr>
          <w:p w14:paraId="4C023986" w14:textId="339EDA20" w:rsidR="007E731D" w:rsidRPr="00833721" w:rsidRDefault="007E731D" w:rsidP="00833721">
            <w:pPr>
              <w:pStyle w:val="TableContent"/>
            </w:pPr>
            <w:r>
              <w:t>Purpose</w:t>
            </w:r>
          </w:p>
        </w:tc>
      </w:tr>
      <w:tr w:rsidR="007E731D" w:rsidRPr="00531866" w14:paraId="6ACA7FDC" w14:textId="0C65BA4D" w:rsidTr="007E731D">
        <w:trPr>
          <w:trHeight w:val="567"/>
        </w:trPr>
        <w:tc>
          <w:tcPr>
            <w:tcW w:w="955" w:type="pct"/>
          </w:tcPr>
          <w:p w14:paraId="691E5484" w14:textId="57430759" w:rsidR="007E731D" w:rsidRPr="00833721" w:rsidRDefault="007E731D" w:rsidP="007E731D">
            <w:pPr>
              <w:pStyle w:val="BodyText"/>
            </w:pPr>
            <w:r w:rsidRPr="00ED5DAE">
              <w:t>July 2020 to August 2020</w:t>
            </w:r>
          </w:p>
        </w:tc>
        <w:tc>
          <w:tcPr>
            <w:tcW w:w="1473" w:type="pct"/>
          </w:tcPr>
          <w:p w14:paraId="417DC68F" w14:textId="77777777" w:rsidR="007E731D" w:rsidRPr="00ED5DAE" w:rsidRDefault="007E731D" w:rsidP="007E731D">
            <w:pPr>
              <w:pStyle w:val="Bullet1"/>
            </w:pPr>
            <w:r w:rsidRPr="00ED5DAE">
              <w:t>Community groups</w:t>
            </w:r>
          </w:p>
          <w:p w14:paraId="11374500" w14:textId="77777777" w:rsidR="007E731D" w:rsidRPr="00ED5DAE" w:rsidRDefault="007E731D" w:rsidP="007E731D">
            <w:pPr>
              <w:pStyle w:val="Bullet1"/>
            </w:pPr>
            <w:r w:rsidRPr="00ED5DAE">
              <w:t>Disability services sector</w:t>
            </w:r>
          </w:p>
          <w:p w14:paraId="105EDDCE" w14:textId="77777777" w:rsidR="007E731D" w:rsidRPr="00ED5DAE" w:rsidRDefault="007E731D" w:rsidP="007E731D">
            <w:pPr>
              <w:pStyle w:val="Bullet1"/>
            </w:pPr>
            <w:r w:rsidRPr="00ED5DAE">
              <w:t>Industry</w:t>
            </w:r>
          </w:p>
          <w:p w14:paraId="226FE248" w14:textId="77777777" w:rsidR="007E731D" w:rsidRPr="00ED5DAE" w:rsidRDefault="007E731D" w:rsidP="007E731D">
            <w:pPr>
              <w:pStyle w:val="Bullet1"/>
            </w:pPr>
            <w:r w:rsidRPr="00ED5DAE">
              <w:t>Local Government</w:t>
            </w:r>
          </w:p>
          <w:p w14:paraId="3948B1B5" w14:textId="77777777" w:rsidR="007E731D" w:rsidRPr="00ED5DAE" w:rsidRDefault="007E731D" w:rsidP="007E731D">
            <w:pPr>
              <w:pStyle w:val="Bullet1"/>
            </w:pPr>
            <w:r w:rsidRPr="00ED5DAE">
              <w:t>Strategy specific groups</w:t>
            </w:r>
          </w:p>
          <w:p w14:paraId="4B9D40C4" w14:textId="34D64685" w:rsidR="007E731D" w:rsidRPr="00833721" w:rsidRDefault="007E731D" w:rsidP="007E731D">
            <w:pPr>
              <w:pStyle w:val="Bullet1"/>
            </w:pPr>
            <w:r w:rsidRPr="00ED5DAE">
              <w:t>Other stakeholders</w:t>
            </w:r>
          </w:p>
        </w:tc>
        <w:tc>
          <w:tcPr>
            <w:tcW w:w="1105" w:type="pct"/>
          </w:tcPr>
          <w:p w14:paraId="1B5C2706" w14:textId="77777777" w:rsidR="007E731D" w:rsidRPr="00ED5DAE" w:rsidRDefault="007E731D" w:rsidP="007E731D">
            <w:pPr>
              <w:pStyle w:val="Bullet1"/>
            </w:pPr>
            <w:r w:rsidRPr="00ED5DAE">
              <w:t>Focus groups</w:t>
            </w:r>
          </w:p>
          <w:p w14:paraId="3951C854" w14:textId="77777777" w:rsidR="007E731D" w:rsidRPr="00ED5DAE" w:rsidRDefault="007E731D" w:rsidP="007E731D">
            <w:pPr>
              <w:pStyle w:val="Bullet1"/>
            </w:pPr>
            <w:r w:rsidRPr="00ED5DAE">
              <w:t>Interviews</w:t>
            </w:r>
          </w:p>
          <w:p w14:paraId="7A78826E" w14:textId="117F0C5F" w:rsidR="007E731D" w:rsidRPr="00833721" w:rsidRDefault="007E731D" w:rsidP="007E731D">
            <w:pPr>
              <w:pStyle w:val="Bullet1"/>
            </w:pPr>
            <w:r w:rsidRPr="00ED5DAE">
              <w:t>Written feedback</w:t>
            </w:r>
          </w:p>
        </w:tc>
        <w:tc>
          <w:tcPr>
            <w:tcW w:w="1467" w:type="pct"/>
          </w:tcPr>
          <w:p w14:paraId="520A416C" w14:textId="77777777" w:rsidR="007E731D" w:rsidRPr="00ED5DAE" w:rsidRDefault="007E731D" w:rsidP="007E731D">
            <w:pPr>
              <w:pStyle w:val="Bullet1"/>
            </w:pPr>
            <w:r w:rsidRPr="00ED5DAE">
              <w:t>Define what can be done to bring the Strategy to life</w:t>
            </w:r>
          </w:p>
          <w:p w14:paraId="6E7CACD0" w14:textId="77777777" w:rsidR="007E731D" w:rsidRPr="00ED5DAE" w:rsidRDefault="007E731D" w:rsidP="007E731D">
            <w:pPr>
              <w:pStyle w:val="Bullet1"/>
            </w:pPr>
            <w:r w:rsidRPr="00ED5DAE">
              <w:t>Identify short to medium-term strategic priorities</w:t>
            </w:r>
          </w:p>
          <w:p w14:paraId="3FFEACEF" w14:textId="77777777" w:rsidR="007E731D" w:rsidRPr="00ED5DAE" w:rsidRDefault="007E731D" w:rsidP="007E731D">
            <w:pPr>
              <w:pStyle w:val="Bullet1"/>
            </w:pPr>
            <w:r w:rsidRPr="00ED5DAE">
              <w:t>Raise awareness of the Strategy and its content</w:t>
            </w:r>
          </w:p>
          <w:p w14:paraId="35A8CFAD" w14:textId="283D32F4" w:rsidR="007E731D" w:rsidRPr="00833721" w:rsidRDefault="007E731D" w:rsidP="007E731D">
            <w:pPr>
              <w:pStyle w:val="Bullet1"/>
            </w:pPr>
            <w:r w:rsidRPr="00ED5DAE">
              <w:t>Target consultation on draft Strategy</w:t>
            </w:r>
          </w:p>
        </w:tc>
      </w:tr>
      <w:tr w:rsidR="007E731D" w:rsidRPr="00531866" w14:paraId="0EE69337" w14:textId="2833E010" w:rsidTr="007E731D">
        <w:trPr>
          <w:trHeight w:val="567"/>
        </w:trPr>
        <w:tc>
          <w:tcPr>
            <w:tcW w:w="955" w:type="pct"/>
          </w:tcPr>
          <w:p w14:paraId="759800E5" w14:textId="7545C980" w:rsidR="007E731D" w:rsidRPr="00833721" w:rsidRDefault="007E731D" w:rsidP="007E731D">
            <w:pPr>
              <w:pStyle w:val="BodyText"/>
            </w:pPr>
            <w:r w:rsidRPr="00ED5DAE">
              <w:t>March 2020 to July 2020</w:t>
            </w:r>
          </w:p>
        </w:tc>
        <w:tc>
          <w:tcPr>
            <w:tcW w:w="1473" w:type="pct"/>
          </w:tcPr>
          <w:p w14:paraId="11503A4D" w14:textId="77777777" w:rsidR="007E731D" w:rsidRPr="00ED5DAE" w:rsidRDefault="007E731D" w:rsidP="007E731D">
            <w:pPr>
              <w:pStyle w:val="Bullet1"/>
            </w:pPr>
            <w:r w:rsidRPr="00ED5DAE">
              <w:t>Community groups</w:t>
            </w:r>
          </w:p>
          <w:p w14:paraId="4DD946C2" w14:textId="77777777" w:rsidR="007E731D" w:rsidRPr="00ED5DAE" w:rsidRDefault="007E731D" w:rsidP="007E731D">
            <w:pPr>
              <w:pStyle w:val="Bullet1"/>
            </w:pPr>
            <w:r w:rsidRPr="00ED5DAE">
              <w:t>Disability services sector</w:t>
            </w:r>
          </w:p>
          <w:p w14:paraId="237C4F74" w14:textId="77777777" w:rsidR="007E731D" w:rsidRPr="00ED5DAE" w:rsidRDefault="007E731D" w:rsidP="007E731D">
            <w:pPr>
              <w:pStyle w:val="Bullet1"/>
            </w:pPr>
            <w:r w:rsidRPr="00ED5DAE">
              <w:t>Industry</w:t>
            </w:r>
          </w:p>
          <w:p w14:paraId="7300D9D9" w14:textId="77777777" w:rsidR="007E731D" w:rsidRPr="00ED5DAE" w:rsidRDefault="007E731D" w:rsidP="007E731D">
            <w:pPr>
              <w:pStyle w:val="Bullet1"/>
            </w:pPr>
            <w:r w:rsidRPr="00ED5DAE">
              <w:t>State Government</w:t>
            </w:r>
          </w:p>
          <w:p w14:paraId="636759A2" w14:textId="02B24954" w:rsidR="007E731D" w:rsidRPr="00833721" w:rsidRDefault="007E731D" w:rsidP="007E731D">
            <w:pPr>
              <w:pStyle w:val="Bullet1"/>
            </w:pPr>
            <w:r w:rsidRPr="00ED5DAE">
              <w:t>Strategy specific groups</w:t>
            </w:r>
          </w:p>
        </w:tc>
        <w:tc>
          <w:tcPr>
            <w:tcW w:w="1105" w:type="pct"/>
          </w:tcPr>
          <w:p w14:paraId="0CB3D9C9" w14:textId="77777777" w:rsidR="007E731D" w:rsidRPr="00ED5DAE" w:rsidRDefault="007E731D" w:rsidP="007E731D">
            <w:pPr>
              <w:pStyle w:val="Bullet1"/>
            </w:pPr>
            <w:r w:rsidRPr="00ED5DAE">
              <w:t>Focus groups</w:t>
            </w:r>
          </w:p>
          <w:p w14:paraId="6AB6A553" w14:textId="77777777" w:rsidR="007E731D" w:rsidRPr="00ED5DAE" w:rsidRDefault="007E731D" w:rsidP="007E731D">
            <w:pPr>
              <w:pStyle w:val="Bullet1"/>
            </w:pPr>
            <w:r w:rsidRPr="00ED5DAE">
              <w:t>Interviews</w:t>
            </w:r>
          </w:p>
          <w:p w14:paraId="727EA9CD" w14:textId="7BF13F8D" w:rsidR="007E731D" w:rsidRPr="00833721" w:rsidRDefault="007E731D" w:rsidP="007E731D">
            <w:pPr>
              <w:pStyle w:val="Bullet1"/>
            </w:pPr>
            <w:r w:rsidRPr="00ED5DAE">
              <w:t>Workshops</w:t>
            </w:r>
          </w:p>
        </w:tc>
        <w:tc>
          <w:tcPr>
            <w:tcW w:w="1467" w:type="pct"/>
          </w:tcPr>
          <w:p w14:paraId="711FF00B" w14:textId="77777777" w:rsidR="007E731D" w:rsidRPr="00ED5DAE" w:rsidRDefault="007E731D" w:rsidP="007E731D">
            <w:pPr>
              <w:pStyle w:val="Bullet1"/>
            </w:pPr>
            <w:r w:rsidRPr="00ED5DAE">
              <w:t>Explore case studies</w:t>
            </w:r>
          </w:p>
          <w:p w14:paraId="7148BE85" w14:textId="77777777" w:rsidR="007E731D" w:rsidRPr="00ED5DAE" w:rsidRDefault="007E731D" w:rsidP="007E731D">
            <w:pPr>
              <w:pStyle w:val="Bullet1"/>
            </w:pPr>
            <w:r w:rsidRPr="00ED5DAE">
              <w:t>Gather feedback on language and framing</w:t>
            </w:r>
          </w:p>
          <w:p w14:paraId="0EC1DD25" w14:textId="77777777" w:rsidR="007E731D" w:rsidRPr="00ED5DAE" w:rsidRDefault="007E731D" w:rsidP="007E731D">
            <w:pPr>
              <w:pStyle w:val="Bullet1"/>
            </w:pPr>
            <w:r w:rsidRPr="00ED5DAE">
              <w:t>Provide updates on the Strategy</w:t>
            </w:r>
          </w:p>
          <w:p w14:paraId="3E4D8C6A" w14:textId="77777777" w:rsidR="007E731D" w:rsidRPr="00ED5DAE" w:rsidRDefault="007E731D" w:rsidP="007E731D">
            <w:pPr>
              <w:pStyle w:val="Bullet1"/>
            </w:pPr>
            <w:r w:rsidRPr="00ED5DAE">
              <w:t xml:space="preserve">Test the strategic priorities of the draft Strategy </w:t>
            </w:r>
          </w:p>
          <w:p w14:paraId="40108C49" w14:textId="77777777" w:rsidR="007E731D" w:rsidRPr="00ED5DAE" w:rsidRDefault="007E731D" w:rsidP="007E731D">
            <w:pPr>
              <w:pStyle w:val="Bullet1"/>
            </w:pPr>
            <w:r w:rsidRPr="00ED5DAE">
              <w:t xml:space="preserve">Understand external stakeholder environments, </w:t>
            </w:r>
            <w:proofErr w:type="gramStart"/>
            <w:r w:rsidRPr="00ED5DAE">
              <w:t>perceptions</w:t>
            </w:r>
            <w:proofErr w:type="gramEnd"/>
            <w:r w:rsidRPr="00ED5DAE">
              <w:t xml:space="preserve"> and priorities</w:t>
            </w:r>
          </w:p>
          <w:p w14:paraId="692792D6" w14:textId="55E294D3" w:rsidR="007E731D" w:rsidRPr="00833721" w:rsidRDefault="007E731D" w:rsidP="007E731D">
            <w:pPr>
              <w:pStyle w:val="Bullet1"/>
            </w:pPr>
            <w:r w:rsidRPr="00ED5DAE">
              <w:lastRenderedPageBreak/>
              <w:t>Understand previous process for, and outcomes of, consultations</w:t>
            </w:r>
          </w:p>
        </w:tc>
      </w:tr>
      <w:tr w:rsidR="007E731D" w:rsidRPr="00531866" w14:paraId="0CF63FF3" w14:textId="2E391175" w:rsidTr="007E731D">
        <w:trPr>
          <w:trHeight w:val="567"/>
        </w:trPr>
        <w:tc>
          <w:tcPr>
            <w:tcW w:w="955" w:type="pct"/>
          </w:tcPr>
          <w:p w14:paraId="3EAA6605" w14:textId="0A82C082" w:rsidR="007E731D" w:rsidRPr="00833721" w:rsidRDefault="007E731D" w:rsidP="007E731D">
            <w:pPr>
              <w:pStyle w:val="BodyText"/>
            </w:pPr>
            <w:r w:rsidRPr="00ED5DAE">
              <w:lastRenderedPageBreak/>
              <w:t>August 2019 to September 2019</w:t>
            </w:r>
          </w:p>
        </w:tc>
        <w:tc>
          <w:tcPr>
            <w:tcW w:w="1473" w:type="pct"/>
          </w:tcPr>
          <w:p w14:paraId="551FF871" w14:textId="77777777" w:rsidR="007E731D" w:rsidRPr="00ED5DAE" w:rsidRDefault="007E731D" w:rsidP="007E731D">
            <w:pPr>
              <w:pStyle w:val="Bullet1"/>
            </w:pPr>
            <w:r w:rsidRPr="00ED5DAE">
              <w:t>Business</w:t>
            </w:r>
          </w:p>
          <w:p w14:paraId="468AF040" w14:textId="77777777" w:rsidR="007E731D" w:rsidRPr="00ED5DAE" w:rsidRDefault="007E731D" w:rsidP="007E731D">
            <w:pPr>
              <w:pStyle w:val="Bullet1"/>
            </w:pPr>
            <w:r w:rsidRPr="00ED5DAE">
              <w:t>Disability services sector</w:t>
            </w:r>
          </w:p>
          <w:p w14:paraId="5B2FA1FD" w14:textId="77777777" w:rsidR="007E731D" w:rsidRPr="00ED5DAE" w:rsidRDefault="007E731D" w:rsidP="007E731D">
            <w:pPr>
              <w:pStyle w:val="Bullet1"/>
            </w:pPr>
            <w:r w:rsidRPr="00ED5DAE">
              <w:t xml:space="preserve">Individuals (including CALD, Aboriginal communities, people with specific needs, their </w:t>
            </w:r>
            <w:proofErr w:type="gramStart"/>
            <w:r w:rsidRPr="00ED5DAE">
              <w:t>families</w:t>
            </w:r>
            <w:proofErr w:type="gramEnd"/>
            <w:r w:rsidRPr="00ED5DAE">
              <w:t xml:space="preserve"> and siblings)</w:t>
            </w:r>
          </w:p>
          <w:p w14:paraId="4D663F7A" w14:textId="77777777" w:rsidR="007E731D" w:rsidRPr="00ED5DAE" w:rsidRDefault="007E731D" w:rsidP="007E731D">
            <w:pPr>
              <w:pStyle w:val="Bullet1"/>
            </w:pPr>
            <w:r w:rsidRPr="00ED5DAE">
              <w:t>Local Government</w:t>
            </w:r>
          </w:p>
          <w:p w14:paraId="669DF99E" w14:textId="77777777" w:rsidR="007E731D" w:rsidRPr="00ED5DAE" w:rsidRDefault="007E731D" w:rsidP="007E731D">
            <w:pPr>
              <w:pStyle w:val="Bullet1"/>
            </w:pPr>
            <w:r w:rsidRPr="00ED5DAE">
              <w:t>Service providers</w:t>
            </w:r>
          </w:p>
          <w:p w14:paraId="2A189AC5" w14:textId="557E1B7B" w:rsidR="007E731D" w:rsidRPr="00833721" w:rsidRDefault="007E731D" w:rsidP="007E731D">
            <w:pPr>
              <w:pStyle w:val="Bullet1"/>
            </w:pPr>
            <w:r w:rsidRPr="00ED5DAE">
              <w:t>State Government</w:t>
            </w:r>
          </w:p>
        </w:tc>
        <w:tc>
          <w:tcPr>
            <w:tcW w:w="1105" w:type="pct"/>
          </w:tcPr>
          <w:p w14:paraId="61F12BE7" w14:textId="77777777" w:rsidR="007E731D" w:rsidRPr="00ED5DAE" w:rsidRDefault="007E731D" w:rsidP="007E731D">
            <w:pPr>
              <w:pStyle w:val="Bullet1"/>
            </w:pPr>
            <w:r w:rsidRPr="00ED5DAE">
              <w:t>Face-to-face workshops</w:t>
            </w:r>
          </w:p>
          <w:p w14:paraId="7C2E1E2C" w14:textId="77777777" w:rsidR="007E731D" w:rsidRPr="00ED5DAE" w:rsidRDefault="007E731D" w:rsidP="007E731D">
            <w:pPr>
              <w:pStyle w:val="Bullet1"/>
            </w:pPr>
            <w:r w:rsidRPr="00ED5DAE">
              <w:t>One-on-one consultation</w:t>
            </w:r>
          </w:p>
          <w:p w14:paraId="72CA730C" w14:textId="10487559" w:rsidR="007E731D" w:rsidRPr="00833721" w:rsidRDefault="007E731D" w:rsidP="007E731D">
            <w:pPr>
              <w:pStyle w:val="Bullet1"/>
            </w:pPr>
            <w:r w:rsidRPr="00ED5DAE">
              <w:t>Online surveys</w:t>
            </w:r>
          </w:p>
        </w:tc>
        <w:tc>
          <w:tcPr>
            <w:tcW w:w="1467" w:type="pct"/>
          </w:tcPr>
          <w:p w14:paraId="5E5F76B1" w14:textId="46CA9872" w:rsidR="007E731D" w:rsidRPr="00833721" w:rsidRDefault="007E731D" w:rsidP="007E731D">
            <w:pPr>
              <w:pStyle w:val="Bullet1"/>
            </w:pPr>
            <w:r w:rsidRPr="00ED5DAE">
              <w:t>Explore major themes relevant to the Strategy (housing, health, rights and justice, transport, support services, employment education, and local community)</w:t>
            </w:r>
          </w:p>
        </w:tc>
      </w:tr>
      <w:tr w:rsidR="007E731D" w:rsidRPr="00531866" w14:paraId="44F42189" w14:textId="77777777" w:rsidTr="007E731D">
        <w:trPr>
          <w:trHeight w:val="567"/>
        </w:trPr>
        <w:tc>
          <w:tcPr>
            <w:tcW w:w="955" w:type="pct"/>
          </w:tcPr>
          <w:p w14:paraId="48710016" w14:textId="12672508" w:rsidR="007E731D" w:rsidRPr="00833721" w:rsidRDefault="007E731D" w:rsidP="007E731D">
            <w:pPr>
              <w:pStyle w:val="BodyText"/>
            </w:pPr>
            <w:r w:rsidRPr="00ED5DAE">
              <w:t>May 2019 to July 2019</w:t>
            </w:r>
          </w:p>
        </w:tc>
        <w:tc>
          <w:tcPr>
            <w:tcW w:w="1473" w:type="pct"/>
          </w:tcPr>
          <w:p w14:paraId="1A044FE4" w14:textId="77777777" w:rsidR="007E731D" w:rsidRPr="00ED5DAE" w:rsidRDefault="007E731D" w:rsidP="007E731D">
            <w:pPr>
              <w:pStyle w:val="Bullet1"/>
            </w:pPr>
            <w:r w:rsidRPr="00ED5DAE">
              <w:t>Disability services sector</w:t>
            </w:r>
          </w:p>
          <w:p w14:paraId="3279A935" w14:textId="77777777" w:rsidR="007E731D" w:rsidRPr="00ED5DAE" w:rsidRDefault="007E731D" w:rsidP="007E731D">
            <w:pPr>
              <w:pStyle w:val="Bullet1"/>
            </w:pPr>
            <w:r w:rsidRPr="00ED5DAE">
              <w:t>Strategy specific group</w:t>
            </w:r>
          </w:p>
          <w:p w14:paraId="321D1A4B" w14:textId="005D25C2" w:rsidR="007E731D" w:rsidRPr="00833721" w:rsidRDefault="007E731D" w:rsidP="007E731D">
            <w:pPr>
              <w:pStyle w:val="Bullet1"/>
            </w:pPr>
            <w:r w:rsidRPr="00ED5DAE">
              <w:t>Other stakeholders</w:t>
            </w:r>
          </w:p>
        </w:tc>
        <w:tc>
          <w:tcPr>
            <w:tcW w:w="1105" w:type="pct"/>
          </w:tcPr>
          <w:p w14:paraId="218681F8" w14:textId="107E2C3E" w:rsidR="007E731D" w:rsidRPr="00833721" w:rsidRDefault="007E731D" w:rsidP="007E731D">
            <w:pPr>
              <w:pStyle w:val="Bullet1"/>
            </w:pPr>
            <w:r w:rsidRPr="00ED5DAE">
              <w:t>Workshops</w:t>
            </w:r>
          </w:p>
        </w:tc>
        <w:tc>
          <w:tcPr>
            <w:tcW w:w="1467" w:type="pct"/>
          </w:tcPr>
          <w:p w14:paraId="5373F2CF" w14:textId="77777777" w:rsidR="007E731D" w:rsidRPr="00ED5DAE" w:rsidRDefault="007E731D" w:rsidP="007E731D">
            <w:pPr>
              <w:pStyle w:val="Bullet1"/>
            </w:pPr>
            <w:r w:rsidRPr="00ED5DAE">
              <w:t>Analyse community surveys</w:t>
            </w:r>
          </w:p>
          <w:p w14:paraId="2236BE75" w14:textId="77777777" w:rsidR="007E731D" w:rsidRPr="00ED5DAE" w:rsidRDefault="007E731D" w:rsidP="007E731D">
            <w:pPr>
              <w:pStyle w:val="Bullet1"/>
            </w:pPr>
            <w:r w:rsidRPr="00ED5DAE">
              <w:t>Identify key themes</w:t>
            </w:r>
          </w:p>
          <w:p w14:paraId="4034CEF3" w14:textId="29355098" w:rsidR="007E731D" w:rsidRPr="00833721" w:rsidRDefault="007E731D" w:rsidP="007E731D">
            <w:pPr>
              <w:pStyle w:val="Bullet1"/>
            </w:pPr>
            <w:r w:rsidRPr="00ED5DAE">
              <w:t>Shape the values of the Strategy</w:t>
            </w:r>
          </w:p>
        </w:tc>
      </w:tr>
      <w:tr w:rsidR="007E731D" w:rsidRPr="00531866" w14:paraId="0A9AF865" w14:textId="77777777" w:rsidTr="007E731D">
        <w:trPr>
          <w:trHeight w:val="567"/>
        </w:trPr>
        <w:tc>
          <w:tcPr>
            <w:tcW w:w="955" w:type="pct"/>
          </w:tcPr>
          <w:p w14:paraId="54760A84" w14:textId="3BDFCDB3" w:rsidR="007E731D" w:rsidRPr="00833721" w:rsidRDefault="007E731D" w:rsidP="007E731D">
            <w:pPr>
              <w:pStyle w:val="BodyText"/>
            </w:pPr>
            <w:r w:rsidRPr="00ED5DAE">
              <w:t>January 2019 to April 2019</w:t>
            </w:r>
          </w:p>
        </w:tc>
        <w:tc>
          <w:tcPr>
            <w:tcW w:w="1473" w:type="pct"/>
          </w:tcPr>
          <w:p w14:paraId="13E32FE9" w14:textId="77777777" w:rsidR="007E731D" w:rsidRPr="00ED5DAE" w:rsidRDefault="007E731D" w:rsidP="007E731D">
            <w:pPr>
              <w:pStyle w:val="Bullet1"/>
            </w:pPr>
            <w:r w:rsidRPr="00ED5DAE">
              <w:t>Community</w:t>
            </w:r>
          </w:p>
          <w:p w14:paraId="0DB1B5FE" w14:textId="77777777" w:rsidR="007E731D" w:rsidRPr="00ED5DAE" w:rsidRDefault="007E731D" w:rsidP="007E731D">
            <w:pPr>
              <w:pStyle w:val="Bullet1"/>
            </w:pPr>
            <w:r w:rsidRPr="00ED5DAE">
              <w:t>Disability services sector</w:t>
            </w:r>
          </w:p>
          <w:p w14:paraId="4F7E4477" w14:textId="759F9B86" w:rsidR="007E731D" w:rsidRPr="00833721" w:rsidRDefault="007E731D" w:rsidP="007E731D">
            <w:pPr>
              <w:pStyle w:val="Bullet1"/>
            </w:pPr>
            <w:r w:rsidRPr="00ED5DAE">
              <w:t>Service providers</w:t>
            </w:r>
          </w:p>
        </w:tc>
        <w:tc>
          <w:tcPr>
            <w:tcW w:w="1105" w:type="pct"/>
          </w:tcPr>
          <w:p w14:paraId="071E641C" w14:textId="77777777" w:rsidR="007E731D" w:rsidRPr="00ED5DAE" w:rsidRDefault="007E731D" w:rsidP="007E731D">
            <w:pPr>
              <w:pStyle w:val="Bullet1"/>
            </w:pPr>
            <w:r w:rsidRPr="00ED5DAE">
              <w:t>Phone interviews</w:t>
            </w:r>
          </w:p>
          <w:p w14:paraId="33F34689" w14:textId="77777777" w:rsidR="007E731D" w:rsidRPr="00ED5DAE" w:rsidRDefault="007E731D" w:rsidP="007E731D">
            <w:pPr>
              <w:pStyle w:val="Bullet1"/>
            </w:pPr>
            <w:r w:rsidRPr="00ED5DAE">
              <w:t>Postcard feedback</w:t>
            </w:r>
          </w:p>
          <w:p w14:paraId="16E5D0BC" w14:textId="77777777" w:rsidR="007E731D" w:rsidRPr="00ED5DAE" w:rsidRDefault="007E731D" w:rsidP="007E731D">
            <w:pPr>
              <w:pStyle w:val="Bullet1"/>
            </w:pPr>
            <w:r w:rsidRPr="00ED5DAE">
              <w:t>Public survey</w:t>
            </w:r>
          </w:p>
          <w:p w14:paraId="3A157341" w14:textId="09858368" w:rsidR="007E731D" w:rsidRPr="00833721" w:rsidRDefault="007E731D" w:rsidP="007E731D">
            <w:pPr>
              <w:pStyle w:val="Bullet1"/>
            </w:pPr>
            <w:r w:rsidRPr="00ED5DAE">
              <w:t>Workshops</w:t>
            </w:r>
          </w:p>
        </w:tc>
        <w:tc>
          <w:tcPr>
            <w:tcW w:w="1467" w:type="pct"/>
          </w:tcPr>
          <w:p w14:paraId="63F35F46" w14:textId="620EEEB7" w:rsidR="007E731D" w:rsidRPr="00833721" w:rsidRDefault="007E731D" w:rsidP="007E731D">
            <w:pPr>
              <w:pStyle w:val="Bullet1"/>
            </w:pPr>
            <w:r w:rsidRPr="00ED5DAE">
              <w:t>Create a vision for an inclusive WA over 10 years</w:t>
            </w:r>
          </w:p>
        </w:tc>
      </w:tr>
    </w:tbl>
    <w:p w14:paraId="10EC1038" w14:textId="77777777" w:rsidR="007E731D" w:rsidRDefault="007E731D">
      <w:pPr>
        <w:spacing w:after="0" w:line="240" w:lineRule="auto"/>
        <w:rPr>
          <w:rFonts w:cs="Arial"/>
          <w:b/>
          <w:bCs/>
          <w:color w:val="2C5C86"/>
          <w:sz w:val="40"/>
          <w:szCs w:val="32"/>
          <w:lang w:val="en-GB"/>
        </w:rPr>
      </w:pPr>
      <w:bookmarkStart w:id="2" w:name="_Toc504660856"/>
      <w:bookmarkStart w:id="3" w:name="_Toc504550674"/>
      <w:bookmarkEnd w:id="1"/>
      <w:r>
        <w:br w:type="page"/>
      </w:r>
    </w:p>
    <w:p w14:paraId="3E79055F" w14:textId="78AC9C10" w:rsidR="007E731D" w:rsidRPr="00240EE5" w:rsidRDefault="007E731D" w:rsidP="007E731D">
      <w:pPr>
        <w:pStyle w:val="Heading1"/>
      </w:pPr>
      <w:r>
        <w:lastRenderedPageBreak/>
        <w:t>Action Plan</w:t>
      </w:r>
      <w:r>
        <w:t xml:space="preserve"> consultation</w:t>
      </w:r>
    </w:p>
    <w:p w14:paraId="43CFD1C6" w14:textId="7F8F4C98" w:rsidR="007E731D" w:rsidRDefault="007E731D" w:rsidP="007E731D">
      <w:pPr>
        <w:pStyle w:val="TableCaption"/>
        <w:rPr>
          <w:b w:val="0"/>
        </w:rPr>
      </w:pPr>
      <w:r>
        <w:t xml:space="preserve">Table </w:t>
      </w:r>
      <w:r w:rsidR="00FF614C">
        <w:t>2</w:t>
      </w:r>
      <w:r>
        <w:t xml:space="preserve"> – </w:t>
      </w:r>
      <w:r>
        <w:t>Action Plan</w:t>
      </w:r>
      <w:r>
        <w:t xml:space="preserve"> consultation</w:t>
      </w:r>
    </w:p>
    <w:tbl>
      <w:tblPr>
        <w:tblStyle w:val="TableStyle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  <w:tblDescription w:val="Table example"/>
      </w:tblPr>
      <w:tblGrid>
        <w:gridCol w:w="1838"/>
        <w:gridCol w:w="2835"/>
        <w:gridCol w:w="2126"/>
        <w:gridCol w:w="2823"/>
      </w:tblGrid>
      <w:tr w:rsidR="007E731D" w:rsidRPr="00531866" w14:paraId="78DBF644" w14:textId="77777777" w:rsidTr="007E7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955" w:type="pct"/>
          </w:tcPr>
          <w:p w14:paraId="16AF5E9E" w14:textId="77777777" w:rsidR="007E731D" w:rsidRPr="00833721" w:rsidRDefault="007E731D" w:rsidP="007E731D">
            <w:pPr>
              <w:pStyle w:val="TableContent"/>
            </w:pPr>
            <w:r>
              <w:t>Time period</w:t>
            </w:r>
            <w:r w:rsidRPr="00833721">
              <w:t xml:space="preserve"> </w:t>
            </w:r>
          </w:p>
        </w:tc>
        <w:tc>
          <w:tcPr>
            <w:tcW w:w="1473" w:type="pct"/>
          </w:tcPr>
          <w:p w14:paraId="60CD8406" w14:textId="77777777" w:rsidR="007E731D" w:rsidRPr="00833721" w:rsidRDefault="007E731D" w:rsidP="007E731D">
            <w:pPr>
              <w:pStyle w:val="TableContent"/>
            </w:pPr>
            <w:r>
              <w:t>Groups</w:t>
            </w:r>
          </w:p>
        </w:tc>
        <w:tc>
          <w:tcPr>
            <w:tcW w:w="1105" w:type="pct"/>
          </w:tcPr>
          <w:p w14:paraId="474ED5F6" w14:textId="77777777" w:rsidR="007E731D" w:rsidRPr="00833721" w:rsidRDefault="007E731D" w:rsidP="007E731D">
            <w:pPr>
              <w:pStyle w:val="TableContent"/>
            </w:pPr>
            <w:r>
              <w:t>Type</w:t>
            </w:r>
          </w:p>
        </w:tc>
        <w:tc>
          <w:tcPr>
            <w:tcW w:w="1467" w:type="pct"/>
          </w:tcPr>
          <w:p w14:paraId="36731AE8" w14:textId="77777777" w:rsidR="007E731D" w:rsidRPr="00833721" w:rsidRDefault="007E731D" w:rsidP="007E731D">
            <w:pPr>
              <w:pStyle w:val="TableContent"/>
            </w:pPr>
            <w:r>
              <w:t>Purpose</w:t>
            </w:r>
          </w:p>
        </w:tc>
      </w:tr>
      <w:tr w:rsidR="007E731D" w:rsidRPr="00531866" w14:paraId="227BCB43" w14:textId="77777777" w:rsidTr="007E731D">
        <w:trPr>
          <w:trHeight w:val="567"/>
        </w:trPr>
        <w:tc>
          <w:tcPr>
            <w:tcW w:w="955" w:type="pct"/>
          </w:tcPr>
          <w:p w14:paraId="2983938D" w14:textId="49D14F42" w:rsidR="007E731D" w:rsidRPr="00833721" w:rsidRDefault="007E731D" w:rsidP="007E731D">
            <w:pPr>
              <w:pStyle w:val="BodyText"/>
            </w:pPr>
            <w:r w:rsidRPr="00ED5DAE">
              <w:t>July 2020 to August</w:t>
            </w:r>
            <w:r>
              <w:t xml:space="preserve"> </w:t>
            </w:r>
            <w:r w:rsidRPr="00ED5DAE">
              <w:t>2020</w:t>
            </w:r>
          </w:p>
        </w:tc>
        <w:tc>
          <w:tcPr>
            <w:tcW w:w="1473" w:type="pct"/>
          </w:tcPr>
          <w:p w14:paraId="00268C92" w14:textId="77777777" w:rsidR="007E731D" w:rsidRPr="00ED5DAE" w:rsidRDefault="007E731D" w:rsidP="007E731D">
            <w:pPr>
              <w:pStyle w:val="Bullet1"/>
            </w:pPr>
            <w:r w:rsidRPr="00ED5DAE">
              <w:t>Community groups</w:t>
            </w:r>
          </w:p>
          <w:p w14:paraId="61EB5A2F" w14:textId="77777777" w:rsidR="007E731D" w:rsidRPr="00ED5DAE" w:rsidRDefault="007E731D" w:rsidP="007E731D">
            <w:pPr>
              <w:pStyle w:val="Bullet1"/>
            </w:pPr>
            <w:r w:rsidRPr="00ED5DAE">
              <w:t>Disability services sector</w:t>
            </w:r>
          </w:p>
          <w:p w14:paraId="1CEFB02B" w14:textId="77777777" w:rsidR="007E731D" w:rsidRPr="00ED5DAE" w:rsidRDefault="007E731D" w:rsidP="007E731D">
            <w:pPr>
              <w:pStyle w:val="Bullet1"/>
            </w:pPr>
            <w:r w:rsidRPr="00ED5DAE">
              <w:t>Peak bodies (human services sector and industry)</w:t>
            </w:r>
          </w:p>
          <w:p w14:paraId="3246237C" w14:textId="77777777" w:rsidR="007E731D" w:rsidRPr="00ED5DAE" w:rsidRDefault="007E731D" w:rsidP="007E731D">
            <w:pPr>
              <w:pStyle w:val="Bullet1"/>
            </w:pPr>
            <w:r w:rsidRPr="00ED5DAE">
              <w:t>State Government agencies (various)</w:t>
            </w:r>
          </w:p>
          <w:p w14:paraId="47CC18EC" w14:textId="77777777" w:rsidR="007E731D" w:rsidRPr="00ED5DAE" w:rsidRDefault="007E731D" w:rsidP="007E731D">
            <w:pPr>
              <w:pStyle w:val="Bullet1"/>
            </w:pPr>
            <w:r w:rsidRPr="00ED5DAE">
              <w:t>State Government Agency Partnership Group</w:t>
            </w:r>
          </w:p>
          <w:p w14:paraId="37C06403" w14:textId="7BE4FD82" w:rsidR="007E731D" w:rsidRPr="00833721" w:rsidRDefault="007E731D" w:rsidP="007E731D">
            <w:pPr>
              <w:pStyle w:val="Bullet1"/>
            </w:pPr>
            <w:r w:rsidRPr="00ED5DAE">
              <w:t>Other stakeholders</w:t>
            </w:r>
          </w:p>
        </w:tc>
        <w:tc>
          <w:tcPr>
            <w:tcW w:w="1105" w:type="pct"/>
          </w:tcPr>
          <w:p w14:paraId="1ADE5406" w14:textId="77777777" w:rsidR="007E731D" w:rsidRPr="00ED5DAE" w:rsidRDefault="007E731D" w:rsidP="007E731D">
            <w:pPr>
              <w:pStyle w:val="Bullet1"/>
            </w:pPr>
            <w:r w:rsidRPr="00ED5DAE">
              <w:t>One-on-one interactions</w:t>
            </w:r>
          </w:p>
          <w:p w14:paraId="6AC98E1F" w14:textId="5E4A1DF4" w:rsidR="007E731D" w:rsidRPr="00833721" w:rsidRDefault="007E731D" w:rsidP="007E731D">
            <w:pPr>
              <w:pStyle w:val="Bullet1"/>
            </w:pPr>
            <w:r w:rsidRPr="00ED5DAE">
              <w:t>Written feedback</w:t>
            </w:r>
          </w:p>
        </w:tc>
        <w:tc>
          <w:tcPr>
            <w:tcW w:w="1467" w:type="pct"/>
          </w:tcPr>
          <w:p w14:paraId="515E1C98" w14:textId="5C6C072F" w:rsidR="007E731D" w:rsidRPr="00833721" w:rsidRDefault="007E731D" w:rsidP="007E731D">
            <w:pPr>
              <w:pStyle w:val="Bullet1"/>
            </w:pPr>
            <w:r w:rsidRPr="00ED5DAE">
              <w:t>Target consultation on the strategic priorities for early action</w:t>
            </w:r>
          </w:p>
        </w:tc>
      </w:tr>
    </w:tbl>
    <w:bookmarkEnd w:id="2"/>
    <w:bookmarkEnd w:id="3"/>
    <w:p w14:paraId="71213241" w14:textId="7679BD50" w:rsidR="0070090B" w:rsidRPr="006C6C8F" w:rsidRDefault="007E731D" w:rsidP="006C6C8F">
      <w:r>
        <w:br w:type="textWrapping" w:clear="all"/>
      </w:r>
    </w:p>
    <w:sectPr w:rsidR="0070090B" w:rsidRPr="006C6C8F" w:rsidSect="00A1342F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418" w:right="1134" w:bottom="1134" w:left="1134" w:header="0" w:footer="510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752B6" w14:textId="77777777" w:rsidR="00BC12E6" w:rsidRDefault="00BC12E6" w:rsidP="00D41211">
      <w:r>
        <w:separator/>
      </w:r>
    </w:p>
  </w:endnote>
  <w:endnote w:type="continuationSeparator" w:id="0">
    <w:p w14:paraId="1B59478B" w14:textId="77777777" w:rsidR="00BC12E6" w:rsidRDefault="00BC12E6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436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FC946C" w14:textId="7332C17A" w:rsidR="007F71DE" w:rsidRPr="003E343C" w:rsidRDefault="003E343C" w:rsidP="001D4C4E">
        <w:pPr>
          <w:pStyle w:val="Footer"/>
          <w:rPr>
            <w:rStyle w:val="PageNumber"/>
            <w:sz w:val="20"/>
          </w:rPr>
        </w:pPr>
        <w:r w:rsidRPr="001D4C4E">
          <w:fldChar w:fldCharType="begin"/>
        </w:r>
        <w:r w:rsidRPr="001D4C4E">
          <w:instrText xml:space="preserve"> PAGE   \* MERGEFORMAT </w:instrText>
        </w:r>
        <w:r w:rsidRPr="001D4C4E">
          <w:fldChar w:fldCharType="separate"/>
        </w:r>
        <w:r w:rsidR="00EE3247">
          <w:rPr>
            <w:noProof/>
          </w:rPr>
          <w:t>5</w:t>
        </w:r>
        <w:r w:rsidRPr="001D4C4E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41089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510B65" w14:textId="644AB83F" w:rsidR="00811AFF" w:rsidRPr="00811AFF" w:rsidRDefault="00811AFF" w:rsidP="00811AFF">
        <w:pPr>
          <w:pStyle w:val="Footer"/>
        </w:pPr>
        <w:r w:rsidRPr="001D4C4E">
          <w:fldChar w:fldCharType="begin"/>
        </w:r>
        <w:r w:rsidRPr="001D4C4E">
          <w:instrText xml:space="preserve"> PAGE   \* MERGEFORMAT </w:instrText>
        </w:r>
        <w:r w:rsidRPr="001D4C4E">
          <w:fldChar w:fldCharType="separate"/>
        </w:r>
        <w:r w:rsidR="00EE3247">
          <w:rPr>
            <w:noProof/>
          </w:rPr>
          <w:t>1</w:t>
        </w:r>
        <w:r w:rsidRPr="001D4C4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A1EB2" w14:textId="77777777" w:rsidR="00BC12E6" w:rsidRDefault="00BC12E6" w:rsidP="00D41211">
      <w:r>
        <w:separator/>
      </w:r>
    </w:p>
  </w:footnote>
  <w:footnote w:type="continuationSeparator" w:id="0">
    <w:p w14:paraId="5A8CEC5D" w14:textId="77777777" w:rsidR="00BC12E6" w:rsidRDefault="00BC12E6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6FB5F" w14:textId="77777777" w:rsidR="00104B99" w:rsidRDefault="00FF1E2E" w:rsidP="00104B99">
    <w:pPr>
      <w:ind w:left="-1134"/>
    </w:pPr>
    <w:r>
      <w:rPr>
        <w:noProof/>
        <w:lang w:eastAsia="en-AU"/>
      </w:rPr>
      <w:drawing>
        <wp:inline distT="0" distB="0" distL="0" distR="0" wp14:anchorId="72BBA76B" wp14:editId="241296DA">
          <wp:extent cx="7653020" cy="1073785"/>
          <wp:effectExtent l="0" t="0" r="5080" b="0"/>
          <wp:docPr id="30" name="Picture 30" descr="Decorative fig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&amp;Newsletter_Dk-Blue-Header_Page2_Portra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020" cy="1073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651E58" w14:textId="62E8F9BA" w:rsidR="00206816" w:rsidRPr="00104B99" w:rsidRDefault="007E731D" w:rsidP="00104B99">
    <w:pPr>
      <w:pStyle w:val="Header"/>
    </w:pPr>
    <w:r>
      <w:t>Consultation Summary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95A77" w14:textId="77777777" w:rsidR="00206816" w:rsidRDefault="00206816" w:rsidP="006C0114">
    <w:pPr>
      <w:pStyle w:val="nospace"/>
      <w:ind w:left="-1134"/>
    </w:pPr>
    <w:r>
      <w:rPr>
        <w:noProof/>
        <w:lang w:val="en-AU" w:eastAsia="en-AU"/>
      </w:rPr>
      <w:drawing>
        <wp:inline distT="0" distB="0" distL="0" distR="0" wp14:anchorId="5EE6D2C8" wp14:editId="58312D81">
          <wp:extent cx="7558095" cy="1438476"/>
          <wp:effectExtent l="0" t="0" r="5080" b="9525"/>
          <wp:docPr id="32" name="Picture 32" descr="Government of Western Australia Department of Commun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DCS_Generic-Template_Artboard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095" cy="1438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F48567" w14:textId="77777777" w:rsidR="006C0114" w:rsidRDefault="006C0114" w:rsidP="006C01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4FE6F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65A2B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B229A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6783C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E447E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F48B5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3FABB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2387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66AB9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D769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EC3FED"/>
    <w:multiLevelType w:val="hybridMultilevel"/>
    <w:tmpl w:val="0E809450"/>
    <w:lvl w:ilvl="0" w:tplc="3154AA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0B677D"/>
    <w:multiLevelType w:val="hybridMultilevel"/>
    <w:tmpl w:val="041E5638"/>
    <w:lvl w:ilvl="0" w:tplc="F4D8AD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2640C6"/>
    <w:multiLevelType w:val="multilevel"/>
    <w:tmpl w:val="68109DAC"/>
    <w:lvl w:ilvl="0">
      <w:start w:val="1"/>
      <w:numFmt w:val="none"/>
      <w:lvlText w:val="1."/>
      <w:lvlJc w:val="left"/>
      <w:pPr>
        <w:ind w:left="79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88" w:hanging="453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758" w:hanging="51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4" w15:restartNumberingAfterBreak="0">
    <w:nsid w:val="10DB5FB1"/>
    <w:multiLevelType w:val="hybridMultilevel"/>
    <w:tmpl w:val="A418B7C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CF3434"/>
    <w:multiLevelType w:val="multilevel"/>
    <w:tmpl w:val="1076D35A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Helvetica" w:hAnsi="Helvetica" w:cstheme="minorHAnsi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9" w15:restartNumberingAfterBreak="0">
    <w:nsid w:val="2B6870CD"/>
    <w:multiLevelType w:val="hybridMultilevel"/>
    <w:tmpl w:val="5C4E85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4F1770"/>
    <w:multiLevelType w:val="multilevel"/>
    <w:tmpl w:val="9CAAC0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43B4D"/>
    <w:multiLevelType w:val="multilevel"/>
    <w:tmpl w:val="B3A2D20A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4" w15:restartNumberingAfterBreak="0">
    <w:nsid w:val="44E66F71"/>
    <w:multiLevelType w:val="hybridMultilevel"/>
    <w:tmpl w:val="38DE1C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7F67886"/>
    <w:multiLevelType w:val="multilevel"/>
    <w:tmpl w:val="9ADC660E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6" w15:restartNumberingAfterBreak="0">
    <w:nsid w:val="57883D19"/>
    <w:multiLevelType w:val="hybridMultilevel"/>
    <w:tmpl w:val="6A105ACE"/>
    <w:lvl w:ilvl="0" w:tplc="0128A664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7" w15:restartNumberingAfterBreak="0">
    <w:nsid w:val="57C433C1"/>
    <w:multiLevelType w:val="hybridMultilevel"/>
    <w:tmpl w:val="3FFC322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75CC4"/>
    <w:multiLevelType w:val="hybridMultilevel"/>
    <w:tmpl w:val="723CD442"/>
    <w:lvl w:ilvl="0" w:tplc="0C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0" w15:restartNumberingAfterBreak="0">
    <w:nsid w:val="63E46474"/>
    <w:multiLevelType w:val="hybridMultilevel"/>
    <w:tmpl w:val="079EB00A"/>
    <w:lvl w:ilvl="0" w:tplc="EAD0AB52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2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B7E3C"/>
    <w:multiLevelType w:val="multilevel"/>
    <w:tmpl w:val="111A5ECE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3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1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1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9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973" w:hanging="357"/>
      </w:pPr>
      <w:rPr>
        <w:rFonts w:ascii="Wingdings" w:hAnsi="Wingdings" w:hint="default"/>
      </w:rPr>
    </w:lvl>
  </w:abstractNum>
  <w:abstractNum w:abstractNumId="34" w15:restartNumberingAfterBreak="0">
    <w:nsid w:val="77B355EF"/>
    <w:multiLevelType w:val="hybridMultilevel"/>
    <w:tmpl w:val="29CA8F3E"/>
    <w:lvl w:ilvl="0" w:tplc="C9BA8B5C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B34FDE"/>
    <w:multiLevelType w:val="hybridMultilevel"/>
    <w:tmpl w:val="3E1C4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40B6A"/>
    <w:multiLevelType w:val="hybridMultilevel"/>
    <w:tmpl w:val="BAEA5112"/>
    <w:lvl w:ilvl="0" w:tplc="9A342F66">
      <w:start w:val="1"/>
      <w:numFmt w:val="lowerLetter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A5DBF"/>
    <w:multiLevelType w:val="hybridMultilevel"/>
    <w:tmpl w:val="8446DB84"/>
    <w:lvl w:ilvl="0" w:tplc="D24C6C70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17"/>
  </w:num>
  <w:num w:numId="3">
    <w:abstractNumId w:val="0"/>
  </w:num>
  <w:num w:numId="4">
    <w:abstractNumId w:val="28"/>
  </w:num>
  <w:num w:numId="5">
    <w:abstractNumId w:val="32"/>
  </w:num>
  <w:num w:numId="6">
    <w:abstractNumId w:val="11"/>
  </w:num>
  <w:num w:numId="7">
    <w:abstractNumId w:val="37"/>
  </w:num>
  <w:num w:numId="8">
    <w:abstractNumId w:val="26"/>
  </w:num>
  <w:num w:numId="9">
    <w:abstractNumId w:val="15"/>
  </w:num>
  <w:num w:numId="10">
    <w:abstractNumId w:val="22"/>
  </w:num>
  <w:num w:numId="11">
    <w:abstractNumId w:val="38"/>
  </w:num>
  <w:num w:numId="12">
    <w:abstractNumId w:val="16"/>
  </w:num>
  <w:num w:numId="13">
    <w:abstractNumId w:val="3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8"/>
  </w:num>
  <w:num w:numId="25">
    <w:abstractNumId w:val="20"/>
  </w:num>
  <w:num w:numId="26">
    <w:abstractNumId w:val="12"/>
  </w:num>
  <w:num w:numId="27">
    <w:abstractNumId w:val="29"/>
  </w:num>
  <w:num w:numId="28">
    <w:abstractNumId w:val="27"/>
  </w:num>
  <w:num w:numId="29">
    <w:abstractNumId w:val="14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34"/>
  </w:num>
  <w:num w:numId="33">
    <w:abstractNumId w:val="39"/>
  </w:num>
  <w:num w:numId="34">
    <w:abstractNumId w:val="20"/>
  </w:num>
  <w:num w:numId="35">
    <w:abstractNumId w:val="36"/>
  </w:num>
  <w:num w:numId="36">
    <w:abstractNumId w:val="31"/>
  </w:num>
  <w:num w:numId="37">
    <w:abstractNumId w:val="23"/>
  </w:num>
  <w:num w:numId="38">
    <w:abstractNumId w:val="13"/>
  </w:num>
  <w:num w:numId="39">
    <w:abstractNumId w:val="23"/>
    <w:lvlOverride w:ilvl="0">
      <w:lvl w:ilvl="0">
        <w:start w:val="1"/>
        <w:numFmt w:val="decimal"/>
        <w:pStyle w:val="ListParagraph"/>
        <w:lvlText w:val="%1."/>
        <w:lvlJc w:val="left"/>
        <w:pPr>
          <w:ind w:left="794" w:hanging="51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361"/>
          </w:tabs>
          <w:ind w:left="1418" w:hanging="62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right"/>
        <w:pPr>
          <w:ind w:left="1985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40">
    <w:abstractNumId w:val="11"/>
  </w:num>
  <w:num w:numId="41">
    <w:abstractNumId w:val="33"/>
  </w:num>
  <w:num w:numId="42">
    <w:abstractNumId w:val="25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02BB8"/>
    <w:rsid w:val="00014F53"/>
    <w:rsid w:val="0002361C"/>
    <w:rsid w:val="00025F3F"/>
    <w:rsid w:val="000338B3"/>
    <w:rsid w:val="000342E2"/>
    <w:rsid w:val="00047DD6"/>
    <w:rsid w:val="00060292"/>
    <w:rsid w:val="00063172"/>
    <w:rsid w:val="00063F98"/>
    <w:rsid w:val="00066CCF"/>
    <w:rsid w:val="00075D15"/>
    <w:rsid w:val="00075F81"/>
    <w:rsid w:val="00083942"/>
    <w:rsid w:val="00095A4D"/>
    <w:rsid w:val="000A161D"/>
    <w:rsid w:val="000B1741"/>
    <w:rsid w:val="000C45FC"/>
    <w:rsid w:val="000E6A91"/>
    <w:rsid w:val="000F60E1"/>
    <w:rsid w:val="0010445F"/>
    <w:rsid w:val="00104B99"/>
    <w:rsid w:val="00111D6C"/>
    <w:rsid w:val="00116BBF"/>
    <w:rsid w:val="001221FC"/>
    <w:rsid w:val="00123E91"/>
    <w:rsid w:val="00127199"/>
    <w:rsid w:val="00130FE2"/>
    <w:rsid w:val="0015261A"/>
    <w:rsid w:val="00167608"/>
    <w:rsid w:val="00167F21"/>
    <w:rsid w:val="00170CC9"/>
    <w:rsid w:val="00190E93"/>
    <w:rsid w:val="001A3B37"/>
    <w:rsid w:val="001A5FFE"/>
    <w:rsid w:val="001A7E88"/>
    <w:rsid w:val="001B4C4E"/>
    <w:rsid w:val="001B7FC8"/>
    <w:rsid w:val="001D4C4E"/>
    <w:rsid w:val="001E0EF3"/>
    <w:rsid w:val="001E7BE4"/>
    <w:rsid w:val="001F483B"/>
    <w:rsid w:val="0020481B"/>
    <w:rsid w:val="00206816"/>
    <w:rsid w:val="00212411"/>
    <w:rsid w:val="00235CE5"/>
    <w:rsid w:val="00235FFE"/>
    <w:rsid w:val="00237B08"/>
    <w:rsid w:val="00240916"/>
    <w:rsid w:val="00240EE5"/>
    <w:rsid w:val="002455F2"/>
    <w:rsid w:val="00252B09"/>
    <w:rsid w:val="0025755F"/>
    <w:rsid w:val="00257E1F"/>
    <w:rsid w:val="00262A84"/>
    <w:rsid w:val="00273975"/>
    <w:rsid w:val="0027419D"/>
    <w:rsid w:val="00276A09"/>
    <w:rsid w:val="00276DC9"/>
    <w:rsid w:val="00277361"/>
    <w:rsid w:val="00280D8D"/>
    <w:rsid w:val="00281683"/>
    <w:rsid w:val="00283350"/>
    <w:rsid w:val="002A2148"/>
    <w:rsid w:val="002C6CB1"/>
    <w:rsid w:val="002D50F7"/>
    <w:rsid w:val="002D6D83"/>
    <w:rsid w:val="002D777E"/>
    <w:rsid w:val="00306AFD"/>
    <w:rsid w:val="00314A45"/>
    <w:rsid w:val="00315515"/>
    <w:rsid w:val="00353B45"/>
    <w:rsid w:val="00361CEC"/>
    <w:rsid w:val="00367FD9"/>
    <w:rsid w:val="00374E81"/>
    <w:rsid w:val="00375DA1"/>
    <w:rsid w:val="003775E4"/>
    <w:rsid w:val="003817DC"/>
    <w:rsid w:val="003A77CE"/>
    <w:rsid w:val="003C5E51"/>
    <w:rsid w:val="003D5381"/>
    <w:rsid w:val="003D5FB8"/>
    <w:rsid w:val="003E343C"/>
    <w:rsid w:val="003F044D"/>
    <w:rsid w:val="003F238D"/>
    <w:rsid w:val="003F3D65"/>
    <w:rsid w:val="00401D09"/>
    <w:rsid w:val="0041092E"/>
    <w:rsid w:val="00410A26"/>
    <w:rsid w:val="00445369"/>
    <w:rsid w:val="00451D26"/>
    <w:rsid w:val="00463C84"/>
    <w:rsid w:val="00465381"/>
    <w:rsid w:val="00473FC0"/>
    <w:rsid w:val="00476D68"/>
    <w:rsid w:val="00490E41"/>
    <w:rsid w:val="004935A2"/>
    <w:rsid w:val="00496F6B"/>
    <w:rsid w:val="004A3317"/>
    <w:rsid w:val="004A4094"/>
    <w:rsid w:val="004A5F96"/>
    <w:rsid w:val="004B2915"/>
    <w:rsid w:val="004C2016"/>
    <w:rsid w:val="004C49FF"/>
    <w:rsid w:val="004D0771"/>
    <w:rsid w:val="004D4D47"/>
    <w:rsid w:val="004D546B"/>
    <w:rsid w:val="004F27B9"/>
    <w:rsid w:val="004F2E01"/>
    <w:rsid w:val="004F4563"/>
    <w:rsid w:val="00530C64"/>
    <w:rsid w:val="0054188B"/>
    <w:rsid w:val="005463CC"/>
    <w:rsid w:val="0055232E"/>
    <w:rsid w:val="00575F62"/>
    <w:rsid w:val="005845AB"/>
    <w:rsid w:val="00584A89"/>
    <w:rsid w:val="005911B9"/>
    <w:rsid w:val="00594148"/>
    <w:rsid w:val="005A4BB7"/>
    <w:rsid w:val="005B0C0E"/>
    <w:rsid w:val="005D4D30"/>
    <w:rsid w:val="005D5911"/>
    <w:rsid w:val="005D65D3"/>
    <w:rsid w:val="005E6C72"/>
    <w:rsid w:val="005F46C1"/>
    <w:rsid w:val="00612F7B"/>
    <w:rsid w:val="00617DEA"/>
    <w:rsid w:val="00625DC2"/>
    <w:rsid w:val="006268B9"/>
    <w:rsid w:val="00627AF3"/>
    <w:rsid w:val="006340A9"/>
    <w:rsid w:val="00637FAE"/>
    <w:rsid w:val="00653107"/>
    <w:rsid w:val="006709A3"/>
    <w:rsid w:val="00675E8A"/>
    <w:rsid w:val="00685C3E"/>
    <w:rsid w:val="006870EE"/>
    <w:rsid w:val="006927B0"/>
    <w:rsid w:val="006A4A71"/>
    <w:rsid w:val="006B2471"/>
    <w:rsid w:val="006C0114"/>
    <w:rsid w:val="006C36C8"/>
    <w:rsid w:val="006C6C8F"/>
    <w:rsid w:val="006D1F87"/>
    <w:rsid w:val="006D3B1F"/>
    <w:rsid w:val="006E2B83"/>
    <w:rsid w:val="006E30CC"/>
    <w:rsid w:val="006E708E"/>
    <w:rsid w:val="006F21C9"/>
    <w:rsid w:val="006F3428"/>
    <w:rsid w:val="006F7711"/>
    <w:rsid w:val="0070090B"/>
    <w:rsid w:val="00707CDD"/>
    <w:rsid w:val="00717DD0"/>
    <w:rsid w:val="00720FAE"/>
    <w:rsid w:val="0072647A"/>
    <w:rsid w:val="00732863"/>
    <w:rsid w:val="00751600"/>
    <w:rsid w:val="00756C54"/>
    <w:rsid w:val="00787518"/>
    <w:rsid w:val="00793086"/>
    <w:rsid w:val="007A2462"/>
    <w:rsid w:val="007B0687"/>
    <w:rsid w:val="007B53F1"/>
    <w:rsid w:val="007D3AD2"/>
    <w:rsid w:val="007D72D5"/>
    <w:rsid w:val="007E569D"/>
    <w:rsid w:val="007E731D"/>
    <w:rsid w:val="007F322D"/>
    <w:rsid w:val="007F51A6"/>
    <w:rsid w:val="007F645B"/>
    <w:rsid w:val="007F71DE"/>
    <w:rsid w:val="008011EB"/>
    <w:rsid w:val="00801EFE"/>
    <w:rsid w:val="00805848"/>
    <w:rsid w:val="00811AFF"/>
    <w:rsid w:val="00814D66"/>
    <w:rsid w:val="0082097F"/>
    <w:rsid w:val="00821D28"/>
    <w:rsid w:val="0082253C"/>
    <w:rsid w:val="008248DB"/>
    <w:rsid w:val="00833721"/>
    <w:rsid w:val="00833FDE"/>
    <w:rsid w:val="008444BC"/>
    <w:rsid w:val="00844742"/>
    <w:rsid w:val="00852E36"/>
    <w:rsid w:val="00856A5C"/>
    <w:rsid w:val="00860638"/>
    <w:rsid w:val="0086551B"/>
    <w:rsid w:val="00867A3D"/>
    <w:rsid w:val="008876B7"/>
    <w:rsid w:val="00887D9C"/>
    <w:rsid w:val="0089264E"/>
    <w:rsid w:val="008A32F0"/>
    <w:rsid w:val="008A67F3"/>
    <w:rsid w:val="008B142F"/>
    <w:rsid w:val="008B18AC"/>
    <w:rsid w:val="008C4DCC"/>
    <w:rsid w:val="008D2060"/>
    <w:rsid w:val="008E0253"/>
    <w:rsid w:val="008E04FB"/>
    <w:rsid w:val="008E4A63"/>
    <w:rsid w:val="008E606D"/>
    <w:rsid w:val="008E713B"/>
    <w:rsid w:val="008F292B"/>
    <w:rsid w:val="009070B8"/>
    <w:rsid w:val="00913710"/>
    <w:rsid w:val="00930B0F"/>
    <w:rsid w:val="00933955"/>
    <w:rsid w:val="00941B46"/>
    <w:rsid w:val="009460C7"/>
    <w:rsid w:val="0094672B"/>
    <w:rsid w:val="00946B25"/>
    <w:rsid w:val="00947FB5"/>
    <w:rsid w:val="009545F3"/>
    <w:rsid w:val="00957898"/>
    <w:rsid w:val="009675BB"/>
    <w:rsid w:val="00981199"/>
    <w:rsid w:val="00984EC9"/>
    <w:rsid w:val="00994ADB"/>
    <w:rsid w:val="009978E0"/>
    <w:rsid w:val="009A321C"/>
    <w:rsid w:val="009A4898"/>
    <w:rsid w:val="009B28EE"/>
    <w:rsid w:val="009B5EE9"/>
    <w:rsid w:val="009C77C4"/>
    <w:rsid w:val="009E00D1"/>
    <w:rsid w:val="009E29AD"/>
    <w:rsid w:val="00A0596F"/>
    <w:rsid w:val="00A05BEE"/>
    <w:rsid w:val="00A122AD"/>
    <w:rsid w:val="00A12E5C"/>
    <w:rsid w:val="00A1342F"/>
    <w:rsid w:val="00A14E26"/>
    <w:rsid w:val="00A16919"/>
    <w:rsid w:val="00A2202B"/>
    <w:rsid w:val="00A307F8"/>
    <w:rsid w:val="00A33B1C"/>
    <w:rsid w:val="00A458CE"/>
    <w:rsid w:val="00A45D6D"/>
    <w:rsid w:val="00A47B37"/>
    <w:rsid w:val="00A47E5F"/>
    <w:rsid w:val="00A86B04"/>
    <w:rsid w:val="00A920E2"/>
    <w:rsid w:val="00A92374"/>
    <w:rsid w:val="00AA09A5"/>
    <w:rsid w:val="00AA43E2"/>
    <w:rsid w:val="00AC5EF0"/>
    <w:rsid w:val="00AC62FF"/>
    <w:rsid w:val="00AF3F9A"/>
    <w:rsid w:val="00B05729"/>
    <w:rsid w:val="00B05E21"/>
    <w:rsid w:val="00B07E38"/>
    <w:rsid w:val="00B2376A"/>
    <w:rsid w:val="00B40BF4"/>
    <w:rsid w:val="00B547FE"/>
    <w:rsid w:val="00B62068"/>
    <w:rsid w:val="00B72235"/>
    <w:rsid w:val="00B847D0"/>
    <w:rsid w:val="00B90DAA"/>
    <w:rsid w:val="00B9230D"/>
    <w:rsid w:val="00B9585C"/>
    <w:rsid w:val="00BA3BBC"/>
    <w:rsid w:val="00BA7203"/>
    <w:rsid w:val="00BA7A57"/>
    <w:rsid w:val="00BB0301"/>
    <w:rsid w:val="00BB4029"/>
    <w:rsid w:val="00BB5604"/>
    <w:rsid w:val="00BC0994"/>
    <w:rsid w:val="00BC12E6"/>
    <w:rsid w:val="00BC77EF"/>
    <w:rsid w:val="00BD0D55"/>
    <w:rsid w:val="00BE552A"/>
    <w:rsid w:val="00BE6B0A"/>
    <w:rsid w:val="00BF1C9B"/>
    <w:rsid w:val="00C061FE"/>
    <w:rsid w:val="00C067B6"/>
    <w:rsid w:val="00C515EC"/>
    <w:rsid w:val="00C61E5B"/>
    <w:rsid w:val="00C64B57"/>
    <w:rsid w:val="00C72BE5"/>
    <w:rsid w:val="00C74C57"/>
    <w:rsid w:val="00C8678C"/>
    <w:rsid w:val="00CA0C2B"/>
    <w:rsid w:val="00CA36C2"/>
    <w:rsid w:val="00CB022B"/>
    <w:rsid w:val="00CB2133"/>
    <w:rsid w:val="00CB4A25"/>
    <w:rsid w:val="00CC58EF"/>
    <w:rsid w:val="00CD06F0"/>
    <w:rsid w:val="00CF12E0"/>
    <w:rsid w:val="00D02DB6"/>
    <w:rsid w:val="00D065E5"/>
    <w:rsid w:val="00D077BC"/>
    <w:rsid w:val="00D41211"/>
    <w:rsid w:val="00D54971"/>
    <w:rsid w:val="00D64FD2"/>
    <w:rsid w:val="00D65FB5"/>
    <w:rsid w:val="00D82E5F"/>
    <w:rsid w:val="00D84F90"/>
    <w:rsid w:val="00D94F0E"/>
    <w:rsid w:val="00DB6A14"/>
    <w:rsid w:val="00DC171A"/>
    <w:rsid w:val="00DD0DDB"/>
    <w:rsid w:val="00DD1E91"/>
    <w:rsid w:val="00DD715A"/>
    <w:rsid w:val="00DE0529"/>
    <w:rsid w:val="00DF272A"/>
    <w:rsid w:val="00DF3E9D"/>
    <w:rsid w:val="00E03756"/>
    <w:rsid w:val="00E13630"/>
    <w:rsid w:val="00E1627C"/>
    <w:rsid w:val="00E1725A"/>
    <w:rsid w:val="00E260C7"/>
    <w:rsid w:val="00E27127"/>
    <w:rsid w:val="00E30F5C"/>
    <w:rsid w:val="00E31418"/>
    <w:rsid w:val="00E457BC"/>
    <w:rsid w:val="00E5020E"/>
    <w:rsid w:val="00E5558A"/>
    <w:rsid w:val="00E57D67"/>
    <w:rsid w:val="00E63157"/>
    <w:rsid w:val="00E828A0"/>
    <w:rsid w:val="00E85102"/>
    <w:rsid w:val="00E92CD3"/>
    <w:rsid w:val="00E96060"/>
    <w:rsid w:val="00EA04AD"/>
    <w:rsid w:val="00EA3AD0"/>
    <w:rsid w:val="00EA7FD7"/>
    <w:rsid w:val="00EB3123"/>
    <w:rsid w:val="00EB55B1"/>
    <w:rsid w:val="00EC2B8A"/>
    <w:rsid w:val="00ED1557"/>
    <w:rsid w:val="00ED482F"/>
    <w:rsid w:val="00ED4CB0"/>
    <w:rsid w:val="00EE3247"/>
    <w:rsid w:val="00EE4916"/>
    <w:rsid w:val="00EF1A9D"/>
    <w:rsid w:val="00EF24FF"/>
    <w:rsid w:val="00F00D7F"/>
    <w:rsid w:val="00F03866"/>
    <w:rsid w:val="00F129D2"/>
    <w:rsid w:val="00F13490"/>
    <w:rsid w:val="00F1797C"/>
    <w:rsid w:val="00F23285"/>
    <w:rsid w:val="00F27366"/>
    <w:rsid w:val="00F4073F"/>
    <w:rsid w:val="00F41E11"/>
    <w:rsid w:val="00F612A9"/>
    <w:rsid w:val="00F61EFA"/>
    <w:rsid w:val="00F91AA9"/>
    <w:rsid w:val="00FC0260"/>
    <w:rsid w:val="00FC0BBA"/>
    <w:rsid w:val="00FC2072"/>
    <w:rsid w:val="00FC5966"/>
    <w:rsid w:val="00FD0D5A"/>
    <w:rsid w:val="00FD29CC"/>
    <w:rsid w:val="00FE0B92"/>
    <w:rsid w:val="00FF0C0D"/>
    <w:rsid w:val="00FF1E2E"/>
    <w:rsid w:val="00FF61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E2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33721"/>
    <w:pPr>
      <w:spacing w:after="120" w:line="288" w:lineRule="auto"/>
    </w:pPr>
  </w:style>
  <w:style w:type="paragraph" w:styleId="Heading1">
    <w:name w:val="heading 1"/>
    <w:basedOn w:val="nospace"/>
    <w:next w:val="BodyText"/>
    <w:qFormat/>
    <w:rsid w:val="00375DA1"/>
    <w:pPr>
      <w:keepNext/>
      <w:spacing w:before="400" w:after="80"/>
      <w:outlineLvl w:val="0"/>
    </w:pPr>
    <w:rPr>
      <w:b/>
      <w:bCs/>
      <w:color w:val="2C5C86"/>
      <w:sz w:val="40"/>
      <w:szCs w:val="32"/>
    </w:rPr>
  </w:style>
  <w:style w:type="paragraph" w:styleId="Heading2">
    <w:name w:val="heading 2"/>
    <w:basedOn w:val="nospace"/>
    <w:next w:val="BodyText"/>
    <w:link w:val="Heading2Char"/>
    <w:qFormat/>
    <w:rsid w:val="008C4DCC"/>
    <w:pPr>
      <w:suppressAutoHyphens/>
      <w:autoSpaceDE w:val="0"/>
      <w:autoSpaceDN w:val="0"/>
      <w:adjustRightInd w:val="0"/>
      <w:spacing w:before="240" w:after="80"/>
      <w:textAlignment w:val="center"/>
      <w:outlineLvl w:val="1"/>
    </w:pPr>
    <w:rPr>
      <w:b/>
      <w:bCs/>
      <w:color w:val="2C5C86"/>
      <w:sz w:val="30"/>
    </w:rPr>
  </w:style>
  <w:style w:type="paragraph" w:styleId="Heading3">
    <w:name w:val="heading 3"/>
    <w:basedOn w:val="nospace"/>
    <w:next w:val="BodyText"/>
    <w:link w:val="Heading3Char"/>
    <w:qFormat/>
    <w:rsid w:val="00283350"/>
    <w:pPr>
      <w:keepNext/>
      <w:keepLines/>
      <w:spacing w:before="240" w:after="80"/>
      <w:outlineLvl w:val="2"/>
    </w:pPr>
    <w:rPr>
      <w:rFonts w:eastAsia="Times New Roman"/>
      <w:b/>
      <w:bCs/>
      <w:color w:val="2C5C86"/>
    </w:rPr>
  </w:style>
  <w:style w:type="paragraph" w:styleId="Heading4">
    <w:name w:val="heading 4"/>
    <w:basedOn w:val="Normal"/>
    <w:next w:val="Normal"/>
    <w:link w:val="Heading4Char"/>
    <w:rsid w:val="00D65FB5"/>
    <w:pPr>
      <w:keepNext/>
      <w:spacing w:before="240" w:after="60"/>
      <w:outlineLvl w:val="3"/>
    </w:pPr>
    <w:rPr>
      <w:rFonts w:eastAsia="Times New Roman"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rsid w:val="00D65FB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D65FB5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D65FB5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D65FB5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E96060"/>
    <w:pPr>
      <w:numPr>
        <w:ilvl w:val="8"/>
        <w:numId w:val="25"/>
      </w:num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DB6A14"/>
    <w:pPr>
      <w:spacing w:before="120"/>
    </w:pPr>
    <w:rPr>
      <w:b/>
      <w:iCs/>
      <w:color w:val="000000" w:themeColor="text1"/>
      <w:sz w:val="22"/>
      <w:szCs w:val="18"/>
    </w:rPr>
  </w:style>
  <w:style w:type="character" w:customStyle="1" w:styleId="Heading2Char">
    <w:name w:val="Heading 2 Char"/>
    <w:basedOn w:val="DefaultParagraphFont"/>
    <w:link w:val="Heading2"/>
    <w:rsid w:val="008C4DCC"/>
    <w:rPr>
      <w:rFonts w:cs="Arial"/>
      <w:b/>
      <w:bCs/>
      <w:color w:val="2C5C86"/>
      <w:sz w:val="30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104B99"/>
    <w:pPr>
      <w:suppressAutoHyphens/>
      <w:autoSpaceDE w:val="0"/>
      <w:autoSpaceDN w:val="0"/>
      <w:adjustRightInd w:val="0"/>
      <w:spacing w:before="200" w:after="520"/>
      <w:textAlignment w:val="center"/>
    </w:pPr>
    <w:rPr>
      <w:rFonts w:cs="Arial"/>
      <w:b/>
      <w:color w:val="403F47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04B99"/>
    <w:rPr>
      <w:rFonts w:cs="Arial"/>
      <w:b/>
      <w:color w:val="403F47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D4C4E"/>
    <w:pPr>
      <w:suppressAutoHyphens/>
      <w:autoSpaceDE w:val="0"/>
      <w:autoSpaceDN w:val="0"/>
      <w:adjustRightInd w:val="0"/>
      <w:spacing w:after="0"/>
      <w:ind w:left="1134" w:right="-289" w:hanging="1134"/>
      <w:jc w:val="right"/>
      <w:textAlignment w:val="center"/>
    </w:pPr>
    <w:rPr>
      <w:rFonts w:cs="Arial"/>
      <w:color w:val="58595B" w:themeColor="accent6"/>
      <w:sz w:val="20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D4C4E"/>
    <w:rPr>
      <w:rFonts w:cs="Arial"/>
      <w:color w:val="58595B" w:themeColor="accent6"/>
      <w:sz w:val="20"/>
      <w:szCs w:val="22"/>
      <w:lang w:val="en-GB"/>
    </w:rPr>
  </w:style>
  <w:style w:type="paragraph" w:styleId="Date">
    <w:name w:val="Date"/>
    <w:basedOn w:val="Normal"/>
    <w:next w:val="Normal"/>
    <w:link w:val="DateChar"/>
    <w:uiPriority w:val="99"/>
    <w:unhideWhenUsed/>
    <w:rsid w:val="006A4A71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5755F"/>
    <w:rPr>
      <w:rFonts w:ascii="Helvetica" w:hAnsi="Helvetica" w:cs="Helvetica-Bold"/>
      <w:b/>
      <w:bCs/>
      <w:caps/>
      <w:color w:val="FFFFFF"/>
      <w:sz w:val="20"/>
      <w:szCs w:val="20"/>
      <w:lang w:val="en-GB"/>
    </w:rPr>
  </w:style>
  <w:style w:type="paragraph" w:styleId="BodyText">
    <w:name w:val="Body Text"/>
    <w:basedOn w:val="Normal"/>
    <w:link w:val="BodyTextChar"/>
    <w:qFormat/>
    <w:rsid w:val="00CD06F0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CD06F0"/>
    <w:rPr>
      <w:rFonts w:cs="Arial"/>
    </w:rPr>
  </w:style>
  <w:style w:type="paragraph" w:customStyle="1" w:styleId="Bullet1">
    <w:name w:val="Bullet 1"/>
    <w:basedOn w:val="BodyText"/>
    <w:qFormat/>
    <w:rsid w:val="00CD06F0"/>
    <w:pPr>
      <w:numPr>
        <w:numId w:val="42"/>
      </w:numPr>
      <w:contextualSpacing/>
    </w:pPr>
  </w:style>
  <w:style w:type="paragraph" w:customStyle="1" w:styleId="Bullet2">
    <w:name w:val="Bullet 2"/>
    <w:basedOn w:val="Normal"/>
    <w:next w:val="BodyText"/>
    <w:qFormat/>
    <w:rsid w:val="00CD06F0"/>
    <w:pPr>
      <w:numPr>
        <w:numId w:val="8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860638"/>
    <w:rPr>
      <w:rFonts w:eastAsia="Times New Roman" w:cs="Arial"/>
      <w:b/>
      <w:bCs/>
      <w:color w:val="2C5C86"/>
      <w:lang w:val="en-GB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paragraph" w:customStyle="1" w:styleId="Bullet3">
    <w:name w:val="Bullet 3"/>
    <w:basedOn w:val="Normal"/>
    <w:rsid w:val="0015261A"/>
    <w:pPr>
      <w:numPr>
        <w:numId w:val="13"/>
      </w:numPr>
      <w:spacing w:after="28"/>
      <w:ind w:left="681" w:hanging="227"/>
    </w:pPr>
    <w:rPr>
      <w:rFonts w:cs="Arial"/>
    </w:r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styleId="Subtitle">
    <w:name w:val="Subtitle"/>
    <w:basedOn w:val="Normal"/>
    <w:next w:val="Normal"/>
    <w:link w:val="SubtitleChar"/>
    <w:qFormat/>
    <w:rsid w:val="00CD06F0"/>
    <w:pPr>
      <w:spacing w:after="600"/>
    </w:pPr>
    <w:rPr>
      <w:b/>
      <w:color w:val="403F47"/>
      <w:sz w:val="34"/>
      <w:szCs w:val="36"/>
      <w:lang w:eastAsia="en-AU"/>
    </w:rPr>
  </w:style>
  <w:style w:type="character" w:customStyle="1" w:styleId="SubtitleChar">
    <w:name w:val="Subtitle Char"/>
    <w:basedOn w:val="DefaultParagraphFont"/>
    <w:link w:val="Subtitle"/>
    <w:rsid w:val="00CD06F0"/>
    <w:rPr>
      <w:b/>
      <w:color w:val="403F47"/>
      <w:sz w:val="34"/>
      <w:szCs w:val="36"/>
      <w:lang w:eastAsia="en-AU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rsid w:val="00C72BE5"/>
    <w:pPr>
      <w:keepLines/>
      <w:spacing w:after="240"/>
    </w:pPr>
    <w:rPr>
      <w:rFonts w:eastAsiaTheme="majorEastAsia"/>
      <w:b/>
      <w:color w:val="2C5C86" w:themeColor="accent1"/>
      <w:sz w:val="40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066CCF"/>
    <w:pPr>
      <w:tabs>
        <w:tab w:val="left" w:pos="709"/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Normal"/>
    <w:next w:val="Normal"/>
    <w:uiPriority w:val="39"/>
    <w:rsid w:val="00CB2133"/>
    <w:pPr>
      <w:tabs>
        <w:tab w:val="left" w:pos="709"/>
        <w:tab w:val="right" w:leader="dot" w:pos="9639"/>
      </w:tabs>
      <w:spacing w:after="100"/>
      <w:ind w:left="709" w:hanging="709"/>
    </w:pPr>
    <w:rPr>
      <w:b/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E96060"/>
    <w:rPr>
      <w:rFonts w:eastAsia="Times New Roman" w:cs="Arial"/>
      <w:b/>
      <w:bCs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BC0994"/>
    <w:pPr>
      <w:spacing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character" w:customStyle="1" w:styleId="TitleChar">
    <w:name w:val="Title Char"/>
    <w:basedOn w:val="DefaultParagraphFont"/>
    <w:link w:val="Title"/>
    <w:rsid w:val="00BC0994"/>
    <w:rPr>
      <w:rFonts w:cs="Arial"/>
      <w:b/>
      <w:noProof/>
      <w:color w:val="2C5C86"/>
      <w:sz w:val="60"/>
      <w:szCs w:val="80"/>
      <w:lang w:eastAsia="en-AU"/>
    </w:rPr>
  </w:style>
  <w:style w:type="paragraph" w:styleId="TOC3">
    <w:name w:val="toc 3"/>
    <w:basedOn w:val="Normal"/>
    <w:next w:val="Normal"/>
    <w:uiPriority w:val="39"/>
    <w:rsid w:val="00CB2133"/>
    <w:pPr>
      <w:tabs>
        <w:tab w:val="left" w:pos="1276"/>
        <w:tab w:val="right" w:leader="dot" w:pos="9639"/>
      </w:tabs>
      <w:spacing w:after="100"/>
      <w:ind w:left="709" w:hanging="709"/>
    </w:pPr>
    <w:rPr>
      <w:rFonts w:eastAsiaTheme="minorEastAsia" w:cstheme="minorBidi"/>
      <w:noProof/>
      <w:color w:val="000000" w:themeColor="text1"/>
      <w:szCs w:val="22"/>
      <w:lang w:eastAsia="en-AU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uppressAutoHyphens w:val="0"/>
      <w:autoSpaceDE/>
      <w:autoSpaceDN/>
      <w:adjustRightInd/>
      <w:spacing w:before="120"/>
      <w:textAlignment w:val="auto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/>
      <w:color w:val="3B7AA5"/>
      <w:sz w:val="28"/>
      <w:lang w:val="en-GB"/>
    </w:rPr>
  </w:style>
  <w:style w:type="paragraph" w:styleId="ListParagraph">
    <w:name w:val="List Paragraph"/>
    <w:basedOn w:val="BodyText"/>
    <w:next w:val="BodyText"/>
    <w:uiPriority w:val="34"/>
    <w:qFormat/>
    <w:rsid w:val="009545F3"/>
    <w:pPr>
      <w:numPr>
        <w:numId w:val="37"/>
      </w:numPr>
      <w:contextualSpacing/>
    </w:pPr>
  </w:style>
  <w:style w:type="paragraph" w:customStyle="1" w:styleId="TableHeading">
    <w:name w:val="Table Heading"/>
    <w:basedOn w:val="Normal"/>
    <w:link w:val="TableHeadingChar"/>
    <w:rsid w:val="00584A89"/>
    <w:pPr>
      <w:spacing w:before="60" w:after="60"/>
    </w:pPr>
    <w:rPr>
      <w:rFonts w:eastAsia="Times New Roman" w:cs="Arial"/>
      <w:b/>
      <w:bCs/>
      <w:color w:val="000000" w:themeColor="text1"/>
      <w:szCs w:val="22"/>
      <w:lang w:val="en-US"/>
    </w:rPr>
  </w:style>
  <w:style w:type="character" w:customStyle="1" w:styleId="TableHeadingChar">
    <w:name w:val="Table Heading Char"/>
    <w:basedOn w:val="DefaultParagraphFont"/>
    <w:link w:val="TableHeading"/>
    <w:rsid w:val="00584A89"/>
    <w:rPr>
      <w:rFonts w:eastAsia="Times New Roman" w:cs="Arial"/>
      <w:b/>
      <w:bCs/>
      <w:color w:val="000000" w:themeColor="text1"/>
      <w:szCs w:val="22"/>
      <w:lang w:val="en-US"/>
    </w:rPr>
  </w:style>
  <w:style w:type="paragraph" w:customStyle="1" w:styleId="TypeTitle">
    <w:name w:val="Type Title"/>
    <w:basedOn w:val="Title"/>
    <w:link w:val="TypeTitleChar"/>
    <w:rsid w:val="00FC2072"/>
  </w:style>
  <w:style w:type="paragraph" w:customStyle="1" w:styleId="ControlHeading">
    <w:name w:val="Control Heading"/>
    <w:basedOn w:val="Normal"/>
    <w:link w:val="ControlHeadingChar"/>
    <w:rsid w:val="00257E1F"/>
    <w:pPr>
      <w:spacing w:before="400"/>
    </w:pPr>
    <w:rPr>
      <w:b/>
      <w:color w:val="2C5C86" w:themeColor="accent1"/>
      <w:sz w:val="40"/>
    </w:rPr>
  </w:style>
  <w:style w:type="character" w:customStyle="1" w:styleId="TypeTitleChar">
    <w:name w:val="Type Title Char"/>
    <w:basedOn w:val="TitleChar"/>
    <w:link w:val="TypeTitle"/>
    <w:rsid w:val="00FC2072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TitleChar"/>
    <w:link w:val="ControlHeading"/>
    <w:rsid w:val="00257E1F"/>
    <w:rPr>
      <w:rFonts w:cs="Arial"/>
      <w:b/>
      <w:noProof/>
      <w:color w:val="2C5C86" w:themeColor="accent1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table" w:customStyle="1" w:styleId="TableStyle">
    <w:name w:val="Table Style"/>
    <w:basedOn w:val="TableNormal"/>
    <w:uiPriority w:val="99"/>
    <w:rsid w:val="00833721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paragraph" w:customStyle="1" w:styleId="TableCaption">
    <w:name w:val="Table Caption"/>
    <w:link w:val="TableCaptionChar"/>
    <w:qFormat/>
    <w:rsid w:val="0070090B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Normal"/>
    <w:rsid w:val="00E260C7"/>
    <w:pPr>
      <w:numPr>
        <w:numId w:val="19"/>
      </w:numPr>
      <w:contextualSpacing/>
    </w:pPr>
  </w:style>
  <w:style w:type="character" w:customStyle="1" w:styleId="CaptionChar">
    <w:name w:val="Caption Char"/>
    <w:basedOn w:val="DefaultParagraphFont"/>
    <w:link w:val="Caption"/>
    <w:rsid w:val="00DB6A14"/>
    <w:rPr>
      <w:b/>
      <w:iCs/>
      <w:color w:val="000000" w:themeColor="text1"/>
      <w:sz w:val="22"/>
      <w:szCs w:val="18"/>
    </w:rPr>
  </w:style>
  <w:style w:type="character" w:customStyle="1" w:styleId="TableCaptionChar">
    <w:name w:val="Table Caption Char"/>
    <w:basedOn w:val="CaptionChar"/>
    <w:link w:val="TableCaption"/>
    <w:rsid w:val="0070090B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rsid w:val="00490E41"/>
    <w:rPr>
      <w:rFonts w:cs="Arial"/>
      <w:lang w:val="en-GB"/>
    </w:rPr>
  </w:style>
  <w:style w:type="character" w:customStyle="1" w:styleId="nospaceChar">
    <w:name w:val="no space Char"/>
    <w:basedOn w:val="BodyTextChar"/>
    <w:link w:val="nospace"/>
    <w:rsid w:val="00490E41"/>
    <w:rPr>
      <w:rFonts w:cs="Arial"/>
      <w:lang w:val="en-GB"/>
    </w:rPr>
  </w:style>
  <w:style w:type="character" w:styleId="CommentReference">
    <w:name w:val="annotation reference"/>
    <w:basedOn w:val="DefaultParagraphFont"/>
    <w:semiHidden/>
    <w:unhideWhenUsed/>
    <w:rsid w:val="00AC62F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62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62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6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62FF"/>
    <w:rPr>
      <w:b/>
      <w:bCs/>
      <w:sz w:val="20"/>
      <w:szCs w:val="20"/>
    </w:rPr>
  </w:style>
  <w:style w:type="numbering" w:customStyle="1" w:styleId="Style1">
    <w:name w:val="Style1"/>
    <w:uiPriority w:val="99"/>
    <w:rsid w:val="00833FDE"/>
    <w:pPr>
      <w:numPr>
        <w:numId w:val="36"/>
      </w:numPr>
    </w:pPr>
  </w:style>
  <w:style w:type="paragraph" w:styleId="BlockText">
    <w:name w:val="Block Text"/>
    <w:basedOn w:val="Normal"/>
    <w:uiPriority w:val="99"/>
    <w:qFormat/>
    <w:rsid w:val="00315515"/>
    <w:pPr>
      <w:pBdr>
        <w:top w:val="single" w:sz="2" w:space="10" w:color="007DBA"/>
        <w:left w:val="single" w:sz="2" w:space="10" w:color="007DBA"/>
        <w:bottom w:val="single" w:sz="2" w:space="10" w:color="007DBA"/>
        <w:right w:val="single" w:sz="2" w:space="10" w:color="007DBA"/>
      </w:pBdr>
      <w:spacing w:after="240"/>
      <w:ind w:left="227" w:right="227"/>
    </w:pPr>
    <w:rPr>
      <w:rFonts w:eastAsiaTheme="minorEastAsia" w:cstheme="minorBidi"/>
      <w:iCs/>
      <w:color w:val="3B7AA5"/>
      <w:szCs w:val="22"/>
    </w:rPr>
  </w:style>
  <w:style w:type="table" w:styleId="TableGridLight">
    <w:name w:val="Grid Table Light"/>
    <w:basedOn w:val="TableNormal"/>
    <w:uiPriority w:val="40"/>
    <w:rsid w:val="00A0596F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Custo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 Document" ma:contentTypeID="0x01010000739C5F412E4FFF9422A5756B897F2D008FB2F254CB63F24BAA7B84E69C20AACB" ma:contentTypeVersion="4" ma:contentTypeDescription="Department of Communities document" ma:contentTypeScope="" ma:versionID="ab62e6b541d0d46c3e880d50d173dec9">
  <xsd:schema xmlns:xsd="http://www.w3.org/2001/XMLSchema" xmlns:xs="http://www.w3.org/2001/XMLSchema" xmlns:p="http://schemas.microsoft.com/office/2006/metadata/properties" xmlns:ns2="e219927d-a993-4410-b48d-734d4bcf1f5b" targetNamespace="http://schemas.microsoft.com/office/2006/metadata/properties" ma:root="true" ma:fieldsID="2643f745d65a301c1b71f3769f44e356" ns2:_="">
    <xsd:import namespace="e219927d-a993-4410-b48d-734d4bcf1f5b"/>
    <xsd:element name="properties">
      <xsd:complexType>
        <xsd:sequence>
          <xsd:element name="documentManagement">
            <xsd:complexType>
              <xsd:all>
                <xsd:element ref="ns2:c97e1212f54f41a69410faab50a8975b" minOccurs="0"/>
                <xsd:element ref="ns2:TaxCatchAll" minOccurs="0"/>
                <xsd:element ref="ns2:TaxCatchAllLabel" minOccurs="0"/>
                <xsd:element ref="ns2:DOH_PublishToServicesPage" minOccurs="0"/>
                <xsd:element ref="ns2:DOH_CustodianPosit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9927d-a993-4410-b48d-734d4bcf1f5b" elementFormDefault="qualified">
    <xsd:import namespace="http://schemas.microsoft.com/office/2006/documentManagement/types"/>
    <xsd:import namespace="http://schemas.microsoft.com/office/infopath/2007/PartnerControls"/>
    <xsd:element name="c97e1212f54f41a69410faab50a8975b" ma:index="8" nillable="true" ma:taxonomy="true" ma:internalName="c97e1212f54f41a69410faab50a8975b" ma:taxonomyFieldName="DOH_Service2" ma:displayName="Service" ma:fieldId="{c97e1212-f54f-41a6-9410-faab50a8975b}" ma:taxonomyMulti="true" ma:sspId="797e278f-9f50-4af2-bc61-3ec198ebef6c" ma:termSetId="d47a7c0a-1b49-4428-b8bc-9d0e53da98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3f93e95-7e16-4bb4-ab7e-55f1de535fcf}" ma:internalName="TaxCatchAll" ma:showField="CatchAllData" ma:web="3e17ce69-1fc4-4b07-85f6-36c5e507f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3f93e95-7e16-4bb4-ab7e-55f1de535fcf}" ma:internalName="TaxCatchAllLabel" ma:readOnly="true" ma:showField="CatchAllDataLabel" ma:web="3e17ce69-1fc4-4b07-85f6-36c5e507f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H_PublishToServicesPage" ma:index="12" nillable="true" ma:displayName="Publish to Services Page" ma:default="0" ma:internalName="DOH_PublishToServicesPage">
      <xsd:simpleType>
        <xsd:restriction base="dms:Boolean"/>
      </xsd:simpleType>
    </xsd:element>
    <xsd:element name="DOH_CustodianPositionNumber" ma:index="13" nillable="true" ma:displayName="Custodian Position Number" ma:internalName="DOH_CustodianPosition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H_CustodianPositionNumber xmlns="e219927d-a993-4410-b48d-734d4bcf1f5b" xsi:nil="true"/>
    <c97e1212f54f41a69410faab50a8975b xmlns="e219927d-a993-4410-b48d-734d4bcf1f5b">
      <Terms xmlns="http://schemas.microsoft.com/office/infopath/2007/PartnerControls"/>
    </c97e1212f54f41a69410faab50a8975b>
    <DOH_PublishToServicesPage xmlns="e219927d-a993-4410-b48d-734d4bcf1f5b">false</DOH_PublishToServicesPage>
    <TaxCatchAll xmlns="e219927d-a993-4410-b48d-734d4bcf1f5b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797e278f-9f50-4af2-bc61-3ec198ebef6c" ContentTypeId="0x01010000739C5F412E4FFF9422A5756B897F2D" PreviousValue="false"/>
</file>

<file path=customXml/itemProps1.xml><?xml version="1.0" encoding="utf-8"?>
<ds:datastoreItem xmlns:ds="http://schemas.openxmlformats.org/officeDocument/2006/customXml" ds:itemID="{63C841F9-0425-451E-B3BC-7F54956FF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9927d-a993-4410-b48d-734d4bcf1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1AEC27-17CE-43C3-A7DB-C47DA4968888}">
  <ds:schemaRefs>
    <ds:schemaRef ds:uri="http://schemas.microsoft.com/office/2006/metadata/properties"/>
    <ds:schemaRef ds:uri="http://schemas.microsoft.com/office/infopath/2007/PartnerControls"/>
    <ds:schemaRef ds:uri="e219927d-a993-4410-b48d-734d4bcf1f5b"/>
  </ds:schemaRefs>
</ds:datastoreItem>
</file>

<file path=customXml/itemProps3.xml><?xml version="1.0" encoding="utf-8"?>
<ds:datastoreItem xmlns:ds="http://schemas.openxmlformats.org/officeDocument/2006/customXml" ds:itemID="{6BD7E695-AE97-45D8-9F96-5701B8280E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C87818-F588-4640-9298-2DB3E05667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0FC63C-F0BA-4B36-A400-21CE1CE809E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2249</CharactersWithSpaces>
  <SharedDoc>false</SharedDoc>
  <HyperlinkBase>www.communities.wa.gov.au/statedisabilitystrategy</HyperlinkBase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Summary</dc:title>
  <dc:subject/>
  <dc:creator/>
  <cp:keywords>State Disability Strategy</cp:keywords>
  <dc:description/>
  <cp:lastModifiedBy/>
  <cp:revision>1</cp:revision>
  <dcterms:created xsi:type="dcterms:W3CDTF">2021-05-06T03:45:00Z</dcterms:created>
  <dcterms:modified xsi:type="dcterms:W3CDTF">2021-05-06T03:57:00Z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0x01010000739C5F412E4FFF9422A5756B897F2D008FB2F254CB63F24BAA7B84E69C20AACB</vt:lpwstr>
  </property>
</Properties>
</file>