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32853" w14:textId="48D5B370" w:rsidR="00896ED4" w:rsidRDefault="00566A76" w:rsidP="004033EC">
      <w:pPr>
        <w:pStyle w:val="Heading2"/>
      </w:pPr>
      <w:bookmarkStart w:id="0" w:name="_GoBack"/>
      <w:bookmarkEnd w:id="0"/>
      <w:r>
        <w:t>Situational Analysis to Inform Cloud T</w:t>
      </w:r>
      <w:r w:rsidR="009A71B3" w:rsidRPr="009A71B3">
        <w:t>ransition</w:t>
      </w:r>
    </w:p>
    <w:p w14:paraId="6933405E" w14:textId="6E394869" w:rsidR="00566A76" w:rsidRPr="00566A76" w:rsidRDefault="00566A76" w:rsidP="00566A76">
      <w:pPr>
        <w:pStyle w:val="Heading2"/>
      </w:pPr>
      <w:r>
        <w:t>Cloud Policy Fact Sheet 3.1</w:t>
      </w:r>
    </w:p>
    <w:p w14:paraId="3AA04269" w14:textId="77277813" w:rsidR="00AB26FA" w:rsidRDefault="00A20578" w:rsidP="0012621F">
      <w:pPr>
        <w:jc w:val="both"/>
      </w:pPr>
      <w:r>
        <w:t xml:space="preserve">When planning </w:t>
      </w:r>
      <w:r w:rsidR="00661654">
        <w:t>transition</w:t>
      </w:r>
      <w:r>
        <w:t xml:space="preserve"> </w:t>
      </w:r>
      <w:r w:rsidR="00661654">
        <w:t xml:space="preserve">to </w:t>
      </w:r>
      <w:r>
        <w:t xml:space="preserve">the </w:t>
      </w:r>
      <w:r w:rsidR="009A71B3">
        <w:t>c</w:t>
      </w:r>
      <w:r w:rsidR="00661654">
        <w:t>loud</w:t>
      </w:r>
      <w:r w:rsidR="00922300">
        <w:t>,</w:t>
      </w:r>
      <w:r w:rsidR="00AB26FA" w:rsidRPr="00AB26FA">
        <w:t xml:space="preserve"> </w:t>
      </w:r>
      <w:r>
        <w:t>it is</w:t>
      </w:r>
      <w:r w:rsidR="00AB26FA">
        <w:t xml:space="preserve"> essential</w:t>
      </w:r>
      <w:r>
        <w:t xml:space="preserve"> you</w:t>
      </w:r>
      <w:r w:rsidR="00AB26FA">
        <w:t xml:space="preserve"> understand your agency’s current </w:t>
      </w:r>
      <w:r w:rsidR="007E32ED">
        <w:t>situation</w:t>
      </w:r>
      <w:r w:rsidR="00AB26FA">
        <w:t>.</w:t>
      </w:r>
      <w:r w:rsidR="009A71B3">
        <w:t xml:space="preserve"> </w:t>
      </w:r>
      <w:r>
        <w:t xml:space="preserve"> </w:t>
      </w:r>
      <w:r w:rsidR="001E7979">
        <w:t>Identifying how information is stored and used and the maturity of internal policies</w:t>
      </w:r>
      <w:r>
        <w:t xml:space="preserve"> will</w:t>
      </w:r>
      <w:r w:rsidR="00F758C8">
        <w:t xml:space="preserve"> assist </w:t>
      </w:r>
      <w:r w:rsidR="002210C1">
        <w:t>your</w:t>
      </w:r>
      <w:r w:rsidR="00F758C8">
        <w:t xml:space="preserve"> planning process.</w:t>
      </w:r>
      <w:r w:rsidR="009A71B3">
        <w:t xml:space="preserve"> </w:t>
      </w:r>
      <w:r w:rsidR="00F758C8">
        <w:t xml:space="preserve"> Performing this analysis will</w:t>
      </w:r>
      <w:r w:rsidR="001E7979">
        <w:t xml:space="preserve"> align the </w:t>
      </w:r>
      <w:r w:rsidR="00AA757F">
        <w:t>transition</w:t>
      </w:r>
      <w:r w:rsidR="009A71B3">
        <w:t xml:space="preserve"> to c</w:t>
      </w:r>
      <w:r w:rsidR="001E7979">
        <w:t xml:space="preserve">loud with your business strategy and </w:t>
      </w:r>
      <w:r w:rsidR="00F758C8">
        <w:t xml:space="preserve">ensure </w:t>
      </w:r>
      <w:r w:rsidR="009A71B3">
        <w:t>c</w:t>
      </w:r>
      <w:r w:rsidR="00F758C8">
        <w:t>loud products</w:t>
      </w:r>
      <w:r>
        <w:t xml:space="preserve"> and services</w:t>
      </w:r>
      <w:r w:rsidR="00F758C8">
        <w:t xml:space="preserve"> are</w:t>
      </w:r>
      <w:r w:rsidR="00922300">
        <w:t xml:space="preserve"> a</w:t>
      </w:r>
      <w:r w:rsidR="00AB26FA">
        <w:t xml:space="preserve"> fit for</w:t>
      </w:r>
      <w:r w:rsidR="002210C1">
        <w:t xml:space="preserve"> your agency’s</w:t>
      </w:r>
      <w:r w:rsidR="00922300">
        <w:t xml:space="preserve"> purpose</w:t>
      </w:r>
      <w:r w:rsidR="002210C1">
        <w:t>s</w:t>
      </w:r>
      <w:r w:rsidR="00AB26FA">
        <w:t>.</w:t>
      </w:r>
    </w:p>
    <w:p w14:paraId="1918C0A7" w14:textId="27726314" w:rsidR="00896ED4" w:rsidRPr="007E4618" w:rsidRDefault="00913A00" w:rsidP="0012621F">
      <w:pPr>
        <w:pStyle w:val="Heading2"/>
        <w:jc w:val="both"/>
      </w:pPr>
      <w:r>
        <w:t>Objective</w:t>
      </w:r>
    </w:p>
    <w:p w14:paraId="65A37CFD" w14:textId="3717DC7C" w:rsidR="00896ED4" w:rsidRPr="004033EC" w:rsidRDefault="00896ED4" w:rsidP="0012621F">
      <w:pPr>
        <w:jc w:val="both"/>
        <w:rPr>
          <w:b/>
        </w:rPr>
      </w:pPr>
      <w:r w:rsidRPr="004033EC">
        <w:rPr>
          <w:b/>
        </w:rPr>
        <w:t>Assess your agency’s workloads</w:t>
      </w:r>
      <w:r w:rsidR="00C603B4" w:rsidRPr="004033EC">
        <w:rPr>
          <w:b/>
        </w:rPr>
        <w:t xml:space="preserve"> and maturity of existing policies and systems</w:t>
      </w:r>
      <w:r w:rsidRPr="004033EC">
        <w:rPr>
          <w:b/>
        </w:rPr>
        <w:t>.</w:t>
      </w:r>
    </w:p>
    <w:p w14:paraId="4BFEEA33" w14:textId="7C0D339B" w:rsidR="00896ED4" w:rsidRDefault="007D12F9" w:rsidP="0012621F">
      <w:pPr>
        <w:pStyle w:val="Heading2"/>
        <w:jc w:val="both"/>
      </w:pPr>
      <w:r>
        <w:t>Process</w:t>
      </w:r>
    </w:p>
    <w:p w14:paraId="0D6B7CC6" w14:textId="1DDE5D69" w:rsidR="003A3FA0" w:rsidRPr="00AA757F" w:rsidRDefault="00C603B4" w:rsidP="0012621F">
      <w:pPr>
        <w:jc w:val="both"/>
      </w:pPr>
      <w:r w:rsidRPr="00AA757F">
        <w:t xml:space="preserve">To plan for your </w:t>
      </w:r>
      <w:r w:rsidR="000E07DF" w:rsidRPr="00AA757F">
        <w:t xml:space="preserve">agency’s </w:t>
      </w:r>
      <w:r w:rsidR="009A71B3">
        <w:t>c</w:t>
      </w:r>
      <w:r w:rsidRPr="00AA757F">
        <w:t xml:space="preserve">loud </w:t>
      </w:r>
      <w:r w:rsidR="00800F3F">
        <w:t>transformation</w:t>
      </w:r>
      <w:r w:rsidRPr="00AA757F">
        <w:t>, you</w:t>
      </w:r>
      <w:r w:rsidR="00AA757F">
        <w:t xml:space="preserve"> </w:t>
      </w:r>
      <w:r w:rsidR="00DB5980" w:rsidRPr="00AA757F">
        <w:t xml:space="preserve">will </w:t>
      </w:r>
      <w:r w:rsidRPr="00AA757F">
        <w:t>need to gain an understanding of</w:t>
      </w:r>
      <w:r w:rsidR="004B2E74" w:rsidRPr="00AA757F">
        <w:t xml:space="preserve"> where you are starting from to </w:t>
      </w:r>
      <w:r w:rsidR="00DB5980" w:rsidRPr="00AA757F">
        <w:t>inform</w:t>
      </w:r>
      <w:r w:rsidR="004B2E74" w:rsidRPr="00AA757F">
        <w:t xml:space="preserve"> </w:t>
      </w:r>
      <w:r w:rsidR="00755852" w:rsidRPr="00AA757F">
        <w:t>the</w:t>
      </w:r>
      <w:r w:rsidR="004B2E74" w:rsidRPr="00AA757F">
        <w:t xml:space="preserve"> planning process, address any gaps </w:t>
      </w:r>
      <w:r w:rsidR="00DB5980" w:rsidRPr="00AA757F">
        <w:t xml:space="preserve">and </w:t>
      </w:r>
      <w:r w:rsidR="00922300" w:rsidRPr="00AA757F">
        <w:t>determine your agency’s needs</w:t>
      </w:r>
      <w:r w:rsidR="004B2E74" w:rsidRPr="00AA757F">
        <w:t xml:space="preserve">. </w:t>
      </w:r>
      <w:r w:rsidR="00EA6471">
        <w:t xml:space="preserve"> </w:t>
      </w:r>
      <w:r w:rsidR="004B2E74" w:rsidRPr="00AA757F">
        <w:t>Your assessment should consider</w:t>
      </w:r>
      <w:r w:rsidR="00EA6471">
        <w:t xml:space="preserve"> the following issues.</w:t>
      </w:r>
    </w:p>
    <w:p w14:paraId="03C193D4" w14:textId="593D4073" w:rsidR="005729EE" w:rsidRPr="004033EC" w:rsidRDefault="005729EE" w:rsidP="0012621F">
      <w:pPr>
        <w:jc w:val="both"/>
        <w:rPr>
          <w:i/>
        </w:rPr>
      </w:pPr>
      <w:r w:rsidRPr="004033EC">
        <w:rPr>
          <w:i/>
        </w:rPr>
        <w:t>How does the</w:t>
      </w:r>
      <w:r w:rsidR="00800F3F" w:rsidRPr="004033EC">
        <w:rPr>
          <w:i/>
        </w:rPr>
        <w:t xml:space="preserve"> transition</w:t>
      </w:r>
      <w:r w:rsidR="00EA6471" w:rsidRPr="004033EC">
        <w:rPr>
          <w:i/>
        </w:rPr>
        <w:t xml:space="preserve"> align with your</w:t>
      </w:r>
      <w:r w:rsidRPr="004033EC">
        <w:rPr>
          <w:i/>
        </w:rPr>
        <w:t xml:space="preserve"> agency’s purpose and objectives?</w:t>
      </w:r>
    </w:p>
    <w:p w14:paraId="3450D3E1" w14:textId="45C1F7AA" w:rsidR="005729EE" w:rsidRPr="004033EC" w:rsidRDefault="005729EE" w:rsidP="0012621F">
      <w:pPr>
        <w:jc w:val="both"/>
      </w:pPr>
      <w:r w:rsidRPr="00AA757F">
        <w:t xml:space="preserve">To successfully </w:t>
      </w:r>
      <w:r w:rsidR="00800F3F">
        <w:t>transition</w:t>
      </w:r>
      <w:r w:rsidR="00800F3F" w:rsidRPr="00AA757F">
        <w:t xml:space="preserve"> </w:t>
      </w:r>
      <w:r w:rsidR="009A71B3">
        <w:t>to c</w:t>
      </w:r>
      <w:r w:rsidRPr="00AA757F">
        <w:t>loud, business managers need</w:t>
      </w:r>
      <w:r w:rsidR="00AA757F">
        <w:t xml:space="preserve"> to drive and</w:t>
      </w:r>
      <w:r w:rsidRPr="00AA757F">
        <w:t xml:space="preserve"> support the </w:t>
      </w:r>
      <w:r w:rsidRPr="004033EC">
        <w:t xml:space="preserve">transition </w:t>
      </w:r>
      <w:r w:rsidR="00800F3F" w:rsidRPr="004033EC">
        <w:t xml:space="preserve">by </w:t>
      </w:r>
      <w:r w:rsidRPr="004033EC">
        <w:t>develop</w:t>
      </w:r>
      <w:r w:rsidR="00800F3F" w:rsidRPr="004033EC">
        <w:t>ing</w:t>
      </w:r>
      <w:r w:rsidRPr="004033EC">
        <w:t xml:space="preserve"> </w:t>
      </w:r>
      <w:r w:rsidR="00800F3F" w:rsidRPr="004033EC">
        <w:t xml:space="preserve">policies that </w:t>
      </w:r>
      <w:r w:rsidR="009A71B3" w:rsidRPr="004033EC">
        <w:t>inform and allow ICT to enable c</w:t>
      </w:r>
      <w:r w:rsidR="00800F3F" w:rsidRPr="004033EC">
        <w:t>loud transformation.</w:t>
      </w:r>
      <w:r w:rsidR="00755852" w:rsidRPr="004033EC">
        <w:t xml:space="preserve">  </w:t>
      </w:r>
    </w:p>
    <w:p w14:paraId="1BDD2A7E" w14:textId="76B2529E" w:rsidR="005729EE" w:rsidRPr="004033EC" w:rsidRDefault="005729EE" w:rsidP="0012621F">
      <w:pPr>
        <w:pStyle w:val="ListParagraph"/>
        <w:numPr>
          <w:ilvl w:val="0"/>
          <w:numId w:val="3"/>
        </w:numPr>
        <w:tabs>
          <w:tab w:val="left" w:pos="1230"/>
        </w:tabs>
        <w:spacing w:before="120" w:after="120"/>
        <w:ind w:left="714" w:hanging="357"/>
        <w:contextualSpacing w:val="0"/>
        <w:jc w:val="both"/>
      </w:pPr>
      <w:r w:rsidRPr="004033EC">
        <w:t>What are the business priorities for your agency?</w:t>
      </w:r>
      <w:r w:rsidR="00EA6471" w:rsidRPr="004033EC">
        <w:t xml:space="preserve"> </w:t>
      </w:r>
      <w:r w:rsidRPr="004033EC">
        <w:t xml:space="preserve"> Define the desired business outcomes and align the </w:t>
      </w:r>
      <w:r w:rsidR="00800F3F" w:rsidRPr="004033EC">
        <w:t xml:space="preserve">transition </w:t>
      </w:r>
      <w:r w:rsidR="009A71B3" w:rsidRPr="004033EC">
        <w:t>to the c</w:t>
      </w:r>
      <w:r w:rsidRPr="004033EC">
        <w:t>loud workload with your business strategy.</w:t>
      </w:r>
    </w:p>
    <w:p w14:paraId="0EB3EFC1" w14:textId="63EDB814" w:rsidR="005729EE" w:rsidRPr="004033EC" w:rsidRDefault="005729EE" w:rsidP="0012621F">
      <w:pPr>
        <w:pStyle w:val="ListParagraph"/>
        <w:numPr>
          <w:ilvl w:val="0"/>
          <w:numId w:val="3"/>
        </w:numPr>
        <w:tabs>
          <w:tab w:val="left" w:pos="1230"/>
        </w:tabs>
        <w:spacing w:before="120" w:after="120"/>
        <w:ind w:left="714" w:hanging="357"/>
        <w:contextualSpacing w:val="0"/>
        <w:jc w:val="both"/>
      </w:pPr>
      <w:r w:rsidRPr="004033EC">
        <w:t>Are there existing internal policies which address ICT</w:t>
      </w:r>
      <w:r w:rsidR="000E07DF" w:rsidRPr="004033EC">
        <w:t xml:space="preserve"> procurement</w:t>
      </w:r>
      <w:r w:rsidRPr="004033EC">
        <w:t xml:space="preserve">? </w:t>
      </w:r>
      <w:r w:rsidR="00EA6471" w:rsidRPr="004033EC">
        <w:t xml:space="preserve"> Are current policies </w:t>
      </w:r>
      <w:r w:rsidRPr="004033EC">
        <w:t>adaptive and flexible to allow for the</w:t>
      </w:r>
      <w:r w:rsidR="009A71B3" w:rsidRPr="004033EC">
        <w:t xml:space="preserve"> agency’s needs when procuring c</w:t>
      </w:r>
      <w:r w:rsidRPr="004033EC">
        <w:t>loud services.</w:t>
      </w:r>
    </w:p>
    <w:p w14:paraId="280179A2" w14:textId="4D5FDBC6" w:rsidR="005729EE" w:rsidRPr="004033EC" w:rsidRDefault="004324E4" w:rsidP="0012621F">
      <w:pPr>
        <w:pStyle w:val="ListParagraph"/>
        <w:numPr>
          <w:ilvl w:val="0"/>
          <w:numId w:val="2"/>
        </w:numPr>
        <w:tabs>
          <w:tab w:val="left" w:pos="1230"/>
        </w:tabs>
        <w:spacing w:before="120" w:after="120"/>
        <w:ind w:left="714" w:hanging="357"/>
        <w:contextualSpacing w:val="0"/>
        <w:jc w:val="both"/>
      </w:pPr>
      <w:r w:rsidRPr="004033EC">
        <w:t xml:space="preserve">Capability </w:t>
      </w:r>
      <w:r w:rsidR="005729EE" w:rsidRPr="004033EC">
        <w:t>of internal systems and polices to guide migration– which supporting functions within your agency need to lift their maturity to support adopting public cloud services</w:t>
      </w:r>
      <w:r w:rsidRPr="004033EC">
        <w:t>,</w:t>
      </w:r>
      <w:r w:rsidR="005729EE" w:rsidRPr="004033EC">
        <w:t xml:space="preserve"> in particular data classification, disaster recovery and digital security.</w:t>
      </w:r>
    </w:p>
    <w:p w14:paraId="5BA4105F" w14:textId="31BBB5D4" w:rsidR="005729EE" w:rsidRPr="004033EC" w:rsidRDefault="009A71B3" w:rsidP="0012621F">
      <w:pPr>
        <w:pStyle w:val="ListParagraph"/>
        <w:numPr>
          <w:ilvl w:val="0"/>
          <w:numId w:val="3"/>
        </w:numPr>
        <w:tabs>
          <w:tab w:val="left" w:pos="1230"/>
        </w:tabs>
        <w:spacing w:before="120" w:after="120"/>
        <w:ind w:left="714" w:hanging="357"/>
        <w:contextualSpacing w:val="0"/>
        <w:jc w:val="both"/>
        <w:rPr>
          <w:i/>
        </w:rPr>
      </w:pPr>
      <w:r w:rsidRPr="004033EC">
        <w:t>Is c</w:t>
      </w:r>
      <w:r w:rsidR="005729EE" w:rsidRPr="004033EC">
        <w:t xml:space="preserve">loud </w:t>
      </w:r>
      <w:r w:rsidR="00D249BD" w:rsidRPr="004033EC">
        <w:t>transition</w:t>
      </w:r>
      <w:r w:rsidR="005729EE" w:rsidRPr="004033EC">
        <w:t xml:space="preserve"> reflected in your ICT budget and is it flexible to allow for unexpected costs?</w:t>
      </w:r>
      <w:r w:rsidR="00EA6471" w:rsidRPr="004033EC">
        <w:t xml:space="preserve"> </w:t>
      </w:r>
      <w:r w:rsidR="00D9790E" w:rsidRPr="004033EC">
        <w:t xml:space="preserve"> If not, how can this be accommodated?</w:t>
      </w:r>
    </w:p>
    <w:p w14:paraId="484A5302" w14:textId="15CD6F5F" w:rsidR="00755852" w:rsidRPr="004033EC" w:rsidRDefault="00755852" w:rsidP="0012621F">
      <w:pPr>
        <w:pStyle w:val="ListParagraph"/>
        <w:numPr>
          <w:ilvl w:val="0"/>
          <w:numId w:val="3"/>
        </w:numPr>
        <w:tabs>
          <w:tab w:val="left" w:pos="1230"/>
        </w:tabs>
        <w:spacing w:before="120" w:after="120"/>
        <w:ind w:left="714" w:hanging="357"/>
        <w:contextualSpacing w:val="0"/>
        <w:jc w:val="both"/>
        <w:rPr>
          <w:i/>
        </w:rPr>
      </w:pPr>
      <w:r w:rsidRPr="004033EC">
        <w:t xml:space="preserve">Are there potential savings for your agency that </w:t>
      </w:r>
      <w:r w:rsidR="009A71B3" w:rsidRPr="004033EC">
        <w:t>will result from moving to the c</w:t>
      </w:r>
      <w:r w:rsidRPr="004033EC">
        <w:t>loud? Capturing the current costs and estimating future savings is important for your business planning and ongoing reporting.</w:t>
      </w:r>
    </w:p>
    <w:p w14:paraId="6F9E6E06" w14:textId="721089BD" w:rsidR="003A3FA0" w:rsidRPr="004033EC" w:rsidRDefault="003A3FA0" w:rsidP="0012621F">
      <w:pPr>
        <w:jc w:val="both"/>
        <w:rPr>
          <w:i/>
        </w:rPr>
      </w:pPr>
      <w:r w:rsidRPr="004033EC">
        <w:rPr>
          <w:i/>
        </w:rPr>
        <w:t xml:space="preserve">Where is </w:t>
      </w:r>
      <w:r w:rsidR="00C603B4" w:rsidRPr="004033EC">
        <w:rPr>
          <w:i/>
        </w:rPr>
        <w:t xml:space="preserve">your </w:t>
      </w:r>
      <w:r w:rsidRPr="004033EC">
        <w:rPr>
          <w:i/>
        </w:rPr>
        <w:t>data stored</w:t>
      </w:r>
      <w:r w:rsidR="00D249BD" w:rsidRPr="004033EC">
        <w:rPr>
          <w:i/>
        </w:rPr>
        <w:t xml:space="preserve"> and how is it managed</w:t>
      </w:r>
      <w:r w:rsidRPr="004033EC">
        <w:rPr>
          <w:i/>
        </w:rPr>
        <w:t>?</w:t>
      </w:r>
    </w:p>
    <w:p w14:paraId="513E96B7" w14:textId="47BC9B3F" w:rsidR="00D249BD" w:rsidRPr="004033EC" w:rsidRDefault="00D249BD" w:rsidP="0012621F">
      <w:pPr>
        <w:pStyle w:val="ListParagraph"/>
        <w:numPr>
          <w:ilvl w:val="0"/>
          <w:numId w:val="8"/>
        </w:numPr>
        <w:tabs>
          <w:tab w:val="left" w:pos="1230"/>
        </w:tabs>
        <w:spacing w:before="120" w:after="120"/>
        <w:ind w:left="714" w:hanging="357"/>
        <w:contextualSpacing w:val="0"/>
        <w:jc w:val="both"/>
        <w:rPr>
          <w:szCs w:val="23"/>
        </w:rPr>
      </w:pPr>
      <w:r w:rsidRPr="004033EC">
        <w:rPr>
          <w:szCs w:val="23"/>
        </w:rPr>
        <w:t>What internal policies determine how your data is managed, is there a data management policy?</w:t>
      </w:r>
    </w:p>
    <w:p w14:paraId="2BEFE1EE" w14:textId="30553E2A" w:rsidR="003A3FA0" w:rsidRPr="004033EC" w:rsidRDefault="00236BC6" w:rsidP="0012621F">
      <w:pPr>
        <w:pStyle w:val="ListParagraph"/>
        <w:numPr>
          <w:ilvl w:val="0"/>
          <w:numId w:val="8"/>
        </w:numPr>
        <w:tabs>
          <w:tab w:val="left" w:pos="1230"/>
        </w:tabs>
        <w:spacing w:before="120" w:after="120"/>
        <w:ind w:left="714" w:hanging="357"/>
        <w:contextualSpacing w:val="0"/>
        <w:jc w:val="both"/>
        <w:rPr>
          <w:szCs w:val="23"/>
        </w:rPr>
      </w:pPr>
      <w:r w:rsidRPr="004033EC">
        <w:rPr>
          <w:szCs w:val="23"/>
        </w:rPr>
        <w:t>What is the current level of storage you are using and what types of storage do you use?</w:t>
      </w:r>
    </w:p>
    <w:p w14:paraId="520B2A94" w14:textId="2A4259B5" w:rsidR="00755852" w:rsidRPr="004033EC" w:rsidRDefault="00755852" w:rsidP="0012621F">
      <w:pPr>
        <w:pStyle w:val="ListParagraph"/>
        <w:numPr>
          <w:ilvl w:val="0"/>
          <w:numId w:val="8"/>
        </w:numPr>
        <w:tabs>
          <w:tab w:val="left" w:pos="1230"/>
        </w:tabs>
        <w:spacing w:before="120" w:after="120"/>
        <w:ind w:left="714" w:hanging="357"/>
        <w:contextualSpacing w:val="0"/>
        <w:jc w:val="both"/>
        <w:rPr>
          <w:szCs w:val="23"/>
        </w:rPr>
      </w:pPr>
      <w:r w:rsidRPr="004033EC">
        <w:rPr>
          <w:szCs w:val="23"/>
        </w:rPr>
        <w:t xml:space="preserve">What are the costs associated with your data centres and servers? </w:t>
      </w:r>
    </w:p>
    <w:p w14:paraId="4AEA12F4" w14:textId="77777777" w:rsidR="00236BC6" w:rsidRPr="004033EC" w:rsidRDefault="00236BC6" w:rsidP="0012621F">
      <w:pPr>
        <w:pStyle w:val="ListParagraph"/>
        <w:numPr>
          <w:ilvl w:val="0"/>
          <w:numId w:val="8"/>
        </w:numPr>
        <w:tabs>
          <w:tab w:val="left" w:pos="1230"/>
        </w:tabs>
        <w:spacing w:before="120" w:after="120"/>
        <w:ind w:left="714" w:hanging="357"/>
        <w:contextualSpacing w:val="0"/>
        <w:jc w:val="both"/>
        <w:rPr>
          <w:szCs w:val="23"/>
        </w:rPr>
      </w:pPr>
      <w:r w:rsidRPr="004033EC">
        <w:rPr>
          <w:szCs w:val="23"/>
        </w:rPr>
        <w:t>How much data do you create and store on a daily, monthly, and yearly basis, and how fast is that growing?</w:t>
      </w:r>
    </w:p>
    <w:p w14:paraId="367EC0E6" w14:textId="77777777" w:rsidR="00D249BD" w:rsidRPr="004033EC" w:rsidRDefault="00236BC6" w:rsidP="0012621F">
      <w:pPr>
        <w:pStyle w:val="ListParagraph"/>
        <w:numPr>
          <w:ilvl w:val="0"/>
          <w:numId w:val="8"/>
        </w:numPr>
        <w:tabs>
          <w:tab w:val="left" w:pos="1230"/>
        </w:tabs>
        <w:spacing w:before="120" w:after="120"/>
        <w:ind w:left="714" w:hanging="357"/>
        <w:contextualSpacing w:val="0"/>
        <w:jc w:val="both"/>
        <w:rPr>
          <w:szCs w:val="23"/>
        </w:rPr>
        <w:sectPr w:rsidR="00D249BD" w:rsidRPr="004033EC" w:rsidSect="004033EC">
          <w:headerReference w:type="default" r:id="rId8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  <w:r w:rsidRPr="004033EC">
        <w:rPr>
          <w:szCs w:val="23"/>
        </w:rPr>
        <w:t>What kind of databases do you</w:t>
      </w:r>
      <w:r w:rsidR="00C603B4" w:rsidRPr="004033EC">
        <w:rPr>
          <w:szCs w:val="23"/>
        </w:rPr>
        <w:t xml:space="preserve"> currently</w:t>
      </w:r>
      <w:r w:rsidRPr="004033EC">
        <w:rPr>
          <w:szCs w:val="23"/>
        </w:rPr>
        <w:t xml:space="preserve"> employ?</w:t>
      </w:r>
    </w:p>
    <w:p w14:paraId="22586B9A" w14:textId="2B0FF3AE" w:rsidR="003A3FA0" w:rsidRPr="004033EC" w:rsidRDefault="003A3FA0" w:rsidP="0012621F">
      <w:pPr>
        <w:jc w:val="both"/>
        <w:rPr>
          <w:i/>
        </w:rPr>
      </w:pPr>
      <w:r w:rsidRPr="004033EC">
        <w:rPr>
          <w:i/>
        </w:rPr>
        <w:lastRenderedPageBreak/>
        <w:t>W</w:t>
      </w:r>
      <w:r w:rsidR="00FC0D2A" w:rsidRPr="004033EC">
        <w:rPr>
          <w:i/>
        </w:rPr>
        <w:t xml:space="preserve">hat </w:t>
      </w:r>
      <w:r w:rsidR="008C2965" w:rsidRPr="004033EC">
        <w:rPr>
          <w:i/>
        </w:rPr>
        <w:t xml:space="preserve">processes are used for </w:t>
      </w:r>
      <w:r w:rsidR="00FC0D2A" w:rsidRPr="004033EC">
        <w:rPr>
          <w:i/>
        </w:rPr>
        <w:t>classification of your</w:t>
      </w:r>
      <w:r w:rsidRPr="004033EC">
        <w:rPr>
          <w:i/>
        </w:rPr>
        <w:t xml:space="preserve"> data?</w:t>
      </w:r>
    </w:p>
    <w:p w14:paraId="2945EE1F" w14:textId="18D5BC5D" w:rsidR="00744BC5" w:rsidRDefault="00744BC5" w:rsidP="0012621F">
      <w:pPr>
        <w:jc w:val="both"/>
      </w:pPr>
      <w:r w:rsidRPr="00744BC5">
        <w:t xml:space="preserve">Understanding the classification of your data is vital as the suitability </w:t>
      </w:r>
      <w:r w:rsidR="00EA6471">
        <w:t>of certain cloud providers</w:t>
      </w:r>
      <w:r w:rsidRPr="00744BC5">
        <w:t xml:space="preserve"> is dependent on how the data is classified</w:t>
      </w:r>
      <w:r>
        <w:t>.</w:t>
      </w:r>
      <w:r w:rsidRPr="00744BC5">
        <w:t xml:space="preserve"> </w:t>
      </w:r>
      <w:r>
        <w:t xml:space="preserve"> Sensitive and classified data may be subject to privacy and data sovereignty laws which will determine how and where the data can be stored. </w:t>
      </w:r>
      <w:r w:rsidR="00EA6471">
        <w:t xml:space="preserve"> </w:t>
      </w:r>
      <w:r>
        <w:t xml:space="preserve">See the </w:t>
      </w:r>
      <w:r w:rsidR="00EA6471">
        <w:t>“</w:t>
      </w:r>
      <w:r w:rsidR="00EA6471" w:rsidRPr="00EA6471">
        <w:t>WA Government Data Offshoring position and guidance</w:t>
      </w:r>
      <w:r w:rsidR="00EA6471">
        <w:t>” fact sheet for further information.</w:t>
      </w:r>
    </w:p>
    <w:p w14:paraId="7DCB2DE5" w14:textId="4A272E9A" w:rsidR="0034493F" w:rsidRPr="004033EC" w:rsidRDefault="0034493F" w:rsidP="0012621F">
      <w:pPr>
        <w:jc w:val="both"/>
        <w:rPr>
          <w:i/>
        </w:rPr>
      </w:pPr>
      <w:r w:rsidRPr="004033EC">
        <w:rPr>
          <w:i/>
        </w:rPr>
        <w:t>Disaster Recovery</w:t>
      </w:r>
    </w:p>
    <w:p w14:paraId="5AFC8D14" w14:textId="11E2F61C" w:rsidR="009272EB" w:rsidRPr="00800F3F" w:rsidRDefault="005C1DD9" w:rsidP="0012621F">
      <w:pPr>
        <w:jc w:val="both"/>
      </w:pPr>
      <w:r w:rsidRPr="00800F3F">
        <w:t>Citizens expect Government to continue delivering services and products despite disruptive events</w:t>
      </w:r>
      <w:r w:rsidR="009272EB" w:rsidRPr="00800F3F">
        <w:t>.</w:t>
      </w:r>
      <w:r w:rsidRPr="00800F3F">
        <w:t xml:space="preserve"> </w:t>
      </w:r>
      <w:r w:rsidR="00EA6471">
        <w:t xml:space="preserve"> </w:t>
      </w:r>
      <w:r w:rsidR="009272EB" w:rsidRPr="00800F3F">
        <w:t>M</w:t>
      </w:r>
      <w:r w:rsidRPr="00800F3F">
        <w:t>eeting this expectation is an essential capability of Government</w:t>
      </w:r>
      <w:r w:rsidR="00EA6471">
        <w:t xml:space="preserve"> which does not diminish through the </w:t>
      </w:r>
      <w:r w:rsidR="00800F3F">
        <w:t>transition</w:t>
      </w:r>
      <w:r w:rsidR="009A71B3">
        <w:t xml:space="preserve"> to the c</w:t>
      </w:r>
      <w:r w:rsidR="009272EB" w:rsidRPr="00800F3F">
        <w:t>loud</w:t>
      </w:r>
      <w:r w:rsidRPr="00800F3F">
        <w:t xml:space="preserve">. </w:t>
      </w:r>
    </w:p>
    <w:p w14:paraId="58454573" w14:textId="586F06CC" w:rsidR="005C1DD9" w:rsidRPr="00800F3F" w:rsidRDefault="009272EB" w:rsidP="0012621F">
      <w:pPr>
        <w:jc w:val="both"/>
      </w:pPr>
      <w:r w:rsidRPr="00800F3F">
        <w:t>D</w:t>
      </w:r>
      <w:r w:rsidR="00DB5980" w:rsidRPr="00800F3F">
        <w:t>isaster recovery plan</w:t>
      </w:r>
      <w:r w:rsidRPr="00800F3F">
        <w:t>ning</w:t>
      </w:r>
      <w:r w:rsidR="00DB5980" w:rsidRPr="00800F3F">
        <w:t xml:space="preserve"> </w:t>
      </w:r>
      <w:r w:rsidR="00556586" w:rsidRPr="00800F3F">
        <w:t xml:space="preserve">provides a platform to ensure your agency’s </w:t>
      </w:r>
      <w:r w:rsidR="0034493F" w:rsidRPr="00800F3F">
        <w:t>critical business</w:t>
      </w:r>
      <w:r w:rsidR="00556586" w:rsidRPr="00800F3F">
        <w:t xml:space="preserve"> functions</w:t>
      </w:r>
      <w:r w:rsidR="0034493F" w:rsidRPr="00800F3F">
        <w:t xml:space="preserve"> and services are maintained with minimal interruption</w:t>
      </w:r>
      <w:r w:rsidR="005C1DD9" w:rsidRPr="00800F3F">
        <w:t xml:space="preserve">. </w:t>
      </w:r>
    </w:p>
    <w:p w14:paraId="6655F3E4" w14:textId="2A622838" w:rsidR="002033F6" w:rsidRPr="00AA757F" w:rsidRDefault="002033F6" w:rsidP="0012621F">
      <w:pPr>
        <w:jc w:val="both"/>
      </w:pPr>
      <w:r w:rsidRPr="00800F3F">
        <w:t xml:space="preserve">Disaster </w:t>
      </w:r>
      <w:r w:rsidR="009272EB" w:rsidRPr="00800F3F">
        <w:t>r</w:t>
      </w:r>
      <w:r w:rsidRPr="00800F3F">
        <w:t>ecovery is an important consider</w:t>
      </w:r>
      <w:r w:rsidR="009272EB" w:rsidRPr="00800F3F">
        <w:t>ation</w:t>
      </w:r>
      <w:r w:rsidRPr="00800F3F">
        <w:t xml:space="preserve"> in planning your </w:t>
      </w:r>
      <w:r w:rsidR="009272EB" w:rsidRPr="00800F3F">
        <w:t xml:space="preserve">agency’s </w:t>
      </w:r>
      <w:r w:rsidRPr="00800F3F">
        <w:t xml:space="preserve">transition to the </w:t>
      </w:r>
      <w:r w:rsidR="009A71B3">
        <w:t>c</w:t>
      </w:r>
      <w:r w:rsidRPr="00800F3F">
        <w:t xml:space="preserve">loud.  </w:t>
      </w:r>
      <w:r w:rsidR="00556586" w:rsidRPr="00800F3F">
        <w:t>You should assess</w:t>
      </w:r>
      <w:r w:rsidRPr="00800F3F">
        <w:t xml:space="preserve"> </w:t>
      </w:r>
      <w:r w:rsidR="00556586" w:rsidRPr="00800F3F">
        <w:t xml:space="preserve">the maturity of </w:t>
      </w:r>
      <w:r w:rsidRPr="00800F3F">
        <w:t xml:space="preserve">your current </w:t>
      </w:r>
      <w:r w:rsidR="00556586" w:rsidRPr="00800F3F">
        <w:t>policies and processes</w:t>
      </w:r>
      <w:r w:rsidRPr="00800F3F">
        <w:t xml:space="preserve">, </w:t>
      </w:r>
      <w:r w:rsidR="00556586" w:rsidRPr="00800F3F">
        <w:t xml:space="preserve">and ensure </w:t>
      </w:r>
      <w:r w:rsidR="006C1642" w:rsidRPr="00800F3F">
        <w:t xml:space="preserve">you have identified </w:t>
      </w:r>
      <w:r w:rsidRPr="00800F3F">
        <w:t>and prioritise</w:t>
      </w:r>
      <w:r w:rsidR="006C1642" w:rsidRPr="00800F3F">
        <w:t>d</w:t>
      </w:r>
      <w:r w:rsidRPr="00800F3F">
        <w:t xml:space="preserve"> critical business ICT services, assets and information exchanges provided by, or to other agencies or external parties</w:t>
      </w:r>
      <w:r w:rsidRPr="00AA757F">
        <w:t>.</w:t>
      </w:r>
    </w:p>
    <w:p w14:paraId="0DAD894E" w14:textId="60EE62B8" w:rsidR="00752031" w:rsidRPr="00800F3F" w:rsidRDefault="005C1DD9" w:rsidP="0012621F">
      <w:pPr>
        <w:jc w:val="both"/>
      </w:pPr>
      <w:r w:rsidRPr="00800F3F">
        <w:t xml:space="preserve">The ICT Disaster Recovery for Business Continuity Policy and </w:t>
      </w:r>
      <w:r w:rsidR="006C1642" w:rsidRPr="00800F3F">
        <w:t>s</w:t>
      </w:r>
      <w:r w:rsidRPr="00800F3F">
        <w:t xml:space="preserve">upplementary guide </w:t>
      </w:r>
      <w:r w:rsidR="002033F6" w:rsidRPr="00800F3F">
        <w:t xml:space="preserve">will </w:t>
      </w:r>
      <w:r w:rsidR="00D67FD4" w:rsidRPr="00800F3F">
        <w:t xml:space="preserve">assist </w:t>
      </w:r>
      <w:r w:rsidR="002033F6" w:rsidRPr="00800F3F">
        <w:t xml:space="preserve">your </w:t>
      </w:r>
      <w:r w:rsidR="00D67FD4" w:rsidRPr="00800F3F">
        <w:t>agenc</w:t>
      </w:r>
      <w:r w:rsidR="002033F6" w:rsidRPr="00800F3F">
        <w:t>y</w:t>
      </w:r>
      <w:r w:rsidR="00D67FD4" w:rsidRPr="00800F3F">
        <w:t xml:space="preserve"> </w:t>
      </w:r>
      <w:r w:rsidR="002033F6" w:rsidRPr="00800F3F">
        <w:t xml:space="preserve">to </w:t>
      </w:r>
      <w:r w:rsidR="006C1642" w:rsidRPr="00800F3F">
        <w:t xml:space="preserve">assess or </w:t>
      </w:r>
      <w:r w:rsidR="00D67FD4" w:rsidRPr="00800F3F">
        <w:t xml:space="preserve">develop </w:t>
      </w:r>
      <w:r w:rsidR="002033F6" w:rsidRPr="00800F3F">
        <w:t xml:space="preserve">your </w:t>
      </w:r>
      <w:r w:rsidR="00D67FD4" w:rsidRPr="00800F3F">
        <w:t>disaster recovery plan.</w:t>
      </w:r>
      <w:r w:rsidR="00C638E0" w:rsidRPr="00800F3F">
        <w:t xml:space="preserve"> </w:t>
      </w:r>
    </w:p>
    <w:p w14:paraId="100E1A30" w14:textId="77777777" w:rsidR="005729EE" w:rsidRPr="004033EC" w:rsidRDefault="005729EE" w:rsidP="0012621F">
      <w:pPr>
        <w:jc w:val="both"/>
        <w:rPr>
          <w:i/>
        </w:rPr>
      </w:pPr>
      <w:r w:rsidRPr="004033EC">
        <w:rPr>
          <w:i/>
        </w:rPr>
        <w:t>Digital Security</w:t>
      </w:r>
    </w:p>
    <w:p w14:paraId="1C517727" w14:textId="4B083F74" w:rsidR="002033F6" w:rsidRPr="00800F3F" w:rsidRDefault="00D67FD4" w:rsidP="0012621F">
      <w:pPr>
        <w:jc w:val="both"/>
      </w:pPr>
      <w:r w:rsidRPr="00800F3F">
        <w:t xml:space="preserve">Agencies are custodians of important information about the State, businesses and citizens, and have a moral and legislative obligation to safeguard these assets. </w:t>
      </w:r>
      <w:r w:rsidR="00EA6471">
        <w:t xml:space="preserve"> </w:t>
      </w:r>
      <w:r w:rsidRPr="00800F3F">
        <w:t xml:space="preserve">For the community to fully utilise digital services, agencies must be trustworthy custodians of information. </w:t>
      </w:r>
    </w:p>
    <w:p w14:paraId="49FC9965" w14:textId="27858F2A" w:rsidR="002033F6" w:rsidRPr="00800F3F" w:rsidRDefault="000934D1" w:rsidP="0012621F">
      <w:pPr>
        <w:jc w:val="both"/>
      </w:pPr>
      <w:r w:rsidRPr="00800F3F">
        <w:t xml:space="preserve">Digital </w:t>
      </w:r>
      <w:r w:rsidR="005A7ACF" w:rsidRPr="00800F3F">
        <w:t>s</w:t>
      </w:r>
      <w:r w:rsidRPr="00800F3F">
        <w:t>ecurity is an important consideration</w:t>
      </w:r>
      <w:r w:rsidR="009A71B3">
        <w:t xml:space="preserve"> during your transition to the c</w:t>
      </w:r>
      <w:r w:rsidRPr="00800F3F">
        <w:t xml:space="preserve">loud.  In </w:t>
      </w:r>
      <w:r w:rsidR="005A7ACF" w:rsidRPr="00800F3F">
        <w:t>gauging</w:t>
      </w:r>
      <w:r w:rsidRPr="00800F3F">
        <w:t xml:space="preserve"> </w:t>
      </w:r>
      <w:r w:rsidR="00A93298" w:rsidRPr="00800F3F">
        <w:t>the</w:t>
      </w:r>
      <w:r w:rsidRPr="00800F3F">
        <w:t xml:space="preserve"> current situation, you should consider your information security management systems, risk registers and the governance processes </w:t>
      </w:r>
      <w:r w:rsidR="00744BC5">
        <w:t xml:space="preserve">currently </w:t>
      </w:r>
      <w:r w:rsidRPr="00800F3F">
        <w:t>in place</w:t>
      </w:r>
      <w:r w:rsidR="00744BC5">
        <w:t xml:space="preserve"> to compare with the security provided through maintained infrastructure</w:t>
      </w:r>
      <w:r w:rsidRPr="00800F3F">
        <w:t xml:space="preserve">.  </w:t>
      </w:r>
    </w:p>
    <w:p w14:paraId="16B32182" w14:textId="592FB33F" w:rsidR="003A3FA0" w:rsidRPr="004033EC" w:rsidRDefault="00A10A2A" w:rsidP="0012621F">
      <w:pPr>
        <w:jc w:val="both"/>
        <w:rPr>
          <w:i/>
        </w:rPr>
      </w:pPr>
      <w:r w:rsidRPr="004033EC">
        <w:rPr>
          <w:i/>
        </w:rPr>
        <w:t>Determine the c</w:t>
      </w:r>
      <w:r w:rsidR="003A3FA0" w:rsidRPr="004033EC">
        <w:rPr>
          <w:i/>
        </w:rPr>
        <w:t>urrent cost of operation</w:t>
      </w:r>
    </w:p>
    <w:p w14:paraId="76CF37CE" w14:textId="16771039" w:rsidR="00EA6471" w:rsidRDefault="00A10A2A" w:rsidP="0012621F">
      <w:pPr>
        <w:jc w:val="both"/>
      </w:pPr>
      <w:r w:rsidRPr="00CE73BC">
        <w:t>A Total Cost of Ownership (TCO) is a tool designed to determine the direct and indirect costs of a product or system against their current operating model.</w:t>
      </w:r>
      <w:r w:rsidR="00EA6471">
        <w:t xml:space="preserve"> </w:t>
      </w:r>
      <w:r w:rsidRPr="00CE73BC">
        <w:t xml:space="preserve"> A TCO not only considers the costs of software acquisition, staff and maintenance but </w:t>
      </w:r>
      <w:r w:rsidR="00424F14" w:rsidRPr="00CE73BC">
        <w:t xml:space="preserve">other </w:t>
      </w:r>
      <w:r w:rsidRPr="00CE73BC">
        <w:t>hidden costs which are not normally considered, for example electricity, cooling, staff training and IT footprint.</w:t>
      </w:r>
    </w:p>
    <w:p w14:paraId="6A7CF931" w14:textId="77777777" w:rsidR="00EA6471" w:rsidRPr="00CE73BC" w:rsidRDefault="00EA6471" w:rsidP="0012621F">
      <w:pPr>
        <w:jc w:val="both"/>
      </w:pPr>
      <w:r w:rsidRPr="00CE73BC">
        <w:t xml:space="preserve">In assessing your agency’s current costs, using TCO will produce a financially accurate starting point to compare with the estimated </w:t>
      </w:r>
      <w:r>
        <w:t>costs of c</w:t>
      </w:r>
      <w:r w:rsidRPr="00CE73BC">
        <w:t xml:space="preserve">loud services.  This will help your agency’s business planning and ongoing reporting.  </w:t>
      </w:r>
    </w:p>
    <w:p w14:paraId="5F104DD9" w14:textId="62637A43" w:rsidR="00926D78" w:rsidRDefault="00EA6471" w:rsidP="0012621F">
      <w:pPr>
        <w:jc w:val="both"/>
        <w:sectPr w:rsidR="00926D78" w:rsidSect="00926D78">
          <w:headerReference w:type="even" r:id="rId9"/>
          <w:headerReference w:type="default" r:id="rId10"/>
          <w:headerReference w:type="first" r:id="rId11"/>
          <w:pgSz w:w="11906" w:h="16838"/>
          <w:pgMar w:top="1843" w:right="1440" w:bottom="1440" w:left="1440" w:header="708" w:footer="708" w:gutter="0"/>
          <w:cols w:space="708"/>
          <w:titlePg/>
          <w:docGrid w:linePitch="360"/>
        </w:sectPr>
      </w:pPr>
      <w:r w:rsidRPr="00AA757F">
        <w:t xml:space="preserve">The </w:t>
      </w:r>
      <w:r>
        <w:t>Factsheet “</w:t>
      </w:r>
      <w:r w:rsidRPr="00EA6471">
        <w:t>Undertake a total cost of ownership for transition to the cloud</w:t>
      </w:r>
      <w:r>
        <w:t>”</w:t>
      </w:r>
      <w:r w:rsidRPr="00AA757F">
        <w:t xml:space="preserve"> provides further information on conducting a TCO</w:t>
      </w:r>
      <w:r w:rsidRPr="00800F3F">
        <w:t>.</w:t>
      </w:r>
      <w:r w:rsidR="00A10A2A" w:rsidRPr="00CE73BC">
        <w:t xml:space="preserve"> </w:t>
      </w:r>
    </w:p>
    <w:p w14:paraId="7E4B223B" w14:textId="02681857" w:rsidR="00896ED4" w:rsidRPr="004033EC" w:rsidRDefault="00896ED4" w:rsidP="0012621F">
      <w:pPr>
        <w:jc w:val="both"/>
        <w:rPr>
          <w:i/>
        </w:rPr>
      </w:pPr>
      <w:r w:rsidRPr="004033EC">
        <w:rPr>
          <w:i/>
        </w:rPr>
        <w:lastRenderedPageBreak/>
        <w:t>Consider learnings from previous cloud deployments.</w:t>
      </w:r>
    </w:p>
    <w:p w14:paraId="711B4237" w14:textId="39D026C5" w:rsidR="009402C2" w:rsidRPr="00CE73BC" w:rsidRDefault="00250420" w:rsidP="0012621F">
      <w:pPr>
        <w:jc w:val="both"/>
      </w:pPr>
      <w:r w:rsidRPr="00AA757F">
        <w:t xml:space="preserve">Where </w:t>
      </w:r>
      <w:r w:rsidR="005729EE" w:rsidRPr="00AA757F">
        <w:t xml:space="preserve">other </w:t>
      </w:r>
      <w:r w:rsidRPr="00AA757F">
        <w:t xml:space="preserve">agencies have </w:t>
      </w:r>
      <w:r w:rsidR="005729EE" w:rsidRPr="00AA757F">
        <w:t xml:space="preserve">successfully transitioned </w:t>
      </w:r>
      <w:r w:rsidR="009A71B3">
        <w:t>to c</w:t>
      </w:r>
      <w:r w:rsidRPr="00800F3F">
        <w:t xml:space="preserve">loud, </w:t>
      </w:r>
      <w:r w:rsidR="00424F14" w:rsidRPr="00800F3F">
        <w:t xml:space="preserve">there are </w:t>
      </w:r>
      <w:r w:rsidRPr="00800F3F">
        <w:t xml:space="preserve">opportunities </w:t>
      </w:r>
      <w:r w:rsidR="00424F14" w:rsidRPr="00800F3F">
        <w:t xml:space="preserve">for you </w:t>
      </w:r>
      <w:r w:rsidRPr="00AA757F">
        <w:t xml:space="preserve">to learn from their experiences. </w:t>
      </w:r>
      <w:r w:rsidR="0034493F" w:rsidRPr="00AA757F">
        <w:t xml:space="preserve">The </w:t>
      </w:r>
      <w:r w:rsidR="005729EE" w:rsidRPr="00AA757F">
        <w:t xml:space="preserve">Factsheet </w:t>
      </w:r>
      <w:r w:rsidR="00EA6471">
        <w:t>“</w:t>
      </w:r>
      <w:r w:rsidR="00EA6471" w:rsidRPr="00EA6471">
        <w:t>Western Australian government case studies in cloud transition</w:t>
      </w:r>
      <w:r w:rsidR="00EA6471">
        <w:t>”</w:t>
      </w:r>
      <w:r w:rsidR="005729EE" w:rsidRPr="00800F3F">
        <w:t>,</w:t>
      </w:r>
      <w:r w:rsidRPr="00800F3F">
        <w:t xml:space="preserve"> </w:t>
      </w:r>
      <w:r w:rsidR="0034493F" w:rsidRPr="00800F3F">
        <w:t xml:space="preserve">documents the experiences of </w:t>
      </w:r>
      <w:r w:rsidR="00701DDD" w:rsidRPr="00800F3F">
        <w:t xml:space="preserve">other </w:t>
      </w:r>
      <w:r w:rsidR="0012621F">
        <w:t>WA government agencie</w:t>
      </w:r>
      <w:r w:rsidR="0034493F" w:rsidRPr="00800F3F">
        <w:t>s</w:t>
      </w:r>
      <w:r w:rsidR="00EA6471">
        <w:t xml:space="preserve"> in</w:t>
      </w:r>
      <w:r w:rsidR="009A71B3">
        <w:t xml:space="preserve"> transition</w:t>
      </w:r>
      <w:r w:rsidR="00EA6471">
        <w:t>ing</w:t>
      </w:r>
      <w:r w:rsidR="009A71B3">
        <w:t xml:space="preserve"> to the c</w:t>
      </w:r>
      <w:r w:rsidRPr="00800F3F">
        <w:t>loud.</w:t>
      </w:r>
      <w:r w:rsidR="00EA6471">
        <w:t xml:space="preserve"> </w:t>
      </w:r>
      <w:r w:rsidRPr="00800F3F">
        <w:t xml:space="preserve"> The case studies discuss their drivers for adopting cloud, the benefits and pitfalls and key learnings.</w:t>
      </w:r>
    </w:p>
    <w:p w14:paraId="2A9DBA8D" w14:textId="4D375A96" w:rsidR="00896ED4" w:rsidRPr="009402C2" w:rsidRDefault="009402C2" w:rsidP="004033EC">
      <w:pPr>
        <w:pStyle w:val="Heading2"/>
      </w:pPr>
      <w:r w:rsidRPr="009402C2">
        <w:t>Useful tools</w:t>
      </w:r>
    </w:p>
    <w:p w14:paraId="71933652" w14:textId="7A392C3E" w:rsidR="00752031" w:rsidRDefault="0044083B" w:rsidP="00752031">
      <w:pPr>
        <w:tabs>
          <w:tab w:val="left" w:pos="142"/>
        </w:tabs>
        <w:jc w:val="both"/>
      </w:pPr>
      <w:hyperlink r:id="rId12" w:history="1">
        <w:r w:rsidR="0035789D" w:rsidRPr="0035789D">
          <w:rPr>
            <w:rStyle w:val="Hyperlink"/>
          </w:rPr>
          <w:t>Office of Digital Government, April 2017. Whole of Government ICT Disaster Recovery for Business Continuity Policy</w:t>
        </w:r>
      </w:hyperlink>
    </w:p>
    <w:p w14:paraId="7E63315E" w14:textId="77777777" w:rsidR="0035789D" w:rsidRPr="004033EC" w:rsidRDefault="0035789D" w:rsidP="00752031">
      <w:pPr>
        <w:tabs>
          <w:tab w:val="left" w:pos="142"/>
        </w:tabs>
        <w:jc w:val="both"/>
        <w:rPr>
          <w:szCs w:val="23"/>
        </w:rPr>
      </w:pPr>
    </w:p>
    <w:p w14:paraId="33A3702A" w14:textId="56BE93AD" w:rsidR="005C1DD9" w:rsidRPr="004033EC" w:rsidRDefault="0044083B" w:rsidP="005C1DD9">
      <w:pPr>
        <w:tabs>
          <w:tab w:val="left" w:pos="142"/>
        </w:tabs>
        <w:jc w:val="both"/>
        <w:rPr>
          <w:szCs w:val="23"/>
        </w:rPr>
      </w:pPr>
      <w:hyperlink r:id="rId13" w:history="1">
        <w:r w:rsidR="005C1DD9" w:rsidRPr="004033EC">
          <w:rPr>
            <w:rStyle w:val="Hyperlink"/>
            <w:szCs w:val="23"/>
          </w:rPr>
          <w:t>Office of</w:t>
        </w:r>
        <w:r w:rsidR="009643BB">
          <w:rPr>
            <w:rStyle w:val="Hyperlink"/>
            <w:szCs w:val="23"/>
          </w:rPr>
          <w:t xml:space="preserve"> Digital Government</w:t>
        </w:r>
        <w:r w:rsidR="005C1DD9" w:rsidRPr="004033EC">
          <w:rPr>
            <w:rStyle w:val="Hyperlink"/>
            <w:szCs w:val="23"/>
          </w:rPr>
          <w:t>, April 2017. Whole of Government ICT Disaster Recovery for Business Continuity Policy</w:t>
        </w:r>
        <w:r w:rsidR="00D67FD4" w:rsidRPr="004033EC">
          <w:rPr>
            <w:rStyle w:val="Hyperlink"/>
            <w:szCs w:val="23"/>
          </w:rPr>
          <w:t xml:space="preserve">: </w:t>
        </w:r>
        <w:r w:rsidR="005C1DD9" w:rsidRPr="004033EC">
          <w:rPr>
            <w:rStyle w:val="Hyperlink"/>
            <w:szCs w:val="23"/>
          </w:rPr>
          <w:t>A supplementary guide</w:t>
        </w:r>
      </w:hyperlink>
      <w:r w:rsidR="005C1DD9" w:rsidRPr="004033EC">
        <w:rPr>
          <w:szCs w:val="23"/>
        </w:rPr>
        <w:t>.</w:t>
      </w:r>
    </w:p>
    <w:p w14:paraId="7B51B10F" w14:textId="77777777" w:rsidR="007A2037" w:rsidRPr="004033EC" w:rsidRDefault="007A2037" w:rsidP="00600741">
      <w:pPr>
        <w:tabs>
          <w:tab w:val="left" w:pos="1230"/>
        </w:tabs>
        <w:jc w:val="both"/>
        <w:rPr>
          <w:rStyle w:val="Hyperlink"/>
          <w:szCs w:val="23"/>
        </w:rPr>
      </w:pPr>
    </w:p>
    <w:p w14:paraId="0D0F2B58" w14:textId="604129E0" w:rsidR="00C4580E" w:rsidRPr="004033EC" w:rsidRDefault="0044083B" w:rsidP="00600741">
      <w:pPr>
        <w:tabs>
          <w:tab w:val="left" w:pos="1230"/>
        </w:tabs>
        <w:jc w:val="both"/>
        <w:rPr>
          <w:szCs w:val="23"/>
        </w:rPr>
      </w:pPr>
      <w:hyperlink r:id="rId14" w:history="1">
        <w:r w:rsidR="00290E9F" w:rsidRPr="004033EC">
          <w:rPr>
            <w:rStyle w:val="Hyperlink"/>
            <w:szCs w:val="23"/>
          </w:rPr>
          <w:t xml:space="preserve">Insurance Commission of Western Australia (ICWA). </w:t>
        </w:r>
        <w:r w:rsidR="00752031" w:rsidRPr="004033EC">
          <w:rPr>
            <w:rStyle w:val="Hyperlink"/>
            <w:szCs w:val="23"/>
          </w:rPr>
          <w:t>Risk Management Guidelines and Business Continuity Guidelines</w:t>
        </w:r>
      </w:hyperlink>
      <w:r w:rsidR="00C4580E" w:rsidRPr="004033EC">
        <w:rPr>
          <w:szCs w:val="23"/>
        </w:rPr>
        <w:t>.</w:t>
      </w:r>
    </w:p>
    <w:p w14:paraId="2752DC59" w14:textId="77777777" w:rsidR="007A2037" w:rsidRPr="004033EC" w:rsidRDefault="007A2037" w:rsidP="00A2255A">
      <w:pPr>
        <w:tabs>
          <w:tab w:val="left" w:pos="1230"/>
        </w:tabs>
        <w:jc w:val="both"/>
        <w:rPr>
          <w:rStyle w:val="Hyperlink"/>
          <w:szCs w:val="23"/>
        </w:rPr>
      </w:pPr>
    </w:p>
    <w:p w14:paraId="142E8C60" w14:textId="6834296A" w:rsidR="00A2255A" w:rsidRPr="004033EC" w:rsidRDefault="0044083B" w:rsidP="00A2255A">
      <w:pPr>
        <w:tabs>
          <w:tab w:val="left" w:pos="1230"/>
        </w:tabs>
        <w:jc w:val="both"/>
        <w:rPr>
          <w:szCs w:val="23"/>
        </w:rPr>
      </w:pPr>
      <w:hyperlink r:id="rId15" w:history="1">
        <w:r w:rsidR="00A2255A" w:rsidRPr="004033EC">
          <w:rPr>
            <w:rStyle w:val="Hyperlink"/>
            <w:szCs w:val="23"/>
          </w:rPr>
          <w:t xml:space="preserve">Office of </w:t>
        </w:r>
        <w:r w:rsidR="00F91447">
          <w:rPr>
            <w:rStyle w:val="Hyperlink"/>
            <w:szCs w:val="23"/>
          </w:rPr>
          <w:t>Digital Government</w:t>
        </w:r>
        <w:r w:rsidR="00A2255A" w:rsidRPr="004033EC">
          <w:rPr>
            <w:rStyle w:val="Hyperlink"/>
            <w:szCs w:val="23"/>
          </w:rPr>
          <w:t>, June 2017. The Western Australian Whole of Government Digital Security Policy</w:t>
        </w:r>
      </w:hyperlink>
      <w:r w:rsidR="00A2255A" w:rsidRPr="004033EC">
        <w:rPr>
          <w:szCs w:val="23"/>
        </w:rPr>
        <w:t>. Government of Western Australia, Perth.</w:t>
      </w:r>
    </w:p>
    <w:p w14:paraId="21AD07EB" w14:textId="77777777" w:rsidR="007A2037" w:rsidRPr="004033EC" w:rsidRDefault="007A2037" w:rsidP="00A2255A">
      <w:pPr>
        <w:tabs>
          <w:tab w:val="left" w:pos="1230"/>
        </w:tabs>
        <w:jc w:val="both"/>
        <w:rPr>
          <w:rStyle w:val="Hyperlink"/>
          <w:szCs w:val="23"/>
        </w:rPr>
      </w:pPr>
    </w:p>
    <w:p w14:paraId="177C61DC" w14:textId="42CC82CA" w:rsidR="00A2255A" w:rsidRPr="004033EC" w:rsidRDefault="0044083B" w:rsidP="00A2255A">
      <w:pPr>
        <w:tabs>
          <w:tab w:val="left" w:pos="1230"/>
        </w:tabs>
        <w:jc w:val="both"/>
        <w:rPr>
          <w:szCs w:val="23"/>
        </w:rPr>
      </w:pPr>
      <w:hyperlink r:id="rId16" w:history="1">
        <w:r w:rsidR="00A2255A" w:rsidRPr="005C117E">
          <w:rPr>
            <w:rStyle w:val="Hyperlink"/>
            <w:szCs w:val="23"/>
          </w:rPr>
          <w:t>Office of</w:t>
        </w:r>
        <w:r w:rsidR="005C117E" w:rsidRPr="005C117E">
          <w:rPr>
            <w:rStyle w:val="Hyperlink"/>
            <w:szCs w:val="23"/>
          </w:rPr>
          <w:t xml:space="preserve"> Digital Government</w:t>
        </w:r>
        <w:r w:rsidR="00A2255A" w:rsidRPr="005C117E">
          <w:rPr>
            <w:rStyle w:val="Hyperlink"/>
            <w:szCs w:val="23"/>
          </w:rPr>
          <w:t>, June 2017. Whole-of-Government Digital Security Policy - A supplementary guide.</w:t>
        </w:r>
      </w:hyperlink>
      <w:r w:rsidR="00A2255A" w:rsidRPr="005C117E">
        <w:rPr>
          <w:szCs w:val="23"/>
        </w:rPr>
        <w:t xml:space="preserve"> Government of Western Australia, Perth.</w:t>
      </w:r>
    </w:p>
    <w:p w14:paraId="60E58481" w14:textId="77777777" w:rsidR="007A2037" w:rsidRDefault="007A2037" w:rsidP="004033EC">
      <w:pPr>
        <w:rPr>
          <w:rStyle w:val="Hyperlink"/>
          <w:sz w:val="23"/>
          <w:szCs w:val="23"/>
        </w:rPr>
      </w:pPr>
    </w:p>
    <w:p w14:paraId="3BDBC04F" w14:textId="3FEC221D" w:rsidR="009A71B3" w:rsidRDefault="00A93FD0" w:rsidP="004033EC">
      <w:r>
        <w:t xml:space="preserve">Related </w:t>
      </w:r>
      <w:r w:rsidR="009A71B3">
        <w:t xml:space="preserve">Cloud Policy </w:t>
      </w:r>
      <w:r w:rsidR="00A10A2A" w:rsidRPr="00BA5770">
        <w:t>Fact Sheet</w:t>
      </w:r>
      <w:r w:rsidR="009A71B3">
        <w:t>s</w:t>
      </w:r>
    </w:p>
    <w:p w14:paraId="7DC743BC" w14:textId="13F9E0D5" w:rsidR="00EA6471" w:rsidRDefault="00EA6471" w:rsidP="004033EC">
      <w:r>
        <w:t>1.2</w:t>
      </w:r>
      <w:r>
        <w:tab/>
      </w:r>
      <w:r w:rsidRPr="00EA6471">
        <w:t>WA Government Data Offshoring position and guidance</w:t>
      </w:r>
    </w:p>
    <w:p w14:paraId="799AA3BD" w14:textId="287724B0" w:rsidR="00A10A2A" w:rsidRPr="00BA5770" w:rsidRDefault="009A71B3" w:rsidP="004033EC">
      <w:r>
        <w:t>5.2</w:t>
      </w:r>
      <w:r>
        <w:tab/>
      </w:r>
      <w:r w:rsidRPr="009A71B3">
        <w:t>Undertake a total cost of ownership for transition to the cloud</w:t>
      </w:r>
    </w:p>
    <w:p w14:paraId="6D36C9B1" w14:textId="28D5A88E" w:rsidR="00A10A2A" w:rsidRPr="00926D78" w:rsidRDefault="009A71B3" w:rsidP="004033EC">
      <w:r>
        <w:t>8.2</w:t>
      </w:r>
      <w:r>
        <w:tab/>
      </w:r>
      <w:r w:rsidRPr="009A71B3">
        <w:t xml:space="preserve">Western Australian government case studies in cloud transition </w:t>
      </w:r>
    </w:p>
    <w:sectPr w:rsidR="00A10A2A" w:rsidRPr="00926D78" w:rsidSect="00926D78">
      <w:pgSz w:w="11906" w:h="16838"/>
      <w:pgMar w:top="170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E5773" w14:textId="77777777" w:rsidR="00F53B8C" w:rsidRDefault="00F53B8C" w:rsidP="00EF0A64">
      <w:pPr>
        <w:spacing w:after="0" w:line="240" w:lineRule="auto"/>
      </w:pPr>
      <w:r>
        <w:separator/>
      </w:r>
    </w:p>
  </w:endnote>
  <w:endnote w:type="continuationSeparator" w:id="0">
    <w:p w14:paraId="6C4E4CDF" w14:textId="77777777" w:rsidR="00F53B8C" w:rsidRDefault="00F53B8C" w:rsidP="00EF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6BBC8" w14:textId="77777777" w:rsidR="00F53B8C" w:rsidRDefault="00F53B8C" w:rsidP="00EF0A64">
      <w:pPr>
        <w:spacing w:after="0" w:line="240" w:lineRule="auto"/>
      </w:pPr>
      <w:r>
        <w:separator/>
      </w:r>
    </w:p>
  </w:footnote>
  <w:footnote w:type="continuationSeparator" w:id="0">
    <w:p w14:paraId="61514EEB" w14:textId="77777777" w:rsidR="00F53B8C" w:rsidRDefault="00F53B8C" w:rsidP="00EF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4F6BF" w14:textId="271F8B6F" w:rsidR="00EF0A64" w:rsidRDefault="15ACCB76" w:rsidP="005F782C">
    <w:pPr>
      <w:pStyle w:val="Header"/>
    </w:pPr>
    <w:r>
      <w:rPr>
        <w:noProof/>
        <w:lang w:eastAsia="en-AU"/>
      </w:rPr>
      <w:drawing>
        <wp:inline distT="0" distB="0" distL="0" distR="0" wp14:anchorId="7090A824" wp14:editId="17065176">
          <wp:extent cx="2686050" cy="467139"/>
          <wp:effectExtent l="0" t="0" r="0" b="9525"/>
          <wp:docPr id="7" name="Picture 7" descr="Office of Digital Government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467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AD713" w14:textId="7DB5AEC3" w:rsidR="00EF0A64" w:rsidRDefault="00EF0A64" w:rsidP="00EF0A64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7E747" w14:textId="383433E8" w:rsidR="00D37D74" w:rsidRDefault="00D37D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AF60" w14:textId="16043D50" w:rsidR="00922300" w:rsidRDefault="00922300">
    <w:pPr>
      <w:pStyle w:val="Header"/>
    </w:pPr>
  </w:p>
  <w:p w14:paraId="3069DA5B" w14:textId="0D28A2B2" w:rsidR="00922300" w:rsidRDefault="00922300" w:rsidP="00EF0A64">
    <w:pPr>
      <w:pStyle w:val="Header"/>
      <w:ind w:left="-99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F313F" w14:textId="57321A9F" w:rsidR="00D37D74" w:rsidRDefault="00D37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3F2F"/>
    <w:multiLevelType w:val="hybridMultilevel"/>
    <w:tmpl w:val="039E3C88"/>
    <w:lvl w:ilvl="0" w:tplc="BAA620C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31099"/>
    <w:multiLevelType w:val="hybridMultilevel"/>
    <w:tmpl w:val="D6947CF4"/>
    <w:lvl w:ilvl="0" w:tplc="D3867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DEBE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B2A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B269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B281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C8ED1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5E6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86ABE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9803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126590"/>
    <w:multiLevelType w:val="hybridMultilevel"/>
    <w:tmpl w:val="0780F1F4"/>
    <w:lvl w:ilvl="0" w:tplc="F6C6A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925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AB02F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D288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CAA7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AA42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4149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9788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1D09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6522F9"/>
    <w:multiLevelType w:val="hybridMultilevel"/>
    <w:tmpl w:val="37DAF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273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7522"/>
    <w:multiLevelType w:val="hybridMultilevel"/>
    <w:tmpl w:val="CD500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D5B22"/>
    <w:multiLevelType w:val="hybridMultilevel"/>
    <w:tmpl w:val="3E7ED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4394B"/>
    <w:multiLevelType w:val="hybridMultilevel"/>
    <w:tmpl w:val="BDE0BD2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FB5D60"/>
    <w:multiLevelType w:val="hybridMultilevel"/>
    <w:tmpl w:val="04325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9013F"/>
    <w:multiLevelType w:val="hybridMultilevel"/>
    <w:tmpl w:val="562E8E5E"/>
    <w:lvl w:ilvl="0" w:tplc="9708BD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884419"/>
    <w:multiLevelType w:val="hybridMultilevel"/>
    <w:tmpl w:val="8E947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4"/>
    <w:rsid w:val="00026659"/>
    <w:rsid w:val="00034E65"/>
    <w:rsid w:val="00065403"/>
    <w:rsid w:val="00071499"/>
    <w:rsid w:val="000826B4"/>
    <w:rsid w:val="00086F2A"/>
    <w:rsid w:val="00090C86"/>
    <w:rsid w:val="000934D1"/>
    <w:rsid w:val="000D133B"/>
    <w:rsid w:val="000E07DF"/>
    <w:rsid w:val="000E1F8E"/>
    <w:rsid w:val="0012621F"/>
    <w:rsid w:val="0013076A"/>
    <w:rsid w:val="0015409B"/>
    <w:rsid w:val="00167BF2"/>
    <w:rsid w:val="001E0385"/>
    <w:rsid w:val="001E7429"/>
    <w:rsid w:val="001E7979"/>
    <w:rsid w:val="002033F6"/>
    <w:rsid w:val="00207530"/>
    <w:rsid w:val="002210C1"/>
    <w:rsid w:val="0022114D"/>
    <w:rsid w:val="00236BC6"/>
    <w:rsid w:val="00250420"/>
    <w:rsid w:val="002534E7"/>
    <w:rsid w:val="00263420"/>
    <w:rsid w:val="00290E9F"/>
    <w:rsid w:val="002D5E6E"/>
    <w:rsid w:val="0034493F"/>
    <w:rsid w:val="00351C6C"/>
    <w:rsid w:val="0035789D"/>
    <w:rsid w:val="00365C4B"/>
    <w:rsid w:val="00372C99"/>
    <w:rsid w:val="003A3FA0"/>
    <w:rsid w:val="003C6D5B"/>
    <w:rsid w:val="004033EC"/>
    <w:rsid w:val="00423A03"/>
    <w:rsid w:val="00424F14"/>
    <w:rsid w:val="00427838"/>
    <w:rsid w:val="004324E4"/>
    <w:rsid w:val="0044083B"/>
    <w:rsid w:val="0044395C"/>
    <w:rsid w:val="004B2E74"/>
    <w:rsid w:val="004E1D2A"/>
    <w:rsid w:val="00556586"/>
    <w:rsid w:val="00566A76"/>
    <w:rsid w:val="00570D80"/>
    <w:rsid w:val="005729EE"/>
    <w:rsid w:val="00595326"/>
    <w:rsid w:val="005A7ACF"/>
    <w:rsid w:val="005C117E"/>
    <w:rsid w:val="005C1DD9"/>
    <w:rsid w:val="005F782C"/>
    <w:rsid w:val="00600741"/>
    <w:rsid w:val="00605D53"/>
    <w:rsid w:val="00661654"/>
    <w:rsid w:val="00691205"/>
    <w:rsid w:val="006C1642"/>
    <w:rsid w:val="006D4830"/>
    <w:rsid w:val="006F558F"/>
    <w:rsid w:val="007018B0"/>
    <w:rsid w:val="00701DDD"/>
    <w:rsid w:val="00744BC5"/>
    <w:rsid w:val="00752031"/>
    <w:rsid w:val="00755852"/>
    <w:rsid w:val="00780A7D"/>
    <w:rsid w:val="007A2037"/>
    <w:rsid w:val="007B4E94"/>
    <w:rsid w:val="007D12F9"/>
    <w:rsid w:val="007E32ED"/>
    <w:rsid w:val="007E4618"/>
    <w:rsid w:val="00800F3F"/>
    <w:rsid w:val="00801799"/>
    <w:rsid w:val="00817A2F"/>
    <w:rsid w:val="00826507"/>
    <w:rsid w:val="008652B0"/>
    <w:rsid w:val="00896ED4"/>
    <w:rsid w:val="008A1E99"/>
    <w:rsid w:val="008C2965"/>
    <w:rsid w:val="008C363E"/>
    <w:rsid w:val="00913A00"/>
    <w:rsid w:val="00917D37"/>
    <w:rsid w:val="00922300"/>
    <w:rsid w:val="00926D78"/>
    <w:rsid w:val="009272EB"/>
    <w:rsid w:val="009402C2"/>
    <w:rsid w:val="009643BB"/>
    <w:rsid w:val="009A71B3"/>
    <w:rsid w:val="009D66F2"/>
    <w:rsid w:val="00A10A2A"/>
    <w:rsid w:val="00A20578"/>
    <w:rsid w:val="00A2255A"/>
    <w:rsid w:val="00A3015D"/>
    <w:rsid w:val="00A45A3F"/>
    <w:rsid w:val="00A52C7B"/>
    <w:rsid w:val="00A7750F"/>
    <w:rsid w:val="00A93298"/>
    <w:rsid w:val="00A93FD0"/>
    <w:rsid w:val="00AA757F"/>
    <w:rsid w:val="00AB26FA"/>
    <w:rsid w:val="00AE0232"/>
    <w:rsid w:val="00B31537"/>
    <w:rsid w:val="00B40A94"/>
    <w:rsid w:val="00BA5770"/>
    <w:rsid w:val="00BB1C8B"/>
    <w:rsid w:val="00BD156D"/>
    <w:rsid w:val="00C43F5C"/>
    <w:rsid w:val="00C4580E"/>
    <w:rsid w:val="00C55C22"/>
    <w:rsid w:val="00C603B4"/>
    <w:rsid w:val="00C638E0"/>
    <w:rsid w:val="00C7550C"/>
    <w:rsid w:val="00CA3200"/>
    <w:rsid w:val="00CB0810"/>
    <w:rsid w:val="00CB3F3F"/>
    <w:rsid w:val="00CD306B"/>
    <w:rsid w:val="00CE73BC"/>
    <w:rsid w:val="00D06FDA"/>
    <w:rsid w:val="00D10A66"/>
    <w:rsid w:val="00D249BD"/>
    <w:rsid w:val="00D30367"/>
    <w:rsid w:val="00D32388"/>
    <w:rsid w:val="00D37D74"/>
    <w:rsid w:val="00D549BA"/>
    <w:rsid w:val="00D66D86"/>
    <w:rsid w:val="00D67FD4"/>
    <w:rsid w:val="00D8797D"/>
    <w:rsid w:val="00D9790E"/>
    <w:rsid w:val="00DB5980"/>
    <w:rsid w:val="00DB60EB"/>
    <w:rsid w:val="00E45067"/>
    <w:rsid w:val="00E66795"/>
    <w:rsid w:val="00E84023"/>
    <w:rsid w:val="00EA6471"/>
    <w:rsid w:val="00ED1BFB"/>
    <w:rsid w:val="00EF0A64"/>
    <w:rsid w:val="00F006BD"/>
    <w:rsid w:val="00F00A1D"/>
    <w:rsid w:val="00F53B8C"/>
    <w:rsid w:val="00F758C8"/>
    <w:rsid w:val="00F803B3"/>
    <w:rsid w:val="00F8644D"/>
    <w:rsid w:val="00F87B59"/>
    <w:rsid w:val="00F91447"/>
    <w:rsid w:val="00F93EAD"/>
    <w:rsid w:val="00FC0D2A"/>
    <w:rsid w:val="0E309EA2"/>
    <w:rsid w:val="15ACCB76"/>
    <w:rsid w:val="37B3DEDD"/>
    <w:rsid w:val="6487D7FB"/>
    <w:rsid w:val="6623A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2DFF7"/>
  <w15:chartTrackingRefBased/>
  <w15:docId w15:val="{EB94C23E-C7C3-4CBA-948E-223E5CBE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3E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3EC"/>
    <w:pPr>
      <w:keepNext/>
      <w:keepLines/>
      <w:spacing w:before="360" w:after="120"/>
      <w:outlineLvl w:val="0"/>
    </w:pPr>
    <w:rPr>
      <w:rFonts w:eastAsiaTheme="majorEastAsia" w:cstheme="majorBidi"/>
      <w:color w:val="2D2F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3EC"/>
    <w:pPr>
      <w:keepNext/>
      <w:keepLines/>
      <w:spacing w:before="160" w:after="120"/>
      <w:outlineLvl w:val="1"/>
    </w:pPr>
    <w:rPr>
      <w:rFonts w:eastAsiaTheme="majorEastAsia" w:cstheme="majorBidi"/>
      <w:color w:val="2D2F3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A64"/>
  </w:style>
  <w:style w:type="paragraph" w:styleId="Footer">
    <w:name w:val="footer"/>
    <w:basedOn w:val="Normal"/>
    <w:link w:val="FooterChar"/>
    <w:uiPriority w:val="99"/>
    <w:unhideWhenUsed/>
    <w:rsid w:val="00EF0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64"/>
  </w:style>
  <w:style w:type="paragraph" w:styleId="ListParagraph">
    <w:name w:val="List Paragraph"/>
    <w:basedOn w:val="Normal"/>
    <w:uiPriority w:val="34"/>
    <w:qFormat/>
    <w:rsid w:val="00896E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6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E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06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0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33EC"/>
    <w:rPr>
      <w:rFonts w:ascii="Arial" w:eastAsiaTheme="majorEastAsia" w:hAnsi="Arial" w:cstheme="majorBidi"/>
      <w:color w:val="2D2F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3EC"/>
    <w:rPr>
      <w:rFonts w:ascii="Arial" w:eastAsiaTheme="majorEastAsia" w:hAnsi="Arial" w:cstheme="majorBidi"/>
      <w:color w:val="2D2F32"/>
      <w:sz w:val="28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wa.gov.au/government/publications/supplementary-guide-ict-disaster-recovery-business-continuity-poli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.gov.au/government/publications/ict-disaster-recovery-business-continuity-poli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a.gov.au/government/publications/digital-security-policy-supplementary-gui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wa.gov.au/government/publications/digital-security-policy" TargetMode="External"/><Relationship Id="rId10" Type="http://schemas.openxmlformats.org/officeDocument/2006/relationships/header" Target="header3.xml"/><Relationship Id="R4f6bb9861cbb4768" Type="http://schemas.microsoft.com/office/2018/08/relationships/commentsExtensible" Target="NUL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icwa.wa.gov.au/riskcover/risk-manag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T%20Policy%20&amp;%20Governance\Cloud%20toolkit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7395-7138-4061-881B-C9E76EA9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0</TotalTime>
  <Pages>3</Pages>
  <Words>1044</Words>
  <Characters>6003</Characters>
  <Application>Microsoft Office Word</Application>
  <DocSecurity>4</DocSecurity>
  <Lines>111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Policy Fact Sheet 3.1 Situational analysis to inform cloud transition</vt:lpstr>
    </vt:vector>
  </TitlesOfParts>
  <Company>Office of Digital Government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Policy Fact Sheet 3.1 Situational analysis to inform cloud transition</dc:title>
  <dc:subject>Situational analysis to inform cloud transition</dc:subject>
  <dc:creator>Office of Digital Government</dc:creator>
  <cp:keywords>Cloud policy, situational analysis, cloud transition</cp:keywords>
  <dc:description/>
  <cp:lastModifiedBy>Thomas, Matylda</cp:lastModifiedBy>
  <cp:revision>2</cp:revision>
  <dcterms:created xsi:type="dcterms:W3CDTF">2021-02-03T02:33:00Z</dcterms:created>
  <dcterms:modified xsi:type="dcterms:W3CDTF">2021-02-03T02:33:00Z</dcterms:modified>
  <cp:category>Cloud Policy Fact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0x010100F8F7C1A7ADFF7A49AB267EF74F6A9BBC</vt:lpwstr>
  </property>
  <property fmtid="{D5CDD505-2E9C-101B-9397-08002B2CF9AE}" pid="3" name="_AdHocReviewCycleID">
    <vt:i4>878953093</vt:i4>
  </property>
  <property fmtid="{D5CDD505-2E9C-101B-9397-08002B2CF9AE}" pid="4" name="_NewReviewCycle">
    <vt:lpwstr/>
  </property>
  <property fmtid="{D5CDD505-2E9C-101B-9397-08002B2CF9AE}" pid="5" name="_EmailSubject">
    <vt:lpwstr>Website updates</vt:lpwstr>
  </property>
  <property fmtid="{D5CDD505-2E9C-101B-9397-08002B2CF9AE}" pid="6" name="_AuthorEmail">
    <vt:lpwstr>Matylda.Thomas@dpc.wa.gov.au</vt:lpwstr>
  </property>
  <property fmtid="{D5CDD505-2E9C-101B-9397-08002B2CF9AE}" pid="7" name="_AuthorEmailDisplayName">
    <vt:lpwstr>Thomas, Matylda</vt:lpwstr>
  </property>
  <property fmtid="{D5CDD505-2E9C-101B-9397-08002B2CF9AE}" pid="8" name="_PreviousAdHocReviewCycleID">
    <vt:i4>-1153148359</vt:i4>
  </property>
</Properties>
</file>