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18" w:type="pct"/>
        <w:tblBorders>
          <w:top w:val="single" w:sz="12" w:space="0" w:color="auto"/>
          <w:insideH w:val="single" w:sz="2" w:space="0" w:color="auto"/>
        </w:tblBorders>
        <w:tblLook w:val="0000" w:firstRow="0" w:lastRow="0" w:firstColumn="0" w:lastColumn="0" w:noHBand="0" w:noVBand="0"/>
      </w:tblPr>
      <w:tblGrid>
        <w:gridCol w:w="1505"/>
        <w:gridCol w:w="7854"/>
      </w:tblGrid>
      <w:tr w:rsidR="00630FD2" w:rsidRPr="005E3A24" w:rsidTr="00AD5F4C">
        <w:trPr>
          <w:cantSplit/>
          <w:trHeight w:val="360"/>
        </w:trPr>
        <w:tc>
          <w:tcPr>
            <w:tcW w:w="804" w:type="pct"/>
            <w:tcBorders>
              <w:top w:val="nil"/>
              <w:bottom w:val="nil"/>
            </w:tcBorders>
          </w:tcPr>
          <w:p w:rsidR="00630FD2" w:rsidRPr="005E3A24" w:rsidRDefault="00A63F4E" w:rsidP="00630FD2">
            <w:pPr>
              <w:rPr>
                <w:rFonts w:ascii="Arial" w:hAnsi="Arial" w:cs="Arial"/>
              </w:rPr>
            </w:pPr>
            <w:r w:rsidRPr="00A63F4E">
              <w:rPr>
                <w:rFonts w:ascii="Arial" w:hAnsi="Arial" w:cs="Arial"/>
                <w:noProof/>
                <w:lang w:eastAsia="en-AU"/>
              </w:rPr>
              <w:drawing>
                <wp:anchor distT="0" distB="0" distL="114300" distR="114300" simplePos="0" relativeHeight="251659264" behindDoc="1" locked="0" layoutInCell="1" allowOverlap="1">
                  <wp:simplePos x="0" y="0"/>
                  <wp:positionH relativeFrom="column">
                    <wp:posOffset>-819785</wp:posOffset>
                  </wp:positionH>
                  <wp:positionV relativeFrom="paragraph">
                    <wp:posOffset>-729615</wp:posOffset>
                  </wp:positionV>
                  <wp:extent cx="7572375" cy="1466850"/>
                  <wp:effectExtent l="0" t="0" r="0" b="0"/>
                  <wp:wrapNone/>
                  <wp:docPr id="5" name="Picture 1" descr="Government of Western Australia, Public Secto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C LH (2).jpg"/>
                          <pic:cNvPicPr/>
                        </pic:nvPicPr>
                        <pic:blipFill>
                          <a:blip r:embed="rId9" cstate="print">
                            <a:clrChange>
                              <a:clrFrom>
                                <a:srgbClr val="FFFFFF"/>
                              </a:clrFrom>
                              <a:clrTo>
                                <a:srgbClr val="FFFFFF">
                                  <a:alpha val="0"/>
                                </a:srgbClr>
                              </a:clrTo>
                            </a:clrChange>
                          </a:blip>
                          <a:srcRect/>
                          <a:stretch>
                            <a:fillRect/>
                          </a:stretch>
                        </pic:blipFill>
                        <pic:spPr>
                          <a:xfrm>
                            <a:off x="0" y="0"/>
                            <a:ext cx="7572375" cy="1466850"/>
                          </a:xfrm>
                          <a:prstGeom prst="rect">
                            <a:avLst/>
                          </a:prstGeom>
                        </pic:spPr>
                      </pic:pic>
                    </a:graphicData>
                  </a:graphic>
                </wp:anchor>
              </w:drawing>
            </w:r>
          </w:p>
        </w:tc>
        <w:tc>
          <w:tcPr>
            <w:tcW w:w="4196" w:type="pct"/>
            <w:tcBorders>
              <w:top w:val="nil"/>
              <w:bottom w:val="nil"/>
            </w:tcBorders>
          </w:tcPr>
          <w:p w:rsidR="00630FD2" w:rsidRPr="005E3A24" w:rsidRDefault="00630FD2" w:rsidP="00630FD2">
            <w:pPr>
              <w:pStyle w:val="Title"/>
              <w:rPr>
                <w:rFonts w:cs="Arial"/>
                <w:sz w:val="18"/>
                <w:szCs w:val="24"/>
              </w:rPr>
            </w:pPr>
          </w:p>
          <w:p w:rsidR="00630FD2" w:rsidRDefault="00630FD2" w:rsidP="00630FD2">
            <w:pPr>
              <w:rPr>
                <w:rFonts w:ascii="Arial" w:hAnsi="Arial" w:cs="Arial"/>
                <w:sz w:val="20"/>
              </w:rPr>
            </w:pPr>
          </w:p>
          <w:p w:rsidR="00A63F4E" w:rsidRDefault="00A63F4E" w:rsidP="00630FD2">
            <w:pPr>
              <w:rPr>
                <w:rFonts w:ascii="Arial" w:hAnsi="Arial" w:cs="Arial"/>
                <w:sz w:val="20"/>
              </w:rPr>
            </w:pPr>
          </w:p>
          <w:p w:rsidR="00A63F4E" w:rsidRPr="005E3A24" w:rsidRDefault="00A63F4E" w:rsidP="00630FD2">
            <w:pPr>
              <w:rPr>
                <w:rFonts w:ascii="Arial" w:hAnsi="Arial" w:cs="Arial"/>
                <w:sz w:val="20"/>
              </w:rPr>
            </w:pPr>
          </w:p>
        </w:tc>
      </w:tr>
    </w:tbl>
    <w:p w:rsidR="00630FD2" w:rsidRPr="005E3A24" w:rsidRDefault="00630FD2" w:rsidP="00630FD2">
      <w:pPr>
        <w:rPr>
          <w:rFonts w:ascii="Arial" w:hAnsi="Arial" w:cs="Arial"/>
          <w:b/>
          <w:sz w:val="10"/>
          <w:szCs w:val="10"/>
        </w:rPr>
      </w:pPr>
    </w:p>
    <w:p w:rsidR="00630FD2" w:rsidRPr="00AD5F4C" w:rsidRDefault="00630FD2" w:rsidP="00EC0D9A">
      <w:pPr>
        <w:pStyle w:val="Heading1"/>
      </w:pPr>
      <w:r w:rsidRPr="00AD5F4C">
        <w:t xml:space="preserve">Western </w:t>
      </w:r>
      <w:r w:rsidRPr="00EC0D9A">
        <w:t>Australian</w:t>
      </w:r>
      <w:r w:rsidRPr="00AD5F4C">
        <w:t xml:space="preserve"> Public Sector Workforce Report (</w:t>
      </w:r>
      <w:r w:rsidR="002256E1">
        <w:t>March</w:t>
      </w:r>
      <w:r w:rsidR="001C1D1E" w:rsidRPr="00AD5F4C">
        <w:t xml:space="preserve"> </w:t>
      </w:r>
      <w:r w:rsidR="002256E1">
        <w:t>2011</w:t>
      </w:r>
      <w:r w:rsidRPr="00AD5F4C">
        <w:t>)</w:t>
      </w:r>
    </w:p>
    <w:p w:rsidR="00630FD2" w:rsidRPr="00AD5F4C" w:rsidRDefault="00630FD2" w:rsidP="00630FD2">
      <w:pPr>
        <w:rPr>
          <w:rFonts w:asciiTheme="minorHAnsi" w:hAnsiTheme="minorHAnsi" w:cs="Arial"/>
          <w:b/>
          <w:bCs/>
          <w:sz w:val="10"/>
          <w:szCs w:val="10"/>
        </w:rPr>
      </w:pPr>
    </w:p>
    <w:p w:rsidR="00630FD2" w:rsidRPr="00AD5F4C" w:rsidRDefault="00630FD2" w:rsidP="00630FD2">
      <w:pPr>
        <w:spacing w:before="120"/>
        <w:contextualSpacing/>
        <w:jc w:val="both"/>
        <w:rPr>
          <w:rFonts w:asciiTheme="minorHAnsi" w:hAnsiTheme="minorHAnsi" w:cs="Arial"/>
          <w:sz w:val="22"/>
          <w:szCs w:val="22"/>
        </w:rPr>
      </w:pPr>
      <w:r w:rsidRPr="00AD5F4C">
        <w:rPr>
          <w:rFonts w:asciiTheme="minorHAnsi" w:hAnsiTheme="minorHAnsi" w:cs="Arial"/>
          <w:sz w:val="22"/>
          <w:szCs w:val="22"/>
        </w:rPr>
        <w:t>In 2007/08, the Department of the Premier a</w:t>
      </w:r>
      <w:bookmarkStart w:id="0" w:name="_GoBack"/>
      <w:bookmarkEnd w:id="0"/>
      <w:r w:rsidRPr="00AD5F4C">
        <w:rPr>
          <w:rFonts w:asciiTheme="minorHAnsi" w:hAnsiTheme="minorHAnsi" w:cs="Arial"/>
          <w:sz w:val="22"/>
          <w:szCs w:val="22"/>
        </w:rPr>
        <w:t>nd Cabinet (DPC) introduced a new information system to improve workforce reporting on the Western Australian public sector.</w:t>
      </w:r>
      <w:r w:rsidR="009D54ED" w:rsidRPr="00AD5F4C">
        <w:rPr>
          <w:rStyle w:val="FootnoteReference"/>
          <w:rFonts w:asciiTheme="minorHAnsi" w:hAnsiTheme="minorHAnsi" w:cs="Arial"/>
          <w:sz w:val="22"/>
          <w:szCs w:val="22"/>
        </w:rPr>
        <w:footnoteReference w:id="1"/>
      </w:r>
      <w:r w:rsidRPr="00AD5F4C">
        <w:rPr>
          <w:rFonts w:asciiTheme="minorHAnsi" w:hAnsiTheme="minorHAnsi" w:cs="Arial"/>
          <w:sz w:val="22"/>
          <w:szCs w:val="22"/>
        </w:rPr>
        <w:t xml:space="preserve"> This process is referred to as the </w:t>
      </w:r>
      <w:r w:rsidRPr="00AD5F4C">
        <w:rPr>
          <w:rFonts w:asciiTheme="minorHAnsi" w:hAnsiTheme="minorHAnsi" w:cs="Arial"/>
          <w:i/>
          <w:sz w:val="22"/>
          <w:szCs w:val="22"/>
        </w:rPr>
        <w:t>Human Resource Minimum Obligatory Information Requirements</w:t>
      </w:r>
      <w:r w:rsidRPr="00AD5F4C">
        <w:rPr>
          <w:rFonts w:asciiTheme="minorHAnsi" w:hAnsiTheme="minorHAnsi" w:cs="Arial"/>
          <w:sz w:val="22"/>
          <w:szCs w:val="22"/>
        </w:rPr>
        <w:t xml:space="preserve"> (</w:t>
      </w:r>
      <w:r w:rsidR="000366F4">
        <w:rPr>
          <w:rFonts w:asciiTheme="minorHAnsi" w:hAnsiTheme="minorHAnsi" w:cs="Arial"/>
          <w:sz w:val="22"/>
          <w:szCs w:val="22"/>
        </w:rPr>
        <w:t>HRMOIR</w:t>
      </w:r>
      <w:r w:rsidRPr="00AD5F4C">
        <w:rPr>
          <w:rFonts w:asciiTheme="minorHAnsi" w:hAnsiTheme="minorHAnsi" w:cs="Arial"/>
          <w:sz w:val="22"/>
          <w:szCs w:val="22"/>
        </w:rPr>
        <w:t>). The Public Sector Commission (PSC) was created in November 2008 and is continuing this process.</w:t>
      </w:r>
    </w:p>
    <w:p w:rsidR="00630FD2" w:rsidRPr="00AD5F4C" w:rsidRDefault="00630FD2" w:rsidP="00630FD2">
      <w:pPr>
        <w:spacing w:before="120"/>
        <w:jc w:val="both"/>
        <w:rPr>
          <w:rFonts w:asciiTheme="minorHAnsi" w:hAnsiTheme="minorHAnsi" w:cs="Arial"/>
          <w:sz w:val="22"/>
          <w:szCs w:val="22"/>
        </w:rPr>
      </w:pPr>
      <w:r w:rsidRPr="00AD5F4C">
        <w:rPr>
          <w:rFonts w:asciiTheme="minorHAnsi" w:hAnsiTheme="minorHAnsi" w:cs="Arial"/>
          <w:sz w:val="22"/>
          <w:szCs w:val="22"/>
        </w:rPr>
        <w:t xml:space="preserve">This report provides information, as at </w:t>
      </w:r>
      <w:r w:rsidR="00D21DCF">
        <w:rPr>
          <w:rFonts w:asciiTheme="minorHAnsi" w:hAnsiTheme="minorHAnsi" w:cs="Arial"/>
          <w:sz w:val="22"/>
          <w:szCs w:val="22"/>
        </w:rPr>
        <w:t>3</w:t>
      </w:r>
      <w:r w:rsidR="00DC4AB2">
        <w:rPr>
          <w:rFonts w:asciiTheme="minorHAnsi" w:hAnsiTheme="minorHAnsi" w:cs="Arial"/>
          <w:sz w:val="22"/>
          <w:szCs w:val="22"/>
        </w:rPr>
        <w:t>1</w:t>
      </w:r>
      <w:r w:rsidR="00AE2C6C">
        <w:rPr>
          <w:rFonts w:asciiTheme="minorHAnsi" w:hAnsiTheme="minorHAnsi" w:cs="Arial"/>
          <w:sz w:val="22"/>
          <w:szCs w:val="22"/>
        </w:rPr>
        <w:t xml:space="preserve"> </w:t>
      </w:r>
      <w:r w:rsidR="002256E1">
        <w:rPr>
          <w:rFonts w:asciiTheme="minorHAnsi" w:hAnsiTheme="minorHAnsi" w:cs="Arial"/>
          <w:sz w:val="22"/>
          <w:szCs w:val="22"/>
        </w:rPr>
        <w:t>March 2011</w:t>
      </w:r>
      <w:r w:rsidRPr="00AD5F4C">
        <w:rPr>
          <w:rFonts w:asciiTheme="minorHAnsi" w:hAnsiTheme="minorHAnsi" w:cs="Arial"/>
          <w:sz w:val="22"/>
          <w:szCs w:val="22"/>
        </w:rPr>
        <w:t>, on:</w:t>
      </w:r>
    </w:p>
    <w:p w:rsidR="00630FD2" w:rsidRPr="00AD5F4C" w:rsidRDefault="003C4248" w:rsidP="00630FD2">
      <w:pPr>
        <w:pStyle w:val="ListParagraph"/>
        <w:numPr>
          <w:ilvl w:val="0"/>
          <w:numId w:val="6"/>
        </w:numPr>
        <w:spacing w:before="120"/>
        <w:jc w:val="both"/>
        <w:rPr>
          <w:rFonts w:asciiTheme="minorHAnsi" w:hAnsiTheme="minorHAnsi" w:cs="Arial"/>
          <w:sz w:val="22"/>
          <w:szCs w:val="22"/>
        </w:rPr>
      </w:pPr>
      <w:r>
        <w:rPr>
          <w:rFonts w:asciiTheme="minorHAnsi" w:hAnsiTheme="minorHAnsi" w:cs="Arial"/>
          <w:sz w:val="22"/>
          <w:szCs w:val="22"/>
        </w:rPr>
        <w:t>Headcount</w:t>
      </w:r>
      <w:r w:rsidRPr="00AD5F4C">
        <w:rPr>
          <w:rStyle w:val="FootnoteReference"/>
          <w:rFonts w:asciiTheme="minorHAnsi" w:hAnsiTheme="minorHAnsi" w:cs="Arial"/>
          <w:sz w:val="20"/>
        </w:rPr>
        <w:footnoteReference w:id="2"/>
      </w:r>
      <w:r w:rsidR="00DC4AB2">
        <w:rPr>
          <w:rFonts w:asciiTheme="minorHAnsi" w:hAnsiTheme="minorHAnsi" w:cs="Arial"/>
          <w:sz w:val="22"/>
          <w:szCs w:val="22"/>
        </w:rPr>
        <w:t xml:space="preserve"> </w:t>
      </w:r>
      <w:r>
        <w:rPr>
          <w:rFonts w:asciiTheme="minorHAnsi" w:hAnsiTheme="minorHAnsi" w:cs="Arial"/>
          <w:sz w:val="22"/>
          <w:szCs w:val="22"/>
        </w:rPr>
        <w:t xml:space="preserve">- </w:t>
      </w:r>
      <w:r w:rsidR="000964CF" w:rsidRPr="00AD5F4C">
        <w:rPr>
          <w:rFonts w:asciiTheme="minorHAnsi" w:hAnsiTheme="minorHAnsi" w:cs="Arial"/>
          <w:sz w:val="22"/>
          <w:szCs w:val="22"/>
        </w:rPr>
        <w:t xml:space="preserve">the number of employees </w:t>
      </w:r>
      <w:r w:rsidR="00630FD2" w:rsidRPr="00AD5F4C">
        <w:rPr>
          <w:rFonts w:asciiTheme="minorHAnsi" w:hAnsiTheme="minorHAnsi" w:cs="Arial"/>
          <w:sz w:val="22"/>
          <w:szCs w:val="22"/>
        </w:rPr>
        <w:t>in WA public sector agencies;</w:t>
      </w:r>
    </w:p>
    <w:p w:rsidR="00630FD2" w:rsidRPr="00AD5F4C" w:rsidRDefault="003C4248" w:rsidP="00630FD2">
      <w:pPr>
        <w:pStyle w:val="ListParagraph"/>
        <w:numPr>
          <w:ilvl w:val="0"/>
          <w:numId w:val="6"/>
        </w:numPr>
        <w:spacing w:before="120"/>
        <w:jc w:val="both"/>
        <w:rPr>
          <w:rFonts w:asciiTheme="minorHAnsi" w:hAnsiTheme="minorHAnsi" w:cs="Arial"/>
          <w:sz w:val="22"/>
          <w:szCs w:val="22"/>
        </w:rPr>
      </w:pPr>
      <w:r>
        <w:rPr>
          <w:rFonts w:asciiTheme="minorHAnsi" w:hAnsiTheme="minorHAnsi" w:cs="Arial"/>
          <w:sz w:val="22"/>
          <w:szCs w:val="22"/>
        </w:rPr>
        <w:t>Paid FTE</w:t>
      </w:r>
      <w:r w:rsidRPr="00AD5F4C">
        <w:rPr>
          <w:rStyle w:val="FootnoteReference"/>
          <w:rFonts w:asciiTheme="minorHAnsi" w:hAnsiTheme="minorHAnsi" w:cs="Arial"/>
          <w:sz w:val="20"/>
        </w:rPr>
        <w:footnoteReference w:id="3"/>
      </w:r>
      <w:r w:rsidR="00DC4AB2">
        <w:rPr>
          <w:rFonts w:asciiTheme="minorHAnsi" w:hAnsiTheme="minorHAnsi" w:cs="Arial"/>
          <w:sz w:val="22"/>
          <w:szCs w:val="22"/>
        </w:rPr>
        <w:t xml:space="preserve"> </w:t>
      </w:r>
      <w:r>
        <w:rPr>
          <w:rFonts w:asciiTheme="minorHAnsi" w:hAnsiTheme="minorHAnsi" w:cs="Arial"/>
          <w:sz w:val="22"/>
          <w:szCs w:val="22"/>
        </w:rPr>
        <w:t xml:space="preserve">- </w:t>
      </w:r>
      <w:r w:rsidR="00630FD2" w:rsidRPr="00AD5F4C">
        <w:rPr>
          <w:rFonts w:asciiTheme="minorHAnsi" w:hAnsiTheme="minorHAnsi" w:cs="Arial"/>
          <w:sz w:val="22"/>
          <w:szCs w:val="22"/>
        </w:rPr>
        <w:t>full time equivalent (FTE) employees in WA public sector agencies; and</w:t>
      </w:r>
    </w:p>
    <w:p w:rsidR="00630FD2" w:rsidRPr="00AD5F4C" w:rsidRDefault="003C4248" w:rsidP="00630FD2">
      <w:pPr>
        <w:pStyle w:val="ListParagraph"/>
        <w:numPr>
          <w:ilvl w:val="0"/>
          <w:numId w:val="6"/>
        </w:numPr>
        <w:spacing w:before="120"/>
        <w:jc w:val="both"/>
        <w:rPr>
          <w:rFonts w:asciiTheme="minorHAnsi" w:hAnsiTheme="minorHAnsi" w:cs="Arial"/>
          <w:sz w:val="22"/>
          <w:szCs w:val="22"/>
        </w:rPr>
      </w:pPr>
      <w:r>
        <w:rPr>
          <w:rFonts w:asciiTheme="minorHAnsi" w:hAnsiTheme="minorHAnsi" w:cs="Arial"/>
          <w:sz w:val="22"/>
          <w:szCs w:val="22"/>
        </w:rPr>
        <w:t>Average Paid FTE</w:t>
      </w:r>
      <w:r w:rsidRPr="00AD5F4C">
        <w:rPr>
          <w:rStyle w:val="FootnoteReference"/>
          <w:rFonts w:asciiTheme="minorHAnsi" w:hAnsiTheme="minorHAnsi" w:cs="Arial"/>
          <w:sz w:val="22"/>
          <w:szCs w:val="22"/>
        </w:rPr>
        <w:footnoteReference w:id="4"/>
      </w:r>
      <w:r w:rsidR="00DC4AB2">
        <w:rPr>
          <w:rFonts w:asciiTheme="minorHAnsi" w:hAnsiTheme="minorHAnsi" w:cs="Arial"/>
          <w:sz w:val="22"/>
          <w:szCs w:val="22"/>
        </w:rPr>
        <w:t xml:space="preserve"> </w:t>
      </w:r>
      <w:r>
        <w:rPr>
          <w:rFonts w:asciiTheme="minorHAnsi" w:hAnsiTheme="minorHAnsi" w:cs="Arial"/>
          <w:sz w:val="22"/>
          <w:szCs w:val="22"/>
        </w:rPr>
        <w:t xml:space="preserve">- </w:t>
      </w:r>
      <w:r w:rsidR="008139FC">
        <w:rPr>
          <w:rFonts w:asciiTheme="minorHAnsi" w:hAnsiTheme="minorHAnsi" w:cs="Arial"/>
          <w:sz w:val="22"/>
          <w:szCs w:val="22"/>
        </w:rPr>
        <w:t xml:space="preserve">Seasonally adjusted </w:t>
      </w:r>
      <w:r w:rsidR="00630FD2" w:rsidRPr="00AD5F4C">
        <w:rPr>
          <w:rFonts w:asciiTheme="minorHAnsi" w:hAnsiTheme="minorHAnsi" w:cs="Arial"/>
          <w:sz w:val="22"/>
          <w:szCs w:val="22"/>
        </w:rPr>
        <w:t>average full time equivalent (FTE) employees in WA public sector agencies.</w:t>
      </w:r>
    </w:p>
    <w:p w:rsidR="00C63B6B" w:rsidRDefault="00630FD2" w:rsidP="00C63B6B">
      <w:pPr>
        <w:spacing w:before="120"/>
        <w:contextualSpacing/>
        <w:jc w:val="both"/>
        <w:rPr>
          <w:rFonts w:asciiTheme="minorHAnsi" w:hAnsiTheme="minorHAnsi" w:cs="Arial"/>
          <w:sz w:val="22"/>
          <w:szCs w:val="22"/>
        </w:rPr>
      </w:pPr>
      <w:r w:rsidRPr="00AD5F4C">
        <w:rPr>
          <w:rFonts w:asciiTheme="minorHAnsi" w:hAnsiTheme="minorHAnsi" w:cs="Arial"/>
          <w:sz w:val="22"/>
          <w:szCs w:val="22"/>
        </w:rPr>
        <w:t>In accordance with the Premier’s Economic Statement in February 2009</w:t>
      </w:r>
      <w:r w:rsidR="003C4248">
        <w:rPr>
          <w:rFonts w:asciiTheme="minorHAnsi" w:hAnsiTheme="minorHAnsi" w:cs="Arial"/>
          <w:sz w:val="22"/>
          <w:szCs w:val="22"/>
        </w:rPr>
        <w:t xml:space="preserve"> and the Cabinet decision of 27 </w:t>
      </w:r>
      <w:r w:rsidRPr="00AD5F4C">
        <w:rPr>
          <w:rFonts w:asciiTheme="minorHAnsi" w:hAnsiTheme="minorHAnsi" w:cs="Arial"/>
          <w:sz w:val="22"/>
          <w:szCs w:val="22"/>
        </w:rPr>
        <w:t xml:space="preserve">July 2009, an FTE ceiling has been </w:t>
      </w:r>
      <w:r w:rsidR="00624690">
        <w:rPr>
          <w:rFonts w:asciiTheme="minorHAnsi" w:hAnsiTheme="minorHAnsi" w:cs="Arial"/>
          <w:sz w:val="22"/>
          <w:szCs w:val="22"/>
        </w:rPr>
        <w:t xml:space="preserve">applied to </w:t>
      </w:r>
      <w:r w:rsidRPr="00AD5F4C">
        <w:rPr>
          <w:rFonts w:asciiTheme="minorHAnsi" w:hAnsiTheme="minorHAnsi" w:cs="Arial"/>
          <w:sz w:val="22"/>
          <w:szCs w:val="22"/>
        </w:rPr>
        <w:t xml:space="preserve">public sector agencies. PSC is assisting the Department of Treasury and Finance </w:t>
      </w:r>
      <w:r w:rsidR="003C4248">
        <w:rPr>
          <w:rFonts w:asciiTheme="minorHAnsi" w:hAnsiTheme="minorHAnsi" w:cs="Arial"/>
          <w:sz w:val="22"/>
          <w:szCs w:val="22"/>
        </w:rPr>
        <w:t xml:space="preserve">(DTF) </w:t>
      </w:r>
      <w:r w:rsidRPr="00AD5F4C">
        <w:rPr>
          <w:rFonts w:asciiTheme="minorHAnsi" w:hAnsiTheme="minorHAnsi" w:cs="Arial"/>
          <w:sz w:val="22"/>
          <w:szCs w:val="22"/>
        </w:rPr>
        <w:t xml:space="preserve">with the monitoring and reporting </w:t>
      </w:r>
      <w:r w:rsidR="00624690">
        <w:rPr>
          <w:rFonts w:asciiTheme="minorHAnsi" w:hAnsiTheme="minorHAnsi" w:cs="Arial"/>
          <w:sz w:val="22"/>
          <w:szCs w:val="22"/>
        </w:rPr>
        <w:t>against this requirement</w:t>
      </w:r>
      <w:r w:rsidRPr="00AD5F4C">
        <w:rPr>
          <w:rFonts w:asciiTheme="minorHAnsi" w:hAnsiTheme="minorHAnsi" w:cs="Arial"/>
          <w:sz w:val="22"/>
          <w:szCs w:val="22"/>
        </w:rPr>
        <w:t xml:space="preserve">. </w:t>
      </w:r>
      <w:r w:rsidR="00DC4AB2">
        <w:rPr>
          <w:rFonts w:asciiTheme="minorHAnsi" w:hAnsiTheme="minorHAnsi" w:cs="Arial"/>
          <w:sz w:val="22"/>
          <w:szCs w:val="22"/>
        </w:rPr>
        <w:t xml:space="preserve">This </w:t>
      </w:r>
      <w:r w:rsidRPr="00AD5F4C">
        <w:rPr>
          <w:rFonts w:asciiTheme="minorHAnsi" w:hAnsiTheme="minorHAnsi" w:cs="Arial"/>
          <w:sz w:val="22"/>
          <w:szCs w:val="22"/>
        </w:rPr>
        <w:t xml:space="preserve">Workforce </w:t>
      </w:r>
      <w:r w:rsidR="003C4248">
        <w:rPr>
          <w:rFonts w:asciiTheme="minorHAnsi" w:hAnsiTheme="minorHAnsi" w:cs="Arial"/>
          <w:sz w:val="22"/>
          <w:szCs w:val="22"/>
        </w:rPr>
        <w:t>R</w:t>
      </w:r>
      <w:r w:rsidRPr="00AD5F4C">
        <w:rPr>
          <w:rFonts w:asciiTheme="minorHAnsi" w:hAnsiTheme="minorHAnsi" w:cs="Arial"/>
          <w:sz w:val="22"/>
          <w:szCs w:val="22"/>
        </w:rPr>
        <w:t xml:space="preserve">eport </w:t>
      </w:r>
      <w:r w:rsidR="003C4248">
        <w:rPr>
          <w:rFonts w:asciiTheme="minorHAnsi" w:hAnsiTheme="minorHAnsi" w:cs="Arial"/>
          <w:sz w:val="22"/>
          <w:szCs w:val="22"/>
        </w:rPr>
        <w:t xml:space="preserve">categorises </w:t>
      </w:r>
      <w:r w:rsidRPr="00AD5F4C">
        <w:rPr>
          <w:rFonts w:asciiTheme="minorHAnsi" w:hAnsiTheme="minorHAnsi" w:cs="Arial"/>
          <w:sz w:val="22"/>
          <w:szCs w:val="22"/>
        </w:rPr>
        <w:t xml:space="preserve">agencies </w:t>
      </w:r>
      <w:r w:rsidR="003C4248">
        <w:rPr>
          <w:rFonts w:asciiTheme="minorHAnsi" w:hAnsiTheme="minorHAnsi" w:cs="Arial"/>
          <w:sz w:val="22"/>
          <w:szCs w:val="22"/>
        </w:rPr>
        <w:t xml:space="preserve">that are </w:t>
      </w:r>
      <w:r w:rsidRPr="00AD5F4C">
        <w:rPr>
          <w:rFonts w:asciiTheme="minorHAnsi" w:hAnsiTheme="minorHAnsi" w:cs="Arial"/>
          <w:sz w:val="22"/>
          <w:szCs w:val="22"/>
        </w:rPr>
        <w:t xml:space="preserve">required to meet the FTE ceiling, and those not required to do so.  </w:t>
      </w:r>
      <w:r w:rsidR="003C4248" w:rsidRPr="00AD5F4C">
        <w:rPr>
          <w:rFonts w:asciiTheme="minorHAnsi" w:hAnsiTheme="minorHAnsi" w:cs="Arial"/>
          <w:sz w:val="22"/>
          <w:szCs w:val="22"/>
        </w:rPr>
        <w:t xml:space="preserve">Note, there are five agencies </w:t>
      </w:r>
      <w:r w:rsidR="008139FC">
        <w:rPr>
          <w:rFonts w:asciiTheme="minorHAnsi" w:hAnsiTheme="minorHAnsi" w:cs="Arial"/>
          <w:sz w:val="22"/>
          <w:szCs w:val="22"/>
        </w:rPr>
        <w:t xml:space="preserve">that are required to comply with an </w:t>
      </w:r>
      <w:r w:rsidR="003C4248" w:rsidRPr="00AD5F4C">
        <w:rPr>
          <w:rFonts w:asciiTheme="minorHAnsi" w:hAnsiTheme="minorHAnsi" w:cs="Arial"/>
          <w:sz w:val="22"/>
          <w:szCs w:val="22"/>
        </w:rPr>
        <w:t xml:space="preserve">FTE ceiling </w:t>
      </w:r>
      <w:r w:rsidR="003C4248">
        <w:rPr>
          <w:rFonts w:asciiTheme="minorHAnsi" w:hAnsiTheme="minorHAnsi" w:cs="Arial"/>
          <w:sz w:val="22"/>
          <w:szCs w:val="22"/>
        </w:rPr>
        <w:t>that</w:t>
      </w:r>
      <w:r w:rsidR="003C4248" w:rsidRPr="00AD5F4C">
        <w:rPr>
          <w:rFonts w:asciiTheme="minorHAnsi" w:hAnsiTheme="minorHAnsi" w:cs="Arial"/>
          <w:sz w:val="22"/>
          <w:szCs w:val="22"/>
        </w:rPr>
        <w:t xml:space="preserve"> do not report </w:t>
      </w:r>
      <w:r w:rsidR="000366F4">
        <w:rPr>
          <w:rFonts w:asciiTheme="minorHAnsi" w:hAnsiTheme="minorHAnsi" w:cs="Arial"/>
          <w:sz w:val="22"/>
          <w:szCs w:val="22"/>
        </w:rPr>
        <w:t>HRMOIR</w:t>
      </w:r>
      <w:r w:rsidR="003C4248" w:rsidRPr="00AD5F4C">
        <w:rPr>
          <w:rFonts w:asciiTheme="minorHAnsi" w:hAnsiTheme="minorHAnsi" w:cs="Arial"/>
          <w:sz w:val="22"/>
          <w:szCs w:val="22"/>
        </w:rPr>
        <w:t xml:space="preserve"> data to PSC (refer </w:t>
      </w:r>
      <w:r w:rsidR="003C4248" w:rsidRPr="00E653FD">
        <w:rPr>
          <w:rFonts w:asciiTheme="minorHAnsi" w:hAnsiTheme="minorHAnsi" w:cs="Arial"/>
          <w:sz w:val="22"/>
          <w:szCs w:val="22"/>
        </w:rPr>
        <w:t>Table 2).</w:t>
      </w:r>
      <w:bookmarkStart w:id="3" w:name="OLE_LINK14"/>
      <w:bookmarkStart w:id="4" w:name="OLE_LINK15"/>
    </w:p>
    <w:p w:rsidR="00C63B6B" w:rsidRPr="00C63B6B" w:rsidRDefault="00C63B6B" w:rsidP="00C63B6B">
      <w:pPr>
        <w:spacing w:before="120"/>
        <w:jc w:val="both"/>
        <w:rPr>
          <w:rFonts w:asciiTheme="minorHAnsi" w:hAnsiTheme="minorHAnsi" w:cs="Arial"/>
          <w:sz w:val="22"/>
          <w:szCs w:val="22"/>
        </w:rPr>
      </w:pPr>
      <w:r w:rsidRPr="00C63B6B">
        <w:rPr>
          <w:rFonts w:asciiTheme="minorHAnsi" w:hAnsiTheme="minorHAnsi" w:cs="Arial"/>
          <w:sz w:val="22"/>
          <w:szCs w:val="22"/>
        </w:rPr>
        <w:t xml:space="preserve">Since the September 2010 quarter, DTF’s methodology used to calculate agencies’ FTE ceilings has been aligned to PSC’s FTE methodology. However, direct comparisons between the FTE ceiling and ‘Average Paid FTE’, should still be done with </w:t>
      </w:r>
      <w:r w:rsidR="009664CB">
        <w:rPr>
          <w:rFonts w:asciiTheme="minorHAnsi" w:hAnsiTheme="minorHAnsi" w:cs="Arial"/>
          <w:sz w:val="22"/>
          <w:szCs w:val="22"/>
        </w:rPr>
        <w:t>care</w:t>
      </w:r>
      <w:r w:rsidRPr="00C63B6B">
        <w:rPr>
          <w:rFonts w:asciiTheme="minorHAnsi" w:hAnsiTheme="minorHAnsi" w:cs="Arial"/>
          <w:sz w:val="22"/>
          <w:szCs w:val="22"/>
        </w:rPr>
        <w:t>.</w:t>
      </w:r>
    </w:p>
    <w:bookmarkEnd w:id="3"/>
    <w:bookmarkEnd w:id="4"/>
    <w:p w:rsidR="00C63B6B" w:rsidRDefault="00C63B6B" w:rsidP="00C63B6B">
      <w:pPr>
        <w:spacing w:before="120"/>
        <w:contextualSpacing/>
        <w:rPr>
          <w:rFonts w:asciiTheme="minorHAnsi" w:hAnsiTheme="minorHAnsi" w:cs="Arial"/>
          <w:color w:val="943634" w:themeColor="accent2" w:themeShade="BF"/>
          <w:sz w:val="22"/>
          <w:szCs w:val="22"/>
        </w:rPr>
      </w:pPr>
    </w:p>
    <w:p w:rsidR="00630FD2" w:rsidRDefault="00630FD2" w:rsidP="00630FD2">
      <w:pPr>
        <w:spacing w:before="120"/>
        <w:rPr>
          <w:rFonts w:asciiTheme="minorHAnsi" w:hAnsiTheme="minorHAnsi" w:cs="Arial"/>
          <w:color w:val="943634" w:themeColor="accent2" w:themeShade="BF"/>
          <w:sz w:val="22"/>
          <w:szCs w:val="22"/>
        </w:rPr>
      </w:pPr>
      <w:r w:rsidRPr="00AD5F4C">
        <w:rPr>
          <w:rFonts w:asciiTheme="minorHAnsi" w:hAnsiTheme="minorHAnsi" w:cs="Arial"/>
          <w:color w:val="943634" w:themeColor="accent2" w:themeShade="BF"/>
          <w:sz w:val="22"/>
          <w:szCs w:val="22"/>
        </w:rPr>
        <w:t xml:space="preserve">Table 1: Agencies Subject to a </w:t>
      </w:r>
      <w:r w:rsidR="001C1D1E" w:rsidRPr="00AD5F4C">
        <w:rPr>
          <w:rFonts w:asciiTheme="minorHAnsi" w:hAnsiTheme="minorHAnsi" w:cs="Arial"/>
          <w:color w:val="943634" w:themeColor="accent2" w:themeShade="BF"/>
          <w:sz w:val="22"/>
          <w:szCs w:val="22"/>
        </w:rPr>
        <w:t>20</w:t>
      </w:r>
      <w:r w:rsidR="001C1D1E">
        <w:rPr>
          <w:rFonts w:asciiTheme="minorHAnsi" w:hAnsiTheme="minorHAnsi" w:cs="Arial"/>
          <w:color w:val="943634" w:themeColor="accent2" w:themeShade="BF"/>
          <w:sz w:val="22"/>
          <w:szCs w:val="22"/>
        </w:rPr>
        <w:t>10</w:t>
      </w:r>
      <w:r w:rsidR="00E12E5C" w:rsidRPr="00AD5F4C">
        <w:rPr>
          <w:rFonts w:asciiTheme="minorHAnsi" w:hAnsiTheme="minorHAnsi" w:cs="Arial"/>
          <w:color w:val="943634" w:themeColor="accent2" w:themeShade="BF"/>
          <w:sz w:val="22"/>
          <w:szCs w:val="22"/>
        </w:rPr>
        <w:t>/</w:t>
      </w:r>
      <w:r w:rsidR="001C1D1E" w:rsidRPr="00AD5F4C">
        <w:rPr>
          <w:rFonts w:asciiTheme="minorHAnsi" w:hAnsiTheme="minorHAnsi" w:cs="Arial"/>
          <w:color w:val="943634" w:themeColor="accent2" w:themeShade="BF"/>
          <w:sz w:val="22"/>
          <w:szCs w:val="22"/>
        </w:rPr>
        <w:t>1</w:t>
      </w:r>
      <w:r w:rsidR="001C1D1E">
        <w:rPr>
          <w:rFonts w:asciiTheme="minorHAnsi" w:hAnsiTheme="minorHAnsi" w:cs="Arial"/>
          <w:color w:val="943634" w:themeColor="accent2" w:themeShade="BF"/>
          <w:sz w:val="22"/>
          <w:szCs w:val="22"/>
        </w:rPr>
        <w:t>1</w:t>
      </w:r>
      <w:r w:rsidR="001C1D1E" w:rsidRPr="00AD5F4C">
        <w:rPr>
          <w:rFonts w:asciiTheme="minorHAnsi" w:hAnsiTheme="minorHAnsi" w:cs="Arial"/>
          <w:color w:val="943634" w:themeColor="accent2" w:themeShade="BF"/>
          <w:sz w:val="22"/>
          <w:szCs w:val="22"/>
        </w:rPr>
        <w:t xml:space="preserve"> </w:t>
      </w:r>
      <w:r w:rsidRPr="00AD5F4C">
        <w:rPr>
          <w:rFonts w:asciiTheme="minorHAnsi" w:hAnsiTheme="minorHAnsi" w:cs="Arial"/>
          <w:color w:val="943634" w:themeColor="accent2" w:themeShade="BF"/>
          <w:sz w:val="22"/>
          <w:szCs w:val="22"/>
        </w:rPr>
        <w:t>FTE Ceiling</w:t>
      </w:r>
    </w:p>
    <w:tbl>
      <w:tblPr>
        <w:tblStyle w:val="LightShading-Accent11"/>
        <w:tblW w:w="9606" w:type="dxa"/>
        <w:tblLook w:val="04E0" w:firstRow="1" w:lastRow="1" w:firstColumn="1" w:lastColumn="0" w:noHBand="0" w:noVBand="1"/>
        <w:tblDescription w:val="A table showing agencies subject to a 2010/11 FTE Ceiling including Headcount March 2011, Paid FTE March 2011 and Average Paid FTE."/>
      </w:tblPr>
      <w:tblGrid>
        <w:gridCol w:w="5778"/>
        <w:gridCol w:w="1276"/>
        <w:gridCol w:w="1276"/>
        <w:gridCol w:w="1276"/>
      </w:tblGrid>
      <w:tr w:rsidR="009B29C1" w:rsidRPr="009B29C1" w:rsidTr="008359A0">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6767C9" w:rsidRPr="009B29C1" w:rsidRDefault="006767C9" w:rsidP="009B29C1">
            <w:pPr>
              <w:rPr>
                <w:rFonts w:asciiTheme="minorHAnsi" w:hAnsiTheme="minorHAnsi"/>
                <w:b w:val="0"/>
                <w:color w:val="000000"/>
                <w:sz w:val="20"/>
                <w:lang w:eastAsia="en-AU"/>
              </w:rPr>
            </w:pPr>
          </w:p>
        </w:tc>
        <w:tc>
          <w:tcPr>
            <w:tcW w:w="1276" w:type="dxa"/>
            <w:noWrap/>
            <w:vAlign w:val="center"/>
            <w:hideMark/>
          </w:tcPr>
          <w:p w:rsidR="00E40876" w:rsidRPr="009B29C1" w:rsidRDefault="00A64A89" w:rsidP="009B29C1">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9B29C1">
              <w:rPr>
                <w:rFonts w:asciiTheme="minorHAnsi" w:hAnsiTheme="minorHAnsi"/>
                <w:color w:val="000000"/>
                <w:sz w:val="20"/>
                <w:lang w:eastAsia="en-AU"/>
              </w:rPr>
              <w:t xml:space="preserve">Headcount </w:t>
            </w:r>
          </w:p>
          <w:p w:rsidR="006767C9" w:rsidRPr="009B29C1" w:rsidRDefault="00577422" w:rsidP="009B29C1">
            <w:pPr>
              <w:tabs>
                <w:tab w:val="center" w:pos="4153"/>
                <w:tab w:val="right" w:pos="8306"/>
              </w:tabs>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 w:val="20"/>
                <w:lang w:eastAsia="en-AU"/>
              </w:rPr>
            </w:pPr>
            <w:r w:rsidRPr="009B29C1">
              <w:rPr>
                <w:rFonts w:asciiTheme="minorHAnsi" w:hAnsiTheme="minorHAnsi"/>
                <w:color w:val="000000"/>
                <w:sz w:val="20"/>
                <w:lang w:eastAsia="en-AU"/>
              </w:rPr>
              <w:t>Mar 2011</w:t>
            </w:r>
            <w:r w:rsidR="00A64A89" w:rsidRPr="009B29C1">
              <w:rPr>
                <w:rFonts w:ascii="Calibri" w:hAnsi="Calibri"/>
                <w:color w:val="000000"/>
                <w:sz w:val="20"/>
                <w:vertAlign w:val="superscript"/>
                <w:lang w:eastAsia="en-AU"/>
              </w:rPr>
              <w:t>2</w:t>
            </w:r>
          </w:p>
        </w:tc>
        <w:tc>
          <w:tcPr>
            <w:tcW w:w="1276" w:type="dxa"/>
            <w:noWrap/>
            <w:vAlign w:val="center"/>
            <w:hideMark/>
          </w:tcPr>
          <w:p w:rsidR="006767C9" w:rsidRPr="009B29C1" w:rsidRDefault="00A64A89" w:rsidP="009B29C1">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0"/>
                <w:lang w:eastAsia="en-AU"/>
              </w:rPr>
            </w:pPr>
            <w:r w:rsidRPr="009B29C1">
              <w:rPr>
                <w:rFonts w:asciiTheme="minorHAnsi" w:hAnsiTheme="minorHAnsi"/>
                <w:color w:val="000000"/>
                <w:sz w:val="20"/>
                <w:lang w:eastAsia="en-AU"/>
              </w:rPr>
              <w:t xml:space="preserve">Paid FTE </w:t>
            </w:r>
          </w:p>
          <w:p w:rsidR="006767C9" w:rsidRPr="009B29C1" w:rsidRDefault="00577422" w:rsidP="009B29C1">
            <w:pPr>
              <w:tabs>
                <w:tab w:val="center" w:pos="4153"/>
                <w:tab w:val="right" w:pos="8306"/>
              </w:tabs>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 w:val="20"/>
                <w:lang w:eastAsia="en-AU"/>
              </w:rPr>
            </w:pPr>
            <w:r w:rsidRPr="009B29C1">
              <w:rPr>
                <w:rFonts w:asciiTheme="minorHAnsi" w:hAnsiTheme="minorHAnsi"/>
                <w:color w:val="000000"/>
                <w:sz w:val="20"/>
                <w:lang w:eastAsia="en-AU"/>
              </w:rPr>
              <w:t>Mar 2011</w:t>
            </w:r>
            <w:r w:rsidR="00A64A89" w:rsidRPr="009B29C1">
              <w:rPr>
                <w:rFonts w:ascii="Calibri" w:hAnsi="Calibri"/>
                <w:color w:val="000000"/>
                <w:sz w:val="20"/>
                <w:vertAlign w:val="superscript"/>
                <w:lang w:eastAsia="en-AU"/>
              </w:rPr>
              <w:t>3</w:t>
            </w:r>
          </w:p>
        </w:tc>
        <w:tc>
          <w:tcPr>
            <w:tcW w:w="1276" w:type="dxa"/>
            <w:noWrap/>
            <w:vAlign w:val="center"/>
            <w:hideMark/>
          </w:tcPr>
          <w:p w:rsidR="006767C9" w:rsidRPr="009B29C1" w:rsidRDefault="00A64A89" w:rsidP="009B29C1">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9B29C1">
              <w:rPr>
                <w:rFonts w:asciiTheme="minorHAnsi" w:hAnsiTheme="minorHAnsi"/>
                <w:color w:val="000000"/>
                <w:sz w:val="20"/>
                <w:lang w:eastAsia="en-AU"/>
              </w:rPr>
              <w:t xml:space="preserve">Average </w:t>
            </w:r>
          </w:p>
          <w:p w:rsidR="006767C9" w:rsidRPr="009B29C1" w:rsidRDefault="00A64A89" w:rsidP="009B29C1">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9B29C1">
              <w:rPr>
                <w:rFonts w:asciiTheme="minorHAnsi" w:hAnsiTheme="minorHAnsi"/>
                <w:color w:val="000000"/>
                <w:sz w:val="20"/>
                <w:lang w:eastAsia="en-AU"/>
              </w:rPr>
              <w:t>Paid FTE</w:t>
            </w:r>
            <w:r w:rsidRPr="009B29C1">
              <w:rPr>
                <w:rFonts w:ascii="Calibri" w:hAnsi="Calibri"/>
                <w:color w:val="000000"/>
                <w:sz w:val="20"/>
                <w:vertAlign w:val="superscript"/>
                <w:lang w:eastAsia="en-AU"/>
              </w:rPr>
              <w:t>4</w:t>
            </w:r>
          </w:p>
        </w:tc>
      </w:tr>
      <w:tr w:rsidR="009332ED" w:rsidRPr="009B29C1" w:rsidTr="00570D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Pr="009B29C1" w:rsidRDefault="009332ED" w:rsidP="009B29C1">
            <w:pPr>
              <w:rPr>
                <w:rFonts w:ascii="Calibri" w:hAnsi="Calibri"/>
                <w:color w:val="000000"/>
                <w:sz w:val="20"/>
              </w:rPr>
            </w:pPr>
            <w:r>
              <w:rPr>
                <w:rFonts w:ascii="Calibri" w:hAnsi="Calibri"/>
                <w:color w:val="000000"/>
                <w:sz w:val="20"/>
              </w:rPr>
              <w:t>Department of Education</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50</w:t>
            </w:r>
            <w:r>
              <w:rPr>
                <w:rFonts w:ascii="Calibri" w:hAnsi="Calibri"/>
                <w:color w:val="000000"/>
                <w:sz w:val="20"/>
              </w:rPr>
              <w:t>,</w:t>
            </w:r>
            <w:r w:rsidRPr="00E73589">
              <w:rPr>
                <w:rFonts w:ascii="Calibri" w:hAnsi="Calibri"/>
                <w:color w:val="000000"/>
                <w:sz w:val="20"/>
              </w:rPr>
              <w:t>978</w:t>
            </w:r>
          </w:p>
        </w:tc>
        <w:tc>
          <w:tcPr>
            <w:tcW w:w="1276" w:type="dxa"/>
            <w:noWrap/>
            <w:vAlign w:val="bottom"/>
            <w:hideMark/>
          </w:tcPr>
          <w:p w:rsidR="009332ED" w:rsidRP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33</w:t>
            </w:r>
            <w:r>
              <w:rPr>
                <w:rFonts w:ascii="Calibri" w:hAnsi="Calibri"/>
                <w:color w:val="000000"/>
                <w:sz w:val="20"/>
              </w:rPr>
              <w:t>,</w:t>
            </w:r>
            <w:r w:rsidRPr="009332ED">
              <w:rPr>
                <w:rFonts w:ascii="Calibri" w:hAnsi="Calibri"/>
                <w:color w:val="000000"/>
                <w:sz w:val="20"/>
              </w:rPr>
              <w:t>931</w:t>
            </w:r>
          </w:p>
        </w:tc>
        <w:tc>
          <w:tcPr>
            <w:tcW w:w="1276" w:type="dxa"/>
            <w:noWrap/>
            <w:vAlign w:val="bottom"/>
            <w:hideMark/>
          </w:tcPr>
          <w:p w:rsidR="009332ED" w:rsidRP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33</w:t>
            </w:r>
            <w:r>
              <w:rPr>
                <w:rFonts w:ascii="Calibri" w:hAnsi="Calibri"/>
                <w:color w:val="000000"/>
                <w:sz w:val="20"/>
              </w:rPr>
              <w:t>,</w:t>
            </w:r>
            <w:r w:rsidRPr="009332ED">
              <w:rPr>
                <w:rFonts w:ascii="Calibri" w:hAnsi="Calibri"/>
                <w:color w:val="000000"/>
                <w:sz w:val="20"/>
              </w:rPr>
              <w:t>556</w:t>
            </w:r>
          </w:p>
        </w:tc>
      </w:tr>
      <w:tr w:rsidR="009332ED" w:rsidRPr="009B29C1" w:rsidTr="00570DAE">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Health</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41</w:t>
            </w:r>
            <w:r>
              <w:rPr>
                <w:rFonts w:ascii="Calibri" w:hAnsi="Calibri"/>
                <w:color w:val="000000"/>
                <w:sz w:val="20"/>
              </w:rPr>
              <w:t>,</w:t>
            </w:r>
            <w:r w:rsidRPr="00E73589">
              <w:rPr>
                <w:rFonts w:ascii="Calibri" w:hAnsi="Calibri"/>
                <w:color w:val="000000"/>
                <w:sz w:val="20"/>
              </w:rPr>
              <w:t>593</w:t>
            </w:r>
          </w:p>
        </w:tc>
        <w:tc>
          <w:tcPr>
            <w:tcW w:w="1276" w:type="dxa"/>
            <w:noWrap/>
            <w:vAlign w:val="bottom"/>
            <w:hideMark/>
          </w:tcPr>
          <w:p w:rsidR="009332ED" w:rsidRP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32</w:t>
            </w:r>
            <w:r>
              <w:rPr>
                <w:rFonts w:ascii="Calibri" w:hAnsi="Calibri"/>
                <w:color w:val="000000"/>
                <w:sz w:val="20"/>
              </w:rPr>
              <w:t>,</w:t>
            </w:r>
            <w:r w:rsidRPr="009332ED">
              <w:rPr>
                <w:rFonts w:ascii="Calibri" w:hAnsi="Calibri"/>
                <w:color w:val="000000"/>
                <w:sz w:val="20"/>
              </w:rPr>
              <w:t>510</w:t>
            </w:r>
          </w:p>
        </w:tc>
        <w:tc>
          <w:tcPr>
            <w:tcW w:w="1276" w:type="dxa"/>
            <w:noWrap/>
            <w:vAlign w:val="bottom"/>
            <w:hideMark/>
          </w:tcPr>
          <w:p w:rsidR="009332ED" w:rsidRP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31</w:t>
            </w:r>
            <w:r>
              <w:rPr>
                <w:rFonts w:ascii="Calibri" w:hAnsi="Calibri"/>
                <w:color w:val="000000"/>
                <w:sz w:val="20"/>
              </w:rPr>
              <w:t>,</w:t>
            </w:r>
            <w:r w:rsidRPr="009332ED">
              <w:rPr>
                <w:rFonts w:ascii="Calibri" w:hAnsi="Calibri"/>
                <w:color w:val="000000"/>
                <w:sz w:val="20"/>
              </w:rPr>
              <w:t>721</w:t>
            </w:r>
          </w:p>
        </w:tc>
      </w:tr>
      <w:tr w:rsidR="009332ED" w:rsidRPr="009B29C1" w:rsidTr="00570D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Police Service (Western Australia Police) and Police Force</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8</w:t>
            </w:r>
            <w:r>
              <w:rPr>
                <w:rFonts w:ascii="Calibri" w:hAnsi="Calibri"/>
                <w:color w:val="000000"/>
                <w:sz w:val="20"/>
              </w:rPr>
              <w:t>,</w:t>
            </w:r>
            <w:r w:rsidRPr="00E73589">
              <w:rPr>
                <w:rFonts w:ascii="Calibri" w:hAnsi="Calibri"/>
                <w:color w:val="000000"/>
                <w:sz w:val="20"/>
              </w:rPr>
              <w:t>502</w:t>
            </w:r>
          </w:p>
        </w:tc>
        <w:tc>
          <w:tcPr>
            <w:tcW w:w="1276" w:type="dxa"/>
            <w:noWrap/>
            <w:vAlign w:val="bottom"/>
            <w:hideMark/>
          </w:tcPr>
          <w:p w:rsidR="009332ED" w:rsidRP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7</w:t>
            </w:r>
            <w:r>
              <w:rPr>
                <w:rFonts w:ascii="Calibri" w:hAnsi="Calibri"/>
                <w:color w:val="000000"/>
                <w:sz w:val="20"/>
              </w:rPr>
              <w:t>,</w:t>
            </w:r>
            <w:r w:rsidRPr="009332ED">
              <w:rPr>
                <w:rFonts w:ascii="Calibri" w:hAnsi="Calibri"/>
                <w:color w:val="000000"/>
                <w:sz w:val="20"/>
              </w:rPr>
              <w:t>619</w:t>
            </w:r>
          </w:p>
        </w:tc>
        <w:tc>
          <w:tcPr>
            <w:tcW w:w="1276" w:type="dxa"/>
            <w:noWrap/>
            <w:vAlign w:val="bottom"/>
            <w:hideMark/>
          </w:tcPr>
          <w:p w:rsidR="009332ED" w:rsidRP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7</w:t>
            </w:r>
            <w:r>
              <w:rPr>
                <w:rFonts w:ascii="Calibri" w:hAnsi="Calibri"/>
                <w:color w:val="000000"/>
                <w:sz w:val="20"/>
              </w:rPr>
              <w:t>,</w:t>
            </w:r>
            <w:r w:rsidRPr="009332ED">
              <w:rPr>
                <w:rFonts w:ascii="Calibri" w:hAnsi="Calibri"/>
                <w:color w:val="000000"/>
                <w:sz w:val="20"/>
              </w:rPr>
              <w:t>484</w:t>
            </w:r>
          </w:p>
        </w:tc>
      </w:tr>
      <w:tr w:rsidR="009332ED" w:rsidRPr="009B29C1" w:rsidTr="00570DAE">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Corrective Services</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4</w:t>
            </w:r>
            <w:r>
              <w:rPr>
                <w:rFonts w:ascii="Calibri" w:hAnsi="Calibri"/>
                <w:color w:val="000000"/>
                <w:sz w:val="20"/>
              </w:rPr>
              <w:t>,</w:t>
            </w:r>
            <w:r w:rsidRPr="00E73589">
              <w:rPr>
                <w:rFonts w:ascii="Calibri" w:hAnsi="Calibri"/>
                <w:color w:val="000000"/>
                <w:sz w:val="20"/>
              </w:rPr>
              <w:t>572</w:t>
            </w:r>
          </w:p>
        </w:tc>
        <w:tc>
          <w:tcPr>
            <w:tcW w:w="1276" w:type="dxa"/>
            <w:noWrap/>
            <w:vAlign w:val="bottom"/>
            <w:hideMark/>
          </w:tcPr>
          <w:p w:rsidR="009332ED" w:rsidRP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4</w:t>
            </w:r>
            <w:r>
              <w:rPr>
                <w:rFonts w:ascii="Calibri" w:hAnsi="Calibri"/>
                <w:color w:val="000000"/>
                <w:sz w:val="20"/>
              </w:rPr>
              <w:t>,</w:t>
            </w:r>
            <w:r w:rsidRPr="009332ED">
              <w:rPr>
                <w:rFonts w:ascii="Calibri" w:hAnsi="Calibri"/>
                <w:color w:val="000000"/>
                <w:sz w:val="20"/>
              </w:rPr>
              <w:t>166</w:t>
            </w:r>
          </w:p>
        </w:tc>
        <w:tc>
          <w:tcPr>
            <w:tcW w:w="1276" w:type="dxa"/>
            <w:noWrap/>
            <w:vAlign w:val="bottom"/>
            <w:hideMark/>
          </w:tcPr>
          <w:p w:rsidR="009332ED" w:rsidRP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4</w:t>
            </w:r>
            <w:r>
              <w:rPr>
                <w:rFonts w:ascii="Calibri" w:hAnsi="Calibri"/>
                <w:color w:val="000000"/>
                <w:sz w:val="20"/>
              </w:rPr>
              <w:t>,</w:t>
            </w:r>
            <w:r w:rsidRPr="009332ED">
              <w:rPr>
                <w:rFonts w:ascii="Calibri" w:hAnsi="Calibri"/>
                <w:color w:val="000000"/>
                <w:sz w:val="20"/>
              </w:rPr>
              <w:t>173</w:t>
            </w:r>
          </w:p>
        </w:tc>
      </w:tr>
      <w:tr w:rsidR="009332ED" w:rsidRPr="009B29C1" w:rsidTr="00570D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for Child Protection</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2</w:t>
            </w:r>
            <w:r>
              <w:rPr>
                <w:rFonts w:ascii="Calibri" w:hAnsi="Calibri"/>
                <w:color w:val="000000"/>
                <w:sz w:val="20"/>
              </w:rPr>
              <w:t>,</w:t>
            </w:r>
            <w:r w:rsidRPr="00E73589">
              <w:rPr>
                <w:rFonts w:ascii="Calibri" w:hAnsi="Calibri"/>
                <w:color w:val="000000"/>
                <w:sz w:val="20"/>
              </w:rPr>
              <w:t>376</w:t>
            </w:r>
          </w:p>
        </w:tc>
        <w:tc>
          <w:tcPr>
            <w:tcW w:w="1276" w:type="dxa"/>
            <w:noWrap/>
            <w:vAlign w:val="bottom"/>
            <w:hideMark/>
          </w:tcPr>
          <w:p w:rsidR="009332ED" w:rsidRP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2</w:t>
            </w:r>
            <w:r>
              <w:rPr>
                <w:rFonts w:ascii="Calibri" w:hAnsi="Calibri"/>
                <w:color w:val="000000"/>
                <w:sz w:val="20"/>
              </w:rPr>
              <w:t>,</w:t>
            </w:r>
            <w:r w:rsidRPr="009332ED">
              <w:rPr>
                <w:rFonts w:ascii="Calibri" w:hAnsi="Calibri"/>
                <w:color w:val="000000"/>
                <w:sz w:val="20"/>
              </w:rPr>
              <w:t>071</w:t>
            </w:r>
          </w:p>
        </w:tc>
        <w:tc>
          <w:tcPr>
            <w:tcW w:w="1276" w:type="dxa"/>
            <w:noWrap/>
            <w:vAlign w:val="bottom"/>
            <w:hideMark/>
          </w:tcPr>
          <w:p w:rsidR="009332ED" w:rsidRP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2</w:t>
            </w:r>
            <w:r>
              <w:rPr>
                <w:rFonts w:ascii="Calibri" w:hAnsi="Calibri"/>
                <w:color w:val="000000"/>
                <w:sz w:val="20"/>
              </w:rPr>
              <w:t>,</w:t>
            </w:r>
            <w:r w:rsidRPr="009332ED">
              <w:rPr>
                <w:rFonts w:ascii="Calibri" w:hAnsi="Calibri"/>
                <w:color w:val="000000"/>
                <w:sz w:val="20"/>
              </w:rPr>
              <w:t>048</w:t>
            </w:r>
          </w:p>
        </w:tc>
      </w:tr>
      <w:tr w:rsidR="009332ED" w:rsidRPr="009B29C1" w:rsidTr="00570DAE">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Environment and Conservation</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2</w:t>
            </w:r>
            <w:r>
              <w:rPr>
                <w:rFonts w:ascii="Calibri" w:hAnsi="Calibri"/>
                <w:color w:val="000000"/>
                <w:sz w:val="20"/>
              </w:rPr>
              <w:t>,</w:t>
            </w:r>
            <w:r w:rsidRPr="00E73589">
              <w:rPr>
                <w:rFonts w:ascii="Calibri" w:hAnsi="Calibri"/>
                <w:color w:val="000000"/>
                <w:sz w:val="20"/>
              </w:rPr>
              <w:t>297</w:t>
            </w:r>
          </w:p>
        </w:tc>
        <w:tc>
          <w:tcPr>
            <w:tcW w:w="1276" w:type="dxa"/>
            <w:noWrap/>
            <w:vAlign w:val="bottom"/>
            <w:hideMark/>
          </w:tcPr>
          <w:p w:rsidR="009332ED" w:rsidRP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941</w:t>
            </w:r>
          </w:p>
        </w:tc>
        <w:tc>
          <w:tcPr>
            <w:tcW w:w="1276" w:type="dxa"/>
            <w:noWrap/>
            <w:vAlign w:val="bottom"/>
            <w:hideMark/>
          </w:tcPr>
          <w:p w:rsidR="009332ED" w:rsidRP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900</w:t>
            </w:r>
          </w:p>
        </w:tc>
      </w:tr>
      <w:tr w:rsidR="009332ED" w:rsidRPr="009B29C1" w:rsidTr="00570D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Disability Services Commission</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w:t>
            </w:r>
            <w:r>
              <w:rPr>
                <w:rFonts w:ascii="Calibri" w:hAnsi="Calibri"/>
                <w:color w:val="000000"/>
                <w:sz w:val="20"/>
              </w:rPr>
              <w:t>,</w:t>
            </w:r>
            <w:r w:rsidRPr="00E73589">
              <w:rPr>
                <w:rFonts w:ascii="Calibri" w:hAnsi="Calibri"/>
                <w:color w:val="000000"/>
                <w:sz w:val="20"/>
              </w:rPr>
              <w:t>948</w:t>
            </w:r>
          </w:p>
        </w:tc>
        <w:tc>
          <w:tcPr>
            <w:tcW w:w="1276" w:type="dxa"/>
            <w:noWrap/>
            <w:vAlign w:val="bottom"/>
            <w:hideMark/>
          </w:tcPr>
          <w:p w:rsidR="009332ED" w:rsidRP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631</w:t>
            </w:r>
          </w:p>
        </w:tc>
        <w:tc>
          <w:tcPr>
            <w:tcW w:w="1276" w:type="dxa"/>
            <w:noWrap/>
            <w:vAlign w:val="bottom"/>
            <w:hideMark/>
          </w:tcPr>
          <w:p w:rsidR="009332ED" w:rsidRP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669</w:t>
            </w:r>
          </w:p>
        </w:tc>
      </w:tr>
      <w:tr w:rsidR="009332ED" w:rsidRPr="009B29C1" w:rsidTr="00570DAE">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Treasury and Finance</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w:t>
            </w:r>
            <w:r>
              <w:rPr>
                <w:rFonts w:ascii="Calibri" w:hAnsi="Calibri"/>
                <w:color w:val="000000"/>
                <w:sz w:val="20"/>
              </w:rPr>
              <w:t>,</w:t>
            </w:r>
            <w:r w:rsidRPr="00E73589">
              <w:rPr>
                <w:rFonts w:ascii="Calibri" w:hAnsi="Calibri"/>
                <w:color w:val="000000"/>
                <w:sz w:val="20"/>
              </w:rPr>
              <w:t>836</w:t>
            </w:r>
          </w:p>
        </w:tc>
        <w:tc>
          <w:tcPr>
            <w:tcW w:w="1276" w:type="dxa"/>
            <w:noWrap/>
            <w:vAlign w:val="bottom"/>
            <w:hideMark/>
          </w:tcPr>
          <w:p w:rsidR="009332ED" w:rsidRP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705</w:t>
            </w:r>
          </w:p>
        </w:tc>
        <w:tc>
          <w:tcPr>
            <w:tcW w:w="1276" w:type="dxa"/>
            <w:noWrap/>
            <w:vAlign w:val="bottom"/>
            <w:hideMark/>
          </w:tcPr>
          <w:p w:rsidR="009332ED" w:rsidRP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687</w:t>
            </w:r>
          </w:p>
        </w:tc>
      </w:tr>
      <w:tr w:rsidR="009332ED" w:rsidRPr="009B29C1" w:rsidTr="00570D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the Attorney General</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w:t>
            </w:r>
            <w:r>
              <w:rPr>
                <w:rFonts w:ascii="Calibri" w:hAnsi="Calibri"/>
                <w:color w:val="000000"/>
                <w:sz w:val="20"/>
              </w:rPr>
              <w:t>,</w:t>
            </w:r>
            <w:r w:rsidRPr="00E73589">
              <w:rPr>
                <w:rFonts w:ascii="Calibri" w:hAnsi="Calibri"/>
                <w:color w:val="000000"/>
                <w:sz w:val="20"/>
              </w:rPr>
              <w:t>708</w:t>
            </w:r>
          </w:p>
        </w:tc>
        <w:tc>
          <w:tcPr>
            <w:tcW w:w="1276" w:type="dxa"/>
            <w:noWrap/>
            <w:vAlign w:val="bottom"/>
            <w:hideMark/>
          </w:tcPr>
          <w:p w:rsidR="009332ED" w:rsidRP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523</w:t>
            </w:r>
          </w:p>
        </w:tc>
        <w:tc>
          <w:tcPr>
            <w:tcW w:w="1276" w:type="dxa"/>
            <w:noWrap/>
            <w:vAlign w:val="bottom"/>
            <w:hideMark/>
          </w:tcPr>
          <w:p w:rsidR="009332ED" w:rsidRP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541</w:t>
            </w:r>
          </w:p>
        </w:tc>
      </w:tr>
      <w:tr w:rsidR="009332ED" w:rsidRPr="009B29C1" w:rsidTr="00570DAE">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Polytechnic West</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w:t>
            </w:r>
            <w:r>
              <w:rPr>
                <w:rFonts w:ascii="Calibri" w:hAnsi="Calibri"/>
                <w:color w:val="000000"/>
                <w:sz w:val="20"/>
              </w:rPr>
              <w:t>,</w:t>
            </w:r>
            <w:r w:rsidRPr="00E73589">
              <w:rPr>
                <w:rFonts w:ascii="Calibri" w:hAnsi="Calibri"/>
                <w:color w:val="000000"/>
                <w:sz w:val="20"/>
              </w:rPr>
              <w:t>513</w:t>
            </w:r>
          </w:p>
        </w:tc>
        <w:tc>
          <w:tcPr>
            <w:tcW w:w="1276" w:type="dxa"/>
            <w:noWrap/>
            <w:vAlign w:val="bottom"/>
            <w:hideMark/>
          </w:tcPr>
          <w:p w:rsidR="009332ED" w:rsidRP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132</w:t>
            </w:r>
          </w:p>
        </w:tc>
        <w:tc>
          <w:tcPr>
            <w:tcW w:w="1276" w:type="dxa"/>
            <w:noWrap/>
            <w:vAlign w:val="bottom"/>
            <w:hideMark/>
          </w:tcPr>
          <w:p w:rsidR="009332ED" w:rsidRP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114</w:t>
            </w:r>
          </w:p>
        </w:tc>
      </w:tr>
      <w:tr w:rsidR="009332ED" w:rsidRPr="009B29C1" w:rsidTr="00570D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Transport</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w:t>
            </w:r>
            <w:r>
              <w:rPr>
                <w:rFonts w:ascii="Calibri" w:hAnsi="Calibri"/>
                <w:color w:val="000000"/>
                <w:sz w:val="20"/>
              </w:rPr>
              <w:t>,</w:t>
            </w:r>
            <w:r w:rsidRPr="00E73589">
              <w:rPr>
                <w:rFonts w:ascii="Calibri" w:hAnsi="Calibri"/>
                <w:color w:val="000000"/>
                <w:sz w:val="20"/>
              </w:rPr>
              <w:t>435</w:t>
            </w:r>
          </w:p>
        </w:tc>
        <w:tc>
          <w:tcPr>
            <w:tcW w:w="1276" w:type="dxa"/>
            <w:noWrap/>
            <w:vAlign w:val="bottom"/>
            <w:hideMark/>
          </w:tcPr>
          <w:p w:rsidR="009332ED" w:rsidRP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284</w:t>
            </w:r>
          </w:p>
        </w:tc>
        <w:tc>
          <w:tcPr>
            <w:tcW w:w="1276" w:type="dxa"/>
            <w:noWrap/>
            <w:vAlign w:val="bottom"/>
            <w:hideMark/>
          </w:tcPr>
          <w:p w:rsidR="009332ED" w:rsidRP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213</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lastRenderedPageBreak/>
              <w:t>Fire and Emergency Services Authority of Western Australia</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w:t>
            </w:r>
            <w:r>
              <w:rPr>
                <w:rFonts w:ascii="Calibri" w:hAnsi="Calibri"/>
                <w:color w:val="000000"/>
                <w:sz w:val="20"/>
              </w:rPr>
              <w:t>,</w:t>
            </w:r>
            <w:r w:rsidRPr="00E73589">
              <w:rPr>
                <w:rFonts w:ascii="Calibri" w:hAnsi="Calibri"/>
                <w:color w:val="000000"/>
                <w:sz w:val="20"/>
              </w:rPr>
              <w:t>382</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338</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331</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Central Institute of Technology</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w:t>
            </w:r>
            <w:r>
              <w:rPr>
                <w:rFonts w:ascii="Calibri" w:hAnsi="Calibri"/>
                <w:color w:val="000000"/>
                <w:sz w:val="20"/>
              </w:rPr>
              <w:t>,</w:t>
            </w:r>
            <w:r w:rsidRPr="00E73589">
              <w:rPr>
                <w:rFonts w:ascii="Calibri" w:hAnsi="Calibri"/>
                <w:color w:val="000000"/>
                <w:sz w:val="20"/>
              </w:rPr>
              <w:t>369</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991</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952</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Agriculture and Food</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w:t>
            </w:r>
            <w:r>
              <w:rPr>
                <w:rFonts w:ascii="Calibri" w:hAnsi="Calibri"/>
                <w:color w:val="000000"/>
                <w:sz w:val="20"/>
              </w:rPr>
              <w:t>,</w:t>
            </w:r>
            <w:r w:rsidRPr="00E73589">
              <w:rPr>
                <w:rFonts w:ascii="Calibri" w:hAnsi="Calibri"/>
                <w:color w:val="000000"/>
                <w:sz w:val="20"/>
              </w:rPr>
              <w:t>325</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196</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221</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Commissioner of Main Roads</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w:t>
            </w:r>
            <w:r>
              <w:rPr>
                <w:rFonts w:ascii="Calibri" w:hAnsi="Calibri"/>
                <w:color w:val="000000"/>
                <w:sz w:val="20"/>
              </w:rPr>
              <w:t>,</w:t>
            </w:r>
            <w:r w:rsidRPr="00E73589">
              <w:rPr>
                <w:rFonts w:ascii="Calibri" w:hAnsi="Calibri"/>
                <w:color w:val="000000"/>
                <w:sz w:val="20"/>
              </w:rPr>
              <w:t>082</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016</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w:t>
            </w:r>
            <w:r>
              <w:rPr>
                <w:rFonts w:ascii="Calibri" w:hAnsi="Calibri"/>
                <w:color w:val="000000"/>
                <w:sz w:val="20"/>
              </w:rPr>
              <w:t>,</w:t>
            </w:r>
            <w:r w:rsidRPr="009332ED">
              <w:rPr>
                <w:rFonts w:ascii="Calibri" w:hAnsi="Calibri"/>
                <w:color w:val="000000"/>
                <w:sz w:val="20"/>
              </w:rPr>
              <w:t>029</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Commerce</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w:t>
            </w:r>
            <w:r>
              <w:rPr>
                <w:rFonts w:ascii="Calibri" w:hAnsi="Calibri"/>
                <w:color w:val="000000"/>
                <w:sz w:val="20"/>
              </w:rPr>
              <w:t>,</w:t>
            </w:r>
            <w:r w:rsidRPr="00E73589">
              <w:rPr>
                <w:rFonts w:ascii="Calibri" w:hAnsi="Calibri"/>
                <w:color w:val="000000"/>
                <w:sz w:val="20"/>
              </w:rPr>
              <w:t>021</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902</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927</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Western Australian Land Information Authority (Landgate)</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940</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856</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852</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Challenger Institute of Technology</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884</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643</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628</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the Premier and Cabinet</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860</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646</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628</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Mines and Petroleum</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807</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758</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739</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Culture and the Arts</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768</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627</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630</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Western Australian Sports Centre Trust</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714</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260</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242</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Training and Workforce Development</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644</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557</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522</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Water</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612</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557</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553</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Planning</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511</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457</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547</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Fisheries</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440</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398</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391</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West Coast Institute of Training</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421</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324</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300</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South West Institute of Technology</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367</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261</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251</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Great Southern Institute of Technology</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318</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204</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187</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for Communities</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280</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236</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238</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Office of the Director of Public Prosecutions</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268</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239</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232</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Sport and Recreation</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259</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191</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186</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Regional Development and Lands</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257</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237</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228</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Durack Institute of Technology</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257</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199</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194</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Zoological Parks Authority</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218</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170</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167</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Pilbara TAFE</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214</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189</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186</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State Development</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180</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159</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159</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Kimberley TAFE</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178</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152</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143</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C Y O'Connor College of TAFE</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165</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137</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124</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Corruption and Crime Commission</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160</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154</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153</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Country High School Hostels Authority</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157</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116</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113</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Curriculum Council</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152</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132</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129</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Botanic Gardens and Parks Authority</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149</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112</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122</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Indigenous Affairs</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148</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138</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144</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Public Sector Commission</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148</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128</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114</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Racing, Gaming and Liquor</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132</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117</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115</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Local Government</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125</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117</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113</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Office of the Auditor General</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124</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116</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106</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Chemistry Centre (WA)</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123</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113</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113</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Western Australian Tourism Commission</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108</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100</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98</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Office of the Environmental Protection Authority</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99</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90</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87</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Office of Energy</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81</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76</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72</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Education Services</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68</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59</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58</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Swan River Trust</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60</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56</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56</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Parliamentary Commissioner for Administrative Investigations (Ombudsman)</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59</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54</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53</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lastRenderedPageBreak/>
              <w:t>Small Business Development Corporation</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57</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49</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50</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Economic Regulation Authority</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54</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51</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51</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Western Australian Electoral Commission</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54</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47</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47</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Mental Health Commission</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47</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43</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40</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The National Trust of Australia (W.A.)</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43</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29</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29</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Department of the Registrar Western Australian Industrial Relations Commission</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42</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39</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37</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Commissioner for Equal Opportunity</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30</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26</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27</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Heritage Council of Western Australia</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25</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22</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24</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South West Development Commission</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24</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23</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22</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Office of the Commissioner for Children and Young People</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18</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15</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15</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Wheatbelt Development Commission</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17</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15</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14</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Office of the Inspector of Custodial Services</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16</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16</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15</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Mid West Development Commission</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14</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13</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14</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Great Southern Development Commission</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14</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13</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13</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Peel Development Commission</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14</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12</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12</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Gascoyne Development Commission</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14</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11</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13</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Goldfields-Esperance Development Commission</w:t>
            </w:r>
          </w:p>
        </w:tc>
        <w:tc>
          <w:tcPr>
            <w:tcW w:w="1276" w:type="dxa"/>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13</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12</w:t>
            </w:r>
          </w:p>
        </w:tc>
        <w:tc>
          <w:tcPr>
            <w:tcW w:w="1276" w:type="dxa"/>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12</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Kimberley Development Commission</w:t>
            </w:r>
          </w:p>
        </w:tc>
        <w:tc>
          <w:tcPr>
            <w:tcW w:w="1276" w:type="dxa"/>
            <w:tcBorders>
              <w:bottom w:val="nil"/>
            </w:tcBorders>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13</w:t>
            </w:r>
          </w:p>
        </w:tc>
        <w:tc>
          <w:tcPr>
            <w:tcW w:w="1276" w:type="dxa"/>
            <w:tcBorders>
              <w:bottom w:val="nil"/>
            </w:tcBorders>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12</w:t>
            </w:r>
          </w:p>
        </w:tc>
        <w:tc>
          <w:tcPr>
            <w:tcW w:w="1276" w:type="dxa"/>
            <w:tcBorders>
              <w:bottom w:val="nil"/>
            </w:tcBorders>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12</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Pilbara Development Commission</w:t>
            </w:r>
          </w:p>
        </w:tc>
        <w:tc>
          <w:tcPr>
            <w:tcW w:w="1276" w:type="dxa"/>
            <w:tcBorders>
              <w:top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12</w:t>
            </w:r>
          </w:p>
        </w:tc>
        <w:tc>
          <w:tcPr>
            <w:tcW w:w="1276" w:type="dxa"/>
            <w:tcBorders>
              <w:top w:val="nil"/>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11</w:t>
            </w:r>
          </w:p>
        </w:tc>
        <w:tc>
          <w:tcPr>
            <w:tcW w:w="1276" w:type="dxa"/>
            <w:tcBorders>
              <w:top w:val="nil"/>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11</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Office of the Information Commissioner</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10</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10</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10</w:t>
            </w:r>
          </w:p>
        </w:tc>
      </w:tr>
      <w:tr w:rsidR="009332ED" w:rsidRPr="009B29C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Calibri" w:hAnsi="Calibri"/>
                <w:color w:val="000000"/>
                <w:sz w:val="20"/>
              </w:rPr>
            </w:pPr>
            <w:r>
              <w:rPr>
                <w:rFonts w:ascii="Calibri" w:hAnsi="Calibri"/>
                <w:color w:val="000000"/>
                <w:sz w:val="20"/>
              </w:rPr>
              <w:t>Law Reform Commission of Western Australia</w:t>
            </w:r>
          </w:p>
        </w:tc>
        <w:tc>
          <w:tcPr>
            <w:tcW w:w="1276" w:type="dxa"/>
            <w:tcBorders>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10</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3</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3</w:t>
            </w:r>
          </w:p>
        </w:tc>
      </w:tr>
      <w:tr w:rsidR="009332ED" w:rsidRPr="009B29C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tcBorders>
            <w:noWrap/>
            <w:vAlign w:val="center"/>
            <w:hideMark/>
          </w:tcPr>
          <w:p w:rsidR="009332ED" w:rsidRDefault="009332ED">
            <w:pPr>
              <w:rPr>
                <w:rFonts w:ascii="Calibri" w:hAnsi="Calibri"/>
                <w:color w:val="000000"/>
                <w:sz w:val="20"/>
              </w:rPr>
            </w:pPr>
            <w:r>
              <w:rPr>
                <w:rFonts w:ascii="Calibri" w:hAnsi="Calibri"/>
                <w:color w:val="000000"/>
                <w:sz w:val="20"/>
              </w:rPr>
              <w:t>Salaries and Allowances Tribunal</w:t>
            </w:r>
          </w:p>
        </w:tc>
        <w:tc>
          <w:tcPr>
            <w:tcW w:w="1276" w:type="dxa"/>
            <w:tcBorders>
              <w:bottom w:val="nil"/>
            </w:tcBorders>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E73589">
              <w:rPr>
                <w:rFonts w:ascii="Calibri" w:hAnsi="Calibri"/>
                <w:color w:val="000000"/>
                <w:sz w:val="20"/>
              </w:rPr>
              <w:t>2</w:t>
            </w:r>
          </w:p>
        </w:tc>
        <w:tc>
          <w:tcPr>
            <w:tcW w:w="1276" w:type="dxa"/>
            <w:tcBorders>
              <w:bottom w:val="nil"/>
            </w:tcBorders>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2</w:t>
            </w:r>
          </w:p>
        </w:tc>
        <w:tc>
          <w:tcPr>
            <w:tcW w:w="1276" w:type="dxa"/>
            <w:tcBorders>
              <w:bottom w:val="nil"/>
            </w:tcBorders>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9332ED">
              <w:rPr>
                <w:rFonts w:ascii="Calibri" w:hAnsi="Calibri"/>
                <w:color w:val="000000"/>
                <w:sz w:val="20"/>
              </w:rPr>
              <w:t>2</w:t>
            </w:r>
          </w:p>
        </w:tc>
      </w:tr>
      <w:tr w:rsidR="009332ED" w:rsidRPr="009B29C1" w:rsidTr="009332ED">
        <w:trPr>
          <w:trHeight w:val="315"/>
        </w:trPr>
        <w:tc>
          <w:tcPr>
            <w:cnfStyle w:val="001000000000" w:firstRow="0" w:lastRow="0" w:firstColumn="1" w:lastColumn="0" w:oddVBand="0" w:evenVBand="0" w:oddHBand="0" w:evenHBand="0" w:firstRowFirstColumn="0" w:firstRowLastColumn="0" w:lastRowFirstColumn="0" w:lastRowLastColumn="0"/>
            <w:tcW w:w="5778" w:type="dxa"/>
            <w:tcBorders>
              <w:top w:val="nil"/>
              <w:bottom w:val="single" w:sz="8" w:space="0" w:color="4F81BD" w:themeColor="accent1"/>
              <w:right w:val="nil"/>
            </w:tcBorders>
            <w:noWrap/>
            <w:vAlign w:val="center"/>
            <w:hideMark/>
          </w:tcPr>
          <w:p w:rsidR="009332ED" w:rsidRDefault="009332ED">
            <w:pPr>
              <w:rPr>
                <w:rFonts w:ascii="Calibri" w:hAnsi="Calibri"/>
                <w:color w:val="000000"/>
                <w:sz w:val="20"/>
              </w:rPr>
            </w:pPr>
            <w:r>
              <w:rPr>
                <w:rFonts w:ascii="Calibri" w:hAnsi="Calibri"/>
                <w:color w:val="000000"/>
                <w:sz w:val="20"/>
              </w:rPr>
              <w:t>Office of the Public Sector Standards Commissioner</w:t>
            </w:r>
            <w:r>
              <w:rPr>
                <w:rStyle w:val="FootnoteReference"/>
                <w:rFonts w:ascii="Calibri" w:hAnsi="Calibri"/>
                <w:color w:val="000000"/>
                <w:sz w:val="20"/>
              </w:rPr>
              <w:footnoteReference w:id="5"/>
            </w:r>
          </w:p>
        </w:tc>
        <w:tc>
          <w:tcPr>
            <w:tcW w:w="1276" w:type="dxa"/>
            <w:tcBorders>
              <w:top w:val="nil"/>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N/A</w:t>
            </w:r>
          </w:p>
        </w:tc>
        <w:tc>
          <w:tcPr>
            <w:tcW w:w="1276" w:type="dxa"/>
            <w:tcBorders>
              <w:top w:val="nil"/>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N/A</w:t>
            </w:r>
          </w:p>
        </w:tc>
        <w:tc>
          <w:tcPr>
            <w:tcW w:w="1276" w:type="dxa"/>
            <w:tcBorders>
              <w:top w:val="nil"/>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9332ED">
              <w:rPr>
                <w:rFonts w:ascii="Calibri" w:hAnsi="Calibri"/>
                <w:color w:val="000000"/>
                <w:sz w:val="20"/>
              </w:rPr>
              <w:t>31</w:t>
            </w:r>
          </w:p>
        </w:tc>
      </w:tr>
      <w:tr w:rsidR="008359A0" w:rsidRPr="009B29C1" w:rsidTr="008359A0">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055DF" w:rsidRDefault="005055DF">
            <w:pPr>
              <w:rPr>
                <w:rFonts w:asciiTheme="minorHAnsi" w:hAnsiTheme="minorHAnsi" w:cs="Arial"/>
                <w:i/>
                <w:color w:val="000000" w:themeColor="text1"/>
                <w:sz w:val="20"/>
                <w:lang w:eastAsia="en-AU"/>
              </w:rPr>
            </w:pPr>
          </w:p>
        </w:tc>
        <w:tc>
          <w:tcPr>
            <w:tcW w:w="1276" w:type="dxa"/>
            <w:noWrap/>
            <w:vAlign w:val="center"/>
            <w:hideMark/>
          </w:tcPr>
          <w:p w:rsidR="005055DF" w:rsidRDefault="00E73589">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r w:rsidRPr="00E73589">
              <w:rPr>
                <w:rFonts w:ascii="Calibri" w:hAnsi="Calibri"/>
                <w:color w:val="000000"/>
                <w:sz w:val="20"/>
                <w:szCs w:val="22"/>
              </w:rPr>
              <w:t>137,935</w:t>
            </w:r>
          </w:p>
        </w:tc>
        <w:tc>
          <w:tcPr>
            <w:tcW w:w="1276" w:type="dxa"/>
            <w:noWrap/>
            <w:vAlign w:val="center"/>
            <w:hideMark/>
          </w:tcPr>
          <w:p w:rsidR="005055DF" w:rsidRDefault="00E73589" w:rsidP="009332ED">
            <w:pPr>
              <w:tabs>
                <w:tab w:val="center" w:pos="4153"/>
                <w:tab w:val="right" w:pos="8306"/>
              </w:tabs>
              <w:jc w:val="right"/>
              <w:cnfStyle w:val="010000000000" w:firstRow="0" w:lastRow="1"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r w:rsidRPr="00E73589">
              <w:rPr>
                <w:rFonts w:ascii="Calibri" w:hAnsi="Calibri"/>
                <w:color w:val="000000"/>
                <w:sz w:val="20"/>
                <w:szCs w:val="22"/>
              </w:rPr>
              <w:t>105,56</w:t>
            </w:r>
            <w:r w:rsidR="009332ED">
              <w:rPr>
                <w:rFonts w:ascii="Calibri" w:hAnsi="Calibri"/>
                <w:color w:val="000000"/>
                <w:sz w:val="20"/>
                <w:szCs w:val="22"/>
              </w:rPr>
              <w:t>8</w:t>
            </w:r>
          </w:p>
        </w:tc>
        <w:tc>
          <w:tcPr>
            <w:tcW w:w="1276" w:type="dxa"/>
            <w:noWrap/>
            <w:vAlign w:val="center"/>
            <w:hideMark/>
          </w:tcPr>
          <w:p w:rsidR="005055DF" w:rsidRDefault="00E73589" w:rsidP="00387BD6">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szCs w:val="22"/>
              </w:rPr>
            </w:pPr>
            <w:r w:rsidRPr="00E73589">
              <w:rPr>
                <w:rFonts w:ascii="Calibri" w:hAnsi="Calibri"/>
                <w:color w:val="000000"/>
                <w:sz w:val="20"/>
                <w:szCs w:val="22"/>
              </w:rPr>
              <w:t>104,0</w:t>
            </w:r>
            <w:r w:rsidR="00387BD6">
              <w:rPr>
                <w:rFonts w:ascii="Calibri" w:hAnsi="Calibri"/>
                <w:color w:val="000000"/>
                <w:sz w:val="20"/>
                <w:szCs w:val="22"/>
              </w:rPr>
              <w:t>20</w:t>
            </w:r>
          </w:p>
        </w:tc>
      </w:tr>
    </w:tbl>
    <w:p w:rsidR="00B610FD" w:rsidRDefault="00B610FD" w:rsidP="00630FD2">
      <w:pPr>
        <w:spacing w:before="120"/>
        <w:rPr>
          <w:rFonts w:asciiTheme="minorHAnsi" w:hAnsiTheme="minorHAnsi" w:cs="Arial"/>
          <w:color w:val="943634" w:themeColor="accent2" w:themeShade="BF"/>
          <w:sz w:val="22"/>
          <w:szCs w:val="22"/>
        </w:rPr>
      </w:pPr>
    </w:p>
    <w:p w:rsidR="00630FD2" w:rsidRDefault="00630FD2" w:rsidP="00630FD2">
      <w:pPr>
        <w:rPr>
          <w:rFonts w:asciiTheme="minorHAnsi" w:hAnsiTheme="minorHAnsi" w:cs="Arial"/>
          <w:sz w:val="10"/>
          <w:szCs w:val="10"/>
        </w:rPr>
      </w:pPr>
    </w:p>
    <w:p w:rsidR="0072122E" w:rsidRDefault="0072122E" w:rsidP="00630FD2">
      <w:pPr>
        <w:rPr>
          <w:rFonts w:asciiTheme="minorHAnsi" w:hAnsiTheme="minorHAnsi" w:cs="Arial"/>
          <w:sz w:val="10"/>
          <w:szCs w:val="10"/>
        </w:rPr>
      </w:pPr>
    </w:p>
    <w:p w:rsidR="00630FD2" w:rsidRPr="00AD5F4C" w:rsidRDefault="00630FD2" w:rsidP="00630FD2">
      <w:pPr>
        <w:spacing w:before="120"/>
        <w:rPr>
          <w:rFonts w:asciiTheme="minorHAnsi" w:hAnsiTheme="minorHAnsi" w:cs="Arial"/>
          <w:color w:val="943634" w:themeColor="accent2" w:themeShade="BF"/>
          <w:sz w:val="22"/>
          <w:szCs w:val="22"/>
        </w:rPr>
      </w:pPr>
      <w:r w:rsidRPr="00AD5F4C">
        <w:rPr>
          <w:rFonts w:asciiTheme="minorHAnsi" w:hAnsiTheme="minorHAnsi" w:cs="Arial"/>
          <w:color w:val="943634" w:themeColor="accent2" w:themeShade="BF"/>
          <w:sz w:val="22"/>
          <w:szCs w:val="22"/>
        </w:rPr>
        <w:t>Table 2: Agencies Subject to a</w:t>
      </w:r>
      <w:r w:rsidR="00440642" w:rsidRPr="00AD5F4C">
        <w:rPr>
          <w:rFonts w:asciiTheme="minorHAnsi" w:hAnsiTheme="minorHAnsi" w:cs="Arial"/>
          <w:color w:val="943634" w:themeColor="accent2" w:themeShade="BF"/>
          <w:sz w:val="22"/>
          <w:szCs w:val="22"/>
        </w:rPr>
        <w:t>n</w:t>
      </w:r>
      <w:r w:rsidRPr="00AD5F4C">
        <w:rPr>
          <w:rFonts w:asciiTheme="minorHAnsi" w:hAnsiTheme="minorHAnsi" w:cs="Arial"/>
          <w:color w:val="943634" w:themeColor="accent2" w:themeShade="BF"/>
          <w:sz w:val="22"/>
          <w:szCs w:val="22"/>
        </w:rPr>
        <w:t xml:space="preserve"> FTE Ceiling, but not reporting </w:t>
      </w:r>
      <w:r w:rsidR="000366F4">
        <w:rPr>
          <w:rFonts w:asciiTheme="minorHAnsi" w:hAnsiTheme="minorHAnsi" w:cs="Arial"/>
          <w:color w:val="943634" w:themeColor="accent2" w:themeShade="BF"/>
          <w:sz w:val="22"/>
          <w:szCs w:val="22"/>
        </w:rPr>
        <w:t>HRMOIR</w:t>
      </w:r>
      <w:r w:rsidRPr="00AD5F4C">
        <w:rPr>
          <w:rFonts w:asciiTheme="minorHAnsi" w:hAnsiTheme="minorHAnsi" w:cs="Arial"/>
          <w:color w:val="943634" w:themeColor="accent2" w:themeShade="BF"/>
          <w:sz w:val="22"/>
          <w:szCs w:val="22"/>
        </w:rPr>
        <w:t xml:space="preserve"> Data to PSC.</w:t>
      </w:r>
    </w:p>
    <w:p w:rsidR="00630FD2" w:rsidRPr="00AD5F4C" w:rsidRDefault="00630FD2" w:rsidP="00630FD2">
      <w:pPr>
        <w:rPr>
          <w:rFonts w:asciiTheme="minorHAnsi" w:hAnsiTheme="minorHAnsi" w:cs="Arial"/>
          <w:lang w:val="en-US"/>
        </w:rPr>
      </w:pPr>
    </w:p>
    <w:tbl>
      <w:tblPr>
        <w:tblStyle w:val="LightShading-Accent11"/>
        <w:tblW w:w="9606" w:type="dxa"/>
        <w:tblLook w:val="04E0" w:firstRow="1" w:lastRow="1" w:firstColumn="1" w:lastColumn="0" w:noHBand="0" w:noVBand="1"/>
        <w:tblDescription w:val="A table showing agencies subject to an FTE Ceiling but not reporting HRMOIR Data to the Public Sector Commission. The table shows the FTE Ceiling 2010/11."/>
      </w:tblPr>
      <w:tblGrid>
        <w:gridCol w:w="8188"/>
        <w:gridCol w:w="1418"/>
      </w:tblGrid>
      <w:tr w:rsidR="00B7571F" w:rsidRPr="00E653FD" w:rsidTr="001F298A">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8188" w:type="dxa"/>
            <w:noWrap/>
            <w:hideMark/>
          </w:tcPr>
          <w:p w:rsidR="00B7571F" w:rsidRPr="00E653FD" w:rsidRDefault="00B7571F" w:rsidP="00630FD2">
            <w:pPr>
              <w:ind w:left="-108"/>
              <w:rPr>
                <w:rFonts w:asciiTheme="minorHAnsi" w:hAnsiTheme="minorHAnsi" w:cs="Arial"/>
                <w:color w:val="000000" w:themeColor="text1"/>
                <w:sz w:val="20"/>
              </w:rPr>
            </w:pPr>
            <w:r w:rsidRPr="00E653FD">
              <w:rPr>
                <w:rFonts w:asciiTheme="minorHAnsi" w:hAnsiTheme="minorHAnsi" w:cs="Arial"/>
                <w:color w:val="000000" w:themeColor="text1"/>
                <w:sz w:val="20"/>
              </w:rPr>
              <w:t xml:space="preserve"> </w:t>
            </w:r>
          </w:p>
        </w:tc>
        <w:tc>
          <w:tcPr>
            <w:tcW w:w="1418" w:type="dxa"/>
            <w:noWrap/>
            <w:hideMark/>
          </w:tcPr>
          <w:p w:rsidR="00B7571F" w:rsidRPr="00E653FD" w:rsidRDefault="00E73589" w:rsidP="00630FD2">
            <w:pPr>
              <w:tabs>
                <w:tab w:val="center" w:pos="4153"/>
                <w:tab w:val="right" w:pos="8306"/>
              </w:tabs>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r w:rsidRPr="00E73589">
              <w:rPr>
                <w:rFonts w:asciiTheme="minorHAnsi" w:hAnsiTheme="minorHAnsi" w:cs="Arial"/>
                <w:color w:val="000000" w:themeColor="text1"/>
                <w:sz w:val="20"/>
              </w:rPr>
              <w:t xml:space="preserve">FTE ceiling </w:t>
            </w:r>
          </w:p>
          <w:p w:rsidR="00B7571F" w:rsidRPr="00E653FD" w:rsidRDefault="008256EE" w:rsidP="00630FD2">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r w:rsidRPr="008256EE">
              <w:rPr>
                <w:rFonts w:asciiTheme="minorHAnsi" w:hAnsiTheme="minorHAnsi" w:cs="Arial"/>
                <w:color w:val="000000" w:themeColor="text1"/>
                <w:sz w:val="20"/>
              </w:rPr>
              <w:t>2010/11</w:t>
            </w:r>
          </w:p>
        </w:tc>
      </w:tr>
      <w:tr w:rsidR="00B7571F" w:rsidRPr="00B7571F" w:rsidTr="00B7571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B7571F" w:rsidRPr="00B7571F" w:rsidRDefault="00E73589" w:rsidP="00630FD2">
            <w:pPr>
              <w:rPr>
                <w:rFonts w:asciiTheme="minorHAnsi" w:hAnsiTheme="minorHAnsi" w:cs="Arial"/>
                <w:color w:val="000000" w:themeColor="text1"/>
                <w:sz w:val="20"/>
              </w:rPr>
            </w:pPr>
            <w:r w:rsidRPr="00E73589">
              <w:rPr>
                <w:rFonts w:asciiTheme="minorHAnsi" w:hAnsiTheme="minorHAnsi" w:cs="Arial"/>
                <w:color w:val="000000" w:themeColor="text1"/>
                <w:sz w:val="20"/>
              </w:rPr>
              <w:t>Parliamentary Services</w:t>
            </w:r>
          </w:p>
        </w:tc>
        <w:tc>
          <w:tcPr>
            <w:tcW w:w="1418" w:type="dxa"/>
            <w:noWrap/>
            <w:hideMark/>
          </w:tcPr>
          <w:p w:rsidR="00B7571F" w:rsidRPr="00E653FD" w:rsidRDefault="00E73589" w:rsidP="00B7571F">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0"/>
              </w:rPr>
            </w:pPr>
            <w:r w:rsidRPr="00E73589">
              <w:rPr>
                <w:rFonts w:asciiTheme="minorHAnsi" w:hAnsiTheme="minorHAnsi" w:cs="Arial"/>
                <w:color w:val="000000" w:themeColor="text1"/>
                <w:sz w:val="20"/>
              </w:rPr>
              <w:t>103</w:t>
            </w:r>
          </w:p>
        </w:tc>
      </w:tr>
      <w:tr w:rsidR="00B7571F" w:rsidRPr="00E653FD" w:rsidTr="00B7571F">
        <w:trPr>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B7571F" w:rsidRPr="00E653FD" w:rsidRDefault="00E73589" w:rsidP="00630FD2">
            <w:pPr>
              <w:rPr>
                <w:rFonts w:asciiTheme="minorHAnsi" w:hAnsiTheme="minorHAnsi" w:cs="Arial"/>
                <w:b w:val="0"/>
                <w:color w:val="000000" w:themeColor="text1"/>
                <w:sz w:val="20"/>
              </w:rPr>
            </w:pPr>
            <w:r w:rsidRPr="00E73589">
              <w:rPr>
                <w:rFonts w:asciiTheme="minorHAnsi" w:hAnsiTheme="minorHAnsi" w:cs="Arial"/>
                <w:color w:val="000000" w:themeColor="text1"/>
                <w:sz w:val="20"/>
              </w:rPr>
              <w:t>Governor’s Establishment</w:t>
            </w:r>
          </w:p>
        </w:tc>
        <w:tc>
          <w:tcPr>
            <w:tcW w:w="1418" w:type="dxa"/>
            <w:noWrap/>
            <w:hideMark/>
          </w:tcPr>
          <w:p w:rsidR="00B7571F" w:rsidRPr="00E653FD" w:rsidRDefault="00E73589" w:rsidP="00630FD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r w:rsidRPr="00E73589">
              <w:rPr>
                <w:rFonts w:asciiTheme="minorHAnsi" w:hAnsiTheme="minorHAnsi" w:cs="Arial"/>
                <w:color w:val="000000" w:themeColor="text1"/>
                <w:sz w:val="20"/>
              </w:rPr>
              <w:t>32</w:t>
            </w:r>
          </w:p>
        </w:tc>
      </w:tr>
      <w:tr w:rsidR="00B7571F" w:rsidRPr="00E653FD" w:rsidTr="00B7571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B7571F" w:rsidRPr="00E653FD" w:rsidRDefault="00E73589" w:rsidP="00630FD2">
            <w:pPr>
              <w:rPr>
                <w:rFonts w:asciiTheme="minorHAnsi" w:hAnsiTheme="minorHAnsi" w:cs="Arial"/>
                <w:b w:val="0"/>
                <w:color w:val="000000" w:themeColor="text1"/>
                <w:sz w:val="20"/>
              </w:rPr>
            </w:pPr>
            <w:r w:rsidRPr="00E73589">
              <w:rPr>
                <w:rFonts w:asciiTheme="minorHAnsi" w:hAnsiTheme="minorHAnsi" w:cs="Arial"/>
                <w:color w:val="000000" w:themeColor="text1"/>
                <w:sz w:val="20"/>
              </w:rPr>
              <w:t xml:space="preserve">Legislative Assembly </w:t>
            </w:r>
          </w:p>
        </w:tc>
        <w:tc>
          <w:tcPr>
            <w:tcW w:w="1418" w:type="dxa"/>
            <w:noWrap/>
            <w:hideMark/>
          </w:tcPr>
          <w:p w:rsidR="00B7571F" w:rsidRPr="00E653FD" w:rsidRDefault="00E73589" w:rsidP="00630FD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0"/>
              </w:rPr>
            </w:pPr>
            <w:r w:rsidRPr="00E73589">
              <w:rPr>
                <w:rFonts w:asciiTheme="minorHAnsi" w:hAnsiTheme="minorHAnsi" w:cs="Arial"/>
                <w:color w:val="000000" w:themeColor="text1"/>
                <w:sz w:val="20"/>
              </w:rPr>
              <w:t>32</w:t>
            </w:r>
          </w:p>
        </w:tc>
      </w:tr>
      <w:tr w:rsidR="00B7571F" w:rsidRPr="00E653FD" w:rsidTr="00B7571F">
        <w:trPr>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B7571F" w:rsidRPr="00E653FD" w:rsidRDefault="00E73589" w:rsidP="00630FD2">
            <w:pPr>
              <w:rPr>
                <w:rFonts w:asciiTheme="minorHAnsi" w:hAnsiTheme="minorHAnsi" w:cs="Arial"/>
                <w:b w:val="0"/>
                <w:color w:val="000000" w:themeColor="text1"/>
                <w:sz w:val="20"/>
              </w:rPr>
            </w:pPr>
            <w:r w:rsidRPr="00E73589">
              <w:rPr>
                <w:rFonts w:asciiTheme="minorHAnsi" w:hAnsiTheme="minorHAnsi" w:cs="Arial"/>
                <w:color w:val="000000" w:themeColor="text1"/>
                <w:sz w:val="20"/>
              </w:rPr>
              <w:t>Legislative Council</w:t>
            </w:r>
          </w:p>
        </w:tc>
        <w:tc>
          <w:tcPr>
            <w:tcW w:w="1418" w:type="dxa"/>
            <w:noWrap/>
            <w:hideMark/>
          </w:tcPr>
          <w:p w:rsidR="00B7571F" w:rsidRPr="00E653FD" w:rsidRDefault="00E73589" w:rsidP="00630FD2">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r w:rsidRPr="00E73589">
              <w:rPr>
                <w:rFonts w:asciiTheme="minorHAnsi" w:hAnsiTheme="minorHAnsi" w:cs="Arial"/>
                <w:color w:val="000000" w:themeColor="text1"/>
                <w:sz w:val="20"/>
              </w:rPr>
              <w:t>25</w:t>
            </w:r>
          </w:p>
        </w:tc>
      </w:tr>
      <w:tr w:rsidR="00B7571F" w:rsidRPr="00E653FD" w:rsidTr="00B7571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B7571F" w:rsidRPr="00E653FD" w:rsidRDefault="00E73589" w:rsidP="00630FD2">
            <w:pPr>
              <w:tabs>
                <w:tab w:val="center" w:pos="4153"/>
                <w:tab w:val="right" w:pos="8306"/>
              </w:tabs>
              <w:rPr>
                <w:rFonts w:asciiTheme="minorHAnsi" w:hAnsiTheme="minorHAnsi" w:cs="Arial"/>
                <w:b w:val="0"/>
                <w:color w:val="000000" w:themeColor="text1"/>
                <w:sz w:val="20"/>
              </w:rPr>
            </w:pPr>
            <w:r w:rsidRPr="00E73589">
              <w:rPr>
                <w:rFonts w:asciiTheme="minorHAnsi" w:hAnsiTheme="minorHAnsi" w:cs="Arial"/>
                <w:color w:val="000000" w:themeColor="text1"/>
                <w:sz w:val="20"/>
              </w:rPr>
              <w:t>Parliamentary Inspector of the Corruption and Crime Commission</w:t>
            </w:r>
          </w:p>
        </w:tc>
        <w:tc>
          <w:tcPr>
            <w:tcW w:w="1418" w:type="dxa"/>
            <w:noWrap/>
            <w:hideMark/>
          </w:tcPr>
          <w:p w:rsidR="00B7571F" w:rsidRPr="00E653FD" w:rsidRDefault="00E73589" w:rsidP="00630FD2">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 w:val="20"/>
              </w:rPr>
            </w:pPr>
            <w:r w:rsidRPr="00E73589">
              <w:rPr>
                <w:rFonts w:asciiTheme="minorHAnsi" w:hAnsiTheme="minorHAnsi" w:cs="Arial"/>
                <w:color w:val="000000" w:themeColor="text1"/>
                <w:sz w:val="20"/>
              </w:rPr>
              <w:t>2</w:t>
            </w:r>
          </w:p>
        </w:tc>
      </w:tr>
      <w:tr w:rsidR="00B7571F" w:rsidRPr="00E653FD" w:rsidTr="00B7571F">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B7571F" w:rsidRPr="00E653FD" w:rsidRDefault="00E73589" w:rsidP="00630FD2">
            <w:pPr>
              <w:rPr>
                <w:rFonts w:asciiTheme="minorHAnsi" w:hAnsiTheme="minorHAnsi" w:cs="Arial"/>
                <w:i/>
                <w:color w:val="000000" w:themeColor="text1"/>
                <w:sz w:val="20"/>
                <w:lang w:eastAsia="en-AU"/>
              </w:rPr>
            </w:pPr>
            <w:r w:rsidRPr="00E73589">
              <w:rPr>
                <w:rFonts w:asciiTheme="minorHAnsi" w:hAnsiTheme="minorHAnsi" w:cs="Arial"/>
                <w:i/>
                <w:color w:val="000000" w:themeColor="text1"/>
                <w:sz w:val="20"/>
                <w:lang w:eastAsia="en-AU"/>
              </w:rPr>
              <w:t>TOTAL</w:t>
            </w:r>
          </w:p>
        </w:tc>
        <w:tc>
          <w:tcPr>
            <w:tcW w:w="1418" w:type="dxa"/>
            <w:noWrap/>
            <w:hideMark/>
          </w:tcPr>
          <w:p w:rsidR="00B7571F" w:rsidRPr="00E653FD" w:rsidRDefault="00E73589">
            <w:pPr>
              <w:jc w:val="right"/>
              <w:cnfStyle w:val="010000000000" w:firstRow="0" w:lastRow="1" w:firstColumn="0" w:lastColumn="0" w:oddVBand="0" w:evenVBand="0" w:oddHBand="0" w:evenHBand="0" w:firstRowFirstColumn="0" w:firstRowLastColumn="0" w:lastRowFirstColumn="0" w:lastRowLastColumn="0"/>
              <w:rPr>
                <w:rFonts w:asciiTheme="minorHAnsi" w:eastAsia="Times" w:hAnsiTheme="minorHAnsi" w:cs="Arial"/>
                <w:color w:val="000000" w:themeColor="text1"/>
                <w:sz w:val="20"/>
              </w:rPr>
            </w:pPr>
            <w:r w:rsidRPr="00E73589">
              <w:rPr>
                <w:rFonts w:asciiTheme="minorHAnsi" w:hAnsiTheme="minorHAnsi" w:cs="Arial"/>
                <w:color w:val="000000" w:themeColor="text1"/>
                <w:sz w:val="20"/>
              </w:rPr>
              <w:t>194</w:t>
            </w:r>
          </w:p>
        </w:tc>
      </w:tr>
    </w:tbl>
    <w:p w:rsidR="00630FD2" w:rsidRPr="00AD5F4C" w:rsidRDefault="00630FD2" w:rsidP="001F298A">
      <w:pPr>
        <w:spacing w:before="240"/>
        <w:rPr>
          <w:rFonts w:asciiTheme="minorHAnsi" w:hAnsiTheme="minorHAnsi" w:cs="Arial"/>
          <w:lang w:val="en-US"/>
        </w:rPr>
      </w:pPr>
    </w:p>
    <w:tbl>
      <w:tblPr>
        <w:tblStyle w:val="TableGrid"/>
        <w:tblW w:w="0" w:type="auto"/>
        <w:tblLook w:val="04A0" w:firstRow="1" w:lastRow="0" w:firstColumn="1" w:lastColumn="0" w:noHBand="0" w:noVBand="1"/>
        <w:tblDescription w:val="A table showing the 'Sum of Aveage Paid FTE for agencies subject to FTE Ceiling' with the figure 104,214."/>
      </w:tblPr>
      <w:tblGrid>
        <w:gridCol w:w="8472"/>
        <w:gridCol w:w="1241"/>
      </w:tblGrid>
      <w:tr w:rsidR="001F298A" w:rsidTr="001F298A">
        <w:trPr>
          <w:tblHeader/>
        </w:trPr>
        <w:tc>
          <w:tcPr>
            <w:tcW w:w="8472" w:type="dxa"/>
            <w:tcBorders>
              <w:top w:val="double" w:sz="4" w:space="0" w:color="auto"/>
              <w:left w:val="single" w:sz="4" w:space="0" w:color="FFFFFF" w:themeColor="background1"/>
              <w:bottom w:val="double" w:sz="4" w:space="0" w:color="auto"/>
              <w:right w:val="single" w:sz="4" w:space="0" w:color="FFFFFF" w:themeColor="background1"/>
            </w:tcBorders>
          </w:tcPr>
          <w:p w:rsidR="001F298A" w:rsidRDefault="001F298A" w:rsidP="00630FD2">
            <w:pPr>
              <w:rPr>
                <w:rFonts w:ascii="Arial" w:hAnsi="Arial" w:cs="Arial"/>
                <w:lang w:val="en-US"/>
              </w:rPr>
            </w:pPr>
            <w:r w:rsidRPr="00E73589">
              <w:rPr>
                <w:rFonts w:asciiTheme="minorHAnsi" w:hAnsiTheme="minorHAnsi" w:cs="Arial"/>
                <w:b/>
                <w:lang w:val="en-US"/>
              </w:rPr>
              <w:t>Sum of Average Paid FTE for agencies subject to FTE Ceiling</w:t>
            </w:r>
          </w:p>
        </w:tc>
        <w:tc>
          <w:tcPr>
            <w:tcW w:w="1241" w:type="dxa"/>
            <w:tcBorders>
              <w:top w:val="double" w:sz="4" w:space="0" w:color="auto"/>
              <w:left w:val="single" w:sz="4" w:space="0" w:color="FFFFFF" w:themeColor="background1"/>
              <w:bottom w:val="double" w:sz="4" w:space="0" w:color="auto"/>
              <w:right w:val="single" w:sz="4" w:space="0" w:color="FFFFFF" w:themeColor="background1"/>
            </w:tcBorders>
          </w:tcPr>
          <w:p w:rsidR="001F298A" w:rsidRDefault="001F298A" w:rsidP="001F298A">
            <w:pPr>
              <w:ind w:firstLine="33"/>
              <w:rPr>
                <w:rFonts w:ascii="Arial" w:hAnsi="Arial" w:cs="Arial"/>
                <w:lang w:val="en-US"/>
              </w:rPr>
            </w:pPr>
            <w:r>
              <w:rPr>
                <w:rFonts w:asciiTheme="minorHAnsi" w:hAnsiTheme="minorHAnsi" w:cs="Arial"/>
                <w:b/>
                <w:lang w:val="en-US"/>
              </w:rPr>
              <w:t>104,214</w:t>
            </w:r>
          </w:p>
        </w:tc>
      </w:tr>
    </w:tbl>
    <w:p w:rsidR="00F43CF4" w:rsidRDefault="009A64D1" w:rsidP="001F298A">
      <w:pPr>
        <w:spacing w:before="1440"/>
        <w:rPr>
          <w:rFonts w:asciiTheme="minorHAnsi" w:hAnsiTheme="minorHAnsi" w:cs="Arial"/>
          <w:color w:val="943634" w:themeColor="accent2" w:themeShade="BF"/>
          <w:sz w:val="22"/>
          <w:szCs w:val="22"/>
        </w:rPr>
      </w:pPr>
      <w:r w:rsidRPr="009A64D1">
        <w:rPr>
          <w:rFonts w:asciiTheme="minorHAnsi" w:hAnsiTheme="minorHAnsi" w:cs="Arial"/>
          <w:color w:val="943634" w:themeColor="accent2" w:themeShade="BF"/>
          <w:sz w:val="22"/>
          <w:szCs w:val="22"/>
        </w:rPr>
        <w:lastRenderedPageBreak/>
        <w:t>Table 3: Agencies Not Subject to an FTE Ceiling.</w:t>
      </w:r>
    </w:p>
    <w:p w:rsidR="00630FD2" w:rsidRDefault="00630FD2" w:rsidP="00630FD2">
      <w:pPr>
        <w:rPr>
          <w:rFonts w:ascii="Arial" w:hAnsi="Arial" w:cs="Arial"/>
          <w:lang w:val="en-US"/>
        </w:rPr>
      </w:pPr>
    </w:p>
    <w:tbl>
      <w:tblPr>
        <w:tblStyle w:val="LightShading-Accent11"/>
        <w:tblW w:w="9606" w:type="dxa"/>
        <w:tblLook w:val="04E0" w:firstRow="1" w:lastRow="1" w:firstColumn="1" w:lastColumn="0" w:noHBand="0" w:noVBand="1"/>
        <w:tblDescription w:val="A table showing agencies not subject to an FTE ceiling. The table shows Headcount March 2011, Paid FTE March 2011 and Average Paid FTE."/>
      </w:tblPr>
      <w:tblGrid>
        <w:gridCol w:w="5778"/>
        <w:gridCol w:w="1276"/>
        <w:gridCol w:w="1276"/>
        <w:gridCol w:w="1276"/>
      </w:tblGrid>
      <w:tr w:rsidR="009A0B8B" w:rsidRPr="00B275B1" w:rsidTr="008359A0">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5778" w:type="dxa"/>
            <w:noWrap/>
            <w:hideMark/>
          </w:tcPr>
          <w:p w:rsidR="006767C9" w:rsidRPr="00B275B1" w:rsidRDefault="006767C9">
            <w:pPr>
              <w:rPr>
                <w:rFonts w:asciiTheme="minorHAnsi" w:hAnsiTheme="minorHAnsi"/>
                <w:color w:val="000000" w:themeColor="text1"/>
                <w:sz w:val="20"/>
                <w:lang w:eastAsia="en-AU"/>
              </w:rPr>
            </w:pPr>
            <w:bookmarkStart w:id="5" w:name="_Hlk263836578"/>
            <w:bookmarkStart w:id="6" w:name="OLE_LINK1"/>
          </w:p>
        </w:tc>
        <w:tc>
          <w:tcPr>
            <w:tcW w:w="1276" w:type="dxa"/>
            <w:noWrap/>
            <w:vAlign w:val="center"/>
            <w:hideMark/>
          </w:tcPr>
          <w:p w:rsidR="005055DF" w:rsidRDefault="00E73589">
            <w:pPr>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bCs w:val="0"/>
                <w:color w:val="000000" w:themeColor="text1"/>
                <w:sz w:val="20"/>
                <w:lang w:eastAsia="en-AU"/>
              </w:rPr>
            </w:pPr>
            <w:r w:rsidRPr="00E73589">
              <w:rPr>
                <w:rFonts w:asciiTheme="minorHAnsi" w:hAnsiTheme="minorHAnsi"/>
                <w:color w:val="000000" w:themeColor="text1"/>
                <w:sz w:val="20"/>
                <w:lang w:eastAsia="en-AU"/>
              </w:rPr>
              <w:t>Headcount Mar 2011</w:t>
            </w:r>
            <w:r w:rsidRPr="00E73589">
              <w:rPr>
                <w:rFonts w:asciiTheme="minorHAnsi" w:hAnsiTheme="minorHAnsi"/>
                <w:color w:val="000000" w:themeColor="text1"/>
                <w:sz w:val="20"/>
                <w:vertAlign w:val="superscript"/>
                <w:lang w:eastAsia="en-AU"/>
              </w:rPr>
              <w:t>2</w:t>
            </w:r>
          </w:p>
        </w:tc>
        <w:tc>
          <w:tcPr>
            <w:tcW w:w="1276" w:type="dxa"/>
            <w:noWrap/>
            <w:vAlign w:val="center"/>
            <w:hideMark/>
          </w:tcPr>
          <w:p w:rsidR="005055DF" w:rsidRDefault="00E73589">
            <w:pPr>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b w:val="0"/>
                <w:bCs w:val="0"/>
                <w:color w:val="000000" w:themeColor="text1"/>
                <w:sz w:val="20"/>
                <w:lang w:eastAsia="en-AU"/>
              </w:rPr>
            </w:pPr>
            <w:r w:rsidRPr="00E73589">
              <w:rPr>
                <w:rFonts w:asciiTheme="minorHAnsi" w:hAnsiTheme="minorHAnsi"/>
                <w:color w:val="000000" w:themeColor="text1"/>
                <w:sz w:val="20"/>
                <w:lang w:eastAsia="en-AU"/>
              </w:rPr>
              <w:t xml:space="preserve">Paid FTE </w:t>
            </w:r>
          </w:p>
          <w:p w:rsidR="005055DF" w:rsidRDefault="00E73589">
            <w:pPr>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bCs w:val="0"/>
                <w:color w:val="000000" w:themeColor="text1"/>
                <w:sz w:val="20"/>
                <w:lang w:eastAsia="en-AU"/>
              </w:rPr>
            </w:pPr>
            <w:r w:rsidRPr="00E73589">
              <w:rPr>
                <w:rFonts w:asciiTheme="minorHAnsi" w:hAnsiTheme="minorHAnsi"/>
                <w:color w:val="000000" w:themeColor="text1"/>
                <w:sz w:val="20"/>
                <w:lang w:eastAsia="en-AU"/>
              </w:rPr>
              <w:t>Mar 2011</w:t>
            </w:r>
            <w:r>
              <w:rPr>
                <w:rFonts w:asciiTheme="minorHAnsi" w:hAnsiTheme="minorHAnsi"/>
                <w:color w:val="000000" w:themeColor="text1"/>
                <w:sz w:val="20"/>
                <w:vertAlign w:val="superscript"/>
                <w:lang w:eastAsia="en-AU"/>
              </w:rPr>
              <w:t>3</w:t>
            </w:r>
          </w:p>
        </w:tc>
        <w:tc>
          <w:tcPr>
            <w:tcW w:w="1276" w:type="dxa"/>
            <w:noWrap/>
            <w:vAlign w:val="center"/>
            <w:hideMark/>
          </w:tcPr>
          <w:p w:rsidR="005055DF" w:rsidRDefault="00E73589">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r w:rsidRPr="00E73589">
              <w:rPr>
                <w:rFonts w:asciiTheme="minorHAnsi" w:hAnsiTheme="minorHAnsi" w:cs="Arial"/>
                <w:color w:val="000000" w:themeColor="text1"/>
                <w:sz w:val="20"/>
              </w:rPr>
              <w:t xml:space="preserve">Average </w:t>
            </w:r>
          </w:p>
          <w:p w:rsidR="005055DF" w:rsidRDefault="00E73589">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20"/>
                <w:lang w:eastAsia="en-AU"/>
              </w:rPr>
            </w:pPr>
            <w:r w:rsidRPr="00E73589">
              <w:rPr>
                <w:rFonts w:asciiTheme="minorHAnsi" w:hAnsiTheme="minorHAnsi" w:cs="Arial"/>
                <w:color w:val="000000" w:themeColor="text1"/>
                <w:sz w:val="20"/>
              </w:rPr>
              <w:t>Paid FTE</w:t>
            </w:r>
            <w:r w:rsidRPr="00E73589">
              <w:rPr>
                <w:rFonts w:asciiTheme="minorHAnsi" w:hAnsiTheme="minorHAnsi" w:cs="Arial"/>
                <w:color w:val="000000" w:themeColor="text1"/>
                <w:sz w:val="20"/>
                <w:vertAlign w:val="superscript"/>
              </w:rPr>
              <w:t>4</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Water Corporation</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3</w:t>
            </w:r>
            <w:r>
              <w:rPr>
                <w:rFonts w:asciiTheme="minorHAnsi" w:hAnsiTheme="minorHAnsi"/>
                <w:color w:val="000000"/>
                <w:sz w:val="20"/>
              </w:rPr>
              <w:t>,</w:t>
            </w:r>
            <w:r w:rsidRPr="00E73589">
              <w:rPr>
                <w:rFonts w:asciiTheme="minorHAnsi" w:hAnsiTheme="minorHAnsi"/>
                <w:color w:val="000000"/>
                <w:sz w:val="20"/>
              </w:rPr>
              <w:t>044</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2908</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2932</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Electricity Networks Corporation (Western Power)</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3</w:t>
            </w:r>
            <w:r>
              <w:rPr>
                <w:rFonts w:asciiTheme="minorHAnsi" w:hAnsiTheme="minorHAnsi"/>
                <w:color w:val="000000"/>
                <w:sz w:val="20"/>
              </w:rPr>
              <w:t>,</w:t>
            </w:r>
            <w:r w:rsidRPr="00E73589">
              <w:rPr>
                <w:rFonts w:asciiTheme="minorHAnsi" w:hAnsiTheme="minorHAnsi"/>
                <w:color w:val="000000"/>
                <w:sz w:val="20"/>
              </w:rPr>
              <w:t>019</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2977</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2935</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Public Transport Authority of Western Australia</w:t>
            </w:r>
          </w:p>
        </w:tc>
        <w:tc>
          <w:tcPr>
            <w:tcW w:w="1276" w:type="dxa"/>
            <w:tcBorders>
              <w:bottom w:val="nil"/>
            </w:tcBorders>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1</w:t>
            </w:r>
            <w:r>
              <w:rPr>
                <w:rFonts w:asciiTheme="minorHAnsi" w:hAnsiTheme="minorHAnsi"/>
                <w:color w:val="000000"/>
                <w:sz w:val="20"/>
              </w:rPr>
              <w:t>,</w:t>
            </w:r>
            <w:r w:rsidRPr="00E73589">
              <w:rPr>
                <w:rFonts w:asciiTheme="minorHAnsi" w:hAnsiTheme="minorHAnsi"/>
                <w:color w:val="000000"/>
                <w:sz w:val="20"/>
              </w:rPr>
              <w:t>468</w:t>
            </w:r>
          </w:p>
        </w:tc>
        <w:tc>
          <w:tcPr>
            <w:tcW w:w="1276" w:type="dxa"/>
            <w:tcBorders>
              <w:bottom w:val="nil"/>
            </w:tcBorders>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1389</w:t>
            </w:r>
          </w:p>
        </w:tc>
        <w:tc>
          <w:tcPr>
            <w:tcW w:w="1276" w:type="dxa"/>
            <w:tcBorders>
              <w:bottom w:val="nil"/>
            </w:tcBorders>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1384</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top w:val="nil"/>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Department of Housing</w:t>
            </w:r>
          </w:p>
        </w:tc>
        <w:tc>
          <w:tcPr>
            <w:tcW w:w="1276" w:type="dxa"/>
            <w:tcBorders>
              <w:top w:val="nil"/>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1</w:t>
            </w:r>
            <w:r>
              <w:rPr>
                <w:rFonts w:asciiTheme="minorHAnsi" w:hAnsiTheme="minorHAnsi"/>
                <w:color w:val="000000"/>
                <w:sz w:val="20"/>
              </w:rPr>
              <w:t>,</w:t>
            </w:r>
            <w:r w:rsidRPr="00E73589">
              <w:rPr>
                <w:rFonts w:asciiTheme="minorHAnsi" w:hAnsiTheme="minorHAnsi"/>
                <w:color w:val="000000"/>
                <w:sz w:val="20"/>
              </w:rPr>
              <w:t>293</w:t>
            </w:r>
          </w:p>
        </w:tc>
        <w:tc>
          <w:tcPr>
            <w:tcW w:w="1276" w:type="dxa"/>
            <w:tcBorders>
              <w:top w:val="nil"/>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1172</w:t>
            </w:r>
          </w:p>
        </w:tc>
        <w:tc>
          <w:tcPr>
            <w:tcW w:w="1276" w:type="dxa"/>
            <w:tcBorders>
              <w:top w:val="nil"/>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1135</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Electricity Generation Corporation (Verve Energy)</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619</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602</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597</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Racing and Wagering WA</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511</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377</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374</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Regional Power Corporation (Horizon Power)</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409</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403</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393</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Insurance Commission of Western Australia</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383</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360</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346</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Electricity Retail Corporation (Synergy)</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370</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352</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334</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Gold Corporation</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363</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357</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321</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Legal Aid Commission of Western Australia</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335</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285</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285</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Fremantle Port Authority</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332</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319</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312</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Government Employees Superannuation Board (GESB)</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241</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224</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221</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Western Australian Land Authority (LandCorp)</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228</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219</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206</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Lotteries Commission (Lotterywest)</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208</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196</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195</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Forest Products Commission</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173</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148</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185</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WorkCover Western Australia Authority</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156</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141</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147</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Rottnest Island Authority</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156</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122</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117</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Metropolitan Cemeteries Board</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139</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120</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120</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Esperance Port Authority</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109</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108</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106</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Port Hedland Port Authority</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76</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75</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60</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bookmarkStart w:id="7" w:name="RANGE!A25"/>
            <w:r w:rsidRPr="00E73589">
              <w:rPr>
                <w:rFonts w:ascii="Calibri" w:hAnsi="Calibri"/>
                <w:color w:val="000000"/>
                <w:sz w:val="20"/>
              </w:rPr>
              <w:t>Builders’ Registration Board of Western Australia and Painters’ Registration Board</w:t>
            </w:r>
            <w:bookmarkEnd w:id="7"/>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76</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68</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66</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bookmarkStart w:id="8" w:name="RANGE!A26"/>
            <w:r w:rsidRPr="00E73589">
              <w:rPr>
                <w:rFonts w:ascii="Calibri" w:hAnsi="Calibri"/>
                <w:color w:val="000000"/>
                <w:sz w:val="20"/>
              </w:rPr>
              <w:t>Animal Resources Authority</w:t>
            </w:r>
            <w:bookmarkEnd w:id="8"/>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68</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51</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55</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Western Australian Treasury Corporation</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67</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64</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63</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Broome Port Authority</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65</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44</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41</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Geraldton Port Authority</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58</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57</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57</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bookmarkStart w:id="9" w:name="RANGE!A30"/>
            <w:r w:rsidRPr="00E73589">
              <w:rPr>
                <w:rFonts w:ascii="Calibri" w:hAnsi="Calibri"/>
                <w:color w:val="000000"/>
                <w:sz w:val="20"/>
              </w:rPr>
              <w:t>East Perth Redevelopment Authority and Subiaco Redevelopment  Authority</w:t>
            </w:r>
            <w:bookmarkEnd w:id="9"/>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54</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47</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49</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bookmarkStart w:id="10" w:name="RANGE!A31"/>
            <w:r w:rsidRPr="00E73589">
              <w:rPr>
                <w:rFonts w:ascii="Calibri" w:hAnsi="Calibri"/>
                <w:color w:val="000000"/>
                <w:sz w:val="20"/>
              </w:rPr>
              <w:t>Western Australian Institute of Sport</w:t>
            </w:r>
            <w:bookmarkEnd w:id="10"/>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51</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48</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49</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Legal Practice Board</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50</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42</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46</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Dampier Port Authority</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48</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48</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44</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Perth Market Authority</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47</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27</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26</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Western Australian College of Teaching</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42</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36</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37</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Independent Market Operator</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39</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35</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33</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Western Australian Greyhound Racing Association</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38</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36</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38</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Bunbury Water Board (Aqwest)</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36</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32</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33</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Bunbury Port Authority</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29</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27</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25</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Busselton Water Board</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26</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26</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28</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Albany Port Authority</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22</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22</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21</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Office of Health Review</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20</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15</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15</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Western Australian Health Promotion Foundation (Healthway)</w:t>
            </w:r>
          </w:p>
        </w:tc>
        <w:tc>
          <w:tcPr>
            <w:tcW w:w="1276" w:type="dxa"/>
            <w:tcBorders>
              <w:left w:val="nil"/>
              <w:bottom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18</w:t>
            </w:r>
          </w:p>
        </w:tc>
        <w:tc>
          <w:tcPr>
            <w:tcW w:w="1276" w:type="dxa"/>
            <w:tcBorders>
              <w:left w:val="nil"/>
              <w:bottom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16</w:t>
            </w:r>
          </w:p>
        </w:tc>
        <w:tc>
          <w:tcPr>
            <w:tcW w:w="1276" w:type="dxa"/>
            <w:tcBorders>
              <w:left w:val="nil"/>
              <w:bottom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15</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tcBorders>
              <w:top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Building and Construction Industry Training Board</w:t>
            </w:r>
          </w:p>
        </w:tc>
        <w:tc>
          <w:tcPr>
            <w:tcW w:w="1276" w:type="dxa"/>
            <w:tcBorders>
              <w:top w:val="nil"/>
            </w:tcBorders>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17</w:t>
            </w:r>
          </w:p>
        </w:tc>
        <w:tc>
          <w:tcPr>
            <w:tcW w:w="1276" w:type="dxa"/>
            <w:tcBorders>
              <w:top w:val="nil"/>
            </w:tcBorders>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15</w:t>
            </w:r>
          </w:p>
        </w:tc>
        <w:tc>
          <w:tcPr>
            <w:tcW w:w="1276" w:type="dxa"/>
            <w:tcBorders>
              <w:top w:val="nil"/>
            </w:tcBorders>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16</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Keep Australia Beautiful Council (W.A.)</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17</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11</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12</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lastRenderedPageBreak/>
              <w:t>Western Australian Meat Industry Authority</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13</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11</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11</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Potato Marketing Corporation of Western Australia</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12</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12</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12</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Midland Redevelopment Authority</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9</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8</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10</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Burswood Park Board</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8</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7</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7</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Veterinary Surgeons’ Board</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6</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4</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4</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Minerals and Energy Research Institute of Western Australia</w:t>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4</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9332ED" w:rsidRDefault="009332ED">
            <w:pPr>
              <w:rPr>
                <w:rFonts w:asciiTheme="minorHAnsi" w:hAnsiTheme="minorHAnsi"/>
                <w:color w:val="000000"/>
                <w:sz w:val="20"/>
              </w:rPr>
            </w:pPr>
            <w:r w:rsidRPr="00E73589">
              <w:rPr>
                <w:rFonts w:ascii="Calibri" w:hAnsi="Calibri"/>
                <w:color w:val="000000"/>
                <w:sz w:val="20"/>
              </w:rPr>
              <w:t>Architects Board of Western Australia</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3</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2</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bottom"/>
            <w:hideMark/>
          </w:tcPr>
          <w:p w:rsidR="009332ED" w:rsidRPr="00B275B1" w:rsidRDefault="009332ED" w:rsidP="00C76AAE">
            <w:pPr>
              <w:rPr>
                <w:rFonts w:asciiTheme="minorHAnsi" w:hAnsiTheme="minorHAnsi"/>
                <w:color w:val="000000"/>
                <w:sz w:val="20"/>
              </w:rPr>
            </w:pPr>
            <w:r w:rsidRPr="00E73589">
              <w:rPr>
                <w:rFonts w:asciiTheme="minorHAnsi" w:hAnsiTheme="minorHAnsi"/>
                <w:color w:val="000000"/>
                <w:sz w:val="20"/>
              </w:rPr>
              <w:t>Nurses and Midwives Registration Board of WA</w:t>
            </w:r>
            <w:r w:rsidRPr="00E73589">
              <w:rPr>
                <w:rStyle w:val="FootnoteReference"/>
                <w:rFonts w:asciiTheme="minorHAnsi" w:hAnsiTheme="minorHAnsi"/>
                <w:color w:val="000000"/>
                <w:sz w:val="20"/>
              </w:rPr>
              <w:footnoteReference w:id="6"/>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73589">
              <w:rPr>
                <w:rFonts w:asciiTheme="minorHAnsi" w:hAnsiTheme="minorHAnsi"/>
                <w:color w:val="000000"/>
                <w:sz w:val="20"/>
              </w:rPr>
              <w:t>N/A</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N/A</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33</w:t>
            </w:r>
          </w:p>
        </w:tc>
      </w:tr>
      <w:tr w:rsidR="009332ED" w:rsidRPr="00B275B1" w:rsidTr="009332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bottom"/>
            <w:hideMark/>
          </w:tcPr>
          <w:p w:rsidR="009332ED" w:rsidRPr="00B275B1" w:rsidRDefault="009332ED" w:rsidP="00413699">
            <w:pPr>
              <w:rPr>
                <w:rFonts w:asciiTheme="minorHAnsi" w:hAnsiTheme="minorHAnsi"/>
                <w:color w:val="000000"/>
                <w:sz w:val="20"/>
              </w:rPr>
            </w:pPr>
            <w:r w:rsidRPr="00E73589">
              <w:rPr>
                <w:rFonts w:asciiTheme="minorHAnsi" w:hAnsiTheme="minorHAnsi"/>
                <w:color w:val="000000"/>
                <w:sz w:val="20"/>
              </w:rPr>
              <w:t>Pharmaceutical Council of Western Australia</w:t>
            </w:r>
            <w:r>
              <w:rPr>
                <w:rFonts w:asciiTheme="minorHAnsi" w:hAnsiTheme="minorHAnsi"/>
                <w:sz w:val="20"/>
                <w:vertAlign w:val="superscript"/>
              </w:rPr>
              <w:t>6</w:t>
            </w:r>
          </w:p>
        </w:tc>
        <w:tc>
          <w:tcPr>
            <w:tcW w:w="1276" w:type="dxa"/>
            <w:noWrap/>
            <w:vAlign w:val="center"/>
            <w:hideMark/>
          </w:tcPr>
          <w:p w:rsidR="009332ED" w:rsidRDefault="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73589">
              <w:rPr>
                <w:rFonts w:asciiTheme="minorHAnsi" w:hAnsiTheme="minorHAnsi"/>
                <w:color w:val="000000"/>
                <w:sz w:val="20"/>
              </w:rPr>
              <w:t>N/A</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N/A</w:t>
            </w:r>
          </w:p>
        </w:tc>
        <w:tc>
          <w:tcPr>
            <w:tcW w:w="1276" w:type="dxa"/>
            <w:noWrap/>
            <w:vAlign w:val="center"/>
            <w:hideMark/>
          </w:tcPr>
          <w:p w:rsidR="009332ED" w:rsidRPr="009332ED" w:rsidRDefault="009332ED" w:rsidP="009332ED">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8</w:t>
            </w:r>
          </w:p>
        </w:tc>
      </w:tr>
      <w:tr w:rsidR="009332ED" w:rsidRPr="00B275B1" w:rsidTr="009332ED">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bottom"/>
            <w:hideMark/>
          </w:tcPr>
          <w:p w:rsidR="009332ED" w:rsidRPr="00B275B1" w:rsidRDefault="009332ED" w:rsidP="00774590">
            <w:pPr>
              <w:rPr>
                <w:rFonts w:asciiTheme="minorHAnsi" w:hAnsiTheme="minorHAnsi"/>
                <w:color w:val="000000"/>
                <w:sz w:val="20"/>
              </w:rPr>
            </w:pPr>
            <w:r w:rsidRPr="00E73589">
              <w:rPr>
                <w:rFonts w:asciiTheme="minorHAnsi" w:hAnsiTheme="minorHAnsi"/>
                <w:color w:val="000000"/>
                <w:sz w:val="20"/>
              </w:rPr>
              <w:t>Hairdressers Registration Board of WA</w:t>
            </w:r>
            <w:r w:rsidRPr="00E73589">
              <w:rPr>
                <w:rStyle w:val="FootnoteReference"/>
                <w:rFonts w:asciiTheme="minorHAnsi" w:hAnsiTheme="minorHAnsi"/>
                <w:color w:val="000000"/>
                <w:sz w:val="20"/>
              </w:rPr>
              <w:footnoteReference w:id="7"/>
            </w:r>
          </w:p>
        </w:tc>
        <w:tc>
          <w:tcPr>
            <w:tcW w:w="1276" w:type="dxa"/>
            <w:tcBorders>
              <w:left w:val="nil"/>
              <w:right w:val="nil"/>
            </w:tcBorders>
            <w:noWrap/>
            <w:vAlign w:val="center"/>
            <w:hideMark/>
          </w:tcPr>
          <w:p w:rsidR="009332ED" w:rsidRDefault="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E73589">
              <w:rPr>
                <w:rFonts w:asciiTheme="minorHAnsi" w:hAnsiTheme="minorHAnsi"/>
                <w:color w:val="000000"/>
                <w:sz w:val="20"/>
              </w:rPr>
              <w:t>N/A</w:t>
            </w:r>
          </w:p>
        </w:tc>
        <w:tc>
          <w:tcPr>
            <w:tcW w:w="1276" w:type="dxa"/>
            <w:tcBorders>
              <w:left w:val="nil"/>
              <w:righ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N/A</w:t>
            </w:r>
          </w:p>
        </w:tc>
        <w:tc>
          <w:tcPr>
            <w:tcW w:w="1276" w:type="dxa"/>
            <w:tcBorders>
              <w:left w:val="nil"/>
            </w:tcBorders>
            <w:noWrap/>
            <w:vAlign w:val="center"/>
            <w:hideMark/>
          </w:tcPr>
          <w:p w:rsidR="009332ED" w:rsidRPr="009332ED" w:rsidRDefault="009332ED" w:rsidP="009332ED">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9332ED">
              <w:rPr>
                <w:rFonts w:asciiTheme="minorHAnsi" w:hAnsiTheme="minorHAnsi"/>
                <w:color w:val="000000"/>
                <w:sz w:val="20"/>
              </w:rPr>
              <w:t>7</w:t>
            </w:r>
          </w:p>
        </w:tc>
      </w:tr>
      <w:tr w:rsidR="004B3979" w:rsidRPr="00B275B1" w:rsidTr="008359A0">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bottom w:val="double" w:sz="4" w:space="0" w:color="auto"/>
            </w:tcBorders>
            <w:noWrap/>
            <w:vAlign w:val="center"/>
            <w:hideMark/>
          </w:tcPr>
          <w:p w:rsidR="009B29C1" w:rsidRPr="00B275B1" w:rsidRDefault="00E73589" w:rsidP="00E653FD">
            <w:pPr>
              <w:tabs>
                <w:tab w:val="center" w:pos="4153"/>
                <w:tab w:val="right" w:pos="8306"/>
              </w:tabs>
              <w:rPr>
                <w:rFonts w:asciiTheme="minorHAnsi" w:hAnsiTheme="minorHAnsi"/>
                <w:color w:val="000000" w:themeColor="text1"/>
                <w:sz w:val="20"/>
              </w:rPr>
            </w:pPr>
            <w:r w:rsidRPr="00E73589">
              <w:rPr>
                <w:rFonts w:asciiTheme="minorHAnsi" w:hAnsiTheme="minorHAnsi" w:cs="Arial"/>
                <w:i/>
                <w:color w:val="000000"/>
                <w:sz w:val="20"/>
              </w:rPr>
              <w:t>TOTAL</w:t>
            </w:r>
            <w:r>
              <w:rPr>
                <w:rStyle w:val="FootnoteReference"/>
                <w:rFonts w:asciiTheme="minorHAnsi" w:hAnsiTheme="minorHAnsi" w:cs="Arial"/>
                <w:i/>
                <w:color w:val="000000"/>
                <w:sz w:val="20"/>
              </w:rPr>
              <w:footnoteReference w:id="8"/>
            </w:r>
          </w:p>
        </w:tc>
        <w:tc>
          <w:tcPr>
            <w:tcW w:w="1276" w:type="dxa"/>
            <w:tcBorders>
              <w:top w:val="double" w:sz="4" w:space="0" w:color="auto"/>
              <w:bottom w:val="double" w:sz="4" w:space="0" w:color="auto"/>
            </w:tcBorders>
            <w:noWrap/>
            <w:vAlign w:val="center"/>
            <w:hideMark/>
          </w:tcPr>
          <w:p w:rsidR="005055DF" w:rsidRDefault="00E73589">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14,575</w:t>
            </w:r>
          </w:p>
        </w:tc>
        <w:tc>
          <w:tcPr>
            <w:tcW w:w="1276" w:type="dxa"/>
            <w:tcBorders>
              <w:top w:val="double" w:sz="4" w:space="0" w:color="auto"/>
              <w:bottom w:val="double" w:sz="4" w:space="0" w:color="auto"/>
            </w:tcBorders>
            <w:noWrap/>
            <w:vAlign w:val="center"/>
            <w:hideMark/>
          </w:tcPr>
          <w:p w:rsidR="005055DF" w:rsidRDefault="00E73589" w:rsidP="009332ED">
            <w:pPr>
              <w:jc w:val="right"/>
              <w:cnfStyle w:val="010000000000" w:firstRow="0" w:lastRow="1" w:firstColumn="0" w:lastColumn="0" w:oddVBand="0" w:evenVBand="0" w:oddHBand="0" w:evenHBand="0" w:firstRowFirstColumn="0" w:firstRowLastColumn="0" w:lastRowFirstColumn="0" w:lastRowLastColumn="0"/>
              <w:rPr>
                <w:rFonts w:asciiTheme="minorHAnsi" w:hAnsiTheme="minorHAnsi"/>
                <w:color w:val="000000" w:themeColor="text1"/>
                <w:sz w:val="20"/>
              </w:rPr>
            </w:pPr>
            <w:r w:rsidRPr="00E73589">
              <w:rPr>
                <w:rFonts w:ascii="Calibri" w:hAnsi="Calibri"/>
                <w:color w:val="000000"/>
                <w:sz w:val="20"/>
              </w:rPr>
              <w:t>13,66</w:t>
            </w:r>
            <w:r w:rsidR="009332ED">
              <w:rPr>
                <w:rFonts w:ascii="Calibri" w:hAnsi="Calibri"/>
                <w:color w:val="000000"/>
                <w:sz w:val="20"/>
              </w:rPr>
              <w:t>7</w:t>
            </w:r>
          </w:p>
        </w:tc>
        <w:tc>
          <w:tcPr>
            <w:tcW w:w="1276" w:type="dxa"/>
            <w:tcBorders>
              <w:top w:val="double" w:sz="4" w:space="0" w:color="auto"/>
              <w:bottom w:val="double" w:sz="4" w:space="0" w:color="auto"/>
            </w:tcBorders>
            <w:noWrap/>
            <w:vAlign w:val="center"/>
            <w:hideMark/>
          </w:tcPr>
          <w:p w:rsidR="005055DF" w:rsidRDefault="00E73589" w:rsidP="009332ED">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0"/>
              </w:rPr>
            </w:pPr>
            <w:r w:rsidRPr="00E73589">
              <w:rPr>
                <w:rFonts w:ascii="Calibri" w:hAnsi="Calibri"/>
                <w:color w:val="000000"/>
                <w:sz w:val="20"/>
              </w:rPr>
              <w:t>13,43</w:t>
            </w:r>
            <w:r w:rsidR="009332ED">
              <w:rPr>
                <w:rFonts w:ascii="Calibri" w:hAnsi="Calibri"/>
                <w:color w:val="000000"/>
                <w:sz w:val="20"/>
              </w:rPr>
              <w:t>7</w:t>
            </w:r>
          </w:p>
        </w:tc>
      </w:tr>
      <w:bookmarkEnd w:id="5"/>
      <w:bookmarkEnd w:id="6"/>
    </w:tbl>
    <w:p w:rsidR="009A0B8B" w:rsidRDefault="009A0B8B" w:rsidP="001F298A">
      <w:pPr>
        <w:spacing w:before="360"/>
        <w:rPr>
          <w:rFonts w:ascii="Arial" w:hAnsi="Arial" w:cs="Arial"/>
          <w:lang w:val="en-US"/>
        </w:rPr>
      </w:pPr>
    </w:p>
    <w:tbl>
      <w:tblPr>
        <w:tblStyle w:val="TableGrid"/>
        <w:tblW w:w="0" w:type="auto"/>
        <w:tblLook w:val="04A0" w:firstRow="1" w:lastRow="0" w:firstColumn="1" w:lastColumn="0" w:noHBand="0" w:noVBand="1"/>
        <w:tblDescription w:val="A single line table showing Total (HRMOIR), with the figure 152,510 and then 119,234.. "/>
      </w:tblPr>
      <w:tblGrid>
        <w:gridCol w:w="6204"/>
        <w:gridCol w:w="1275"/>
        <w:gridCol w:w="1008"/>
      </w:tblGrid>
      <w:tr w:rsidR="001F298A" w:rsidTr="001F298A">
        <w:trPr>
          <w:tblHeader/>
        </w:trPr>
        <w:tc>
          <w:tcPr>
            <w:tcW w:w="6204" w:type="dxa"/>
            <w:tcBorders>
              <w:top w:val="double" w:sz="4" w:space="0" w:color="auto"/>
              <w:left w:val="single" w:sz="4" w:space="0" w:color="FFFFFF" w:themeColor="background1"/>
              <w:bottom w:val="double" w:sz="4" w:space="0" w:color="auto"/>
              <w:right w:val="single" w:sz="4" w:space="0" w:color="FFFFFF" w:themeColor="background1"/>
            </w:tcBorders>
          </w:tcPr>
          <w:p w:rsidR="001F298A" w:rsidRPr="001F298A" w:rsidRDefault="001F298A" w:rsidP="00630FD2">
            <w:pPr>
              <w:rPr>
                <w:rFonts w:ascii="Arial" w:hAnsi="Arial" w:cs="Arial"/>
                <w:b/>
                <w:lang w:val="en-US"/>
              </w:rPr>
            </w:pPr>
            <w:r w:rsidRPr="001F298A">
              <w:rPr>
                <w:rFonts w:asciiTheme="minorHAnsi" w:hAnsiTheme="minorHAnsi" w:cs="Arial"/>
                <w:b/>
                <w:color w:val="000000" w:themeColor="text1"/>
                <w:szCs w:val="24"/>
                <w:lang w:eastAsia="en-AU"/>
              </w:rPr>
              <w:t>TOTAL</w:t>
            </w:r>
            <w:r w:rsidRPr="001F298A">
              <w:rPr>
                <w:rStyle w:val="FootnoteReference"/>
                <w:rFonts w:asciiTheme="minorHAnsi" w:hAnsiTheme="minorHAnsi" w:cs="Arial"/>
                <w:b/>
                <w:i/>
                <w:color w:val="000000"/>
                <w:sz w:val="20"/>
              </w:rPr>
              <w:footnoteReference w:id="9"/>
            </w:r>
            <w:r w:rsidRPr="001F298A">
              <w:rPr>
                <w:rFonts w:asciiTheme="minorHAnsi" w:hAnsiTheme="minorHAnsi" w:cs="Arial"/>
                <w:b/>
                <w:color w:val="000000" w:themeColor="text1"/>
                <w:szCs w:val="24"/>
                <w:lang w:eastAsia="en-AU"/>
              </w:rPr>
              <w:t xml:space="preserve">  (HRMOIR)</w:t>
            </w:r>
          </w:p>
        </w:tc>
        <w:tc>
          <w:tcPr>
            <w:tcW w:w="1275" w:type="dxa"/>
            <w:tcBorders>
              <w:top w:val="double" w:sz="4" w:space="0" w:color="auto"/>
              <w:left w:val="single" w:sz="4" w:space="0" w:color="FFFFFF" w:themeColor="background1"/>
              <w:bottom w:val="double" w:sz="4" w:space="0" w:color="auto"/>
              <w:right w:val="single" w:sz="4" w:space="0" w:color="FFFFFF" w:themeColor="background1"/>
            </w:tcBorders>
          </w:tcPr>
          <w:p w:rsidR="001F298A" w:rsidRPr="001F298A" w:rsidRDefault="001F298A" w:rsidP="00630FD2">
            <w:pPr>
              <w:rPr>
                <w:rFonts w:ascii="Arial" w:hAnsi="Arial" w:cs="Arial"/>
                <w:b/>
                <w:lang w:val="en-US"/>
              </w:rPr>
            </w:pPr>
            <w:r w:rsidRPr="001F298A">
              <w:rPr>
                <w:rFonts w:ascii="Calibri" w:hAnsi="Calibri"/>
                <w:b/>
                <w:color w:val="000000"/>
                <w:szCs w:val="22"/>
              </w:rPr>
              <w:t>152,510</w:t>
            </w:r>
          </w:p>
        </w:tc>
        <w:tc>
          <w:tcPr>
            <w:tcW w:w="1008" w:type="dxa"/>
            <w:tcBorders>
              <w:top w:val="double" w:sz="4" w:space="0" w:color="auto"/>
              <w:left w:val="single" w:sz="4" w:space="0" w:color="FFFFFF" w:themeColor="background1"/>
              <w:bottom w:val="double" w:sz="4" w:space="0" w:color="auto"/>
              <w:right w:val="single" w:sz="4" w:space="0" w:color="FFFFFF" w:themeColor="background1"/>
            </w:tcBorders>
          </w:tcPr>
          <w:p w:rsidR="001F298A" w:rsidRPr="001F298A" w:rsidRDefault="001F298A" w:rsidP="00630FD2">
            <w:pPr>
              <w:rPr>
                <w:rFonts w:ascii="Arial" w:hAnsi="Arial" w:cs="Arial"/>
                <w:b/>
                <w:lang w:val="en-US"/>
              </w:rPr>
            </w:pPr>
            <w:r w:rsidRPr="001F298A">
              <w:rPr>
                <w:rFonts w:ascii="Calibri" w:hAnsi="Calibri"/>
                <w:b/>
                <w:color w:val="000000"/>
                <w:szCs w:val="22"/>
              </w:rPr>
              <w:t>119,234</w:t>
            </w:r>
          </w:p>
        </w:tc>
      </w:tr>
    </w:tbl>
    <w:p w:rsidR="009A0B8B" w:rsidRPr="005E3A24" w:rsidRDefault="009A0B8B" w:rsidP="00630FD2">
      <w:pPr>
        <w:rPr>
          <w:rFonts w:ascii="Arial" w:hAnsi="Arial" w:cs="Arial"/>
          <w:lang w:val="en-US"/>
        </w:rPr>
      </w:pPr>
    </w:p>
    <w:p w:rsidR="00630FD2" w:rsidRPr="00AD5F4C" w:rsidRDefault="00630FD2" w:rsidP="00630FD2">
      <w:pPr>
        <w:rPr>
          <w:rFonts w:asciiTheme="minorHAnsi" w:hAnsiTheme="minorHAnsi" w:cs="Arial"/>
          <w:b/>
          <w:color w:val="0070C0"/>
          <w:szCs w:val="24"/>
        </w:rPr>
      </w:pPr>
    </w:p>
    <w:p w:rsidR="00B066C0" w:rsidRPr="005A3385" w:rsidRDefault="00B066C0">
      <w:pPr>
        <w:rPr>
          <w:rFonts w:asciiTheme="minorHAnsi" w:hAnsiTheme="minorHAnsi" w:cs="Arial"/>
          <w:b/>
          <w:color w:val="0070C0"/>
          <w:sz w:val="28"/>
          <w:szCs w:val="28"/>
        </w:rPr>
      </w:pPr>
    </w:p>
    <w:sectPr w:rsidR="00B066C0" w:rsidRPr="005A3385" w:rsidSect="00A96691">
      <w:footerReference w:type="default" r:id="rId10"/>
      <w:footerReference w:type="first" r:id="rId11"/>
      <w:footnotePr>
        <w:numRestart w:val="eachSect"/>
      </w:footnotePr>
      <w:pgSz w:w="11904" w:h="16843"/>
      <w:pgMar w:top="1134" w:right="1131" w:bottom="1560" w:left="1276" w:header="720" w:footer="3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DAE" w:rsidRDefault="00570DAE">
      <w:r>
        <w:separator/>
      </w:r>
    </w:p>
  </w:endnote>
  <w:endnote w:type="continuationSeparator" w:id="0">
    <w:p w:rsidR="00570DAE" w:rsidRDefault="0057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5258187"/>
      <w:docPartObj>
        <w:docPartGallery w:val="Page Numbers (Bottom of Page)"/>
        <w:docPartUnique/>
      </w:docPartObj>
    </w:sdtPr>
    <w:sdtEndPr/>
    <w:sdtContent>
      <w:p w:rsidR="00570DAE" w:rsidRPr="00A96691" w:rsidRDefault="00570DAE">
        <w:pPr>
          <w:pStyle w:val="Footer"/>
          <w:jc w:val="right"/>
          <w:rPr>
            <w:rFonts w:asciiTheme="minorHAnsi" w:hAnsiTheme="minorHAnsi"/>
            <w:sz w:val="16"/>
            <w:szCs w:val="16"/>
          </w:rPr>
        </w:pPr>
        <w:r w:rsidRPr="00A96691">
          <w:rPr>
            <w:rFonts w:asciiTheme="minorHAnsi" w:hAnsiTheme="minorHAnsi"/>
            <w:sz w:val="16"/>
            <w:szCs w:val="16"/>
          </w:rPr>
          <w:fldChar w:fldCharType="begin"/>
        </w:r>
        <w:r w:rsidRPr="00A96691">
          <w:rPr>
            <w:rFonts w:asciiTheme="minorHAnsi" w:hAnsiTheme="minorHAnsi"/>
            <w:sz w:val="16"/>
            <w:szCs w:val="16"/>
          </w:rPr>
          <w:instrText xml:space="preserve"> PAGE   \* MERGEFORMAT </w:instrText>
        </w:r>
        <w:r w:rsidRPr="00A96691">
          <w:rPr>
            <w:rFonts w:asciiTheme="minorHAnsi" w:hAnsiTheme="minorHAnsi"/>
            <w:sz w:val="16"/>
            <w:szCs w:val="16"/>
          </w:rPr>
          <w:fldChar w:fldCharType="separate"/>
        </w:r>
        <w:r w:rsidR="00EC0D9A">
          <w:rPr>
            <w:rFonts w:asciiTheme="minorHAnsi" w:hAnsiTheme="minorHAnsi"/>
            <w:noProof/>
            <w:sz w:val="16"/>
            <w:szCs w:val="16"/>
          </w:rPr>
          <w:t>1</w:t>
        </w:r>
        <w:r w:rsidRPr="00A96691">
          <w:rPr>
            <w:rFonts w:asciiTheme="minorHAnsi" w:hAnsiTheme="minorHAnsi"/>
            <w:sz w:val="16"/>
            <w:szCs w:val="16"/>
          </w:rPr>
          <w:fldChar w:fldCharType="end"/>
        </w:r>
      </w:p>
    </w:sdtContent>
  </w:sdt>
  <w:p w:rsidR="00570DAE" w:rsidRPr="0073404D" w:rsidRDefault="00570DAE" w:rsidP="004F32E5">
    <w:pPr>
      <w:pStyle w:val="Footer"/>
      <w:jc w:val="both"/>
      <w:rPr>
        <w:rFonts w:ascii="Arial" w:hAnsi="Arial" w:cs="Arial"/>
        <w:color w:val="BFBFBF" w:themeColor="background1" w:themeShade="BF"/>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DAE" w:rsidRPr="00576DE7" w:rsidRDefault="00EC0D9A">
    <w:pPr>
      <w:pStyle w:val="Footer"/>
      <w:rPr>
        <w:noProof/>
        <w:color w:val="BFBFBF" w:themeColor="background1" w:themeShade="BF"/>
        <w:sz w:val="16"/>
        <w:szCs w:val="16"/>
      </w:rPr>
    </w:pPr>
    <w:r>
      <w:fldChar w:fldCharType="begin"/>
    </w:r>
    <w:r>
      <w:instrText xml:space="preserve"> FILENAME  \p  \* MERGEFORMAT </w:instrText>
    </w:r>
    <w:r>
      <w:fldChar w:fldCharType="separate"/>
    </w:r>
    <w:r w:rsidRPr="00EC0D9A">
      <w:rPr>
        <w:noProof/>
        <w:color w:val="BFBFBF" w:themeColor="background1" w:themeShade="BF"/>
        <w:sz w:val="16"/>
        <w:szCs w:val="16"/>
      </w:rPr>
      <w:t>H:\PSC Administration\Corporate Communications\Website\Accessibility\Docs pending review for upload</w:t>
    </w:r>
    <w:r>
      <w:rPr>
        <w:noProof/>
      </w:rPr>
      <w:t>\WAPS Workforce Report (March 2011) v2.docx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DAE" w:rsidRDefault="00570DAE">
      <w:r>
        <w:separator/>
      </w:r>
    </w:p>
  </w:footnote>
  <w:footnote w:type="continuationSeparator" w:id="0">
    <w:p w:rsidR="00570DAE" w:rsidRDefault="00570DAE">
      <w:r>
        <w:continuationSeparator/>
      </w:r>
    </w:p>
  </w:footnote>
  <w:footnote w:id="1">
    <w:p w:rsidR="00570DAE" w:rsidRDefault="00570DAE">
      <w:pPr>
        <w:pStyle w:val="FootnoteText"/>
      </w:pPr>
      <w:r>
        <w:rPr>
          <w:rStyle w:val="FootnoteReference"/>
        </w:rPr>
        <w:footnoteRef/>
      </w:r>
      <w:r>
        <w:t xml:space="preserve"> </w:t>
      </w:r>
      <w:r w:rsidRPr="009D54ED">
        <w:rPr>
          <w:rFonts w:asciiTheme="minorHAnsi" w:hAnsiTheme="minorHAnsi" w:cs="Arial"/>
          <w:sz w:val="18"/>
          <w:szCs w:val="18"/>
        </w:rPr>
        <w:t>To ensure that FTE across agencies is calculated using a standard approach, some methodological changes from</w:t>
      </w:r>
      <w:r w:rsidR="001F298A">
        <w:rPr>
          <w:rFonts w:asciiTheme="minorHAnsi" w:hAnsiTheme="minorHAnsi" w:cs="Arial"/>
          <w:sz w:val="18"/>
          <w:szCs w:val="18"/>
        </w:rPr>
        <w:t xml:space="preserve"> previous years were necessary.</w:t>
      </w:r>
      <w:r w:rsidRPr="009D54ED">
        <w:rPr>
          <w:rFonts w:asciiTheme="minorHAnsi" w:hAnsiTheme="minorHAnsi" w:cs="Arial"/>
          <w:sz w:val="18"/>
          <w:szCs w:val="18"/>
        </w:rPr>
        <w:t xml:space="preserve"> These changes resulted in a ‘break-in-series’ of quarterly workforce reports between June 2007 and June 2008. </w:t>
      </w:r>
      <w:r w:rsidRPr="009D54ED">
        <w:rPr>
          <w:rFonts w:asciiTheme="minorHAnsi" w:hAnsiTheme="minorHAnsi"/>
          <w:sz w:val="18"/>
          <w:szCs w:val="18"/>
        </w:rPr>
        <w:t>As a result of these changes, workforce data from June 2008 onwards may not be directly comparable to previous workforce reports.</w:t>
      </w:r>
    </w:p>
  </w:footnote>
  <w:footnote w:id="2">
    <w:p w:rsidR="00570DAE" w:rsidRPr="00FD359D" w:rsidRDefault="00570DAE" w:rsidP="003C4248">
      <w:pPr>
        <w:pStyle w:val="FootnoteText"/>
        <w:rPr>
          <w:rFonts w:asciiTheme="minorHAnsi" w:hAnsiTheme="minorHAnsi"/>
          <w:sz w:val="18"/>
          <w:szCs w:val="18"/>
        </w:rPr>
      </w:pPr>
      <w:r w:rsidRPr="00FD359D">
        <w:rPr>
          <w:rStyle w:val="FootnoteReference"/>
          <w:rFonts w:asciiTheme="minorHAnsi" w:hAnsiTheme="minorHAnsi"/>
          <w:sz w:val="18"/>
          <w:szCs w:val="18"/>
        </w:rPr>
        <w:footnoteRef/>
      </w:r>
      <w:r w:rsidRPr="00FD359D">
        <w:rPr>
          <w:rFonts w:asciiTheme="minorHAnsi" w:hAnsiTheme="minorHAnsi"/>
          <w:sz w:val="18"/>
          <w:szCs w:val="18"/>
        </w:rPr>
        <w:t xml:space="preserve"> </w:t>
      </w:r>
      <w:r>
        <w:rPr>
          <w:rFonts w:asciiTheme="minorHAnsi" w:hAnsiTheme="minorHAnsi"/>
          <w:sz w:val="18"/>
          <w:szCs w:val="18"/>
        </w:rPr>
        <w:t>‘Head</w:t>
      </w:r>
      <w:r w:rsidRPr="00FD359D">
        <w:rPr>
          <w:rFonts w:asciiTheme="minorHAnsi" w:hAnsiTheme="minorHAnsi"/>
          <w:sz w:val="18"/>
          <w:szCs w:val="18"/>
        </w:rPr>
        <w:t>count</w:t>
      </w:r>
      <w:r>
        <w:rPr>
          <w:rFonts w:asciiTheme="minorHAnsi" w:hAnsiTheme="minorHAnsi"/>
          <w:sz w:val="18"/>
          <w:szCs w:val="18"/>
        </w:rPr>
        <w:t>’</w:t>
      </w:r>
      <w:r w:rsidRPr="00FD359D">
        <w:rPr>
          <w:rFonts w:asciiTheme="minorHAnsi" w:hAnsiTheme="minorHAnsi"/>
          <w:sz w:val="18"/>
          <w:szCs w:val="18"/>
        </w:rPr>
        <w:t xml:space="preserve"> is a snapshot </w:t>
      </w:r>
      <w:r>
        <w:rPr>
          <w:rFonts w:asciiTheme="minorHAnsi" w:hAnsiTheme="minorHAnsi"/>
          <w:sz w:val="18"/>
          <w:szCs w:val="18"/>
        </w:rPr>
        <w:t xml:space="preserve">of employees </w:t>
      </w:r>
      <w:r w:rsidRPr="00FD359D">
        <w:rPr>
          <w:rFonts w:asciiTheme="minorHAnsi" w:hAnsiTheme="minorHAnsi"/>
          <w:sz w:val="18"/>
          <w:szCs w:val="18"/>
        </w:rPr>
        <w:t xml:space="preserve">as at the pay day </w:t>
      </w:r>
      <w:r>
        <w:rPr>
          <w:rFonts w:asciiTheme="minorHAnsi" w:hAnsiTheme="minorHAnsi"/>
          <w:sz w:val="18"/>
          <w:szCs w:val="18"/>
        </w:rPr>
        <w:t xml:space="preserve">on, or </w:t>
      </w:r>
      <w:r w:rsidRPr="00FD359D">
        <w:rPr>
          <w:rFonts w:asciiTheme="minorHAnsi" w:hAnsiTheme="minorHAnsi"/>
          <w:sz w:val="18"/>
          <w:szCs w:val="18"/>
        </w:rPr>
        <w:t>prior to</w:t>
      </w:r>
      <w:r>
        <w:rPr>
          <w:rFonts w:asciiTheme="minorHAnsi" w:hAnsiTheme="minorHAnsi"/>
          <w:sz w:val="18"/>
          <w:szCs w:val="18"/>
        </w:rPr>
        <w:t>, 31 March 2011</w:t>
      </w:r>
      <w:r w:rsidRPr="00FD359D">
        <w:rPr>
          <w:rFonts w:asciiTheme="minorHAnsi" w:hAnsiTheme="minorHAnsi"/>
          <w:sz w:val="18"/>
          <w:szCs w:val="18"/>
        </w:rPr>
        <w:t xml:space="preserve"> and include</w:t>
      </w:r>
      <w:r>
        <w:rPr>
          <w:rFonts w:asciiTheme="minorHAnsi" w:hAnsiTheme="minorHAnsi"/>
          <w:sz w:val="18"/>
          <w:szCs w:val="18"/>
        </w:rPr>
        <w:t xml:space="preserve">s all permanent, fixed term </w:t>
      </w:r>
      <w:r w:rsidRPr="00957ED9">
        <w:rPr>
          <w:rFonts w:asciiTheme="minorHAnsi" w:hAnsiTheme="minorHAnsi"/>
          <w:sz w:val="18"/>
          <w:szCs w:val="18"/>
        </w:rPr>
        <w:t>and paid casual employees during that</w:t>
      </w:r>
      <w:r w:rsidRPr="00FD359D">
        <w:rPr>
          <w:rFonts w:asciiTheme="minorHAnsi" w:hAnsiTheme="minorHAnsi"/>
          <w:sz w:val="18"/>
          <w:szCs w:val="18"/>
        </w:rPr>
        <w:t xml:space="preserve"> pay period.</w:t>
      </w:r>
    </w:p>
  </w:footnote>
  <w:footnote w:id="3">
    <w:p w:rsidR="00570DAE" w:rsidRPr="00FD359D" w:rsidRDefault="00570DAE" w:rsidP="003C4248">
      <w:pPr>
        <w:pStyle w:val="FootnoteText"/>
        <w:rPr>
          <w:rFonts w:asciiTheme="minorHAnsi" w:hAnsiTheme="minorHAnsi"/>
          <w:sz w:val="18"/>
          <w:szCs w:val="18"/>
        </w:rPr>
      </w:pPr>
      <w:r w:rsidRPr="00FD359D">
        <w:rPr>
          <w:rStyle w:val="FootnoteReference"/>
          <w:rFonts w:asciiTheme="minorHAnsi" w:hAnsiTheme="minorHAnsi"/>
          <w:sz w:val="18"/>
          <w:szCs w:val="18"/>
        </w:rPr>
        <w:footnoteRef/>
      </w:r>
      <w:r w:rsidRPr="00FD359D">
        <w:rPr>
          <w:rFonts w:asciiTheme="minorHAnsi" w:hAnsiTheme="minorHAnsi"/>
          <w:sz w:val="18"/>
          <w:szCs w:val="18"/>
        </w:rPr>
        <w:t xml:space="preserve"> </w:t>
      </w:r>
      <w:r>
        <w:rPr>
          <w:rFonts w:asciiTheme="minorHAnsi" w:hAnsiTheme="minorHAnsi"/>
          <w:sz w:val="18"/>
          <w:szCs w:val="18"/>
        </w:rPr>
        <w:t>‘</w:t>
      </w:r>
      <w:r w:rsidRPr="00FD359D">
        <w:rPr>
          <w:rFonts w:asciiTheme="minorHAnsi" w:hAnsiTheme="minorHAnsi" w:cs="Arial"/>
          <w:sz w:val="18"/>
          <w:szCs w:val="18"/>
        </w:rPr>
        <w:t>Paid FTE</w:t>
      </w:r>
      <w:r>
        <w:rPr>
          <w:rFonts w:asciiTheme="minorHAnsi" w:hAnsiTheme="minorHAnsi" w:cs="Arial"/>
          <w:sz w:val="18"/>
          <w:szCs w:val="18"/>
        </w:rPr>
        <w:t>’</w:t>
      </w:r>
      <w:r w:rsidRPr="00FD359D">
        <w:rPr>
          <w:rFonts w:asciiTheme="minorHAnsi" w:hAnsiTheme="minorHAnsi" w:cs="Arial"/>
          <w:sz w:val="18"/>
          <w:szCs w:val="18"/>
        </w:rPr>
        <w:t xml:space="preserve"> is a snapshot of employees who were paid </w:t>
      </w:r>
      <w:r>
        <w:rPr>
          <w:rFonts w:asciiTheme="minorHAnsi" w:hAnsiTheme="minorHAnsi" w:cs="Arial"/>
          <w:sz w:val="18"/>
          <w:szCs w:val="18"/>
        </w:rPr>
        <w:t xml:space="preserve">during the last pay period ending on, or </w:t>
      </w:r>
      <w:r w:rsidRPr="00FD359D">
        <w:rPr>
          <w:rFonts w:asciiTheme="minorHAnsi" w:hAnsiTheme="minorHAnsi" w:cs="Arial"/>
          <w:sz w:val="18"/>
          <w:szCs w:val="18"/>
        </w:rPr>
        <w:t>prior to</w:t>
      </w:r>
      <w:r>
        <w:rPr>
          <w:rFonts w:asciiTheme="minorHAnsi" w:hAnsiTheme="minorHAnsi" w:cs="Arial"/>
          <w:sz w:val="18"/>
          <w:szCs w:val="18"/>
        </w:rPr>
        <w:t xml:space="preserve">, 31 </w:t>
      </w:r>
      <w:r>
        <w:rPr>
          <w:rFonts w:asciiTheme="minorHAnsi" w:hAnsiTheme="minorHAnsi"/>
          <w:sz w:val="18"/>
          <w:szCs w:val="18"/>
        </w:rPr>
        <w:t>March 2011</w:t>
      </w:r>
      <w:r w:rsidRPr="00FD359D">
        <w:rPr>
          <w:rFonts w:asciiTheme="minorHAnsi" w:hAnsiTheme="minorHAnsi" w:cs="Arial"/>
          <w:sz w:val="18"/>
          <w:szCs w:val="18"/>
        </w:rPr>
        <w:t>. This methodology may differ from those used by public sector agencies</w:t>
      </w:r>
      <w:r>
        <w:rPr>
          <w:rFonts w:asciiTheme="minorHAnsi" w:hAnsiTheme="minorHAnsi" w:cs="Arial"/>
          <w:sz w:val="18"/>
          <w:szCs w:val="18"/>
        </w:rPr>
        <w:t xml:space="preserve"> in their own operational workforce management process</w:t>
      </w:r>
      <w:r w:rsidRPr="00FD359D">
        <w:rPr>
          <w:rFonts w:asciiTheme="minorHAnsi" w:hAnsiTheme="minorHAnsi" w:cs="Arial"/>
          <w:sz w:val="18"/>
          <w:szCs w:val="18"/>
        </w:rPr>
        <w:t>.</w:t>
      </w:r>
      <w:r>
        <w:rPr>
          <w:rFonts w:asciiTheme="minorHAnsi" w:hAnsiTheme="minorHAnsi" w:cs="Arial"/>
          <w:sz w:val="18"/>
          <w:szCs w:val="18"/>
        </w:rPr>
        <w:t xml:space="preserve"> As the quality of agency data is continuously being reviewed, some adjustments in FTE figures may occur.</w:t>
      </w:r>
    </w:p>
  </w:footnote>
  <w:footnote w:id="4">
    <w:p w:rsidR="00570DAE" w:rsidRPr="00FD359D" w:rsidRDefault="00570DAE" w:rsidP="003C4248">
      <w:pPr>
        <w:pStyle w:val="FootnoteText"/>
        <w:rPr>
          <w:rFonts w:asciiTheme="minorHAnsi" w:hAnsiTheme="minorHAnsi"/>
          <w:sz w:val="18"/>
          <w:szCs w:val="18"/>
        </w:rPr>
      </w:pPr>
      <w:r w:rsidRPr="00FD359D">
        <w:rPr>
          <w:rStyle w:val="FootnoteReference"/>
          <w:rFonts w:asciiTheme="minorHAnsi" w:hAnsiTheme="minorHAnsi"/>
          <w:sz w:val="18"/>
          <w:szCs w:val="18"/>
        </w:rPr>
        <w:footnoteRef/>
      </w:r>
      <w:r w:rsidRPr="00FD359D">
        <w:rPr>
          <w:rFonts w:asciiTheme="minorHAnsi" w:hAnsiTheme="minorHAnsi"/>
          <w:sz w:val="18"/>
          <w:szCs w:val="18"/>
        </w:rPr>
        <w:t xml:space="preserve"> </w:t>
      </w:r>
      <w:bookmarkStart w:id="1" w:name="OLE_LINK3"/>
      <w:bookmarkStart w:id="2" w:name="OLE_LINK4"/>
      <w:r>
        <w:rPr>
          <w:rFonts w:asciiTheme="minorHAnsi" w:hAnsiTheme="minorHAnsi"/>
          <w:sz w:val="18"/>
          <w:szCs w:val="18"/>
        </w:rPr>
        <w:t>‘</w:t>
      </w:r>
      <w:r w:rsidRPr="00014382">
        <w:rPr>
          <w:rFonts w:asciiTheme="minorHAnsi" w:hAnsiTheme="minorHAnsi"/>
          <w:sz w:val="18"/>
          <w:szCs w:val="18"/>
        </w:rPr>
        <w:t>Average Paid FTE</w:t>
      </w:r>
      <w:r>
        <w:rPr>
          <w:rFonts w:asciiTheme="minorHAnsi" w:hAnsiTheme="minorHAnsi"/>
          <w:sz w:val="18"/>
          <w:szCs w:val="18"/>
        </w:rPr>
        <w:t>’</w:t>
      </w:r>
      <w:r w:rsidRPr="00014382">
        <w:rPr>
          <w:rFonts w:asciiTheme="minorHAnsi" w:hAnsiTheme="minorHAnsi"/>
          <w:sz w:val="18"/>
          <w:szCs w:val="18"/>
        </w:rPr>
        <w:t xml:space="preserve"> data </w:t>
      </w:r>
      <w:r>
        <w:rPr>
          <w:rFonts w:asciiTheme="minorHAnsi" w:hAnsiTheme="minorHAnsi"/>
          <w:sz w:val="18"/>
          <w:szCs w:val="18"/>
        </w:rPr>
        <w:t>aims to address</w:t>
      </w:r>
      <w:r w:rsidRPr="00014382">
        <w:rPr>
          <w:rFonts w:asciiTheme="minorHAnsi" w:hAnsiTheme="minorHAnsi"/>
          <w:sz w:val="18"/>
          <w:szCs w:val="18"/>
        </w:rPr>
        <w:t xml:space="preserve"> seasonal fluctuations that occur in some agencies from one quarter to the next, and is the averaged ‘Paid FTE’ of </w:t>
      </w:r>
      <w:r>
        <w:rPr>
          <w:rFonts w:asciiTheme="minorHAnsi" w:hAnsiTheme="minorHAnsi"/>
          <w:sz w:val="18"/>
          <w:szCs w:val="18"/>
        </w:rPr>
        <w:t>the sum of the current (March 2011) quarter and the preceding three quarters</w:t>
      </w:r>
      <w:bookmarkEnd w:id="1"/>
      <w:bookmarkEnd w:id="2"/>
      <w:r>
        <w:rPr>
          <w:rFonts w:asciiTheme="minorHAnsi" w:hAnsiTheme="minorHAnsi"/>
          <w:sz w:val="18"/>
          <w:szCs w:val="18"/>
        </w:rPr>
        <w:t>.</w:t>
      </w:r>
    </w:p>
  </w:footnote>
  <w:footnote w:id="5">
    <w:p w:rsidR="00570DAE" w:rsidRPr="00524A12" w:rsidRDefault="00570DAE">
      <w:pPr>
        <w:pStyle w:val="FootnoteText"/>
        <w:rPr>
          <w:rFonts w:asciiTheme="minorHAnsi" w:hAnsiTheme="minorHAnsi"/>
          <w:sz w:val="16"/>
          <w:szCs w:val="16"/>
        </w:rPr>
      </w:pPr>
      <w:r w:rsidRPr="00524A12">
        <w:rPr>
          <w:rStyle w:val="FootnoteReference"/>
          <w:rFonts w:asciiTheme="minorHAnsi" w:hAnsiTheme="minorHAnsi"/>
          <w:sz w:val="16"/>
          <w:szCs w:val="16"/>
        </w:rPr>
        <w:footnoteRef/>
      </w:r>
      <w:r w:rsidRPr="00524A12">
        <w:rPr>
          <w:rFonts w:asciiTheme="minorHAnsi" w:hAnsiTheme="minorHAnsi"/>
          <w:sz w:val="16"/>
          <w:szCs w:val="16"/>
        </w:rPr>
        <w:t>The Office of the Public Sector Standards Commissioner merged with the Public Sector Commission in the December 2010 quarter.</w:t>
      </w:r>
    </w:p>
  </w:footnote>
  <w:footnote w:id="6">
    <w:p w:rsidR="00570DAE" w:rsidRPr="00524A12" w:rsidRDefault="00570DAE" w:rsidP="00413699">
      <w:pPr>
        <w:pStyle w:val="FootnoteText"/>
        <w:rPr>
          <w:sz w:val="16"/>
          <w:szCs w:val="16"/>
        </w:rPr>
      </w:pPr>
      <w:r w:rsidRPr="002920A0">
        <w:rPr>
          <w:rStyle w:val="FootnoteReference"/>
          <w:sz w:val="16"/>
          <w:szCs w:val="16"/>
        </w:rPr>
        <w:footnoteRef/>
      </w:r>
      <w:r w:rsidRPr="002920A0">
        <w:rPr>
          <w:sz w:val="16"/>
          <w:szCs w:val="16"/>
        </w:rPr>
        <w:t xml:space="preserve"> </w:t>
      </w:r>
      <w:r w:rsidRPr="002920A0">
        <w:rPr>
          <w:rFonts w:asciiTheme="minorHAnsi" w:hAnsiTheme="minorHAnsi"/>
          <w:sz w:val="16"/>
          <w:szCs w:val="16"/>
        </w:rPr>
        <w:t xml:space="preserve">Nurses and Midwives </w:t>
      </w:r>
      <w:r>
        <w:rPr>
          <w:rFonts w:asciiTheme="minorHAnsi" w:hAnsiTheme="minorHAnsi"/>
          <w:sz w:val="16"/>
          <w:szCs w:val="16"/>
        </w:rPr>
        <w:t>Registration B</w:t>
      </w:r>
      <w:r w:rsidRPr="002920A0">
        <w:rPr>
          <w:rFonts w:asciiTheme="minorHAnsi" w:hAnsiTheme="minorHAnsi"/>
          <w:sz w:val="16"/>
          <w:szCs w:val="16"/>
        </w:rPr>
        <w:t xml:space="preserve">oard </w:t>
      </w:r>
      <w:r>
        <w:rPr>
          <w:rFonts w:asciiTheme="minorHAnsi" w:hAnsiTheme="minorHAnsi"/>
          <w:sz w:val="16"/>
          <w:szCs w:val="16"/>
        </w:rPr>
        <w:t xml:space="preserve">of WA and the </w:t>
      </w:r>
      <w:r w:rsidRPr="00524A12">
        <w:rPr>
          <w:rFonts w:asciiTheme="minorHAnsi" w:hAnsiTheme="minorHAnsi"/>
          <w:bCs/>
          <w:sz w:val="16"/>
          <w:szCs w:val="16"/>
        </w:rPr>
        <w:t xml:space="preserve">Pharmaceutical Council of WA </w:t>
      </w:r>
      <w:r w:rsidRPr="002920A0">
        <w:rPr>
          <w:rFonts w:asciiTheme="minorHAnsi" w:hAnsiTheme="minorHAnsi"/>
          <w:sz w:val="16"/>
          <w:szCs w:val="16"/>
        </w:rPr>
        <w:t>were abolished on 17 October 2010</w:t>
      </w:r>
      <w:r w:rsidRPr="00413699">
        <w:rPr>
          <w:rFonts w:asciiTheme="minorHAnsi" w:hAnsiTheme="minorHAnsi"/>
          <w:sz w:val="16"/>
          <w:szCs w:val="16"/>
        </w:rPr>
        <w:t xml:space="preserve"> </w:t>
      </w:r>
      <w:r w:rsidRPr="00524A12">
        <w:rPr>
          <w:rFonts w:asciiTheme="minorHAnsi" w:hAnsiTheme="minorHAnsi"/>
          <w:sz w:val="16"/>
          <w:szCs w:val="16"/>
        </w:rPr>
        <w:t>and its functions have been transferred to the federal Australian Health Practitioner Regulation Agency (AHPRA).</w:t>
      </w:r>
    </w:p>
  </w:footnote>
  <w:footnote w:id="7">
    <w:p w:rsidR="00570DAE" w:rsidRPr="00524A12" w:rsidRDefault="00570DAE">
      <w:pPr>
        <w:pStyle w:val="FootnoteText"/>
        <w:rPr>
          <w:sz w:val="16"/>
          <w:szCs w:val="16"/>
        </w:rPr>
      </w:pPr>
      <w:r w:rsidRPr="00524A12">
        <w:rPr>
          <w:rStyle w:val="FootnoteReference"/>
          <w:sz w:val="16"/>
          <w:szCs w:val="16"/>
        </w:rPr>
        <w:footnoteRef/>
      </w:r>
      <w:r w:rsidRPr="00524A12">
        <w:rPr>
          <w:sz w:val="16"/>
          <w:szCs w:val="16"/>
        </w:rPr>
        <w:t xml:space="preserve"> </w:t>
      </w:r>
      <w:bookmarkStart w:id="11" w:name="OLE_LINK5"/>
      <w:bookmarkStart w:id="12" w:name="OLE_LINK9"/>
      <w:r w:rsidRPr="00524A12">
        <w:rPr>
          <w:rFonts w:asciiTheme="minorHAnsi" w:hAnsiTheme="minorHAnsi"/>
          <w:sz w:val="16"/>
          <w:szCs w:val="16"/>
        </w:rPr>
        <w:t>Hairdressers Registration Board of WA was abolished on 1 November 2010.</w:t>
      </w:r>
      <w:bookmarkEnd w:id="11"/>
      <w:bookmarkEnd w:id="12"/>
    </w:p>
  </w:footnote>
  <w:footnote w:id="8">
    <w:p w:rsidR="00570DAE" w:rsidRPr="00524A12" w:rsidRDefault="00570DAE" w:rsidP="00C37957">
      <w:pPr>
        <w:pStyle w:val="FootnoteText"/>
        <w:rPr>
          <w:rFonts w:asciiTheme="minorHAnsi" w:hAnsiTheme="minorHAnsi"/>
          <w:sz w:val="16"/>
          <w:szCs w:val="16"/>
        </w:rPr>
      </w:pPr>
      <w:r w:rsidRPr="00524A12">
        <w:rPr>
          <w:rStyle w:val="FootnoteReference"/>
          <w:rFonts w:asciiTheme="minorHAnsi" w:hAnsiTheme="minorHAnsi"/>
          <w:sz w:val="16"/>
          <w:szCs w:val="16"/>
        </w:rPr>
        <w:footnoteRef/>
      </w:r>
      <w:r w:rsidRPr="00524A12">
        <w:rPr>
          <w:rFonts w:asciiTheme="minorHAnsi" w:hAnsiTheme="minorHAnsi"/>
          <w:sz w:val="16"/>
          <w:szCs w:val="16"/>
        </w:rPr>
        <w:t xml:space="preserve"> The sum may not equal the total due to rounding.</w:t>
      </w:r>
    </w:p>
  </w:footnote>
  <w:footnote w:id="9">
    <w:p w:rsidR="001F298A" w:rsidRPr="00524A12" w:rsidRDefault="001F298A" w:rsidP="001F298A">
      <w:pPr>
        <w:pStyle w:val="FootnoteText"/>
        <w:rPr>
          <w:rFonts w:asciiTheme="minorHAnsi" w:hAnsiTheme="minorHAnsi"/>
          <w:sz w:val="16"/>
          <w:szCs w:val="16"/>
        </w:rPr>
      </w:pPr>
      <w:r w:rsidRPr="00524A12">
        <w:rPr>
          <w:rStyle w:val="FootnoteReference"/>
          <w:rFonts w:asciiTheme="minorHAnsi" w:hAnsiTheme="minorHAnsi"/>
          <w:sz w:val="16"/>
          <w:szCs w:val="16"/>
        </w:rPr>
        <w:footnoteRef/>
      </w:r>
      <w:r w:rsidRPr="00524A12">
        <w:rPr>
          <w:rFonts w:asciiTheme="minorHAnsi" w:hAnsiTheme="minorHAnsi"/>
          <w:sz w:val="16"/>
          <w:szCs w:val="16"/>
        </w:rPr>
        <w:t xml:space="preserve"> The sum may not equal the total due to rounding.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A1"/>
    <w:multiLevelType w:val="hybridMultilevel"/>
    <w:tmpl w:val="96A47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241A46"/>
    <w:multiLevelType w:val="hybridMultilevel"/>
    <w:tmpl w:val="7B644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610C40"/>
    <w:multiLevelType w:val="hybridMultilevel"/>
    <w:tmpl w:val="25E4F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8503E"/>
    <w:multiLevelType w:val="hybridMultilevel"/>
    <w:tmpl w:val="1D5801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AD0760C"/>
    <w:multiLevelType w:val="hybridMultilevel"/>
    <w:tmpl w:val="C25C0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F34C15"/>
    <w:multiLevelType w:val="hybridMultilevel"/>
    <w:tmpl w:val="70D2CA6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2D66A0"/>
    <w:multiLevelType w:val="hybridMultilevel"/>
    <w:tmpl w:val="63C26D36"/>
    <w:lvl w:ilvl="0" w:tplc="D5ACC678">
      <w:numFmt w:val="bullet"/>
      <w:lvlText w:val="-"/>
      <w:lvlJc w:val="left"/>
      <w:pPr>
        <w:ind w:left="360" w:hanging="360"/>
      </w:pPr>
      <w:rPr>
        <w:rFonts w:ascii="Calibri" w:eastAsia="Times"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544154D"/>
    <w:multiLevelType w:val="hybridMultilevel"/>
    <w:tmpl w:val="AE2A0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6E4DCC"/>
    <w:multiLevelType w:val="hybridMultilevel"/>
    <w:tmpl w:val="C62E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8C4B5E"/>
    <w:multiLevelType w:val="hybridMultilevel"/>
    <w:tmpl w:val="567ADB6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897906"/>
    <w:multiLevelType w:val="hybridMultilevel"/>
    <w:tmpl w:val="466E3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C25845"/>
    <w:multiLevelType w:val="hybridMultilevel"/>
    <w:tmpl w:val="5DA85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362BB1"/>
    <w:multiLevelType w:val="hybridMultilevel"/>
    <w:tmpl w:val="C15C9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99729A"/>
    <w:multiLevelType w:val="hybridMultilevel"/>
    <w:tmpl w:val="5F14E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5566C1"/>
    <w:multiLevelType w:val="hybridMultilevel"/>
    <w:tmpl w:val="75522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C15754"/>
    <w:multiLevelType w:val="hybridMultilevel"/>
    <w:tmpl w:val="06427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231A6F"/>
    <w:multiLevelType w:val="hybridMultilevel"/>
    <w:tmpl w:val="EE5E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2C609A"/>
    <w:multiLevelType w:val="hybridMultilevel"/>
    <w:tmpl w:val="8E64F640"/>
    <w:lvl w:ilvl="0" w:tplc="62F4AB6A">
      <w:start w:val="20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F5D4479"/>
    <w:multiLevelType w:val="hybridMultilevel"/>
    <w:tmpl w:val="118ED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1102AF"/>
    <w:multiLevelType w:val="hybridMultilevel"/>
    <w:tmpl w:val="2BFE1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E76906"/>
    <w:multiLevelType w:val="hybridMultilevel"/>
    <w:tmpl w:val="A83A6BB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1">
    <w:nsid w:val="3E586BE1"/>
    <w:multiLevelType w:val="hybridMultilevel"/>
    <w:tmpl w:val="EA1A7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515FFA"/>
    <w:multiLevelType w:val="hybridMultilevel"/>
    <w:tmpl w:val="9578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B464D9"/>
    <w:multiLevelType w:val="hybridMultilevel"/>
    <w:tmpl w:val="14183870"/>
    <w:lvl w:ilvl="0" w:tplc="07C6B1F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D4356"/>
    <w:multiLevelType w:val="hybridMultilevel"/>
    <w:tmpl w:val="F0F6C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150ADC"/>
    <w:multiLevelType w:val="hybridMultilevel"/>
    <w:tmpl w:val="BE82F2C8"/>
    <w:lvl w:ilvl="0" w:tplc="4028B9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6D539A"/>
    <w:multiLevelType w:val="hybridMultilevel"/>
    <w:tmpl w:val="1CB0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40B15"/>
    <w:multiLevelType w:val="hybridMultilevel"/>
    <w:tmpl w:val="A0F452A0"/>
    <w:lvl w:ilvl="0" w:tplc="2F46DF28">
      <w:start w:val="19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CAA35EB"/>
    <w:multiLevelType w:val="hybridMultilevel"/>
    <w:tmpl w:val="779ABF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F9361F9"/>
    <w:multiLevelType w:val="hybridMultilevel"/>
    <w:tmpl w:val="91C26D5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0">
    <w:nsid w:val="616F2F80"/>
    <w:multiLevelType w:val="hybridMultilevel"/>
    <w:tmpl w:val="E7BCA09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17B6A7C"/>
    <w:multiLevelType w:val="hybridMultilevel"/>
    <w:tmpl w:val="C7A219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0951D6"/>
    <w:multiLevelType w:val="hybridMultilevel"/>
    <w:tmpl w:val="922C2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2F740F"/>
    <w:multiLevelType w:val="hybridMultilevel"/>
    <w:tmpl w:val="82A21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3102F5A"/>
    <w:multiLevelType w:val="hybridMultilevel"/>
    <w:tmpl w:val="B9F232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55657E6"/>
    <w:multiLevelType w:val="hybridMultilevel"/>
    <w:tmpl w:val="C68C7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5D149BD"/>
    <w:multiLevelType w:val="hybridMultilevel"/>
    <w:tmpl w:val="31A86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F6F4F02"/>
    <w:multiLevelType w:val="hybridMultilevel"/>
    <w:tmpl w:val="87CC3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6CA6B95"/>
    <w:multiLevelType w:val="hybridMultilevel"/>
    <w:tmpl w:val="06A42158"/>
    <w:lvl w:ilvl="0" w:tplc="0C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7B2277D"/>
    <w:multiLevelType w:val="hybridMultilevel"/>
    <w:tmpl w:val="29249B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nsid w:val="79B729BA"/>
    <w:multiLevelType w:val="hybridMultilevel"/>
    <w:tmpl w:val="035E93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C5C27AC"/>
    <w:multiLevelType w:val="hybridMultilevel"/>
    <w:tmpl w:val="035E9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C632F8C"/>
    <w:multiLevelType w:val="hybridMultilevel"/>
    <w:tmpl w:val="C7AA7A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7D503A19"/>
    <w:multiLevelType w:val="hybridMultilevel"/>
    <w:tmpl w:val="53F2FDDC"/>
    <w:lvl w:ilvl="0" w:tplc="83A85084">
      <w:numFmt w:val="decimal"/>
      <w:lvlText w:val="%1."/>
      <w:lvlJc w:val="left"/>
      <w:pPr>
        <w:ind w:left="855" w:hanging="4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28"/>
  </w:num>
  <w:num w:numId="3">
    <w:abstractNumId w:val="10"/>
  </w:num>
  <w:num w:numId="4">
    <w:abstractNumId w:val="33"/>
  </w:num>
  <w:num w:numId="5">
    <w:abstractNumId w:val="22"/>
  </w:num>
  <w:num w:numId="6">
    <w:abstractNumId w:val="40"/>
  </w:num>
  <w:num w:numId="7">
    <w:abstractNumId w:val="43"/>
  </w:num>
  <w:num w:numId="8">
    <w:abstractNumId w:val="27"/>
  </w:num>
  <w:num w:numId="9">
    <w:abstractNumId w:val="17"/>
  </w:num>
  <w:num w:numId="10">
    <w:abstractNumId w:val="30"/>
  </w:num>
  <w:num w:numId="11">
    <w:abstractNumId w:val="41"/>
  </w:num>
  <w:num w:numId="12">
    <w:abstractNumId w:val="29"/>
  </w:num>
  <w:num w:numId="13">
    <w:abstractNumId w:val="39"/>
  </w:num>
  <w:num w:numId="14">
    <w:abstractNumId w:val="20"/>
  </w:num>
  <w:num w:numId="15">
    <w:abstractNumId w:val="9"/>
  </w:num>
  <w:num w:numId="16">
    <w:abstractNumId w:val="42"/>
  </w:num>
  <w:num w:numId="17">
    <w:abstractNumId w:val="0"/>
  </w:num>
  <w:num w:numId="18">
    <w:abstractNumId w:val="5"/>
  </w:num>
  <w:num w:numId="19">
    <w:abstractNumId w:val="34"/>
  </w:num>
  <w:num w:numId="20">
    <w:abstractNumId w:val="14"/>
  </w:num>
  <w:num w:numId="21">
    <w:abstractNumId w:val="35"/>
  </w:num>
  <w:num w:numId="22">
    <w:abstractNumId w:val="36"/>
  </w:num>
  <w:num w:numId="23">
    <w:abstractNumId w:val="6"/>
  </w:num>
  <w:num w:numId="24">
    <w:abstractNumId w:val="37"/>
  </w:num>
  <w:num w:numId="25">
    <w:abstractNumId w:val="8"/>
  </w:num>
  <w:num w:numId="26">
    <w:abstractNumId w:val="13"/>
  </w:num>
  <w:num w:numId="27">
    <w:abstractNumId w:val="32"/>
  </w:num>
  <w:num w:numId="28">
    <w:abstractNumId w:val="3"/>
  </w:num>
  <w:num w:numId="29">
    <w:abstractNumId w:val="2"/>
  </w:num>
  <w:num w:numId="30">
    <w:abstractNumId w:val="15"/>
  </w:num>
  <w:num w:numId="31">
    <w:abstractNumId w:val="21"/>
  </w:num>
  <w:num w:numId="32">
    <w:abstractNumId w:val="16"/>
  </w:num>
  <w:num w:numId="33">
    <w:abstractNumId w:val="24"/>
  </w:num>
  <w:num w:numId="34">
    <w:abstractNumId w:val="7"/>
  </w:num>
  <w:num w:numId="35">
    <w:abstractNumId w:val="12"/>
  </w:num>
  <w:num w:numId="36">
    <w:abstractNumId w:val="23"/>
  </w:num>
  <w:num w:numId="37">
    <w:abstractNumId w:val="4"/>
  </w:num>
  <w:num w:numId="38">
    <w:abstractNumId w:val="1"/>
  </w:num>
  <w:num w:numId="39">
    <w:abstractNumId w:val="11"/>
  </w:num>
  <w:num w:numId="40">
    <w:abstractNumId w:val="18"/>
  </w:num>
  <w:num w:numId="41">
    <w:abstractNumId w:val="25"/>
  </w:num>
  <w:num w:numId="42">
    <w:abstractNumId w:val="31"/>
  </w:num>
  <w:num w:numId="43">
    <w:abstractNumId w:val="1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6963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3A"/>
    <w:rsid w:val="000005F1"/>
    <w:rsid w:val="00004E5A"/>
    <w:rsid w:val="00006932"/>
    <w:rsid w:val="00006F96"/>
    <w:rsid w:val="0000725B"/>
    <w:rsid w:val="000075BD"/>
    <w:rsid w:val="00010F69"/>
    <w:rsid w:val="00011E86"/>
    <w:rsid w:val="00013172"/>
    <w:rsid w:val="00014382"/>
    <w:rsid w:val="0001610B"/>
    <w:rsid w:val="00016DCF"/>
    <w:rsid w:val="000173A7"/>
    <w:rsid w:val="00021A4C"/>
    <w:rsid w:val="00021D4E"/>
    <w:rsid w:val="00026DB9"/>
    <w:rsid w:val="00027A6A"/>
    <w:rsid w:val="00030B4E"/>
    <w:rsid w:val="00032E06"/>
    <w:rsid w:val="000336CB"/>
    <w:rsid w:val="00033C87"/>
    <w:rsid w:val="000366F4"/>
    <w:rsid w:val="00037D1F"/>
    <w:rsid w:val="000400F4"/>
    <w:rsid w:val="0004162F"/>
    <w:rsid w:val="000427A3"/>
    <w:rsid w:val="00045B5A"/>
    <w:rsid w:val="00045BFA"/>
    <w:rsid w:val="00046F48"/>
    <w:rsid w:val="00050511"/>
    <w:rsid w:val="0005135D"/>
    <w:rsid w:val="00054C56"/>
    <w:rsid w:val="0005582A"/>
    <w:rsid w:val="00055A19"/>
    <w:rsid w:val="000566B1"/>
    <w:rsid w:val="00057443"/>
    <w:rsid w:val="00057F48"/>
    <w:rsid w:val="000624B3"/>
    <w:rsid w:val="00063EF0"/>
    <w:rsid w:val="000652C5"/>
    <w:rsid w:val="00066641"/>
    <w:rsid w:val="000718CE"/>
    <w:rsid w:val="000738C7"/>
    <w:rsid w:val="00073D8A"/>
    <w:rsid w:val="000779C2"/>
    <w:rsid w:val="00077B61"/>
    <w:rsid w:val="000801F6"/>
    <w:rsid w:val="0008169C"/>
    <w:rsid w:val="00083CFB"/>
    <w:rsid w:val="00084058"/>
    <w:rsid w:val="00084F24"/>
    <w:rsid w:val="00086F9A"/>
    <w:rsid w:val="000900B4"/>
    <w:rsid w:val="000964CF"/>
    <w:rsid w:val="000A0594"/>
    <w:rsid w:val="000A0847"/>
    <w:rsid w:val="000A0963"/>
    <w:rsid w:val="000A15A4"/>
    <w:rsid w:val="000A3195"/>
    <w:rsid w:val="000A32E3"/>
    <w:rsid w:val="000A334D"/>
    <w:rsid w:val="000A3477"/>
    <w:rsid w:val="000A6F57"/>
    <w:rsid w:val="000B22FE"/>
    <w:rsid w:val="000B2A45"/>
    <w:rsid w:val="000B4072"/>
    <w:rsid w:val="000C04AA"/>
    <w:rsid w:val="000C62EF"/>
    <w:rsid w:val="000D271E"/>
    <w:rsid w:val="000D33A2"/>
    <w:rsid w:val="000D4923"/>
    <w:rsid w:val="000D4BCC"/>
    <w:rsid w:val="000E34B5"/>
    <w:rsid w:val="000F6E62"/>
    <w:rsid w:val="000F6EE9"/>
    <w:rsid w:val="00101023"/>
    <w:rsid w:val="0010169A"/>
    <w:rsid w:val="001023A0"/>
    <w:rsid w:val="001040C2"/>
    <w:rsid w:val="00104E24"/>
    <w:rsid w:val="00111261"/>
    <w:rsid w:val="001115D4"/>
    <w:rsid w:val="001119B8"/>
    <w:rsid w:val="00112836"/>
    <w:rsid w:val="00113A76"/>
    <w:rsid w:val="00113D13"/>
    <w:rsid w:val="00114892"/>
    <w:rsid w:val="00117EAC"/>
    <w:rsid w:val="00121C12"/>
    <w:rsid w:val="00121D3F"/>
    <w:rsid w:val="00124CBA"/>
    <w:rsid w:val="00130D95"/>
    <w:rsid w:val="00131E3C"/>
    <w:rsid w:val="0013308B"/>
    <w:rsid w:val="00134E57"/>
    <w:rsid w:val="00135B88"/>
    <w:rsid w:val="001367D2"/>
    <w:rsid w:val="00136A25"/>
    <w:rsid w:val="00137647"/>
    <w:rsid w:val="00142369"/>
    <w:rsid w:val="00143D93"/>
    <w:rsid w:val="0014427F"/>
    <w:rsid w:val="001463B3"/>
    <w:rsid w:val="00146750"/>
    <w:rsid w:val="001536AF"/>
    <w:rsid w:val="00153BC2"/>
    <w:rsid w:val="00153E20"/>
    <w:rsid w:val="00157DA3"/>
    <w:rsid w:val="0016116E"/>
    <w:rsid w:val="0016252D"/>
    <w:rsid w:val="00165FEC"/>
    <w:rsid w:val="00167814"/>
    <w:rsid w:val="00170F0C"/>
    <w:rsid w:val="001711FE"/>
    <w:rsid w:val="0017258E"/>
    <w:rsid w:val="00175BC3"/>
    <w:rsid w:val="00175C7A"/>
    <w:rsid w:val="0018079B"/>
    <w:rsid w:val="00186E4B"/>
    <w:rsid w:val="001877E6"/>
    <w:rsid w:val="00190CBC"/>
    <w:rsid w:val="001914D6"/>
    <w:rsid w:val="0019463B"/>
    <w:rsid w:val="001956AE"/>
    <w:rsid w:val="00195F19"/>
    <w:rsid w:val="0019689F"/>
    <w:rsid w:val="001A0CB7"/>
    <w:rsid w:val="001A2476"/>
    <w:rsid w:val="001A41B3"/>
    <w:rsid w:val="001A5C01"/>
    <w:rsid w:val="001B2493"/>
    <w:rsid w:val="001C16DA"/>
    <w:rsid w:val="001C1D1E"/>
    <w:rsid w:val="001C3250"/>
    <w:rsid w:val="001C7F30"/>
    <w:rsid w:val="001D0EF5"/>
    <w:rsid w:val="001D3410"/>
    <w:rsid w:val="001D343A"/>
    <w:rsid w:val="001D4753"/>
    <w:rsid w:val="001D571E"/>
    <w:rsid w:val="001D5E73"/>
    <w:rsid w:val="001D61A1"/>
    <w:rsid w:val="001E2B40"/>
    <w:rsid w:val="001E7415"/>
    <w:rsid w:val="001F0DBD"/>
    <w:rsid w:val="001F243C"/>
    <w:rsid w:val="001F2908"/>
    <w:rsid w:val="001F298A"/>
    <w:rsid w:val="001F3091"/>
    <w:rsid w:val="001F46EA"/>
    <w:rsid w:val="001F6C64"/>
    <w:rsid w:val="0020272B"/>
    <w:rsid w:val="00202EBA"/>
    <w:rsid w:val="002039B6"/>
    <w:rsid w:val="00212B12"/>
    <w:rsid w:val="002177B3"/>
    <w:rsid w:val="00220C89"/>
    <w:rsid w:val="00223A25"/>
    <w:rsid w:val="002256E1"/>
    <w:rsid w:val="002279FF"/>
    <w:rsid w:val="00230887"/>
    <w:rsid w:val="00237056"/>
    <w:rsid w:val="00240EC2"/>
    <w:rsid w:val="00241C40"/>
    <w:rsid w:val="0024303E"/>
    <w:rsid w:val="002431A4"/>
    <w:rsid w:val="00244572"/>
    <w:rsid w:val="002452EF"/>
    <w:rsid w:val="00245726"/>
    <w:rsid w:val="002464D2"/>
    <w:rsid w:val="00250B0B"/>
    <w:rsid w:val="0025152F"/>
    <w:rsid w:val="002521FC"/>
    <w:rsid w:val="0025297A"/>
    <w:rsid w:val="00253A1C"/>
    <w:rsid w:val="00255B40"/>
    <w:rsid w:val="00257D1C"/>
    <w:rsid w:val="0026149B"/>
    <w:rsid w:val="002672A8"/>
    <w:rsid w:val="00270BB3"/>
    <w:rsid w:val="00270E64"/>
    <w:rsid w:val="002714DD"/>
    <w:rsid w:val="0027791B"/>
    <w:rsid w:val="002826E6"/>
    <w:rsid w:val="00282F18"/>
    <w:rsid w:val="002868D6"/>
    <w:rsid w:val="00286DD9"/>
    <w:rsid w:val="00287671"/>
    <w:rsid w:val="002920A0"/>
    <w:rsid w:val="00292271"/>
    <w:rsid w:val="0029418E"/>
    <w:rsid w:val="00294360"/>
    <w:rsid w:val="002952A6"/>
    <w:rsid w:val="002955B0"/>
    <w:rsid w:val="00297A11"/>
    <w:rsid w:val="002A06A9"/>
    <w:rsid w:val="002A0F23"/>
    <w:rsid w:val="002A17CF"/>
    <w:rsid w:val="002A2B14"/>
    <w:rsid w:val="002A339A"/>
    <w:rsid w:val="002A53B6"/>
    <w:rsid w:val="002A5589"/>
    <w:rsid w:val="002B0284"/>
    <w:rsid w:val="002B0EB7"/>
    <w:rsid w:val="002B2ADA"/>
    <w:rsid w:val="002B3719"/>
    <w:rsid w:val="002B383C"/>
    <w:rsid w:val="002B4149"/>
    <w:rsid w:val="002B5290"/>
    <w:rsid w:val="002C0053"/>
    <w:rsid w:val="002C1DA7"/>
    <w:rsid w:val="002C2E14"/>
    <w:rsid w:val="002C53BB"/>
    <w:rsid w:val="002D17DD"/>
    <w:rsid w:val="002D47F2"/>
    <w:rsid w:val="002D4C8D"/>
    <w:rsid w:val="002D6AD7"/>
    <w:rsid w:val="002D6F28"/>
    <w:rsid w:val="002D7592"/>
    <w:rsid w:val="002E167A"/>
    <w:rsid w:val="002E2497"/>
    <w:rsid w:val="002E2723"/>
    <w:rsid w:val="002E304F"/>
    <w:rsid w:val="002F041D"/>
    <w:rsid w:val="002F05A7"/>
    <w:rsid w:val="002F133A"/>
    <w:rsid w:val="002F22BF"/>
    <w:rsid w:val="002F42F1"/>
    <w:rsid w:val="002F6D3F"/>
    <w:rsid w:val="0030161B"/>
    <w:rsid w:val="0030434D"/>
    <w:rsid w:val="00304CE7"/>
    <w:rsid w:val="003072FC"/>
    <w:rsid w:val="00307BA5"/>
    <w:rsid w:val="0031292E"/>
    <w:rsid w:val="00313367"/>
    <w:rsid w:val="00315B17"/>
    <w:rsid w:val="00316651"/>
    <w:rsid w:val="00322EBC"/>
    <w:rsid w:val="0032415A"/>
    <w:rsid w:val="0032440E"/>
    <w:rsid w:val="003331A7"/>
    <w:rsid w:val="003344F9"/>
    <w:rsid w:val="00335F2A"/>
    <w:rsid w:val="00340157"/>
    <w:rsid w:val="0034386C"/>
    <w:rsid w:val="003443B4"/>
    <w:rsid w:val="00344839"/>
    <w:rsid w:val="0034575E"/>
    <w:rsid w:val="00345A3C"/>
    <w:rsid w:val="00345A70"/>
    <w:rsid w:val="0034690B"/>
    <w:rsid w:val="00347B7C"/>
    <w:rsid w:val="003518D9"/>
    <w:rsid w:val="00353B28"/>
    <w:rsid w:val="00353F35"/>
    <w:rsid w:val="00354773"/>
    <w:rsid w:val="00356E3D"/>
    <w:rsid w:val="00361EBB"/>
    <w:rsid w:val="00362F9A"/>
    <w:rsid w:val="003648EA"/>
    <w:rsid w:val="00365D67"/>
    <w:rsid w:val="00366573"/>
    <w:rsid w:val="00370270"/>
    <w:rsid w:val="00371877"/>
    <w:rsid w:val="00371E2B"/>
    <w:rsid w:val="00372BC1"/>
    <w:rsid w:val="00374F3D"/>
    <w:rsid w:val="003778D7"/>
    <w:rsid w:val="003778DF"/>
    <w:rsid w:val="003802EC"/>
    <w:rsid w:val="0038234B"/>
    <w:rsid w:val="003839AF"/>
    <w:rsid w:val="003843DA"/>
    <w:rsid w:val="00385304"/>
    <w:rsid w:val="00386DFA"/>
    <w:rsid w:val="00387BD6"/>
    <w:rsid w:val="003911EA"/>
    <w:rsid w:val="00394415"/>
    <w:rsid w:val="003944DC"/>
    <w:rsid w:val="00395251"/>
    <w:rsid w:val="00395446"/>
    <w:rsid w:val="003A107E"/>
    <w:rsid w:val="003A1365"/>
    <w:rsid w:val="003A5018"/>
    <w:rsid w:val="003A7CD2"/>
    <w:rsid w:val="003A7FAF"/>
    <w:rsid w:val="003B04CC"/>
    <w:rsid w:val="003B19E6"/>
    <w:rsid w:val="003B4C8C"/>
    <w:rsid w:val="003C177F"/>
    <w:rsid w:val="003C3088"/>
    <w:rsid w:val="003C4248"/>
    <w:rsid w:val="003C495F"/>
    <w:rsid w:val="003C4D8E"/>
    <w:rsid w:val="003C7A83"/>
    <w:rsid w:val="003C7E25"/>
    <w:rsid w:val="003D1C6E"/>
    <w:rsid w:val="003D1C99"/>
    <w:rsid w:val="003D370B"/>
    <w:rsid w:val="003D43D4"/>
    <w:rsid w:val="003D47E8"/>
    <w:rsid w:val="003D6F30"/>
    <w:rsid w:val="003D716A"/>
    <w:rsid w:val="003E1046"/>
    <w:rsid w:val="003E175B"/>
    <w:rsid w:val="003E2064"/>
    <w:rsid w:val="003E260D"/>
    <w:rsid w:val="003E6082"/>
    <w:rsid w:val="003E6DC7"/>
    <w:rsid w:val="003F10F2"/>
    <w:rsid w:val="003F4669"/>
    <w:rsid w:val="003F4C00"/>
    <w:rsid w:val="003F509A"/>
    <w:rsid w:val="003F5812"/>
    <w:rsid w:val="003F6E60"/>
    <w:rsid w:val="003F72D3"/>
    <w:rsid w:val="00400044"/>
    <w:rsid w:val="0040072E"/>
    <w:rsid w:val="00401163"/>
    <w:rsid w:val="004026AC"/>
    <w:rsid w:val="00402CA2"/>
    <w:rsid w:val="004046A2"/>
    <w:rsid w:val="00404E53"/>
    <w:rsid w:val="00405B01"/>
    <w:rsid w:val="00412122"/>
    <w:rsid w:val="00412228"/>
    <w:rsid w:val="00413699"/>
    <w:rsid w:val="00414434"/>
    <w:rsid w:val="00431F6E"/>
    <w:rsid w:val="004326C6"/>
    <w:rsid w:val="00432F70"/>
    <w:rsid w:val="0043363D"/>
    <w:rsid w:val="00434668"/>
    <w:rsid w:val="0043688A"/>
    <w:rsid w:val="00436C0A"/>
    <w:rsid w:val="00437A6C"/>
    <w:rsid w:val="00440642"/>
    <w:rsid w:val="00440873"/>
    <w:rsid w:val="00442886"/>
    <w:rsid w:val="00442E6B"/>
    <w:rsid w:val="0044440F"/>
    <w:rsid w:val="0044722B"/>
    <w:rsid w:val="00447E5E"/>
    <w:rsid w:val="00450F4F"/>
    <w:rsid w:val="00451AA6"/>
    <w:rsid w:val="00451D2F"/>
    <w:rsid w:val="004523BE"/>
    <w:rsid w:val="00452A30"/>
    <w:rsid w:val="0045754B"/>
    <w:rsid w:val="00461407"/>
    <w:rsid w:val="00461EF1"/>
    <w:rsid w:val="004656A9"/>
    <w:rsid w:val="004712E9"/>
    <w:rsid w:val="004714B7"/>
    <w:rsid w:val="004729A8"/>
    <w:rsid w:val="004730A3"/>
    <w:rsid w:val="00475B08"/>
    <w:rsid w:val="004763FD"/>
    <w:rsid w:val="004776F8"/>
    <w:rsid w:val="00481AD9"/>
    <w:rsid w:val="00483570"/>
    <w:rsid w:val="00484CAD"/>
    <w:rsid w:val="00485758"/>
    <w:rsid w:val="0048596F"/>
    <w:rsid w:val="004868E6"/>
    <w:rsid w:val="00486AB4"/>
    <w:rsid w:val="00490FA6"/>
    <w:rsid w:val="00493F34"/>
    <w:rsid w:val="004943B1"/>
    <w:rsid w:val="00494A57"/>
    <w:rsid w:val="004953A4"/>
    <w:rsid w:val="00495F37"/>
    <w:rsid w:val="004963CF"/>
    <w:rsid w:val="00496D66"/>
    <w:rsid w:val="00497061"/>
    <w:rsid w:val="004A32A0"/>
    <w:rsid w:val="004A4D3B"/>
    <w:rsid w:val="004A562B"/>
    <w:rsid w:val="004B09E2"/>
    <w:rsid w:val="004B2D7F"/>
    <w:rsid w:val="004B32C7"/>
    <w:rsid w:val="004B3979"/>
    <w:rsid w:val="004B6034"/>
    <w:rsid w:val="004B64F1"/>
    <w:rsid w:val="004B6C80"/>
    <w:rsid w:val="004B713D"/>
    <w:rsid w:val="004B73E9"/>
    <w:rsid w:val="004B7485"/>
    <w:rsid w:val="004C1077"/>
    <w:rsid w:val="004C2215"/>
    <w:rsid w:val="004C2512"/>
    <w:rsid w:val="004C31AC"/>
    <w:rsid w:val="004C32E8"/>
    <w:rsid w:val="004C3AC3"/>
    <w:rsid w:val="004C453E"/>
    <w:rsid w:val="004C52F3"/>
    <w:rsid w:val="004C5933"/>
    <w:rsid w:val="004C5F6A"/>
    <w:rsid w:val="004C61AC"/>
    <w:rsid w:val="004C752F"/>
    <w:rsid w:val="004C7E65"/>
    <w:rsid w:val="004D08BA"/>
    <w:rsid w:val="004D0D3B"/>
    <w:rsid w:val="004D0DFB"/>
    <w:rsid w:val="004D335D"/>
    <w:rsid w:val="004E2206"/>
    <w:rsid w:val="004E42F3"/>
    <w:rsid w:val="004E76CA"/>
    <w:rsid w:val="004F14E8"/>
    <w:rsid w:val="004F17E6"/>
    <w:rsid w:val="004F25CD"/>
    <w:rsid w:val="004F2A69"/>
    <w:rsid w:val="004F32E5"/>
    <w:rsid w:val="004F6E74"/>
    <w:rsid w:val="00500152"/>
    <w:rsid w:val="00501039"/>
    <w:rsid w:val="0050135E"/>
    <w:rsid w:val="00501E9E"/>
    <w:rsid w:val="00502480"/>
    <w:rsid w:val="00502FD1"/>
    <w:rsid w:val="00504250"/>
    <w:rsid w:val="005055DF"/>
    <w:rsid w:val="0050660F"/>
    <w:rsid w:val="005071A7"/>
    <w:rsid w:val="005130D5"/>
    <w:rsid w:val="005143C4"/>
    <w:rsid w:val="0051656D"/>
    <w:rsid w:val="005212D4"/>
    <w:rsid w:val="005218C5"/>
    <w:rsid w:val="005224B0"/>
    <w:rsid w:val="00524A12"/>
    <w:rsid w:val="00524D89"/>
    <w:rsid w:val="00524F14"/>
    <w:rsid w:val="00525024"/>
    <w:rsid w:val="00525D59"/>
    <w:rsid w:val="00526653"/>
    <w:rsid w:val="00533AA0"/>
    <w:rsid w:val="00533DA9"/>
    <w:rsid w:val="00535F05"/>
    <w:rsid w:val="00536215"/>
    <w:rsid w:val="0054332A"/>
    <w:rsid w:val="00543AB1"/>
    <w:rsid w:val="00544600"/>
    <w:rsid w:val="00544A46"/>
    <w:rsid w:val="00547369"/>
    <w:rsid w:val="00553A69"/>
    <w:rsid w:val="00554C85"/>
    <w:rsid w:val="00562268"/>
    <w:rsid w:val="00563C8D"/>
    <w:rsid w:val="00563CC4"/>
    <w:rsid w:val="00564772"/>
    <w:rsid w:val="005703C8"/>
    <w:rsid w:val="00570DAE"/>
    <w:rsid w:val="00572B52"/>
    <w:rsid w:val="00573D13"/>
    <w:rsid w:val="00576DE7"/>
    <w:rsid w:val="00577422"/>
    <w:rsid w:val="0058112B"/>
    <w:rsid w:val="00583D8C"/>
    <w:rsid w:val="005848A1"/>
    <w:rsid w:val="005848AD"/>
    <w:rsid w:val="005877CE"/>
    <w:rsid w:val="00591625"/>
    <w:rsid w:val="00592CD7"/>
    <w:rsid w:val="00596E17"/>
    <w:rsid w:val="00597A32"/>
    <w:rsid w:val="005A2A28"/>
    <w:rsid w:val="005A3385"/>
    <w:rsid w:val="005A4600"/>
    <w:rsid w:val="005A59AE"/>
    <w:rsid w:val="005A61F2"/>
    <w:rsid w:val="005A779E"/>
    <w:rsid w:val="005B05B0"/>
    <w:rsid w:val="005B14E2"/>
    <w:rsid w:val="005B16CB"/>
    <w:rsid w:val="005B1E32"/>
    <w:rsid w:val="005B24CF"/>
    <w:rsid w:val="005B2F25"/>
    <w:rsid w:val="005B31C7"/>
    <w:rsid w:val="005B321D"/>
    <w:rsid w:val="005B4EB0"/>
    <w:rsid w:val="005C7B2A"/>
    <w:rsid w:val="005D0459"/>
    <w:rsid w:val="005D16CA"/>
    <w:rsid w:val="005D1936"/>
    <w:rsid w:val="005D32E9"/>
    <w:rsid w:val="005D48F5"/>
    <w:rsid w:val="005D57E8"/>
    <w:rsid w:val="005D5B22"/>
    <w:rsid w:val="005D60F7"/>
    <w:rsid w:val="005D6480"/>
    <w:rsid w:val="005D6DD1"/>
    <w:rsid w:val="005E3A24"/>
    <w:rsid w:val="005E59E1"/>
    <w:rsid w:val="005E68E9"/>
    <w:rsid w:val="005E74F4"/>
    <w:rsid w:val="005E799B"/>
    <w:rsid w:val="005E7BDE"/>
    <w:rsid w:val="005F00FF"/>
    <w:rsid w:val="005F066B"/>
    <w:rsid w:val="005F0BE4"/>
    <w:rsid w:val="005F0F45"/>
    <w:rsid w:val="005F79AA"/>
    <w:rsid w:val="006005D3"/>
    <w:rsid w:val="00602199"/>
    <w:rsid w:val="00602BF6"/>
    <w:rsid w:val="00604193"/>
    <w:rsid w:val="00607C95"/>
    <w:rsid w:val="00611059"/>
    <w:rsid w:val="0061252F"/>
    <w:rsid w:val="00620472"/>
    <w:rsid w:val="00620624"/>
    <w:rsid w:val="006210E3"/>
    <w:rsid w:val="006220C1"/>
    <w:rsid w:val="0062295E"/>
    <w:rsid w:val="00624690"/>
    <w:rsid w:val="00626093"/>
    <w:rsid w:val="00627C24"/>
    <w:rsid w:val="00630FD2"/>
    <w:rsid w:val="0063123A"/>
    <w:rsid w:val="006334C0"/>
    <w:rsid w:val="00635A07"/>
    <w:rsid w:val="00640F75"/>
    <w:rsid w:val="00643F89"/>
    <w:rsid w:val="0064482F"/>
    <w:rsid w:val="00646CD8"/>
    <w:rsid w:val="00646FED"/>
    <w:rsid w:val="00647544"/>
    <w:rsid w:val="00647859"/>
    <w:rsid w:val="00650B0E"/>
    <w:rsid w:val="00651530"/>
    <w:rsid w:val="00654BE6"/>
    <w:rsid w:val="00654F54"/>
    <w:rsid w:val="00656F96"/>
    <w:rsid w:val="00665EF5"/>
    <w:rsid w:val="00667B58"/>
    <w:rsid w:val="006707EA"/>
    <w:rsid w:val="00672A50"/>
    <w:rsid w:val="00673464"/>
    <w:rsid w:val="006738BA"/>
    <w:rsid w:val="00675B5F"/>
    <w:rsid w:val="00676539"/>
    <w:rsid w:val="006767C9"/>
    <w:rsid w:val="0067727B"/>
    <w:rsid w:val="00684061"/>
    <w:rsid w:val="006840D3"/>
    <w:rsid w:val="006851A3"/>
    <w:rsid w:val="00687989"/>
    <w:rsid w:val="00687D3D"/>
    <w:rsid w:val="006941C2"/>
    <w:rsid w:val="00694B25"/>
    <w:rsid w:val="0069613A"/>
    <w:rsid w:val="0069704D"/>
    <w:rsid w:val="006A4D0D"/>
    <w:rsid w:val="006A4EB4"/>
    <w:rsid w:val="006A52B4"/>
    <w:rsid w:val="006A79E3"/>
    <w:rsid w:val="006A7C65"/>
    <w:rsid w:val="006B01E1"/>
    <w:rsid w:val="006B0A13"/>
    <w:rsid w:val="006B1CE7"/>
    <w:rsid w:val="006B2B2C"/>
    <w:rsid w:val="006B6487"/>
    <w:rsid w:val="006C16C7"/>
    <w:rsid w:val="006C263C"/>
    <w:rsid w:val="006C3DEF"/>
    <w:rsid w:val="006C4CB3"/>
    <w:rsid w:val="006C516D"/>
    <w:rsid w:val="006C5656"/>
    <w:rsid w:val="006C7F70"/>
    <w:rsid w:val="006D602D"/>
    <w:rsid w:val="006D617B"/>
    <w:rsid w:val="006D6E42"/>
    <w:rsid w:val="006E3430"/>
    <w:rsid w:val="006E72D8"/>
    <w:rsid w:val="006E7B09"/>
    <w:rsid w:val="006F02BA"/>
    <w:rsid w:val="006F09CD"/>
    <w:rsid w:val="006F4B08"/>
    <w:rsid w:val="006F6991"/>
    <w:rsid w:val="006F7464"/>
    <w:rsid w:val="00703B41"/>
    <w:rsid w:val="0070455B"/>
    <w:rsid w:val="00705740"/>
    <w:rsid w:val="00705DE5"/>
    <w:rsid w:val="00711C79"/>
    <w:rsid w:val="007144F2"/>
    <w:rsid w:val="007153D4"/>
    <w:rsid w:val="00715B98"/>
    <w:rsid w:val="00717973"/>
    <w:rsid w:val="00720C45"/>
    <w:rsid w:val="0072122E"/>
    <w:rsid w:val="00722C50"/>
    <w:rsid w:val="00723625"/>
    <w:rsid w:val="00724EF5"/>
    <w:rsid w:val="007252DC"/>
    <w:rsid w:val="00727034"/>
    <w:rsid w:val="00730BFF"/>
    <w:rsid w:val="007313A5"/>
    <w:rsid w:val="00731B47"/>
    <w:rsid w:val="0073404D"/>
    <w:rsid w:val="0073695E"/>
    <w:rsid w:val="007404C0"/>
    <w:rsid w:val="00740D19"/>
    <w:rsid w:val="007410C3"/>
    <w:rsid w:val="00741837"/>
    <w:rsid w:val="00742D86"/>
    <w:rsid w:val="007438AA"/>
    <w:rsid w:val="00743B9E"/>
    <w:rsid w:val="0074632A"/>
    <w:rsid w:val="0075208A"/>
    <w:rsid w:val="007520AD"/>
    <w:rsid w:val="00753AE5"/>
    <w:rsid w:val="00754AD5"/>
    <w:rsid w:val="0075731D"/>
    <w:rsid w:val="00764131"/>
    <w:rsid w:val="00764325"/>
    <w:rsid w:val="00766E82"/>
    <w:rsid w:val="00767C09"/>
    <w:rsid w:val="0077033D"/>
    <w:rsid w:val="00772EA7"/>
    <w:rsid w:val="00773489"/>
    <w:rsid w:val="00773552"/>
    <w:rsid w:val="007739E6"/>
    <w:rsid w:val="00773DBA"/>
    <w:rsid w:val="0077410E"/>
    <w:rsid w:val="00774590"/>
    <w:rsid w:val="00775389"/>
    <w:rsid w:val="00777328"/>
    <w:rsid w:val="00782A72"/>
    <w:rsid w:val="0078414F"/>
    <w:rsid w:val="00786738"/>
    <w:rsid w:val="007945E4"/>
    <w:rsid w:val="00794766"/>
    <w:rsid w:val="00795ED9"/>
    <w:rsid w:val="00797C1F"/>
    <w:rsid w:val="007A31B3"/>
    <w:rsid w:val="007A78B9"/>
    <w:rsid w:val="007B3536"/>
    <w:rsid w:val="007B6ABA"/>
    <w:rsid w:val="007B6CD3"/>
    <w:rsid w:val="007B719F"/>
    <w:rsid w:val="007C1A04"/>
    <w:rsid w:val="007C1B92"/>
    <w:rsid w:val="007C3D61"/>
    <w:rsid w:val="007C4366"/>
    <w:rsid w:val="007C4E32"/>
    <w:rsid w:val="007C5DF1"/>
    <w:rsid w:val="007C650D"/>
    <w:rsid w:val="007D25DD"/>
    <w:rsid w:val="007D27DB"/>
    <w:rsid w:val="007D6823"/>
    <w:rsid w:val="007D6B07"/>
    <w:rsid w:val="007D6EEC"/>
    <w:rsid w:val="007D7123"/>
    <w:rsid w:val="007E1164"/>
    <w:rsid w:val="007E459D"/>
    <w:rsid w:val="007F1765"/>
    <w:rsid w:val="007F273F"/>
    <w:rsid w:val="007F35FF"/>
    <w:rsid w:val="007F62BF"/>
    <w:rsid w:val="00801DEA"/>
    <w:rsid w:val="008025F9"/>
    <w:rsid w:val="008043B7"/>
    <w:rsid w:val="00804C21"/>
    <w:rsid w:val="0080638E"/>
    <w:rsid w:val="008076B5"/>
    <w:rsid w:val="008100E9"/>
    <w:rsid w:val="008117F1"/>
    <w:rsid w:val="008137B6"/>
    <w:rsid w:val="008139D2"/>
    <w:rsid w:val="008139FC"/>
    <w:rsid w:val="00814243"/>
    <w:rsid w:val="00821CA4"/>
    <w:rsid w:val="00821EC6"/>
    <w:rsid w:val="00822BC3"/>
    <w:rsid w:val="008240D9"/>
    <w:rsid w:val="008256EE"/>
    <w:rsid w:val="00827AA5"/>
    <w:rsid w:val="0083462C"/>
    <w:rsid w:val="008351EA"/>
    <w:rsid w:val="008359A0"/>
    <w:rsid w:val="00836080"/>
    <w:rsid w:val="008410C2"/>
    <w:rsid w:val="008417F8"/>
    <w:rsid w:val="00841EEE"/>
    <w:rsid w:val="0084321B"/>
    <w:rsid w:val="008470BE"/>
    <w:rsid w:val="00847443"/>
    <w:rsid w:val="00850D51"/>
    <w:rsid w:val="00853E82"/>
    <w:rsid w:val="00862399"/>
    <w:rsid w:val="00862726"/>
    <w:rsid w:val="008627CE"/>
    <w:rsid w:val="00862F9B"/>
    <w:rsid w:val="00863DB7"/>
    <w:rsid w:val="0086519E"/>
    <w:rsid w:val="00866BA9"/>
    <w:rsid w:val="00867349"/>
    <w:rsid w:val="00874A74"/>
    <w:rsid w:val="00874AA4"/>
    <w:rsid w:val="00875191"/>
    <w:rsid w:val="00876342"/>
    <w:rsid w:val="008809A0"/>
    <w:rsid w:val="00880CFF"/>
    <w:rsid w:val="00884E5F"/>
    <w:rsid w:val="00887176"/>
    <w:rsid w:val="008901BA"/>
    <w:rsid w:val="00890220"/>
    <w:rsid w:val="00891DE1"/>
    <w:rsid w:val="00893424"/>
    <w:rsid w:val="00895160"/>
    <w:rsid w:val="008A1679"/>
    <w:rsid w:val="008A22C3"/>
    <w:rsid w:val="008A2A4F"/>
    <w:rsid w:val="008A5A11"/>
    <w:rsid w:val="008A6470"/>
    <w:rsid w:val="008A748D"/>
    <w:rsid w:val="008B004A"/>
    <w:rsid w:val="008B120E"/>
    <w:rsid w:val="008B29CE"/>
    <w:rsid w:val="008B3357"/>
    <w:rsid w:val="008B7628"/>
    <w:rsid w:val="008C0B15"/>
    <w:rsid w:val="008C1F11"/>
    <w:rsid w:val="008C464A"/>
    <w:rsid w:val="008C4BDF"/>
    <w:rsid w:val="008C6084"/>
    <w:rsid w:val="008C66B6"/>
    <w:rsid w:val="008D0E50"/>
    <w:rsid w:val="008D1477"/>
    <w:rsid w:val="008D27BC"/>
    <w:rsid w:val="008D6532"/>
    <w:rsid w:val="008E0BE0"/>
    <w:rsid w:val="008E2C82"/>
    <w:rsid w:val="008E579F"/>
    <w:rsid w:val="008E71B8"/>
    <w:rsid w:val="008F2F81"/>
    <w:rsid w:val="0090019E"/>
    <w:rsid w:val="00902637"/>
    <w:rsid w:val="00905D13"/>
    <w:rsid w:val="009079C3"/>
    <w:rsid w:val="00907C33"/>
    <w:rsid w:val="00912967"/>
    <w:rsid w:val="009152D5"/>
    <w:rsid w:val="009159B8"/>
    <w:rsid w:val="009163E0"/>
    <w:rsid w:val="009203D4"/>
    <w:rsid w:val="00920442"/>
    <w:rsid w:val="00921B4E"/>
    <w:rsid w:val="00923CE3"/>
    <w:rsid w:val="00924D25"/>
    <w:rsid w:val="00924F64"/>
    <w:rsid w:val="00926077"/>
    <w:rsid w:val="00926468"/>
    <w:rsid w:val="00926DE0"/>
    <w:rsid w:val="00926EBA"/>
    <w:rsid w:val="0093015A"/>
    <w:rsid w:val="00931AA3"/>
    <w:rsid w:val="00933144"/>
    <w:rsid w:val="009332ED"/>
    <w:rsid w:val="00934579"/>
    <w:rsid w:val="0093493B"/>
    <w:rsid w:val="009407B0"/>
    <w:rsid w:val="00941636"/>
    <w:rsid w:val="00943C42"/>
    <w:rsid w:val="00944C46"/>
    <w:rsid w:val="00945FDB"/>
    <w:rsid w:val="00947531"/>
    <w:rsid w:val="00947B88"/>
    <w:rsid w:val="0095208C"/>
    <w:rsid w:val="009564F0"/>
    <w:rsid w:val="00957ED9"/>
    <w:rsid w:val="009643F3"/>
    <w:rsid w:val="00964B93"/>
    <w:rsid w:val="009664CB"/>
    <w:rsid w:val="009723B8"/>
    <w:rsid w:val="00972F7F"/>
    <w:rsid w:val="00983580"/>
    <w:rsid w:val="009854C3"/>
    <w:rsid w:val="00986060"/>
    <w:rsid w:val="00986675"/>
    <w:rsid w:val="0098757E"/>
    <w:rsid w:val="0098775F"/>
    <w:rsid w:val="00990EAC"/>
    <w:rsid w:val="00992804"/>
    <w:rsid w:val="009943F1"/>
    <w:rsid w:val="00996C1B"/>
    <w:rsid w:val="009A03C1"/>
    <w:rsid w:val="009A047F"/>
    <w:rsid w:val="009A0B8B"/>
    <w:rsid w:val="009A19EC"/>
    <w:rsid w:val="009A2F77"/>
    <w:rsid w:val="009A427A"/>
    <w:rsid w:val="009A64D1"/>
    <w:rsid w:val="009A6533"/>
    <w:rsid w:val="009A799B"/>
    <w:rsid w:val="009B29C1"/>
    <w:rsid w:val="009B3D86"/>
    <w:rsid w:val="009B73FD"/>
    <w:rsid w:val="009B7965"/>
    <w:rsid w:val="009C1F03"/>
    <w:rsid w:val="009C60CE"/>
    <w:rsid w:val="009D0F28"/>
    <w:rsid w:val="009D54ED"/>
    <w:rsid w:val="009E0EC9"/>
    <w:rsid w:val="009E1960"/>
    <w:rsid w:val="009E2204"/>
    <w:rsid w:val="009E6587"/>
    <w:rsid w:val="009E6E36"/>
    <w:rsid w:val="009F05FE"/>
    <w:rsid w:val="009F1F14"/>
    <w:rsid w:val="009F3076"/>
    <w:rsid w:val="009F3B41"/>
    <w:rsid w:val="009F556E"/>
    <w:rsid w:val="009F55D6"/>
    <w:rsid w:val="009F5EC9"/>
    <w:rsid w:val="00A00362"/>
    <w:rsid w:val="00A04951"/>
    <w:rsid w:val="00A06B82"/>
    <w:rsid w:val="00A1137E"/>
    <w:rsid w:val="00A14BF7"/>
    <w:rsid w:val="00A20F34"/>
    <w:rsid w:val="00A216CC"/>
    <w:rsid w:val="00A21BCB"/>
    <w:rsid w:val="00A21C0A"/>
    <w:rsid w:val="00A22329"/>
    <w:rsid w:val="00A2487F"/>
    <w:rsid w:val="00A302ED"/>
    <w:rsid w:val="00A30E7F"/>
    <w:rsid w:val="00A31482"/>
    <w:rsid w:val="00A3415A"/>
    <w:rsid w:val="00A405B4"/>
    <w:rsid w:val="00A45A49"/>
    <w:rsid w:val="00A46868"/>
    <w:rsid w:val="00A46E8F"/>
    <w:rsid w:val="00A505B6"/>
    <w:rsid w:val="00A5130D"/>
    <w:rsid w:val="00A530BD"/>
    <w:rsid w:val="00A538F3"/>
    <w:rsid w:val="00A540C4"/>
    <w:rsid w:val="00A54DEF"/>
    <w:rsid w:val="00A550A7"/>
    <w:rsid w:val="00A570EB"/>
    <w:rsid w:val="00A613F8"/>
    <w:rsid w:val="00A63F4E"/>
    <w:rsid w:val="00A64654"/>
    <w:rsid w:val="00A64A89"/>
    <w:rsid w:val="00A669E0"/>
    <w:rsid w:val="00A7125F"/>
    <w:rsid w:val="00A71963"/>
    <w:rsid w:val="00A7643B"/>
    <w:rsid w:val="00A7772F"/>
    <w:rsid w:val="00A82AF7"/>
    <w:rsid w:val="00A84B01"/>
    <w:rsid w:val="00A86F0F"/>
    <w:rsid w:val="00A900BC"/>
    <w:rsid w:val="00A90AEA"/>
    <w:rsid w:val="00A90F28"/>
    <w:rsid w:val="00A95A1A"/>
    <w:rsid w:val="00A96691"/>
    <w:rsid w:val="00AA02CB"/>
    <w:rsid w:val="00AA02E0"/>
    <w:rsid w:val="00AA0632"/>
    <w:rsid w:val="00AA0C23"/>
    <w:rsid w:val="00AA2B3F"/>
    <w:rsid w:val="00AA41AC"/>
    <w:rsid w:val="00AB1A98"/>
    <w:rsid w:val="00AB2A6D"/>
    <w:rsid w:val="00AB2F38"/>
    <w:rsid w:val="00AB5045"/>
    <w:rsid w:val="00AB5CB3"/>
    <w:rsid w:val="00AB7A99"/>
    <w:rsid w:val="00AC25F9"/>
    <w:rsid w:val="00AC2CC1"/>
    <w:rsid w:val="00AC34BC"/>
    <w:rsid w:val="00AC43D0"/>
    <w:rsid w:val="00AC6C51"/>
    <w:rsid w:val="00AD127D"/>
    <w:rsid w:val="00AD5F4C"/>
    <w:rsid w:val="00AD6ACD"/>
    <w:rsid w:val="00AD71DD"/>
    <w:rsid w:val="00AE2C6C"/>
    <w:rsid w:val="00AE316B"/>
    <w:rsid w:val="00AE42F4"/>
    <w:rsid w:val="00AE4891"/>
    <w:rsid w:val="00AE5683"/>
    <w:rsid w:val="00AE6766"/>
    <w:rsid w:val="00AF3552"/>
    <w:rsid w:val="00AF77C0"/>
    <w:rsid w:val="00B00E33"/>
    <w:rsid w:val="00B01F19"/>
    <w:rsid w:val="00B05307"/>
    <w:rsid w:val="00B066C0"/>
    <w:rsid w:val="00B12F97"/>
    <w:rsid w:val="00B15FC4"/>
    <w:rsid w:val="00B16939"/>
    <w:rsid w:val="00B20715"/>
    <w:rsid w:val="00B20F9F"/>
    <w:rsid w:val="00B23F7C"/>
    <w:rsid w:val="00B2412F"/>
    <w:rsid w:val="00B25DEA"/>
    <w:rsid w:val="00B275B1"/>
    <w:rsid w:val="00B31F61"/>
    <w:rsid w:val="00B321F3"/>
    <w:rsid w:val="00B32275"/>
    <w:rsid w:val="00B3241C"/>
    <w:rsid w:val="00B33B38"/>
    <w:rsid w:val="00B33DFF"/>
    <w:rsid w:val="00B35EFB"/>
    <w:rsid w:val="00B3658B"/>
    <w:rsid w:val="00B37FFD"/>
    <w:rsid w:val="00B44846"/>
    <w:rsid w:val="00B44944"/>
    <w:rsid w:val="00B454D8"/>
    <w:rsid w:val="00B45898"/>
    <w:rsid w:val="00B45E67"/>
    <w:rsid w:val="00B46508"/>
    <w:rsid w:val="00B473DD"/>
    <w:rsid w:val="00B5162E"/>
    <w:rsid w:val="00B571EB"/>
    <w:rsid w:val="00B57609"/>
    <w:rsid w:val="00B5761D"/>
    <w:rsid w:val="00B57AC8"/>
    <w:rsid w:val="00B610FD"/>
    <w:rsid w:val="00B6583D"/>
    <w:rsid w:val="00B67BB7"/>
    <w:rsid w:val="00B75580"/>
    <w:rsid w:val="00B7571F"/>
    <w:rsid w:val="00B75DEE"/>
    <w:rsid w:val="00B7642E"/>
    <w:rsid w:val="00B77423"/>
    <w:rsid w:val="00B77542"/>
    <w:rsid w:val="00B80072"/>
    <w:rsid w:val="00B816BC"/>
    <w:rsid w:val="00B85E10"/>
    <w:rsid w:val="00B8705F"/>
    <w:rsid w:val="00B928EB"/>
    <w:rsid w:val="00BA110B"/>
    <w:rsid w:val="00BA2B9A"/>
    <w:rsid w:val="00BA2ED5"/>
    <w:rsid w:val="00BA3B71"/>
    <w:rsid w:val="00BA52C2"/>
    <w:rsid w:val="00BA69E2"/>
    <w:rsid w:val="00BA6EFE"/>
    <w:rsid w:val="00BA7316"/>
    <w:rsid w:val="00BB141F"/>
    <w:rsid w:val="00BB31CA"/>
    <w:rsid w:val="00BB41E0"/>
    <w:rsid w:val="00BB519C"/>
    <w:rsid w:val="00BB7546"/>
    <w:rsid w:val="00BC0298"/>
    <w:rsid w:val="00BC3B49"/>
    <w:rsid w:val="00BD43FA"/>
    <w:rsid w:val="00BD4BCC"/>
    <w:rsid w:val="00BD4FA9"/>
    <w:rsid w:val="00BD54A9"/>
    <w:rsid w:val="00BE3396"/>
    <w:rsid w:val="00BE3D57"/>
    <w:rsid w:val="00BE5B62"/>
    <w:rsid w:val="00BE6CB1"/>
    <w:rsid w:val="00BE7C02"/>
    <w:rsid w:val="00BF0129"/>
    <w:rsid w:val="00BF2629"/>
    <w:rsid w:val="00BF6F8A"/>
    <w:rsid w:val="00C058D2"/>
    <w:rsid w:val="00C124BA"/>
    <w:rsid w:val="00C13321"/>
    <w:rsid w:val="00C160AF"/>
    <w:rsid w:val="00C1733D"/>
    <w:rsid w:val="00C221B7"/>
    <w:rsid w:val="00C22CB7"/>
    <w:rsid w:val="00C23A39"/>
    <w:rsid w:val="00C24B05"/>
    <w:rsid w:val="00C2503B"/>
    <w:rsid w:val="00C26074"/>
    <w:rsid w:val="00C27243"/>
    <w:rsid w:val="00C30E75"/>
    <w:rsid w:val="00C339A1"/>
    <w:rsid w:val="00C359E6"/>
    <w:rsid w:val="00C35AFD"/>
    <w:rsid w:val="00C35C85"/>
    <w:rsid w:val="00C366D8"/>
    <w:rsid w:val="00C37957"/>
    <w:rsid w:val="00C4028A"/>
    <w:rsid w:val="00C40524"/>
    <w:rsid w:val="00C40C26"/>
    <w:rsid w:val="00C44008"/>
    <w:rsid w:val="00C462AD"/>
    <w:rsid w:val="00C50EFE"/>
    <w:rsid w:val="00C52243"/>
    <w:rsid w:val="00C552C1"/>
    <w:rsid w:val="00C55343"/>
    <w:rsid w:val="00C56034"/>
    <w:rsid w:val="00C56109"/>
    <w:rsid w:val="00C56A7E"/>
    <w:rsid w:val="00C60089"/>
    <w:rsid w:val="00C60CBF"/>
    <w:rsid w:val="00C61430"/>
    <w:rsid w:val="00C620D6"/>
    <w:rsid w:val="00C63B6B"/>
    <w:rsid w:val="00C64BD3"/>
    <w:rsid w:val="00C66A8F"/>
    <w:rsid w:val="00C70A73"/>
    <w:rsid w:val="00C742B2"/>
    <w:rsid w:val="00C74A78"/>
    <w:rsid w:val="00C74A79"/>
    <w:rsid w:val="00C76591"/>
    <w:rsid w:val="00C76AAE"/>
    <w:rsid w:val="00C839D2"/>
    <w:rsid w:val="00C86EB0"/>
    <w:rsid w:val="00C870E2"/>
    <w:rsid w:val="00C87B74"/>
    <w:rsid w:val="00C90C8F"/>
    <w:rsid w:val="00C90F6F"/>
    <w:rsid w:val="00C926C4"/>
    <w:rsid w:val="00C94861"/>
    <w:rsid w:val="00C95080"/>
    <w:rsid w:val="00CA207E"/>
    <w:rsid w:val="00CA5C6F"/>
    <w:rsid w:val="00CB1147"/>
    <w:rsid w:val="00CB3E6E"/>
    <w:rsid w:val="00CB412C"/>
    <w:rsid w:val="00CC001A"/>
    <w:rsid w:val="00CC118B"/>
    <w:rsid w:val="00CC444F"/>
    <w:rsid w:val="00CC4801"/>
    <w:rsid w:val="00CD0E3A"/>
    <w:rsid w:val="00CD0F2D"/>
    <w:rsid w:val="00CD32DD"/>
    <w:rsid w:val="00CD4FDA"/>
    <w:rsid w:val="00CD778A"/>
    <w:rsid w:val="00CE0DA3"/>
    <w:rsid w:val="00CE1074"/>
    <w:rsid w:val="00CE4FFD"/>
    <w:rsid w:val="00CE5BA9"/>
    <w:rsid w:val="00CE727B"/>
    <w:rsid w:val="00CF0CEB"/>
    <w:rsid w:val="00CF0DF6"/>
    <w:rsid w:val="00CF1390"/>
    <w:rsid w:val="00CF6897"/>
    <w:rsid w:val="00CF6CE9"/>
    <w:rsid w:val="00CF71D3"/>
    <w:rsid w:val="00CF78F0"/>
    <w:rsid w:val="00D00663"/>
    <w:rsid w:val="00D02CCE"/>
    <w:rsid w:val="00D041F3"/>
    <w:rsid w:val="00D054D9"/>
    <w:rsid w:val="00D0635A"/>
    <w:rsid w:val="00D15A52"/>
    <w:rsid w:val="00D15CD9"/>
    <w:rsid w:val="00D16C2D"/>
    <w:rsid w:val="00D174F3"/>
    <w:rsid w:val="00D179C8"/>
    <w:rsid w:val="00D17C89"/>
    <w:rsid w:val="00D21DCF"/>
    <w:rsid w:val="00D22681"/>
    <w:rsid w:val="00D2450C"/>
    <w:rsid w:val="00D2480D"/>
    <w:rsid w:val="00D30B7E"/>
    <w:rsid w:val="00D30F67"/>
    <w:rsid w:val="00D35B37"/>
    <w:rsid w:val="00D40A81"/>
    <w:rsid w:val="00D41BF1"/>
    <w:rsid w:val="00D43489"/>
    <w:rsid w:val="00D436F8"/>
    <w:rsid w:val="00D45CBA"/>
    <w:rsid w:val="00D462C8"/>
    <w:rsid w:val="00D47AF5"/>
    <w:rsid w:val="00D576D1"/>
    <w:rsid w:val="00D57B4A"/>
    <w:rsid w:val="00D62958"/>
    <w:rsid w:val="00D6393B"/>
    <w:rsid w:val="00D64689"/>
    <w:rsid w:val="00D65C5D"/>
    <w:rsid w:val="00D70F4E"/>
    <w:rsid w:val="00D71D21"/>
    <w:rsid w:val="00D727EF"/>
    <w:rsid w:val="00D72F70"/>
    <w:rsid w:val="00D73933"/>
    <w:rsid w:val="00D73958"/>
    <w:rsid w:val="00D75DB0"/>
    <w:rsid w:val="00D77104"/>
    <w:rsid w:val="00D828BD"/>
    <w:rsid w:val="00D833FC"/>
    <w:rsid w:val="00D83AF5"/>
    <w:rsid w:val="00D84EC7"/>
    <w:rsid w:val="00D85353"/>
    <w:rsid w:val="00D877EF"/>
    <w:rsid w:val="00D87EC4"/>
    <w:rsid w:val="00D91B77"/>
    <w:rsid w:val="00D91CE7"/>
    <w:rsid w:val="00D92E5D"/>
    <w:rsid w:val="00D96001"/>
    <w:rsid w:val="00D963C2"/>
    <w:rsid w:val="00D97DC1"/>
    <w:rsid w:val="00DA241E"/>
    <w:rsid w:val="00DA58F4"/>
    <w:rsid w:val="00DB25A9"/>
    <w:rsid w:val="00DB2CD4"/>
    <w:rsid w:val="00DB487C"/>
    <w:rsid w:val="00DB5AD1"/>
    <w:rsid w:val="00DB6A0F"/>
    <w:rsid w:val="00DB6E60"/>
    <w:rsid w:val="00DC0B07"/>
    <w:rsid w:val="00DC1190"/>
    <w:rsid w:val="00DC4AB2"/>
    <w:rsid w:val="00DC5BC6"/>
    <w:rsid w:val="00DC6F03"/>
    <w:rsid w:val="00DD25B4"/>
    <w:rsid w:val="00DD2A53"/>
    <w:rsid w:val="00DD41CB"/>
    <w:rsid w:val="00DD421D"/>
    <w:rsid w:val="00DE2432"/>
    <w:rsid w:val="00DE42F0"/>
    <w:rsid w:val="00DE4AC1"/>
    <w:rsid w:val="00DE4F67"/>
    <w:rsid w:val="00DE4F7B"/>
    <w:rsid w:val="00DE555D"/>
    <w:rsid w:val="00DF0699"/>
    <w:rsid w:val="00DF24FA"/>
    <w:rsid w:val="00DF3656"/>
    <w:rsid w:val="00DF3D2B"/>
    <w:rsid w:val="00DF4A45"/>
    <w:rsid w:val="00E02A58"/>
    <w:rsid w:val="00E04012"/>
    <w:rsid w:val="00E0690D"/>
    <w:rsid w:val="00E06B15"/>
    <w:rsid w:val="00E07CDD"/>
    <w:rsid w:val="00E07E76"/>
    <w:rsid w:val="00E113F3"/>
    <w:rsid w:val="00E11B6B"/>
    <w:rsid w:val="00E12E5C"/>
    <w:rsid w:val="00E13133"/>
    <w:rsid w:val="00E13246"/>
    <w:rsid w:val="00E15B77"/>
    <w:rsid w:val="00E24D48"/>
    <w:rsid w:val="00E346B8"/>
    <w:rsid w:val="00E354D6"/>
    <w:rsid w:val="00E40876"/>
    <w:rsid w:val="00E42783"/>
    <w:rsid w:val="00E44EC9"/>
    <w:rsid w:val="00E45594"/>
    <w:rsid w:val="00E4609B"/>
    <w:rsid w:val="00E50074"/>
    <w:rsid w:val="00E52B17"/>
    <w:rsid w:val="00E52DC9"/>
    <w:rsid w:val="00E53DB4"/>
    <w:rsid w:val="00E54BF0"/>
    <w:rsid w:val="00E5591E"/>
    <w:rsid w:val="00E568D8"/>
    <w:rsid w:val="00E60060"/>
    <w:rsid w:val="00E619B9"/>
    <w:rsid w:val="00E62887"/>
    <w:rsid w:val="00E64E5D"/>
    <w:rsid w:val="00E653FD"/>
    <w:rsid w:val="00E6553D"/>
    <w:rsid w:val="00E67535"/>
    <w:rsid w:val="00E67AC5"/>
    <w:rsid w:val="00E73589"/>
    <w:rsid w:val="00E8121F"/>
    <w:rsid w:val="00E81B17"/>
    <w:rsid w:val="00E8575C"/>
    <w:rsid w:val="00E92307"/>
    <w:rsid w:val="00E96AE4"/>
    <w:rsid w:val="00E96F92"/>
    <w:rsid w:val="00E9788A"/>
    <w:rsid w:val="00EA1897"/>
    <w:rsid w:val="00EA60C6"/>
    <w:rsid w:val="00EA6149"/>
    <w:rsid w:val="00EC0D9A"/>
    <w:rsid w:val="00EC113E"/>
    <w:rsid w:val="00EC18E2"/>
    <w:rsid w:val="00EC1F66"/>
    <w:rsid w:val="00EC3D44"/>
    <w:rsid w:val="00EC5A53"/>
    <w:rsid w:val="00EC6158"/>
    <w:rsid w:val="00EC6CF5"/>
    <w:rsid w:val="00ED0AFB"/>
    <w:rsid w:val="00ED275C"/>
    <w:rsid w:val="00ED30D2"/>
    <w:rsid w:val="00ED54E1"/>
    <w:rsid w:val="00ED6B24"/>
    <w:rsid w:val="00EE2CC0"/>
    <w:rsid w:val="00EE2DDB"/>
    <w:rsid w:val="00EE6BE2"/>
    <w:rsid w:val="00EF11C3"/>
    <w:rsid w:val="00EF2965"/>
    <w:rsid w:val="00EF3A69"/>
    <w:rsid w:val="00F01669"/>
    <w:rsid w:val="00F02787"/>
    <w:rsid w:val="00F02A21"/>
    <w:rsid w:val="00F03B9B"/>
    <w:rsid w:val="00F0468C"/>
    <w:rsid w:val="00F0471E"/>
    <w:rsid w:val="00F07AF5"/>
    <w:rsid w:val="00F11723"/>
    <w:rsid w:val="00F11F47"/>
    <w:rsid w:val="00F125DB"/>
    <w:rsid w:val="00F126BD"/>
    <w:rsid w:val="00F13591"/>
    <w:rsid w:val="00F13A21"/>
    <w:rsid w:val="00F153FB"/>
    <w:rsid w:val="00F15730"/>
    <w:rsid w:val="00F2352B"/>
    <w:rsid w:val="00F25A7C"/>
    <w:rsid w:val="00F328E7"/>
    <w:rsid w:val="00F330C1"/>
    <w:rsid w:val="00F33918"/>
    <w:rsid w:val="00F33F8B"/>
    <w:rsid w:val="00F35007"/>
    <w:rsid w:val="00F36304"/>
    <w:rsid w:val="00F37018"/>
    <w:rsid w:val="00F42057"/>
    <w:rsid w:val="00F43CF4"/>
    <w:rsid w:val="00F45CC1"/>
    <w:rsid w:val="00F51ADA"/>
    <w:rsid w:val="00F53B67"/>
    <w:rsid w:val="00F57096"/>
    <w:rsid w:val="00F60151"/>
    <w:rsid w:val="00F65139"/>
    <w:rsid w:val="00F66251"/>
    <w:rsid w:val="00F72E5A"/>
    <w:rsid w:val="00F75B72"/>
    <w:rsid w:val="00F80382"/>
    <w:rsid w:val="00F833B8"/>
    <w:rsid w:val="00F85D49"/>
    <w:rsid w:val="00F864CB"/>
    <w:rsid w:val="00F86CF2"/>
    <w:rsid w:val="00F87D52"/>
    <w:rsid w:val="00F905F0"/>
    <w:rsid w:val="00F908E6"/>
    <w:rsid w:val="00F90F0B"/>
    <w:rsid w:val="00F91F1E"/>
    <w:rsid w:val="00F922D4"/>
    <w:rsid w:val="00F9239C"/>
    <w:rsid w:val="00F931C7"/>
    <w:rsid w:val="00F941FB"/>
    <w:rsid w:val="00F96511"/>
    <w:rsid w:val="00F9670C"/>
    <w:rsid w:val="00F96713"/>
    <w:rsid w:val="00FA1B45"/>
    <w:rsid w:val="00FA4454"/>
    <w:rsid w:val="00FA4B25"/>
    <w:rsid w:val="00FB0214"/>
    <w:rsid w:val="00FB0811"/>
    <w:rsid w:val="00FB1951"/>
    <w:rsid w:val="00FB4CA0"/>
    <w:rsid w:val="00FB4D92"/>
    <w:rsid w:val="00FB7D04"/>
    <w:rsid w:val="00FC0C2D"/>
    <w:rsid w:val="00FC1845"/>
    <w:rsid w:val="00FC59C3"/>
    <w:rsid w:val="00FC5A84"/>
    <w:rsid w:val="00FD0C2C"/>
    <w:rsid w:val="00FD3134"/>
    <w:rsid w:val="00FD359D"/>
    <w:rsid w:val="00FD5637"/>
    <w:rsid w:val="00FD7214"/>
    <w:rsid w:val="00FD7302"/>
    <w:rsid w:val="00FE2666"/>
    <w:rsid w:val="00FF247F"/>
    <w:rsid w:val="00FF397B"/>
    <w:rsid w:val="00FF3E89"/>
    <w:rsid w:val="00FF6715"/>
    <w:rsid w:val="00FF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2D"/>
    <w:rPr>
      <w:sz w:val="24"/>
      <w:lang w:eastAsia="en-US"/>
    </w:rPr>
  </w:style>
  <w:style w:type="paragraph" w:styleId="Heading1">
    <w:name w:val="heading 1"/>
    <w:basedOn w:val="Normal"/>
    <w:next w:val="Normal"/>
    <w:qFormat/>
    <w:rsid w:val="00EC0D9A"/>
    <w:pPr>
      <w:jc w:val="center"/>
      <w:outlineLvl w:val="0"/>
    </w:pPr>
    <w:rPr>
      <w:rFonts w:asciiTheme="minorHAnsi" w:hAnsiTheme="minorHAnsi" w:cs="Arial"/>
      <w:b/>
      <w:sz w:val="28"/>
      <w:szCs w:val="28"/>
    </w:rPr>
  </w:style>
  <w:style w:type="paragraph" w:styleId="Heading2">
    <w:name w:val="heading 2"/>
    <w:basedOn w:val="Normal"/>
    <w:next w:val="Normal"/>
    <w:qFormat/>
    <w:rsid w:val="00D16C2D"/>
    <w:pPr>
      <w:keepNext/>
      <w:outlineLvl w:val="1"/>
    </w:pPr>
    <w:rPr>
      <w:rFonts w:ascii="Trebuchet MS" w:hAnsi="Trebuchet MS"/>
      <w:b/>
      <w:sz w:val="46"/>
    </w:rPr>
  </w:style>
  <w:style w:type="paragraph" w:styleId="Heading3">
    <w:name w:val="heading 3"/>
    <w:basedOn w:val="Normal"/>
    <w:next w:val="Normal"/>
    <w:qFormat/>
    <w:rsid w:val="00D16C2D"/>
    <w:pPr>
      <w:keepNext/>
      <w:tabs>
        <w:tab w:val="right" w:pos="8647"/>
      </w:tabs>
      <w:ind w:right="-1776"/>
      <w:outlineLvl w:val="2"/>
    </w:pPr>
    <w:rPr>
      <w:rFonts w:ascii="Trebuchet MS" w:hAnsi="Trebuchet MS"/>
      <w:b/>
      <w:i/>
      <w:spacing w:val="-20"/>
      <w:sz w:val="46"/>
    </w:rPr>
  </w:style>
  <w:style w:type="paragraph" w:styleId="Heading4">
    <w:name w:val="heading 4"/>
    <w:basedOn w:val="Normal"/>
    <w:next w:val="Normal"/>
    <w:link w:val="Heading4Char"/>
    <w:uiPriority w:val="9"/>
    <w:semiHidden/>
    <w:unhideWhenUsed/>
    <w:qFormat/>
    <w:rsid w:val="00AE31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16C2D"/>
    <w:pPr>
      <w:jc w:val="right"/>
    </w:pPr>
    <w:rPr>
      <w:rFonts w:ascii="Trebuchet MS" w:hAnsi="Trebuchet MS"/>
    </w:rPr>
  </w:style>
  <w:style w:type="character" w:styleId="Hyperlink">
    <w:name w:val="Hyperlink"/>
    <w:basedOn w:val="DefaultParagraphFont"/>
    <w:uiPriority w:val="99"/>
    <w:semiHidden/>
    <w:rsid w:val="00D16C2D"/>
    <w:rPr>
      <w:color w:val="0000FF"/>
      <w:u w:val="single"/>
    </w:rPr>
  </w:style>
  <w:style w:type="character" w:styleId="FollowedHyperlink">
    <w:name w:val="FollowedHyperlink"/>
    <w:basedOn w:val="DefaultParagraphFont"/>
    <w:semiHidden/>
    <w:rsid w:val="00D16C2D"/>
    <w:rPr>
      <w:color w:val="800080"/>
      <w:u w:val="single"/>
    </w:rPr>
  </w:style>
  <w:style w:type="paragraph" w:styleId="Header">
    <w:name w:val="header"/>
    <w:basedOn w:val="Normal"/>
    <w:link w:val="HeaderChar"/>
    <w:rsid w:val="00D16C2D"/>
    <w:pPr>
      <w:tabs>
        <w:tab w:val="center" w:pos="4153"/>
        <w:tab w:val="right" w:pos="8306"/>
      </w:tabs>
    </w:pPr>
  </w:style>
  <w:style w:type="paragraph" w:styleId="Footer">
    <w:name w:val="footer"/>
    <w:basedOn w:val="Normal"/>
    <w:link w:val="FooterChar"/>
    <w:uiPriority w:val="99"/>
    <w:rsid w:val="00D16C2D"/>
    <w:pPr>
      <w:tabs>
        <w:tab w:val="center" w:pos="4153"/>
        <w:tab w:val="right" w:pos="8306"/>
      </w:tabs>
    </w:pPr>
  </w:style>
  <w:style w:type="character" w:customStyle="1" w:styleId="Heading4Char">
    <w:name w:val="Heading 4 Char"/>
    <w:basedOn w:val="DefaultParagraphFont"/>
    <w:link w:val="Heading4"/>
    <w:uiPriority w:val="9"/>
    <w:semiHidden/>
    <w:rsid w:val="00AE316B"/>
    <w:rPr>
      <w:rFonts w:asciiTheme="majorHAnsi" w:eastAsiaTheme="majorEastAsia" w:hAnsiTheme="majorHAnsi" w:cstheme="majorBidi"/>
      <w:b/>
      <w:bCs/>
      <w:i/>
      <w:iCs/>
      <w:color w:val="4F81BD" w:themeColor="accent1"/>
      <w:sz w:val="24"/>
      <w:lang w:eastAsia="en-US"/>
    </w:rPr>
  </w:style>
  <w:style w:type="character" w:customStyle="1" w:styleId="HeaderChar">
    <w:name w:val="Header Char"/>
    <w:basedOn w:val="DefaultParagraphFont"/>
    <w:link w:val="Header"/>
    <w:rsid w:val="00A82AF7"/>
    <w:rPr>
      <w:sz w:val="24"/>
      <w:lang w:eastAsia="en-US"/>
    </w:rPr>
  </w:style>
  <w:style w:type="paragraph" w:styleId="ListParagraph">
    <w:name w:val="List Paragraph"/>
    <w:basedOn w:val="Normal"/>
    <w:uiPriority w:val="34"/>
    <w:qFormat/>
    <w:rsid w:val="00A82AF7"/>
    <w:pPr>
      <w:ind w:left="720"/>
      <w:contextualSpacing/>
    </w:pPr>
    <w:rPr>
      <w:lang w:val="en-US"/>
    </w:rPr>
  </w:style>
  <w:style w:type="character" w:styleId="FootnoteReference">
    <w:name w:val="footnote reference"/>
    <w:basedOn w:val="DefaultParagraphFont"/>
    <w:uiPriority w:val="99"/>
    <w:semiHidden/>
    <w:unhideWhenUsed/>
    <w:rsid w:val="001F2908"/>
    <w:rPr>
      <w:vertAlign w:val="superscript"/>
    </w:rPr>
  </w:style>
  <w:style w:type="character" w:customStyle="1" w:styleId="FooterChar">
    <w:name w:val="Footer Char"/>
    <w:basedOn w:val="DefaultParagraphFont"/>
    <w:link w:val="Footer"/>
    <w:uiPriority w:val="99"/>
    <w:rsid w:val="001F2908"/>
    <w:rPr>
      <w:sz w:val="24"/>
      <w:lang w:eastAsia="en-US"/>
    </w:rPr>
  </w:style>
  <w:style w:type="paragraph" w:styleId="EndnoteText">
    <w:name w:val="endnote text"/>
    <w:basedOn w:val="Normal"/>
    <w:link w:val="EndnoteTextChar"/>
    <w:uiPriority w:val="99"/>
    <w:unhideWhenUsed/>
    <w:rsid w:val="001F2908"/>
    <w:pPr>
      <w:jc w:val="both"/>
    </w:pPr>
    <w:rPr>
      <w:rFonts w:ascii="Calibri" w:eastAsia="Times New Roman" w:hAnsi="Calibri"/>
      <w:sz w:val="20"/>
    </w:rPr>
  </w:style>
  <w:style w:type="character" w:customStyle="1" w:styleId="EndnoteTextChar">
    <w:name w:val="Endnote Text Char"/>
    <w:basedOn w:val="DefaultParagraphFont"/>
    <w:link w:val="EndnoteText"/>
    <w:uiPriority w:val="99"/>
    <w:rsid w:val="001F2908"/>
    <w:rPr>
      <w:rFonts w:ascii="Calibri" w:eastAsia="Times New Roman" w:hAnsi="Calibri"/>
      <w:lang w:eastAsia="en-US"/>
    </w:rPr>
  </w:style>
  <w:style w:type="character" w:styleId="EndnoteReference">
    <w:name w:val="endnote reference"/>
    <w:basedOn w:val="DefaultParagraphFont"/>
    <w:uiPriority w:val="99"/>
    <w:semiHidden/>
    <w:unhideWhenUsed/>
    <w:rsid w:val="001F2908"/>
    <w:rPr>
      <w:vertAlign w:val="superscript"/>
    </w:rPr>
  </w:style>
  <w:style w:type="paragraph" w:styleId="FootnoteText">
    <w:name w:val="footnote text"/>
    <w:basedOn w:val="Normal"/>
    <w:link w:val="FootnoteTextChar"/>
    <w:uiPriority w:val="99"/>
    <w:unhideWhenUsed/>
    <w:rsid w:val="00394415"/>
    <w:pPr>
      <w:jc w:val="both"/>
    </w:pPr>
    <w:rPr>
      <w:rFonts w:ascii="Arial" w:eastAsia="Times New Roman" w:hAnsi="Arial"/>
      <w:sz w:val="20"/>
    </w:rPr>
  </w:style>
  <w:style w:type="character" w:customStyle="1" w:styleId="FootnoteTextChar">
    <w:name w:val="Footnote Text Char"/>
    <w:basedOn w:val="DefaultParagraphFont"/>
    <w:link w:val="FootnoteText"/>
    <w:uiPriority w:val="99"/>
    <w:rsid w:val="00394415"/>
    <w:rPr>
      <w:rFonts w:ascii="Arial" w:eastAsia="Times New Roman" w:hAnsi="Arial"/>
      <w:lang w:eastAsia="en-US"/>
    </w:rPr>
  </w:style>
  <w:style w:type="table" w:customStyle="1" w:styleId="LightShading-Accent11">
    <w:name w:val="Light Shading - Accent 11"/>
    <w:basedOn w:val="TableNormal"/>
    <w:uiPriority w:val="60"/>
    <w:rsid w:val="00394415"/>
    <w:rPr>
      <w:rFonts w:ascii="Times New Roman" w:eastAsia="Times New Roman"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313367"/>
    <w:pPr>
      <w:contextualSpacing/>
    </w:pPr>
    <w:rPr>
      <w:rFonts w:ascii="Arial" w:eastAsiaTheme="majorEastAsia" w:hAnsi="Arial" w:cstheme="majorBidi"/>
      <w:color w:val="000000" w:themeColor="text1"/>
      <w:spacing w:val="5"/>
      <w:kern w:val="28"/>
      <w:sz w:val="32"/>
      <w:szCs w:val="52"/>
    </w:rPr>
  </w:style>
  <w:style w:type="character" w:customStyle="1" w:styleId="TitleChar">
    <w:name w:val="Title Char"/>
    <w:basedOn w:val="DefaultParagraphFont"/>
    <w:link w:val="Title"/>
    <w:uiPriority w:val="10"/>
    <w:rsid w:val="00313367"/>
    <w:rPr>
      <w:rFonts w:ascii="Arial" w:eastAsiaTheme="majorEastAsia" w:hAnsi="Arial" w:cstheme="majorBidi"/>
      <w:color w:val="000000" w:themeColor="text1"/>
      <w:spacing w:val="5"/>
      <w:kern w:val="28"/>
      <w:sz w:val="32"/>
      <w:szCs w:val="52"/>
      <w:lang w:eastAsia="en-US"/>
    </w:rPr>
  </w:style>
  <w:style w:type="paragraph" w:customStyle="1" w:styleId="DocumentTitle">
    <w:name w:val="Document Title"/>
    <w:basedOn w:val="Normal"/>
    <w:next w:val="Normal"/>
    <w:qFormat/>
    <w:rsid w:val="00313367"/>
    <w:pPr>
      <w:jc w:val="right"/>
    </w:pPr>
    <w:rPr>
      <w:rFonts w:ascii="Arial" w:eastAsiaTheme="minorHAnsi" w:hAnsi="Arial" w:cstheme="minorBidi"/>
      <w:b/>
      <w:sz w:val="40"/>
      <w:szCs w:val="22"/>
    </w:rPr>
  </w:style>
  <w:style w:type="paragraph" w:styleId="BalloonText">
    <w:name w:val="Balloon Text"/>
    <w:basedOn w:val="Normal"/>
    <w:link w:val="BalloonTextChar"/>
    <w:uiPriority w:val="99"/>
    <w:semiHidden/>
    <w:unhideWhenUsed/>
    <w:rsid w:val="00313367"/>
    <w:rPr>
      <w:rFonts w:ascii="Tahoma" w:hAnsi="Tahoma" w:cs="Tahoma"/>
      <w:sz w:val="16"/>
      <w:szCs w:val="16"/>
    </w:rPr>
  </w:style>
  <w:style w:type="character" w:customStyle="1" w:styleId="BalloonTextChar">
    <w:name w:val="Balloon Text Char"/>
    <w:basedOn w:val="DefaultParagraphFont"/>
    <w:link w:val="BalloonText"/>
    <w:uiPriority w:val="99"/>
    <w:semiHidden/>
    <w:rsid w:val="00313367"/>
    <w:rPr>
      <w:rFonts w:ascii="Tahoma" w:hAnsi="Tahoma" w:cs="Tahoma"/>
      <w:sz w:val="16"/>
      <w:szCs w:val="16"/>
      <w:lang w:eastAsia="en-US"/>
    </w:rPr>
  </w:style>
  <w:style w:type="table" w:styleId="TableGrid">
    <w:name w:val="Table Grid"/>
    <w:basedOn w:val="TableNormal"/>
    <w:uiPriority w:val="59"/>
    <w:rsid w:val="005A77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F90F0B"/>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Reference">
    <w:name w:val="Reference"/>
    <w:basedOn w:val="Normal"/>
    <w:next w:val="Normal"/>
    <w:qFormat/>
    <w:rsid w:val="00A95A1A"/>
    <w:pPr>
      <w:tabs>
        <w:tab w:val="left" w:pos="1560"/>
      </w:tabs>
    </w:pPr>
    <w:rPr>
      <w:rFonts w:ascii="Arial" w:eastAsiaTheme="minorHAnsi" w:hAnsi="Arial" w:cstheme="minorBidi"/>
      <w:sz w:val="16"/>
      <w:szCs w:val="16"/>
    </w:rPr>
  </w:style>
  <w:style w:type="table" w:customStyle="1" w:styleId="LightShading-Accent13">
    <w:name w:val="Light Shading - Accent 13"/>
    <w:basedOn w:val="TableNormal"/>
    <w:uiPriority w:val="60"/>
    <w:rsid w:val="005212D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3A7CD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A7CD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9A427A"/>
    <w:rPr>
      <w:sz w:val="16"/>
      <w:szCs w:val="16"/>
    </w:rPr>
  </w:style>
  <w:style w:type="paragraph" w:styleId="CommentText">
    <w:name w:val="annotation text"/>
    <w:basedOn w:val="Normal"/>
    <w:link w:val="CommentTextChar"/>
    <w:uiPriority w:val="99"/>
    <w:semiHidden/>
    <w:unhideWhenUsed/>
    <w:rsid w:val="009A427A"/>
    <w:rPr>
      <w:sz w:val="20"/>
    </w:rPr>
  </w:style>
  <w:style w:type="character" w:customStyle="1" w:styleId="CommentTextChar">
    <w:name w:val="Comment Text Char"/>
    <w:basedOn w:val="DefaultParagraphFont"/>
    <w:link w:val="CommentText"/>
    <w:uiPriority w:val="99"/>
    <w:semiHidden/>
    <w:rsid w:val="009A427A"/>
    <w:rPr>
      <w:lang w:eastAsia="en-US"/>
    </w:rPr>
  </w:style>
  <w:style w:type="paragraph" w:styleId="CommentSubject">
    <w:name w:val="annotation subject"/>
    <w:basedOn w:val="CommentText"/>
    <w:next w:val="CommentText"/>
    <w:link w:val="CommentSubjectChar"/>
    <w:uiPriority w:val="99"/>
    <w:semiHidden/>
    <w:unhideWhenUsed/>
    <w:rsid w:val="009A427A"/>
    <w:rPr>
      <w:b/>
      <w:bCs/>
    </w:rPr>
  </w:style>
  <w:style w:type="character" w:customStyle="1" w:styleId="CommentSubjectChar">
    <w:name w:val="Comment Subject Char"/>
    <w:basedOn w:val="CommentTextChar"/>
    <w:link w:val="CommentSubject"/>
    <w:uiPriority w:val="99"/>
    <w:semiHidden/>
    <w:rsid w:val="009A427A"/>
    <w:rPr>
      <w:b/>
      <w:bCs/>
      <w:lang w:eastAsia="en-US"/>
    </w:rPr>
  </w:style>
  <w:style w:type="paragraph" w:styleId="Revision">
    <w:name w:val="Revision"/>
    <w:hidden/>
    <w:uiPriority w:val="99"/>
    <w:semiHidden/>
    <w:rsid w:val="009A427A"/>
    <w:rPr>
      <w:sz w:val="24"/>
      <w:lang w:eastAsia="en-US"/>
    </w:rPr>
  </w:style>
  <w:style w:type="paragraph" w:customStyle="1" w:styleId="Default">
    <w:name w:val="Default"/>
    <w:rsid w:val="00687989"/>
    <w:pPr>
      <w:autoSpaceDE w:val="0"/>
      <w:autoSpaceDN w:val="0"/>
      <w:adjustRightInd w:val="0"/>
    </w:pPr>
    <w:rPr>
      <w:rFonts w:ascii="Arial" w:hAnsi="Arial" w:cs="Arial"/>
      <w:color w:val="000000"/>
      <w:sz w:val="24"/>
      <w:szCs w:val="24"/>
    </w:rPr>
  </w:style>
  <w:style w:type="table" w:customStyle="1" w:styleId="LightShading-Accent14">
    <w:name w:val="Light Shading - Accent 14"/>
    <w:basedOn w:val="TableNormal"/>
    <w:uiPriority w:val="60"/>
    <w:rsid w:val="00B610F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6941C2"/>
    <w:rPr>
      <w:color w:val="808080"/>
    </w:rPr>
  </w:style>
  <w:style w:type="character" w:styleId="Strong">
    <w:name w:val="Strong"/>
    <w:basedOn w:val="DefaultParagraphFont"/>
    <w:uiPriority w:val="22"/>
    <w:qFormat/>
    <w:rsid w:val="00D65C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2D"/>
    <w:rPr>
      <w:sz w:val="24"/>
      <w:lang w:eastAsia="en-US"/>
    </w:rPr>
  </w:style>
  <w:style w:type="paragraph" w:styleId="Heading1">
    <w:name w:val="heading 1"/>
    <w:basedOn w:val="Normal"/>
    <w:next w:val="Normal"/>
    <w:qFormat/>
    <w:rsid w:val="00EC0D9A"/>
    <w:pPr>
      <w:jc w:val="center"/>
      <w:outlineLvl w:val="0"/>
    </w:pPr>
    <w:rPr>
      <w:rFonts w:asciiTheme="minorHAnsi" w:hAnsiTheme="minorHAnsi" w:cs="Arial"/>
      <w:b/>
      <w:sz w:val="28"/>
      <w:szCs w:val="28"/>
    </w:rPr>
  </w:style>
  <w:style w:type="paragraph" w:styleId="Heading2">
    <w:name w:val="heading 2"/>
    <w:basedOn w:val="Normal"/>
    <w:next w:val="Normal"/>
    <w:qFormat/>
    <w:rsid w:val="00D16C2D"/>
    <w:pPr>
      <w:keepNext/>
      <w:outlineLvl w:val="1"/>
    </w:pPr>
    <w:rPr>
      <w:rFonts w:ascii="Trebuchet MS" w:hAnsi="Trebuchet MS"/>
      <w:b/>
      <w:sz w:val="46"/>
    </w:rPr>
  </w:style>
  <w:style w:type="paragraph" w:styleId="Heading3">
    <w:name w:val="heading 3"/>
    <w:basedOn w:val="Normal"/>
    <w:next w:val="Normal"/>
    <w:qFormat/>
    <w:rsid w:val="00D16C2D"/>
    <w:pPr>
      <w:keepNext/>
      <w:tabs>
        <w:tab w:val="right" w:pos="8647"/>
      </w:tabs>
      <w:ind w:right="-1776"/>
      <w:outlineLvl w:val="2"/>
    </w:pPr>
    <w:rPr>
      <w:rFonts w:ascii="Trebuchet MS" w:hAnsi="Trebuchet MS"/>
      <w:b/>
      <w:i/>
      <w:spacing w:val="-20"/>
      <w:sz w:val="46"/>
    </w:rPr>
  </w:style>
  <w:style w:type="paragraph" w:styleId="Heading4">
    <w:name w:val="heading 4"/>
    <w:basedOn w:val="Normal"/>
    <w:next w:val="Normal"/>
    <w:link w:val="Heading4Char"/>
    <w:uiPriority w:val="9"/>
    <w:semiHidden/>
    <w:unhideWhenUsed/>
    <w:qFormat/>
    <w:rsid w:val="00AE31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16C2D"/>
    <w:pPr>
      <w:jc w:val="right"/>
    </w:pPr>
    <w:rPr>
      <w:rFonts w:ascii="Trebuchet MS" w:hAnsi="Trebuchet MS"/>
    </w:rPr>
  </w:style>
  <w:style w:type="character" w:styleId="Hyperlink">
    <w:name w:val="Hyperlink"/>
    <w:basedOn w:val="DefaultParagraphFont"/>
    <w:uiPriority w:val="99"/>
    <w:semiHidden/>
    <w:rsid w:val="00D16C2D"/>
    <w:rPr>
      <w:color w:val="0000FF"/>
      <w:u w:val="single"/>
    </w:rPr>
  </w:style>
  <w:style w:type="character" w:styleId="FollowedHyperlink">
    <w:name w:val="FollowedHyperlink"/>
    <w:basedOn w:val="DefaultParagraphFont"/>
    <w:semiHidden/>
    <w:rsid w:val="00D16C2D"/>
    <w:rPr>
      <w:color w:val="800080"/>
      <w:u w:val="single"/>
    </w:rPr>
  </w:style>
  <w:style w:type="paragraph" w:styleId="Header">
    <w:name w:val="header"/>
    <w:basedOn w:val="Normal"/>
    <w:link w:val="HeaderChar"/>
    <w:rsid w:val="00D16C2D"/>
    <w:pPr>
      <w:tabs>
        <w:tab w:val="center" w:pos="4153"/>
        <w:tab w:val="right" w:pos="8306"/>
      </w:tabs>
    </w:pPr>
  </w:style>
  <w:style w:type="paragraph" w:styleId="Footer">
    <w:name w:val="footer"/>
    <w:basedOn w:val="Normal"/>
    <w:link w:val="FooterChar"/>
    <w:uiPriority w:val="99"/>
    <w:rsid w:val="00D16C2D"/>
    <w:pPr>
      <w:tabs>
        <w:tab w:val="center" w:pos="4153"/>
        <w:tab w:val="right" w:pos="8306"/>
      </w:tabs>
    </w:pPr>
  </w:style>
  <w:style w:type="character" w:customStyle="1" w:styleId="Heading4Char">
    <w:name w:val="Heading 4 Char"/>
    <w:basedOn w:val="DefaultParagraphFont"/>
    <w:link w:val="Heading4"/>
    <w:uiPriority w:val="9"/>
    <w:semiHidden/>
    <w:rsid w:val="00AE316B"/>
    <w:rPr>
      <w:rFonts w:asciiTheme="majorHAnsi" w:eastAsiaTheme="majorEastAsia" w:hAnsiTheme="majorHAnsi" w:cstheme="majorBidi"/>
      <w:b/>
      <w:bCs/>
      <w:i/>
      <w:iCs/>
      <w:color w:val="4F81BD" w:themeColor="accent1"/>
      <w:sz w:val="24"/>
      <w:lang w:eastAsia="en-US"/>
    </w:rPr>
  </w:style>
  <w:style w:type="character" w:customStyle="1" w:styleId="HeaderChar">
    <w:name w:val="Header Char"/>
    <w:basedOn w:val="DefaultParagraphFont"/>
    <w:link w:val="Header"/>
    <w:rsid w:val="00A82AF7"/>
    <w:rPr>
      <w:sz w:val="24"/>
      <w:lang w:eastAsia="en-US"/>
    </w:rPr>
  </w:style>
  <w:style w:type="paragraph" w:styleId="ListParagraph">
    <w:name w:val="List Paragraph"/>
    <w:basedOn w:val="Normal"/>
    <w:uiPriority w:val="34"/>
    <w:qFormat/>
    <w:rsid w:val="00A82AF7"/>
    <w:pPr>
      <w:ind w:left="720"/>
      <w:contextualSpacing/>
    </w:pPr>
    <w:rPr>
      <w:lang w:val="en-US"/>
    </w:rPr>
  </w:style>
  <w:style w:type="character" w:styleId="FootnoteReference">
    <w:name w:val="footnote reference"/>
    <w:basedOn w:val="DefaultParagraphFont"/>
    <w:uiPriority w:val="99"/>
    <w:semiHidden/>
    <w:unhideWhenUsed/>
    <w:rsid w:val="001F2908"/>
    <w:rPr>
      <w:vertAlign w:val="superscript"/>
    </w:rPr>
  </w:style>
  <w:style w:type="character" w:customStyle="1" w:styleId="FooterChar">
    <w:name w:val="Footer Char"/>
    <w:basedOn w:val="DefaultParagraphFont"/>
    <w:link w:val="Footer"/>
    <w:uiPriority w:val="99"/>
    <w:rsid w:val="001F2908"/>
    <w:rPr>
      <w:sz w:val="24"/>
      <w:lang w:eastAsia="en-US"/>
    </w:rPr>
  </w:style>
  <w:style w:type="paragraph" w:styleId="EndnoteText">
    <w:name w:val="endnote text"/>
    <w:basedOn w:val="Normal"/>
    <w:link w:val="EndnoteTextChar"/>
    <w:uiPriority w:val="99"/>
    <w:unhideWhenUsed/>
    <w:rsid w:val="001F2908"/>
    <w:pPr>
      <w:jc w:val="both"/>
    </w:pPr>
    <w:rPr>
      <w:rFonts w:ascii="Calibri" w:eastAsia="Times New Roman" w:hAnsi="Calibri"/>
      <w:sz w:val="20"/>
    </w:rPr>
  </w:style>
  <w:style w:type="character" w:customStyle="1" w:styleId="EndnoteTextChar">
    <w:name w:val="Endnote Text Char"/>
    <w:basedOn w:val="DefaultParagraphFont"/>
    <w:link w:val="EndnoteText"/>
    <w:uiPriority w:val="99"/>
    <w:rsid w:val="001F2908"/>
    <w:rPr>
      <w:rFonts w:ascii="Calibri" w:eastAsia="Times New Roman" w:hAnsi="Calibri"/>
      <w:lang w:eastAsia="en-US"/>
    </w:rPr>
  </w:style>
  <w:style w:type="character" w:styleId="EndnoteReference">
    <w:name w:val="endnote reference"/>
    <w:basedOn w:val="DefaultParagraphFont"/>
    <w:uiPriority w:val="99"/>
    <w:semiHidden/>
    <w:unhideWhenUsed/>
    <w:rsid w:val="001F2908"/>
    <w:rPr>
      <w:vertAlign w:val="superscript"/>
    </w:rPr>
  </w:style>
  <w:style w:type="paragraph" w:styleId="FootnoteText">
    <w:name w:val="footnote text"/>
    <w:basedOn w:val="Normal"/>
    <w:link w:val="FootnoteTextChar"/>
    <w:uiPriority w:val="99"/>
    <w:unhideWhenUsed/>
    <w:rsid w:val="00394415"/>
    <w:pPr>
      <w:jc w:val="both"/>
    </w:pPr>
    <w:rPr>
      <w:rFonts w:ascii="Arial" w:eastAsia="Times New Roman" w:hAnsi="Arial"/>
      <w:sz w:val="20"/>
    </w:rPr>
  </w:style>
  <w:style w:type="character" w:customStyle="1" w:styleId="FootnoteTextChar">
    <w:name w:val="Footnote Text Char"/>
    <w:basedOn w:val="DefaultParagraphFont"/>
    <w:link w:val="FootnoteText"/>
    <w:uiPriority w:val="99"/>
    <w:rsid w:val="00394415"/>
    <w:rPr>
      <w:rFonts w:ascii="Arial" w:eastAsia="Times New Roman" w:hAnsi="Arial"/>
      <w:lang w:eastAsia="en-US"/>
    </w:rPr>
  </w:style>
  <w:style w:type="table" w:customStyle="1" w:styleId="LightShading-Accent11">
    <w:name w:val="Light Shading - Accent 11"/>
    <w:basedOn w:val="TableNormal"/>
    <w:uiPriority w:val="60"/>
    <w:rsid w:val="00394415"/>
    <w:rPr>
      <w:rFonts w:ascii="Times New Roman" w:eastAsia="Times New Roman"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313367"/>
    <w:pPr>
      <w:contextualSpacing/>
    </w:pPr>
    <w:rPr>
      <w:rFonts w:ascii="Arial" w:eastAsiaTheme="majorEastAsia" w:hAnsi="Arial" w:cstheme="majorBidi"/>
      <w:color w:val="000000" w:themeColor="text1"/>
      <w:spacing w:val="5"/>
      <w:kern w:val="28"/>
      <w:sz w:val="32"/>
      <w:szCs w:val="52"/>
    </w:rPr>
  </w:style>
  <w:style w:type="character" w:customStyle="1" w:styleId="TitleChar">
    <w:name w:val="Title Char"/>
    <w:basedOn w:val="DefaultParagraphFont"/>
    <w:link w:val="Title"/>
    <w:uiPriority w:val="10"/>
    <w:rsid w:val="00313367"/>
    <w:rPr>
      <w:rFonts w:ascii="Arial" w:eastAsiaTheme="majorEastAsia" w:hAnsi="Arial" w:cstheme="majorBidi"/>
      <w:color w:val="000000" w:themeColor="text1"/>
      <w:spacing w:val="5"/>
      <w:kern w:val="28"/>
      <w:sz w:val="32"/>
      <w:szCs w:val="52"/>
      <w:lang w:eastAsia="en-US"/>
    </w:rPr>
  </w:style>
  <w:style w:type="paragraph" w:customStyle="1" w:styleId="DocumentTitle">
    <w:name w:val="Document Title"/>
    <w:basedOn w:val="Normal"/>
    <w:next w:val="Normal"/>
    <w:qFormat/>
    <w:rsid w:val="00313367"/>
    <w:pPr>
      <w:jc w:val="right"/>
    </w:pPr>
    <w:rPr>
      <w:rFonts w:ascii="Arial" w:eastAsiaTheme="minorHAnsi" w:hAnsi="Arial" w:cstheme="minorBidi"/>
      <w:b/>
      <w:sz w:val="40"/>
      <w:szCs w:val="22"/>
    </w:rPr>
  </w:style>
  <w:style w:type="paragraph" w:styleId="BalloonText">
    <w:name w:val="Balloon Text"/>
    <w:basedOn w:val="Normal"/>
    <w:link w:val="BalloonTextChar"/>
    <w:uiPriority w:val="99"/>
    <w:semiHidden/>
    <w:unhideWhenUsed/>
    <w:rsid w:val="00313367"/>
    <w:rPr>
      <w:rFonts w:ascii="Tahoma" w:hAnsi="Tahoma" w:cs="Tahoma"/>
      <w:sz w:val="16"/>
      <w:szCs w:val="16"/>
    </w:rPr>
  </w:style>
  <w:style w:type="character" w:customStyle="1" w:styleId="BalloonTextChar">
    <w:name w:val="Balloon Text Char"/>
    <w:basedOn w:val="DefaultParagraphFont"/>
    <w:link w:val="BalloonText"/>
    <w:uiPriority w:val="99"/>
    <w:semiHidden/>
    <w:rsid w:val="00313367"/>
    <w:rPr>
      <w:rFonts w:ascii="Tahoma" w:hAnsi="Tahoma" w:cs="Tahoma"/>
      <w:sz w:val="16"/>
      <w:szCs w:val="16"/>
      <w:lang w:eastAsia="en-US"/>
    </w:rPr>
  </w:style>
  <w:style w:type="table" w:styleId="TableGrid">
    <w:name w:val="Table Grid"/>
    <w:basedOn w:val="TableNormal"/>
    <w:uiPriority w:val="59"/>
    <w:rsid w:val="005A77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F90F0B"/>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Reference">
    <w:name w:val="Reference"/>
    <w:basedOn w:val="Normal"/>
    <w:next w:val="Normal"/>
    <w:qFormat/>
    <w:rsid w:val="00A95A1A"/>
    <w:pPr>
      <w:tabs>
        <w:tab w:val="left" w:pos="1560"/>
      </w:tabs>
    </w:pPr>
    <w:rPr>
      <w:rFonts w:ascii="Arial" w:eastAsiaTheme="minorHAnsi" w:hAnsi="Arial" w:cstheme="minorBidi"/>
      <w:sz w:val="16"/>
      <w:szCs w:val="16"/>
    </w:rPr>
  </w:style>
  <w:style w:type="table" w:customStyle="1" w:styleId="LightShading-Accent13">
    <w:name w:val="Light Shading - Accent 13"/>
    <w:basedOn w:val="TableNormal"/>
    <w:uiPriority w:val="60"/>
    <w:rsid w:val="005212D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3A7CD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A7CD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9A427A"/>
    <w:rPr>
      <w:sz w:val="16"/>
      <w:szCs w:val="16"/>
    </w:rPr>
  </w:style>
  <w:style w:type="paragraph" w:styleId="CommentText">
    <w:name w:val="annotation text"/>
    <w:basedOn w:val="Normal"/>
    <w:link w:val="CommentTextChar"/>
    <w:uiPriority w:val="99"/>
    <w:semiHidden/>
    <w:unhideWhenUsed/>
    <w:rsid w:val="009A427A"/>
    <w:rPr>
      <w:sz w:val="20"/>
    </w:rPr>
  </w:style>
  <w:style w:type="character" w:customStyle="1" w:styleId="CommentTextChar">
    <w:name w:val="Comment Text Char"/>
    <w:basedOn w:val="DefaultParagraphFont"/>
    <w:link w:val="CommentText"/>
    <w:uiPriority w:val="99"/>
    <w:semiHidden/>
    <w:rsid w:val="009A427A"/>
    <w:rPr>
      <w:lang w:eastAsia="en-US"/>
    </w:rPr>
  </w:style>
  <w:style w:type="paragraph" w:styleId="CommentSubject">
    <w:name w:val="annotation subject"/>
    <w:basedOn w:val="CommentText"/>
    <w:next w:val="CommentText"/>
    <w:link w:val="CommentSubjectChar"/>
    <w:uiPriority w:val="99"/>
    <w:semiHidden/>
    <w:unhideWhenUsed/>
    <w:rsid w:val="009A427A"/>
    <w:rPr>
      <w:b/>
      <w:bCs/>
    </w:rPr>
  </w:style>
  <w:style w:type="character" w:customStyle="1" w:styleId="CommentSubjectChar">
    <w:name w:val="Comment Subject Char"/>
    <w:basedOn w:val="CommentTextChar"/>
    <w:link w:val="CommentSubject"/>
    <w:uiPriority w:val="99"/>
    <w:semiHidden/>
    <w:rsid w:val="009A427A"/>
    <w:rPr>
      <w:b/>
      <w:bCs/>
      <w:lang w:eastAsia="en-US"/>
    </w:rPr>
  </w:style>
  <w:style w:type="paragraph" w:styleId="Revision">
    <w:name w:val="Revision"/>
    <w:hidden/>
    <w:uiPriority w:val="99"/>
    <w:semiHidden/>
    <w:rsid w:val="009A427A"/>
    <w:rPr>
      <w:sz w:val="24"/>
      <w:lang w:eastAsia="en-US"/>
    </w:rPr>
  </w:style>
  <w:style w:type="paragraph" w:customStyle="1" w:styleId="Default">
    <w:name w:val="Default"/>
    <w:rsid w:val="00687989"/>
    <w:pPr>
      <w:autoSpaceDE w:val="0"/>
      <w:autoSpaceDN w:val="0"/>
      <w:adjustRightInd w:val="0"/>
    </w:pPr>
    <w:rPr>
      <w:rFonts w:ascii="Arial" w:hAnsi="Arial" w:cs="Arial"/>
      <w:color w:val="000000"/>
      <w:sz w:val="24"/>
      <w:szCs w:val="24"/>
    </w:rPr>
  </w:style>
  <w:style w:type="table" w:customStyle="1" w:styleId="LightShading-Accent14">
    <w:name w:val="Light Shading - Accent 14"/>
    <w:basedOn w:val="TableNormal"/>
    <w:uiPriority w:val="60"/>
    <w:rsid w:val="00B610F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6941C2"/>
    <w:rPr>
      <w:color w:val="808080"/>
    </w:rPr>
  </w:style>
  <w:style w:type="character" w:styleId="Strong">
    <w:name w:val="Strong"/>
    <w:basedOn w:val="DefaultParagraphFont"/>
    <w:uiPriority w:val="22"/>
    <w:qFormat/>
    <w:rsid w:val="00D65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513">
      <w:bodyDiv w:val="1"/>
      <w:marLeft w:val="0"/>
      <w:marRight w:val="0"/>
      <w:marTop w:val="0"/>
      <w:marBottom w:val="0"/>
      <w:divBdr>
        <w:top w:val="none" w:sz="0" w:space="0" w:color="auto"/>
        <w:left w:val="none" w:sz="0" w:space="0" w:color="auto"/>
        <w:bottom w:val="none" w:sz="0" w:space="0" w:color="auto"/>
        <w:right w:val="none" w:sz="0" w:space="0" w:color="auto"/>
      </w:divBdr>
    </w:div>
    <w:div w:id="13191910">
      <w:bodyDiv w:val="1"/>
      <w:marLeft w:val="0"/>
      <w:marRight w:val="0"/>
      <w:marTop w:val="0"/>
      <w:marBottom w:val="0"/>
      <w:divBdr>
        <w:top w:val="none" w:sz="0" w:space="0" w:color="auto"/>
        <w:left w:val="none" w:sz="0" w:space="0" w:color="auto"/>
        <w:bottom w:val="none" w:sz="0" w:space="0" w:color="auto"/>
        <w:right w:val="none" w:sz="0" w:space="0" w:color="auto"/>
      </w:divBdr>
    </w:div>
    <w:div w:id="35349861">
      <w:bodyDiv w:val="1"/>
      <w:marLeft w:val="0"/>
      <w:marRight w:val="0"/>
      <w:marTop w:val="0"/>
      <w:marBottom w:val="0"/>
      <w:divBdr>
        <w:top w:val="none" w:sz="0" w:space="0" w:color="auto"/>
        <w:left w:val="none" w:sz="0" w:space="0" w:color="auto"/>
        <w:bottom w:val="none" w:sz="0" w:space="0" w:color="auto"/>
        <w:right w:val="none" w:sz="0" w:space="0" w:color="auto"/>
      </w:divBdr>
    </w:div>
    <w:div w:id="92555208">
      <w:bodyDiv w:val="1"/>
      <w:marLeft w:val="0"/>
      <w:marRight w:val="0"/>
      <w:marTop w:val="0"/>
      <w:marBottom w:val="0"/>
      <w:divBdr>
        <w:top w:val="none" w:sz="0" w:space="0" w:color="auto"/>
        <w:left w:val="none" w:sz="0" w:space="0" w:color="auto"/>
        <w:bottom w:val="none" w:sz="0" w:space="0" w:color="auto"/>
        <w:right w:val="none" w:sz="0" w:space="0" w:color="auto"/>
      </w:divBdr>
    </w:div>
    <w:div w:id="135100931">
      <w:bodyDiv w:val="1"/>
      <w:marLeft w:val="0"/>
      <w:marRight w:val="0"/>
      <w:marTop w:val="0"/>
      <w:marBottom w:val="0"/>
      <w:divBdr>
        <w:top w:val="none" w:sz="0" w:space="0" w:color="auto"/>
        <w:left w:val="none" w:sz="0" w:space="0" w:color="auto"/>
        <w:bottom w:val="none" w:sz="0" w:space="0" w:color="auto"/>
        <w:right w:val="none" w:sz="0" w:space="0" w:color="auto"/>
      </w:divBdr>
    </w:div>
    <w:div w:id="181213083">
      <w:bodyDiv w:val="1"/>
      <w:marLeft w:val="0"/>
      <w:marRight w:val="0"/>
      <w:marTop w:val="0"/>
      <w:marBottom w:val="0"/>
      <w:divBdr>
        <w:top w:val="none" w:sz="0" w:space="0" w:color="auto"/>
        <w:left w:val="none" w:sz="0" w:space="0" w:color="auto"/>
        <w:bottom w:val="none" w:sz="0" w:space="0" w:color="auto"/>
        <w:right w:val="none" w:sz="0" w:space="0" w:color="auto"/>
      </w:divBdr>
    </w:div>
    <w:div w:id="224416882">
      <w:bodyDiv w:val="1"/>
      <w:marLeft w:val="0"/>
      <w:marRight w:val="0"/>
      <w:marTop w:val="0"/>
      <w:marBottom w:val="0"/>
      <w:divBdr>
        <w:top w:val="none" w:sz="0" w:space="0" w:color="auto"/>
        <w:left w:val="none" w:sz="0" w:space="0" w:color="auto"/>
        <w:bottom w:val="none" w:sz="0" w:space="0" w:color="auto"/>
        <w:right w:val="none" w:sz="0" w:space="0" w:color="auto"/>
      </w:divBdr>
    </w:div>
    <w:div w:id="296379011">
      <w:bodyDiv w:val="1"/>
      <w:marLeft w:val="0"/>
      <w:marRight w:val="0"/>
      <w:marTop w:val="0"/>
      <w:marBottom w:val="0"/>
      <w:divBdr>
        <w:top w:val="none" w:sz="0" w:space="0" w:color="auto"/>
        <w:left w:val="none" w:sz="0" w:space="0" w:color="auto"/>
        <w:bottom w:val="none" w:sz="0" w:space="0" w:color="auto"/>
        <w:right w:val="none" w:sz="0" w:space="0" w:color="auto"/>
      </w:divBdr>
    </w:div>
    <w:div w:id="309287072">
      <w:bodyDiv w:val="1"/>
      <w:marLeft w:val="0"/>
      <w:marRight w:val="0"/>
      <w:marTop w:val="0"/>
      <w:marBottom w:val="0"/>
      <w:divBdr>
        <w:top w:val="none" w:sz="0" w:space="0" w:color="auto"/>
        <w:left w:val="none" w:sz="0" w:space="0" w:color="auto"/>
        <w:bottom w:val="none" w:sz="0" w:space="0" w:color="auto"/>
        <w:right w:val="none" w:sz="0" w:space="0" w:color="auto"/>
      </w:divBdr>
    </w:div>
    <w:div w:id="322395270">
      <w:bodyDiv w:val="1"/>
      <w:marLeft w:val="0"/>
      <w:marRight w:val="0"/>
      <w:marTop w:val="0"/>
      <w:marBottom w:val="0"/>
      <w:divBdr>
        <w:top w:val="none" w:sz="0" w:space="0" w:color="auto"/>
        <w:left w:val="none" w:sz="0" w:space="0" w:color="auto"/>
        <w:bottom w:val="none" w:sz="0" w:space="0" w:color="auto"/>
        <w:right w:val="none" w:sz="0" w:space="0" w:color="auto"/>
      </w:divBdr>
    </w:div>
    <w:div w:id="326325797">
      <w:bodyDiv w:val="1"/>
      <w:marLeft w:val="0"/>
      <w:marRight w:val="0"/>
      <w:marTop w:val="0"/>
      <w:marBottom w:val="0"/>
      <w:divBdr>
        <w:top w:val="none" w:sz="0" w:space="0" w:color="auto"/>
        <w:left w:val="none" w:sz="0" w:space="0" w:color="auto"/>
        <w:bottom w:val="none" w:sz="0" w:space="0" w:color="auto"/>
        <w:right w:val="none" w:sz="0" w:space="0" w:color="auto"/>
      </w:divBdr>
    </w:div>
    <w:div w:id="358623133">
      <w:bodyDiv w:val="1"/>
      <w:marLeft w:val="0"/>
      <w:marRight w:val="0"/>
      <w:marTop w:val="0"/>
      <w:marBottom w:val="0"/>
      <w:divBdr>
        <w:top w:val="none" w:sz="0" w:space="0" w:color="auto"/>
        <w:left w:val="none" w:sz="0" w:space="0" w:color="auto"/>
        <w:bottom w:val="none" w:sz="0" w:space="0" w:color="auto"/>
        <w:right w:val="none" w:sz="0" w:space="0" w:color="auto"/>
      </w:divBdr>
    </w:div>
    <w:div w:id="363143536">
      <w:bodyDiv w:val="1"/>
      <w:marLeft w:val="0"/>
      <w:marRight w:val="0"/>
      <w:marTop w:val="0"/>
      <w:marBottom w:val="0"/>
      <w:divBdr>
        <w:top w:val="none" w:sz="0" w:space="0" w:color="auto"/>
        <w:left w:val="none" w:sz="0" w:space="0" w:color="auto"/>
        <w:bottom w:val="none" w:sz="0" w:space="0" w:color="auto"/>
        <w:right w:val="none" w:sz="0" w:space="0" w:color="auto"/>
      </w:divBdr>
    </w:div>
    <w:div w:id="382021458">
      <w:bodyDiv w:val="1"/>
      <w:marLeft w:val="0"/>
      <w:marRight w:val="0"/>
      <w:marTop w:val="0"/>
      <w:marBottom w:val="0"/>
      <w:divBdr>
        <w:top w:val="none" w:sz="0" w:space="0" w:color="auto"/>
        <w:left w:val="none" w:sz="0" w:space="0" w:color="auto"/>
        <w:bottom w:val="none" w:sz="0" w:space="0" w:color="auto"/>
        <w:right w:val="none" w:sz="0" w:space="0" w:color="auto"/>
      </w:divBdr>
    </w:div>
    <w:div w:id="413556286">
      <w:bodyDiv w:val="1"/>
      <w:marLeft w:val="0"/>
      <w:marRight w:val="0"/>
      <w:marTop w:val="0"/>
      <w:marBottom w:val="0"/>
      <w:divBdr>
        <w:top w:val="none" w:sz="0" w:space="0" w:color="auto"/>
        <w:left w:val="none" w:sz="0" w:space="0" w:color="auto"/>
        <w:bottom w:val="none" w:sz="0" w:space="0" w:color="auto"/>
        <w:right w:val="none" w:sz="0" w:space="0" w:color="auto"/>
      </w:divBdr>
    </w:div>
    <w:div w:id="433133279">
      <w:bodyDiv w:val="1"/>
      <w:marLeft w:val="0"/>
      <w:marRight w:val="0"/>
      <w:marTop w:val="0"/>
      <w:marBottom w:val="0"/>
      <w:divBdr>
        <w:top w:val="none" w:sz="0" w:space="0" w:color="auto"/>
        <w:left w:val="none" w:sz="0" w:space="0" w:color="auto"/>
        <w:bottom w:val="none" w:sz="0" w:space="0" w:color="auto"/>
        <w:right w:val="none" w:sz="0" w:space="0" w:color="auto"/>
      </w:divBdr>
    </w:div>
    <w:div w:id="450051124">
      <w:bodyDiv w:val="1"/>
      <w:marLeft w:val="0"/>
      <w:marRight w:val="0"/>
      <w:marTop w:val="0"/>
      <w:marBottom w:val="0"/>
      <w:divBdr>
        <w:top w:val="none" w:sz="0" w:space="0" w:color="auto"/>
        <w:left w:val="none" w:sz="0" w:space="0" w:color="auto"/>
        <w:bottom w:val="none" w:sz="0" w:space="0" w:color="auto"/>
        <w:right w:val="none" w:sz="0" w:space="0" w:color="auto"/>
      </w:divBdr>
    </w:div>
    <w:div w:id="465128609">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571085531">
      <w:bodyDiv w:val="1"/>
      <w:marLeft w:val="0"/>
      <w:marRight w:val="0"/>
      <w:marTop w:val="0"/>
      <w:marBottom w:val="0"/>
      <w:divBdr>
        <w:top w:val="none" w:sz="0" w:space="0" w:color="auto"/>
        <w:left w:val="none" w:sz="0" w:space="0" w:color="auto"/>
        <w:bottom w:val="none" w:sz="0" w:space="0" w:color="auto"/>
        <w:right w:val="none" w:sz="0" w:space="0" w:color="auto"/>
      </w:divBdr>
    </w:div>
    <w:div w:id="578056935">
      <w:bodyDiv w:val="1"/>
      <w:marLeft w:val="0"/>
      <w:marRight w:val="0"/>
      <w:marTop w:val="0"/>
      <w:marBottom w:val="0"/>
      <w:divBdr>
        <w:top w:val="none" w:sz="0" w:space="0" w:color="auto"/>
        <w:left w:val="none" w:sz="0" w:space="0" w:color="auto"/>
        <w:bottom w:val="none" w:sz="0" w:space="0" w:color="auto"/>
        <w:right w:val="none" w:sz="0" w:space="0" w:color="auto"/>
      </w:divBdr>
    </w:div>
    <w:div w:id="598559421">
      <w:bodyDiv w:val="1"/>
      <w:marLeft w:val="0"/>
      <w:marRight w:val="0"/>
      <w:marTop w:val="0"/>
      <w:marBottom w:val="0"/>
      <w:divBdr>
        <w:top w:val="none" w:sz="0" w:space="0" w:color="auto"/>
        <w:left w:val="none" w:sz="0" w:space="0" w:color="auto"/>
        <w:bottom w:val="none" w:sz="0" w:space="0" w:color="auto"/>
        <w:right w:val="none" w:sz="0" w:space="0" w:color="auto"/>
      </w:divBdr>
    </w:div>
    <w:div w:id="634725563">
      <w:bodyDiv w:val="1"/>
      <w:marLeft w:val="0"/>
      <w:marRight w:val="0"/>
      <w:marTop w:val="0"/>
      <w:marBottom w:val="0"/>
      <w:divBdr>
        <w:top w:val="none" w:sz="0" w:space="0" w:color="auto"/>
        <w:left w:val="none" w:sz="0" w:space="0" w:color="auto"/>
        <w:bottom w:val="none" w:sz="0" w:space="0" w:color="auto"/>
        <w:right w:val="none" w:sz="0" w:space="0" w:color="auto"/>
      </w:divBdr>
    </w:div>
    <w:div w:id="655064923">
      <w:bodyDiv w:val="1"/>
      <w:marLeft w:val="0"/>
      <w:marRight w:val="0"/>
      <w:marTop w:val="0"/>
      <w:marBottom w:val="0"/>
      <w:divBdr>
        <w:top w:val="none" w:sz="0" w:space="0" w:color="auto"/>
        <w:left w:val="none" w:sz="0" w:space="0" w:color="auto"/>
        <w:bottom w:val="none" w:sz="0" w:space="0" w:color="auto"/>
        <w:right w:val="none" w:sz="0" w:space="0" w:color="auto"/>
      </w:divBdr>
    </w:div>
    <w:div w:id="657999809">
      <w:bodyDiv w:val="1"/>
      <w:marLeft w:val="0"/>
      <w:marRight w:val="0"/>
      <w:marTop w:val="0"/>
      <w:marBottom w:val="0"/>
      <w:divBdr>
        <w:top w:val="none" w:sz="0" w:space="0" w:color="auto"/>
        <w:left w:val="none" w:sz="0" w:space="0" w:color="auto"/>
        <w:bottom w:val="none" w:sz="0" w:space="0" w:color="auto"/>
        <w:right w:val="none" w:sz="0" w:space="0" w:color="auto"/>
      </w:divBdr>
    </w:div>
    <w:div w:id="665479185">
      <w:bodyDiv w:val="1"/>
      <w:marLeft w:val="0"/>
      <w:marRight w:val="0"/>
      <w:marTop w:val="0"/>
      <w:marBottom w:val="0"/>
      <w:divBdr>
        <w:top w:val="none" w:sz="0" w:space="0" w:color="auto"/>
        <w:left w:val="none" w:sz="0" w:space="0" w:color="auto"/>
        <w:bottom w:val="none" w:sz="0" w:space="0" w:color="auto"/>
        <w:right w:val="none" w:sz="0" w:space="0" w:color="auto"/>
      </w:divBdr>
    </w:div>
    <w:div w:id="744649160">
      <w:bodyDiv w:val="1"/>
      <w:marLeft w:val="0"/>
      <w:marRight w:val="0"/>
      <w:marTop w:val="0"/>
      <w:marBottom w:val="0"/>
      <w:divBdr>
        <w:top w:val="none" w:sz="0" w:space="0" w:color="auto"/>
        <w:left w:val="none" w:sz="0" w:space="0" w:color="auto"/>
        <w:bottom w:val="none" w:sz="0" w:space="0" w:color="auto"/>
        <w:right w:val="none" w:sz="0" w:space="0" w:color="auto"/>
      </w:divBdr>
    </w:div>
    <w:div w:id="845023370">
      <w:bodyDiv w:val="1"/>
      <w:marLeft w:val="0"/>
      <w:marRight w:val="0"/>
      <w:marTop w:val="0"/>
      <w:marBottom w:val="0"/>
      <w:divBdr>
        <w:top w:val="none" w:sz="0" w:space="0" w:color="auto"/>
        <w:left w:val="none" w:sz="0" w:space="0" w:color="auto"/>
        <w:bottom w:val="none" w:sz="0" w:space="0" w:color="auto"/>
        <w:right w:val="none" w:sz="0" w:space="0" w:color="auto"/>
      </w:divBdr>
    </w:div>
    <w:div w:id="854421444">
      <w:bodyDiv w:val="1"/>
      <w:marLeft w:val="0"/>
      <w:marRight w:val="0"/>
      <w:marTop w:val="0"/>
      <w:marBottom w:val="0"/>
      <w:divBdr>
        <w:top w:val="none" w:sz="0" w:space="0" w:color="auto"/>
        <w:left w:val="none" w:sz="0" w:space="0" w:color="auto"/>
        <w:bottom w:val="none" w:sz="0" w:space="0" w:color="auto"/>
        <w:right w:val="none" w:sz="0" w:space="0" w:color="auto"/>
      </w:divBdr>
    </w:div>
    <w:div w:id="896748843">
      <w:bodyDiv w:val="1"/>
      <w:marLeft w:val="0"/>
      <w:marRight w:val="0"/>
      <w:marTop w:val="0"/>
      <w:marBottom w:val="0"/>
      <w:divBdr>
        <w:top w:val="none" w:sz="0" w:space="0" w:color="auto"/>
        <w:left w:val="none" w:sz="0" w:space="0" w:color="auto"/>
        <w:bottom w:val="none" w:sz="0" w:space="0" w:color="auto"/>
        <w:right w:val="none" w:sz="0" w:space="0" w:color="auto"/>
      </w:divBdr>
    </w:div>
    <w:div w:id="929238988">
      <w:bodyDiv w:val="1"/>
      <w:marLeft w:val="0"/>
      <w:marRight w:val="0"/>
      <w:marTop w:val="0"/>
      <w:marBottom w:val="0"/>
      <w:divBdr>
        <w:top w:val="none" w:sz="0" w:space="0" w:color="auto"/>
        <w:left w:val="none" w:sz="0" w:space="0" w:color="auto"/>
        <w:bottom w:val="none" w:sz="0" w:space="0" w:color="auto"/>
        <w:right w:val="none" w:sz="0" w:space="0" w:color="auto"/>
      </w:divBdr>
    </w:div>
    <w:div w:id="995107509">
      <w:bodyDiv w:val="1"/>
      <w:marLeft w:val="0"/>
      <w:marRight w:val="0"/>
      <w:marTop w:val="0"/>
      <w:marBottom w:val="0"/>
      <w:divBdr>
        <w:top w:val="none" w:sz="0" w:space="0" w:color="auto"/>
        <w:left w:val="none" w:sz="0" w:space="0" w:color="auto"/>
        <w:bottom w:val="none" w:sz="0" w:space="0" w:color="auto"/>
        <w:right w:val="none" w:sz="0" w:space="0" w:color="auto"/>
      </w:divBdr>
    </w:div>
    <w:div w:id="1028606513">
      <w:bodyDiv w:val="1"/>
      <w:marLeft w:val="0"/>
      <w:marRight w:val="0"/>
      <w:marTop w:val="0"/>
      <w:marBottom w:val="0"/>
      <w:divBdr>
        <w:top w:val="none" w:sz="0" w:space="0" w:color="auto"/>
        <w:left w:val="none" w:sz="0" w:space="0" w:color="auto"/>
        <w:bottom w:val="none" w:sz="0" w:space="0" w:color="auto"/>
        <w:right w:val="none" w:sz="0" w:space="0" w:color="auto"/>
      </w:divBdr>
    </w:div>
    <w:div w:id="1052921135">
      <w:bodyDiv w:val="1"/>
      <w:marLeft w:val="0"/>
      <w:marRight w:val="0"/>
      <w:marTop w:val="0"/>
      <w:marBottom w:val="0"/>
      <w:divBdr>
        <w:top w:val="none" w:sz="0" w:space="0" w:color="auto"/>
        <w:left w:val="none" w:sz="0" w:space="0" w:color="auto"/>
        <w:bottom w:val="none" w:sz="0" w:space="0" w:color="auto"/>
        <w:right w:val="none" w:sz="0" w:space="0" w:color="auto"/>
      </w:divBdr>
    </w:div>
    <w:div w:id="1070467133">
      <w:bodyDiv w:val="1"/>
      <w:marLeft w:val="0"/>
      <w:marRight w:val="0"/>
      <w:marTop w:val="0"/>
      <w:marBottom w:val="0"/>
      <w:divBdr>
        <w:top w:val="none" w:sz="0" w:space="0" w:color="auto"/>
        <w:left w:val="none" w:sz="0" w:space="0" w:color="auto"/>
        <w:bottom w:val="none" w:sz="0" w:space="0" w:color="auto"/>
        <w:right w:val="none" w:sz="0" w:space="0" w:color="auto"/>
      </w:divBdr>
    </w:div>
    <w:div w:id="1165246411">
      <w:bodyDiv w:val="1"/>
      <w:marLeft w:val="0"/>
      <w:marRight w:val="0"/>
      <w:marTop w:val="0"/>
      <w:marBottom w:val="0"/>
      <w:divBdr>
        <w:top w:val="none" w:sz="0" w:space="0" w:color="auto"/>
        <w:left w:val="none" w:sz="0" w:space="0" w:color="auto"/>
        <w:bottom w:val="none" w:sz="0" w:space="0" w:color="auto"/>
        <w:right w:val="none" w:sz="0" w:space="0" w:color="auto"/>
      </w:divBdr>
    </w:div>
    <w:div w:id="1262103718">
      <w:bodyDiv w:val="1"/>
      <w:marLeft w:val="0"/>
      <w:marRight w:val="0"/>
      <w:marTop w:val="0"/>
      <w:marBottom w:val="0"/>
      <w:divBdr>
        <w:top w:val="none" w:sz="0" w:space="0" w:color="auto"/>
        <w:left w:val="none" w:sz="0" w:space="0" w:color="auto"/>
        <w:bottom w:val="none" w:sz="0" w:space="0" w:color="auto"/>
        <w:right w:val="none" w:sz="0" w:space="0" w:color="auto"/>
      </w:divBdr>
    </w:div>
    <w:div w:id="1315599588">
      <w:bodyDiv w:val="1"/>
      <w:marLeft w:val="0"/>
      <w:marRight w:val="0"/>
      <w:marTop w:val="0"/>
      <w:marBottom w:val="0"/>
      <w:divBdr>
        <w:top w:val="none" w:sz="0" w:space="0" w:color="auto"/>
        <w:left w:val="none" w:sz="0" w:space="0" w:color="auto"/>
        <w:bottom w:val="none" w:sz="0" w:space="0" w:color="auto"/>
        <w:right w:val="none" w:sz="0" w:space="0" w:color="auto"/>
      </w:divBdr>
    </w:div>
    <w:div w:id="1332683504">
      <w:bodyDiv w:val="1"/>
      <w:marLeft w:val="0"/>
      <w:marRight w:val="0"/>
      <w:marTop w:val="0"/>
      <w:marBottom w:val="0"/>
      <w:divBdr>
        <w:top w:val="none" w:sz="0" w:space="0" w:color="auto"/>
        <w:left w:val="none" w:sz="0" w:space="0" w:color="auto"/>
        <w:bottom w:val="none" w:sz="0" w:space="0" w:color="auto"/>
        <w:right w:val="none" w:sz="0" w:space="0" w:color="auto"/>
      </w:divBdr>
    </w:div>
    <w:div w:id="1333292433">
      <w:bodyDiv w:val="1"/>
      <w:marLeft w:val="0"/>
      <w:marRight w:val="0"/>
      <w:marTop w:val="0"/>
      <w:marBottom w:val="0"/>
      <w:divBdr>
        <w:top w:val="none" w:sz="0" w:space="0" w:color="auto"/>
        <w:left w:val="none" w:sz="0" w:space="0" w:color="auto"/>
        <w:bottom w:val="none" w:sz="0" w:space="0" w:color="auto"/>
        <w:right w:val="none" w:sz="0" w:space="0" w:color="auto"/>
      </w:divBdr>
    </w:div>
    <w:div w:id="1363171432">
      <w:bodyDiv w:val="1"/>
      <w:marLeft w:val="0"/>
      <w:marRight w:val="0"/>
      <w:marTop w:val="0"/>
      <w:marBottom w:val="0"/>
      <w:divBdr>
        <w:top w:val="none" w:sz="0" w:space="0" w:color="auto"/>
        <w:left w:val="none" w:sz="0" w:space="0" w:color="auto"/>
        <w:bottom w:val="none" w:sz="0" w:space="0" w:color="auto"/>
        <w:right w:val="none" w:sz="0" w:space="0" w:color="auto"/>
      </w:divBdr>
    </w:div>
    <w:div w:id="1367294758">
      <w:bodyDiv w:val="1"/>
      <w:marLeft w:val="0"/>
      <w:marRight w:val="0"/>
      <w:marTop w:val="0"/>
      <w:marBottom w:val="0"/>
      <w:divBdr>
        <w:top w:val="none" w:sz="0" w:space="0" w:color="auto"/>
        <w:left w:val="none" w:sz="0" w:space="0" w:color="auto"/>
        <w:bottom w:val="none" w:sz="0" w:space="0" w:color="auto"/>
        <w:right w:val="none" w:sz="0" w:space="0" w:color="auto"/>
      </w:divBdr>
    </w:div>
    <w:div w:id="1371688212">
      <w:bodyDiv w:val="1"/>
      <w:marLeft w:val="0"/>
      <w:marRight w:val="0"/>
      <w:marTop w:val="0"/>
      <w:marBottom w:val="0"/>
      <w:divBdr>
        <w:top w:val="none" w:sz="0" w:space="0" w:color="auto"/>
        <w:left w:val="none" w:sz="0" w:space="0" w:color="auto"/>
        <w:bottom w:val="none" w:sz="0" w:space="0" w:color="auto"/>
        <w:right w:val="none" w:sz="0" w:space="0" w:color="auto"/>
      </w:divBdr>
    </w:div>
    <w:div w:id="1378897672">
      <w:bodyDiv w:val="1"/>
      <w:marLeft w:val="0"/>
      <w:marRight w:val="0"/>
      <w:marTop w:val="0"/>
      <w:marBottom w:val="0"/>
      <w:divBdr>
        <w:top w:val="none" w:sz="0" w:space="0" w:color="auto"/>
        <w:left w:val="none" w:sz="0" w:space="0" w:color="auto"/>
        <w:bottom w:val="none" w:sz="0" w:space="0" w:color="auto"/>
        <w:right w:val="none" w:sz="0" w:space="0" w:color="auto"/>
      </w:divBdr>
    </w:div>
    <w:div w:id="1382942769">
      <w:bodyDiv w:val="1"/>
      <w:marLeft w:val="0"/>
      <w:marRight w:val="0"/>
      <w:marTop w:val="0"/>
      <w:marBottom w:val="0"/>
      <w:divBdr>
        <w:top w:val="none" w:sz="0" w:space="0" w:color="auto"/>
        <w:left w:val="none" w:sz="0" w:space="0" w:color="auto"/>
        <w:bottom w:val="none" w:sz="0" w:space="0" w:color="auto"/>
        <w:right w:val="none" w:sz="0" w:space="0" w:color="auto"/>
      </w:divBdr>
    </w:div>
    <w:div w:id="1415395702">
      <w:bodyDiv w:val="1"/>
      <w:marLeft w:val="0"/>
      <w:marRight w:val="0"/>
      <w:marTop w:val="0"/>
      <w:marBottom w:val="0"/>
      <w:divBdr>
        <w:top w:val="none" w:sz="0" w:space="0" w:color="auto"/>
        <w:left w:val="none" w:sz="0" w:space="0" w:color="auto"/>
        <w:bottom w:val="none" w:sz="0" w:space="0" w:color="auto"/>
        <w:right w:val="none" w:sz="0" w:space="0" w:color="auto"/>
      </w:divBdr>
    </w:div>
    <w:div w:id="1436897590">
      <w:bodyDiv w:val="1"/>
      <w:marLeft w:val="0"/>
      <w:marRight w:val="0"/>
      <w:marTop w:val="0"/>
      <w:marBottom w:val="0"/>
      <w:divBdr>
        <w:top w:val="none" w:sz="0" w:space="0" w:color="auto"/>
        <w:left w:val="none" w:sz="0" w:space="0" w:color="auto"/>
        <w:bottom w:val="none" w:sz="0" w:space="0" w:color="auto"/>
        <w:right w:val="none" w:sz="0" w:space="0" w:color="auto"/>
      </w:divBdr>
    </w:div>
    <w:div w:id="1467312875">
      <w:bodyDiv w:val="1"/>
      <w:marLeft w:val="0"/>
      <w:marRight w:val="0"/>
      <w:marTop w:val="0"/>
      <w:marBottom w:val="0"/>
      <w:divBdr>
        <w:top w:val="none" w:sz="0" w:space="0" w:color="auto"/>
        <w:left w:val="none" w:sz="0" w:space="0" w:color="auto"/>
        <w:bottom w:val="none" w:sz="0" w:space="0" w:color="auto"/>
        <w:right w:val="none" w:sz="0" w:space="0" w:color="auto"/>
      </w:divBdr>
    </w:div>
    <w:div w:id="1470784329">
      <w:bodyDiv w:val="1"/>
      <w:marLeft w:val="0"/>
      <w:marRight w:val="0"/>
      <w:marTop w:val="0"/>
      <w:marBottom w:val="0"/>
      <w:divBdr>
        <w:top w:val="none" w:sz="0" w:space="0" w:color="auto"/>
        <w:left w:val="none" w:sz="0" w:space="0" w:color="auto"/>
        <w:bottom w:val="none" w:sz="0" w:space="0" w:color="auto"/>
        <w:right w:val="none" w:sz="0" w:space="0" w:color="auto"/>
      </w:divBdr>
    </w:div>
    <w:div w:id="1519739075">
      <w:bodyDiv w:val="1"/>
      <w:marLeft w:val="0"/>
      <w:marRight w:val="0"/>
      <w:marTop w:val="0"/>
      <w:marBottom w:val="0"/>
      <w:divBdr>
        <w:top w:val="none" w:sz="0" w:space="0" w:color="auto"/>
        <w:left w:val="none" w:sz="0" w:space="0" w:color="auto"/>
        <w:bottom w:val="none" w:sz="0" w:space="0" w:color="auto"/>
        <w:right w:val="none" w:sz="0" w:space="0" w:color="auto"/>
      </w:divBdr>
    </w:div>
    <w:div w:id="1532183781">
      <w:bodyDiv w:val="1"/>
      <w:marLeft w:val="0"/>
      <w:marRight w:val="0"/>
      <w:marTop w:val="0"/>
      <w:marBottom w:val="0"/>
      <w:divBdr>
        <w:top w:val="none" w:sz="0" w:space="0" w:color="auto"/>
        <w:left w:val="none" w:sz="0" w:space="0" w:color="auto"/>
        <w:bottom w:val="none" w:sz="0" w:space="0" w:color="auto"/>
        <w:right w:val="none" w:sz="0" w:space="0" w:color="auto"/>
      </w:divBdr>
    </w:div>
    <w:div w:id="1534414884">
      <w:bodyDiv w:val="1"/>
      <w:marLeft w:val="0"/>
      <w:marRight w:val="0"/>
      <w:marTop w:val="0"/>
      <w:marBottom w:val="0"/>
      <w:divBdr>
        <w:top w:val="none" w:sz="0" w:space="0" w:color="auto"/>
        <w:left w:val="none" w:sz="0" w:space="0" w:color="auto"/>
        <w:bottom w:val="none" w:sz="0" w:space="0" w:color="auto"/>
        <w:right w:val="none" w:sz="0" w:space="0" w:color="auto"/>
      </w:divBdr>
    </w:div>
    <w:div w:id="1555852342">
      <w:bodyDiv w:val="1"/>
      <w:marLeft w:val="0"/>
      <w:marRight w:val="0"/>
      <w:marTop w:val="0"/>
      <w:marBottom w:val="0"/>
      <w:divBdr>
        <w:top w:val="none" w:sz="0" w:space="0" w:color="auto"/>
        <w:left w:val="none" w:sz="0" w:space="0" w:color="auto"/>
        <w:bottom w:val="none" w:sz="0" w:space="0" w:color="auto"/>
        <w:right w:val="none" w:sz="0" w:space="0" w:color="auto"/>
      </w:divBdr>
    </w:div>
    <w:div w:id="1561091422">
      <w:bodyDiv w:val="1"/>
      <w:marLeft w:val="0"/>
      <w:marRight w:val="0"/>
      <w:marTop w:val="0"/>
      <w:marBottom w:val="0"/>
      <w:divBdr>
        <w:top w:val="none" w:sz="0" w:space="0" w:color="auto"/>
        <w:left w:val="none" w:sz="0" w:space="0" w:color="auto"/>
        <w:bottom w:val="none" w:sz="0" w:space="0" w:color="auto"/>
        <w:right w:val="none" w:sz="0" w:space="0" w:color="auto"/>
      </w:divBdr>
    </w:div>
    <w:div w:id="1598707751">
      <w:bodyDiv w:val="1"/>
      <w:marLeft w:val="0"/>
      <w:marRight w:val="0"/>
      <w:marTop w:val="0"/>
      <w:marBottom w:val="0"/>
      <w:divBdr>
        <w:top w:val="none" w:sz="0" w:space="0" w:color="auto"/>
        <w:left w:val="none" w:sz="0" w:space="0" w:color="auto"/>
        <w:bottom w:val="none" w:sz="0" w:space="0" w:color="auto"/>
        <w:right w:val="none" w:sz="0" w:space="0" w:color="auto"/>
      </w:divBdr>
    </w:div>
    <w:div w:id="1750619697">
      <w:bodyDiv w:val="1"/>
      <w:marLeft w:val="0"/>
      <w:marRight w:val="0"/>
      <w:marTop w:val="0"/>
      <w:marBottom w:val="0"/>
      <w:divBdr>
        <w:top w:val="none" w:sz="0" w:space="0" w:color="auto"/>
        <w:left w:val="none" w:sz="0" w:space="0" w:color="auto"/>
        <w:bottom w:val="none" w:sz="0" w:space="0" w:color="auto"/>
        <w:right w:val="none" w:sz="0" w:space="0" w:color="auto"/>
      </w:divBdr>
    </w:div>
    <w:div w:id="1770349980">
      <w:bodyDiv w:val="1"/>
      <w:marLeft w:val="0"/>
      <w:marRight w:val="0"/>
      <w:marTop w:val="0"/>
      <w:marBottom w:val="0"/>
      <w:divBdr>
        <w:top w:val="none" w:sz="0" w:space="0" w:color="auto"/>
        <w:left w:val="none" w:sz="0" w:space="0" w:color="auto"/>
        <w:bottom w:val="none" w:sz="0" w:space="0" w:color="auto"/>
        <w:right w:val="none" w:sz="0" w:space="0" w:color="auto"/>
      </w:divBdr>
    </w:div>
    <w:div w:id="1791044286">
      <w:bodyDiv w:val="1"/>
      <w:marLeft w:val="0"/>
      <w:marRight w:val="0"/>
      <w:marTop w:val="0"/>
      <w:marBottom w:val="0"/>
      <w:divBdr>
        <w:top w:val="none" w:sz="0" w:space="0" w:color="auto"/>
        <w:left w:val="none" w:sz="0" w:space="0" w:color="auto"/>
        <w:bottom w:val="none" w:sz="0" w:space="0" w:color="auto"/>
        <w:right w:val="none" w:sz="0" w:space="0" w:color="auto"/>
      </w:divBdr>
    </w:div>
    <w:div w:id="1799301148">
      <w:bodyDiv w:val="1"/>
      <w:marLeft w:val="0"/>
      <w:marRight w:val="0"/>
      <w:marTop w:val="0"/>
      <w:marBottom w:val="0"/>
      <w:divBdr>
        <w:top w:val="none" w:sz="0" w:space="0" w:color="auto"/>
        <w:left w:val="none" w:sz="0" w:space="0" w:color="auto"/>
        <w:bottom w:val="none" w:sz="0" w:space="0" w:color="auto"/>
        <w:right w:val="none" w:sz="0" w:space="0" w:color="auto"/>
      </w:divBdr>
    </w:div>
    <w:div w:id="1862473271">
      <w:bodyDiv w:val="1"/>
      <w:marLeft w:val="0"/>
      <w:marRight w:val="0"/>
      <w:marTop w:val="0"/>
      <w:marBottom w:val="0"/>
      <w:divBdr>
        <w:top w:val="none" w:sz="0" w:space="0" w:color="auto"/>
        <w:left w:val="none" w:sz="0" w:space="0" w:color="auto"/>
        <w:bottom w:val="none" w:sz="0" w:space="0" w:color="auto"/>
        <w:right w:val="none" w:sz="0" w:space="0" w:color="auto"/>
      </w:divBdr>
    </w:div>
    <w:div w:id="1866745413">
      <w:bodyDiv w:val="1"/>
      <w:marLeft w:val="0"/>
      <w:marRight w:val="0"/>
      <w:marTop w:val="0"/>
      <w:marBottom w:val="0"/>
      <w:divBdr>
        <w:top w:val="none" w:sz="0" w:space="0" w:color="auto"/>
        <w:left w:val="none" w:sz="0" w:space="0" w:color="auto"/>
        <w:bottom w:val="none" w:sz="0" w:space="0" w:color="auto"/>
        <w:right w:val="none" w:sz="0" w:space="0" w:color="auto"/>
      </w:divBdr>
    </w:div>
    <w:div w:id="1927300505">
      <w:bodyDiv w:val="1"/>
      <w:marLeft w:val="0"/>
      <w:marRight w:val="0"/>
      <w:marTop w:val="0"/>
      <w:marBottom w:val="0"/>
      <w:divBdr>
        <w:top w:val="none" w:sz="0" w:space="0" w:color="auto"/>
        <w:left w:val="none" w:sz="0" w:space="0" w:color="auto"/>
        <w:bottom w:val="none" w:sz="0" w:space="0" w:color="auto"/>
        <w:right w:val="none" w:sz="0" w:space="0" w:color="auto"/>
      </w:divBdr>
    </w:div>
    <w:div w:id="1940405744">
      <w:bodyDiv w:val="1"/>
      <w:marLeft w:val="0"/>
      <w:marRight w:val="0"/>
      <w:marTop w:val="0"/>
      <w:marBottom w:val="0"/>
      <w:divBdr>
        <w:top w:val="none" w:sz="0" w:space="0" w:color="auto"/>
        <w:left w:val="none" w:sz="0" w:space="0" w:color="auto"/>
        <w:bottom w:val="none" w:sz="0" w:space="0" w:color="auto"/>
        <w:right w:val="none" w:sz="0" w:space="0" w:color="auto"/>
      </w:divBdr>
    </w:div>
    <w:div w:id="1968468067">
      <w:bodyDiv w:val="1"/>
      <w:marLeft w:val="0"/>
      <w:marRight w:val="0"/>
      <w:marTop w:val="0"/>
      <w:marBottom w:val="0"/>
      <w:divBdr>
        <w:top w:val="none" w:sz="0" w:space="0" w:color="auto"/>
        <w:left w:val="none" w:sz="0" w:space="0" w:color="auto"/>
        <w:bottom w:val="none" w:sz="0" w:space="0" w:color="auto"/>
        <w:right w:val="none" w:sz="0" w:space="0" w:color="auto"/>
      </w:divBdr>
    </w:div>
    <w:div w:id="1987317624">
      <w:bodyDiv w:val="1"/>
      <w:marLeft w:val="0"/>
      <w:marRight w:val="0"/>
      <w:marTop w:val="0"/>
      <w:marBottom w:val="0"/>
      <w:divBdr>
        <w:top w:val="none" w:sz="0" w:space="0" w:color="auto"/>
        <w:left w:val="none" w:sz="0" w:space="0" w:color="auto"/>
        <w:bottom w:val="none" w:sz="0" w:space="0" w:color="auto"/>
        <w:right w:val="none" w:sz="0" w:space="0" w:color="auto"/>
      </w:divBdr>
    </w:div>
    <w:div w:id="2039620250">
      <w:bodyDiv w:val="1"/>
      <w:marLeft w:val="0"/>
      <w:marRight w:val="0"/>
      <w:marTop w:val="0"/>
      <w:marBottom w:val="0"/>
      <w:divBdr>
        <w:top w:val="none" w:sz="0" w:space="0" w:color="auto"/>
        <w:left w:val="none" w:sz="0" w:space="0" w:color="auto"/>
        <w:bottom w:val="none" w:sz="0" w:space="0" w:color="auto"/>
        <w:right w:val="none" w:sz="0" w:space="0" w:color="auto"/>
      </w:divBdr>
    </w:div>
    <w:div w:id="2065134785">
      <w:bodyDiv w:val="1"/>
      <w:marLeft w:val="0"/>
      <w:marRight w:val="0"/>
      <w:marTop w:val="0"/>
      <w:marBottom w:val="0"/>
      <w:divBdr>
        <w:top w:val="none" w:sz="0" w:space="0" w:color="auto"/>
        <w:left w:val="none" w:sz="0" w:space="0" w:color="auto"/>
        <w:bottom w:val="none" w:sz="0" w:space="0" w:color="auto"/>
        <w:right w:val="none" w:sz="0" w:space="0" w:color="auto"/>
      </w:divBdr>
    </w:div>
    <w:div w:id="2078698493">
      <w:bodyDiv w:val="1"/>
      <w:marLeft w:val="0"/>
      <w:marRight w:val="0"/>
      <w:marTop w:val="0"/>
      <w:marBottom w:val="0"/>
      <w:divBdr>
        <w:top w:val="none" w:sz="0" w:space="0" w:color="auto"/>
        <w:left w:val="none" w:sz="0" w:space="0" w:color="auto"/>
        <w:bottom w:val="none" w:sz="0" w:space="0" w:color="auto"/>
        <w:right w:val="none" w:sz="0" w:space="0" w:color="auto"/>
      </w:divBdr>
    </w:div>
    <w:div w:id="21127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4F891-423B-4E95-9E45-5A9511FE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1308</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 Dept of Training and Employment</Company>
  <LinksUpToDate>false</LinksUpToDate>
  <CharactersWithSpaces>8433</CharactersWithSpaces>
  <SharedDoc>false</SharedDoc>
  <HLinks>
    <vt:vector size="12" baseType="variant">
      <vt:variant>
        <vt:i4>6422620</vt:i4>
      </vt:variant>
      <vt:variant>
        <vt:i4>0</vt:i4>
      </vt:variant>
      <vt:variant>
        <vt:i4>0</vt:i4>
      </vt:variant>
      <vt:variant>
        <vt:i4>5</vt:i4>
      </vt:variant>
      <vt:variant>
        <vt:lpwstr>mailto:xxx@xxxxx.xx.xxx.xx</vt:lpwstr>
      </vt:variant>
      <vt:variant>
        <vt:lpwstr/>
      </vt:variant>
      <vt:variant>
        <vt:i4>4653126</vt:i4>
      </vt:variant>
      <vt:variant>
        <vt:i4>-1</vt:i4>
      </vt:variant>
      <vt:variant>
        <vt:i4>1041</vt:i4>
      </vt:variant>
      <vt:variant>
        <vt:i4>1</vt:i4>
      </vt:variant>
      <vt:variant>
        <vt:lpwstr>::IBM PC LOGOS:MLogoGlobe.tif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spsailasavona</dc:creator>
  <cp:lastModifiedBy>Arnold, Gavin</cp:lastModifiedBy>
  <cp:revision>3</cp:revision>
  <cp:lastPrinted>2014-06-05T02:55:00Z</cp:lastPrinted>
  <dcterms:created xsi:type="dcterms:W3CDTF">2014-05-05T08:14:00Z</dcterms:created>
  <dcterms:modified xsi:type="dcterms:W3CDTF">2014-06-05T02:57:00Z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1248123284</vt:i4>
  </property>
  <property fmtid="{D5CDD505-2E9C-101B-9397-08002B2CF9AE}" pid="3" name="_AdHocReviewCycleID">
    <vt:i4>2053610627</vt:i4>
  </property>
  <property fmtid="{D5CDD505-2E9C-101B-9397-08002B2CF9AE}" pid="4" name="_NewReviewCycle">
    <vt:lpwstr/>
  </property>
  <property fmtid="{D5CDD505-2E9C-101B-9397-08002B2CF9AE}" pid="5" name="_EmailSubject">
    <vt:lpwstr>Word versions - Quarterly Website Reports</vt:lpwstr>
  </property>
  <property fmtid="{D5CDD505-2E9C-101B-9397-08002B2CF9AE}" pid="6" name="_AuthorEmail">
    <vt:lpwstr>Alan.Lee@psc.wa.gov.au</vt:lpwstr>
  </property>
  <property fmtid="{D5CDD505-2E9C-101B-9397-08002B2CF9AE}" pid="7" name="_AuthorEmailDisplayName">
    <vt:lpwstr>Lee, Alan</vt:lpwstr>
  </property>
  <property fmtid="{D5CDD505-2E9C-101B-9397-08002B2CF9AE}" pid="8" name="_ReviewingToolsShownOnce">
    <vt:lpwstr/>
  </property>
</Properties>
</file>