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70"/>
        <w:rPr>
          <w:rFonts w:ascii="Times New Roman"/>
          <w:sz w:val="20"/>
        </w:rPr>
      </w:pPr>
      <w:r>
        <w:rPr>
          <w:rFonts w:ascii="Times New Roman"/>
          <w:sz w:val="20"/>
        </w:rPr>
        <w:drawing>
          <wp:inline distT="0" distB="0" distL="0" distR="0">
            <wp:extent cx="2811374" cy="685800"/>
            <wp:effectExtent l="0" t="0" r="0" b="0"/>
            <wp:docPr id="1" name="image1.jpeg" descr="http://periscope/PublishingImages/PSC_Commonbadge_Black_Email.jp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811374" cy="685800"/>
                    </a:xfrm>
                    <a:prstGeom prst="rect">
                      <a:avLst/>
                    </a:prstGeom>
                  </pic:spPr>
                </pic:pic>
              </a:graphicData>
            </a:graphic>
          </wp:inline>
        </w:drawing>
      </w:r>
      <w:r>
        <w:rPr>
          <w:rFonts w:ascii="Times New Roman"/>
          <w:sz w:val="20"/>
        </w:rPr>
      </w:r>
    </w:p>
    <w:p>
      <w:pPr>
        <w:pStyle w:val="BodyText"/>
        <w:ind w:left="0"/>
        <w:rPr>
          <w:rFonts w:ascii="Times New Roman"/>
          <w:sz w:val="29"/>
        </w:rPr>
      </w:pPr>
    </w:p>
    <w:p>
      <w:pPr>
        <w:spacing w:before="89"/>
        <w:ind w:left="1164" w:right="0" w:firstLine="0"/>
        <w:jc w:val="left"/>
        <w:rPr>
          <w:rFonts w:ascii="Times New Roman"/>
          <w:b/>
          <w:sz w:val="28"/>
        </w:rPr>
      </w:pPr>
      <w:r>
        <w:rPr>
          <w:rFonts w:ascii="Times New Roman"/>
          <w:b/>
          <w:sz w:val="28"/>
        </w:rPr>
        <w:t>Western Australian Public Sector Workforce Report (June 2009)</w:t>
      </w:r>
    </w:p>
    <w:p>
      <w:pPr>
        <w:pStyle w:val="BodyText"/>
        <w:spacing w:before="114"/>
        <w:ind w:right="425"/>
        <w:jc w:val="both"/>
      </w:pPr>
      <w:r>
        <w:rPr/>
        <w:t>In 2007/08, the Department of the Premier and Cabinet (DPC) introduced a new information system to improve workforce reporting on the Western Australian public sector. This process is referred to as the Human Resource Minimum Obligatory Information Requirements (HR MOIR). The Public Sector Commission (PSC) was created in November 2008 and is continuing this</w:t>
      </w:r>
      <w:r>
        <w:rPr>
          <w:spacing w:val="-16"/>
        </w:rPr>
        <w:t> </w:t>
      </w:r>
      <w:r>
        <w:rPr/>
        <w:t>process.</w:t>
      </w:r>
    </w:p>
    <w:p>
      <w:pPr>
        <w:pStyle w:val="BodyText"/>
        <w:spacing w:before="121"/>
        <w:jc w:val="both"/>
      </w:pPr>
      <w:r>
        <w:rPr/>
        <w:t>This report provides information, as at 30 June 2009, on:</w:t>
      </w:r>
    </w:p>
    <w:p>
      <w:pPr>
        <w:pStyle w:val="ListParagraph"/>
        <w:numPr>
          <w:ilvl w:val="0"/>
          <w:numId w:val="1"/>
        </w:numPr>
        <w:tabs>
          <w:tab w:pos="961" w:val="left" w:leader="none"/>
        </w:tabs>
        <w:spacing w:line="240" w:lineRule="auto" w:before="120" w:after="0"/>
        <w:ind w:left="960" w:right="0" w:hanging="361"/>
        <w:jc w:val="left"/>
        <w:rPr>
          <w:sz w:val="22"/>
        </w:rPr>
      </w:pPr>
      <w:r>
        <w:rPr>
          <w:sz w:val="22"/>
        </w:rPr>
        <w:t>the number of employees (head count) in WA public sector</w:t>
      </w:r>
      <w:r>
        <w:rPr>
          <w:spacing w:val="-9"/>
          <w:sz w:val="22"/>
        </w:rPr>
        <w:t> </w:t>
      </w:r>
      <w:r>
        <w:rPr>
          <w:sz w:val="22"/>
        </w:rPr>
        <w:t>agencies;</w:t>
      </w:r>
    </w:p>
    <w:p>
      <w:pPr>
        <w:pStyle w:val="ListParagraph"/>
        <w:numPr>
          <w:ilvl w:val="0"/>
          <w:numId w:val="1"/>
        </w:numPr>
        <w:tabs>
          <w:tab w:pos="961" w:val="left" w:leader="none"/>
        </w:tabs>
        <w:spacing w:line="240" w:lineRule="auto" w:before="1" w:after="0"/>
        <w:ind w:left="960" w:right="0" w:hanging="361"/>
        <w:jc w:val="left"/>
        <w:rPr>
          <w:sz w:val="22"/>
        </w:rPr>
      </w:pPr>
      <w:r>
        <w:rPr>
          <w:sz w:val="22"/>
        </w:rPr>
        <w:t>full time equivalent (FTE) employees in WA public sector agencies;</w:t>
      </w:r>
      <w:r>
        <w:rPr>
          <w:spacing w:val="-12"/>
          <w:sz w:val="22"/>
        </w:rPr>
        <w:t> </w:t>
      </w:r>
      <w:r>
        <w:rPr>
          <w:sz w:val="22"/>
        </w:rPr>
        <w:t>and</w:t>
      </w:r>
    </w:p>
    <w:p>
      <w:pPr>
        <w:pStyle w:val="ListParagraph"/>
        <w:numPr>
          <w:ilvl w:val="0"/>
          <w:numId w:val="1"/>
        </w:numPr>
        <w:tabs>
          <w:tab w:pos="961" w:val="left" w:leader="none"/>
        </w:tabs>
        <w:spacing w:line="240" w:lineRule="auto" w:before="1" w:after="0"/>
        <w:ind w:left="960" w:right="0" w:hanging="361"/>
        <w:jc w:val="left"/>
        <w:rPr>
          <w:sz w:val="22"/>
        </w:rPr>
      </w:pPr>
      <w:r>
        <w:rPr>
          <w:sz w:val="22"/>
        </w:rPr>
        <w:t>the annual average full time equivalent (FTE) employees in WA public sector</w:t>
      </w:r>
      <w:r>
        <w:rPr>
          <w:spacing w:val="-11"/>
          <w:sz w:val="22"/>
        </w:rPr>
        <w:t> </w:t>
      </w:r>
      <w:r>
        <w:rPr>
          <w:sz w:val="22"/>
        </w:rPr>
        <w:t>agencies.</w:t>
      </w:r>
    </w:p>
    <w:p>
      <w:pPr>
        <w:pStyle w:val="BodyText"/>
        <w:spacing w:before="120"/>
        <w:ind w:right="422"/>
        <w:jc w:val="both"/>
      </w:pPr>
      <w:r>
        <w:rPr/>
        <w:t>Workforce information is reported by public sector agencies each quarter. From this data, the Public Sector Commission derives FTE and Head Count information.</w:t>
      </w:r>
    </w:p>
    <w:p>
      <w:pPr>
        <w:pStyle w:val="BodyText"/>
        <w:spacing w:before="118"/>
        <w:ind w:right="422"/>
        <w:jc w:val="both"/>
      </w:pPr>
      <w:r>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 reports. Note, there are five agencies</w:t>
      </w:r>
      <w:r>
        <w:rPr>
          <w:vertAlign w:val="superscript"/>
        </w:rPr>
        <w:t>1</w:t>
      </w:r>
      <w:r>
        <w:rPr>
          <w:vertAlign w:val="baseline"/>
        </w:rPr>
        <w:t> on the list of FTE ceiling agencies which do not report HR MOIR data to PSC.</w:t>
      </w:r>
    </w:p>
    <w:p>
      <w:pPr>
        <w:pStyle w:val="BodyText"/>
        <w:spacing w:line="237" w:lineRule="auto" w:before="123"/>
        <w:ind w:right="420"/>
        <w:jc w:val="both"/>
      </w:pPr>
      <w:r>
        <w:rPr/>
        <w:t>In accordance with the Premier’s Economic Statement in February 2009 and the Cabinet decision of 27 July 2009, an FTE ceiling has been imposed on public sector agencies. PSC is assisting the Department of Treasury and Finance with the monitoring and reporting of this process. To adjust for seasonal fluctuations, an “Average Paid FTE” </w:t>
      </w:r>
      <w:r>
        <w:rPr>
          <w:position w:val="10"/>
          <w:sz w:val="13"/>
        </w:rPr>
        <w:t>2 </w:t>
      </w:r>
      <w:r>
        <w:rPr/>
        <w:t>is now included in the tables contained within this report, and the June Workforce 2009 report has been split into agencies required to meet the government’s FTE ceiling, and those not required to do so. Data in Tables 1-3 below are as at June 2009.</w:t>
      </w:r>
    </w:p>
    <w:p>
      <w:pPr>
        <w:pStyle w:val="BodyText"/>
        <w:spacing w:before="119"/>
        <w:ind w:right="420"/>
        <w:jc w:val="both"/>
      </w:pPr>
      <w:r>
        <w:rPr/>
        <w:t>The methodology that PSC uses to calculate FTEs (i.e. the HR MOIR methodology) is currently different to the methodology that has been used by DTF to calculate agencies’ FTE ceilings. The Cabinet decision dated 27 July 2009 stated that the methodology for the FTE Ceiling will be transitioned into PSC’s HR MOIR workforce data collection process. This transition will ensure that future monitoring of FTE variances will be more comparable, and existing PSC systems, processes and FTE definition (that are already in use by public sector agencies) can be used.</w:t>
      </w:r>
    </w:p>
    <w:p>
      <w:pPr>
        <w:pStyle w:val="BodyText"/>
        <w:spacing w:before="122"/>
        <w:jc w:val="both"/>
      </w:pPr>
      <w:r>
        <w:rPr>
          <w:color w:val="933634"/>
        </w:rPr>
        <w:t>Table 1: Agencies Subject to a 2008/09 FTE Ceiling</w:t>
      </w:r>
    </w:p>
    <w:p>
      <w:pPr>
        <w:spacing w:line="240" w:lineRule="auto" w:before="8" w:after="1"/>
        <w:rPr>
          <w:sz w:val="9"/>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89"/>
        <w:gridCol w:w="1469"/>
        <w:gridCol w:w="1282"/>
        <w:gridCol w:w="1492"/>
      </w:tblGrid>
      <w:tr>
        <w:trPr>
          <w:trHeight w:val="487" w:hRule="atLeast"/>
        </w:trPr>
        <w:tc>
          <w:tcPr>
            <w:tcW w:w="5689" w:type="dxa"/>
            <w:tcBorders>
              <w:top w:val="single" w:sz="4" w:space="0" w:color="000000"/>
              <w:left w:val="single" w:sz="4" w:space="0" w:color="000000"/>
              <w:bottom w:val="single" w:sz="8" w:space="0" w:color="4F81BC"/>
            </w:tcBorders>
          </w:tcPr>
          <w:p>
            <w:pPr>
              <w:pStyle w:val="TableParagraph"/>
              <w:spacing w:before="0"/>
              <w:jc w:val="left"/>
              <w:rPr>
                <w:rFonts w:ascii="Times New Roman"/>
                <w:sz w:val="20"/>
              </w:rPr>
            </w:pPr>
          </w:p>
        </w:tc>
        <w:tc>
          <w:tcPr>
            <w:tcW w:w="1469" w:type="dxa"/>
            <w:tcBorders>
              <w:top w:val="single" w:sz="4" w:space="0" w:color="000000"/>
              <w:bottom w:val="single" w:sz="8" w:space="0" w:color="4F81BC"/>
            </w:tcBorders>
          </w:tcPr>
          <w:p>
            <w:pPr>
              <w:pStyle w:val="TableParagraph"/>
              <w:spacing w:line="243" w:lineRule="exact" w:before="0"/>
              <w:ind w:left="-5"/>
              <w:jc w:val="left"/>
              <w:rPr>
                <w:b/>
                <w:sz w:val="20"/>
              </w:rPr>
            </w:pPr>
            <w:r>
              <w:rPr>
                <w:b/>
                <w:sz w:val="20"/>
              </w:rPr>
              <w:t>Paid head</w:t>
            </w:r>
            <w:r>
              <w:rPr>
                <w:b/>
                <w:spacing w:val="-6"/>
                <w:sz w:val="20"/>
              </w:rPr>
              <w:t> </w:t>
            </w:r>
            <w:r>
              <w:rPr>
                <w:b/>
                <w:sz w:val="20"/>
              </w:rPr>
              <w:t>count</w:t>
            </w:r>
          </w:p>
          <w:p>
            <w:pPr>
              <w:pStyle w:val="TableParagraph"/>
              <w:spacing w:line="224" w:lineRule="exact" w:before="0"/>
              <w:ind w:left="441"/>
              <w:jc w:val="left"/>
              <w:rPr>
                <w:b/>
                <w:sz w:val="20"/>
              </w:rPr>
            </w:pPr>
            <w:r>
              <w:rPr>
                <w:b/>
                <w:sz w:val="20"/>
              </w:rPr>
              <w:t>June</w:t>
            </w:r>
            <w:r>
              <w:rPr>
                <w:b/>
                <w:spacing w:val="-4"/>
                <w:sz w:val="20"/>
              </w:rPr>
              <w:t> </w:t>
            </w:r>
            <w:r>
              <w:rPr>
                <w:b/>
                <w:sz w:val="20"/>
              </w:rPr>
              <w:t>2009</w:t>
            </w:r>
            <w:r>
              <w:rPr>
                <w:b/>
                <w:sz w:val="20"/>
                <w:vertAlign w:val="superscript"/>
              </w:rPr>
              <w:t>3</w:t>
            </w:r>
          </w:p>
        </w:tc>
        <w:tc>
          <w:tcPr>
            <w:tcW w:w="1282" w:type="dxa"/>
            <w:tcBorders>
              <w:top w:val="single" w:sz="4" w:space="0" w:color="000000"/>
              <w:bottom w:val="single" w:sz="8" w:space="0" w:color="4F81BC"/>
            </w:tcBorders>
          </w:tcPr>
          <w:p>
            <w:pPr>
              <w:pStyle w:val="TableParagraph"/>
              <w:spacing w:line="243" w:lineRule="exact" w:before="0"/>
              <w:ind w:left="342"/>
              <w:jc w:val="left"/>
              <w:rPr>
                <w:b/>
                <w:sz w:val="20"/>
              </w:rPr>
            </w:pPr>
            <w:r>
              <w:rPr>
                <w:b/>
                <w:sz w:val="20"/>
              </w:rPr>
              <w:t>Paid</w:t>
            </w:r>
            <w:r>
              <w:rPr>
                <w:b/>
                <w:spacing w:val="-5"/>
                <w:sz w:val="20"/>
              </w:rPr>
              <w:t> </w:t>
            </w:r>
            <w:r>
              <w:rPr>
                <w:b/>
                <w:sz w:val="20"/>
              </w:rPr>
              <w:t>FTE</w:t>
            </w:r>
          </w:p>
          <w:p>
            <w:pPr>
              <w:pStyle w:val="TableParagraph"/>
              <w:spacing w:line="224" w:lineRule="exact" w:before="0"/>
              <w:ind w:left="138"/>
              <w:jc w:val="left"/>
              <w:rPr>
                <w:b/>
                <w:sz w:val="20"/>
              </w:rPr>
            </w:pPr>
            <w:r>
              <w:rPr>
                <w:b/>
                <w:sz w:val="20"/>
              </w:rPr>
              <w:t>June</w:t>
            </w:r>
            <w:r>
              <w:rPr>
                <w:b/>
                <w:spacing w:val="-3"/>
                <w:sz w:val="20"/>
              </w:rPr>
              <w:t> </w:t>
            </w:r>
            <w:r>
              <w:rPr>
                <w:b/>
                <w:sz w:val="20"/>
              </w:rPr>
              <w:t>2009</w:t>
            </w:r>
            <w:r>
              <w:rPr>
                <w:b/>
                <w:sz w:val="20"/>
                <w:vertAlign w:val="superscript"/>
              </w:rPr>
              <w:t>4</w:t>
            </w:r>
          </w:p>
        </w:tc>
        <w:tc>
          <w:tcPr>
            <w:tcW w:w="1492" w:type="dxa"/>
            <w:tcBorders>
              <w:top w:val="single" w:sz="4" w:space="0" w:color="000000"/>
              <w:bottom w:val="single" w:sz="8" w:space="0" w:color="4F81BC"/>
              <w:right w:val="single" w:sz="4" w:space="0" w:color="000000"/>
            </w:tcBorders>
          </w:tcPr>
          <w:p>
            <w:pPr>
              <w:pStyle w:val="TableParagraph"/>
              <w:spacing w:line="243" w:lineRule="exact" w:before="0"/>
              <w:ind w:left="254"/>
              <w:jc w:val="left"/>
              <w:rPr>
                <w:b/>
                <w:sz w:val="20"/>
              </w:rPr>
            </w:pPr>
            <w:r>
              <w:rPr>
                <w:b/>
                <w:sz w:val="20"/>
              </w:rPr>
              <w:t>Average</w:t>
            </w:r>
            <w:r>
              <w:rPr>
                <w:b/>
                <w:spacing w:val="38"/>
                <w:sz w:val="20"/>
              </w:rPr>
              <w:t> </w:t>
            </w:r>
            <w:r>
              <w:rPr>
                <w:b/>
                <w:sz w:val="20"/>
              </w:rPr>
              <w:t>Paid</w:t>
            </w:r>
          </w:p>
          <w:p>
            <w:pPr>
              <w:pStyle w:val="TableParagraph"/>
              <w:spacing w:line="224" w:lineRule="exact" w:before="0"/>
              <w:ind w:left="292"/>
              <w:jc w:val="left"/>
              <w:rPr>
                <w:b/>
                <w:sz w:val="20"/>
              </w:rPr>
            </w:pPr>
            <w:r>
              <w:rPr>
                <w:b/>
                <w:sz w:val="20"/>
              </w:rPr>
              <w:t>FTE</w:t>
            </w:r>
            <w:r>
              <w:rPr>
                <w:b/>
                <w:spacing w:val="-4"/>
                <w:sz w:val="20"/>
              </w:rPr>
              <w:t> </w:t>
            </w:r>
            <w:r>
              <w:rPr>
                <w:b/>
                <w:sz w:val="20"/>
              </w:rPr>
              <w:t>2008/09</w:t>
            </w:r>
            <w:r>
              <w:rPr>
                <w:b/>
                <w:sz w:val="20"/>
                <w:vertAlign w:val="superscript"/>
              </w:rPr>
              <w:t>2</w:t>
            </w:r>
          </w:p>
        </w:tc>
      </w:tr>
      <w:tr>
        <w:trPr>
          <w:trHeight w:val="285" w:hRule="atLeast"/>
        </w:trPr>
        <w:tc>
          <w:tcPr>
            <w:tcW w:w="5689" w:type="dxa"/>
            <w:tcBorders>
              <w:top w:val="single" w:sz="8" w:space="0" w:color="4F81BC"/>
            </w:tcBorders>
            <w:shd w:val="clear" w:color="auto" w:fill="D2DFED"/>
          </w:tcPr>
          <w:p>
            <w:pPr>
              <w:pStyle w:val="TableParagraph"/>
              <w:spacing w:before="20"/>
              <w:ind w:left="120"/>
              <w:jc w:val="left"/>
              <w:rPr>
                <w:b/>
                <w:sz w:val="20"/>
              </w:rPr>
            </w:pPr>
            <w:r>
              <w:rPr>
                <w:b/>
                <w:sz w:val="20"/>
              </w:rPr>
              <w:t>Department of Education and Training</w:t>
            </w:r>
          </w:p>
        </w:tc>
        <w:tc>
          <w:tcPr>
            <w:tcW w:w="1469" w:type="dxa"/>
            <w:tcBorders>
              <w:top w:val="single" w:sz="8" w:space="0" w:color="4F81BC"/>
            </w:tcBorders>
            <w:shd w:val="clear" w:color="auto" w:fill="D2DFED"/>
          </w:tcPr>
          <w:p>
            <w:pPr>
              <w:pStyle w:val="TableParagraph"/>
              <w:spacing w:before="32"/>
              <w:ind w:right="127"/>
              <w:rPr>
                <w:sz w:val="18"/>
              </w:rPr>
            </w:pPr>
            <w:r>
              <w:rPr>
                <w:sz w:val="18"/>
              </w:rPr>
              <w:t>49,913</w:t>
            </w:r>
          </w:p>
        </w:tc>
        <w:tc>
          <w:tcPr>
            <w:tcW w:w="1282" w:type="dxa"/>
            <w:tcBorders>
              <w:top w:val="single" w:sz="8" w:space="0" w:color="4F81BC"/>
            </w:tcBorders>
            <w:shd w:val="clear" w:color="auto" w:fill="D2DFED"/>
          </w:tcPr>
          <w:p>
            <w:pPr>
              <w:pStyle w:val="TableParagraph"/>
              <w:spacing w:before="32"/>
              <w:ind w:right="242"/>
              <w:rPr>
                <w:sz w:val="18"/>
              </w:rPr>
            </w:pPr>
            <w:r>
              <w:rPr>
                <w:sz w:val="18"/>
              </w:rPr>
              <w:t>33,462</w:t>
            </w:r>
          </w:p>
        </w:tc>
        <w:tc>
          <w:tcPr>
            <w:tcW w:w="1492" w:type="dxa"/>
            <w:tcBorders>
              <w:top w:val="single" w:sz="8" w:space="0" w:color="4F81BC"/>
            </w:tcBorders>
            <w:shd w:val="clear" w:color="auto" w:fill="D2DFED"/>
          </w:tcPr>
          <w:p>
            <w:pPr>
              <w:pStyle w:val="TableParagraph"/>
              <w:spacing w:before="32"/>
              <w:ind w:right="102"/>
              <w:rPr>
                <w:sz w:val="18"/>
              </w:rPr>
            </w:pPr>
            <w:r>
              <w:rPr>
                <w:sz w:val="18"/>
              </w:rPr>
              <w:t>32,864</w:t>
            </w:r>
          </w:p>
        </w:tc>
      </w:tr>
      <w:tr>
        <w:trPr>
          <w:trHeight w:val="285" w:hRule="atLeast"/>
        </w:trPr>
        <w:tc>
          <w:tcPr>
            <w:tcW w:w="5689" w:type="dxa"/>
          </w:tcPr>
          <w:p>
            <w:pPr>
              <w:pStyle w:val="TableParagraph"/>
              <w:spacing w:before="20"/>
              <w:ind w:left="120"/>
              <w:jc w:val="left"/>
              <w:rPr>
                <w:b/>
                <w:sz w:val="20"/>
              </w:rPr>
            </w:pPr>
            <w:r>
              <w:rPr>
                <w:b/>
                <w:sz w:val="20"/>
              </w:rPr>
              <w:t>Department of Health</w:t>
            </w:r>
          </w:p>
        </w:tc>
        <w:tc>
          <w:tcPr>
            <w:tcW w:w="1469" w:type="dxa"/>
          </w:tcPr>
          <w:p>
            <w:pPr>
              <w:pStyle w:val="TableParagraph"/>
              <w:spacing w:before="32"/>
              <w:ind w:right="127"/>
              <w:rPr>
                <w:sz w:val="18"/>
              </w:rPr>
            </w:pPr>
            <w:r>
              <w:rPr>
                <w:sz w:val="18"/>
              </w:rPr>
              <w:t>39,703</w:t>
            </w:r>
          </w:p>
        </w:tc>
        <w:tc>
          <w:tcPr>
            <w:tcW w:w="1282" w:type="dxa"/>
          </w:tcPr>
          <w:p>
            <w:pPr>
              <w:pStyle w:val="TableParagraph"/>
              <w:spacing w:before="32"/>
              <w:ind w:right="242"/>
              <w:rPr>
                <w:sz w:val="18"/>
              </w:rPr>
            </w:pPr>
            <w:r>
              <w:rPr>
                <w:sz w:val="18"/>
              </w:rPr>
              <w:t>31,139</w:t>
            </w:r>
          </w:p>
        </w:tc>
        <w:tc>
          <w:tcPr>
            <w:tcW w:w="1492" w:type="dxa"/>
          </w:tcPr>
          <w:p>
            <w:pPr>
              <w:pStyle w:val="TableParagraph"/>
              <w:spacing w:before="32"/>
              <w:ind w:right="102"/>
              <w:rPr>
                <w:sz w:val="18"/>
              </w:rPr>
            </w:pPr>
            <w:r>
              <w:rPr>
                <w:sz w:val="18"/>
              </w:rPr>
              <w:t>30,564</w:t>
            </w:r>
          </w:p>
        </w:tc>
      </w:tr>
      <w:tr>
        <w:trPr>
          <w:trHeight w:val="285" w:hRule="atLeast"/>
        </w:trPr>
        <w:tc>
          <w:tcPr>
            <w:tcW w:w="5689" w:type="dxa"/>
            <w:shd w:val="clear" w:color="auto" w:fill="D2DFED"/>
          </w:tcPr>
          <w:p>
            <w:pPr>
              <w:pStyle w:val="TableParagraph"/>
              <w:spacing w:before="18"/>
              <w:ind w:left="120"/>
              <w:jc w:val="left"/>
              <w:rPr>
                <w:b/>
                <w:sz w:val="20"/>
              </w:rPr>
            </w:pPr>
            <w:r>
              <w:rPr>
                <w:b/>
                <w:sz w:val="20"/>
              </w:rPr>
              <w:t>Police Service (Western Australia Police) and Police Force</w:t>
            </w:r>
          </w:p>
        </w:tc>
        <w:tc>
          <w:tcPr>
            <w:tcW w:w="1469" w:type="dxa"/>
            <w:shd w:val="clear" w:color="auto" w:fill="D2DFED"/>
          </w:tcPr>
          <w:p>
            <w:pPr>
              <w:pStyle w:val="TableParagraph"/>
              <w:spacing w:before="32"/>
              <w:ind w:right="127"/>
              <w:rPr>
                <w:sz w:val="18"/>
              </w:rPr>
            </w:pPr>
            <w:r>
              <w:rPr>
                <w:sz w:val="18"/>
              </w:rPr>
              <w:t>8,339</w:t>
            </w:r>
          </w:p>
        </w:tc>
        <w:tc>
          <w:tcPr>
            <w:tcW w:w="1282" w:type="dxa"/>
            <w:shd w:val="clear" w:color="auto" w:fill="D2DFED"/>
          </w:tcPr>
          <w:p>
            <w:pPr>
              <w:pStyle w:val="TableParagraph"/>
              <w:spacing w:before="32"/>
              <w:ind w:right="242"/>
              <w:rPr>
                <w:sz w:val="18"/>
              </w:rPr>
            </w:pPr>
            <w:r>
              <w:rPr>
                <w:sz w:val="18"/>
              </w:rPr>
              <w:t>7,371</w:t>
            </w:r>
          </w:p>
        </w:tc>
        <w:tc>
          <w:tcPr>
            <w:tcW w:w="1492" w:type="dxa"/>
            <w:shd w:val="clear" w:color="auto" w:fill="D2DFED"/>
          </w:tcPr>
          <w:p>
            <w:pPr>
              <w:pStyle w:val="TableParagraph"/>
              <w:spacing w:before="32"/>
              <w:ind w:right="102"/>
              <w:rPr>
                <w:sz w:val="18"/>
              </w:rPr>
            </w:pPr>
            <w:r>
              <w:rPr>
                <w:sz w:val="18"/>
              </w:rPr>
              <w:t>7,268</w:t>
            </w:r>
          </w:p>
        </w:tc>
      </w:tr>
      <w:tr>
        <w:trPr>
          <w:trHeight w:val="285" w:hRule="atLeast"/>
        </w:trPr>
        <w:tc>
          <w:tcPr>
            <w:tcW w:w="5689" w:type="dxa"/>
            <w:tcBorders>
              <w:bottom w:val="single" w:sz="8" w:space="0" w:color="4F81BC"/>
            </w:tcBorders>
          </w:tcPr>
          <w:p>
            <w:pPr>
              <w:pStyle w:val="TableParagraph"/>
              <w:spacing w:before="18"/>
              <w:ind w:left="120"/>
              <w:jc w:val="left"/>
              <w:rPr>
                <w:b/>
                <w:sz w:val="20"/>
              </w:rPr>
            </w:pPr>
            <w:r>
              <w:rPr>
                <w:b/>
                <w:sz w:val="20"/>
              </w:rPr>
              <w:t>Department of Corrective Services</w:t>
            </w:r>
          </w:p>
        </w:tc>
        <w:tc>
          <w:tcPr>
            <w:tcW w:w="1469" w:type="dxa"/>
            <w:tcBorders>
              <w:bottom w:val="single" w:sz="8" w:space="0" w:color="4F81BC"/>
            </w:tcBorders>
          </w:tcPr>
          <w:p>
            <w:pPr>
              <w:pStyle w:val="TableParagraph"/>
              <w:spacing w:before="30"/>
              <w:ind w:right="127"/>
              <w:rPr>
                <w:sz w:val="18"/>
              </w:rPr>
            </w:pPr>
            <w:r>
              <w:rPr>
                <w:sz w:val="18"/>
              </w:rPr>
              <w:t>4,376</w:t>
            </w:r>
          </w:p>
        </w:tc>
        <w:tc>
          <w:tcPr>
            <w:tcW w:w="1282" w:type="dxa"/>
            <w:tcBorders>
              <w:bottom w:val="single" w:sz="8" w:space="0" w:color="4F81BC"/>
            </w:tcBorders>
          </w:tcPr>
          <w:p>
            <w:pPr>
              <w:pStyle w:val="TableParagraph"/>
              <w:spacing w:before="30"/>
              <w:ind w:right="242"/>
              <w:rPr>
                <w:sz w:val="18"/>
              </w:rPr>
            </w:pPr>
            <w:r>
              <w:rPr>
                <w:sz w:val="18"/>
              </w:rPr>
              <w:t>3,681</w:t>
            </w:r>
          </w:p>
        </w:tc>
        <w:tc>
          <w:tcPr>
            <w:tcW w:w="1492" w:type="dxa"/>
            <w:tcBorders>
              <w:bottom w:val="single" w:sz="8" w:space="0" w:color="4F81BC"/>
            </w:tcBorders>
          </w:tcPr>
          <w:p>
            <w:pPr>
              <w:pStyle w:val="TableParagraph"/>
              <w:spacing w:before="30"/>
              <w:ind w:right="102"/>
              <w:rPr>
                <w:sz w:val="18"/>
              </w:rPr>
            </w:pPr>
            <w:r>
              <w:rPr>
                <w:sz w:val="18"/>
              </w:rPr>
              <w:t>3,455</w:t>
            </w:r>
          </w:p>
        </w:tc>
      </w:tr>
    </w:tbl>
    <w:p>
      <w:pPr>
        <w:spacing w:line="240" w:lineRule="auto" w:before="2"/>
        <w:rPr>
          <w:sz w:val="20"/>
        </w:rPr>
      </w:pPr>
      <w:r>
        <w:rPr/>
        <w:pict>
          <v:shape style="position:absolute;margin-left:72.024002pt;margin-top:14.57998pt;width:144.050pt;height:.1pt;mso-position-horizontal-relative:page;mso-position-vertical-relative:paragraph;z-index:-251658240;mso-wrap-distance-left:0;mso-wrap-distance-right:0" coordorigin="1440,292" coordsize="2881,0" path="m1440,292l4321,292e" filled="false" stroked="true" strokeweight=".60004pt" strokecolor="#000000">
            <v:path arrowok="t"/>
            <v:stroke dashstyle="solid"/>
            <w10:wrap type="topAndBottom"/>
          </v:shape>
        </w:pict>
      </w:r>
    </w:p>
    <w:p>
      <w:pPr>
        <w:spacing w:before="54"/>
        <w:ind w:left="240" w:right="422" w:firstLine="0"/>
        <w:jc w:val="both"/>
        <w:rPr>
          <w:sz w:val="18"/>
        </w:rPr>
      </w:pPr>
      <w:r>
        <w:rPr>
          <w:rFonts w:ascii="Arial" w:hAnsi="Arial"/>
          <w:position w:val="9"/>
          <w:sz w:val="12"/>
        </w:rPr>
        <w:t>1 </w:t>
      </w:r>
      <w:r>
        <w:rPr>
          <w:sz w:val="18"/>
        </w:rPr>
        <w:t>These agencies are Governor’s Establishment, Legislative Assembly, Legislative Council, Parliamentary Inspector of the Corruption and Crime Commission, and Parliamentary Services.</w:t>
      </w:r>
    </w:p>
    <w:p>
      <w:pPr>
        <w:spacing w:line="219" w:lineRule="exact" w:before="0"/>
        <w:ind w:left="240" w:right="0" w:firstLine="0"/>
        <w:jc w:val="both"/>
        <w:rPr>
          <w:sz w:val="18"/>
        </w:rPr>
      </w:pPr>
      <w:r>
        <w:rPr>
          <w:position w:val="9"/>
          <w:sz w:val="12"/>
        </w:rPr>
        <w:t>2 </w:t>
      </w:r>
      <w:r>
        <w:rPr>
          <w:sz w:val="18"/>
        </w:rPr>
        <w:t>The “Average Paid FTE” data addresses seasonal fluctuations that occur in some agencies from one quarter to the next, and is the</w:t>
      </w:r>
    </w:p>
    <w:p>
      <w:pPr>
        <w:spacing w:line="203" w:lineRule="exact" w:before="1"/>
        <w:ind w:left="240" w:right="0" w:firstLine="0"/>
        <w:jc w:val="left"/>
        <w:rPr>
          <w:sz w:val="18"/>
        </w:rPr>
      </w:pPr>
      <w:r>
        <w:rPr>
          <w:sz w:val="18"/>
        </w:rPr>
        <w:t>averaged ‘Paid FTE’ of each of the four quarters in 2008/09.</w:t>
      </w:r>
    </w:p>
    <w:p>
      <w:pPr>
        <w:spacing w:line="220" w:lineRule="exact" w:before="11"/>
        <w:ind w:left="240" w:right="253" w:firstLine="0"/>
        <w:jc w:val="left"/>
        <w:rPr>
          <w:sz w:val="18"/>
        </w:rPr>
      </w:pPr>
      <w:r>
        <w:rPr>
          <w:position w:val="9"/>
          <w:sz w:val="12"/>
        </w:rPr>
        <w:t>3 </w:t>
      </w:r>
      <w:r>
        <w:rPr>
          <w:sz w:val="18"/>
        </w:rPr>
        <w:t>Paid head count is a snapshot of employees as at the pay day on, or prior to, 30 June 2009 and includes all permanent, fixed term and casual employees paid during that pay period.</w:t>
      </w:r>
    </w:p>
    <w:p>
      <w:pPr>
        <w:spacing w:line="224" w:lineRule="exact" w:before="0"/>
        <w:ind w:left="240" w:right="0" w:firstLine="0"/>
        <w:jc w:val="left"/>
        <w:rPr>
          <w:sz w:val="18"/>
        </w:rPr>
      </w:pPr>
      <w:r>
        <w:rPr>
          <w:position w:val="9"/>
          <w:sz w:val="12"/>
        </w:rPr>
        <w:t>4 </w:t>
      </w:r>
      <w:r>
        <w:rPr>
          <w:sz w:val="18"/>
        </w:rPr>
        <w:t>Paid FTE is a snapshot of employees who were paid as at the pay day on, or prior to, 30 June 2009 of data submitted from 126</w:t>
      </w:r>
    </w:p>
    <w:p>
      <w:pPr>
        <w:spacing w:before="1"/>
        <w:ind w:left="240" w:right="422" w:firstLine="0"/>
        <w:jc w:val="both"/>
        <w:rPr>
          <w:sz w:val="18"/>
        </w:rPr>
      </w:pPr>
      <w:r>
        <w:rPr>
          <w:sz w:val="18"/>
        </w:rPr>
        <w:t>agencies. FTEs have been rounded to whole numbers so the sum of individual FTEs may not add up to the total. This methodology may differ from those used by other public sector agencies. The quality of agency data is continuously being assessed and improved. As such, agency FTE figures may be adjusted as data is refined.</w:t>
      </w:r>
    </w:p>
    <w:p>
      <w:pPr>
        <w:spacing w:after="0"/>
        <w:jc w:val="both"/>
        <w:rPr>
          <w:sz w:val="18"/>
        </w:rPr>
        <w:sectPr>
          <w:type w:val="continuous"/>
          <w:pgSz w:w="11910" w:h="16850"/>
          <w:pgMar w:top="1000" w:bottom="280" w:left="1200" w:right="420"/>
        </w:sect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12"/>
        <w:gridCol w:w="1254"/>
        <w:gridCol w:w="1283"/>
        <w:gridCol w:w="1498"/>
      </w:tblGrid>
      <w:tr>
        <w:trPr>
          <w:trHeight w:val="486" w:hRule="atLeast"/>
        </w:trPr>
        <w:tc>
          <w:tcPr>
            <w:tcW w:w="7166" w:type="dxa"/>
            <w:gridSpan w:val="2"/>
            <w:tcBorders>
              <w:top w:val="single" w:sz="4" w:space="0" w:color="000000"/>
              <w:left w:val="single" w:sz="4" w:space="0" w:color="000000"/>
              <w:bottom w:val="single" w:sz="8" w:space="0" w:color="4F81BC"/>
            </w:tcBorders>
          </w:tcPr>
          <w:p>
            <w:pPr>
              <w:pStyle w:val="TableParagraph"/>
              <w:spacing w:line="234" w:lineRule="exact" w:before="0"/>
              <w:ind w:right="130"/>
              <w:rPr>
                <w:b/>
                <w:sz w:val="20"/>
              </w:rPr>
            </w:pPr>
            <w:r>
              <w:rPr>
                <w:b/>
                <w:sz w:val="20"/>
              </w:rPr>
              <w:t>Paid head</w:t>
            </w:r>
            <w:r>
              <w:rPr>
                <w:b/>
                <w:spacing w:val="-6"/>
                <w:sz w:val="20"/>
              </w:rPr>
              <w:t> </w:t>
            </w:r>
            <w:r>
              <w:rPr>
                <w:b/>
                <w:sz w:val="20"/>
              </w:rPr>
              <w:t>count</w:t>
            </w:r>
          </w:p>
          <w:p>
            <w:pPr>
              <w:pStyle w:val="TableParagraph"/>
              <w:spacing w:line="232" w:lineRule="exact" w:before="0"/>
              <w:ind w:right="127"/>
              <w:rPr>
                <w:b/>
                <w:sz w:val="20"/>
              </w:rPr>
            </w:pPr>
            <w:r>
              <w:rPr>
                <w:b/>
                <w:sz w:val="20"/>
              </w:rPr>
              <w:t>June</w:t>
            </w:r>
            <w:r>
              <w:rPr>
                <w:b/>
                <w:spacing w:val="-4"/>
                <w:sz w:val="20"/>
              </w:rPr>
              <w:t> </w:t>
            </w:r>
            <w:r>
              <w:rPr>
                <w:b/>
                <w:sz w:val="20"/>
              </w:rPr>
              <w:t>2009</w:t>
            </w:r>
            <w:r>
              <w:rPr>
                <w:b/>
                <w:sz w:val="20"/>
                <w:vertAlign w:val="superscript"/>
              </w:rPr>
              <w:t>3</w:t>
            </w:r>
          </w:p>
        </w:tc>
        <w:tc>
          <w:tcPr>
            <w:tcW w:w="1283" w:type="dxa"/>
            <w:tcBorders>
              <w:top w:val="single" w:sz="4" w:space="0" w:color="000000"/>
              <w:bottom w:val="single" w:sz="8" w:space="0" w:color="4F81BC"/>
            </w:tcBorders>
          </w:tcPr>
          <w:p>
            <w:pPr>
              <w:pStyle w:val="TableParagraph"/>
              <w:spacing w:line="234" w:lineRule="exact" w:before="0"/>
              <w:ind w:left="342"/>
              <w:jc w:val="left"/>
              <w:rPr>
                <w:b/>
                <w:sz w:val="20"/>
              </w:rPr>
            </w:pPr>
            <w:r>
              <w:rPr>
                <w:b/>
                <w:sz w:val="20"/>
              </w:rPr>
              <w:t>Paid</w:t>
            </w:r>
            <w:r>
              <w:rPr>
                <w:b/>
                <w:spacing w:val="-5"/>
                <w:sz w:val="20"/>
              </w:rPr>
              <w:t> </w:t>
            </w:r>
            <w:r>
              <w:rPr>
                <w:b/>
                <w:sz w:val="20"/>
              </w:rPr>
              <w:t>FTE</w:t>
            </w:r>
          </w:p>
          <w:p>
            <w:pPr>
              <w:pStyle w:val="TableParagraph"/>
              <w:spacing w:line="232" w:lineRule="exact" w:before="0"/>
              <w:ind w:left="138"/>
              <w:jc w:val="left"/>
              <w:rPr>
                <w:b/>
                <w:sz w:val="20"/>
              </w:rPr>
            </w:pPr>
            <w:r>
              <w:rPr>
                <w:b/>
                <w:sz w:val="20"/>
              </w:rPr>
              <w:t>June</w:t>
            </w:r>
            <w:r>
              <w:rPr>
                <w:b/>
                <w:spacing w:val="-3"/>
                <w:sz w:val="20"/>
              </w:rPr>
              <w:t> </w:t>
            </w:r>
            <w:r>
              <w:rPr>
                <w:b/>
                <w:sz w:val="20"/>
              </w:rPr>
              <w:t>2009</w:t>
            </w:r>
            <w:r>
              <w:rPr>
                <w:b/>
                <w:sz w:val="20"/>
                <w:vertAlign w:val="superscript"/>
              </w:rPr>
              <w:t>4</w:t>
            </w:r>
          </w:p>
        </w:tc>
        <w:tc>
          <w:tcPr>
            <w:tcW w:w="1498" w:type="dxa"/>
            <w:tcBorders>
              <w:top w:val="single" w:sz="4" w:space="0" w:color="000000"/>
              <w:bottom w:val="single" w:sz="8" w:space="0" w:color="4F81BC"/>
              <w:right w:val="single" w:sz="4" w:space="0" w:color="000000"/>
            </w:tcBorders>
          </w:tcPr>
          <w:p>
            <w:pPr>
              <w:pStyle w:val="TableParagraph"/>
              <w:spacing w:line="234" w:lineRule="exact" w:before="0"/>
              <w:ind w:left="252"/>
              <w:jc w:val="left"/>
              <w:rPr>
                <w:b/>
                <w:sz w:val="20"/>
              </w:rPr>
            </w:pPr>
            <w:r>
              <w:rPr>
                <w:b/>
                <w:sz w:val="20"/>
              </w:rPr>
              <w:t>Average</w:t>
            </w:r>
            <w:r>
              <w:rPr>
                <w:b/>
                <w:spacing w:val="38"/>
                <w:sz w:val="20"/>
              </w:rPr>
              <w:t> </w:t>
            </w:r>
            <w:r>
              <w:rPr>
                <w:b/>
                <w:sz w:val="20"/>
              </w:rPr>
              <w:t>Paid</w:t>
            </w:r>
          </w:p>
          <w:p>
            <w:pPr>
              <w:pStyle w:val="TableParagraph"/>
              <w:spacing w:line="232" w:lineRule="exact" w:before="0"/>
              <w:ind w:left="290"/>
              <w:jc w:val="left"/>
              <w:rPr>
                <w:b/>
                <w:sz w:val="20"/>
              </w:rPr>
            </w:pPr>
            <w:r>
              <w:rPr>
                <w:b/>
                <w:sz w:val="20"/>
              </w:rPr>
              <w:t>FTE</w:t>
            </w:r>
            <w:r>
              <w:rPr>
                <w:b/>
                <w:spacing w:val="-4"/>
                <w:sz w:val="20"/>
              </w:rPr>
              <w:t> </w:t>
            </w:r>
            <w:r>
              <w:rPr>
                <w:b/>
                <w:sz w:val="20"/>
              </w:rPr>
              <w:t>2008/09</w:t>
            </w:r>
            <w:r>
              <w:rPr>
                <w:b/>
                <w:sz w:val="20"/>
                <w:vertAlign w:val="superscript"/>
              </w:rPr>
              <w:t>2</w:t>
            </w:r>
          </w:p>
        </w:tc>
      </w:tr>
      <w:tr>
        <w:trPr>
          <w:trHeight w:val="285" w:hRule="atLeast"/>
        </w:trPr>
        <w:tc>
          <w:tcPr>
            <w:tcW w:w="5912" w:type="dxa"/>
            <w:tcBorders>
              <w:top w:val="single" w:sz="8" w:space="0" w:color="4F81BC"/>
            </w:tcBorders>
            <w:shd w:val="clear" w:color="auto" w:fill="D2DFED"/>
          </w:tcPr>
          <w:p>
            <w:pPr>
              <w:pStyle w:val="TableParagraph"/>
              <w:spacing w:before="11"/>
              <w:ind w:left="127"/>
              <w:jc w:val="left"/>
              <w:rPr>
                <w:b/>
                <w:sz w:val="20"/>
              </w:rPr>
            </w:pPr>
            <w:r>
              <w:rPr>
                <w:b/>
                <w:sz w:val="20"/>
              </w:rPr>
              <w:t>Department of Environment and Conservation</w:t>
            </w:r>
          </w:p>
        </w:tc>
        <w:tc>
          <w:tcPr>
            <w:tcW w:w="1254" w:type="dxa"/>
            <w:tcBorders>
              <w:top w:val="single" w:sz="8" w:space="0" w:color="4F81BC"/>
            </w:tcBorders>
            <w:shd w:val="clear" w:color="auto" w:fill="D2DFED"/>
          </w:tcPr>
          <w:p>
            <w:pPr>
              <w:pStyle w:val="TableParagraph"/>
              <w:ind w:right="128"/>
              <w:rPr>
                <w:sz w:val="18"/>
              </w:rPr>
            </w:pPr>
            <w:r>
              <w:rPr>
                <w:sz w:val="18"/>
              </w:rPr>
              <w:t>2,255</w:t>
            </w:r>
          </w:p>
        </w:tc>
        <w:tc>
          <w:tcPr>
            <w:tcW w:w="1283" w:type="dxa"/>
            <w:tcBorders>
              <w:top w:val="single" w:sz="8" w:space="0" w:color="4F81BC"/>
            </w:tcBorders>
            <w:shd w:val="clear" w:color="auto" w:fill="D2DFED"/>
          </w:tcPr>
          <w:p>
            <w:pPr>
              <w:pStyle w:val="TableParagraph"/>
              <w:ind w:right="244"/>
              <w:rPr>
                <w:sz w:val="18"/>
              </w:rPr>
            </w:pPr>
            <w:r>
              <w:rPr>
                <w:sz w:val="18"/>
              </w:rPr>
              <w:t>1,968</w:t>
            </w:r>
          </w:p>
        </w:tc>
        <w:tc>
          <w:tcPr>
            <w:tcW w:w="1498" w:type="dxa"/>
            <w:tcBorders>
              <w:top w:val="single" w:sz="8" w:space="0" w:color="4F81BC"/>
            </w:tcBorders>
            <w:shd w:val="clear" w:color="auto" w:fill="D2DFED"/>
          </w:tcPr>
          <w:p>
            <w:pPr>
              <w:pStyle w:val="TableParagraph"/>
              <w:ind w:right="110"/>
              <w:rPr>
                <w:sz w:val="18"/>
              </w:rPr>
            </w:pPr>
            <w:r>
              <w:rPr>
                <w:sz w:val="18"/>
              </w:rPr>
              <w:t>1,983</w:t>
            </w:r>
          </w:p>
        </w:tc>
      </w:tr>
      <w:tr>
        <w:trPr>
          <w:trHeight w:val="285" w:hRule="atLeast"/>
        </w:trPr>
        <w:tc>
          <w:tcPr>
            <w:tcW w:w="5912" w:type="dxa"/>
          </w:tcPr>
          <w:p>
            <w:pPr>
              <w:pStyle w:val="TableParagraph"/>
              <w:spacing w:before="11"/>
              <w:ind w:left="127"/>
              <w:jc w:val="left"/>
              <w:rPr>
                <w:b/>
                <w:sz w:val="20"/>
              </w:rPr>
            </w:pPr>
            <w:r>
              <w:rPr>
                <w:b/>
                <w:sz w:val="20"/>
              </w:rPr>
              <w:t>Department for Planning and Infrastructure</w:t>
            </w:r>
          </w:p>
        </w:tc>
        <w:tc>
          <w:tcPr>
            <w:tcW w:w="1254" w:type="dxa"/>
          </w:tcPr>
          <w:p>
            <w:pPr>
              <w:pStyle w:val="TableParagraph"/>
              <w:ind w:right="128"/>
              <w:rPr>
                <w:sz w:val="18"/>
              </w:rPr>
            </w:pPr>
            <w:r>
              <w:rPr>
                <w:sz w:val="18"/>
              </w:rPr>
              <w:t>2,063</w:t>
            </w:r>
          </w:p>
        </w:tc>
        <w:tc>
          <w:tcPr>
            <w:tcW w:w="1283" w:type="dxa"/>
          </w:tcPr>
          <w:p>
            <w:pPr>
              <w:pStyle w:val="TableParagraph"/>
              <w:ind w:right="244"/>
              <w:rPr>
                <w:sz w:val="18"/>
              </w:rPr>
            </w:pPr>
            <w:r>
              <w:rPr>
                <w:sz w:val="18"/>
              </w:rPr>
              <w:t>1,896</w:t>
            </w:r>
          </w:p>
        </w:tc>
        <w:tc>
          <w:tcPr>
            <w:tcW w:w="1498" w:type="dxa"/>
          </w:tcPr>
          <w:p>
            <w:pPr>
              <w:pStyle w:val="TableParagraph"/>
              <w:ind w:right="110"/>
              <w:rPr>
                <w:sz w:val="18"/>
              </w:rPr>
            </w:pPr>
            <w:r>
              <w:rPr>
                <w:sz w:val="18"/>
              </w:rPr>
              <w:t>1,856</w:t>
            </w:r>
          </w:p>
        </w:tc>
      </w:tr>
      <w:tr>
        <w:trPr>
          <w:trHeight w:val="285" w:hRule="atLeast"/>
        </w:trPr>
        <w:tc>
          <w:tcPr>
            <w:tcW w:w="5912" w:type="dxa"/>
            <w:shd w:val="clear" w:color="auto" w:fill="D2DFED"/>
          </w:tcPr>
          <w:p>
            <w:pPr>
              <w:pStyle w:val="TableParagraph"/>
              <w:spacing w:before="11"/>
              <w:ind w:left="127"/>
              <w:jc w:val="left"/>
              <w:rPr>
                <w:b/>
                <w:sz w:val="20"/>
              </w:rPr>
            </w:pPr>
            <w:r>
              <w:rPr>
                <w:b/>
                <w:sz w:val="20"/>
              </w:rPr>
              <w:t>Department for Child Protection</w:t>
            </w:r>
          </w:p>
        </w:tc>
        <w:tc>
          <w:tcPr>
            <w:tcW w:w="1254" w:type="dxa"/>
            <w:shd w:val="clear" w:color="auto" w:fill="D2DFED"/>
          </w:tcPr>
          <w:p>
            <w:pPr>
              <w:pStyle w:val="TableParagraph"/>
              <w:ind w:right="128"/>
              <w:rPr>
                <w:sz w:val="18"/>
              </w:rPr>
            </w:pPr>
            <w:r>
              <w:rPr>
                <w:sz w:val="18"/>
              </w:rPr>
              <w:t>2,140</w:t>
            </w:r>
          </w:p>
        </w:tc>
        <w:tc>
          <w:tcPr>
            <w:tcW w:w="1283" w:type="dxa"/>
            <w:shd w:val="clear" w:color="auto" w:fill="D2DFED"/>
          </w:tcPr>
          <w:p>
            <w:pPr>
              <w:pStyle w:val="TableParagraph"/>
              <w:ind w:right="244"/>
              <w:rPr>
                <w:sz w:val="18"/>
              </w:rPr>
            </w:pPr>
            <w:r>
              <w:rPr>
                <w:sz w:val="18"/>
              </w:rPr>
              <w:t>1,834</w:t>
            </w:r>
          </w:p>
        </w:tc>
        <w:tc>
          <w:tcPr>
            <w:tcW w:w="1498" w:type="dxa"/>
            <w:shd w:val="clear" w:color="auto" w:fill="D2DFED"/>
          </w:tcPr>
          <w:p>
            <w:pPr>
              <w:pStyle w:val="TableParagraph"/>
              <w:ind w:right="110"/>
              <w:rPr>
                <w:sz w:val="18"/>
              </w:rPr>
            </w:pPr>
            <w:r>
              <w:rPr>
                <w:sz w:val="18"/>
              </w:rPr>
              <w:t>1,783</w:t>
            </w:r>
          </w:p>
        </w:tc>
      </w:tr>
      <w:tr>
        <w:trPr>
          <w:trHeight w:val="285" w:hRule="atLeast"/>
        </w:trPr>
        <w:tc>
          <w:tcPr>
            <w:tcW w:w="5912" w:type="dxa"/>
          </w:tcPr>
          <w:p>
            <w:pPr>
              <w:pStyle w:val="TableParagraph"/>
              <w:spacing w:before="8"/>
              <w:ind w:left="127"/>
              <w:jc w:val="left"/>
              <w:rPr>
                <w:b/>
                <w:sz w:val="20"/>
              </w:rPr>
            </w:pPr>
            <w:r>
              <w:rPr>
                <w:b/>
                <w:sz w:val="20"/>
              </w:rPr>
              <w:t>Disability Services Commission</w:t>
            </w:r>
          </w:p>
        </w:tc>
        <w:tc>
          <w:tcPr>
            <w:tcW w:w="1254" w:type="dxa"/>
          </w:tcPr>
          <w:p>
            <w:pPr>
              <w:pStyle w:val="TableParagraph"/>
              <w:ind w:right="128"/>
              <w:rPr>
                <w:sz w:val="18"/>
              </w:rPr>
            </w:pPr>
            <w:r>
              <w:rPr>
                <w:sz w:val="18"/>
              </w:rPr>
              <w:t>1,890</w:t>
            </w:r>
          </w:p>
        </w:tc>
        <w:tc>
          <w:tcPr>
            <w:tcW w:w="1283" w:type="dxa"/>
          </w:tcPr>
          <w:p>
            <w:pPr>
              <w:pStyle w:val="TableParagraph"/>
              <w:ind w:right="244"/>
              <w:rPr>
                <w:sz w:val="18"/>
              </w:rPr>
            </w:pPr>
            <w:r>
              <w:rPr>
                <w:sz w:val="18"/>
              </w:rPr>
              <w:t>1,631</w:t>
            </w:r>
          </w:p>
        </w:tc>
        <w:tc>
          <w:tcPr>
            <w:tcW w:w="1498" w:type="dxa"/>
          </w:tcPr>
          <w:p>
            <w:pPr>
              <w:pStyle w:val="TableParagraph"/>
              <w:ind w:right="110"/>
              <w:rPr>
                <w:sz w:val="18"/>
              </w:rPr>
            </w:pPr>
            <w:r>
              <w:rPr>
                <w:sz w:val="18"/>
              </w:rPr>
              <w:t>1,614</w:t>
            </w:r>
          </w:p>
        </w:tc>
      </w:tr>
      <w:tr>
        <w:trPr>
          <w:trHeight w:val="283" w:hRule="atLeast"/>
        </w:trPr>
        <w:tc>
          <w:tcPr>
            <w:tcW w:w="5912" w:type="dxa"/>
            <w:shd w:val="clear" w:color="auto" w:fill="D2DFED"/>
          </w:tcPr>
          <w:p>
            <w:pPr>
              <w:pStyle w:val="TableParagraph"/>
              <w:spacing w:before="8"/>
              <w:ind w:left="127"/>
              <w:jc w:val="left"/>
              <w:rPr>
                <w:b/>
                <w:sz w:val="20"/>
              </w:rPr>
            </w:pPr>
            <w:r>
              <w:rPr>
                <w:b/>
                <w:sz w:val="20"/>
              </w:rPr>
              <w:t>Department of Treasury and Finance</w:t>
            </w:r>
          </w:p>
        </w:tc>
        <w:tc>
          <w:tcPr>
            <w:tcW w:w="1254" w:type="dxa"/>
            <w:shd w:val="clear" w:color="auto" w:fill="D2DFED"/>
          </w:tcPr>
          <w:p>
            <w:pPr>
              <w:pStyle w:val="TableParagraph"/>
              <w:spacing w:before="20"/>
              <w:ind w:right="128"/>
              <w:rPr>
                <w:sz w:val="18"/>
              </w:rPr>
            </w:pPr>
            <w:r>
              <w:rPr>
                <w:sz w:val="18"/>
              </w:rPr>
              <w:t>1,689</w:t>
            </w:r>
          </w:p>
        </w:tc>
        <w:tc>
          <w:tcPr>
            <w:tcW w:w="1283" w:type="dxa"/>
            <w:shd w:val="clear" w:color="auto" w:fill="D2DFED"/>
          </w:tcPr>
          <w:p>
            <w:pPr>
              <w:pStyle w:val="TableParagraph"/>
              <w:spacing w:before="20"/>
              <w:ind w:right="244"/>
              <w:rPr>
                <w:sz w:val="18"/>
              </w:rPr>
            </w:pPr>
            <w:r>
              <w:rPr>
                <w:sz w:val="18"/>
              </w:rPr>
              <w:t>1,537</w:t>
            </w:r>
          </w:p>
        </w:tc>
        <w:tc>
          <w:tcPr>
            <w:tcW w:w="1498" w:type="dxa"/>
            <w:shd w:val="clear" w:color="auto" w:fill="D2DFED"/>
          </w:tcPr>
          <w:p>
            <w:pPr>
              <w:pStyle w:val="TableParagraph"/>
              <w:spacing w:before="20"/>
              <w:ind w:right="110"/>
              <w:rPr>
                <w:sz w:val="18"/>
              </w:rPr>
            </w:pPr>
            <w:r>
              <w:rPr>
                <w:sz w:val="18"/>
              </w:rPr>
              <w:t>1,314</w:t>
            </w:r>
          </w:p>
        </w:tc>
      </w:tr>
      <w:tr>
        <w:trPr>
          <w:trHeight w:val="285" w:hRule="atLeast"/>
        </w:trPr>
        <w:tc>
          <w:tcPr>
            <w:tcW w:w="5912" w:type="dxa"/>
          </w:tcPr>
          <w:p>
            <w:pPr>
              <w:pStyle w:val="TableParagraph"/>
              <w:spacing w:before="11"/>
              <w:ind w:left="127"/>
              <w:jc w:val="left"/>
              <w:rPr>
                <w:b/>
                <w:sz w:val="20"/>
              </w:rPr>
            </w:pPr>
            <w:r>
              <w:rPr>
                <w:b/>
                <w:sz w:val="20"/>
              </w:rPr>
              <w:t>Department of the Attorney General</w:t>
            </w:r>
          </w:p>
        </w:tc>
        <w:tc>
          <w:tcPr>
            <w:tcW w:w="1254" w:type="dxa"/>
          </w:tcPr>
          <w:p>
            <w:pPr>
              <w:pStyle w:val="TableParagraph"/>
              <w:ind w:right="128"/>
              <w:rPr>
                <w:sz w:val="18"/>
              </w:rPr>
            </w:pPr>
            <w:r>
              <w:rPr>
                <w:sz w:val="18"/>
              </w:rPr>
              <w:t>1,830</w:t>
            </w:r>
          </w:p>
        </w:tc>
        <w:tc>
          <w:tcPr>
            <w:tcW w:w="1283" w:type="dxa"/>
          </w:tcPr>
          <w:p>
            <w:pPr>
              <w:pStyle w:val="TableParagraph"/>
              <w:ind w:right="244"/>
              <w:rPr>
                <w:sz w:val="18"/>
              </w:rPr>
            </w:pPr>
            <w:r>
              <w:rPr>
                <w:sz w:val="18"/>
              </w:rPr>
              <w:t>1,448</w:t>
            </w:r>
          </w:p>
        </w:tc>
        <w:tc>
          <w:tcPr>
            <w:tcW w:w="1498" w:type="dxa"/>
          </w:tcPr>
          <w:p>
            <w:pPr>
              <w:pStyle w:val="TableParagraph"/>
              <w:ind w:right="110"/>
              <w:rPr>
                <w:sz w:val="18"/>
              </w:rPr>
            </w:pPr>
            <w:r>
              <w:rPr>
                <w:sz w:val="18"/>
              </w:rPr>
              <w:t>1,401</w:t>
            </w:r>
          </w:p>
        </w:tc>
      </w:tr>
      <w:tr>
        <w:trPr>
          <w:trHeight w:val="285" w:hRule="atLeast"/>
        </w:trPr>
        <w:tc>
          <w:tcPr>
            <w:tcW w:w="5912" w:type="dxa"/>
            <w:shd w:val="clear" w:color="auto" w:fill="D2DFED"/>
          </w:tcPr>
          <w:p>
            <w:pPr>
              <w:pStyle w:val="TableParagraph"/>
              <w:spacing w:before="11"/>
              <w:ind w:left="127"/>
              <w:jc w:val="left"/>
              <w:rPr>
                <w:b/>
                <w:sz w:val="20"/>
              </w:rPr>
            </w:pPr>
            <w:r>
              <w:rPr>
                <w:b/>
                <w:sz w:val="20"/>
              </w:rPr>
              <w:t>Department of Agriculture and Food</w:t>
            </w:r>
          </w:p>
        </w:tc>
        <w:tc>
          <w:tcPr>
            <w:tcW w:w="1254" w:type="dxa"/>
            <w:shd w:val="clear" w:color="auto" w:fill="D2DFED"/>
          </w:tcPr>
          <w:p>
            <w:pPr>
              <w:pStyle w:val="TableParagraph"/>
              <w:ind w:right="128"/>
              <w:rPr>
                <w:sz w:val="18"/>
              </w:rPr>
            </w:pPr>
            <w:r>
              <w:rPr>
                <w:sz w:val="18"/>
              </w:rPr>
              <w:t>1,662</w:t>
            </w:r>
          </w:p>
        </w:tc>
        <w:tc>
          <w:tcPr>
            <w:tcW w:w="1283" w:type="dxa"/>
            <w:shd w:val="clear" w:color="auto" w:fill="D2DFED"/>
          </w:tcPr>
          <w:p>
            <w:pPr>
              <w:pStyle w:val="TableParagraph"/>
              <w:ind w:right="244"/>
              <w:rPr>
                <w:sz w:val="18"/>
              </w:rPr>
            </w:pPr>
            <w:r>
              <w:rPr>
                <w:sz w:val="18"/>
              </w:rPr>
              <w:t>1,436</w:t>
            </w:r>
          </w:p>
        </w:tc>
        <w:tc>
          <w:tcPr>
            <w:tcW w:w="1498" w:type="dxa"/>
            <w:shd w:val="clear" w:color="auto" w:fill="D2DFED"/>
          </w:tcPr>
          <w:p>
            <w:pPr>
              <w:pStyle w:val="TableParagraph"/>
              <w:ind w:right="110"/>
              <w:rPr>
                <w:sz w:val="18"/>
              </w:rPr>
            </w:pPr>
            <w:r>
              <w:rPr>
                <w:sz w:val="18"/>
              </w:rPr>
              <w:t>1,485</w:t>
            </w:r>
          </w:p>
        </w:tc>
      </w:tr>
      <w:tr>
        <w:trPr>
          <w:trHeight w:val="285" w:hRule="atLeast"/>
        </w:trPr>
        <w:tc>
          <w:tcPr>
            <w:tcW w:w="5912" w:type="dxa"/>
          </w:tcPr>
          <w:p>
            <w:pPr>
              <w:pStyle w:val="TableParagraph"/>
              <w:spacing w:before="8"/>
              <w:ind w:left="127"/>
              <w:jc w:val="left"/>
              <w:rPr>
                <w:b/>
                <w:sz w:val="20"/>
              </w:rPr>
            </w:pPr>
            <w:r>
              <w:rPr>
                <w:b/>
                <w:sz w:val="20"/>
              </w:rPr>
              <w:t>Fire and Emergency Services Authority of Western Australia</w:t>
            </w:r>
          </w:p>
        </w:tc>
        <w:tc>
          <w:tcPr>
            <w:tcW w:w="1254" w:type="dxa"/>
          </w:tcPr>
          <w:p>
            <w:pPr>
              <w:pStyle w:val="TableParagraph"/>
              <w:ind w:right="128"/>
              <w:rPr>
                <w:sz w:val="18"/>
              </w:rPr>
            </w:pPr>
            <w:r>
              <w:rPr>
                <w:sz w:val="18"/>
              </w:rPr>
              <w:t>1,347</w:t>
            </w:r>
          </w:p>
        </w:tc>
        <w:tc>
          <w:tcPr>
            <w:tcW w:w="1283" w:type="dxa"/>
          </w:tcPr>
          <w:p>
            <w:pPr>
              <w:pStyle w:val="TableParagraph"/>
              <w:ind w:right="244"/>
              <w:rPr>
                <w:sz w:val="18"/>
              </w:rPr>
            </w:pPr>
            <w:r>
              <w:rPr>
                <w:sz w:val="18"/>
              </w:rPr>
              <w:t>1,308</w:t>
            </w:r>
          </w:p>
        </w:tc>
        <w:tc>
          <w:tcPr>
            <w:tcW w:w="1498" w:type="dxa"/>
          </w:tcPr>
          <w:p>
            <w:pPr>
              <w:pStyle w:val="TableParagraph"/>
              <w:ind w:right="110"/>
              <w:rPr>
                <w:sz w:val="18"/>
              </w:rPr>
            </w:pPr>
            <w:r>
              <w:rPr>
                <w:sz w:val="18"/>
              </w:rPr>
              <w:t>1,282</w:t>
            </w:r>
          </w:p>
        </w:tc>
      </w:tr>
      <w:tr>
        <w:trPr>
          <w:trHeight w:val="283" w:hRule="atLeast"/>
        </w:trPr>
        <w:tc>
          <w:tcPr>
            <w:tcW w:w="5912" w:type="dxa"/>
            <w:shd w:val="clear" w:color="auto" w:fill="D2DFED"/>
          </w:tcPr>
          <w:p>
            <w:pPr>
              <w:pStyle w:val="TableParagraph"/>
              <w:spacing w:before="8"/>
              <w:ind w:left="127"/>
              <w:jc w:val="left"/>
              <w:rPr>
                <w:b/>
                <w:sz w:val="20"/>
              </w:rPr>
            </w:pPr>
            <w:r>
              <w:rPr>
                <w:b/>
                <w:sz w:val="20"/>
              </w:rPr>
              <w:t>Swan TAFE</w:t>
            </w:r>
          </w:p>
        </w:tc>
        <w:tc>
          <w:tcPr>
            <w:tcW w:w="1254" w:type="dxa"/>
            <w:shd w:val="clear" w:color="auto" w:fill="D2DFED"/>
          </w:tcPr>
          <w:p>
            <w:pPr>
              <w:pStyle w:val="TableParagraph"/>
              <w:spacing w:before="20"/>
              <w:ind w:right="128"/>
              <w:rPr>
                <w:sz w:val="18"/>
              </w:rPr>
            </w:pPr>
            <w:r>
              <w:rPr>
                <w:sz w:val="18"/>
              </w:rPr>
              <w:t>1,451</w:t>
            </w:r>
          </w:p>
        </w:tc>
        <w:tc>
          <w:tcPr>
            <w:tcW w:w="1283" w:type="dxa"/>
            <w:shd w:val="clear" w:color="auto" w:fill="D2DFED"/>
          </w:tcPr>
          <w:p>
            <w:pPr>
              <w:pStyle w:val="TableParagraph"/>
              <w:spacing w:before="20"/>
              <w:ind w:right="244"/>
              <w:rPr>
                <w:sz w:val="18"/>
              </w:rPr>
            </w:pPr>
            <w:r>
              <w:rPr>
                <w:sz w:val="18"/>
              </w:rPr>
              <w:t>1,077</w:t>
            </w:r>
          </w:p>
        </w:tc>
        <w:tc>
          <w:tcPr>
            <w:tcW w:w="1498" w:type="dxa"/>
            <w:shd w:val="clear" w:color="auto" w:fill="D2DFED"/>
          </w:tcPr>
          <w:p>
            <w:pPr>
              <w:pStyle w:val="TableParagraph"/>
              <w:spacing w:before="20"/>
              <w:ind w:right="110"/>
              <w:rPr>
                <w:sz w:val="18"/>
              </w:rPr>
            </w:pPr>
            <w:r>
              <w:rPr>
                <w:sz w:val="18"/>
              </w:rPr>
              <w:t>990</w:t>
            </w:r>
          </w:p>
        </w:tc>
      </w:tr>
      <w:tr>
        <w:trPr>
          <w:trHeight w:val="285" w:hRule="atLeast"/>
        </w:trPr>
        <w:tc>
          <w:tcPr>
            <w:tcW w:w="5912" w:type="dxa"/>
          </w:tcPr>
          <w:p>
            <w:pPr>
              <w:pStyle w:val="TableParagraph"/>
              <w:spacing w:before="11"/>
              <w:ind w:left="127"/>
              <w:jc w:val="left"/>
              <w:rPr>
                <w:b/>
                <w:sz w:val="20"/>
              </w:rPr>
            </w:pPr>
            <w:r>
              <w:rPr>
                <w:b/>
                <w:sz w:val="20"/>
              </w:rPr>
              <w:t>Commissioner of Main Roads</w:t>
            </w:r>
          </w:p>
        </w:tc>
        <w:tc>
          <w:tcPr>
            <w:tcW w:w="1254" w:type="dxa"/>
          </w:tcPr>
          <w:p>
            <w:pPr>
              <w:pStyle w:val="TableParagraph"/>
              <w:ind w:right="128"/>
              <w:rPr>
                <w:sz w:val="18"/>
              </w:rPr>
            </w:pPr>
            <w:r>
              <w:rPr>
                <w:sz w:val="18"/>
              </w:rPr>
              <w:t>1,080</w:t>
            </w:r>
          </w:p>
        </w:tc>
        <w:tc>
          <w:tcPr>
            <w:tcW w:w="1283" w:type="dxa"/>
          </w:tcPr>
          <w:p>
            <w:pPr>
              <w:pStyle w:val="TableParagraph"/>
              <w:ind w:right="244"/>
              <w:rPr>
                <w:sz w:val="18"/>
              </w:rPr>
            </w:pPr>
            <w:r>
              <w:rPr>
                <w:sz w:val="18"/>
              </w:rPr>
              <w:t>1,031</w:t>
            </w:r>
          </w:p>
        </w:tc>
        <w:tc>
          <w:tcPr>
            <w:tcW w:w="1498" w:type="dxa"/>
          </w:tcPr>
          <w:p>
            <w:pPr>
              <w:pStyle w:val="TableParagraph"/>
              <w:ind w:right="110"/>
              <w:rPr>
                <w:sz w:val="18"/>
              </w:rPr>
            </w:pPr>
            <w:r>
              <w:rPr>
                <w:sz w:val="18"/>
              </w:rPr>
              <w:t>1,016</w:t>
            </w:r>
          </w:p>
        </w:tc>
      </w:tr>
      <w:tr>
        <w:trPr>
          <w:trHeight w:val="285" w:hRule="atLeast"/>
        </w:trPr>
        <w:tc>
          <w:tcPr>
            <w:tcW w:w="5912" w:type="dxa"/>
            <w:shd w:val="clear" w:color="auto" w:fill="D2DFED"/>
          </w:tcPr>
          <w:p>
            <w:pPr>
              <w:pStyle w:val="TableParagraph"/>
              <w:spacing w:before="11"/>
              <w:ind w:left="127"/>
              <w:jc w:val="left"/>
              <w:rPr>
                <w:b/>
                <w:sz w:val="20"/>
              </w:rPr>
            </w:pPr>
            <w:r>
              <w:rPr>
                <w:b/>
                <w:sz w:val="20"/>
              </w:rPr>
              <w:t>Department of Commerce</w:t>
            </w:r>
          </w:p>
        </w:tc>
        <w:tc>
          <w:tcPr>
            <w:tcW w:w="1254" w:type="dxa"/>
            <w:shd w:val="clear" w:color="auto" w:fill="D2DFED"/>
          </w:tcPr>
          <w:p>
            <w:pPr>
              <w:pStyle w:val="TableParagraph"/>
              <w:ind w:right="128"/>
              <w:rPr>
                <w:sz w:val="18"/>
              </w:rPr>
            </w:pPr>
            <w:r>
              <w:rPr>
                <w:sz w:val="18"/>
              </w:rPr>
              <w:t>1,074</w:t>
            </w:r>
          </w:p>
        </w:tc>
        <w:tc>
          <w:tcPr>
            <w:tcW w:w="1283" w:type="dxa"/>
            <w:shd w:val="clear" w:color="auto" w:fill="D2DFED"/>
          </w:tcPr>
          <w:p>
            <w:pPr>
              <w:pStyle w:val="TableParagraph"/>
              <w:ind w:right="244"/>
              <w:rPr>
                <w:sz w:val="18"/>
              </w:rPr>
            </w:pPr>
            <w:r>
              <w:rPr>
                <w:sz w:val="18"/>
              </w:rPr>
              <w:t>983</w:t>
            </w:r>
          </w:p>
        </w:tc>
        <w:tc>
          <w:tcPr>
            <w:tcW w:w="1498" w:type="dxa"/>
            <w:shd w:val="clear" w:color="auto" w:fill="D2DFED"/>
          </w:tcPr>
          <w:p>
            <w:pPr>
              <w:pStyle w:val="TableParagraph"/>
              <w:ind w:right="110"/>
              <w:rPr>
                <w:sz w:val="18"/>
              </w:rPr>
            </w:pPr>
            <w:r>
              <w:rPr>
                <w:sz w:val="18"/>
              </w:rPr>
              <w:t>965</w:t>
            </w:r>
          </w:p>
        </w:tc>
      </w:tr>
      <w:tr>
        <w:trPr>
          <w:trHeight w:val="285" w:hRule="atLeast"/>
        </w:trPr>
        <w:tc>
          <w:tcPr>
            <w:tcW w:w="5912" w:type="dxa"/>
          </w:tcPr>
          <w:p>
            <w:pPr>
              <w:pStyle w:val="TableParagraph"/>
              <w:spacing w:before="8"/>
              <w:ind w:left="127"/>
              <w:jc w:val="left"/>
              <w:rPr>
                <w:b/>
                <w:sz w:val="20"/>
              </w:rPr>
            </w:pPr>
            <w:r>
              <w:rPr>
                <w:b/>
                <w:sz w:val="20"/>
              </w:rPr>
              <w:t>Central TAFE</w:t>
            </w:r>
          </w:p>
        </w:tc>
        <w:tc>
          <w:tcPr>
            <w:tcW w:w="1254" w:type="dxa"/>
          </w:tcPr>
          <w:p>
            <w:pPr>
              <w:pStyle w:val="TableParagraph"/>
              <w:ind w:right="128"/>
              <w:rPr>
                <w:sz w:val="18"/>
              </w:rPr>
            </w:pPr>
            <w:r>
              <w:rPr>
                <w:sz w:val="18"/>
              </w:rPr>
              <w:t>1,307</w:t>
            </w:r>
          </w:p>
        </w:tc>
        <w:tc>
          <w:tcPr>
            <w:tcW w:w="1283" w:type="dxa"/>
          </w:tcPr>
          <w:p>
            <w:pPr>
              <w:pStyle w:val="TableParagraph"/>
              <w:ind w:right="244"/>
              <w:rPr>
                <w:sz w:val="18"/>
              </w:rPr>
            </w:pPr>
            <w:r>
              <w:rPr>
                <w:sz w:val="18"/>
              </w:rPr>
              <w:t>936</w:t>
            </w:r>
          </w:p>
        </w:tc>
        <w:tc>
          <w:tcPr>
            <w:tcW w:w="1498" w:type="dxa"/>
          </w:tcPr>
          <w:p>
            <w:pPr>
              <w:pStyle w:val="TableParagraph"/>
              <w:ind w:right="110"/>
              <w:rPr>
                <w:sz w:val="18"/>
              </w:rPr>
            </w:pPr>
            <w:r>
              <w:rPr>
                <w:sz w:val="18"/>
              </w:rPr>
              <w:t>877</w:t>
            </w:r>
          </w:p>
        </w:tc>
      </w:tr>
      <w:tr>
        <w:trPr>
          <w:trHeight w:val="283" w:hRule="atLeast"/>
        </w:trPr>
        <w:tc>
          <w:tcPr>
            <w:tcW w:w="5912" w:type="dxa"/>
            <w:shd w:val="clear" w:color="auto" w:fill="D2DFED"/>
          </w:tcPr>
          <w:p>
            <w:pPr>
              <w:pStyle w:val="TableParagraph"/>
              <w:spacing w:before="9"/>
              <w:ind w:left="127"/>
              <w:jc w:val="left"/>
              <w:rPr>
                <w:b/>
                <w:sz w:val="20"/>
              </w:rPr>
            </w:pPr>
            <w:r>
              <w:rPr>
                <w:b/>
                <w:sz w:val="20"/>
              </w:rPr>
              <w:t>Western Australian Land Information Authority (Landgate)</w:t>
            </w:r>
          </w:p>
        </w:tc>
        <w:tc>
          <w:tcPr>
            <w:tcW w:w="1254" w:type="dxa"/>
            <w:shd w:val="clear" w:color="auto" w:fill="D2DFED"/>
          </w:tcPr>
          <w:p>
            <w:pPr>
              <w:pStyle w:val="TableParagraph"/>
              <w:spacing w:before="21"/>
              <w:ind w:right="128"/>
              <w:rPr>
                <w:sz w:val="18"/>
              </w:rPr>
            </w:pPr>
            <w:r>
              <w:rPr>
                <w:sz w:val="18"/>
              </w:rPr>
              <w:t>987</w:t>
            </w:r>
          </w:p>
        </w:tc>
        <w:tc>
          <w:tcPr>
            <w:tcW w:w="1283" w:type="dxa"/>
            <w:shd w:val="clear" w:color="auto" w:fill="D2DFED"/>
          </w:tcPr>
          <w:p>
            <w:pPr>
              <w:pStyle w:val="TableParagraph"/>
              <w:spacing w:before="21"/>
              <w:ind w:right="244"/>
              <w:rPr>
                <w:sz w:val="18"/>
              </w:rPr>
            </w:pPr>
            <w:r>
              <w:rPr>
                <w:sz w:val="18"/>
              </w:rPr>
              <w:t>900</w:t>
            </w:r>
          </w:p>
        </w:tc>
        <w:tc>
          <w:tcPr>
            <w:tcW w:w="1498" w:type="dxa"/>
            <w:shd w:val="clear" w:color="auto" w:fill="D2DFED"/>
          </w:tcPr>
          <w:p>
            <w:pPr>
              <w:pStyle w:val="TableParagraph"/>
              <w:spacing w:before="21"/>
              <w:ind w:right="110"/>
              <w:rPr>
                <w:sz w:val="18"/>
              </w:rPr>
            </w:pPr>
            <w:r>
              <w:rPr>
                <w:sz w:val="18"/>
              </w:rPr>
              <w:t>916</w:t>
            </w:r>
          </w:p>
        </w:tc>
      </w:tr>
      <w:tr>
        <w:trPr>
          <w:trHeight w:val="285" w:hRule="atLeast"/>
        </w:trPr>
        <w:tc>
          <w:tcPr>
            <w:tcW w:w="5912" w:type="dxa"/>
          </w:tcPr>
          <w:p>
            <w:pPr>
              <w:pStyle w:val="TableParagraph"/>
              <w:spacing w:before="11"/>
              <w:ind w:left="127"/>
              <w:jc w:val="left"/>
              <w:rPr>
                <w:b/>
                <w:sz w:val="20"/>
              </w:rPr>
            </w:pPr>
            <w:r>
              <w:rPr>
                <w:b/>
                <w:sz w:val="20"/>
              </w:rPr>
              <w:t>Department of Mines and Petroleum</w:t>
            </w:r>
          </w:p>
        </w:tc>
        <w:tc>
          <w:tcPr>
            <w:tcW w:w="1254" w:type="dxa"/>
          </w:tcPr>
          <w:p>
            <w:pPr>
              <w:pStyle w:val="TableParagraph"/>
              <w:ind w:right="128"/>
              <w:rPr>
                <w:sz w:val="18"/>
              </w:rPr>
            </w:pPr>
            <w:r>
              <w:rPr>
                <w:sz w:val="18"/>
              </w:rPr>
              <w:t>765</w:t>
            </w:r>
          </w:p>
        </w:tc>
        <w:tc>
          <w:tcPr>
            <w:tcW w:w="1283" w:type="dxa"/>
          </w:tcPr>
          <w:p>
            <w:pPr>
              <w:pStyle w:val="TableParagraph"/>
              <w:ind w:right="244"/>
              <w:rPr>
                <w:sz w:val="18"/>
              </w:rPr>
            </w:pPr>
            <w:r>
              <w:rPr>
                <w:sz w:val="18"/>
              </w:rPr>
              <w:t>718</w:t>
            </w:r>
          </w:p>
        </w:tc>
        <w:tc>
          <w:tcPr>
            <w:tcW w:w="1498" w:type="dxa"/>
          </w:tcPr>
          <w:p>
            <w:pPr>
              <w:pStyle w:val="TableParagraph"/>
              <w:ind w:right="110"/>
              <w:rPr>
                <w:sz w:val="18"/>
              </w:rPr>
            </w:pPr>
            <w:r>
              <w:rPr>
                <w:sz w:val="18"/>
              </w:rPr>
              <w:t>711</w:t>
            </w:r>
          </w:p>
        </w:tc>
      </w:tr>
      <w:tr>
        <w:trPr>
          <w:trHeight w:val="285" w:hRule="atLeast"/>
        </w:trPr>
        <w:tc>
          <w:tcPr>
            <w:tcW w:w="5912" w:type="dxa"/>
            <w:shd w:val="clear" w:color="auto" w:fill="D2DFED"/>
          </w:tcPr>
          <w:p>
            <w:pPr>
              <w:pStyle w:val="TableParagraph"/>
              <w:spacing w:before="11"/>
              <w:ind w:left="127"/>
              <w:jc w:val="left"/>
              <w:rPr>
                <w:b/>
                <w:sz w:val="20"/>
              </w:rPr>
            </w:pPr>
            <w:r>
              <w:rPr>
                <w:b/>
                <w:sz w:val="20"/>
              </w:rPr>
              <w:t>Challenger TAFE</w:t>
            </w:r>
          </w:p>
        </w:tc>
        <w:tc>
          <w:tcPr>
            <w:tcW w:w="1254" w:type="dxa"/>
            <w:shd w:val="clear" w:color="auto" w:fill="D2DFED"/>
          </w:tcPr>
          <w:p>
            <w:pPr>
              <w:pStyle w:val="TableParagraph"/>
              <w:ind w:right="128"/>
              <w:rPr>
                <w:sz w:val="18"/>
              </w:rPr>
            </w:pPr>
            <w:r>
              <w:rPr>
                <w:sz w:val="18"/>
              </w:rPr>
              <w:t>920</w:t>
            </w:r>
          </w:p>
        </w:tc>
        <w:tc>
          <w:tcPr>
            <w:tcW w:w="1283" w:type="dxa"/>
            <w:shd w:val="clear" w:color="auto" w:fill="D2DFED"/>
          </w:tcPr>
          <w:p>
            <w:pPr>
              <w:pStyle w:val="TableParagraph"/>
              <w:ind w:right="244"/>
              <w:rPr>
                <w:sz w:val="18"/>
              </w:rPr>
            </w:pPr>
            <w:r>
              <w:rPr>
                <w:sz w:val="18"/>
              </w:rPr>
              <w:t>668</w:t>
            </w:r>
          </w:p>
        </w:tc>
        <w:tc>
          <w:tcPr>
            <w:tcW w:w="1498" w:type="dxa"/>
            <w:shd w:val="clear" w:color="auto" w:fill="D2DFED"/>
          </w:tcPr>
          <w:p>
            <w:pPr>
              <w:pStyle w:val="TableParagraph"/>
              <w:ind w:right="110"/>
              <w:rPr>
                <w:sz w:val="18"/>
              </w:rPr>
            </w:pPr>
            <w:r>
              <w:rPr>
                <w:sz w:val="18"/>
              </w:rPr>
              <w:t>640</w:t>
            </w:r>
          </w:p>
        </w:tc>
      </w:tr>
      <w:tr>
        <w:trPr>
          <w:trHeight w:val="285" w:hRule="atLeast"/>
        </w:trPr>
        <w:tc>
          <w:tcPr>
            <w:tcW w:w="5912" w:type="dxa"/>
          </w:tcPr>
          <w:p>
            <w:pPr>
              <w:pStyle w:val="TableParagraph"/>
              <w:spacing w:before="8"/>
              <w:ind w:left="127"/>
              <w:jc w:val="left"/>
              <w:rPr>
                <w:b/>
                <w:sz w:val="20"/>
              </w:rPr>
            </w:pPr>
            <w:r>
              <w:rPr>
                <w:b/>
                <w:sz w:val="20"/>
              </w:rPr>
              <w:t>Department of Culture and the Arts</w:t>
            </w:r>
          </w:p>
        </w:tc>
        <w:tc>
          <w:tcPr>
            <w:tcW w:w="1254" w:type="dxa"/>
          </w:tcPr>
          <w:p>
            <w:pPr>
              <w:pStyle w:val="TableParagraph"/>
              <w:ind w:right="128"/>
              <w:rPr>
                <w:sz w:val="18"/>
              </w:rPr>
            </w:pPr>
            <w:r>
              <w:rPr>
                <w:sz w:val="18"/>
              </w:rPr>
              <w:t>833</w:t>
            </w:r>
          </w:p>
        </w:tc>
        <w:tc>
          <w:tcPr>
            <w:tcW w:w="1283" w:type="dxa"/>
          </w:tcPr>
          <w:p>
            <w:pPr>
              <w:pStyle w:val="TableParagraph"/>
              <w:ind w:right="244"/>
              <w:rPr>
                <w:sz w:val="18"/>
              </w:rPr>
            </w:pPr>
            <w:r>
              <w:rPr>
                <w:sz w:val="18"/>
              </w:rPr>
              <w:t>667</w:t>
            </w:r>
          </w:p>
        </w:tc>
        <w:tc>
          <w:tcPr>
            <w:tcW w:w="1498" w:type="dxa"/>
          </w:tcPr>
          <w:p>
            <w:pPr>
              <w:pStyle w:val="TableParagraph"/>
              <w:ind w:right="110"/>
              <w:rPr>
                <w:sz w:val="18"/>
              </w:rPr>
            </w:pPr>
            <w:r>
              <w:rPr>
                <w:sz w:val="18"/>
              </w:rPr>
              <w:t>667</w:t>
            </w:r>
          </w:p>
        </w:tc>
      </w:tr>
      <w:tr>
        <w:trPr>
          <w:trHeight w:val="283" w:hRule="atLeast"/>
        </w:trPr>
        <w:tc>
          <w:tcPr>
            <w:tcW w:w="5912" w:type="dxa"/>
            <w:shd w:val="clear" w:color="auto" w:fill="D2DFED"/>
          </w:tcPr>
          <w:p>
            <w:pPr>
              <w:pStyle w:val="TableParagraph"/>
              <w:spacing w:before="8"/>
              <w:ind w:left="127"/>
              <w:jc w:val="left"/>
              <w:rPr>
                <w:b/>
                <w:sz w:val="20"/>
              </w:rPr>
            </w:pPr>
            <w:r>
              <w:rPr>
                <w:b/>
                <w:sz w:val="20"/>
              </w:rPr>
              <w:t>Department of Water</w:t>
            </w:r>
          </w:p>
        </w:tc>
        <w:tc>
          <w:tcPr>
            <w:tcW w:w="1254" w:type="dxa"/>
            <w:shd w:val="clear" w:color="auto" w:fill="D2DFED"/>
          </w:tcPr>
          <w:p>
            <w:pPr>
              <w:pStyle w:val="TableParagraph"/>
              <w:spacing w:before="20"/>
              <w:ind w:right="128"/>
              <w:rPr>
                <w:sz w:val="18"/>
              </w:rPr>
            </w:pPr>
            <w:r>
              <w:rPr>
                <w:sz w:val="18"/>
              </w:rPr>
              <w:t>646</w:t>
            </w:r>
          </w:p>
        </w:tc>
        <w:tc>
          <w:tcPr>
            <w:tcW w:w="1283" w:type="dxa"/>
            <w:shd w:val="clear" w:color="auto" w:fill="D2DFED"/>
          </w:tcPr>
          <w:p>
            <w:pPr>
              <w:pStyle w:val="TableParagraph"/>
              <w:spacing w:before="20"/>
              <w:ind w:right="244"/>
              <w:rPr>
                <w:sz w:val="18"/>
              </w:rPr>
            </w:pPr>
            <w:r>
              <w:rPr>
                <w:sz w:val="18"/>
              </w:rPr>
              <w:t>592</w:t>
            </w:r>
          </w:p>
        </w:tc>
        <w:tc>
          <w:tcPr>
            <w:tcW w:w="1498" w:type="dxa"/>
            <w:shd w:val="clear" w:color="auto" w:fill="D2DFED"/>
          </w:tcPr>
          <w:p>
            <w:pPr>
              <w:pStyle w:val="TableParagraph"/>
              <w:spacing w:before="20"/>
              <w:ind w:right="110"/>
              <w:rPr>
                <w:sz w:val="18"/>
              </w:rPr>
            </w:pPr>
            <w:r>
              <w:rPr>
                <w:sz w:val="18"/>
              </w:rPr>
              <w:t>580</w:t>
            </w:r>
          </w:p>
        </w:tc>
      </w:tr>
      <w:tr>
        <w:trPr>
          <w:trHeight w:val="285" w:hRule="atLeast"/>
        </w:trPr>
        <w:tc>
          <w:tcPr>
            <w:tcW w:w="5912" w:type="dxa"/>
          </w:tcPr>
          <w:p>
            <w:pPr>
              <w:pStyle w:val="TableParagraph"/>
              <w:spacing w:before="11"/>
              <w:ind w:left="127"/>
              <w:jc w:val="left"/>
              <w:rPr>
                <w:b/>
                <w:sz w:val="20"/>
              </w:rPr>
            </w:pPr>
            <w:r>
              <w:rPr>
                <w:b/>
                <w:sz w:val="20"/>
              </w:rPr>
              <w:t>Department of the Premier and Cabinet</w:t>
            </w:r>
          </w:p>
        </w:tc>
        <w:tc>
          <w:tcPr>
            <w:tcW w:w="1254" w:type="dxa"/>
          </w:tcPr>
          <w:p>
            <w:pPr>
              <w:pStyle w:val="TableParagraph"/>
              <w:ind w:right="128"/>
              <w:rPr>
                <w:sz w:val="18"/>
              </w:rPr>
            </w:pPr>
            <w:r>
              <w:rPr>
                <w:sz w:val="18"/>
              </w:rPr>
              <w:t>527</w:t>
            </w:r>
          </w:p>
        </w:tc>
        <w:tc>
          <w:tcPr>
            <w:tcW w:w="1283" w:type="dxa"/>
          </w:tcPr>
          <w:p>
            <w:pPr>
              <w:pStyle w:val="TableParagraph"/>
              <w:ind w:right="244"/>
              <w:rPr>
                <w:sz w:val="18"/>
              </w:rPr>
            </w:pPr>
            <w:r>
              <w:rPr>
                <w:sz w:val="18"/>
              </w:rPr>
              <w:t>438</w:t>
            </w:r>
          </w:p>
        </w:tc>
        <w:tc>
          <w:tcPr>
            <w:tcW w:w="1498" w:type="dxa"/>
          </w:tcPr>
          <w:p>
            <w:pPr>
              <w:pStyle w:val="TableParagraph"/>
              <w:ind w:right="110"/>
              <w:rPr>
                <w:sz w:val="18"/>
              </w:rPr>
            </w:pPr>
            <w:r>
              <w:rPr>
                <w:sz w:val="18"/>
              </w:rPr>
              <w:t>461</w:t>
            </w:r>
          </w:p>
        </w:tc>
      </w:tr>
      <w:tr>
        <w:trPr>
          <w:trHeight w:val="285" w:hRule="atLeast"/>
        </w:trPr>
        <w:tc>
          <w:tcPr>
            <w:tcW w:w="5912" w:type="dxa"/>
            <w:shd w:val="clear" w:color="auto" w:fill="D2DFED"/>
          </w:tcPr>
          <w:p>
            <w:pPr>
              <w:pStyle w:val="TableParagraph"/>
              <w:spacing w:before="11"/>
              <w:ind w:left="127"/>
              <w:jc w:val="left"/>
              <w:rPr>
                <w:b/>
                <w:sz w:val="20"/>
              </w:rPr>
            </w:pPr>
            <w:r>
              <w:rPr>
                <w:b/>
                <w:sz w:val="20"/>
              </w:rPr>
              <w:t>Department of Fisheries</w:t>
            </w:r>
          </w:p>
        </w:tc>
        <w:tc>
          <w:tcPr>
            <w:tcW w:w="1254" w:type="dxa"/>
            <w:shd w:val="clear" w:color="auto" w:fill="D2DFED"/>
          </w:tcPr>
          <w:p>
            <w:pPr>
              <w:pStyle w:val="TableParagraph"/>
              <w:ind w:right="128"/>
              <w:rPr>
                <w:sz w:val="18"/>
              </w:rPr>
            </w:pPr>
            <w:r>
              <w:rPr>
                <w:sz w:val="18"/>
              </w:rPr>
              <w:t>472</w:t>
            </w:r>
          </w:p>
        </w:tc>
        <w:tc>
          <w:tcPr>
            <w:tcW w:w="1283" w:type="dxa"/>
            <w:shd w:val="clear" w:color="auto" w:fill="D2DFED"/>
          </w:tcPr>
          <w:p>
            <w:pPr>
              <w:pStyle w:val="TableParagraph"/>
              <w:ind w:right="244"/>
              <w:rPr>
                <w:sz w:val="18"/>
              </w:rPr>
            </w:pPr>
            <w:r>
              <w:rPr>
                <w:sz w:val="18"/>
              </w:rPr>
              <w:t>424</w:t>
            </w:r>
          </w:p>
        </w:tc>
        <w:tc>
          <w:tcPr>
            <w:tcW w:w="1498" w:type="dxa"/>
            <w:shd w:val="clear" w:color="auto" w:fill="D2DFED"/>
          </w:tcPr>
          <w:p>
            <w:pPr>
              <w:pStyle w:val="TableParagraph"/>
              <w:ind w:right="110"/>
              <w:rPr>
                <w:sz w:val="18"/>
              </w:rPr>
            </w:pPr>
            <w:r>
              <w:rPr>
                <w:sz w:val="18"/>
              </w:rPr>
              <w:t>410</w:t>
            </w:r>
          </w:p>
        </w:tc>
      </w:tr>
      <w:tr>
        <w:trPr>
          <w:trHeight w:val="285" w:hRule="atLeast"/>
        </w:trPr>
        <w:tc>
          <w:tcPr>
            <w:tcW w:w="5912" w:type="dxa"/>
          </w:tcPr>
          <w:p>
            <w:pPr>
              <w:pStyle w:val="TableParagraph"/>
              <w:spacing w:before="8"/>
              <w:ind w:left="127"/>
              <w:jc w:val="left"/>
              <w:rPr>
                <w:b/>
                <w:sz w:val="20"/>
              </w:rPr>
            </w:pPr>
            <w:r>
              <w:rPr>
                <w:b/>
                <w:sz w:val="20"/>
              </w:rPr>
              <w:t>West Coast TAFE</w:t>
            </w:r>
          </w:p>
        </w:tc>
        <w:tc>
          <w:tcPr>
            <w:tcW w:w="1254" w:type="dxa"/>
          </w:tcPr>
          <w:p>
            <w:pPr>
              <w:pStyle w:val="TableParagraph"/>
              <w:ind w:right="128"/>
              <w:rPr>
                <w:sz w:val="18"/>
              </w:rPr>
            </w:pPr>
            <w:r>
              <w:rPr>
                <w:sz w:val="18"/>
              </w:rPr>
              <w:t>346</w:t>
            </w:r>
          </w:p>
        </w:tc>
        <w:tc>
          <w:tcPr>
            <w:tcW w:w="1283" w:type="dxa"/>
          </w:tcPr>
          <w:p>
            <w:pPr>
              <w:pStyle w:val="TableParagraph"/>
              <w:ind w:right="244"/>
              <w:rPr>
                <w:sz w:val="18"/>
              </w:rPr>
            </w:pPr>
            <w:r>
              <w:rPr>
                <w:sz w:val="18"/>
              </w:rPr>
              <w:t>254</w:t>
            </w:r>
          </w:p>
        </w:tc>
        <w:tc>
          <w:tcPr>
            <w:tcW w:w="1498" w:type="dxa"/>
          </w:tcPr>
          <w:p>
            <w:pPr>
              <w:pStyle w:val="TableParagraph"/>
              <w:ind w:right="110"/>
              <w:rPr>
                <w:sz w:val="18"/>
              </w:rPr>
            </w:pPr>
            <w:r>
              <w:rPr>
                <w:sz w:val="18"/>
              </w:rPr>
              <w:t>296</w:t>
            </w:r>
          </w:p>
        </w:tc>
      </w:tr>
      <w:tr>
        <w:trPr>
          <w:trHeight w:val="283" w:hRule="atLeast"/>
        </w:trPr>
        <w:tc>
          <w:tcPr>
            <w:tcW w:w="5912" w:type="dxa"/>
            <w:shd w:val="clear" w:color="auto" w:fill="D2DFED"/>
          </w:tcPr>
          <w:p>
            <w:pPr>
              <w:pStyle w:val="TableParagraph"/>
              <w:spacing w:before="8"/>
              <w:ind w:left="127"/>
              <w:jc w:val="left"/>
              <w:rPr>
                <w:b/>
                <w:sz w:val="20"/>
              </w:rPr>
            </w:pPr>
            <w:r>
              <w:rPr>
                <w:b/>
                <w:sz w:val="20"/>
              </w:rPr>
              <w:t>South West Regional College of TAFE</w:t>
            </w:r>
          </w:p>
        </w:tc>
        <w:tc>
          <w:tcPr>
            <w:tcW w:w="1254" w:type="dxa"/>
            <w:shd w:val="clear" w:color="auto" w:fill="D2DFED"/>
          </w:tcPr>
          <w:p>
            <w:pPr>
              <w:pStyle w:val="TableParagraph"/>
              <w:spacing w:before="20"/>
              <w:ind w:right="128"/>
              <w:rPr>
                <w:sz w:val="18"/>
              </w:rPr>
            </w:pPr>
            <w:r>
              <w:rPr>
                <w:sz w:val="18"/>
              </w:rPr>
              <w:t>361</w:t>
            </w:r>
          </w:p>
        </w:tc>
        <w:tc>
          <w:tcPr>
            <w:tcW w:w="1283" w:type="dxa"/>
            <w:shd w:val="clear" w:color="auto" w:fill="D2DFED"/>
          </w:tcPr>
          <w:p>
            <w:pPr>
              <w:pStyle w:val="TableParagraph"/>
              <w:spacing w:before="20"/>
              <w:ind w:right="244"/>
              <w:rPr>
                <w:sz w:val="18"/>
              </w:rPr>
            </w:pPr>
            <w:r>
              <w:rPr>
                <w:sz w:val="18"/>
              </w:rPr>
              <w:t>252</w:t>
            </w:r>
          </w:p>
        </w:tc>
        <w:tc>
          <w:tcPr>
            <w:tcW w:w="1498" w:type="dxa"/>
            <w:shd w:val="clear" w:color="auto" w:fill="D2DFED"/>
          </w:tcPr>
          <w:p>
            <w:pPr>
              <w:pStyle w:val="TableParagraph"/>
              <w:spacing w:before="20"/>
              <w:ind w:right="110"/>
              <w:rPr>
                <w:sz w:val="18"/>
              </w:rPr>
            </w:pPr>
            <w:r>
              <w:rPr>
                <w:sz w:val="18"/>
              </w:rPr>
              <w:t>259</w:t>
            </w:r>
          </w:p>
        </w:tc>
      </w:tr>
      <w:tr>
        <w:trPr>
          <w:trHeight w:val="285" w:hRule="atLeast"/>
        </w:trPr>
        <w:tc>
          <w:tcPr>
            <w:tcW w:w="5912" w:type="dxa"/>
          </w:tcPr>
          <w:p>
            <w:pPr>
              <w:pStyle w:val="TableParagraph"/>
              <w:spacing w:before="11"/>
              <w:ind w:left="127"/>
              <w:jc w:val="left"/>
              <w:rPr>
                <w:b/>
                <w:sz w:val="20"/>
              </w:rPr>
            </w:pPr>
            <w:r>
              <w:rPr>
                <w:b/>
                <w:sz w:val="20"/>
              </w:rPr>
              <w:t>Department for Communities</w:t>
            </w:r>
          </w:p>
        </w:tc>
        <w:tc>
          <w:tcPr>
            <w:tcW w:w="1254" w:type="dxa"/>
          </w:tcPr>
          <w:p>
            <w:pPr>
              <w:pStyle w:val="TableParagraph"/>
              <w:ind w:right="128"/>
              <w:rPr>
                <w:sz w:val="18"/>
              </w:rPr>
            </w:pPr>
            <w:r>
              <w:rPr>
                <w:sz w:val="18"/>
              </w:rPr>
              <w:t>274</w:t>
            </w:r>
          </w:p>
        </w:tc>
        <w:tc>
          <w:tcPr>
            <w:tcW w:w="1283" w:type="dxa"/>
          </w:tcPr>
          <w:p>
            <w:pPr>
              <w:pStyle w:val="TableParagraph"/>
              <w:ind w:right="244"/>
              <w:rPr>
                <w:sz w:val="18"/>
              </w:rPr>
            </w:pPr>
            <w:r>
              <w:rPr>
                <w:sz w:val="18"/>
              </w:rPr>
              <w:t>229</w:t>
            </w:r>
          </w:p>
        </w:tc>
        <w:tc>
          <w:tcPr>
            <w:tcW w:w="1498" w:type="dxa"/>
          </w:tcPr>
          <w:p>
            <w:pPr>
              <w:pStyle w:val="TableParagraph"/>
              <w:ind w:right="110"/>
              <w:rPr>
                <w:sz w:val="18"/>
              </w:rPr>
            </w:pPr>
            <w:r>
              <w:rPr>
                <w:sz w:val="18"/>
              </w:rPr>
              <w:t>233</w:t>
            </w:r>
          </w:p>
        </w:tc>
      </w:tr>
      <w:tr>
        <w:trPr>
          <w:trHeight w:val="285" w:hRule="atLeast"/>
        </w:trPr>
        <w:tc>
          <w:tcPr>
            <w:tcW w:w="5912" w:type="dxa"/>
            <w:shd w:val="clear" w:color="auto" w:fill="D2DFED"/>
          </w:tcPr>
          <w:p>
            <w:pPr>
              <w:pStyle w:val="TableParagraph"/>
              <w:spacing w:before="11"/>
              <w:ind w:left="127"/>
              <w:jc w:val="left"/>
              <w:rPr>
                <w:b/>
                <w:sz w:val="20"/>
              </w:rPr>
            </w:pPr>
            <w:r>
              <w:rPr>
                <w:b/>
                <w:sz w:val="20"/>
              </w:rPr>
              <w:t>Office of the Director of Public Prosecutions</w:t>
            </w:r>
          </w:p>
        </w:tc>
        <w:tc>
          <w:tcPr>
            <w:tcW w:w="1254" w:type="dxa"/>
            <w:shd w:val="clear" w:color="auto" w:fill="D2DFED"/>
          </w:tcPr>
          <w:p>
            <w:pPr>
              <w:pStyle w:val="TableParagraph"/>
              <w:ind w:right="128"/>
              <w:rPr>
                <w:sz w:val="18"/>
              </w:rPr>
            </w:pPr>
            <w:r>
              <w:rPr>
                <w:sz w:val="18"/>
              </w:rPr>
              <w:t>265</w:t>
            </w:r>
          </w:p>
        </w:tc>
        <w:tc>
          <w:tcPr>
            <w:tcW w:w="1283" w:type="dxa"/>
            <w:shd w:val="clear" w:color="auto" w:fill="D2DFED"/>
          </w:tcPr>
          <w:p>
            <w:pPr>
              <w:pStyle w:val="TableParagraph"/>
              <w:ind w:right="244"/>
              <w:rPr>
                <w:sz w:val="18"/>
              </w:rPr>
            </w:pPr>
            <w:r>
              <w:rPr>
                <w:sz w:val="18"/>
              </w:rPr>
              <w:t>222</w:t>
            </w:r>
          </w:p>
        </w:tc>
        <w:tc>
          <w:tcPr>
            <w:tcW w:w="1498" w:type="dxa"/>
            <w:shd w:val="clear" w:color="auto" w:fill="D2DFED"/>
          </w:tcPr>
          <w:p>
            <w:pPr>
              <w:pStyle w:val="TableParagraph"/>
              <w:ind w:right="110"/>
              <w:rPr>
                <w:sz w:val="18"/>
              </w:rPr>
            </w:pPr>
            <w:r>
              <w:rPr>
                <w:sz w:val="18"/>
              </w:rPr>
              <w:t>219</w:t>
            </w:r>
          </w:p>
        </w:tc>
      </w:tr>
      <w:tr>
        <w:trPr>
          <w:trHeight w:val="286" w:hRule="atLeast"/>
        </w:trPr>
        <w:tc>
          <w:tcPr>
            <w:tcW w:w="5912" w:type="dxa"/>
          </w:tcPr>
          <w:p>
            <w:pPr>
              <w:pStyle w:val="TableParagraph"/>
              <w:spacing w:before="9"/>
              <w:ind w:left="127"/>
              <w:jc w:val="left"/>
              <w:rPr>
                <w:b/>
                <w:sz w:val="20"/>
              </w:rPr>
            </w:pPr>
            <w:r>
              <w:rPr>
                <w:b/>
                <w:sz w:val="20"/>
              </w:rPr>
              <w:t>Western Australian Sports Centre Trust</w:t>
            </w:r>
          </w:p>
        </w:tc>
        <w:tc>
          <w:tcPr>
            <w:tcW w:w="1254" w:type="dxa"/>
          </w:tcPr>
          <w:p>
            <w:pPr>
              <w:pStyle w:val="TableParagraph"/>
              <w:ind w:right="128"/>
              <w:rPr>
                <w:sz w:val="18"/>
              </w:rPr>
            </w:pPr>
            <w:r>
              <w:rPr>
                <w:sz w:val="18"/>
              </w:rPr>
              <w:t>498</w:t>
            </w:r>
          </w:p>
        </w:tc>
        <w:tc>
          <w:tcPr>
            <w:tcW w:w="1283" w:type="dxa"/>
          </w:tcPr>
          <w:p>
            <w:pPr>
              <w:pStyle w:val="TableParagraph"/>
              <w:ind w:right="244"/>
              <w:rPr>
                <w:sz w:val="18"/>
              </w:rPr>
            </w:pPr>
            <w:r>
              <w:rPr>
                <w:sz w:val="18"/>
              </w:rPr>
              <w:t>202</w:t>
            </w:r>
          </w:p>
        </w:tc>
        <w:tc>
          <w:tcPr>
            <w:tcW w:w="1498" w:type="dxa"/>
          </w:tcPr>
          <w:p>
            <w:pPr>
              <w:pStyle w:val="TableParagraph"/>
              <w:ind w:right="110"/>
              <w:rPr>
                <w:sz w:val="18"/>
              </w:rPr>
            </w:pPr>
            <w:r>
              <w:rPr>
                <w:sz w:val="18"/>
              </w:rPr>
              <w:t>205</w:t>
            </w:r>
          </w:p>
        </w:tc>
      </w:tr>
      <w:tr>
        <w:trPr>
          <w:trHeight w:val="283" w:hRule="atLeast"/>
        </w:trPr>
        <w:tc>
          <w:tcPr>
            <w:tcW w:w="5912" w:type="dxa"/>
            <w:shd w:val="clear" w:color="auto" w:fill="D2DFED"/>
          </w:tcPr>
          <w:p>
            <w:pPr>
              <w:pStyle w:val="TableParagraph"/>
              <w:spacing w:before="8"/>
              <w:ind w:left="127"/>
              <w:jc w:val="left"/>
              <w:rPr>
                <w:b/>
                <w:sz w:val="20"/>
              </w:rPr>
            </w:pPr>
            <w:r>
              <w:rPr>
                <w:b/>
                <w:sz w:val="20"/>
              </w:rPr>
              <w:t>Pilbara TAFE</w:t>
            </w:r>
          </w:p>
        </w:tc>
        <w:tc>
          <w:tcPr>
            <w:tcW w:w="1254" w:type="dxa"/>
            <w:shd w:val="clear" w:color="auto" w:fill="D2DFED"/>
          </w:tcPr>
          <w:p>
            <w:pPr>
              <w:pStyle w:val="TableParagraph"/>
              <w:spacing w:before="20"/>
              <w:ind w:right="128"/>
              <w:rPr>
                <w:sz w:val="18"/>
              </w:rPr>
            </w:pPr>
            <w:r>
              <w:rPr>
                <w:sz w:val="18"/>
              </w:rPr>
              <w:t>242</w:t>
            </w:r>
          </w:p>
        </w:tc>
        <w:tc>
          <w:tcPr>
            <w:tcW w:w="1283" w:type="dxa"/>
            <w:shd w:val="clear" w:color="auto" w:fill="D2DFED"/>
          </w:tcPr>
          <w:p>
            <w:pPr>
              <w:pStyle w:val="TableParagraph"/>
              <w:spacing w:before="20"/>
              <w:ind w:right="244"/>
              <w:rPr>
                <w:sz w:val="18"/>
              </w:rPr>
            </w:pPr>
            <w:r>
              <w:rPr>
                <w:sz w:val="18"/>
              </w:rPr>
              <w:t>196</w:t>
            </w:r>
          </w:p>
        </w:tc>
        <w:tc>
          <w:tcPr>
            <w:tcW w:w="1498" w:type="dxa"/>
            <w:shd w:val="clear" w:color="auto" w:fill="D2DFED"/>
          </w:tcPr>
          <w:p>
            <w:pPr>
              <w:pStyle w:val="TableParagraph"/>
              <w:spacing w:before="20"/>
              <w:ind w:right="110"/>
              <w:rPr>
                <w:sz w:val="18"/>
              </w:rPr>
            </w:pPr>
            <w:r>
              <w:rPr>
                <w:sz w:val="18"/>
              </w:rPr>
              <w:t>202</w:t>
            </w:r>
          </w:p>
        </w:tc>
      </w:tr>
      <w:tr>
        <w:trPr>
          <w:trHeight w:val="285" w:hRule="atLeast"/>
        </w:trPr>
        <w:tc>
          <w:tcPr>
            <w:tcW w:w="5912" w:type="dxa"/>
          </w:tcPr>
          <w:p>
            <w:pPr>
              <w:pStyle w:val="TableParagraph"/>
              <w:spacing w:before="11"/>
              <w:ind w:left="127"/>
              <w:jc w:val="left"/>
              <w:rPr>
                <w:b/>
                <w:sz w:val="20"/>
              </w:rPr>
            </w:pPr>
            <w:r>
              <w:rPr>
                <w:b/>
                <w:sz w:val="20"/>
              </w:rPr>
              <w:t>Electorate Offices</w:t>
            </w:r>
          </w:p>
        </w:tc>
        <w:tc>
          <w:tcPr>
            <w:tcW w:w="1254" w:type="dxa"/>
          </w:tcPr>
          <w:p>
            <w:pPr>
              <w:pStyle w:val="TableParagraph"/>
              <w:ind w:right="128"/>
              <w:rPr>
                <w:sz w:val="18"/>
              </w:rPr>
            </w:pPr>
            <w:r>
              <w:rPr>
                <w:sz w:val="18"/>
              </w:rPr>
              <w:t>317</w:t>
            </w:r>
          </w:p>
        </w:tc>
        <w:tc>
          <w:tcPr>
            <w:tcW w:w="1283" w:type="dxa"/>
          </w:tcPr>
          <w:p>
            <w:pPr>
              <w:pStyle w:val="TableParagraph"/>
              <w:ind w:right="244"/>
              <w:rPr>
                <w:sz w:val="18"/>
              </w:rPr>
            </w:pPr>
            <w:r>
              <w:rPr>
                <w:sz w:val="18"/>
              </w:rPr>
              <w:t>191</w:t>
            </w:r>
          </w:p>
        </w:tc>
        <w:tc>
          <w:tcPr>
            <w:tcW w:w="1498" w:type="dxa"/>
          </w:tcPr>
          <w:p>
            <w:pPr>
              <w:pStyle w:val="TableParagraph"/>
              <w:ind w:right="110"/>
              <w:rPr>
                <w:sz w:val="18"/>
              </w:rPr>
            </w:pPr>
            <w:r>
              <w:rPr>
                <w:sz w:val="18"/>
              </w:rPr>
              <w:t>178</w:t>
            </w:r>
          </w:p>
        </w:tc>
      </w:tr>
      <w:tr>
        <w:trPr>
          <w:trHeight w:val="285" w:hRule="atLeast"/>
        </w:trPr>
        <w:tc>
          <w:tcPr>
            <w:tcW w:w="5912" w:type="dxa"/>
            <w:shd w:val="clear" w:color="auto" w:fill="D2DFED"/>
          </w:tcPr>
          <w:p>
            <w:pPr>
              <w:pStyle w:val="TableParagraph"/>
              <w:spacing w:before="11"/>
              <w:ind w:left="127"/>
              <w:jc w:val="left"/>
              <w:rPr>
                <w:b/>
                <w:sz w:val="20"/>
              </w:rPr>
            </w:pPr>
            <w:r>
              <w:rPr>
                <w:b/>
                <w:sz w:val="20"/>
              </w:rPr>
              <w:t>Great Southern TAFE</w:t>
            </w:r>
          </w:p>
        </w:tc>
        <w:tc>
          <w:tcPr>
            <w:tcW w:w="1254" w:type="dxa"/>
            <w:shd w:val="clear" w:color="auto" w:fill="D2DFED"/>
          </w:tcPr>
          <w:p>
            <w:pPr>
              <w:pStyle w:val="TableParagraph"/>
              <w:ind w:right="128"/>
              <w:rPr>
                <w:sz w:val="18"/>
              </w:rPr>
            </w:pPr>
            <w:r>
              <w:rPr>
                <w:sz w:val="18"/>
              </w:rPr>
              <w:t>286</w:t>
            </w:r>
          </w:p>
        </w:tc>
        <w:tc>
          <w:tcPr>
            <w:tcW w:w="1283" w:type="dxa"/>
            <w:shd w:val="clear" w:color="auto" w:fill="D2DFED"/>
          </w:tcPr>
          <w:p>
            <w:pPr>
              <w:pStyle w:val="TableParagraph"/>
              <w:ind w:right="244"/>
              <w:rPr>
                <w:sz w:val="18"/>
              </w:rPr>
            </w:pPr>
            <w:r>
              <w:rPr>
                <w:sz w:val="18"/>
              </w:rPr>
              <w:t>191</w:t>
            </w:r>
          </w:p>
        </w:tc>
        <w:tc>
          <w:tcPr>
            <w:tcW w:w="1498" w:type="dxa"/>
            <w:shd w:val="clear" w:color="auto" w:fill="D2DFED"/>
          </w:tcPr>
          <w:p>
            <w:pPr>
              <w:pStyle w:val="TableParagraph"/>
              <w:ind w:right="110"/>
              <w:rPr>
                <w:sz w:val="18"/>
              </w:rPr>
            </w:pPr>
            <w:r>
              <w:rPr>
                <w:sz w:val="18"/>
              </w:rPr>
              <w:t>181</w:t>
            </w:r>
          </w:p>
        </w:tc>
      </w:tr>
      <w:tr>
        <w:trPr>
          <w:trHeight w:val="285" w:hRule="atLeast"/>
        </w:trPr>
        <w:tc>
          <w:tcPr>
            <w:tcW w:w="5912" w:type="dxa"/>
          </w:tcPr>
          <w:p>
            <w:pPr>
              <w:pStyle w:val="TableParagraph"/>
              <w:spacing w:before="8"/>
              <w:ind w:left="127"/>
              <w:jc w:val="left"/>
              <w:rPr>
                <w:b/>
                <w:sz w:val="20"/>
              </w:rPr>
            </w:pPr>
            <w:r>
              <w:rPr>
                <w:b/>
                <w:sz w:val="20"/>
              </w:rPr>
              <w:t>Central West TAFE</w:t>
            </w:r>
          </w:p>
        </w:tc>
        <w:tc>
          <w:tcPr>
            <w:tcW w:w="1254" w:type="dxa"/>
          </w:tcPr>
          <w:p>
            <w:pPr>
              <w:pStyle w:val="TableParagraph"/>
              <w:ind w:right="128"/>
              <w:rPr>
                <w:sz w:val="18"/>
              </w:rPr>
            </w:pPr>
            <w:r>
              <w:rPr>
                <w:sz w:val="18"/>
              </w:rPr>
              <w:t>234</w:t>
            </w:r>
          </w:p>
        </w:tc>
        <w:tc>
          <w:tcPr>
            <w:tcW w:w="1283" w:type="dxa"/>
          </w:tcPr>
          <w:p>
            <w:pPr>
              <w:pStyle w:val="TableParagraph"/>
              <w:ind w:right="244"/>
              <w:rPr>
                <w:sz w:val="18"/>
              </w:rPr>
            </w:pPr>
            <w:r>
              <w:rPr>
                <w:sz w:val="18"/>
              </w:rPr>
              <w:t>186</w:t>
            </w:r>
          </w:p>
        </w:tc>
        <w:tc>
          <w:tcPr>
            <w:tcW w:w="1498" w:type="dxa"/>
          </w:tcPr>
          <w:p>
            <w:pPr>
              <w:pStyle w:val="TableParagraph"/>
              <w:ind w:right="110"/>
              <w:rPr>
                <w:sz w:val="18"/>
              </w:rPr>
            </w:pPr>
            <w:r>
              <w:rPr>
                <w:sz w:val="18"/>
              </w:rPr>
              <w:t>192</w:t>
            </w:r>
          </w:p>
        </w:tc>
      </w:tr>
      <w:tr>
        <w:trPr>
          <w:trHeight w:val="283" w:hRule="atLeast"/>
        </w:trPr>
        <w:tc>
          <w:tcPr>
            <w:tcW w:w="5912" w:type="dxa"/>
            <w:shd w:val="clear" w:color="auto" w:fill="D2DFED"/>
          </w:tcPr>
          <w:p>
            <w:pPr>
              <w:pStyle w:val="TableParagraph"/>
              <w:spacing w:before="8"/>
              <w:ind w:left="127"/>
              <w:jc w:val="left"/>
              <w:rPr>
                <w:b/>
                <w:sz w:val="20"/>
              </w:rPr>
            </w:pPr>
            <w:r>
              <w:rPr>
                <w:b/>
                <w:sz w:val="20"/>
              </w:rPr>
              <w:t>Department of Sport and Recreation</w:t>
            </w:r>
          </w:p>
        </w:tc>
        <w:tc>
          <w:tcPr>
            <w:tcW w:w="1254" w:type="dxa"/>
            <w:shd w:val="clear" w:color="auto" w:fill="D2DFED"/>
          </w:tcPr>
          <w:p>
            <w:pPr>
              <w:pStyle w:val="TableParagraph"/>
              <w:spacing w:before="20"/>
              <w:ind w:right="128"/>
              <w:rPr>
                <w:sz w:val="18"/>
              </w:rPr>
            </w:pPr>
            <w:r>
              <w:rPr>
                <w:sz w:val="18"/>
              </w:rPr>
              <w:t>227</w:t>
            </w:r>
          </w:p>
        </w:tc>
        <w:tc>
          <w:tcPr>
            <w:tcW w:w="1283" w:type="dxa"/>
            <w:shd w:val="clear" w:color="auto" w:fill="D2DFED"/>
          </w:tcPr>
          <w:p>
            <w:pPr>
              <w:pStyle w:val="TableParagraph"/>
              <w:spacing w:before="20"/>
              <w:ind w:right="244"/>
              <w:rPr>
                <w:sz w:val="18"/>
              </w:rPr>
            </w:pPr>
            <w:r>
              <w:rPr>
                <w:sz w:val="18"/>
              </w:rPr>
              <w:t>173</w:t>
            </w:r>
          </w:p>
        </w:tc>
        <w:tc>
          <w:tcPr>
            <w:tcW w:w="1498" w:type="dxa"/>
            <w:shd w:val="clear" w:color="auto" w:fill="D2DFED"/>
          </w:tcPr>
          <w:p>
            <w:pPr>
              <w:pStyle w:val="TableParagraph"/>
              <w:spacing w:before="20"/>
              <w:ind w:right="110"/>
              <w:rPr>
                <w:sz w:val="18"/>
              </w:rPr>
            </w:pPr>
            <w:r>
              <w:rPr>
                <w:sz w:val="18"/>
              </w:rPr>
              <w:t>172</w:t>
            </w:r>
          </w:p>
        </w:tc>
      </w:tr>
      <w:tr>
        <w:trPr>
          <w:trHeight w:val="285" w:hRule="atLeast"/>
        </w:trPr>
        <w:tc>
          <w:tcPr>
            <w:tcW w:w="5912" w:type="dxa"/>
          </w:tcPr>
          <w:p>
            <w:pPr>
              <w:pStyle w:val="TableParagraph"/>
              <w:spacing w:before="11"/>
              <w:ind w:left="127"/>
              <w:jc w:val="left"/>
              <w:rPr>
                <w:b/>
                <w:sz w:val="20"/>
              </w:rPr>
            </w:pPr>
            <w:r>
              <w:rPr>
                <w:b/>
                <w:sz w:val="20"/>
              </w:rPr>
              <w:t>Department of State Development</w:t>
            </w:r>
          </w:p>
        </w:tc>
        <w:tc>
          <w:tcPr>
            <w:tcW w:w="1254" w:type="dxa"/>
          </w:tcPr>
          <w:p>
            <w:pPr>
              <w:pStyle w:val="TableParagraph"/>
              <w:ind w:right="128"/>
              <w:rPr>
                <w:sz w:val="18"/>
              </w:rPr>
            </w:pPr>
            <w:r>
              <w:rPr>
                <w:sz w:val="18"/>
              </w:rPr>
              <w:t>171</w:t>
            </w:r>
          </w:p>
        </w:tc>
        <w:tc>
          <w:tcPr>
            <w:tcW w:w="1283" w:type="dxa"/>
          </w:tcPr>
          <w:p>
            <w:pPr>
              <w:pStyle w:val="TableParagraph"/>
              <w:ind w:right="244"/>
              <w:rPr>
                <w:sz w:val="18"/>
              </w:rPr>
            </w:pPr>
            <w:r>
              <w:rPr>
                <w:sz w:val="18"/>
              </w:rPr>
              <w:t>161</w:t>
            </w:r>
          </w:p>
        </w:tc>
        <w:tc>
          <w:tcPr>
            <w:tcW w:w="1498" w:type="dxa"/>
          </w:tcPr>
          <w:p>
            <w:pPr>
              <w:pStyle w:val="TableParagraph"/>
              <w:ind w:right="110"/>
              <w:rPr>
                <w:sz w:val="18"/>
              </w:rPr>
            </w:pPr>
            <w:r>
              <w:rPr>
                <w:sz w:val="18"/>
              </w:rPr>
              <w:t>160</w:t>
            </w:r>
          </w:p>
        </w:tc>
      </w:tr>
      <w:tr>
        <w:trPr>
          <w:trHeight w:val="285" w:hRule="atLeast"/>
        </w:trPr>
        <w:tc>
          <w:tcPr>
            <w:tcW w:w="5912" w:type="dxa"/>
            <w:shd w:val="clear" w:color="auto" w:fill="D2DFED"/>
          </w:tcPr>
          <w:p>
            <w:pPr>
              <w:pStyle w:val="TableParagraph"/>
              <w:spacing w:before="11"/>
              <w:ind w:left="127"/>
              <w:jc w:val="left"/>
              <w:rPr>
                <w:b/>
                <w:sz w:val="20"/>
              </w:rPr>
            </w:pPr>
            <w:r>
              <w:rPr>
                <w:b/>
                <w:sz w:val="20"/>
              </w:rPr>
              <w:t>Corruption and Crime Commission</w:t>
            </w:r>
          </w:p>
        </w:tc>
        <w:tc>
          <w:tcPr>
            <w:tcW w:w="1254" w:type="dxa"/>
            <w:shd w:val="clear" w:color="auto" w:fill="D2DFED"/>
          </w:tcPr>
          <w:p>
            <w:pPr>
              <w:pStyle w:val="TableParagraph"/>
              <w:ind w:right="128"/>
              <w:rPr>
                <w:sz w:val="18"/>
              </w:rPr>
            </w:pPr>
            <w:r>
              <w:rPr>
                <w:sz w:val="18"/>
              </w:rPr>
              <w:t>163</w:t>
            </w:r>
          </w:p>
        </w:tc>
        <w:tc>
          <w:tcPr>
            <w:tcW w:w="1283" w:type="dxa"/>
            <w:shd w:val="clear" w:color="auto" w:fill="D2DFED"/>
          </w:tcPr>
          <w:p>
            <w:pPr>
              <w:pStyle w:val="TableParagraph"/>
              <w:ind w:right="244"/>
              <w:rPr>
                <w:sz w:val="18"/>
              </w:rPr>
            </w:pPr>
            <w:r>
              <w:rPr>
                <w:sz w:val="18"/>
              </w:rPr>
              <w:t>160</w:t>
            </w:r>
          </w:p>
        </w:tc>
        <w:tc>
          <w:tcPr>
            <w:tcW w:w="1498" w:type="dxa"/>
            <w:shd w:val="clear" w:color="auto" w:fill="D2DFED"/>
          </w:tcPr>
          <w:p>
            <w:pPr>
              <w:pStyle w:val="TableParagraph"/>
              <w:ind w:right="110"/>
              <w:rPr>
                <w:sz w:val="18"/>
              </w:rPr>
            </w:pPr>
            <w:r>
              <w:rPr>
                <w:sz w:val="18"/>
              </w:rPr>
              <w:t>164</w:t>
            </w:r>
          </w:p>
        </w:tc>
      </w:tr>
      <w:tr>
        <w:trPr>
          <w:trHeight w:val="285" w:hRule="atLeast"/>
        </w:trPr>
        <w:tc>
          <w:tcPr>
            <w:tcW w:w="5912" w:type="dxa"/>
          </w:tcPr>
          <w:p>
            <w:pPr>
              <w:pStyle w:val="TableParagraph"/>
              <w:spacing w:before="8"/>
              <w:ind w:left="127"/>
              <w:jc w:val="left"/>
              <w:rPr>
                <w:b/>
                <w:sz w:val="20"/>
              </w:rPr>
            </w:pPr>
            <w:r>
              <w:rPr>
                <w:b/>
                <w:sz w:val="20"/>
              </w:rPr>
              <w:t>Zoological Parks Authority</w:t>
            </w:r>
          </w:p>
        </w:tc>
        <w:tc>
          <w:tcPr>
            <w:tcW w:w="1254" w:type="dxa"/>
          </w:tcPr>
          <w:p>
            <w:pPr>
              <w:pStyle w:val="TableParagraph"/>
              <w:ind w:right="128"/>
              <w:rPr>
                <w:sz w:val="18"/>
              </w:rPr>
            </w:pPr>
            <w:r>
              <w:rPr>
                <w:sz w:val="18"/>
              </w:rPr>
              <w:t>210</w:t>
            </w:r>
          </w:p>
        </w:tc>
        <w:tc>
          <w:tcPr>
            <w:tcW w:w="1283" w:type="dxa"/>
          </w:tcPr>
          <w:p>
            <w:pPr>
              <w:pStyle w:val="TableParagraph"/>
              <w:ind w:right="244"/>
              <w:rPr>
                <w:sz w:val="18"/>
              </w:rPr>
            </w:pPr>
            <w:r>
              <w:rPr>
                <w:sz w:val="18"/>
              </w:rPr>
              <w:t>160</w:t>
            </w:r>
          </w:p>
        </w:tc>
        <w:tc>
          <w:tcPr>
            <w:tcW w:w="1498" w:type="dxa"/>
          </w:tcPr>
          <w:p>
            <w:pPr>
              <w:pStyle w:val="TableParagraph"/>
              <w:ind w:right="110"/>
              <w:rPr>
                <w:sz w:val="18"/>
              </w:rPr>
            </w:pPr>
            <w:r>
              <w:rPr>
                <w:sz w:val="18"/>
              </w:rPr>
              <w:t>158</w:t>
            </w:r>
          </w:p>
        </w:tc>
      </w:tr>
      <w:tr>
        <w:trPr>
          <w:trHeight w:val="283" w:hRule="atLeast"/>
        </w:trPr>
        <w:tc>
          <w:tcPr>
            <w:tcW w:w="5912" w:type="dxa"/>
            <w:shd w:val="clear" w:color="auto" w:fill="D2DFED"/>
          </w:tcPr>
          <w:p>
            <w:pPr>
              <w:pStyle w:val="TableParagraph"/>
              <w:spacing w:before="8"/>
              <w:ind w:left="127"/>
              <w:jc w:val="left"/>
              <w:rPr>
                <w:b/>
                <w:sz w:val="20"/>
              </w:rPr>
            </w:pPr>
            <w:r>
              <w:rPr>
                <w:b/>
                <w:sz w:val="20"/>
              </w:rPr>
              <w:t>Department of Local Government and Regional Development</w:t>
            </w:r>
          </w:p>
        </w:tc>
        <w:tc>
          <w:tcPr>
            <w:tcW w:w="1254" w:type="dxa"/>
            <w:shd w:val="clear" w:color="auto" w:fill="D2DFED"/>
          </w:tcPr>
          <w:p>
            <w:pPr>
              <w:pStyle w:val="TableParagraph"/>
              <w:spacing w:before="20"/>
              <w:ind w:right="128"/>
              <w:rPr>
                <w:sz w:val="18"/>
              </w:rPr>
            </w:pPr>
            <w:r>
              <w:rPr>
                <w:sz w:val="18"/>
              </w:rPr>
              <w:t>160</w:t>
            </w:r>
          </w:p>
        </w:tc>
        <w:tc>
          <w:tcPr>
            <w:tcW w:w="1283" w:type="dxa"/>
            <w:shd w:val="clear" w:color="auto" w:fill="D2DFED"/>
          </w:tcPr>
          <w:p>
            <w:pPr>
              <w:pStyle w:val="TableParagraph"/>
              <w:spacing w:before="20"/>
              <w:ind w:right="244"/>
              <w:rPr>
                <w:sz w:val="18"/>
              </w:rPr>
            </w:pPr>
            <w:r>
              <w:rPr>
                <w:sz w:val="18"/>
              </w:rPr>
              <w:t>155</w:t>
            </w:r>
          </w:p>
        </w:tc>
        <w:tc>
          <w:tcPr>
            <w:tcW w:w="1498" w:type="dxa"/>
            <w:shd w:val="clear" w:color="auto" w:fill="D2DFED"/>
          </w:tcPr>
          <w:p>
            <w:pPr>
              <w:pStyle w:val="TableParagraph"/>
              <w:spacing w:before="20"/>
              <w:ind w:right="110"/>
              <w:rPr>
                <w:sz w:val="18"/>
              </w:rPr>
            </w:pPr>
            <w:r>
              <w:rPr>
                <w:sz w:val="18"/>
              </w:rPr>
              <w:t>125</w:t>
            </w:r>
          </w:p>
        </w:tc>
      </w:tr>
      <w:tr>
        <w:trPr>
          <w:trHeight w:val="285" w:hRule="atLeast"/>
        </w:trPr>
        <w:tc>
          <w:tcPr>
            <w:tcW w:w="5912" w:type="dxa"/>
          </w:tcPr>
          <w:p>
            <w:pPr>
              <w:pStyle w:val="TableParagraph"/>
              <w:spacing w:before="11"/>
              <w:ind w:left="127"/>
              <w:jc w:val="left"/>
              <w:rPr>
                <w:b/>
                <w:sz w:val="20"/>
              </w:rPr>
            </w:pPr>
            <w:r>
              <w:rPr>
                <w:b/>
                <w:sz w:val="20"/>
              </w:rPr>
              <w:t>Western Australian Tourism Commission</w:t>
            </w:r>
          </w:p>
        </w:tc>
        <w:tc>
          <w:tcPr>
            <w:tcW w:w="1254" w:type="dxa"/>
          </w:tcPr>
          <w:p>
            <w:pPr>
              <w:pStyle w:val="TableParagraph"/>
              <w:ind w:right="128"/>
              <w:rPr>
                <w:sz w:val="18"/>
              </w:rPr>
            </w:pPr>
            <w:r>
              <w:rPr>
                <w:sz w:val="18"/>
              </w:rPr>
              <w:t>165</w:t>
            </w:r>
          </w:p>
        </w:tc>
        <w:tc>
          <w:tcPr>
            <w:tcW w:w="1283" w:type="dxa"/>
          </w:tcPr>
          <w:p>
            <w:pPr>
              <w:pStyle w:val="TableParagraph"/>
              <w:ind w:right="244"/>
              <w:rPr>
                <w:sz w:val="18"/>
              </w:rPr>
            </w:pPr>
            <w:r>
              <w:rPr>
                <w:sz w:val="18"/>
              </w:rPr>
              <w:t>149</w:t>
            </w:r>
          </w:p>
        </w:tc>
        <w:tc>
          <w:tcPr>
            <w:tcW w:w="1498" w:type="dxa"/>
          </w:tcPr>
          <w:p>
            <w:pPr>
              <w:pStyle w:val="TableParagraph"/>
              <w:ind w:right="110"/>
              <w:rPr>
                <w:sz w:val="18"/>
              </w:rPr>
            </w:pPr>
            <w:r>
              <w:rPr>
                <w:sz w:val="18"/>
              </w:rPr>
              <w:t>161</w:t>
            </w:r>
          </w:p>
        </w:tc>
      </w:tr>
      <w:tr>
        <w:trPr>
          <w:trHeight w:val="285" w:hRule="atLeast"/>
        </w:trPr>
        <w:tc>
          <w:tcPr>
            <w:tcW w:w="5912" w:type="dxa"/>
            <w:shd w:val="clear" w:color="auto" w:fill="D2DFED"/>
          </w:tcPr>
          <w:p>
            <w:pPr>
              <w:pStyle w:val="TableParagraph"/>
              <w:spacing w:before="11"/>
              <w:ind w:left="127"/>
              <w:jc w:val="left"/>
              <w:rPr>
                <w:b/>
                <w:sz w:val="20"/>
              </w:rPr>
            </w:pPr>
            <w:r>
              <w:rPr>
                <w:b/>
                <w:sz w:val="20"/>
              </w:rPr>
              <w:t>Curriculum Council</w:t>
            </w:r>
          </w:p>
        </w:tc>
        <w:tc>
          <w:tcPr>
            <w:tcW w:w="1254" w:type="dxa"/>
            <w:shd w:val="clear" w:color="auto" w:fill="D2DFED"/>
          </w:tcPr>
          <w:p>
            <w:pPr>
              <w:pStyle w:val="TableParagraph"/>
              <w:ind w:right="128"/>
              <w:rPr>
                <w:sz w:val="18"/>
              </w:rPr>
            </w:pPr>
            <w:r>
              <w:rPr>
                <w:sz w:val="18"/>
              </w:rPr>
              <w:t>170</w:t>
            </w:r>
          </w:p>
        </w:tc>
        <w:tc>
          <w:tcPr>
            <w:tcW w:w="1283" w:type="dxa"/>
            <w:shd w:val="clear" w:color="auto" w:fill="D2DFED"/>
          </w:tcPr>
          <w:p>
            <w:pPr>
              <w:pStyle w:val="TableParagraph"/>
              <w:ind w:right="244"/>
              <w:rPr>
                <w:sz w:val="18"/>
              </w:rPr>
            </w:pPr>
            <w:r>
              <w:rPr>
                <w:sz w:val="18"/>
              </w:rPr>
              <w:t>147</w:t>
            </w:r>
          </w:p>
        </w:tc>
        <w:tc>
          <w:tcPr>
            <w:tcW w:w="1498" w:type="dxa"/>
            <w:shd w:val="clear" w:color="auto" w:fill="D2DFED"/>
          </w:tcPr>
          <w:p>
            <w:pPr>
              <w:pStyle w:val="TableParagraph"/>
              <w:ind w:right="110"/>
              <w:rPr>
                <w:sz w:val="18"/>
              </w:rPr>
            </w:pPr>
            <w:r>
              <w:rPr>
                <w:sz w:val="18"/>
              </w:rPr>
              <w:t>152</w:t>
            </w:r>
          </w:p>
        </w:tc>
      </w:tr>
      <w:tr>
        <w:trPr>
          <w:trHeight w:val="286" w:hRule="atLeast"/>
        </w:trPr>
        <w:tc>
          <w:tcPr>
            <w:tcW w:w="5912" w:type="dxa"/>
          </w:tcPr>
          <w:p>
            <w:pPr>
              <w:pStyle w:val="TableParagraph"/>
              <w:spacing w:before="9"/>
              <w:ind w:left="127"/>
              <w:jc w:val="left"/>
              <w:rPr>
                <w:b/>
                <w:sz w:val="20"/>
              </w:rPr>
            </w:pPr>
            <w:r>
              <w:rPr>
                <w:b/>
                <w:sz w:val="20"/>
              </w:rPr>
              <w:t>Department of Indigenous Affairs</w:t>
            </w:r>
          </w:p>
        </w:tc>
        <w:tc>
          <w:tcPr>
            <w:tcW w:w="1254" w:type="dxa"/>
          </w:tcPr>
          <w:p>
            <w:pPr>
              <w:pStyle w:val="TableParagraph"/>
              <w:ind w:right="128"/>
              <w:rPr>
                <w:sz w:val="18"/>
              </w:rPr>
            </w:pPr>
            <w:r>
              <w:rPr>
                <w:sz w:val="18"/>
              </w:rPr>
              <w:t>157</w:t>
            </w:r>
          </w:p>
        </w:tc>
        <w:tc>
          <w:tcPr>
            <w:tcW w:w="1283" w:type="dxa"/>
          </w:tcPr>
          <w:p>
            <w:pPr>
              <w:pStyle w:val="TableParagraph"/>
              <w:ind w:right="244"/>
              <w:rPr>
                <w:sz w:val="18"/>
              </w:rPr>
            </w:pPr>
            <w:r>
              <w:rPr>
                <w:sz w:val="18"/>
              </w:rPr>
              <w:t>141</w:t>
            </w:r>
          </w:p>
        </w:tc>
        <w:tc>
          <w:tcPr>
            <w:tcW w:w="1498" w:type="dxa"/>
          </w:tcPr>
          <w:p>
            <w:pPr>
              <w:pStyle w:val="TableParagraph"/>
              <w:ind w:right="110"/>
              <w:rPr>
                <w:sz w:val="18"/>
              </w:rPr>
            </w:pPr>
            <w:r>
              <w:rPr>
                <w:sz w:val="18"/>
              </w:rPr>
              <w:t>133</w:t>
            </w:r>
          </w:p>
        </w:tc>
      </w:tr>
      <w:tr>
        <w:trPr>
          <w:trHeight w:val="283" w:hRule="atLeast"/>
        </w:trPr>
        <w:tc>
          <w:tcPr>
            <w:tcW w:w="5912" w:type="dxa"/>
            <w:shd w:val="clear" w:color="auto" w:fill="D2DFED"/>
          </w:tcPr>
          <w:p>
            <w:pPr>
              <w:pStyle w:val="TableParagraph"/>
              <w:spacing w:before="8"/>
              <w:ind w:left="127"/>
              <w:jc w:val="left"/>
              <w:rPr>
                <w:b/>
                <w:sz w:val="20"/>
              </w:rPr>
            </w:pPr>
            <w:r>
              <w:rPr>
                <w:b/>
                <w:sz w:val="20"/>
              </w:rPr>
              <w:t>Botanic Gardens and Parks Authority</w:t>
            </w:r>
          </w:p>
        </w:tc>
        <w:tc>
          <w:tcPr>
            <w:tcW w:w="1254" w:type="dxa"/>
            <w:shd w:val="clear" w:color="auto" w:fill="D2DFED"/>
          </w:tcPr>
          <w:p>
            <w:pPr>
              <w:pStyle w:val="TableParagraph"/>
              <w:spacing w:before="20"/>
              <w:ind w:right="128"/>
              <w:rPr>
                <w:sz w:val="18"/>
              </w:rPr>
            </w:pPr>
            <w:r>
              <w:rPr>
                <w:sz w:val="18"/>
              </w:rPr>
              <w:t>151</w:t>
            </w:r>
          </w:p>
        </w:tc>
        <w:tc>
          <w:tcPr>
            <w:tcW w:w="1283" w:type="dxa"/>
            <w:shd w:val="clear" w:color="auto" w:fill="D2DFED"/>
          </w:tcPr>
          <w:p>
            <w:pPr>
              <w:pStyle w:val="TableParagraph"/>
              <w:spacing w:before="20"/>
              <w:ind w:right="244"/>
              <w:rPr>
                <w:sz w:val="18"/>
              </w:rPr>
            </w:pPr>
            <w:r>
              <w:rPr>
                <w:sz w:val="18"/>
              </w:rPr>
              <w:t>131</w:t>
            </w:r>
          </w:p>
        </w:tc>
        <w:tc>
          <w:tcPr>
            <w:tcW w:w="1498" w:type="dxa"/>
            <w:shd w:val="clear" w:color="auto" w:fill="D2DFED"/>
          </w:tcPr>
          <w:p>
            <w:pPr>
              <w:pStyle w:val="TableParagraph"/>
              <w:spacing w:before="20"/>
              <w:ind w:right="110"/>
              <w:rPr>
                <w:sz w:val="18"/>
              </w:rPr>
            </w:pPr>
            <w:r>
              <w:rPr>
                <w:sz w:val="18"/>
              </w:rPr>
              <w:t>124</w:t>
            </w:r>
          </w:p>
        </w:tc>
      </w:tr>
      <w:tr>
        <w:trPr>
          <w:trHeight w:val="285" w:hRule="atLeast"/>
        </w:trPr>
        <w:tc>
          <w:tcPr>
            <w:tcW w:w="5912" w:type="dxa"/>
          </w:tcPr>
          <w:p>
            <w:pPr>
              <w:pStyle w:val="TableParagraph"/>
              <w:spacing w:before="11"/>
              <w:ind w:left="127"/>
              <w:jc w:val="left"/>
              <w:rPr>
                <w:b/>
                <w:sz w:val="20"/>
              </w:rPr>
            </w:pPr>
            <w:r>
              <w:rPr>
                <w:b/>
                <w:sz w:val="20"/>
              </w:rPr>
              <w:t>Kimberley TAFE</w:t>
            </w:r>
          </w:p>
        </w:tc>
        <w:tc>
          <w:tcPr>
            <w:tcW w:w="1254" w:type="dxa"/>
          </w:tcPr>
          <w:p>
            <w:pPr>
              <w:pStyle w:val="TableParagraph"/>
              <w:ind w:right="128"/>
              <w:rPr>
                <w:sz w:val="18"/>
              </w:rPr>
            </w:pPr>
            <w:r>
              <w:rPr>
                <w:sz w:val="18"/>
              </w:rPr>
              <w:t>147</w:t>
            </w:r>
          </w:p>
        </w:tc>
        <w:tc>
          <w:tcPr>
            <w:tcW w:w="1283" w:type="dxa"/>
          </w:tcPr>
          <w:p>
            <w:pPr>
              <w:pStyle w:val="TableParagraph"/>
              <w:ind w:right="244"/>
              <w:rPr>
                <w:sz w:val="18"/>
              </w:rPr>
            </w:pPr>
            <w:r>
              <w:rPr>
                <w:sz w:val="18"/>
              </w:rPr>
              <w:t>122</w:t>
            </w:r>
          </w:p>
        </w:tc>
        <w:tc>
          <w:tcPr>
            <w:tcW w:w="1498" w:type="dxa"/>
          </w:tcPr>
          <w:p>
            <w:pPr>
              <w:pStyle w:val="TableParagraph"/>
              <w:ind w:right="110"/>
              <w:rPr>
                <w:sz w:val="18"/>
              </w:rPr>
            </w:pPr>
            <w:r>
              <w:rPr>
                <w:sz w:val="18"/>
              </w:rPr>
              <w:t>126</w:t>
            </w:r>
          </w:p>
        </w:tc>
      </w:tr>
      <w:tr>
        <w:trPr>
          <w:trHeight w:val="285" w:hRule="atLeast"/>
        </w:trPr>
        <w:tc>
          <w:tcPr>
            <w:tcW w:w="5912" w:type="dxa"/>
            <w:shd w:val="clear" w:color="auto" w:fill="D2DFED"/>
          </w:tcPr>
          <w:p>
            <w:pPr>
              <w:pStyle w:val="TableParagraph"/>
              <w:spacing w:before="11"/>
              <w:ind w:left="127"/>
              <w:jc w:val="left"/>
              <w:rPr>
                <w:b/>
                <w:sz w:val="20"/>
              </w:rPr>
            </w:pPr>
            <w:r>
              <w:rPr>
                <w:b/>
                <w:sz w:val="20"/>
              </w:rPr>
              <w:t>C Y O'Connor College of TAFE</w:t>
            </w:r>
          </w:p>
        </w:tc>
        <w:tc>
          <w:tcPr>
            <w:tcW w:w="1254" w:type="dxa"/>
            <w:shd w:val="clear" w:color="auto" w:fill="D2DFED"/>
          </w:tcPr>
          <w:p>
            <w:pPr>
              <w:pStyle w:val="TableParagraph"/>
              <w:ind w:right="128"/>
              <w:rPr>
                <w:sz w:val="18"/>
              </w:rPr>
            </w:pPr>
            <w:r>
              <w:rPr>
                <w:sz w:val="18"/>
              </w:rPr>
              <w:t>155</w:t>
            </w:r>
          </w:p>
        </w:tc>
        <w:tc>
          <w:tcPr>
            <w:tcW w:w="1283" w:type="dxa"/>
            <w:shd w:val="clear" w:color="auto" w:fill="D2DFED"/>
          </w:tcPr>
          <w:p>
            <w:pPr>
              <w:pStyle w:val="TableParagraph"/>
              <w:ind w:right="244"/>
              <w:rPr>
                <w:sz w:val="18"/>
              </w:rPr>
            </w:pPr>
            <w:r>
              <w:rPr>
                <w:sz w:val="18"/>
              </w:rPr>
              <w:t>120</w:t>
            </w:r>
          </w:p>
        </w:tc>
        <w:tc>
          <w:tcPr>
            <w:tcW w:w="1498" w:type="dxa"/>
            <w:shd w:val="clear" w:color="auto" w:fill="D2DFED"/>
          </w:tcPr>
          <w:p>
            <w:pPr>
              <w:pStyle w:val="TableParagraph"/>
              <w:ind w:right="110"/>
              <w:rPr>
                <w:sz w:val="18"/>
              </w:rPr>
            </w:pPr>
            <w:r>
              <w:rPr>
                <w:sz w:val="18"/>
              </w:rPr>
              <w:t>127</w:t>
            </w:r>
          </w:p>
        </w:tc>
      </w:tr>
      <w:tr>
        <w:trPr>
          <w:trHeight w:val="285" w:hRule="atLeast"/>
        </w:trPr>
        <w:tc>
          <w:tcPr>
            <w:tcW w:w="5912" w:type="dxa"/>
          </w:tcPr>
          <w:p>
            <w:pPr>
              <w:pStyle w:val="TableParagraph"/>
              <w:spacing w:before="8"/>
              <w:ind w:left="127"/>
              <w:jc w:val="left"/>
              <w:rPr>
                <w:b/>
                <w:sz w:val="20"/>
              </w:rPr>
            </w:pPr>
            <w:r>
              <w:rPr>
                <w:b/>
                <w:sz w:val="20"/>
              </w:rPr>
              <w:t>Chemistry Centre (WA)</w:t>
            </w:r>
          </w:p>
        </w:tc>
        <w:tc>
          <w:tcPr>
            <w:tcW w:w="1254" w:type="dxa"/>
          </w:tcPr>
          <w:p>
            <w:pPr>
              <w:pStyle w:val="TableParagraph"/>
              <w:ind w:right="128"/>
              <w:rPr>
                <w:sz w:val="18"/>
              </w:rPr>
            </w:pPr>
            <w:r>
              <w:rPr>
                <w:sz w:val="18"/>
              </w:rPr>
              <w:t>119</w:t>
            </w:r>
          </w:p>
        </w:tc>
        <w:tc>
          <w:tcPr>
            <w:tcW w:w="1283" w:type="dxa"/>
          </w:tcPr>
          <w:p>
            <w:pPr>
              <w:pStyle w:val="TableParagraph"/>
              <w:ind w:right="244"/>
              <w:rPr>
                <w:sz w:val="18"/>
              </w:rPr>
            </w:pPr>
            <w:r>
              <w:rPr>
                <w:sz w:val="18"/>
              </w:rPr>
              <w:t>113</w:t>
            </w:r>
          </w:p>
        </w:tc>
        <w:tc>
          <w:tcPr>
            <w:tcW w:w="1498" w:type="dxa"/>
          </w:tcPr>
          <w:p>
            <w:pPr>
              <w:pStyle w:val="TableParagraph"/>
              <w:ind w:right="110"/>
              <w:rPr>
                <w:sz w:val="18"/>
              </w:rPr>
            </w:pPr>
            <w:r>
              <w:rPr>
                <w:sz w:val="18"/>
              </w:rPr>
              <w:t>109</w:t>
            </w:r>
          </w:p>
        </w:tc>
      </w:tr>
      <w:tr>
        <w:trPr>
          <w:trHeight w:val="283" w:hRule="atLeast"/>
        </w:trPr>
        <w:tc>
          <w:tcPr>
            <w:tcW w:w="5912" w:type="dxa"/>
            <w:shd w:val="clear" w:color="auto" w:fill="D2DFED"/>
          </w:tcPr>
          <w:p>
            <w:pPr>
              <w:pStyle w:val="TableParagraph"/>
              <w:spacing w:before="8"/>
              <w:ind w:left="127"/>
              <w:jc w:val="left"/>
              <w:rPr>
                <w:b/>
                <w:sz w:val="20"/>
              </w:rPr>
            </w:pPr>
            <w:r>
              <w:rPr>
                <w:b/>
                <w:sz w:val="20"/>
              </w:rPr>
              <w:t>Country High School Hostels Authority</w:t>
            </w:r>
          </w:p>
        </w:tc>
        <w:tc>
          <w:tcPr>
            <w:tcW w:w="1254" w:type="dxa"/>
            <w:shd w:val="clear" w:color="auto" w:fill="D2DFED"/>
          </w:tcPr>
          <w:p>
            <w:pPr>
              <w:pStyle w:val="TableParagraph"/>
              <w:spacing w:before="20"/>
              <w:ind w:right="128"/>
              <w:rPr>
                <w:sz w:val="18"/>
              </w:rPr>
            </w:pPr>
            <w:r>
              <w:rPr>
                <w:sz w:val="18"/>
              </w:rPr>
              <w:t>147</w:t>
            </w:r>
          </w:p>
        </w:tc>
        <w:tc>
          <w:tcPr>
            <w:tcW w:w="1283" w:type="dxa"/>
            <w:shd w:val="clear" w:color="auto" w:fill="D2DFED"/>
          </w:tcPr>
          <w:p>
            <w:pPr>
              <w:pStyle w:val="TableParagraph"/>
              <w:spacing w:before="20"/>
              <w:ind w:right="244"/>
              <w:rPr>
                <w:sz w:val="18"/>
              </w:rPr>
            </w:pPr>
            <w:r>
              <w:rPr>
                <w:sz w:val="18"/>
              </w:rPr>
              <w:t>112</w:t>
            </w:r>
          </w:p>
        </w:tc>
        <w:tc>
          <w:tcPr>
            <w:tcW w:w="1498" w:type="dxa"/>
            <w:shd w:val="clear" w:color="auto" w:fill="D2DFED"/>
          </w:tcPr>
          <w:p>
            <w:pPr>
              <w:pStyle w:val="TableParagraph"/>
              <w:spacing w:before="20"/>
              <w:ind w:right="110"/>
              <w:rPr>
                <w:sz w:val="18"/>
              </w:rPr>
            </w:pPr>
            <w:r>
              <w:rPr>
                <w:sz w:val="18"/>
              </w:rPr>
              <w:t>107</w:t>
            </w:r>
          </w:p>
        </w:tc>
      </w:tr>
      <w:tr>
        <w:trPr>
          <w:trHeight w:val="285" w:hRule="atLeast"/>
        </w:trPr>
        <w:tc>
          <w:tcPr>
            <w:tcW w:w="5912" w:type="dxa"/>
          </w:tcPr>
          <w:p>
            <w:pPr>
              <w:pStyle w:val="TableParagraph"/>
              <w:spacing w:before="11"/>
              <w:ind w:left="127"/>
              <w:jc w:val="left"/>
              <w:rPr>
                <w:b/>
                <w:sz w:val="20"/>
              </w:rPr>
            </w:pPr>
            <w:r>
              <w:rPr>
                <w:b/>
                <w:sz w:val="20"/>
              </w:rPr>
              <w:t>Department of Racing, Gaming and Liquor</w:t>
            </w:r>
          </w:p>
        </w:tc>
        <w:tc>
          <w:tcPr>
            <w:tcW w:w="1254" w:type="dxa"/>
          </w:tcPr>
          <w:p>
            <w:pPr>
              <w:pStyle w:val="TableParagraph"/>
              <w:ind w:right="128"/>
              <w:rPr>
                <w:sz w:val="18"/>
              </w:rPr>
            </w:pPr>
            <w:r>
              <w:rPr>
                <w:sz w:val="18"/>
              </w:rPr>
              <w:t>123</w:t>
            </w:r>
          </w:p>
        </w:tc>
        <w:tc>
          <w:tcPr>
            <w:tcW w:w="1283" w:type="dxa"/>
          </w:tcPr>
          <w:p>
            <w:pPr>
              <w:pStyle w:val="TableParagraph"/>
              <w:ind w:right="244"/>
              <w:rPr>
                <w:sz w:val="18"/>
              </w:rPr>
            </w:pPr>
            <w:r>
              <w:rPr>
                <w:sz w:val="18"/>
              </w:rPr>
              <w:t>109</w:t>
            </w:r>
          </w:p>
        </w:tc>
        <w:tc>
          <w:tcPr>
            <w:tcW w:w="1498" w:type="dxa"/>
          </w:tcPr>
          <w:p>
            <w:pPr>
              <w:pStyle w:val="TableParagraph"/>
              <w:ind w:right="110"/>
              <w:rPr>
                <w:sz w:val="18"/>
              </w:rPr>
            </w:pPr>
            <w:r>
              <w:rPr>
                <w:sz w:val="18"/>
              </w:rPr>
              <w:t>109</w:t>
            </w:r>
          </w:p>
        </w:tc>
      </w:tr>
      <w:tr>
        <w:trPr>
          <w:trHeight w:val="285" w:hRule="atLeast"/>
        </w:trPr>
        <w:tc>
          <w:tcPr>
            <w:tcW w:w="5912" w:type="dxa"/>
            <w:shd w:val="clear" w:color="auto" w:fill="D2DFED"/>
          </w:tcPr>
          <w:p>
            <w:pPr>
              <w:pStyle w:val="TableParagraph"/>
              <w:spacing w:before="11"/>
              <w:ind w:left="127"/>
              <w:jc w:val="left"/>
              <w:rPr>
                <w:b/>
                <w:sz w:val="20"/>
              </w:rPr>
            </w:pPr>
            <w:r>
              <w:rPr>
                <w:b/>
                <w:sz w:val="20"/>
              </w:rPr>
              <w:t>Office of the Auditor General</w:t>
            </w:r>
          </w:p>
        </w:tc>
        <w:tc>
          <w:tcPr>
            <w:tcW w:w="1254" w:type="dxa"/>
            <w:shd w:val="clear" w:color="auto" w:fill="D2DFED"/>
          </w:tcPr>
          <w:p>
            <w:pPr>
              <w:pStyle w:val="TableParagraph"/>
              <w:ind w:right="128"/>
              <w:rPr>
                <w:sz w:val="18"/>
              </w:rPr>
            </w:pPr>
            <w:r>
              <w:rPr>
                <w:sz w:val="18"/>
              </w:rPr>
              <w:t>114</w:t>
            </w:r>
          </w:p>
        </w:tc>
        <w:tc>
          <w:tcPr>
            <w:tcW w:w="1283" w:type="dxa"/>
            <w:shd w:val="clear" w:color="auto" w:fill="D2DFED"/>
          </w:tcPr>
          <w:p>
            <w:pPr>
              <w:pStyle w:val="TableParagraph"/>
              <w:ind w:right="244"/>
              <w:rPr>
                <w:sz w:val="18"/>
              </w:rPr>
            </w:pPr>
            <w:r>
              <w:rPr>
                <w:sz w:val="18"/>
              </w:rPr>
              <w:t>108</w:t>
            </w:r>
          </w:p>
        </w:tc>
        <w:tc>
          <w:tcPr>
            <w:tcW w:w="1498" w:type="dxa"/>
            <w:shd w:val="clear" w:color="auto" w:fill="D2DFED"/>
          </w:tcPr>
          <w:p>
            <w:pPr>
              <w:pStyle w:val="TableParagraph"/>
              <w:ind w:right="110"/>
              <w:rPr>
                <w:sz w:val="18"/>
              </w:rPr>
            </w:pPr>
            <w:r>
              <w:rPr>
                <w:sz w:val="18"/>
              </w:rPr>
              <w:t>99</w:t>
            </w:r>
          </w:p>
        </w:tc>
      </w:tr>
      <w:tr>
        <w:trPr>
          <w:trHeight w:val="285" w:hRule="atLeast"/>
        </w:trPr>
        <w:tc>
          <w:tcPr>
            <w:tcW w:w="5912" w:type="dxa"/>
          </w:tcPr>
          <w:p>
            <w:pPr>
              <w:pStyle w:val="TableParagraph"/>
              <w:spacing w:before="8"/>
              <w:ind w:left="127"/>
              <w:jc w:val="left"/>
              <w:rPr>
                <w:b/>
                <w:sz w:val="20"/>
              </w:rPr>
            </w:pPr>
            <w:r>
              <w:rPr>
                <w:b/>
                <w:sz w:val="20"/>
              </w:rPr>
              <w:t>Public Sector Commission</w:t>
            </w:r>
          </w:p>
        </w:tc>
        <w:tc>
          <w:tcPr>
            <w:tcW w:w="1254" w:type="dxa"/>
          </w:tcPr>
          <w:p>
            <w:pPr>
              <w:pStyle w:val="TableParagraph"/>
              <w:ind w:right="128"/>
              <w:rPr>
                <w:sz w:val="18"/>
              </w:rPr>
            </w:pPr>
            <w:r>
              <w:rPr>
                <w:sz w:val="18"/>
              </w:rPr>
              <w:t>110</w:t>
            </w:r>
          </w:p>
        </w:tc>
        <w:tc>
          <w:tcPr>
            <w:tcW w:w="1283" w:type="dxa"/>
          </w:tcPr>
          <w:p>
            <w:pPr>
              <w:pStyle w:val="TableParagraph"/>
              <w:ind w:right="244"/>
              <w:rPr>
                <w:sz w:val="18"/>
              </w:rPr>
            </w:pPr>
            <w:r>
              <w:rPr>
                <w:sz w:val="18"/>
              </w:rPr>
              <w:t>93</w:t>
            </w:r>
          </w:p>
        </w:tc>
        <w:tc>
          <w:tcPr>
            <w:tcW w:w="1498" w:type="dxa"/>
          </w:tcPr>
          <w:p>
            <w:pPr>
              <w:pStyle w:val="TableParagraph"/>
              <w:ind w:right="110"/>
              <w:rPr>
                <w:sz w:val="18"/>
              </w:rPr>
            </w:pPr>
            <w:r>
              <w:rPr>
                <w:sz w:val="18"/>
              </w:rPr>
              <w:t>92</w:t>
            </w:r>
          </w:p>
        </w:tc>
      </w:tr>
      <w:tr>
        <w:trPr>
          <w:trHeight w:val="283" w:hRule="atLeast"/>
        </w:trPr>
        <w:tc>
          <w:tcPr>
            <w:tcW w:w="5912" w:type="dxa"/>
            <w:shd w:val="clear" w:color="auto" w:fill="D2DFED"/>
          </w:tcPr>
          <w:p>
            <w:pPr>
              <w:pStyle w:val="TableParagraph"/>
              <w:spacing w:before="8"/>
              <w:ind w:left="127"/>
              <w:jc w:val="left"/>
              <w:rPr>
                <w:b/>
                <w:sz w:val="20"/>
              </w:rPr>
            </w:pPr>
            <w:r>
              <w:rPr>
                <w:b/>
                <w:sz w:val="20"/>
              </w:rPr>
              <w:t>Office of Energy</w:t>
            </w:r>
          </w:p>
        </w:tc>
        <w:tc>
          <w:tcPr>
            <w:tcW w:w="1254" w:type="dxa"/>
            <w:shd w:val="clear" w:color="auto" w:fill="D2DFED"/>
          </w:tcPr>
          <w:p>
            <w:pPr>
              <w:pStyle w:val="TableParagraph"/>
              <w:spacing w:before="20"/>
              <w:ind w:right="128"/>
              <w:rPr>
                <w:sz w:val="18"/>
              </w:rPr>
            </w:pPr>
            <w:r>
              <w:rPr>
                <w:sz w:val="18"/>
              </w:rPr>
              <w:t>70</w:t>
            </w:r>
          </w:p>
        </w:tc>
        <w:tc>
          <w:tcPr>
            <w:tcW w:w="1283" w:type="dxa"/>
            <w:shd w:val="clear" w:color="auto" w:fill="D2DFED"/>
          </w:tcPr>
          <w:p>
            <w:pPr>
              <w:pStyle w:val="TableParagraph"/>
              <w:spacing w:before="20"/>
              <w:ind w:right="244"/>
              <w:rPr>
                <w:sz w:val="18"/>
              </w:rPr>
            </w:pPr>
            <w:r>
              <w:rPr>
                <w:sz w:val="18"/>
              </w:rPr>
              <w:t>68</w:t>
            </w:r>
          </w:p>
        </w:tc>
        <w:tc>
          <w:tcPr>
            <w:tcW w:w="1498" w:type="dxa"/>
            <w:shd w:val="clear" w:color="auto" w:fill="D2DFED"/>
          </w:tcPr>
          <w:p>
            <w:pPr>
              <w:pStyle w:val="TableParagraph"/>
              <w:spacing w:before="20"/>
              <w:ind w:right="110"/>
              <w:rPr>
                <w:sz w:val="18"/>
              </w:rPr>
            </w:pPr>
            <w:r>
              <w:rPr>
                <w:sz w:val="18"/>
              </w:rPr>
              <w:t>62</w:t>
            </w:r>
          </w:p>
        </w:tc>
      </w:tr>
      <w:tr>
        <w:trPr>
          <w:trHeight w:val="285" w:hRule="atLeast"/>
        </w:trPr>
        <w:tc>
          <w:tcPr>
            <w:tcW w:w="5912" w:type="dxa"/>
          </w:tcPr>
          <w:p>
            <w:pPr>
              <w:pStyle w:val="TableParagraph"/>
              <w:spacing w:before="11"/>
              <w:ind w:left="127"/>
              <w:jc w:val="left"/>
              <w:rPr>
                <w:b/>
                <w:sz w:val="20"/>
              </w:rPr>
            </w:pPr>
            <w:r>
              <w:rPr>
                <w:b/>
                <w:sz w:val="20"/>
              </w:rPr>
              <w:t>Small Business Development Corporation</w:t>
            </w:r>
          </w:p>
        </w:tc>
        <w:tc>
          <w:tcPr>
            <w:tcW w:w="1254" w:type="dxa"/>
          </w:tcPr>
          <w:p>
            <w:pPr>
              <w:pStyle w:val="TableParagraph"/>
              <w:ind w:right="128"/>
              <w:rPr>
                <w:sz w:val="18"/>
              </w:rPr>
            </w:pPr>
            <w:r>
              <w:rPr>
                <w:sz w:val="18"/>
              </w:rPr>
              <w:t>72</w:t>
            </w:r>
          </w:p>
        </w:tc>
        <w:tc>
          <w:tcPr>
            <w:tcW w:w="1283" w:type="dxa"/>
          </w:tcPr>
          <w:p>
            <w:pPr>
              <w:pStyle w:val="TableParagraph"/>
              <w:ind w:right="244"/>
              <w:rPr>
                <w:sz w:val="18"/>
              </w:rPr>
            </w:pPr>
            <w:r>
              <w:rPr>
                <w:sz w:val="18"/>
              </w:rPr>
              <w:t>65</w:t>
            </w:r>
          </w:p>
        </w:tc>
        <w:tc>
          <w:tcPr>
            <w:tcW w:w="1498" w:type="dxa"/>
          </w:tcPr>
          <w:p>
            <w:pPr>
              <w:pStyle w:val="TableParagraph"/>
              <w:ind w:right="110"/>
              <w:rPr>
                <w:sz w:val="18"/>
              </w:rPr>
            </w:pPr>
            <w:r>
              <w:rPr>
                <w:sz w:val="18"/>
              </w:rPr>
              <w:t>63</w:t>
            </w:r>
          </w:p>
        </w:tc>
      </w:tr>
      <w:tr>
        <w:trPr>
          <w:trHeight w:val="285" w:hRule="atLeast"/>
        </w:trPr>
        <w:tc>
          <w:tcPr>
            <w:tcW w:w="5912" w:type="dxa"/>
            <w:shd w:val="clear" w:color="auto" w:fill="D2DFED"/>
          </w:tcPr>
          <w:p>
            <w:pPr>
              <w:pStyle w:val="TableParagraph"/>
              <w:spacing w:before="11"/>
              <w:ind w:left="127"/>
              <w:jc w:val="left"/>
              <w:rPr>
                <w:b/>
                <w:sz w:val="20"/>
              </w:rPr>
            </w:pPr>
            <w:r>
              <w:rPr>
                <w:b/>
                <w:sz w:val="20"/>
              </w:rPr>
              <w:t>Western Australian Electoral Commission</w:t>
            </w:r>
          </w:p>
        </w:tc>
        <w:tc>
          <w:tcPr>
            <w:tcW w:w="1254" w:type="dxa"/>
            <w:shd w:val="clear" w:color="auto" w:fill="D2DFED"/>
          </w:tcPr>
          <w:p>
            <w:pPr>
              <w:pStyle w:val="TableParagraph"/>
              <w:ind w:right="128"/>
              <w:rPr>
                <w:sz w:val="18"/>
              </w:rPr>
            </w:pPr>
            <w:r>
              <w:rPr>
                <w:sz w:val="18"/>
              </w:rPr>
              <w:t>74</w:t>
            </w:r>
          </w:p>
        </w:tc>
        <w:tc>
          <w:tcPr>
            <w:tcW w:w="1283" w:type="dxa"/>
            <w:shd w:val="clear" w:color="auto" w:fill="D2DFED"/>
          </w:tcPr>
          <w:p>
            <w:pPr>
              <w:pStyle w:val="TableParagraph"/>
              <w:ind w:right="244"/>
              <w:rPr>
                <w:sz w:val="18"/>
              </w:rPr>
            </w:pPr>
            <w:r>
              <w:rPr>
                <w:sz w:val="18"/>
              </w:rPr>
              <w:t>64</w:t>
            </w:r>
          </w:p>
        </w:tc>
        <w:tc>
          <w:tcPr>
            <w:tcW w:w="1498" w:type="dxa"/>
            <w:shd w:val="clear" w:color="auto" w:fill="D2DFED"/>
          </w:tcPr>
          <w:p>
            <w:pPr>
              <w:pStyle w:val="TableParagraph"/>
              <w:ind w:right="110"/>
              <w:rPr>
                <w:sz w:val="18"/>
              </w:rPr>
            </w:pPr>
            <w:r>
              <w:rPr>
                <w:sz w:val="18"/>
              </w:rPr>
              <w:t>65</w:t>
            </w:r>
          </w:p>
        </w:tc>
      </w:tr>
      <w:tr>
        <w:trPr>
          <w:trHeight w:val="285" w:hRule="atLeast"/>
        </w:trPr>
        <w:tc>
          <w:tcPr>
            <w:tcW w:w="5912" w:type="dxa"/>
          </w:tcPr>
          <w:p>
            <w:pPr>
              <w:pStyle w:val="TableParagraph"/>
              <w:spacing w:before="8"/>
              <w:ind w:left="127"/>
              <w:jc w:val="left"/>
              <w:rPr>
                <w:b/>
                <w:sz w:val="20"/>
              </w:rPr>
            </w:pPr>
            <w:r>
              <w:rPr>
                <w:b/>
                <w:sz w:val="20"/>
              </w:rPr>
              <w:t>Swan River Trust</w:t>
            </w:r>
          </w:p>
        </w:tc>
        <w:tc>
          <w:tcPr>
            <w:tcW w:w="1254" w:type="dxa"/>
          </w:tcPr>
          <w:p>
            <w:pPr>
              <w:pStyle w:val="TableParagraph"/>
              <w:ind w:right="128"/>
              <w:rPr>
                <w:sz w:val="18"/>
              </w:rPr>
            </w:pPr>
            <w:r>
              <w:rPr>
                <w:sz w:val="18"/>
              </w:rPr>
              <w:t>57</w:t>
            </w:r>
          </w:p>
        </w:tc>
        <w:tc>
          <w:tcPr>
            <w:tcW w:w="1283" w:type="dxa"/>
          </w:tcPr>
          <w:p>
            <w:pPr>
              <w:pStyle w:val="TableParagraph"/>
              <w:ind w:right="244"/>
              <w:rPr>
                <w:sz w:val="18"/>
              </w:rPr>
            </w:pPr>
            <w:r>
              <w:rPr>
                <w:sz w:val="18"/>
              </w:rPr>
              <w:t>53</w:t>
            </w:r>
          </w:p>
        </w:tc>
        <w:tc>
          <w:tcPr>
            <w:tcW w:w="1498" w:type="dxa"/>
          </w:tcPr>
          <w:p>
            <w:pPr>
              <w:pStyle w:val="TableParagraph"/>
              <w:ind w:right="110"/>
              <w:rPr>
                <w:sz w:val="18"/>
              </w:rPr>
            </w:pPr>
            <w:r>
              <w:rPr>
                <w:sz w:val="18"/>
              </w:rPr>
              <w:t>52</w:t>
            </w:r>
          </w:p>
        </w:tc>
      </w:tr>
      <w:tr>
        <w:trPr>
          <w:trHeight w:val="285" w:hRule="atLeast"/>
        </w:trPr>
        <w:tc>
          <w:tcPr>
            <w:tcW w:w="5912" w:type="dxa"/>
            <w:tcBorders>
              <w:bottom w:val="single" w:sz="8" w:space="0" w:color="4F81BC"/>
            </w:tcBorders>
            <w:shd w:val="clear" w:color="auto" w:fill="D2DFED"/>
          </w:tcPr>
          <w:p>
            <w:pPr>
              <w:pStyle w:val="TableParagraph"/>
              <w:spacing w:before="8"/>
              <w:ind w:left="127"/>
              <w:jc w:val="left"/>
              <w:rPr>
                <w:b/>
                <w:sz w:val="20"/>
              </w:rPr>
            </w:pPr>
            <w:r>
              <w:rPr>
                <w:b/>
                <w:sz w:val="20"/>
              </w:rPr>
              <w:t>Department of Education Services</w:t>
            </w:r>
          </w:p>
        </w:tc>
        <w:tc>
          <w:tcPr>
            <w:tcW w:w="1254" w:type="dxa"/>
            <w:tcBorders>
              <w:bottom w:val="single" w:sz="8" w:space="0" w:color="4F81BC"/>
            </w:tcBorders>
            <w:shd w:val="clear" w:color="auto" w:fill="D2DFED"/>
          </w:tcPr>
          <w:p>
            <w:pPr>
              <w:pStyle w:val="TableParagraph"/>
              <w:spacing w:before="20"/>
              <w:ind w:right="128"/>
              <w:rPr>
                <w:sz w:val="18"/>
              </w:rPr>
            </w:pPr>
            <w:r>
              <w:rPr>
                <w:sz w:val="18"/>
              </w:rPr>
              <w:t>58</w:t>
            </w:r>
          </w:p>
        </w:tc>
        <w:tc>
          <w:tcPr>
            <w:tcW w:w="1283" w:type="dxa"/>
            <w:tcBorders>
              <w:bottom w:val="single" w:sz="8" w:space="0" w:color="4F81BC"/>
            </w:tcBorders>
            <w:shd w:val="clear" w:color="auto" w:fill="D2DFED"/>
          </w:tcPr>
          <w:p>
            <w:pPr>
              <w:pStyle w:val="TableParagraph"/>
              <w:spacing w:before="20"/>
              <w:ind w:right="244"/>
              <w:rPr>
                <w:sz w:val="18"/>
              </w:rPr>
            </w:pPr>
            <w:r>
              <w:rPr>
                <w:sz w:val="18"/>
              </w:rPr>
              <w:t>52</w:t>
            </w:r>
          </w:p>
        </w:tc>
        <w:tc>
          <w:tcPr>
            <w:tcW w:w="1498" w:type="dxa"/>
            <w:tcBorders>
              <w:bottom w:val="single" w:sz="8" w:space="0" w:color="4F81BC"/>
            </w:tcBorders>
            <w:shd w:val="clear" w:color="auto" w:fill="D2DFED"/>
          </w:tcPr>
          <w:p>
            <w:pPr>
              <w:pStyle w:val="TableParagraph"/>
              <w:spacing w:before="20"/>
              <w:ind w:right="110"/>
              <w:rPr>
                <w:sz w:val="18"/>
              </w:rPr>
            </w:pPr>
            <w:r>
              <w:rPr>
                <w:sz w:val="18"/>
              </w:rPr>
              <w:t>49</w:t>
            </w:r>
          </w:p>
        </w:tc>
      </w:tr>
    </w:tbl>
    <w:p>
      <w:pPr>
        <w:spacing w:after="0"/>
        <w:rPr>
          <w:sz w:val="18"/>
        </w:rPr>
        <w:sectPr>
          <w:pgSz w:w="11910" w:h="16850"/>
          <w:pgMar w:top="1000" w:bottom="280" w:left="1200" w:right="420"/>
        </w:sectPr>
      </w:pPr>
    </w:p>
    <w:tbl>
      <w:tblPr>
        <w:tblW w:w="0" w:type="auto"/>
        <w:jc w:val="left"/>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7"/>
        <w:gridCol w:w="1504"/>
        <w:gridCol w:w="1282"/>
        <w:gridCol w:w="1492"/>
      </w:tblGrid>
      <w:tr>
        <w:trPr>
          <w:trHeight w:val="486" w:hRule="atLeast"/>
        </w:trPr>
        <w:tc>
          <w:tcPr>
            <w:tcW w:w="5647" w:type="dxa"/>
            <w:tcBorders>
              <w:top w:val="single" w:sz="4" w:space="0" w:color="000000"/>
              <w:left w:val="single" w:sz="4" w:space="0" w:color="000000"/>
              <w:bottom w:val="single" w:sz="8" w:space="0" w:color="4F81BC"/>
            </w:tcBorders>
          </w:tcPr>
          <w:p>
            <w:pPr>
              <w:pStyle w:val="TableParagraph"/>
              <w:spacing w:before="0"/>
              <w:jc w:val="left"/>
              <w:rPr>
                <w:rFonts w:ascii="Times New Roman"/>
                <w:sz w:val="18"/>
              </w:rPr>
            </w:pPr>
          </w:p>
        </w:tc>
        <w:tc>
          <w:tcPr>
            <w:tcW w:w="1504" w:type="dxa"/>
            <w:tcBorders>
              <w:top w:val="single" w:sz="4" w:space="0" w:color="000000"/>
              <w:bottom w:val="single" w:sz="8" w:space="0" w:color="4F81BC"/>
            </w:tcBorders>
          </w:tcPr>
          <w:p>
            <w:pPr>
              <w:pStyle w:val="TableParagraph"/>
              <w:spacing w:line="234" w:lineRule="exact" w:before="0"/>
              <w:ind w:left="29"/>
              <w:jc w:val="left"/>
              <w:rPr>
                <w:b/>
                <w:sz w:val="20"/>
              </w:rPr>
            </w:pPr>
            <w:r>
              <w:rPr>
                <w:b/>
                <w:sz w:val="20"/>
              </w:rPr>
              <w:t>Paid head</w:t>
            </w:r>
            <w:r>
              <w:rPr>
                <w:b/>
                <w:spacing w:val="-6"/>
                <w:sz w:val="20"/>
              </w:rPr>
              <w:t> </w:t>
            </w:r>
            <w:r>
              <w:rPr>
                <w:b/>
                <w:sz w:val="20"/>
              </w:rPr>
              <w:t>count</w:t>
            </w:r>
          </w:p>
          <w:p>
            <w:pPr>
              <w:pStyle w:val="TableParagraph"/>
              <w:spacing w:line="232" w:lineRule="exact" w:before="0"/>
              <w:ind w:left="476"/>
              <w:jc w:val="left"/>
              <w:rPr>
                <w:b/>
                <w:sz w:val="20"/>
              </w:rPr>
            </w:pPr>
            <w:r>
              <w:rPr>
                <w:b/>
                <w:sz w:val="20"/>
              </w:rPr>
              <w:t>June</w:t>
            </w:r>
            <w:r>
              <w:rPr>
                <w:b/>
                <w:spacing w:val="-4"/>
                <w:sz w:val="20"/>
              </w:rPr>
              <w:t> </w:t>
            </w:r>
            <w:r>
              <w:rPr>
                <w:b/>
                <w:sz w:val="20"/>
              </w:rPr>
              <w:t>2009</w:t>
            </w:r>
            <w:r>
              <w:rPr>
                <w:b/>
                <w:sz w:val="20"/>
                <w:vertAlign w:val="superscript"/>
              </w:rPr>
              <w:t>3</w:t>
            </w:r>
          </w:p>
        </w:tc>
        <w:tc>
          <w:tcPr>
            <w:tcW w:w="1282" w:type="dxa"/>
            <w:tcBorders>
              <w:top w:val="single" w:sz="4" w:space="0" w:color="000000"/>
              <w:bottom w:val="single" w:sz="8" w:space="0" w:color="4F81BC"/>
            </w:tcBorders>
          </w:tcPr>
          <w:p>
            <w:pPr>
              <w:pStyle w:val="TableParagraph"/>
              <w:spacing w:line="234" w:lineRule="exact" w:before="0"/>
              <w:ind w:left="342"/>
              <w:jc w:val="left"/>
              <w:rPr>
                <w:b/>
                <w:sz w:val="20"/>
              </w:rPr>
            </w:pPr>
            <w:r>
              <w:rPr>
                <w:b/>
                <w:sz w:val="20"/>
              </w:rPr>
              <w:t>Paid</w:t>
            </w:r>
            <w:r>
              <w:rPr>
                <w:b/>
                <w:spacing w:val="-5"/>
                <w:sz w:val="20"/>
              </w:rPr>
              <w:t> </w:t>
            </w:r>
            <w:r>
              <w:rPr>
                <w:b/>
                <w:sz w:val="20"/>
              </w:rPr>
              <w:t>FTE</w:t>
            </w:r>
          </w:p>
          <w:p>
            <w:pPr>
              <w:pStyle w:val="TableParagraph"/>
              <w:spacing w:line="232" w:lineRule="exact" w:before="0"/>
              <w:ind w:left="138"/>
              <w:jc w:val="left"/>
              <w:rPr>
                <w:b/>
                <w:sz w:val="20"/>
              </w:rPr>
            </w:pPr>
            <w:r>
              <w:rPr>
                <w:b/>
                <w:sz w:val="20"/>
              </w:rPr>
              <w:t>June</w:t>
            </w:r>
            <w:r>
              <w:rPr>
                <w:b/>
                <w:spacing w:val="-3"/>
                <w:sz w:val="20"/>
              </w:rPr>
              <w:t> </w:t>
            </w:r>
            <w:r>
              <w:rPr>
                <w:b/>
                <w:sz w:val="20"/>
              </w:rPr>
              <w:t>2009</w:t>
            </w:r>
            <w:r>
              <w:rPr>
                <w:b/>
                <w:sz w:val="20"/>
                <w:vertAlign w:val="superscript"/>
              </w:rPr>
              <w:t>4</w:t>
            </w:r>
          </w:p>
        </w:tc>
        <w:tc>
          <w:tcPr>
            <w:tcW w:w="1492" w:type="dxa"/>
            <w:tcBorders>
              <w:top w:val="single" w:sz="4" w:space="0" w:color="000000"/>
              <w:bottom w:val="single" w:sz="8" w:space="0" w:color="4F81BC"/>
              <w:right w:val="single" w:sz="4" w:space="0" w:color="000000"/>
            </w:tcBorders>
          </w:tcPr>
          <w:p>
            <w:pPr>
              <w:pStyle w:val="TableParagraph"/>
              <w:spacing w:line="234" w:lineRule="exact" w:before="0"/>
              <w:ind w:left="254"/>
              <w:jc w:val="left"/>
              <w:rPr>
                <w:b/>
                <w:sz w:val="20"/>
              </w:rPr>
            </w:pPr>
            <w:r>
              <w:rPr>
                <w:b/>
                <w:sz w:val="20"/>
              </w:rPr>
              <w:t>Average</w:t>
            </w:r>
            <w:r>
              <w:rPr>
                <w:b/>
                <w:spacing w:val="38"/>
                <w:sz w:val="20"/>
              </w:rPr>
              <w:t> </w:t>
            </w:r>
            <w:r>
              <w:rPr>
                <w:b/>
                <w:sz w:val="20"/>
              </w:rPr>
              <w:t>Paid</w:t>
            </w:r>
          </w:p>
          <w:p>
            <w:pPr>
              <w:pStyle w:val="TableParagraph"/>
              <w:spacing w:line="232" w:lineRule="exact" w:before="0"/>
              <w:ind w:left="292"/>
              <w:jc w:val="left"/>
              <w:rPr>
                <w:b/>
                <w:sz w:val="20"/>
              </w:rPr>
            </w:pPr>
            <w:r>
              <w:rPr>
                <w:b/>
                <w:sz w:val="20"/>
              </w:rPr>
              <w:t>FTE</w:t>
            </w:r>
            <w:r>
              <w:rPr>
                <w:b/>
                <w:spacing w:val="-4"/>
                <w:sz w:val="20"/>
              </w:rPr>
              <w:t> </w:t>
            </w:r>
            <w:r>
              <w:rPr>
                <w:b/>
                <w:sz w:val="20"/>
              </w:rPr>
              <w:t>2008/09</w:t>
            </w:r>
            <w:r>
              <w:rPr>
                <w:b/>
                <w:sz w:val="20"/>
                <w:vertAlign w:val="superscript"/>
              </w:rPr>
              <w:t>2</w:t>
            </w:r>
          </w:p>
        </w:tc>
      </w:tr>
      <w:tr>
        <w:trPr>
          <w:trHeight w:val="285" w:hRule="atLeast"/>
        </w:trPr>
        <w:tc>
          <w:tcPr>
            <w:tcW w:w="5647" w:type="dxa"/>
            <w:tcBorders>
              <w:top w:val="single" w:sz="8" w:space="0" w:color="4F81BC"/>
            </w:tcBorders>
          </w:tcPr>
          <w:p>
            <w:pPr>
              <w:pStyle w:val="TableParagraph"/>
              <w:spacing w:before="11"/>
              <w:ind w:left="112"/>
              <w:jc w:val="left"/>
              <w:rPr>
                <w:b/>
                <w:sz w:val="20"/>
              </w:rPr>
            </w:pPr>
            <w:r>
              <w:rPr>
                <w:b/>
                <w:sz w:val="20"/>
              </w:rPr>
              <w:t>Economic Regulation Authority</w:t>
            </w:r>
          </w:p>
        </w:tc>
        <w:tc>
          <w:tcPr>
            <w:tcW w:w="1504" w:type="dxa"/>
            <w:tcBorders>
              <w:top w:val="single" w:sz="8" w:space="0" w:color="4F81BC"/>
            </w:tcBorders>
          </w:tcPr>
          <w:p>
            <w:pPr>
              <w:pStyle w:val="TableParagraph"/>
              <w:ind w:right="128"/>
              <w:rPr>
                <w:sz w:val="18"/>
              </w:rPr>
            </w:pPr>
            <w:r>
              <w:rPr>
                <w:sz w:val="18"/>
              </w:rPr>
              <w:t>51</w:t>
            </w:r>
          </w:p>
        </w:tc>
        <w:tc>
          <w:tcPr>
            <w:tcW w:w="1282" w:type="dxa"/>
            <w:tcBorders>
              <w:top w:val="single" w:sz="8" w:space="0" w:color="4F81BC"/>
            </w:tcBorders>
          </w:tcPr>
          <w:p>
            <w:pPr>
              <w:pStyle w:val="TableParagraph"/>
              <w:ind w:right="243"/>
              <w:rPr>
                <w:sz w:val="18"/>
              </w:rPr>
            </w:pPr>
            <w:r>
              <w:rPr>
                <w:sz w:val="18"/>
              </w:rPr>
              <w:t>46</w:t>
            </w:r>
          </w:p>
        </w:tc>
        <w:tc>
          <w:tcPr>
            <w:tcW w:w="1492" w:type="dxa"/>
            <w:tcBorders>
              <w:top w:val="single" w:sz="8" w:space="0" w:color="4F81BC"/>
            </w:tcBorders>
          </w:tcPr>
          <w:p>
            <w:pPr>
              <w:pStyle w:val="TableParagraph"/>
              <w:ind w:right="103"/>
              <w:rPr>
                <w:sz w:val="18"/>
              </w:rPr>
            </w:pPr>
            <w:r>
              <w:rPr>
                <w:sz w:val="18"/>
              </w:rPr>
              <w:t>43</w:t>
            </w:r>
          </w:p>
        </w:tc>
      </w:tr>
      <w:tr>
        <w:trPr>
          <w:trHeight w:val="489" w:hRule="atLeast"/>
        </w:trPr>
        <w:tc>
          <w:tcPr>
            <w:tcW w:w="5647" w:type="dxa"/>
            <w:shd w:val="clear" w:color="auto" w:fill="D2DFED"/>
          </w:tcPr>
          <w:p>
            <w:pPr>
              <w:pStyle w:val="TableParagraph"/>
              <w:spacing w:before="0"/>
              <w:ind w:left="112"/>
              <w:jc w:val="left"/>
              <w:rPr>
                <w:b/>
                <w:sz w:val="20"/>
              </w:rPr>
            </w:pPr>
            <w:r>
              <w:rPr>
                <w:b/>
                <w:sz w:val="20"/>
              </w:rPr>
              <w:t>Department of the Registrar Western Australian Industrial Relations Commission</w:t>
            </w:r>
          </w:p>
        </w:tc>
        <w:tc>
          <w:tcPr>
            <w:tcW w:w="1504" w:type="dxa"/>
            <w:shd w:val="clear" w:color="auto" w:fill="D2DFED"/>
          </w:tcPr>
          <w:p>
            <w:pPr>
              <w:pStyle w:val="TableParagraph"/>
              <w:spacing w:before="124"/>
              <w:ind w:right="128"/>
              <w:rPr>
                <w:sz w:val="18"/>
              </w:rPr>
            </w:pPr>
            <w:r>
              <w:rPr>
                <w:sz w:val="18"/>
              </w:rPr>
              <w:t>47</w:t>
            </w:r>
          </w:p>
        </w:tc>
        <w:tc>
          <w:tcPr>
            <w:tcW w:w="1282" w:type="dxa"/>
            <w:shd w:val="clear" w:color="auto" w:fill="D2DFED"/>
          </w:tcPr>
          <w:p>
            <w:pPr>
              <w:pStyle w:val="TableParagraph"/>
              <w:spacing w:before="124"/>
              <w:ind w:right="243"/>
              <w:rPr>
                <w:sz w:val="18"/>
              </w:rPr>
            </w:pPr>
            <w:r>
              <w:rPr>
                <w:sz w:val="18"/>
              </w:rPr>
              <w:t>41</w:t>
            </w:r>
          </w:p>
        </w:tc>
        <w:tc>
          <w:tcPr>
            <w:tcW w:w="1492" w:type="dxa"/>
            <w:shd w:val="clear" w:color="auto" w:fill="D2DFED"/>
          </w:tcPr>
          <w:p>
            <w:pPr>
              <w:pStyle w:val="TableParagraph"/>
              <w:spacing w:before="124"/>
              <w:ind w:right="103"/>
              <w:rPr>
                <w:sz w:val="18"/>
              </w:rPr>
            </w:pPr>
            <w:r>
              <w:rPr>
                <w:sz w:val="18"/>
              </w:rPr>
              <w:t>39</w:t>
            </w:r>
          </w:p>
        </w:tc>
      </w:tr>
      <w:tr>
        <w:trPr>
          <w:trHeight w:val="487" w:hRule="atLeast"/>
        </w:trPr>
        <w:tc>
          <w:tcPr>
            <w:tcW w:w="5647" w:type="dxa"/>
          </w:tcPr>
          <w:p>
            <w:pPr>
              <w:pStyle w:val="TableParagraph"/>
              <w:spacing w:line="234" w:lineRule="exact" w:before="0"/>
              <w:ind w:left="112"/>
              <w:jc w:val="left"/>
              <w:rPr>
                <w:b/>
                <w:sz w:val="20"/>
              </w:rPr>
            </w:pPr>
            <w:r>
              <w:rPr>
                <w:b/>
                <w:sz w:val="20"/>
              </w:rPr>
              <w:t>Parliamentary Commissioner for Administrative</w:t>
            </w:r>
          </w:p>
          <w:p>
            <w:pPr>
              <w:pStyle w:val="TableParagraph"/>
              <w:spacing w:line="233" w:lineRule="exact" w:before="0"/>
              <w:ind w:left="112"/>
              <w:jc w:val="left"/>
              <w:rPr>
                <w:b/>
                <w:sz w:val="20"/>
              </w:rPr>
            </w:pPr>
            <w:r>
              <w:rPr>
                <w:b/>
                <w:sz w:val="20"/>
              </w:rPr>
              <w:t>Investigations (Ombudsman)</w:t>
            </w:r>
          </w:p>
        </w:tc>
        <w:tc>
          <w:tcPr>
            <w:tcW w:w="1504" w:type="dxa"/>
          </w:tcPr>
          <w:p>
            <w:pPr>
              <w:pStyle w:val="TableParagraph"/>
              <w:spacing w:before="124"/>
              <w:ind w:right="128"/>
              <w:rPr>
                <w:sz w:val="18"/>
              </w:rPr>
            </w:pPr>
            <w:r>
              <w:rPr>
                <w:sz w:val="18"/>
              </w:rPr>
              <w:t>46</w:t>
            </w:r>
          </w:p>
        </w:tc>
        <w:tc>
          <w:tcPr>
            <w:tcW w:w="1282" w:type="dxa"/>
          </w:tcPr>
          <w:p>
            <w:pPr>
              <w:pStyle w:val="TableParagraph"/>
              <w:spacing w:before="124"/>
              <w:ind w:right="243"/>
              <w:rPr>
                <w:sz w:val="18"/>
              </w:rPr>
            </w:pPr>
            <w:r>
              <w:rPr>
                <w:sz w:val="18"/>
              </w:rPr>
              <w:t>38</w:t>
            </w:r>
          </w:p>
        </w:tc>
        <w:tc>
          <w:tcPr>
            <w:tcW w:w="1492" w:type="dxa"/>
          </w:tcPr>
          <w:p>
            <w:pPr>
              <w:pStyle w:val="TableParagraph"/>
              <w:spacing w:before="124"/>
              <w:ind w:right="103"/>
              <w:rPr>
                <w:sz w:val="18"/>
              </w:rPr>
            </w:pPr>
            <w:r>
              <w:rPr>
                <w:sz w:val="18"/>
              </w:rPr>
              <w:t>37</w:t>
            </w:r>
          </w:p>
        </w:tc>
      </w:tr>
      <w:tr>
        <w:trPr>
          <w:trHeight w:val="285" w:hRule="atLeast"/>
        </w:trPr>
        <w:tc>
          <w:tcPr>
            <w:tcW w:w="5647" w:type="dxa"/>
            <w:shd w:val="clear" w:color="auto" w:fill="D2DFED"/>
          </w:tcPr>
          <w:p>
            <w:pPr>
              <w:pStyle w:val="TableParagraph"/>
              <w:spacing w:before="11"/>
              <w:ind w:left="112"/>
              <w:jc w:val="left"/>
              <w:rPr>
                <w:b/>
                <w:sz w:val="20"/>
              </w:rPr>
            </w:pPr>
            <w:r>
              <w:rPr>
                <w:b/>
                <w:sz w:val="20"/>
              </w:rPr>
              <w:t>Office of the Public Sector Standards Commissioner</w:t>
            </w:r>
          </w:p>
        </w:tc>
        <w:tc>
          <w:tcPr>
            <w:tcW w:w="1504" w:type="dxa"/>
            <w:shd w:val="clear" w:color="auto" w:fill="D2DFED"/>
          </w:tcPr>
          <w:p>
            <w:pPr>
              <w:pStyle w:val="TableParagraph"/>
              <w:ind w:right="128"/>
              <w:rPr>
                <w:sz w:val="18"/>
              </w:rPr>
            </w:pPr>
            <w:r>
              <w:rPr>
                <w:sz w:val="18"/>
              </w:rPr>
              <w:t>38</w:t>
            </w:r>
          </w:p>
        </w:tc>
        <w:tc>
          <w:tcPr>
            <w:tcW w:w="1282" w:type="dxa"/>
            <w:shd w:val="clear" w:color="auto" w:fill="D2DFED"/>
          </w:tcPr>
          <w:p>
            <w:pPr>
              <w:pStyle w:val="TableParagraph"/>
              <w:ind w:right="243"/>
              <w:rPr>
                <w:sz w:val="18"/>
              </w:rPr>
            </w:pPr>
            <w:r>
              <w:rPr>
                <w:sz w:val="18"/>
              </w:rPr>
              <w:t>34</w:t>
            </w:r>
          </w:p>
        </w:tc>
        <w:tc>
          <w:tcPr>
            <w:tcW w:w="1492" w:type="dxa"/>
            <w:shd w:val="clear" w:color="auto" w:fill="D2DFED"/>
          </w:tcPr>
          <w:p>
            <w:pPr>
              <w:pStyle w:val="TableParagraph"/>
              <w:ind w:right="103"/>
              <w:rPr>
                <w:sz w:val="18"/>
              </w:rPr>
            </w:pPr>
            <w:r>
              <w:rPr>
                <w:sz w:val="18"/>
              </w:rPr>
              <w:t>35</w:t>
            </w:r>
          </w:p>
        </w:tc>
      </w:tr>
      <w:tr>
        <w:trPr>
          <w:trHeight w:val="285" w:hRule="atLeast"/>
        </w:trPr>
        <w:tc>
          <w:tcPr>
            <w:tcW w:w="5647" w:type="dxa"/>
          </w:tcPr>
          <w:p>
            <w:pPr>
              <w:pStyle w:val="TableParagraph"/>
              <w:spacing w:before="11"/>
              <w:ind w:left="112"/>
              <w:jc w:val="left"/>
              <w:rPr>
                <w:b/>
                <w:sz w:val="20"/>
              </w:rPr>
            </w:pPr>
            <w:r>
              <w:rPr>
                <w:b/>
                <w:sz w:val="20"/>
              </w:rPr>
              <w:t>The National Trust of Australia (W.A.)</w:t>
            </w:r>
          </w:p>
        </w:tc>
        <w:tc>
          <w:tcPr>
            <w:tcW w:w="1504" w:type="dxa"/>
          </w:tcPr>
          <w:p>
            <w:pPr>
              <w:pStyle w:val="TableParagraph"/>
              <w:ind w:right="128"/>
              <w:rPr>
                <w:sz w:val="18"/>
              </w:rPr>
            </w:pPr>
            <w:r>
              <w:rPr>
                <w:sz w:val="18"/>
              </w:rPr>
              <w:t>43</w:t>
            </w:r>
          </w:p>
        </w:tc>
        <w:tc>
          <w:tcPr>
            <w:tcW w:w="1282" w:type="dxa"/>
          </w:tcPr>
          <w:p>
            <w:pPr>
              <w:pStyle w:val="TableParagraph"/>
              <w:ind w:right="243"/>
              <w:rPr>
                <w:sz w:val="18"/>
              </w:rPr>
            </w:pPr>
            <w:r>
              <w:rPr>
                <w:sz w:val="18"/>
              </w:rPr>
              <w:t>27</w:t>
            </w:r>
          </w:p>
        </w:tc>
        <w:tc>
          <w:tcPr>
            <w:tcW w:w="1492" w:type="dxa"/>
          </w:tcPr>
          <w:p>
            <w:pPr>
              <w:pStyle w:val="TableParagraph"/>
              <w:ind w:right="103"/>
              <w:rPr>
                <w:sz w:val="18"/>
              </w:rPr>
            </w:pPr>
            <w:r>
              <w:rPr>
                <w:sz w:val="18"/>
              </w:rPr>
              <w:t>28</w:t>
            </w:r>
          </w:p>
        </w:tc>
      </w:tr>
      <w:tr>
        <w:trPr>
          <w:trHeight w:val="285" w:hRule="atLeast"/>
        </w:trPr>
        <w:tc>
          <w:tcPr>
            <w:tcW w:w="5647" w:type="dxa"/>
            <w:shd w:val="clear" w:color="auto" w:fill="D2DFED"/>
          </w:tcPr>
          <w:p>
            <w:pPr>
              <w:pStyle w:val="TableParagraph"/>
              <w:spacing w:before="8"/>
              <w:ind w:left="112"/>
              <w:jc w:val="left"/>
              <w:rPr>
                <w:b/>
                <w:sz w:val="20"/>
              </w:rPr>
            </w:pPr>
            <w:r>
              <w:rPr>
                <w:b/>
                <w:sz w:val="20"/>
              </w:rPr>
              <w:t>Commissioner for Equal Opportunity</w:t>
            </w:r>
          </w:p>
        </w:tc>
        <w:tc>
          <w:tcPr>
            <w:tcW w:w="1504" w:type="dxa"/>
            <w:shd w:val="clear" w:color="auto" w:fill="D2DFED"/>
          </w:tcPr>
          <w:p>
            <w:pPr>
              <w:pStyle w:val="TableParagraph"/>
              <w:spacing w:before="20"/>
              <w:ind w:right="128"/>
              <w:rPr>
                <w:sz w:val="18"/>
              </w:rPr>
            </w:pPr>
            <w:r>
              <w:rPr>
                <w:sz w:val="18"/>
              </w:rPr>
              <w:t>32</w:t>
            </w:r>
          </w:p>
        </w:tc>
        <w:tc>
          <w:tcPr>
            <w:tcW w:w="1282" w:type="dxa"/>
            <w:shd w:val="clear" w:color="auto" w:fill="D2DFED"/>
          </w:tcPr>
          <w:p>
            <w:pPr>
              <w:pStyle w:val="TableParagraph"/>
              <w:spacing w:before="20"/>
              <w:ind w:right="243"/>
              <w:rPr>
                <w:sz w:val="18"/>
              </w:rPr>
            </w:pPr>
            <w:r>
              <w:rPr>
                <w:sz w:val="18"/>
              </w:rPr>
              <w:t>26</w:t>
            </w:r>
          </w:p>
        </w:tc>
        <w:tc>
          <w:tcPr>
            <w:tcW w:w="1492" w:type="dxa"/>
            <w:shd w:val="clear" w:color="auto" w:fill="D2DFED"/>
          </w:tcPr>
          <w:p>
            <w:pPr>
              <w:pStyle w:val="TableParagraph"/>
              <w:spacing w:before="20"/>
              <w:ind w:right="103"/>
              <w:rPr>
                <w:sz w:val="18"/>
              </w:rPr>
            </w:pPr>
            <w:r>
              <w:rPr>
                <w:sz w:val="18"/>
              </w:rPr>
              <w:t>28</w:t>
            </w:r>
          </w:p>
        </w:tc>
      </w:tr>
      <w:tr>
        <w:trPr>
          <w:trHeight w:val="283" w:hRule="atLeast"/>
        </w:trPr>
        <w:tc>
          <w:tcPr>
            <w:tcW w:w="5647" w:type="dxa"/>
          </w:tcPr>
          <w:p>
            <w:pPr>
              <w:pStyle w:val="TableParagraph"/>
              <w:spacing w:before="8"/>
              <w:ind w:left="112"/>
              <w:jc w:val="left"/>
              <w:rPr>
                <w:b/>
                <w:sz w:val="20"/>
              </w:rPr>
            </w:pPr>
            <w:r>
              <w:rPr>
                <w:b/>
                <w:sz w:val="20"/>
              </w:rPr>
              <w:t>Heritage Council of Western Australia</w:t>
            </w:r>
          </w:p>
        </w:tc>
        <w:tc>
          <w:tcPr>
            <w:tcW w:w="1504" w:type="dxa"/>
          </w:tcPr>
          <w:p>
            <w:pPr>
              <w:pStyle w:val="TableParagraph"/>
              <w:spacing w:before="20"/>
              <w:ind w:right="128"/>
              <w:rPr>
                <w:sz w:val="18"/>
              </w:rPr>
            </w:pPr>
            <w:r>
              <w:rPr>
                <w:sz w:val="18"/>
              </w:rPr>
              <w:t>29</w:t>
            </w:r>
          </w:p>
        </w:tc>
        <w:tc>
          <w:tcPr>
            <w:tcW w:w="1282" w:type="dxa"/>
          </w:tcPr>
          <w:p>
            <w:pPr>
              <w:pStyle w:val="TableParagraph"/>
              <w:spacing w:before="20"/>
              <w:ind w:right="243"/>
              <w:rPr>
                <w:sz w:val="18"/>
              </w:rPr>
            </w:pPr>
            <w:r>
              <w:rPr>
                <w:sz w:val="18"/>
              </w:rPr>
              <w:t>26</w:t>
            </w:r>
          </w:p>
        </w:tc>
        <w:tc>
          <w:tcPr>
            <w:tcW w:w="1492" w:type="dxa"/>
          </w:tcPr>
          <w:p>
            <w:pPr>
              <w:pStyle w:val="TableParagraph"/>
              <w:spacing w:before="20"/>
              <w:ind w:right="103"/>
              <w:rPr>
                <w:sz w:val="18"/>
              </w:rPr>
            </w:pPr>
            <w:r>
              <w:rPr>
                <w:sz w:val="18"/>
              </w:rPr>
              <w:t>28</w:t>
            </w:r>
          </w:p>
        </w:tc>
      </w:tr>
      <w:tr>
        <w:trPr>
          <w:trHeight w:val="285" w:hRule="atLeast"/>
        </w:trPr>
        <w:tc>
          <w:tcPr>
            <w:tcW w:w="5647" w:type="dxa"/>
            <w:shd w:val="clear" w:color="auto" w:fill="D2DFED"/>
          </w:tcPr>
          <w:p>
            <w:pPr>
              <w:pStyle w:val="TableParagraph"/>
              <w:spacing w:before="11"/>
              <w:ind w:left="112"/>
              <w:jc w:val="left"/>
              <w:rPr>
                <w:b/>
                <w:sz w:val="20"/>
              </w:rPr>
            </w:pPr>
            <w:r>
              <w:rPr>
                <w:b/>
                <w:sz w:val="20"/>
              </w:rPr>
              <w:t>South West Development Commission</w:t>
            </w:r>
          </w:p>
        </w:tc>
        <w:tc>
          <w:tcPr>
            <w:tcW w:w="1504" w:type="dxa"/>
            <w:shd w:val="clear" w:color="auto" w:fill="D2DFED"/>
          </w:tcPr>
          <w:p>
            <w:pPr>
              <w:pStyle w:val="TableParagraph"/>
              <w:spacing w:before="11"/>
              <w:ind w:right="128"/>
              <w:rPr>
                <w:sz w:val="20"/>
              </w:rPr>
            </w:pPr>
            <w:r>
              <w:rPr>
                <w:w w:val="95"/>
                <w:sz w:val="20"/>
              </w:rPr>
              <w:t>24</w:t>
            </w:r>
          </w:p>
        </w:tc>
        <w:tc>
          <w:tcPr>
            <w:tcW w:w="1282" w:type="dxa"/>
            <w:shd w:val="clear" w:color="auto" w:fill="D2DFED"/>
          </w:tcPr>
          <w:p>
            <w:pPr>
              <w:pStyle w:val="TableParagraph"/>
              <w:spacing w:before="11"/>
              <w:ind w:right="243"/>
              <w:rPr>
                <w:sz w:val="20"/>
              </w:rPr>
            </w:pPr>
            <w:r>
              <w:rPr>
                <w:w w:val="95"/>
                <w:sz w:val="20"/>
              </w:rPr>
              <w:t>22</w:t>
            </w:r>
          </w:p>
        </w:tc>
        <w:tc>
          <w:tcPr>
            <w:tcW w:w="1492" w:type="dxa"/>
            <w:shd w:val="clear" w:color="auto" w:fill="D2DFED"/>
          </w:tcPr>
          <w:p>
            <w:pPr>
              <w:pStyle w:val="TableParagraph"/>
              <w:ind w:right="103"/>
              <w:rPr>
                <w:sz w:val="18"/>
              </w:rPr>
            </w:pPr>
            <w:r>
              <w:rPr>
                <w:sz w:val="18"/>
              </w:rPr>
              <w:t>22</w:t>
            </w:r>
          </w:p>
        </w:tc>
      </w:tr>
      <w:tr>
        <w:trPr>
          <w:trHeight w:val="285" w:hRule="atLeast"/>
        </w:trPr>
        <w:tc>
          <w:tcPr>
            <w:tcW w:w="5647" w:type="dxa"/>
          </w:tcPr>
          <w:p>
            <w:pPr>
              <w:pStyle w:val="TableParagraph"/>
              <w:spacing w:before="11"/>
              <w:ind w:left="112"/>
              <w:jc w:val="left"/>
              <w:rPr>
                <w:b/>
                <w:sz w:val="20"/>
              </w:rPr>
            </w:pPr>
            <w:r>
              <w:rPr>
                <w:b/>
                <w:sz w:val="20"/>
              </w:rPr>
              <w:t>Mid West Development Commission</w:t>
            </w:r>
          </w:p>
        </w:tc>
        <w:tc>
          <w:tcPr>
            <w:tcW w:w="1504" w:type="dxa"/>
          </w:tcPr>
          <w:p>
            <w:pPr>
              <w:pStyle w:val="TableParagraph"/>
              <w:spacing w:before="11"/>
              <w:ind w:right="128"/>
              <w:rPr>
                <w:sz w:val="20"/>
              </w:rPr>
            </w:pPr>
            <w:r>
              <w:rPr>
                <w:w w:val="95"/>
                <w:sz w:val="20"/>
              </w:rPr>
              <w:t>16</w:t>
            </w:r>
          </w:p>
        </w:tc>
        <w:tc>
          <w:tcPr>
            <w:tcW w:w="1282" w:type="dxa"/>
          </w:tcPr>
          <w:p>
            <w:pPr>
              <w:pStyle w:val="TableParagraph"/>
              <w:spacing w:before="11"/>
              <w:ind w:right="243"/>
              <w:rPr>
                <w:sz w:val="20"/>
              </w:rPr>
            </w:pPr>
            <w:r>
              <w:rPr>
                <w:w w:val="95"/>
                <w:sz w:val="20"/>
              </w:rPr>
              <w:t>15</w:t>
            </w:r>
          </w:p>
        </w:tc>
        <w:tc>
          <w:tcPr>
            <w:tcW w:w="1492" w:type="dxa"/>
          </w:tcPr>
          <w:p>
            <w:pPr>
              <w:pStyle w:val="TableParagraph"/>
              <w:ind w:right="103"/>
              <w:rPr>
                <w:sz w:val="18"/>
              </w:rPr>
            </w:pPr>
            <w:r>
              <w:rPr>
                <w:sz w:val="18"/>
              </w:rPr>
              <w:t>14</w:t>
            </w:r>
          </w:p>
        </w:tc>
      </w:tr>
      <w:tr>
        <w:trPr>
          <w:trHeight w:val="285" w:hRule="atLeast"/>
        </w:trPr>
        <w:tc>
          <w:tcPr>
            <w:tcW w:w="5647" w:type="dxa"/>
            <w:shd w:val="clear" w:color="auto" w:fill="D2DFED"/>
          </w:tcPr>
          <w:p>
            <w:pPr>
              <w:pStyle w:val="TableParagraph"/>
              <w:spacing w:before="8"/>
              <w:ind w:left="112"/>
              <w:jc w:val="left"/>
              <w:rPr>
                <w:b/>
                <w:sz w:val="20"/>
              </w:rPr>
            </w:pPr>
            <w:r>
              <w:rPr>
                <w:b/>
                <w:sz w:val="20"/>
              </w:rPr>
              <w:t>Wheatbelt Development Commission</w:t>
            </w:r>
          </w:p>
        </w:tc>
        <w:tc>
          <w:tcPr>
            <w:tcW w:w="1504" w:type="dxa"/>
            <w:shd w:val="clear" w:color="auto" w:fill="D2DFED"/>
          </w:tcPr>
          <w:p>
            <w:pPr>
              <w:pStyle w:val="TableParagraph"/>
              <w:spacing w:before="8"/>
              <w:ind w:right="128"/>
              <w:rPr>
                <w:sz w:val="20"/>
              </w:rPr>
            </w:pPr>
            <w:r>
              <w:rPr>
                <w:w w:val="95"/>
                <w:sz w:val="20"/>
              </w:rPr>
              <w:t>19</w:t>
            </w:r>
          </w:p>
        </w:tc>
        <w:tc>
          <w:tcPr>
            <w:tcW w:w="1282" w:type="dxa"/>
            <w:shd w:val="clear" w:color="auto" w:fill="D2DFED"/>
          </w:tcPr>
          <w:p>
            <w:pPr>
              <w:pStyle w:val="TableParagraph"/>
              <w:spacing w:before="8"/>
              <w:ind w:right="243"/>
              <w:rPr>
                <w:sz w:val="20"/>
              </w:rPr>
            </w:pPr>
            <w:r>
              <w:rPr>
                <w:w w:val="95"/>
                <w:sz w:val="20"/>
              </w:rPr>
              <w:t>15</w:t>
            </w:r>
          </w:p>
        </w:tc>
        <w:tc>
          <w:tcPr>
            <w:tcW w:w="1492" w:type="dxa"/>
            <w:shd w:val="clear" w:color="auto" w:fill="D2DFED"/>
          </w:tcPr>
          <w:p>
            <w:pPr>
              <w:pStyle w:val="TableParagraph"/>
              <w:spacing w:before="20"/>
              <w:ind w:right="103"/>
              <w:rPr>
                <w:sz w:val="18"/>
              </w:rPr>
            </w:pPr>
            <w:r>
              <w:rPr>
                <w:sz w:val="18"/>
              </w:rPr>
              <w:t>14</w:t>
            </w:r>
          </w:p>
        </w:tc>
      </w:tr>
      <w:tr>
        <w:trPr>
          <w:trHeight w:val="283" w:hRule="atLeast"/>
        </w:trPr>
        <w:tc>
          <w:tcPr>
            <w:tcW w:w="5647" w:type="dxa"/>
          </w:tcPr>
          <w:p>
            <w:pPr>
              <w:pStyle w:val="TableParagraph"/>
              <w:spacing w:before="9"/>
              <w:ind w:left="112"/>
              <w:jc w:val="left"/>
              <w:rPr>
                <w:b/>
                <w:sz w:val="20"/>
              </w:rPr>
            </w:pPr>
            <w:r>
              <w:rPr>
                <w:b/>
                <w:sz w:val="20"/>
              </w:rPr>
              <w:t>Office of the Commissioner for Children and Young People</w:t>
            </w:r>
          </w:p>
        </w:tc>
        <w:tc>
          <w:tcPr>
            <w:tcW w:w="1504" w:type="dxa"/>
          </w:tcPr>
          <w:p>
            <w:pPr>
              <w:pStyle w:val="TableParagraph"/>
              <w:spacing w:before="9"/>
              <w:ind w:right="128"/>
              <w:rPr>
                <w:sz w:val="20"/>
              </w:rPr>
            </w:pPr>
            <w:r>
              <w:rPr>
                <w:w w:val="95"/>
                <w:sz w:val="20"/>
              </w:rPr>
              <w:t>18</w:t>
            </w:r>
          </w:p>
        </w:tc>
        <w:tc>
          <w:tcPr>
            <w:tcW w:w="1282" w:type="dxa"/>
          </w:tcPr>
          <w:p>
            <w:pPr>
              <w:pStyle w:val="TableParagraph"/>
              <w:spacing w:before="9"/>
              <w:ind w:right="243"/>
              <w:rPr>
                <w:sz w:val="20"/>
              </w:rPr>
            </w:pPr>
            <w:r>
              <w:rPr>
                <w:w w:val="95"/>
                <w:sz w:val="20"/>
              </w:rPr>
              <w:t>15</w:t>
            </w:r>
          </w:p>
        </w:tc>
        <w:tc>
          <w:tcPr>
            <w:tcW w:w="1492" w:type="dxa"/>
          </w:tcPr>
          <w:p>
            <w:pPr>
              <w:pStyle w:val="TableParagraph"/>
              <w:spacing w:before="21"/>
              <w:ind w:right="103"/>
              <w:rPr>
                <w:sz w:val="18"/>
              </w:rPr>
            </w:pPr>
            <w:r>
              <w:rPr>
                <w:sz w:val="18"/>
              </w:rPr>
              <w:t>13</w:t>
            </w:r>
          </w:p>
        </w:tc>
      </w:tr>
      <w:tr>
        <w:trPr>
          <w:trHeight w:val="285" w:hRule="atLeast"/>
        </w:trPr>
        <w:tc>
          <w:tcPr>
            <w:tcW w:w="5647" w:type="dxa"/>
            <w:shd w:val="clear" w:color="auto" w:fill="D2DFED"/>
          </w:tcPr>
          <w:p>
            <w:pPr>
              <w:pStyle w:val="TableParagraph"/>
              <w:spacing w:before="11"/>
              <w:ind w:left="112"/>
              <w:jc w:val="left"/>
              <w:rPr>
                <w:b/>
                <w:sz w:val="20"/>
              </w:rPr>
            </w:pPr>
            <w:r>
              <w:rPr>
                <w:b/>
                <w:sz w:val="20"/>
              </w:rPr>
              <w:t>Great Southern Development Commission</w:t>
            </w:r>
          </w:p>
        </w:tc>
        <w:tc>
          <w:tcPr>
            <w:tcW w:w="1504" w:type="dxa"/>
            <w:shd w:val="clear" w:color="auto" w:fill="D2DFED"/>
          </w:tcPr>
          <w:p>
            <w:pPr>
              <w:pStyle w:val="TableParagraph"/>
              <w:spacing w:before="11"/>
              <w:ind w:right="128"/>
              <w:rPr>
                <w:sz w:val="20"/>
              </w:rPr>
            </w:pPr>
            <w:r>
              <w:rPr>
                <w:w w:val="95"/>
                <w:sz w:val="20"/>
              </w:rPr>
              <w:t>14</w:t>
            </w:r>
          </w:p>
        </w:tc>
        <w:tc>
          <w:tcPr>
            <w:tcW w:w="1282" w:type="dxa"/>
            <w:shd w:val="clear" w:color="auto" w:fill="D2DFED"/>
          </w:tcPr>
          <w:p>
            <w:pPr>
              <w:pStyle w:val="TableParagraph"/>
              <w:spacing w:before="11"/>
              <w:ind w:right="243"/>
              <w:rPr>
                <w:sz w:val="20"/>
              </w:rPr>
            </w:pPr>
            <w:r>
              <w:rPr>
                <w:w w:val="95"/>
                <w:sz w:val="20"/>
              </w:rPr>
              <w:t>13</w:t>
            </w:r>
          </w:p>
        </w:tc>
        <w:tc>
          <w:tcPr>
            <w:tcW w:w="1492" w:type="dxa"/>
            <w:shd w:val="clear" w:color="auto" w:fill="D2DFED"/>
          </w:tcPr>
          <w:p>
            <w:pPr>
              <w:pStyle w:val="TableParagraph"/>
              <w:ind w:right="103"/>
              <w:rPr>
                <w:sz w:val="18"/>
              </w:rPr>
            </w:pPr>
            <w:r>
              <w:rPr>
                <w:sz w:val="18"/>
              </w:rPr>
              <w:t>12</w:t>
            </w:r>
          </w:p>
        </w:tc>
      </w:tr>
      <w:tr>
        <w:trPr>
          <w:trHeight w:val="285" w:hRule="atLeast"/>
        </w:trPr>
        <w:tc>
          <w:tcPr>
            <w:tcW w:w="5647" w:type="dxa"/>
          </w:tcPr>
          <w:p>
            <w:pPr>
              <w:pStyle w:val="TableParagraph"/>
              <w:spacing w:before="11"/>
              <w:ind w:left="112"/>
              <w:jc w:val="left"/>
              <w:rPr>
                <w:b/>
                <w:sz w:val="20"/>
              </w:rPr>
            </w:pPr>
            <w:r>
              <w:rPr>
                <w:b/>
                <w:sz w:val="20"/>
              </w:rPr>
              <w:t>Goldfields-Esperance Development Commission</w:t>
            </w:r>
          </w:p>
        </w:tc>
        <w:tc>
          <w:tcPr>
            <w:tcW w:w="1504" w:type="dxa"/>
          </w:tcPr>
          <w:p>
            <w:pPr>
              <w:pStyle w:val="TableParagraph"/>
              <w:spacing w:before="11"/>
              <w:ind w:right="127"/>
              <w:rPr>
                <w:sz w:val="20"/>
              </w:rPr>
            </w:pPr>
            <w:r>
              <w:rPr>
                <w:sz w:val="20"/>
              </w:rPr>
              <w:t>14</w:t>
            </w:r>
          </w:p>
        </w:tc>
        <w:tc>
          <w:tcPr>
            <w:tcW w:w="1282" w:type="dxa"/>
          </w:tcPr>
          <w:p>
            <w:pPr>
              <w:pStyle w:val="TableParagraph"/>
              <w:spacing w:before="11"/>
              <w:ind w:right="243"/>
              <w:rPr>
                <w:sz w:val="20"/>
              </w:rPr>
            </w:pPr>
            <w:r>
              <w:rPr>
                <w:w w:val="95"/>
                <w:sz w:val="20"/>
              </w:rPr>
              <w:t>13</w:t>
            </w:r>
          </w:p>
        </w:tc>
        <w:tc>
          <w:tcPr>
            <w:tcW w:w="1492" w:type="dxa"/>
          </w:tcPr>
          <w:p>
            <w:pPr>
              <w:pStyle w:val="TableParagraph"/>
              <w:ind w:right="103"/>
              <w:rPr>
                <w:sz w:val="18"/>
              </w:rPr>
            </w:pPr>
            <w:r>
              <w:rPr>
                <w:sz w:val="18"/>
              </w:rPr>
              <w:t>12</w:t>
            </w:r>
          </w:p>
        </w:tc>
      </w:tr>
      <w:tr>
        <w:trPr>
          <w:trHeight w:val="285" w:hRule="atLeast"/>
        </w:trPr>
        <w:tc>
          <w:tcPr>
            <w:tcW w:w="5647" w:type="dxa"/>
            <w:shd w:val="clear" w:color="auto" w:fill="D2DFED"/>
          </w:tcPr>
          <w:p>
            <w:pPr>
              <w:pStyle w:val="TableParagraph"/>
              <w:spacing w:before="8"/>
              <w:ind w:left="112"/>
              <w:jc w:val="left"/>
              <w:rPr>
                <w:b/>
                <w:sz w:val="20"/>
              </w:rPr>
            </w:pPr>
            <w:r>
              <w:rPr>
                <w:b/>
                <w:sz w:val="20"/>
              </w:rPr>
              <w:t>Office of the Inspector of Custodial Services</w:t>
            </w:r>
          </w:p>
        </w:tc>
        <w:tc>
          <w:tcPr>
            <w:tcW w:w="1504" w:type="dxa"/>
            <w:shd w:val="clear" w:color="auto" w:fill="D2DFED"/>
          </w:tcPr>
          <w:p>
            <w:pPr>
              <w:pStyle w:val="TableParagraph"/>
              <w:spacing w:before="8"/>
              <w:ind w:right="128"/>
              <w:rPr>
                <w:sz w:val="20"/>
              </w:rPr>
            </w:pPr>
            <w:r>
              <w:rPr>
                <w:w w:val="95"/>
                <w:sz w:val="20"/>
              </w:rPr>
              <w:t>19</w:t>
            </w:r>
          </w:p>
        </w:tc>
        <w:tc>
          <w:tcPr>
            <w:tcW w:w="1282" w:type="dxa"/>
            <w:shd w:val="clear" w:color="auto" w:fill="D2DFED"/>
          </w:tcPr>
          <w:p>
            <w:pPr>
              <w:pStyle w:val="TableParagraph"/>
              <w:spacing w:before="8"/>
              <w:ind w:right="243"/>
              <w:rPr>
                <w:sz w:val="20"/>
              </w:rPr>
            </w:pPr>
            <w:r>
              <w:rPr>
                <w:w w:val="95"/>
                <w:sz w:val="20"/>
              </w:rPr>
              <w:t>13</w:t>
            </w:r>
          </w:p>
        </w:tc>
        <w:tc>
          <w:tcPr>
            <w:tcW w:w="1492" w:type="dxa"/>
            <w:shd w:val="clear" w:color="auto" w:fill="D2DFED"/>
          </w:tcPr>
          <w:p>
            <w:pPr>
              <w:pStyle w:val="TableParagraph"/>
              <w:spacing w:before="20"/>
              <w:ind w:right="103"/>
              <w:rPr>
                <w:sz w:val="18"/>
              </w:rPr>
            </w:pPr>
            <w:r>
              <w:rPr>
                <w:sz w:val="18"/>
              </w:rPr>
              <w:t>15</w:t>
            </w:r>
          </w:p>
        </w:tc>
      </w:tr>
      <w:tr>
        <w:trPr>
          <w:trHeight w:val="283" w:hRule="atLeast"/>
        </w:trPr>
        <w:tc>
          <w:tcPr>
            <w:tcW w:w="5647" w:type="dxa"/>
          </w:tcPr>
          <w:p>
            <w:pPr>
              <w:pStyle w:val="TableParagraph"/>
              <w:spacing w:before="8"/>
              <w:ind w:left="112"/>
              <w:jc w:val="left"/>
              <w:rPr>
                <w:b/>
                <w:sz w:val="20"/>
              </w:rPr>
            </w:pPr>
            <w:r>
              <w:rPr>
                <w:b/>
                <w:sz w:val="20"/>
              </w:rPr>
              <w:t>Gascoyne Development Commission</w:t>
            </w:r>
          </w:p>
        </w:tc>
        <w:tc>
          <w:tcPr>
            <w:tcW w:w="1504" w:type="dxa"/>
          </w:tcPr>
          <w:p>
            <w:pPr>
              <w:pStyle w:val="TableParagraph"/>
              <w:spacing w:before="8"/>
              <w:ind w:right="128"/>
              <w:rPr>
                <w:sz w:val="20"/>
              </w:rPr>
            </w:pPr>
            <w:r>
              <w:rPr>
                <w:w w:val="95"/>
                <w:sz w:val="20"/>
              </w:rPr>
              <w:t>13</w:t>
            </w:r>
          </w:p>
        </w:tc>
        <w:tc>
          <w:tcPr>
            <w:tcW w:w="1282" w:type="dxa"/>
          </w:tcPr>
          <w:p>
            <w:pPr>
              <w:pStyle w:val="TableParagraph"/>
              <w:spacing w:before="8"/>
              <w:ind w:right="243"/>
              <w:rPr>
                <w:sz w:val="20"/>
              </w:rPr>
            </w:pPr>
            <w:r>
              <w:rPr>
                <w:w w:val="95"/>
                <w:sz w:val="20"/>
              </w:rPr>
              <w:t>12</w:t>
            </w:r>
          </w:p>
        </w:tc>
        <w:tc>
          <w:tcPr>
            <w:tcW w:w="1492" w:type="dxa"/>
          </w:tcPr>
          <w:p>
            <w:pPr>
              <w:pStyle w:val="TableParagraph"/>
              <w:spacing w:before="20"/>
              <w:ind w:right="103"/>
              <w:rPr>
                <w:sz w:val="18"/>
              </w:rPr>
            </w:pPr>
            <w:r>
              <w:rPr>
                <w:sz w:val="18"/>
              </w:rPr>
              <w:t>11</w:t>
            </w:r>
          </w:p>
        </w:tc>
      </w:tr>
      <w:tr>
        <w:trPr>
          <w:trHeight w:val="285" w:hRule="atLeast"/>
        </w:trPr>
        <w:tc>
          <w:tcPr>
            <w:tcW w:w="5647" w:type="dxa"/>
            <w:shd w:val="clear" w:color="auto" w:fill="D2DFED"/>
          </w:tcPr>
          <w:p>
            <w:pPr>
              <w:pStyle w:val="TableParagraph"/>
              <w:spacing w:before="11"/>
              <w:ind w:left="112"/>
              <w:jc w:val="left"/>
              <w:rPr>
                <w:b/>
                <w:sz w:val="20"/>
              </w:rPr>
            </w:pPr>
            <w:r>
              <w:rPr>
                <w:b/>
                <w:sz w:val="20"/>
              </w:rPr>
              <w:t>Kimberley Development Commission</w:t>
            </w:r>
          </w:p>
        </w:tc>
        <w:tc>
          <w:tcPr>
            <w:tcW w:w="1504" w:type="dxa"/>
            <w:shd w:val="clear" w:color="auto" w:fill="D2DFED"/>
          </w:tcPr>
          <w:p>
            <w:pPr>
              <w:pStyle w:val="TableParagraph"/>
              <w:spacing w:before="11"/>
              <w:ind w:right="128"/>
              <w:rPr>
                <w:sz w:val="20"/>
              </w:rPr>
            </w:pPr>
            <w:r>
              <w:rPr>
                <w:w w:val="95"/>
                <w:sz w:val="20"/>
              </w:rPr>
              <w:t>12</w:t>
            </w:r>
          </w:p>
        </w:tc>
        <w:tc>
          <w:tcPr>
            <w:tcW w:w="1282" w:type="dxa"/>
            <w:shd w:val="clear" w:color="auto" w:fill="D2DFED"/>
          </w:tcPr>
          <w:p>
            <w:pPr>
              <w:pStyle w:val="TableParagraph"/>
              <w:spacing w:before="11"/>
              <w:ind w:right="243"/>
              <w:rPr>
                <w:sz w:val="20"/>
              </w:rPr>
            </w:pPr>
            <w:r>
              <w:rPr>
                <w:w w:val="95"/>
                <w:sz w:val="20"/>
              </w:rPr>
              <w:t>12</w:t>
            </w:r>
          </w:p>
        </w:tc>
        <w:tc>
          <w:tcPr>
            <w:tcW w:w="1492" w:type="dxa"/>
            <w:shd w:val="clear" w:color="auto" w:fill="D2DFED"/>
          </w:tcPr>
          <w:p>
            <w:pPr>
              <w:pStyle w:val="TableParagraph"/>
              <w:ind w:right="103"/>
              <w:rPr>
                <w:sz w:val="18"/>
              </w:rPr>
            </w:pPr>
            <w:r>
              <w:rPr>
                <w:sz w:val="18"/>
              </w:rPr>
              <w:t>11</w:t>
            </w:r>
          </w:p>
        </w:tc>
      </w:tr>
      <w:tr>
        <w:trPr>
          <w:trHeight w:val="285" w:hRule="atLeast"/>
        </w:trPr>
        <w:tc>
          <w:tcPr>
            <w:tcW w:w="5647" w:type="dxa"/>
          </w:tcPr>
          <w:p>
            <w:pPr>
              <w:pStyle w:val="TableParagraph"/>
              <w:spacing w:before="11"/>
              <w:ind w:left="112"/>
              <w:jc w:val="left"/>
              <w:rPr>
                <w:b/>
                <w:sz w:val="20"/>
              </w:rPr>
            </w:pPr>
            <w:r>
              <w:rPr>
                <w:b/>
                <w:sz w:val="20"/>
              </w:rPr>
              <w:t>Peel Development Commission</w:t>
            </w:r>
          </w:p>
        </w:tc>
        <w:tc>
          <w:tcPr>
            <w:tcW w:w="1504" w:type="dxa"/>
          </w:tcPr>
          <w:p>
            <w:pPr>
              <w:pStyle w:val="TableParagraph"/>
              <w:spacing w:before="11"/>
              <w:ind w:right="128"/>
              <w:rPr>
                <w:sz w:val="20"/>
              </w:rPr>
            </w:pPr>
            <w:r>
              <w:rPr>
                <w:w w:val="95"/>
                <w:sz w:val="20"/>
              </w:rPr>
              <w:t>12</w:t>
            </w:r>
          </w:p>
        </w:tc>
        <w:tc>
          <w:tcPr>
            <w:tcW w:w="1282" w:type="dxa"/>
          </w:tcPr>
          <w:p>
            <w:pPr>
              <w:pStyle w:val="TableParagraph"/>
              <w:spacing w:before="11"/>
              <w:ind w:right="243"/>
              <w:rPr>
                <w:sz w:val="20"/>
              </w:rPr>
            </w:pPr>
            <w:r>
              <w:rPr>
                <w:w w:val="95"/>
                <w:sz w:val="20"/>
              </w:rPr>
              <w:t>11</w:t>
            </w:r>
          </w:p>
        </w:tc>
        <w:tc>
          <w:tcPr>
            <w:tcW w:w="1492" w:type="dxa"/>
          </w:tcPr>
          <w:p>
            <w:pPr>
              <w:pStyle w:val="TableParagraph"/>
              <w:ind w:right="103"/>
              <w:rPr>
                <w:sz w:val="18"/>
              </w:rPr>
            </w:pPr>
            <w:r>
              <w:rPr>
                <w:sz w:val="18"/>
              </w:rPr>
              <w:t>12</w:t>
            </w:r>
          </w:p>
        </w:tc>
      </w:tr>
      <w:tr>
        <w:trPr>
          <w:trHeight w:val="285" w:hRule="atLeast"/>
        </w:trPr>
        <w:tc>
          <w:tcPr>
            <w:tcW w:w="5647" w:type="dxa"/>
            <w:shd w:val="clear" w:color="auto" w:fill="D2DFED"/>
          </w:tcPr>
          <w:p>
            <w:pPr>
              <w:pStyle w:val="TableParagraph"/>
              <w:spacing w:before="8"/>
              <w:ind w:left="112"/>
              <w:jc w:val="left"/>
              <w:rPr>
                <w:b/>
                <w:sz w:val="20"/>
              </w:rPr>
            </w:pPr>
            <w:r>
              <w:rPr>
                <w:b/>
                <w:sz w:val="20"/>
              </w:rPr>
              <w:t>Pilbara Development Commission</w:t>
            </w:r>
          </w:p>
        </w:tc>
        <w:tc>
          <w:tcPr>
            <w:tcW w:w="1504" w:type="dxa"/>
            <w:shd w:val="clear" w:color="auto" w:fill="D2DFED"/>
          </w:tcPr>
          <w:p>
            <w:pPr>
              <w:pStyle w:val="TableParagraph"/>
              <w:spacing w:before="8"/>
              <w:ind w:right="128"/>
              <w:rPr>
                <w:sz w:val="20"/>
              </w:rPr>
            </w:pPr>
            <w:r>
              <w:rPr>
                <w:w w:val="95"/>
                <w:sz w:val="20"/>
              </w:rPr>
              <w:t>12</w:t>
            </w:r>
          </w:p>
        </w:tc>
        <w:tc>
          <w:tcPr>
            <w:tcW w:w="1282" w:type="dxa"/>
            <w:shd w:val="clear" w:color="auto" w:fill="D2DFED"/>
          </w:tcPr>
          <w:p>
            <w:pPr>
              <w:pStyle w:val="TableParagraph"/>
              <w:spacing w:before="8"/>
              <w:ind w:right="243"/>
              <w:rPr>
                <w:sz w:val="20"/>
              </w:rPr>
            </w:pPr>
            <w:r>
              <w:rPr>
                <w:w w:val="95"/>
                <w:sz w:val="20"/>
              </w:rPr>
              <w:t>11</w:t>
            </w:r>
          </w:p>
        </w:tc>
        <w:tc>
          <w:tcPr>
            <w:tcW w:w="1492" w:type="dxa"/>
            <w:shd w:val="clear" w:color="auto" w:fill="D2DFED"/>
          </w:tcPr>
          <w:p>
            <w:pPr>
              <w:pStyle w:val="TableParagraph"/>
              <w:spacing w:before="20"/>
              <w:ind w:right="103"/>
              <w:rPr>
                <w:sz w:val="18"/>
              </w:rPr>
            </w:pPr>
            <w:r>
              <w:rPr>
                <w:sz w:val="18"/>
              </w:rPr>
              <w:t>12</w:t>
            </w:r>
          </w:p>
        </w:tc>
      </w:tr>
      <w:tr>
        <w:trPr>
          <w:trHeight w:val="283" w:hRule="atLeast"/>
        </w:trPr>
        <w:tc>
          <w:tcPr>
            <w:tcW w:w="5647" w:type="dxa"/>
          </w:tcPr>
          <w:p>
            <w:pPr>
              <w:pStyle w:val="TableParagraph"/>
              <w:spacing w:before="8"/>
              <w:ind w:left="112"/>
              <w:jc w:val="left"/>
              <w:rPr>
                <w:b/>
                <w:sz w:val="20"/>
              </w:rPr>
            </w:pPr>
            <w:r>
              <w:rPr>
                <w:b/>
                <w:sz w:val="20"/>
              </w:rPr>
              <w:t>Office of the Information Commissioner</w:t>
            </w:r>
          </w:p>
        </w:tc>
        <w:tc>
          <w:tcPr>
            <w:tcW w:w="1504" w:type="dxa"/>
          </w:tcPr>
          <w:p>
            <w:pPr>
              <w:pStyle w:val="TableParagraph"/>
              <w:spacing w:before="8"/>
              <w:ind w:right="127"/>
              <w:rPr>
                <w:sz w:val="20"/>
              </w:rPr>
            </w:pPr>
            <w:r>
              <w:rPr>
                <w:w w:val="99"/>
                <w:sz w:val="20"/>
              </w:rPr>
              <w:t>9</w:t>
            </w:r>
          </w:p>
        </w:tc>
        <w:tc>
          <w:tcPr>
            <w:tcW w:w="1282" w:type="dxa"/>
          </w:tcPr>
          <w:p>
            <w:pPr>
              <w:pStyle w:val="TableParagraph"/>
              <w:spacing w:before="8"/>
              <w:ind w:right="242"/>
              <w:rPr>
                <w:sz w:val="20"/>
              </w:rPr>
            </w:pPr>
            <w:r>
              <w:rPr>
                <w:w w:val="99"/>
                <w:sz w:val="20"/>
              </w:rPr>
              <w:t>9</w:t>
            </w:r>
          </w:p>
        </w:tc>
        <w:tc>
          <w:tcPr>
            <w:tcW w:w="1492" w:type="dxa"/>
          </w:tcPr>
          <w:p>
            <w:pPr>
              <w:pStyle w:val="TableParagraph"/>
              <w:spacing w:before="20"/>
              <w:ind w:right="103"/>
              <w:rPr>
                <w:sz w:val="18"/>
              </w:rPr>
            </w:pPr>
            <w:r>
              <w:rPr>
                <w:sz w:val="18"/>
              </w:rPr>
              <w:t>9</w:t>
            </w:r>
          </w:p>
        </w:tc>
      </w:tr>
      <w:tr>
        <w:trPr>
          <w:trHeight w:val="285" w:hRule="atLeast"/>
        </w:trPr>
        <w:tc>
          <w:tcPr>
            <w:tcW w:w="5647" w:type="dxa"/>
            <w:shd w:val="clear" w:color="auto" w:fill="D2DFED"/>
          </w:tcPr>
          <w:p>
            <w:pPr>
              <w:pStyle w:val="TableParagraph"/>
              <w:spacing w:before="11"/>
              <w:ind w:left="112"/>
              <w:jc w:val="left"/>
              <w:rPr>
                <w:b/>
                <w:sz w:val="20"/>
              </w:rPr>
            </w:pPr>
            <w:r>
              <w:rPr>
                <w:b/>
                <w:sz w:val="20"/>
              </w:rPr>
              <w:t>Law Reform Commission of Western Australia</w:t>
            </w:r>
          </w:p>
        </w:tc>
        <w:tc>
          <w:tcPr>
            <w:tcW w:w="1504" w:type="dxa"/>
            <w:shd w:val="clear" w:color="auto" w:fill="D2DFED"/>
          </w:tcPr>
          <w:p>
            <w:pPr>
              <w:pStyle w:val="TableParagraph"/>
              <w:spacing w:before="11"/>
              <w:ind w:right="127"/>
              <w:rPr>
                <w:sz w:val="20"/>
              </w:rPr>
            </w:pPr>
            <w:r>
              <w:rPr>
                <w:w w:val="99"/>
                <w:sz w:val="20"/>
              </w:rPr>
              <w:t>6</w:t>
            </w:r>
          </w:p>
        </w:tc>
        <w:tc>
          <w:tcPr>
            <w:tcW w:w="1282" w:type="dxa"/>
            <w:shd w:val="clear" w:color="auto" w:fill="D2DFED"/>
          </w:tcPr>
          <w:p>
            <w:pPr>
              <w:pStyle w:val="TableParagraph"/>
              <w:spacing w:before="11"/>
              <w:ind w:right="242"/>
              <w:rPr>
                <w:sz w:val="20"/>
              </w:rPr>
            </w:pPr>
            <w:r>
              <w:rPr>
                <w:w w:val="99"/>
                <w:sz w:val="20"/>
              </w:rPr>
              <w:t>3</w:t>
            </w:r>
          </w:p>
        </w:tc>
        <w:tc>
          <w:tcPr>
            <w:tcW w:w="1492" w:type="dxa"/>
            <w:shd w:val="clear" w:color="auto" w:fill="D2DFED"/>
          </w:tcPr>
          <w:p>
            <w:pPr>
              <w:pStyle w:val="TableParagraph"/>
              <w:ind w:right="103"/>
              <w:rPr>
                <w:sz w:val="18"/>
              </w:rPr>
            </w:pPr>
            <w:r>
              <w:rPr>
                <w:sz w:val="18"/>
              </w:rPr>
              <w:t>4</w:t>
            </w:r>
          </w:p>
        </w:tc>
      </w:tr>
      <w:tr>
        <w:trPr>
          <w:trHeight w:val="285" w:hRule="atLeast"/>
        </w:trPr>
        <w:tc>
          <w:tcPr>
            <w:tcW w:w="5647" w:type="dxa"/>
            <w:tcBorders>
              <w:bottom w:val="double" w:sz="1" w:space="0" w:color="000000"/>
            </w:tcBorders>
          </w:tcPr>
          <w:p>
            <w:pPr>
              <w:pStyle w:val="TableParagraph"/>
              <w:spacing w:before="11"/>
              <w:ind w:left="112"/>
              <w:jc w:val="left"/>
              <w:rPr>
                <w:b/>
                <w:sz w:val="20"/>
              </w:rPr>
            </w:pPr>
            <w:r>
              <w:rPr>
                <w:b/>
                <w:sz w:val="20"/>
              </w:rPr>
              <w:t>Salaries and Allowances Tribunal</w:t>
            </w:r>
          </w:p>
        </w:tc>
        <w:tc>
          <w:tcPr>
            <w:tcW w:w="1504" w:type="dxa"/>
            <w:tcBorders>
              <w:bottom w:val="double" w:sz="1" w:space="0" w:color="000000"/>
            </w:tcBorders>
          </w:tcPr>
          <w:p>
            <w:pPr>
              <w:pStyle w:val="TableParagraph"/>
              <w:spacing w:before="11"/>
              <w:ind w:right="127"/>
              <w:rPr>
                <w:sz w:val="20"/>
              </w:rPr>
            </w:pPr>
            <w:r>
              <w:rPr>
                <w:w w:val="99"/>
                <w:sz w:val="20"/>
              </w:rPr>
              <w:t>1</w:t>
            </w:r>
          </w:p>
        </w:tc>
        <w:tc>
          <w:tcPr>
            <w:tcW w:w="1282" w:type="dxa"/>
            <w:tcBorders>
              <w:bottom w:val="double" w:sz="1" w:space="0" w:color="000000"/>
            </w:tcBorders>
          </w:tcPr>
          <w:p>
            <w:pPr>
              <w:pStyle w:val="TableParagraph"/>
              <w:spacing w:before="11"/>
              <w:ind w:right="242"/>
              <w:rPr>
                <w:sz w:val="20"/>
              </w:rPr>
            </w:pPr>
            <w:r>
              <w:rPr>
                <w:w w:val="99"/>
                <w:sz w:val="20"/>
              </w:rPr>
              <w:t>1</w:t>
            </w:r>
          </w:p>
        </w:tc>
        <w:tc>
          <w:tcPr>
            <w:tcW w:w="1492" w:type="dxa"/>
            <w:tcBorders>
              <w:bottom w:val="double" w:sz="1" w:space="0" w:color="000000"/>
            </w:tcBorders>
          </w:tcPr>
          <w:p>
            <w:pPr>
              <w:pStyle w:val="TableParagraph"/>
              <w:ind w:right="103"/>
              <w:rPr>
                <w:sz w:val="18"/>
              </w:rPr>
            </w:pPr>
            <w:r>
              <w:rPr>
                <w:sz w:val="18"/>
              </w:rPr>
              <w:t>2</w:t>
            </w:r>
          </w:p>
        </w:tc>
      </w:tr>
      <w:tr>
        <w:trPr>
          <w:trHeight w:val="286" w:hRule="atLeast"/>
        </w:trPr>
        <w:tc>
          <w:tcPr>
            <w:tcW w:w="5647" w:type="dxa"/>
            <w:tcBorders>
              <w:top w:val="double" w:sz="1" w:space="0" w:color="000000"/>
              <w:bottom w:val="double" w:sz="1" w:space="0" w:color="000000"/>
            </w:tcBorders>
            <w:shd w:val="clear" w:color="auto" w:fill="D2DFED"/>
          </w:tcPr>
          <w:p>
            <w:pPr>
              <w:pStyle w:val="TableParagraph"/>
              <w:spacing w:before="10"/>
              <w:ind w:left="112"/>
              <w:jc w:val="left"/>
              <w:rPr>
                <w:b/>
                <w:i/>
                <w:sz w:val="20"/>
              </w:rPr>
            </w:pPr>
            <w:r>
              <w:rPr>
                <w:b/>
                <w:i/>
                <w:sz w:val="20"/>
              </w:rPr>
              <w:t>TOTAL</w:t>
            </w:r>
          </w:p>
        </w:tc>
        <w:tc>
          <w:tcPr>
            <w:tcW w:w="1504" w:type="dxa"/>
            <w:tcBorders>
              <w:top w:val="double" w:sz="1" w:space="0" w:color="000000"/>
              <w:bottom w:val="double" w:sz="1" w:space="0" w:color="000000"/>
            </w:tcBorders>
            <w:shd w:val="clear" w:color="auto" w:fill="D2DFED"/>
          </w:tcPr>
          <w:p>
            <w:pPr>
              <w:pStyle w:val="TableParagraph"/>
              <w:spacing w:before="10"/>
              <w:ind w:right="130"/>
              <w:rPr>
                <w:b/>
                <w:sz w:val="20"/>
              </w:rPr>
            </w:pPr>
            <w:r>
              <w:rPr>
                <w:b/>
                <w:w w:val="95"/>
                <w:sz w:val="20"/>
              </w:rPr>
              <w:t>133,387</w:t>
            </w:r>
          </w:p>
        </w:tc>
        <w:tc>
          <w:tcPr>
            <w:tcW w:w="1282" w:type="dxa"/>
            <w:tcBorders>
              <w:top w:val="double" w:sz="1" w:space="0" w:color="000000"/>
              <w:bottom w:val="double" w:sz="1" w:space="0" w:color="000000"/>
            </w:tcBorders>
            <w:shd w:val="clear" w:color="auto" w:fill="D2DFED"/>
          </w:tcPr>
          <w:p>
            <w:pPr>
              <w:pStyle w:val="TableParagraph"/>
              <w:spacing w:before="10"/>
              <w:ind w:right="245"/>
              <w:rPr>
                <w:b/>
                <w:sz w:val="20"/>
              </w:rPr>
            </w:pPr>
            <w:r>
              <w:rPr>
                <w:b/>
                <w:sz w:val="20"/>
              </w:rPr>
              <w:t>101,927</w:t>
            </w:r>
          </w:p>
        </w:tc>
        <w:tc>
          <w:tcPr>
            <w:tcW w:w="1492" w:type="dxa"/>
            <w:tcBorders>
              <w:top w:val="double" w:sz="1" w:space="0" w:color="000000"/>
              <w:bottom w:val="double" w:sz="1" w:space="0" w:color="000000"/>
            </w:tcBorders>
            <w:shd w:val="clear" w:color="auto" w:fill="D2DFED"/>
          </w:tcPr>
          <w:p>
            <w:pPr>
              <w:pStyle w:val="TableParagraph"/>
              <w:spacing w:before="10"/>
              <w:ind w:right="105"/>
              <w:rPr>
                <w:b/>
                <w:sz w:val="20"/>
              </w:rPr>
            </w:pPr>
            <w:r>
              <w:rPr>
                <w:b/>
                <w:sz w:val="20"/>
              </w:rPr>
              <w:t>99,877</w:t>
            </w:r>
          </w:p>
        </w:tc>
      </w:tr>
    </w:tbl>
    <w:p>
      <w:pPr>
        <w:spacing w:line="240" w:lineRule="auto" w:before="12"/>
        <w:rPr>
          <w:sz w:val="28"/>
        </w:rPr>
      </w:pPr>
    </w:p>
    <w:p>
      <w:pPr>
        <w:pStyle w:val="BodyText"/>
        <w:spacing w:before="56"/>
      </w:pPr>
      <w:r>
        <w:rPr>
          <w:color w:val="933634"/>
        </w:rPr>
        <w:t>Table 2: Agencies Subject to an FTE Ceiling, but not reporting HR MOIR Data to PSC.</w:t>
      </w:r>
    </w:p>
    <w:p>
      <w:pPr>
        <w:spacing w:line="240" w:lineRule="auto" w:before="3" w:after="1"/>
        <w:rPr>
          <w:sz w:val="12"/>
        </w:rPr>
      </w:pPr>
    </w:p>
    <w:tbl>
      <w:tblPr>
        <w:tblW w:w="0" w:type="auto"/>
        <w:jc w:val="left"/>
        <w:tblInd w:w="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07"/>
        <w:gridCol w:w="2925"/>
      </w:tblGrid>
      <w:tr>
        <w:trPr>
          <w:trHeight w:val="486" w:hRule="atLeast"/>
        </w:trPr>
        <w:tc>
          <w:tcPr>
            <w:tcW w:w="7007" w:type="dxa"/>
            <w:tcBorders>
              <w:top w:val="single" w:sz="4" w:space="0" w:color="000000"/>
              <w:left w:val="single" w:sz="4" w:space="0" w:color="000000"/>
              <w:bottom w:val="single" w:sz="4" w:space="0" w:color="000000"/>
            </w:tcBorders>
          </w:tcPr>
          <w:p>
            <w:pPr>
              <w:pStyle w:val="TableParagraph"/>
              <w:spacing w:before="0"/>
              <w:jc w:val="left"/>
              <w:rPr>
                <w:rFonts w:ascii="Times New Roman"/>
                <w:sz w:val="18"/>
              </w:rPr>
            </w:pPr>
          </w:p>
        </w:tc>
        <w:tc>
          <w:tcPr>
            <w:tcW w:w="2925" w:type="dxa"/>
            <w:tcBorders>
              <w:top w:val="single" w:sz="4" w:space="0" w:color="000000"/>
              <w:bottom w:val="single" w:sz="4" w:space="0" w:color="000000"/>
              <w:right w:val="single" w:sz="4" w:space="0" w:color="000000"/>
            </w:tcBorders>
          </w:tcPr>
          <w:p>
            <w:pPr>
              <w:pStyle w:val="TableParagraph"/>
              <w:spacing w:line="242" w:lineRule="exact" w:before="0"/>
              <w:ind w:right="95"/>
              <w:rPr>
                <w:b/>
                <w:sz w:val="20"/>
              </w:rPr>
            </w:pPr>
            <w:r>
              <w:rPr>
                <w:b/>
                <w:sz w:val="20"/>
              </w:rPr>
              <w:t>FTE</w:t>
            </w:r>
            <w:r>
              <w:rPr>
                <w:b/>
                <w:spacing w:val="-6"/>
                <w:sz w:val="20"/>
              </w:rPr>
              <w:t> </w:t>
            </w:r>
            <w:r>
              <w:rPr>
                <w:b/>
                <w:sz w:val="20"/>
              </w:rPr>
              <w:t>ceiling</w:t>
            </w:r>
          </w:p>
          <w:p>
            <w:pPr>
              <w:pStyle w:val="TableParagraph"/>
              <w:spacing w:line="225" w:lineRule="exact" w:before="0"/>
              <w:ind w:right="98"/>
              <w:rPr>
                <w:b/>
                <w:sz w:val="20"/>
              </w:rPr>
            </w:pPr>
            <w:r>
              <w:rPr>
                <w:b/>
                <w:spacing w:val="-1"/>
                <w:sz w:val="20"/>
              </w:rPr>
              <w:t>2008/09</w:t>
            </w:r>
          </w:p>
        </w:tc>
      </w:tr>
      <w:tr>
        <w:trPr>
          <w:trHeight w:val="285" w:hRule="atLeast"/>
        </w:trPr>
        <w:tc>
          <w:tcPr>
            <w:tcW w:w="7007" w:type="dxa"/>
            <w:tcBorders>
              <w:top w:val="single" w:sz="4" w:space="0" w:color="000000"/>
            </w:tcBorders>
            <w:shd w:val="clear" w:color="auto" w:fill="D2DFED"/>
          </w:tcPr>
          <w:p>
            <w:pPr>
              <w:pStyle w:val="TableParagraph"/>
              <w:spacing w:before="20"/>
              <w:ind w:left="120"/>
              <w:jc w:val="left"/>
              <w:rPr>
                <w:b/>
                <w:sz w:val="20"/>
              </w:rPr>
            </w:pPr>
            <w:r>
              <w:rPr>
                <w:b/>
                <w:sz w:val="20"/>
              </w:rPr>
              <w:t>Governor’s Establishment</w:t>
            </w:r>
          </w:p>
        </w:tc>
        <w:tc>
          <w:tcPr>
            <w:tcW w:w="2925" w:type="dxa"/>
            <w:tcBorders>
              <w:top w:val="single" w:sz="4" w:space="0" w:color="000000"/>
            </w:tcBorders>
            <w:shd w:val="clear" w:color="auto" w:fill="D2DFED"/>
          </w:tcPr>
          <w:p>
            <w:pPr>
              <w:pStyle w:val="TableParagraph"/>
              <w:spacing w:before="20"/>
              <w:ind w:right="100"/>
              <w:rPr>
                <w:sz w:val="20"/>
              </w:rPr>
            </w:pPr>
            <w:r>
              <w:rPr>
                <w:sz w:val="20"/>
              </w:rPr>
              <w:t>26</w:t>
            </w:r>
          </w:p>
        </w:tc>
      </w:tr>
      <w:tr>
        <w:trPr>
          <w:trHeight w:val="285" w:hRule="atLeast"/>
        </w:trPr>
        <w:tc>
          <w:tcPr>
            <w:tcW w:w="7007" w:type="dxa"/>
          </w:tcPr>
          <w:p>
            <w:pPr>
              <w:pStyle w:val="TableParagraph"/>
              <w:spacing w:before="20"/>
              <w:ind w:left="120"/>
              <w:jc w:val="left"/>
              <w:rPr>
                <w:b/>
                <w:sz w:val="20"/>
              </w:rPr>
            </w:pPr>
            <w:r>
              <w:rPr>
                <w:b/>
                <w:sz w:val="20"/>
              </w:rPr>
              <w:t>Legislative Assembly</w:t>
            </w:r>
          </w:p>
        </w:tc>
        <w:tc>
          <w:tcPr>
            <w:tcW w:w="2925" w:type="dxa"/>
          </w:tcPr>
          <w:p>
            <w:pPr>
              <w:pStyle w:val="TableParagraph"/>
              <w:spacing w:before="20"/>
              <w:ind w:right="100"/>
              <w:rPr>
                <w:sz w:val="20"/>
              </w:rPr>
            </w:pPr>
            <w:r>
              <w:rPr>
                <w:sz w:val="20"/>
              </w:rPr>
              <w:t>30</w:t>
            </w:r>
          </w:p>
        </w:tc>
      </w:tr>
      <w:tr>
        <w:trPr>
          <w:trHeight w:val="285" w:hRule="atLeast"/>
        </w:trPr>
        <w:tc>
          <w:tcPr>
            <w:tcW w:w="7007" w:type="dxa"/>
            <w:shd w:val="clear" w:color="auto" w:fill="D2DFED"/>
          </w:tcPr>
          <w:p>
            <w:pPr>
              <w:pStyle w:val="TableParagraph"/>
              <w:spacing w:before="18"/>
              <w:ind w:left="120"/>
              <w:jc w:val="left"/>
              <w:rPr>
                <w:b/>
                <w:sz w:val="20"/>
              </w:rPr>
            </w:pPr>
            <w:r>
              <w:rPr>
                <w:b/>
                <w:sz w:val="20"/>
              </w:rPr>
              <w:t>Legislative Council</w:t>
            </w:r>
          </w:p>
        </w:tc>
        <w:tc>
          <w:tcPr>
            <w:tcW w:w="2925" w:type="dxa"/>
            <w:shd w:val="clear" w:color="auto" w:fill="D2DFED"/>
          </w:tcPr>
          <w:p>
            <w:pPr>
              <w:pStyle w:val="TableParagraph"/>
              <w:spacing w:before="18"/>
              <w:ind w:right="100"/>
              <w:rPr>
                <w:sz w:val="20"/>
              </w:rPr>
            </w:pPr>
            <w:r>
              <w:rPr>
                <w:w w:val="95"/>
                <w:sz w:val="20"/>
              </w:rPr>
              <w:t>25</w:t>
            </w:r>
          </w:p>
        </w:tc>
      </w:tr>
      <w:tr>
        <w:trPr>
          <w:trHeight w:val="487" w:hRule="atLeast"/>
        </w:trPr>
        <w:tc>
          <w:tcPr>
            <w:tcW w:w="7007" w:type="dxa"/>
          </w:tcPr>
          <w:p>
            <w:pPr>
              <w:pStyle w:val="TableParagraph"/>
              <w:spacing w:line="242" w:lineRule="exact" w:before="0"/>
              <w:ind w:left="120"/>
              <w:jc w:val="left"/>
              <w:rPr>
                <w:b/>
                <w:sz w:val="20"/>
              </w:rPr>
            </w:pPr>
            <w:r>
              <w:rPr>
                <w:b/>
                <w:sz w:val="20"/>
              </w:rPr>
              <w:t>Parliamentary Inspector of the Corruption and Crime</w:t>
            </w:r>
          </w:p>
          <w:p>
            <w:pPr>
              <w:pStyle w:val="TableParagraph"/>
              <w:spacing w:line="225" w:lineRule="exact" w:before="0"/>
              <w:ind w:left="120"/>
              <w:jc w:val="left"/>
              <w:rPr>
                <w:b/>
                <w:sz w:val="20"/>
              </w:rPr>
            </w:pPr>
            <w:r>
              <w:rPr>
                <w:b/>
                <w:sz w:val="20"/>
              </w:rPr>
              <w:t>Commission</w:t>
            </w:r>
          </w:p>
        </w:tc>
        <w:tc>
          <w:tcPr>
            <w:tcW w:w="2925" w:type="dxa"/>
          </w:tcPr>
          <w:p>
            <w:pPr>
              <w:pStyle w:val="TableParagraph"/>
              <w:spacing w:before="121"/>
              <w:ind w:right="100"/>
              <w:rPr>
                <w:sz w:val="20"/>
              </w:rPr>
            </w:pPr>
            <w:r>
              <w:rPr>
                <w:w w:val="99"/>
                <w:sz w:val="20"/>
              </w:rPr>
              <w:t>2</w:t>
            </w:r>
          </w:p>
        </w:tc>
      </w:tr>
      <w:tr>
        <w:trPr>
          <w:trHeight w:val="284" w:hRule="atLeast"/>
        </w:trPr>
        <w:tc>
          <w:tcPr>
            <w:tcW w:w="7007" w:type="dxa"/>
            <w:tcBorders>
              <w:bottom w:val="double" w:sz="1" w:space="0" w:color="000000"/>
            </w:tcBorders>
            <w:shd w:val="clear" w:color="auto" w:fill="D2DFED"/>
          </w:tcPr>
          <w:p>
            <w:pPr>
              <w:pStyle w:val="TableParagraph"/>
              <w:spacing w:before="20"/>
              <w:ind w:left="120"/>
              <w:jc w:val="left"/>
              <w:rPr>
                <w:b/>
                <w:sz w:val="20"/>
              </w:rPr>
            </w:pPr>
            <w:r>
              <w:rPr>
                <w:b/>
                <w:sz w:val="20"/>
              </w:rPr>
              <w:t>Parliamentary Services</w:t>
            </w:r>
          </w:p>
        </w:tc>
        <w:tc>
          <w:tcPr>
            <w:tcW w:w="2925" w:type="dxa"/>
            <w:tcBorders>
              <w:bottom w:val="double" w:sz="1" w:space="0" w:color="000000"/>
            </w:tcBorders>
            <w:shd w:val="clear" w:color="auto" w:fill="D2DFED"/>
          </w:tcPr>
          <w:p>
            <w:pPr>
              <w:pStyle w:val="TableParagraph"/>
              <w:spacing w:before="20"/>
              <w:ind w:right="102"/>
              <w:rPr>
                <w:sz w:val="20"/>
              </w:rPr>
            </w:pPr>
            <w:r>
              <w:rPr>
                <w:w w:val="95"/>
                <w:sz w:val="20"/>
              </w:rPr>
              <w:t>101</w:t>
            </w:r>
          </w:p>
        </w:tc>
      </w:tr>
      <w:tr>
        <w:trPr>
          <w:trHeight w:val="286" w:hRule="atLeast"/>
        </w:trPr>
        <w:tc>
          <w:tcPr>
            <w:tcW w:w="7007" w:type="dxa"/>
            <w:tcBorders>
              <w:top w:val="double" w:sz="1" w:space="0" w:color="000000"/>
              <w:bottom w:val="double" w:sz="1" w:space="0" w:color="000000"/>
            </w:tcBorders>
          </w:tcPr>
          <w:p>
            <w:pPr>
              <w:pStyle w:val="TableParagraph"/>
              <w:spacing w:line="243" w:lineRule="exact" w:before="0"/>
              <w:ind w:left="120"/>
              <w:jc w:val="left"/>
              <w:rPr>
                <w:b/>
                <w:i/>
                <w:sz w:val="20"/>
              </w:rPr>
            </w:pPr>
            <w:r>
              <w:rPr>
                <w:b/>
                <w:i/>
                <w:sz w:val="20"/>
              </w:rPr>
              <w:t>TOTAL</w:t>
            </w:r>
          </w:p>
        </w:tc>
        <w:tc>
          <w:tcPr>
            <w:tcW w:w="2925" w:type="dxa"/>
            <w:tcBorders>
              <w:top w:val="double" w:sz="1" w:space="0" w:color="000000"/>
              <w:bottom w:val="double" w:sz="1" w:space="0" w:color="000000"/>
            </w:tcBorders>
          </w:tcPr>
          <w:p>
            <w:pPr>
              <w:pStyle w:val="TableParagraph"/>
              <w:spacing w:line="243" w:lineRule="exact" w:before="0"/>
              <w:ind w:right="102"/>
              <w:rPr>
                <w:b/>
                <w:sz w:val="20"/>
              </w:rPr>
            </w:pPr>
            <w:r>
              <w:rPr>
                <w:b/>
                <w:w w:val="95"/>
                <w:sz w:val="20"/>
              </w:rPr>
              <w:t>184</w:t>
            </w:r>
          </w:p>
        </w:tc>
      </w:tr>
    </w:tbl>
    <w:p>
      <w:pPr>
        <w:spacing w:line="240" w:lineRule="auto" w:before="0"/>
        <w:rPr>
          <w:sz w:val="22"/>
        </w:rPr>
      </w:pPr>
    </w:p>
    <w:p>
      <w:pPr>
        <w:pStyle w:val="BodyText"/>
        <w:spacing w:before="151"/>
      </w:pPr>
      <w:r>
        <w:rPr>
          <w:color w:val="933634"/>
        </w:rPr>
        <w:t>Table 3: Agencies Not Subject to an FTE Ceiling.</w:t>
      </w:r>
    </w:p>
    <w:p>
      <w:pPr>
        <w:spacing w:line="240" w:lineRule="auto" w:before="3" w:after="1"/>
        <w:rPr>
          <w:sz w:val="1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58"/>
        <w:gridCol w:w="1710"/>
        <w:gridCol w:w="1701"/>
        <w:gridCol w:w="1382"/>
      </w:tblGrid>
      <w:tr>
        <w:trPr>
          <w:trHeight w:val="731" w:hRule="atLeast"/>
        </w:trPr>
        <w:tc>
          <w:tcPr>
            <w:tcW w:w="5258" w:type="dxa"/>
            <w:tcBorders>
              <w:top w:val="single" w:sz="4" w:space="0" w:color="000000"/>
              <w:left w:val="single" w:sz="4" w:space="0" w:color="000000"/>
              <w:bottom w:val="single" w:sz="8" w:space="0" w:color="4F81BC"/>
            </w:tcBorders>
          </w:tcPr>
          <w:p>
            <w:pPr>
              <w:pStyle w:val="TableParagraph"/>
              <w:spacing w:before="0"/>
              <w:jc w:val="left"/>
              <w:rPr>
                <w:rFonts w:ascii="Times New Roman"/>
                <w:sz w:val="18"/>
              </w:rPr>
            </w:pPr>
          </w:p>
        </w:tc>
        <w:tc>
          <w:tcPr>
            <w:tcW w:w="1710" w:type="dxa"/>
            <w:tcBorders>
              <w:top w:val="single" w:sz="4" w:space="0" w:color="000000"/>
              <w:bottom w:val="single" w:sz="8" w:space="0" w:color="4F81BC"/>
            </w:tcBorders>
          </w:tcPr>
          <w:p>
            <w:pPr>
              <w:pStyle w:val="TableParagraph"/>
              <w:spacing w:line="242" w:lineRule="exact" w:before="0"/>
              <w:ind w:right="284"/>
              <w:rPr>
                <w:b/>
                <w:sz w:val="20"/>
              </w:rPr>
            </w:pPr>
            <w:r>
              <w:rPr>
                <w:b/>
                <w:sz w:val="20"/>
              </w:rPr>
              <w:t>Paid</w:t>
            </w:r>
            <w:r>
              <w:rPr>
                <w:b/>
                <w:spacing w:val="-6"/>
                <w:sz w:val="20"/>
              </w:rPr>
              <w:t> </w:t>
            </w:r>
            <w:r>
              <w:rPr>
                <w:b/>
                <w:sz w:val="20"/>
              </w:rPr>
              <w:t>head</w:t>
            </w:r>
          </w:p>
          <w:p>
            <w:pPr>
              <w:pStyle w:val="TableParagraph"/>
              <w:spacing w:line="243" w:lineRule="exact" w:before="0"/>
              <w:ind w:right="284"/>
              <w:rPr>
                <w:b/>
                <w:sz w:val="20"/>
              </w:rPr>
            </w:pPr>
            <w:r>
              <w:rPr>
                <w:b/>
                <w:w w:val="95"/>
                <w:sz w:val="20"/>
              </w:rPr>
              <w:t>count</w:t>
            </w:r>
          </w:p>
          <w:p>
            <w:pPr>
              <w:pStyle w:val="TableParagraph"/>
              <w:spacing w:line="225" w:lineRule="exact" w:before="0"/>
              <w:ind w:right="286"/>
              <w:rPr>
                <w:b/>
                <w:sz w:val="20"/>
              </w:rPr>
            </w:pPr>
            <w:r>
              <w:rPr>
                <w:b/>
                <w:sz w:val="20"/>
              </w:rPr>
              <w:t>June</w:t>
            </w:r>
            <w:r>
              <w:rPr>
                <w:b/>
                <w:spacing w:val="-6"/>
                <w:sz w:val="20"/>
              </w:rPr>
              <w:t> </w:t>
            </w:r>
            <w:r>
              <w:rPr>
                <w:b/>
                <w:sz w:val="20"/>
              </w:rPr>
              <w:t>2009</w:t>
            </w:r>
          </w:p>
        </w:tc>
        <w:tc>
          <w:tcPr>
            <w:tcW w:w="1701" w:type="dxa"/>
            <w:tcBorders>
              <w:top w:val="single" w:sz="4" w:space="0" w:color="000000"/>
              <w:bottom w:val="single" w:sz="8" w:space="0" w:color="4F81BC"/>
            </w:tcBorders>
          </w:tcPr>
          <w:p>
            <w:pPr>
              <w:pStyle w:val="TableParagraph"/>
              <w:spacing w:before="0"/>
              <w:ind w:left="297" w:right="549" w:firstLine="139"/>
              <w:jc w:val="left"/>
              <w:rPr>
                <w:b/>
                <w:sz w:val="20"/>
              </w:rPr>
            </w:pPr>
            <w:r>
              <w:rPr>
                <w:b/>
                <w:sz w:val="20"/>
              </w:rPr>
              <w:t>Paid FTE June 2009</w:t>
            </w:r>
          </w:p>
        </w:tc>
        <w:tc>
          <w:tcPr>
            <w:tcW w:w="1382" w:type="dxa"/>
            <w:tcBorders>
              <w:top w:val="single" w:sz="4" w:space="0" w:color="000000"/>
              <w:bottom w:val="single" w:sz="8" w:space="0" w:color="4F81BC"/>
              <w:right w:val="single" w:sz="4" w:space="0" w:color="000000"/>
            </w:tcBorders>
          </w:tcPr>
          <w:p>
            <w:pPr>
              <w:pStyle w:val="TableParagraph"/>
              <w:spacing w:before="0"/>
              <w:ind w:left="582" w:firstLine="14"/>
              <w:jc w:val="left"/>
              <w:rPr>
                <w:b/>
                <w:sz w:val="20"/>
              </w:rPr>
            </w:pPr>
            <w:r>
              <w:rPr>
                <w:b/>
                <w:w w:val="95"/>
                <w:sz w:val="20"/>
              </w:rPr>
              <w:t>Average </w:t>
            </w:r>
            <w:r>
              <w:rPr>
                <w:b/>
                <w:sz w:val="20"/>
              </w:rPr>
              <w:t>Paid</w:t>
            </w:r>
            <w:r>
              <w:rPr>
                <w:b/>
                <w:spacing w:val="-4"/>
                <w:sz w:val="20"/>
              </w:rPr>
              <w:t> </w:t>
            </w:r>
            <w:r>
              <w:rPr>
                <w:b/>
                <w:spacing w:val="-5"/>
                <w:sz w:val="20"/>
              </w:rPr>
              <w:t>FTE</w:t>
            </w:r>
          </w:p>
          <w:p>
            <w:pPr>
              <w:pStyle w:val="TableParagraph"/>
              <w:spacing w:line="224" w:lineRule="exact" w:before="0"/>
              <w:ind w:left="582"/>
              <w:jc w:val="left"/>
              <w:rPr>
                <w:b/>
                <w:sz w:val="20"/>
              </w:rPr>
            </w:pPr>
            <w:r>
              <w:rPr>
                <w:b/>
                <w:sz w:val="20"/>
              </w:rPr>
              <w:t>2008/09</w:t>
            </w:r>
          </w:p>
        </w:tc>
      </w:tr>
      <w:tr>
        <w:trPr>
          <w:trHeight w:val="285" w:hRule="atLeast"/>
        </w:trPr>
        <w:tc>
          <w:tcPr>
            <w:tcW w:w="5258" w:type="dxa"/>
            <w:tcBorders>
              <w:top w:val="single" w:sz="8" w:space="0" w:color="4F81BC"/>
            </w:tcBorders>
            <w:shd w:val="clear" w:color="auto" w:fill="D2DFED"/>
          </w:tcPr>
          <w:p>
            <w:pPr>
              <w:pStyle w:val="TableParagraph"/>
              <w:spacing w:before="20"/>
              <w:ind w:left="127"/>
              <w:jc w:val="left"/>
              <w:rPr>
                <w:b/>
                <w:sz w:val="20"/>
              </w:rPr>
            </w:pPr>
            <w:r>
              <w:rPr>
                <w:b/>
                <w:sz w:val="20"/>
              </w:rPr>
              <w:t>Electricity Networks Corporation (Western Power)</w:t>
            </w:r>
          </w:p>
        </w:tc>
        <w:tc>
          <w:tcPr>
            <w:tcW w:w="1710" w:type="dxa"/>
            <w:tcBorders>
              <w:top w:val="single" w:sz="8" w:space="0" w:color="4F81BC"/>
            </w:tcBorders>
            <w:shd w:val="clear" w:color="auto" w:fill="D2DFED"/>
          </w:tcPr>
          <w:p>
            <w:pPr>
              <w:pStyle w:val="TableParagraph"/>
              <w:spacing w:before="20"/>
              <w:ind w:right="287"/>
              <w:rPr>
                <w:sz w:val="20"/>
              </w:rPr>
            </w:pPr>
            <w:r>
              <w:rPr>
                <w:w w:val="95"/>
                <w:sz w:val="20"/>
              </w:rPr>
              <w:t>2,808</w:t>
            </w:r>
          </w:p>
        </w:tc>
        <w:tc>
          <w:tcPr>
            <w:tcW w:w="1701" w:type="dxa"/>
            <w:tcBorders>
              <w:top w:val="single" w:sz="8" w:space="0" w:color="4F81BC"/>
            </w:tcBorders>
            <w:shd w:val="clear" w:color="auto" w:fill="D2DFED"/>
          </w:tcPr>
          <w:p>
            <w:pPr>
              <w:pStyle w:val="TableParagraph"/>
              <w:spacing w:before="20"/>
              <w:ind w:right="572"/>
              <w:rPr>
                <w:sz w:val="20"/>
              </w:rPr>
            </w:pPr>
            <w:r>
              <w:rPr>
                <w:w w:val="95"/>
                <w:sz w:val="20"/>
              </w:rPr>
              <w:t>2,777</w:t>
            </w:r>
          </w:p>
        </w:tc>
        <w:tc>
          <w:tcPr>
            <w:tcW w:w="1382" w:type="dxa"/>
            <w:tcBorders>
              <w:top w:val="single" w:sz="8" w:space="0" w:color="4F81BC"/>
            </w:tcBorders>
            <w:shd w:val="clear" w:color="auto" w:fill="D2DFED"/>
          </w:tcPr>
          <w:p>
            <w:pPr>
              <w:pStyle w:val="TableParagraph"/>
              <w:spacing w:before="20"/>
              <w:ind w:right="106"/>
              <w:rPr>
                <w:sz w:val="20"/>
              </w:rPr>
            </w:pPr>
            <w:r>
              <w:rPr>
                <w:w w:val="95"/>
                <w:sz w:val="20"/>
              </w:rPr>
              <w:t>2,677</w:t>
            </w:r>
          </w:p>
        </w:tc>
      </w:tr>
      <w:tr>
        <w:trPr>
          <w:trHeight w:val="285" w:hRule="atLeast"/>
        </w:trPr>
        <w:tc>
          <w:tcPr>
            <w:tcW w:w="5258" w:type="dxa"/>
          </w:tcPr>
          <w:p>
            <w:pPr>
              <w:pStyle w:val="TableParagraph"/>
              <w:spacing w:before="20"/>
              <w:ind w:left="127"/>
              <w:jc w:val="left"/>
              <w:rPr>
                <w:b/>
                <w:sz w:val="20"/>
              </w:rPr>
            </w:pPr>
            <w:r>
              <w:rPr>
                <w:b/>
                <w:sz w:val="20"/>
              </w:rPr>
              <w:t>Water Corporation</w:t>
            </w:r>
          </w:p>
        </w:tc>
        <w:tc>
          <w:tcPr>
            <w:tcW w:w="1710" w:type="dxa"/>
          </w:tcPr>
          <w:p>
            <w:pPr>
              <w:pStyle w:val="TableParagraph"/>
              <w:spacing w:before="20"/>
              <w:ind w:right="287"/>
              <w:rPr>
                <w:sz w:val="20"/>
              </w:rPr>
            </w:pPr>
            <w:r>
              <w:rPr>
                <w:w w:val="95"/>
                <w:sz w:val="20"/>
              </w:rPr>
              <w:t>2,888</w:t>
            </w:r>
          </w:p>
        </w:tc>
        <w:tc>
          <w:tcPr>
            <w:tcW w:w="1701" w:type="dxa"/>
          </w:tcPr>
          <w:p>
            <w:pPr>
              <w:pStyle w:val="TableParagraph"/>
              <w:spacing w:before="20"/>
              <w:ind w:right="572"/>
              <w:rPr>
                <w:sz w:val="20"/>
              </w:rPr>
            </w:pPr>
            <w:r>
              <w:rPr>
                <w:w w:val="95"/>
                <w:sz w:val="20"/>
              </w:rPr>
              <w:t>2,760</w:t>
            </w:r>
          </w:p>
        </w:tc>
        <w:tc>
          <w:tcPr>
            <w:tcW w:w="1382" w:type="dxa"/>
          </w:tcPr>
          <w:p>
            <w:pPr>
              <w:pStyle w:val="TableParagraph"/>
              <w:spacing w:before="20"/>
              <w:ind w:right="106"/>
              <w:rPr>
                <w:sz w:val="20"/>
              </w:rPr>
            </w:pPr>
            <w:r>
              <w:rPr>
                <w:w w:val="95"/>
                <w:sz w:val="20"/>
              </w:rPr>
              <w:t>2,631</w:t>
            </w:r>
          </w:p>
        </w:tc>
      </w:tr>
      <w:tr>
        <w:trPr>
          <w:trHeight w:val="285" w:hRule="atLeast"/>
        </w:trPr>
        <w:tc>
          <w:tcPr>
            <w:tcW w:w="5258" w:type="dxa"/>
            <w:shd w:val="clear" w:color="auto" w:fill="D2DFED"/>
          </w:tcPr>
          <w:p>
            <w:pPr>
              <w:pStyle w:val="TableParagraph"/>
              <w:spacing w:before="18"/>
              <w:ind w:left="127"/>
              <w:jc w:val="left"/>
              <w:rPr>
                <w:b/>
                <w:sz w:val="20"/>
              </w:rPr>
            </w:pPr>
            <w:r>
              <w:rPr>
                <w:b/>
                <w:sz w:val="20"/>
              </w:rPr>
              <w:t>Public Transport Authority of Western Australia</w:t>
            </w:r>
          </w:p>
        </w:tc>
        <w:tc>
          <w:tcPr>
            <w:tcW w:w="1710" w:type="dxa"/>
            <w:shd w:val="clear" w:color="auto" w:fill="D2DFED"/>
          </w:tcPr>
          <w:p>
            <w:pPr>
              <w:pStyle w:val="TableParagraph"/>
              <w:spacing w:before="18"/>
              <w:ind w:right="287"/>
              <w:rPr>
                <w:sz w:val="20"/>
              </w:rPr>
            </w:pPr>
            <w:r>
              <w:rPr>
                <w:w w:val="95"/>
                <w:sz w:val="20"/>
              </w:rPr>
              <w:t>1,377</w:t>
            </w:r>
          </w:p>
        </w:tc>
        <w:tc>
          <w:tcPr>
            <w:tcW w:w="1701" w:type="dxa"/>
            <w:shd w:val="clear" w:color="auto" w:fill="D2DFED"/>
          </w:tcPr>
          <w:p>
            <w:pPr>
              <w:pStyle w:val="TableParagraph"/>
              <w:spacing w:before="18"/>
              <w:ind w:right="572"/>
              <w:rPr>
                <w:sz w:val="20"/>
              </w:rPr>
            </w:pPr>
            <w:r>
              <w:rPr>
                <w:w w:val="95"/>
                <w:sz w:val="20"/>
              </w:rPr>
              <w:t>1,295</w:t>
            </w:r>
          </w:p>
        </w:tc>
        <w:tc>
          <w:tcPr>
            <w:tcW w:w="1382" w:type="dxa"/>
            <w:shd w:val="clear" w:color="auto" w:fill="D2DFED"/>
          </w:tcPr>
          <w:p>
            <w:pPr>
              <w:pStyle w:val="TableParagraph"/>
              <w:spacing w:before="18"/>
              <w:ind w:right="106"/>
              <w:rPr>
                <w:sz w:val="20"/>
              </w:rPr>
            </w:pPr>
            <w:r>
              <w:rPr>
                <w:w w:val="95"/>
                <w:sz w:val="20"/>
              </w:rPr>
              <w:t>1,302</w:t>
            </w:r>
          </w:p>
        </w:tc>
      </w:tr>
      <w:tr>
        <w:trPr>
          <w:trHeight w:val="283" w:hRule="atLeast"/>
        </w:trPr>
        <w:tc>
          <w:tcPr>
            <w:tcW w:w="5258" w:type="dxa"/>
          </w:tcPr>
          <w:p>
            <w:pPr>
              <w:pStyle w:val="TableParagraph"/>
              <w:spacing w:before="18"/>
              <w:ind w:left="127"/>
              <w:jc w:val="left"/>
              <w:rPr>
                <w:b/>
                <w:sz w:val="20"/>
              </w:rPr>
            </w:pPr>
            <w:r>
              <w:rPr>
                <w:b/>
                <w:sz w:val="20"/>
              </w:rPr>
              <w:t>Department of Housing</w:t>
            </w:r>
          </w:p>
        </w:tc>
        <w:tc>
          <w:tcPr>
            <w:tcW w:w="1710" w:type="dxa"/>
          </w:tcPr>
          <w:p>
            <w:pPr>
              <w:pStyle w:val="TableParagraph"/>
              <w:spacing w:before="18"/>
              <w:ind w:right="287"/>
              <w:rPr>
                <w:sz w:val="20"/>
              </w:rPr>
            </w:pPr>
            <w:r>
              <w:rPr>
                <w:w w:val="95"/>
                <w:sz w:val="20"/>
              </w:rPr>
              <w:t>1,137</w:t>
            </w:r>
          </w:p>
        </w:tc>
        <w:tc>
          <w:tcPr>
            <w:tcW w:w="1701" w:type="dxa"/>
          </w:tcPr>
          <w:p>
            <w:pPr>
              <w:pStyle w:val="TableParagraph"/>
              <w:spacing w:before="18"/>
              <w:ind w:right="572"/>
              <w:rPr>
                <w:sz w:val="20"/>
              </w:rPr>
            </w:pPr>
            <w:r>
              <w:rPr>
                <w:w w:val="95"/>
                <w:sz w:val="20"/>
              </w:rPr>
              <w:t>1,048</w:t>
            </w:r>
          </w:p>
        </w:tc>
        <w:tc>
          <w:tcPr>
            <w:tcW w:w="1382" w:type="dxa"/>
          </w:tcPr>
          <w:p>
            <w:pPr>
              <w:pStyle w:val="TableParagraph"/>
              <w:spacing w:before="18"/>
              <w:ind w:right="106"/>
              <w:rPr>
                <w:sz w:val="20"/>
              </w:rPr>
            </w:pPr>
            <w:r>
              <w:rPr>
                <w:w w:val="95"/>
                <w:sz w:val="20"/>
              </w:rPr>
              <w:t>1,048</w:t>
            </w:r>
          </w:p>
        </w:tc>
      </w:tr>
      <w:tr>
        <w:trPr>
          <w:trHeight w:val="285" w:hRule="atLeast"/>
        </w:trPr>
        <w:tc>
          <w:tcPr>
            <w:tcW w:w="5258" w:type="dxa"/>
            <w:shd w:val="clear" w:color="auto" w:fill="D2DFED"/>
          </w:tcPr>
          <w:p>
            <w:pPr>
              <w:pStyle w:val="TableParagraph"/>
              <w:spacing w:before="20"/>
              <w:ind w:left="127"/>
              <w:jc w:val="left"/>
              <w:rPr>
                <w:b/>
                <w:sz w:val="20"/>
              </w:rPr>
            </w:pPr>
            <w:r>
              <w:rPr>
                <w:b/>
                <w:sz w:val="20"/>
              </w:rPr>
              <w:t>Electricity Generation Corporation (Verve Energy)</w:t>
            </w:r>
          </w:p>
        </w:tc>
        <w:tc>
          <w:tcPr>
            <w:tcW w:w="1710" w:type="dxa"/>
            <w:shd w:val="clear" w:color="auto" w:fill="D2DFED"/>
          </w:tcPr>
          <w:p>
            <w:pPr>
              <w:pStyle w:val="TableParagraph"/>
              <w:spacing w:before="20"/>
              <w:ind w:right="287"/>
              <w:rPr>
                <w:sz w:val="20"/>
              </w:rPr>
            </w:pPr>
            <w:r>
              <w:rPr>
                <w:w w:val="95"/>
                <w:sz w:val="20"/>
              </w:rPr>
              <w:t>593</w:t>
            </w:r>
          </w:p>
        </w:tc>
        <w:tc>
          <w:tcPr>
            <w:tcW w:w="1701" w:type="dxa"/>
            <w:shd w:val="clear" w:color="auto" w:fill="D2DFED"/>
          </w:tcPr>
          <w:p>
            <w:pPr>
              <w:pStyle w:val="TableParagraph"/>
              <w:spacing w:before="20"/>
              <w:ind w:right="572"/>
              <w:rPr>
                <w:sz w:val="20"/>
              </w:rPr>
            </w:pPr>
            <w:r>
              <w:rPr>
                <w:w w:val="95"/>
                <w:sz w:val="20"/>
              </w:rPr>
              <w:t>580</w:t>
            </w:r>
          </w:p>
        </w:tc>
        <w:tc>
          <w:tcPr>
            <w:tcW w:w="1382" w:type="dxa"/>
            <w:shd w:val="clear" w:color="auto" w:fill="D2DFED"/>
          </w:tcPr>
          <w:p>
            <w:pPr>
              <w:pStyle w:val="TableParagraph"/>
              <w:spacing w:before="20"/>
              <w:ind w:right="106"/>
              <w:rPr>
                <w:sz w:val="20"/>
              </w:rPr>
            </w:pPr>
            <w:r>
              <w:rPr>
                <w:w w:val="95"/>
                <w:sz w:val="20"/>
              </w:rPr>
              <w:t>577</w:t>
            </w:r>
          </w:p>
        </w:tc>
      </w:tr>
      <w:tr>
        <w:trPr>
          <w:trHeight w:val="285" w:hRule="atLeast"/>
        </w:trPr>
        <w:tc>
          <w:tcPr>
            <w:tcW w:w="5258" w:type="dxa"/>
          </w:tcPr>
          <w:p>
            <w:pPr>
              <w:pStyle w:val="TableParagraph"/>
              <w:spacing w:before="20"/>
              <w:ind w:left="127"/>
              <w:jc w:val="left"/>
              <w:rPr>
                <w:b/>
                <w:sz w:val="20"/>
              </w:rPr>
            </w:pPr>
            <w:r>
              <w:rPr>
                <w:b/>
                <w:sz w:val="20"/>
              </w:rPr>
              <w:t>Racing and Wagering Western Australia</w:t>
            </w:r>
          </w:p>
        </w:tc>
        <w:tc>
          <w:tcPr>
            <w:tcW w:w="1710" w:type="dxa"/>
          </w:tcPr>
          <w:p>
            <w:pPr>
              <w:pStyle w:val="TableParagraph"/>
              <w:spacing w:before="20"/>
              <w:ind w:right="287"/>
              <w:rPr>
                <w:sz w:val="20"/>
              </w:rPr>
            </w:pPr>
            <w:r>
              <w:rPr>
                <w:w w:val="95"/>
                <w:sz w:val="20"/>
              </w:rPr>
              <w:t>459</w:t>
            </w:r>
          </w:p>
        </w:tc>
        <w:tc>
          <w:tcPr>
            <w:tcW w:w="1701" w:type="dxa"/>
          </w:tcPr>
          <w:p>
            <w:pPr>
              <w:pStyle w:val="TableParagraph"/>
              <w:spacing w:before="20"/>
              <w:ind w:right="572"/>
              <w:rPr>
                <w:sz w:val="20"/>
              </w:rPr>
            </w:pPr>
            <w:r>
              <w:rPr>
                <w:w w:val="95"/>
                <w:sz w:val="20"/>
              </w:rPr>
              <w:t>346</w:t>
            </w:r>
          </w:p>
        </w:tc>
        <w:tc>
          <w:tcPr>
            <w:tcW w:w="1382" w:type="dxa"/>
          </w:tcPr>
          <w:p>
            <w:pPr>
              <w:pStyle w:val="TableParagraph"/>
              <w:spacing w:before="20"/>
              <w:ind w:right="106"/>
              <w:rPr>
                <w:sz w:val="20"/>
              </w:rPr>
            </w:pPr>
            <w:r>
              <w:rPr>
                <w:w w:val="95"/>
                <w:sz w:val="20"/>
              </w:rPr>
              <w:t>348</w:t>
            </w:r>
          </w:p>
        </w:tc>
      </w:tr>
      <w:tr>
        <w:trPr>
          <w:trHeight w:val="286" w:hRule="atLeast"/>
        </w:trPr>
        <w:tc>
          <w:tcPr>
            <w:tcW w:w="5258" w:type="dxa"/>
            <w:shd w:val="clear" w:color="auto" w:fill="D2DFED"/>
          </w:tcPr>
          <w:p>
            <w:pPr>
              <w:pStyle w:val="TableParagraph"/>
              <w:spacing w:before="19"/>
              <w:ind w:left="127"/>
              <w:jc w:val="left"/>
              <w:rPr>
                <w:b/>
                <w:sz w:val="20"/>
              </w:rPr>
            </w:pPr>
            <w:r>
              <w:rPr>
                <w:b/>
                <w:sz w:val="20"/>
              </w:rPr>
              <w:t>Regional Power Corporation (Horizon Power)</w:t>
            </w:r>
          </w:p>
        </w:tc>
        <w:tc>
          <w:tcPr>
            <w:tcW w:w="1710" w:type="dxa"/>
            <w:shd w:val="clear" w:color="auto" w:fill="D2DFED"/>
          </w:tcPr>
          <w:p>
            <w:pPr>
              <w:pStyle w:val="TableParagraph"/>
              <w:spacing w:before="19"/>
              <w:ind w:right="287"/>
              <w:rPr>
                <w:sz w:val="20"/>
              </w:rPr>
            </w:pPr>
            <w:r>
              <w:rPr>
                <w:w w:val="95"/>
                <w:sz w:val="20"/>
              </w:rPr>
              <w:t>347</w:t>
            </w:r>
          </w:p>
        </w:tc>
        <w:tc>
          <w:tcPr>
            <w:tcW w:w="1701" w:type="dxa"/>
            <w:shd w:val="clear" w:color="auto" w:fill="D2DFED"/>
          </w:tcPr>
          <w:p>
            <w:pPr>
              <w:pStyle w:val="TableParagraph"/>
              <w:spacing w:before="19"/>
              <w:ind w:right="572"/>
              <w:rPr>
                <w:sz w:val="20"/>
              </w:rPr>
            </w:pPr>
            <w:r>
              <w:rPr>
                <w:w w:val="95"/>
                <w:sz w:val="20"/>
              </w:rPr>
              <w:t>343</w:t>
            </w:r>
          </w:p>
        </w:tc>
        <w:tc>
          <w:tcPr>
            <w:tcW w:w="1382" w:type="dxa"/>
            <w:shd w:val="clear" w:color="auto" w:fill="D2DFED"/>
          </w:tcPr>
          <w:p>
            <w:pPr>
              <w:pStyle w:val="TableParagraph"/>
              <w:spacing w:before="19"/>
              <w:ind w:right="106"/>
              <w:rPr>
                <w:sz w:val="20"/>
              </w:rPr>
            </w:pPr>
            <w:r>
              <w:rPr>
                <w:w w:val="95"/>
                <w:sz w:val="20"/>
              </w:rPr>
              <w:t>311</w:t>
            </w:r>
          </w:p>
        </w:tc>
      </w:tr>
      <w:tr>
        <w:trPr>
          <w:trHeight w:val="285" w:hRule="atLeast"/>
        </w:trPr>
        <w:tc>
          <w:tcPr>
            <w:tcW w:w="5258" w:type="dxa"/>
            <w:tcBorders>
              <w:bottom w:val="single" w:sz="8" w:space="0" w:color="4F81BC"/>
            </w:tcBorders>
          </w:tcPr>
          <w:p>
            <w:pPr>
              <w:pStyle w:val="TableParagraph"/>
              <w:spacing w:before="18"/>
              <w:ind w:left="127"/>
              <w:jc w:val="left"/>
              <w:rPr>
                <w:b/>
                <w:sz w:val="20"/>
              </w:rPr>
            </w:pPr>
            <w:r>
              <w:rPr>
                <w:b/>
                <w:sz w:val="20"/>
              </w:rPr>
              <w:t>Electricity Retail Corporation (Synergy)</w:t>
            </w:r>
          </w:p>
        </w:tc>
        <w:tc>
          <w:tcPr>
            <w:tcW w:w="1710" w:type="dxa"/>
            <w:tcBorders>
              <w:bottom w:val="single" w:sz="8" w:space="0" w:color="4F81BC"/>
            </w:tcBorders>
          </w:tcPr>
          <w:p>
            <w:pPr>
              <w:pStyle w:val="TableParagraph"/>
              <w:spacing w:before="18"/>
              <w:ind w:right="287"/>
              <w:rPr>
                <w:sz w:val="20"/>
              </w:rPr>
            </w:pPr>
            <w:r>
              <w:rPr>
                <w:w w:val="95"/>
                <w:sz w:val="20"/>
              </w:rPr>
              <w:t>368</w:t>
            </w:r>
          </w:p>
        </w:tc>
        <w:tc>
          <w:tcPr>
            <w:tcW w:w="1701" w:type="dxa"/>
            <w:tcBorders>
              <w:bottom w:val="single" w:sz="8" w:space="0" w:color="4F81BC"/>
            </w:tcBorders>
          </w:tcPr>
          <w:p>
            <w:pPr>
              <w:pStyle w:val="TableParagraph"/>
              <w:spacing w:before="18"/>
              <w:ind w:right="572"/>
              <w:rPr>
                <w:sz w:val="20"/>
              </w:rPr>
            </w:pPr>
            <w:r>
              <w:rPr>
                <w:w w:val="95"/>
                <w:sz w:val="20"/>
              </w:rPr>
              <w:t>342</w:t>
            </w:r>
          </w:p>
        </w:tc>
        <w:tc>
          <w:tcPr>
            <w:tcW w:w="1382" w:type="dxa"/>
            <w:tcBorders>
              <w:bottom w:val="single" w:sz="8" w:space="0" w:color="4F81BC"/>
            </w:tcBorders>
          </w:tcPr>
          <w:p>
            <w:pPr>
              <w:pStyle w:val="TableParagraph"/>
              <w:spacing w:before="18"/>
              <w:ind w:right="106"/>
              <w:rPr>
                <w:sz w:val="20"/>
              </w:rPr>
            </w:pPr>
            <w:r>
              <w:rPr>
                <w:w w:val="95"/>
                <w:sz w:val="20"/>
              </w:rPr>
              <w:t>350</w:t>
            </w:r>
          </w:p>
        </w:tc>
      </w:tr>
    </w:tbl>
    <w:p>
      <w:pPr>
        <w:spacing w:after="0"/>
        <w:rPr>
          <w:sz w:val="20"/>
        </w:rPr>
        <w:sectPr>
          <w:pgSz w:w="11910" w:h="16850"/>
          <w:pgMar w:top="1000" w:bottom="280" w:left="1200" w:right="420"/>
        </w:sectPr>
      </w:pPr>
    </w:p>
    <w:tbl>
      <w:tblPr>
        <w:tblW w:w="0" w:type="auto"/>
        <w:jc w:val="left"/>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71"/>
        <w:gridCol w:w="1389"/>
        <w:gridCol w:w="1235"/>
        <w:gridCol w:w="1848"/>
      </w:tblGrid>
      <w:tr>
        <w:trPr>
          <w:trHeight w:val="495" w:hRule="atLeast"/>
        </w:trPr>
        <w:tc>
          <w:tcPr>
            <w:tcW w:w="5571" w:type="dxa"/>
            <w:vMerge w:val="restart"/>
            <w:tcBorders>
              <w:top w:val="single" w:sz="4" w:space="0" w:color="000000"/>
              <w:left w:val="single" w:sz="4" w:space="0" w:color="000000"/>
              <w:bottom w:val="single" w:sz="8" w:space="0" w:color="4F81BC"/>
            </w:tcBorders>
          </w:tcPr>
          <w:p>
            <w:pPr>
              <w:pStyle w:val="TableParagraph"/>
              <w:spacing w:before="0"/>
              <w:jc w:val="left"/>
              <w:rPr>
                <w:rFonts w:ascii="Times New Roman"/>
                <w:sz w:val="18"/>
              </w:rPr>
            </w:pPr>
          </w:p>
        </w:tc>
        <w:tc>
          <w:tcPr>
            <w:tcW w:w="1389" w:type="dxa"/>
            <w:tcBorders>
              <w:top w:val="single" w:sz="4" w:space="0" w:color="000000"/>
            </w:tcBorders>
          </w:tcPr>
          <w:p>
            <w:pPr>
              <w:pStyle w:val="TableParagraph"/>
              <w:spacing w:line="238" w:lineRule="exact" w:before="0"/>
              <w:ind w:right="286"/>
              <w:rPr>
                <w:b/>
                <w:sz w:val="20"/>
              </w:rPr>
            </w:pPr>
            <w:r>
              <w:rPr>
                <w:b/>
                <w:sz w:val="20"/>
              </w:rPr>
              <w:t>Paid</w:t>
            </w:r>
            <w:r>
              <w:rPr>
                <w:b/>
                <w:spacing w:val="-6"/>
                <w:sz w:val="20"/>
              </w:rPr>
              <w:t> </w:t>
            </w:r>
            <w:r>
              <w:rPr>
                <w:b/>
                <w:sz w:val="20"/>
              </w:rPr>
              <w:t>head</w:t>
            </w:r>
          </w:p>
          <w:p>
            <w:pPr>
              <w:pStyle w:val="TableParagraph"/>
              <w:spacing w:line="237" w:lineRule="exact" w:before="0"/>
              <w:ind w:right="286"/>
              <w:rPr>
                <w:b/>
                <w:sz w:val="20"/>
              </w:rPr>
            </w:pPr>
            <w:r>
              <w:rPr>
                <w:b/>
                <w:w w:val="95"/>
                <w:sz w:val="20"/>
              </w:rPr>
              <w:t>count</w:t>
            </w:r>
          </w:p>
        </w:tc>
        <w:tc>
          <w:tcPr>
            <w:tcW w:w="1235" w:type="dxa"/>
            <w:tcBorders>
              <w:top w:val="single" w:sz="4" w:space="0" w:color="000000"/>
            </w:tcBorders>
          </w:tcPr>
          <w:p>
            <w:pPr>
              <w:pStyle w:val="TableParagraph"/>
              <w:spacing w:line="238" w:lineRule="exact" w:before="0"/>
              <w:ind w:left="435"/>
              <w:jc w:val="left"/>
              <w:rPr>
                <w:b/>
                <w:sz w:val="20"/>
              </w:rPr>
            </w:pPr>
            <w:r>
              <w:rPr>
                <w:b/>
                <w:sz w:val="20"/>
              </w:rPr>
              <w:t>Paid</w:t>
            </w:r>
            <w:r>
              <w:rPr>
                <w:b/>
                <w:spacing w:val="-5"/>
                <w:sz w:val="20"/>
              </w:rPr>
              <w:t> </w:t>
            </w:r>
            <w:r>
              <w:rPr>
                <w:b/>
                <w:sz w:val="20"/>
              </w:rPr>
              <w:t>FTE</w:t>
            </w:r>
          </w:p>
          <w:p>
            <w:pPr>
              <w:pStyle w:val="TableParagraph"/>
              <w:spacing w:line="237" w:lineRule="exact" w:before="0"/>
              <w:ind w:left="296"/>
              <w:jc w:val="left"/>
              <w:rPr>
                <w:b/>
                <w:sz w:val="20"/>
              </w:rPr>
            </w:pPr>
            <w:r>
              <w:rPr>
                <w:b/>
                <w:sz w:val="20"/>
              </w:rPr>
              <w:t>June</w:t>
            </w:r>
            <w:r>
              <w:rPr>
                <w:b/>
                <w:spacing w:val="-6"/>
                <w:sz w:val="20"/>
              </w:rPr>
              <w:t> </w:t>
            </w:r>
            <w:r>
              <w:rPr>
                <w:b/>
                <w:sz w:val="20"/>
              </w:rPr>
              <w:t>2009</w:t>
            </w:r>
          </w:p>
        </w:tc>
        <w:tc>
          <w:tcPr>
            <w:tcW w:w="1848" w:type="dxa"/>
            <w:tcBorders>
              <w:top w:val="single" w:sz="4" w:space="0" w:color="000000"/>
              <w:right w:val="single" w:sz="4" w:space="0" w:color="000000"/>
            </w:tcBorders>
          </w:tcPr>
          <w:p>
            <w:pPr>
              <w:pStyle w:val="TableParagraph"/>
              <w:spacing w:line="238" w:lineRule="exact" w:before="0"/>
              <w:ind w:left="1060"/>
              <w:jc w:val="left"/>
              <w:rPr>
                <w:b/>
                <w:sz w:val="20"/>
              </w:rPr>
            </w:pPr>
            <w:r>
              <w:rPr>
                <w:b/>
                <w:sz w:val="20"/>
              </w:rPr>
              <w:t>Average</w:t>
            </w:r>
          </w:p>
          <w:p>
            <w:pPr>
              <w:pStyle w:val="TableParagraph"/>
              <w:spacing w:line="237" w:lineRule="exact" w:before="0"/>
              <w:ind w:left="1046"/>
              <w:jc w:val="left"/>
              <w:rPr>
                <w:b/>
                <w:sz w:val="20"/>
              </w:rPr>
            </w:pPr>
            <w:r>
              <w:rPr>
                <w:b/>
                <w:sz w:val="20"/>
              </w:rPr>
              <w:t>Paid</w:t>
            </w:r>
            <w:r>
              <w:rPr>
                <w:b/>
                <w:spacing w:val="-5"/>
                <w:sz w:val="20"/>
              </w:rPr>
              <w:t> </w:t>
            </w:r>
            <w:r>
              <w:rPr>
                <w:b/>
                <w:sz w:val="20"/>
              </w:rPr>
              <w:t>FTE</w:t>
            </w:r>
          </w:p>
        </w:tc>
      </w:tr>
      <w:tr>
        <w:trPr>
          <w:trHeight w:val="216" w:hRule="atLeast"/>
        </w:trPr>
        <w:tc>
          <w:tcPr>
            <w:tcW w:w="5571" w:type="dxa"/>
            <w:vMerge/>
            <w:tcBorders>
              <w:top w:val="nil"/>
              <w:left w:val="single" w:sz="4" w:space="0" w:color="000000"/>
              <w:bottom w:val="single" w:sz="8" w:space="0" w:color="4F81BC"/>
            </w:tcBorders>
          </w:tcPr>
          <w:p>
            <w:pPr>
              <w:rPr>
                <w:sz w:val="2"/>
                <w:szCs w:val="2"/>
              </w:rPr>
            </w:pPr>
          </w:p>
        </w:tc>
        <w:tc>
          <w:tcPr>
            <w:tcW w:w="1389" w:type="dxa"/>
            <w:tcBorders>
              <w:bottom w:val="single" w:sz="8" w:space="0" w:color="4F81BC"/>
            </w:tcBorders>
          </w:tcPr>
          <w:p>
            <w:pPr>
              <w:pStyle w:val="TableParagraph"/>
              <w:spacing w:line="196" w:lineRule="exact" w:before="0"/>
              <w:ind w:right="288"/>
              <w:rPr>
                <w:b/>
                <w:sz w:val="20"/>
              </w:rPr>
            </w:pPr>
            <w:r>
              <w:rPr>
                <w:b/>
                <w:sz w:val="20"/>
              </w:rPr>
              <w:t>June 2009</w:t>
            </w:r>
          </w:p>
        </w:tc>
        <w:tc>
          <w:tcPr>
            <w:tcW w:w="1235" w:type="dxa"/>
            <w:tcBorders>
              <w:bottom w:val="single" w:sz="8" w:space="0" w:color="4F81BC"/>
            </w:tcBorders>
          </w:tcPr>
          <w:p>
            <w:pPr>
              <w:pStyle w:val="TableParagraph"/>
              <w:spacing w:before="0"/>
              <w:jc w:val="left"/>
              <w:rPr>
                <w:rFonts w:ascii="Times New Roman"/>
                <w:sz w:val="14"/>
              </w:rPr>
            </w:pPr>
          </w:p>
        </w:tc>
        <w:tc>
          <w:tcPr>
            <w:tcW w:w="1848" w:type="dxa"/>
            <w:tcBorders>
              <w:bottom w:val="single" w:sz="8" w:space="0" w:color="4F81BC"/>
              <w:right w:val="single" w:sz="4" w:space="0" w:color="000000"/>
            </w:tcBorders>
          </w:tcPr>
          <w:p>
            <w:pPr>
              <w:pStyle w:val="TableParagraph"/>
              <w:spacing w:line="196" w:lineRule="exact" w:before="0"/>
              <w:ind w:right="103"/>
              <w:rPr>
                <w:b/>
                <w:sz w:val="20"/>
              </w:rPr>
            </w:pPr>
            <w:r>
              <w:rPr>
                <w:b/>
                <w:sz w:val="20"/>
              </w:rPr>
              <w:t>2008/09</w:t>
            </w:r>
          </w:p>
        </w:tc>
      </w:tr>
      <w:tr>
        <w:trPr>
          <w:trHeight w:val="285" w:hRule="atLeast"/>
        </w:trPr>
        <w:tc>
          <w:tcPr>
            <w:tcW w:w="5571" w:type="dxa"/>
            <w:tcBorders>
              <w:top w:val="single" w:sz="8" w:space="0" w:color="4F81BC"/>
            </w:tcBorders>
            <w:shd w:val="clear" w:color="auto" w:fill="D2DFED"/>
          </w:tcPr>
          <w:p>
            <w:pPr>
              <w:pStyle w:val="TableParagraph"/>
              <w:spacing w:before="15"/>
              <w:ind w:left="117"/>
              <w:jc w:val="left"/>
              <w:rPr>
                <w:b/>
                <w:sz w:val="20"/>
              </w:rPr>
            </w:pPr>
            <w:r>
              <w:rPr>
                <w:b/>
                <w:sz w:val="20"/>
              </w:rPr>
              <w:t>Insurance Commission of Western Australia</w:t>
            </w:r>
          </w:p>
        </w:tc>
        <w:tc>
          <w:tcPr>
            <w:tcW w:w="1389" w:type="dxa"/>
            <w:tcBorders>
              <w:top w:val="single" w:sz="8" w:space="0" w:color="4F81BC"/>
            </w:tcBorders>
            <w:shd w:val="clear" w:color="auto" w:fill="D2DFED"/>
          </w:tcPr>
          <w:p>
            <w:pPr>
              <w:pStyle w:val="TableParagraph"/>
              <w:spacing w:before="15"/>
              <w:ind w:right="287"/>
              <w:rPr>
                <w:sz w:val="20"/>
              </w:rPr>
            </w:pPr>
            <w:r>
              <w:rPr>
                <w:w w:val="95"/>
                <w:sz w:val="20"/>
              </w:rPr>
              <w:t>362</w:t>
            </w:r>
          </w:p>
        </w:tc>
        <w:tc>
          <w:tcPr>
            <w:tcW w:w="1235" w:type="dxa"/>
            <w:tcBorders>
              <w:top w:val="single" w:sz="8" w:space="0" w:color="4F81BC"/>
            </w:tcBorders>
            <w:shd w:val="clear" w:color="auto" w:fill="D2DFED"/>
          </w:tcPr>
          <w:p>
            <w:pPr>
              <w:pStyle w:val="TableParagraph"/>
              <w:spacing w:before="15"/>
              <w:ind w:right="106"/>
              <w:rPr>
                <w:sz w:val="20"/>
              </w:rPr>
            </w:pPr>
            <w:r>
              <w:rPr>
                <w:w w:val="95"/>
                <w:sz w:val="20"/>
              </w:rPr>
              <w:t>338</w:t>
            </w:r>
          </w:p>
        </w:tc>
        <w:tc>
          <w:tcPr>
            <w:tcW w:w="1848" w:type="dxa"/>
            <w:tcBorders>
              <w:top w:val="single" w:sz="8" w:space="0" w:color="4F81BC"/>
            </w:tcBorders>
            <w:shd w:val="clear" w:color="auto" w:fill="D2DFED"/>
          </w:tcPr>
          <w:p>
            <w:pPr>
              <w:pStyle w:val="TableParagraph"/>
              <w:spacing w:before="15"/>
              <w:ind w:right="108"/>
              <w:rPr>
                <w:sz w:val="20"/>
              </w:rPr>
            </w:pPr>
            <w:r>
              <w:rPr>
                <w:w w:val="95"/>
                <w:sz w:val="20"/>
              </w:rPr>
              <w:t>324</w:t>
            </w:r>
          </w:p>
        </w:tc>
      </w:tr>
      <w:tr>
        <w:trPr>
          <w:trHeight w:val="285" w:hRule="atLeast"/>
        </w:trPr>
        <w:tc>
          <w:tcPr>
            <w:tcW w:w="5571" w:type="dxa"/>
          </w:tcPr>
          <w:p>
            <w:pPr>
              <w:pStyle w:val="TableParagraph"/>
              <w:spacing w:before="16"/>
              <w:ind w:left="117"/>
              <w:jc w:val="left"/>
              <w:rPr>
                <w:b/>
                <w:sz w:val="20"/>
              </w:rPr>
            </w:pPr>
            <w:r>
              <w:rPr>
                <w:b/>
                <w:sz w:val="20"/>
              </w:rPr>
              <w:t>Fremantle Port Authority</w:t>
            </w:r>
          </w:p>
        </w:tc>
        <w:tc>
          <w:tcPr>
            <w:tcW w:w="1389" w:type="dxa"/>
          </w:tcPr>
          <w:p>
            <w:pPr>
              <w:pStyle w:val="TableParagraph"/>
              <w:spacing w:before="16"/>
              <w:ind w:right="287"/>
              <w:rPr>
                <w:sz w:val="20"/>
              </w:rPr>
            </w:pPr>
            <w:r>
              <w:rPr>
                <w:w w:val="95"/>
                <w:sz w:val="20"/>
              </w:rPr>
              <w:t>320</w:t>
            </w:r>
          </w:p>
        </w:tc>
        <w:tc>
          <w:tcPr>
            <w:tcW w:w="1235" w:type="dxa"/>
          </w:tcPr>
          <w:p>
            <w:pPr>
              <w:pStyle w:val="TableParagraph"/>
              <w:spacing w:before="16"/>
              <w:ind w:right="106"/>
              <w:rPr>
                <w:sz w:val="20"/>
              </w:rPr>
            </w:pPr>
            <w:r>
              <w:rPr>
                <w:w w:val="95"/>
                <w:sz w:val="20"/>
              </w:rPr>
              <w:t>310</w:t>
            </w:r>
          </w:p>
        </w:tc>
        <w:tc>
          <w:tcPr>
            <w:tcW w:w="1848" w:type="dxa"/>
          </w:tcPr>
          <w:p>
            <w:pPr>
              <w:pStyle w:val="TableParagraph"/>
              <w:spacing w:before="16"/>
              <w:ind w:right="108"/>
              <w:rPr>
                <w:sz w:val="20"/>
              </w:rPr>
            </w:pPr>
            <w:r>
              <w:rPr>
                <w:w w:val="95"/>
                <w:sz w:val="20"/>
              </w:rPr>
              <w:t>306</w:t>
            </w:r>
          </w:p>
        </w:tc>
      </w:tr>
      <w:tr>
        <w:trPr>
          <w:trHeight w:val="285" w:hRule="atLeast"/>
        </w:trPr>
        <w:tc>
          <w:tcPr>
            <w:tcW w:w="5571" w:type="dxa"/>
            <w:shd w:val="clear" w:color="auto" w:fill="D2DFED"/>
          </w:tcPr>
          <w:p>
            <w:pPr>
              <w:pStyle w:val="TableParagraph"/>
              <w:spacing w:before="13"/>
              <w:ind w:left="117"/>
              <w:jc w:val="left"/>
              <w:rPr>
                <w:b/>
                <w:sz w:val="20"/>
              </w:rPr>
            </w:pPr>
            <w:r>
              <w:rPr>
                <w:b/>
                <w:sz w:val="20"/>
              </w:rPr>
              <w:t>Forest Products Commission</w:t>
            </w:r>
          </w:p>
        </w:tc>
        <w:tc>
          <w:tcPr>
            <w:tcW w:w="1389" w:type="dxa"/>
            <w:shd w:val="clear" w:color="auto" w:fill="D2DFED"/>
          </w:tcPr>
          <w:p>
            <w:pPr>
              <w:pStyle w:val="TableParagraph"/>
              <w:spacing w:before="13"/>
              <w:ind w:right="287"/>
              <w:rPr>
                <w:sz w:val="20"/>
              </w:rPr>
            </w:pPr>
            <w:r>
              <w:rPr>
                <w:w w:val="95"/>
                <w:sz w:val="20"/>
              </w:rPr>
              <w:t>331</w:t>
            </w:r>
          </w:p>
        </w:tc>
        <w:tc>
          <w:tcPr>
            <w:tcW w:w="1235" w:type="dxa"/>
            <w:shd w:val="clear" w:color="auto" w:fill="D2DFED"/>
          </w:tcPr>
          <w:p>
            <w:pPr>
              <w:pStyle w:val="TableParagraph"/>
              <w:spacing w:before="13"/>
              <w:ind w:right="106"/>
              <w:rPr>
                <w:sz w:val="20"/>
              </w:rPr>
            </w:pPr>
            <w:r>
              <w:rPr>
                <w:w w:val="95"/>
                <w:sz w:val="20"/>
              </w:rPr>
              <w:t>295</w:t>
            </w:r>
          </w:p>
        </w:tc>
        <w:tc>
          <w:tcPr>
            <w:tcW w:w="1848" w:type="dxa"/>
            <w:shd w:val="clear" w:color="auto" w:fill="D2DFED"/>
          </w:tcPr>
          <w:p>
            <w:pPr>
              <w:pStyle w:val="TableParagraph"/>
              <w:spacing w:before="13"/>
              <w:ind w:right="108"/>
              <w:rPr>
                <w:sz w:val="20"/>
              </w:rPr>
            </w:pPr>
            <w:r>
              <w:rPr>
                <w:w w:val="95"/>
                <w:sz w:val="20"/>
              </w:rPr>
              <w:t>278</w:t>
            </w:r>
          </w:p>
        </w:tc>
      </w:tr>
      <w:tr>
        <w:trPr>
          <w:trHeight w:val="283" w:hRule="atLeast"/>
        </w:trPr>
        <w:tc>
          <w:tcPr>
            <w:tcW w:w="5571" w:type="dxa"/>
          </w:tcPr>
          <w:p>
            <w:pPr>
              <w:pStyle w:val="TableParagraph"/>
              <w:spacing w:before="13"/>
              <w:ind w:left="117"/>
              <w:jc w:val="left"/>
              <w:rPr>
                <w:b/>
                <w:sz w:val="20"/>
              </w:rPr>
            </w:pPr>
            <w:r>
              <w:rPr>
                <w:b/>
                <w:sz w:val="20"/>
              </w:rPr>
              <w:t>Legal Aid Commission of Western Australia</w:t>
            </w:r>
          </w:p>
        </w:tc>
        <w:tc>
          <w:tcPr>
            <w:tcW w:w="1389" w:type="dxa"/>
          </w:tcPr>
          <w:p>
            <w:pPr>
              <w:pStyle w:val="TableParagraph"/>
              <w:spacing w:before="13"/>
              <w:ind w:right="287"/>
              <w:rPr>
                <w:sz w:val="20"/>
              </w:rPr>
            </w:pPr>
            <w:r>
              <w:rPr>
                <w:w w:val="95"/>
                <w:sz w:val="20"/>
              </w:rPr>
              <w:t>315</w:t>
            </w:r>
          </w:p>
        </w:tc>
        <w:tc>
          <w:tcPr>
            <w:tcW w:w="1235" w:type="dxa"/>
          </w:tcPr>
          <w:p>
            <w:pPr>
              <w:pStyle w:val="TableParagraph"/>
              <w:spacing w:before="13"/>
              <w:ind w:right="106"/>
              <w:rPr>
                <w:sz w:val="20"/>
              </w:rPr>
            </w:pPr>
            <w:r>
              <w:rPr>
                <w:w w:val="95"/>
                <w:sz w:val="20"/>
              </w:rPr>
              <w:t>282</w:t>
            </w:r>
          </w:p>
        </w:tc>
        <w:tc>
          <w:tcPr>
            <w:tcW w:w="1848" w:type="dxa"/>
          </w:tcPr>
          <w:p>
            <w:pPr>
              <w:pStyle w:val="TableParagraph"/>
              <w:spacing w:before="13"/>
              <w:ind w:right="108"/>
              <w:rPr>
                <w:sz w:val="20"/>
              </w:rPr>
            </w:pPr>
            <w:r>
              <w:rPr>
                <w:w w:val="95"/>
                <w:sz w:val="20"/>
              </w:rPr>
              <w:t>264</w:t>
            </w:r>
          </w:p>
        </w:tc>
      </w:tr>
      <w:tr>
        <w:trPr>
          <w:trHeight w:val="285" w:hRule="atLeast"/>
        </w:trPr>
        <w:tc>
          <w:tcPr>
            <w:tcW w:w="5571" w:type="dxa"/>
            <w:shd w:val="clear" w:color="auto" w:fill="D2DFED"/>
          </w:tcPr>
          <w:p>
            <w:pPr>
              <w:pStyle w:val="TableParagraph"/>
              <w:spacing w:before="16"/>
              <w:ind w:left="117"/>
              <w:jc w:val="left"/>
              <w:rPr>
                <w:b/>
                <w:sz w:val="20"/>
              </w:rPr>
            </w:pPr>
            <w:r>
              <w:rPr>
                <w:b/>
                <w:sz w:val="20"/>
              </w:rPr>
              <w:t>Gold Corporation</w:t>
            </w:r>
          </w:p>
        </w:tc>
        <w:tc>
          <w:tcPr>
            <w:tcW w:w="1389" w:type="dxa"/>
            <w:shd w:val="clear" w:color="auto" w:fill="D2DFED"/>
          </w:tcPr>
          <w:p>
            <w:pPr>
              <w:pStyle w:val="TableParagraph"/>
              <w:spacing w:before="16"/>
              <w:ind w:right="287"/>
              <w:rPr>
                <w:sz w:val="20"/>
              </w:rPr>
            </w:pPr>
            <w:r>
              <w:rPr>
                <w:w w:val="95"/>
                <w:sz w:val="20"/>
              </w:rPr>
              <w:t>259</w:t>
            </w:r>
          </w:p>
        </w:tc>
        <w:tc>
          <w:tcPr>
            <w:tcW w:w="1235" w:type="dxa"/>
            <w:shd w:val="clear" w:color="auto" w:fill="D2DFED"/>
          </w:tcPr>
          <w:p>
            <w:pPr>
              <w:pStyle w:val="TableParagraph"/>
              <w:spacing w:before="16"/>
              <w:ind w:right="106"/>
              <w:rPr>
                <w:sz w:val="20"/>
              </w:rPr>
            </w:pPr>
            <w:r>
              <w:rPr>
                <w:w w:val="95"/>
                <w:sz w:val="20"/>
              </w:rPr>
              <w:t>240</w:t>
            </w:r>
          </w:p>
        </w:tc>
        <w:tc>
          <w:tcPr>
            <w:tcW w:w="1848" w:type="dxa"/>
            <w:shd w:val="clear" w:color="auto" w:fill="D2DFED"/>
          </w:tcPr>
          <w:p>
            <w:pPr>
              <w:pStyle w:val="TableParagraph"/>
              <w:spacing w:before="16"/>
              <w:ind w:right="108"/>
              <w:rPr>
                <w:sz w:val="20"/>
              </w:rPr>
            </w:pPr>
            <w:r>
              <w:rPr>
                <w:w w:val="95"/>
                <w:sz w:val="20"/>
              </w:rPr>
              <w:t>230</w:t>
            </w:r>
          </w:p>
        </w:tc>
      </w:tr>
      <w:tr>
        <w:trPr>
          <w:trHeight w:val="285" w:hRule="atLeast"/>
        </w:trPr>
        <w:tc>
          <w:tcPr>
            <w:tcW w:w="5571" w:type="dxa"/>
          </w:tcPr>
          <w:p>
            <w:pPr>
              <w:pStyle w:val="TableParagraph"/>
              <w:spacing w:before="16"/>
              <w:ind w:left="117"/>
              <w:jc w:val="left"/>
              <w:rPr>
                <w:b/>
                <w:sz w:val="20"/>
              </w:rPr>
            </w:pPr>
            <w:r>
              <w:rPr>
                <w:b/>
                <w:sz w:val="20"/>
              </w:rPr>
              <w:t>Government Employees Superannuation Board (GESB)</w:t>
            </w:r>
          </w:p>
        </w:tc>
        <w:tc>
          <w:tcPr>
            <w:tcW w:w="1389" w:type="dxa"/>
          </w:tcPr>
          <w:p>
            <w:pPr>
              <w:pStyle w:val="TableParagraph"/>
              <w:spacing w:before="16"/>
              <w:ind w:right="287"/>
              <w:rPr>
                <w:sz w:val="20"/>
              </w:rPr>
            </w:pPr>
            <w:r>
              <w:rPr>
                <w:w w:val="95"/>
                <w:sz w:val="20"/>
              </w:rPr>
              <w:t>256</w:t>
            </w:r>
          </w:p>
        </w:tc>
        <w:tc>
          <w:tcPr>
            <w:tcW w:w="1235" w:type="dxa"/>
          </w:tcPr>
          <w:p>
            <w:pPr>
              <w:pStyle w:val="TableParagraph"/>
              <w:spacing w:before="16"/>
              <w:ind w:right="106"/>
              <w:rPr>
                <w:sz w:val="20"/>
              </w:rPr>
            </w:pPr>
            <w:r>
              <w:rPr>
                <w:w w:val="95"/>
                <w:sz w:val="20"/>
              </w:rPr>
              <w:t>237</w:t>
            </w:r>
          </w:p>
        </w:tc>
        <w:tc>
          <w:tcPr>
            <w:tcW w:w="1848" w:type="dxa"/>
          </w:tcPr>
          <w:p>
            <w:pPr>
              <w:pStyle w:val="TableParagraph"/>
              <w:spacing w:before="16"/>
              <w:ind w:right="108"/>
              <w:rPr>
                <w:sz w:val="20"/>
              </w:rPr>
            </w:pPr>
            <w:r>
              <w:rPr>
                <w:w w:val="95"/>
                <w:sz w:val="20"/>
              </w:rPr>
              <w:t>225</w:t>
            </w:r>
          </w:p>
        </w:tc>
      </w:tr>
      <w:tr>
        <w:trPr>
          <w:trHeight w:val="285" w:hRule="atLeast"/>
        </w:trPr>
        <w:tc>
          <w:tcPr>
            <w:tcW w:w="5571" w:type="dxa"/>
            <w:shd w:val="clear" w:color="auto" w:fill="D2DFED"/>
          </w:tcPr>
          <w:p>
            <w:pPr>
              <w:pStyle w:val="TableParagraph"/>
              <w:spacing w:before="13"/>
              <w:ind w:left="117"/>
              <w:jc w:val="left"/>
              <w:rPr>
                <w:b/>
                <w:sz w:val="20"/>
              </w:rPr>
            </w:pPr>
            <w:r>
              <w:rPr>
                <w:b/>
                <w:sz w:val="20"/>
              </w:rPr>
              <w:t>Lotteries Commission (Lotterywest)</w:t>
            </w:r>
          </w:p>
        </w:tc>
        <w:tc>
          <w:tcPr>
            <w:tcW w:w="1389" w:type="dxa"/>
            <w:shd w:val="clear" w:color="auto" w:fill="D2DFED"/>
          </w:tcPr>
          <w:p>
            <w:pPr>
              <w:pStyle w:val="TableParagraph"/>
              <w:spacing w:before="13"/>
              <w:ind w:right="287"/>
              <w:rPr>
                <w:sz w:val="20"/>
              </w:rPr>
            </w:pPr>
            <w:r>
              <w:rPr>
                <w:w w:val="95"/>
                <w:sz w:val="20"/>
              </w:rPr>
              <w:t>201</w:t>
            </w:r>
          </w:p>
        </w:tc>
        <w:tc>
          <w:tcPr>
            <w:tcW w:w="1235" w:type="dxa"/>
            <w:shd w:val="clear" w:color="auto" w:fill="D2DFED"/>
          </w:tcPr>
          <w:p>
            <w:pPr>
              <w:pStyle w:val="TableParagraph"/>
              <w:spacing w:before="13"/>
              <w:ind w:right="106"/>
              <w:rPr>
                <w:sz w:val="20"/>
              </w:rPr>
            </w:pPr>
            <w:r>
              <w:rPr>
                <w:w w:val="95"/>
                <w:sz w:val="20"/>
              </w:rPr>
              <w:t>190</w:t>
            </w:r>
          </w:p>
        </w:tc>
        <w:tc>
          <w:tcPr>
            <w:tcW w:w="1848" w:type="dxa"/>
            <w:shd w:val="clear" w:color="auto" w:fill="D2DFED"/>
          </w:tcPr>
          <w:p>
            <w:pPr>
              <w:pStyle w:val="TableParagraph"/>
              <w:spacing w:before="13"/>
              <w:ind w:right="108"/>
              <w:rPr>
                <w:sz w:val="20"/>
              </w:rPr>
            </w:pPr>
            <w:r>
              <w:rPr>
                <w:w w:val="95"/>
                <w:sz w:val="20"/>
              </w:rPr>
              <w:t>188</w:t>
            </w:r>
          </w:p>
        </w:tc>
      </w:tr>
      <w:tr>
        <w:trPr>
          <w:trHeight w:val="283" w:hRule="atLeast"/>
        </w:trPr>
        <w:tc>
          <w:tcPr>
            <w:tcW w:w="5571" w:type="dxa"/>
          </w:tcPr>
          <w:p>
            <w:pPr>
              <w:pStyle w:val="TableParagraph"/>
              <w:spacing w:before="13"/>
              <w:ind w:left="117"/>
              <w:jc w:val="left"/>
              <w:rPr>
                <w:b/>
                <w:sz w:val="20"/>
              </w:rPr>
            </w:pPr>
            <w:r>
              <w:rPr>
                <w:b/>
                <w:sz w:val="20"/>
              </w:rPr>
              <w:t>Western Australian Land Authority (LandCorp)</w:t>
            </w:r>
          </w:p>
        </w:tc>
        <w:tc>
          <w:tcPr>
            <w:tcW w:w="1389" w:type="dxa"/>
          </w:tcPr>
          <w:p>
            <w:pPr>
              <w:pStyle w:val="TableParagraph"/>
              <w:spacing w:before="13"/>
              <w:ind w:right="287"/>
              <w:rPr>
                <w:sz w:val="20"/>
              </w:rPr>
            </w:pPr>
            <w:r>
              <w:rPr>
                <w:w w:val="95"/>
                <w:sz w:val="20"/>
              </w:rPr>
              <w:t>190</w:t>
            </w:r>
          </w:p>
        </w:tc>
        <w:tc>
          <w:tcPr>
            <w:tcW w:w="1235" w:type="dxa"/>
          </w:tcPr>
          <w:p>
            <w:pPr>
              <w:pStyle w:val="TableParagraph"/>
              <w:spacing w:before="13"/>
              <w:ind w:right="106"/>
              <w:rPr>
                <w:sz w:val="20"/>
              </w:rPr>
            </w:pPr>
            <w:r>
              <w:rPr>
                <w:w w:val="95"/>
                <w:sz w:val="20"/>
              </w:rPr>
              <w:t>183</w:t>
            </w:r>
          </w:p>
        </w:tc>
        <w:tc>
          <w:tcPr>
            <w:tcW w:w="1848" w:type="dxa"/>
          </w:tcPr>
          <w:p>
            <w:pPr>
              <w:pStyle w:val="TableParagraph"/>
              <w:spacing w:before="13"/>
              <w:ind w:right="108"/>
              <w:rPr>
                <w:sz w:val="20"/>
              </w:rPr>
            </w:pPr>
            <w:r>
              <w:rPr>
                <w:w w:val="95"/>
                <w:sz w:val="20"/>
              </w:rPr>
              <w:t>180</w:t>
            </w:r>
          </w:p>
        </w:tc>
      </w:tr>
      <w:tr>
        <w:trPr>
          <w:trHeight w:val="285" w:hRule="atLeast"/>
        </w:trPr>
        <w:tc>
          <w:tcPr>
            <w:tcW w:w="5571" w:type="dxa"/>
            <w:shd w:val="clear" w:color="auto" w:fill="D2DFED"/>
          </w:tcPr>
          <w:p>
            <w:pPr>
              <w:pStyle w:val="TableParagraph"/>
              <w:spacing w:before="16"/>
              <w:ind w:left="117"/>
              <w:jc w:val="left"/>
              <w:rPr>
                <w:b/>
                <w:sz w:val="20"/>
              </w:rPr>
            </w:pPr>
            <w:r>
              <w:rPr>
                <w:b/>
                <w:sz w:val="20"/>
              </w:rPr>
              <w:t>Rottnest Island Authority</w:t>
            </w:r>
          </w:p>
        </w:tc>
        <w:tc>
          <w:tcPr>
            <w:tcW w:w="1389" w:type="dxa"/>
            <w:shd w:val="clear" w:color="auto" w:fill="D2DFED"/>
          </w:tcPr>
          <w:p>
            <w:pPr>
              <w:pStyle w:val="TableParagraph"/>
              <w:spacing w:before="16"/>
              <w:ind w:right="287"/>
              <w:rPr>
                <w:sz w:val="20"/>
              </w:rPr>
            </w:pPr>
            <w:r>
              <w:rPr>
                <w:w w:val="95"/>
                <w:sz w:val="20"/>
              </w:rPr>
              <w:t>149</w:t>
            </w:r>
          </w:p>
        </w:tc>
        <w:tc>
          <w:tcPr>
            <w:tcW w:w="1235" w:type="dxa"/>
            <w:shd w:val="clear" w:color="auto" w:fill="D2DFED"/>
          </w:tcPr>
          <w:p>
            <w:pPr>
              <w:pStyle w:val="TableParagraph"/>
              <w:spacing w:before="16"/>
              <w:ind w:right="106"/>
              <w:rPr>
                <w:sz w:val="20"/>
              </w:rPr>
            </w:pPr>
            <w:r>
              <w:rPr>
                <w:w w:val="95"/>
                <w:sz w:val="20"/>
              </w:rPr>
              <w:t>125</w:t>
            </w:r>
          </w:p>
        </w:tc>
        <w:tc>
          <w:tcPr>
            <w:tcW w:w="1848" w:type="dxa"/>
            <w:shd w:val="clear" w:color="auto" w:fill="D2DFED"/>
          </w:tcPr>
          <w:p>
            <w:pPr>
              <w:pStyle w:val="TableParagraph"/>
              <w:spacing w:before="16"/>
              <w:ind w:right="108"/>
              <w:rPr>
                <w:sz w:val="20"/>
              </w:rPr>
            </w:pPr>
            <w:r>
              <w:rPr>
                <w:w w:val="95"/>
                <w:sz w:val="20"/>
              </w:rPr>
              <w:t>114</w:t>
            </w:r>
          </w:p>
        </w:tc>
      </w:tr>
      <w:tr>
        <w:trPr>
          <w:trHeight w:val="285" w:hRule="atLeast"/>
        </w:trPr>
        <w:tc>
          <w:tcPr>
            <w:tcW w:w="5571" w:type="dxa"/>
          </w:tcPr>
          <w:p>
            <w:pPr>
              <w:pStyle w:val="TableParagraph"/>
              <w:spacing w:before="16"/>
              <w:ind w:left="117"/>
              <w:jc w:val="left"/>
              <w:rPr>
                <w:b/>
                <w:sz w:val="20"/>
              </w:rPr>
            </w:pPr>
            <w:r>
              <w:rPr>
                <w:b/>
                <w:sz w:val="20"/>
              </w:rPr>
              <w:t>WorkCover Western Australia Authority</w:t>
            </w:r>
          </w:p>
        </w:tc>
        <w:tc>
          <w:tcPr>
            <w:tcW w:w="1389" w:type="dxa"/>
          </w:tcPr>
          <w:p>
            <w:pPr>
              <w:pStyle w:val="TableParagraph"/>
              <w:spacing w:before="16"/>
              <w:ind w:right="287"/>
              <w:rPr>
                <w:sz w:val="20"/>
              </w:rPr>
            </w:pPr>
            <w:r>
              <w:rPr>
                <w:w w:val="95"/>
                <w:sz w:val="20"/>
              </w:rPr>
              <w:t>143</w:t>
            </w:r>
          </w:p>
        </w:tc>
        <w:tc>
          <w:tcPr>
            <w:tcW w:w="1235" w:type="dxa"/>
          </w:tcPr>
          <w:p>
            <w:pPr>
              <w:pStyle w:val="TableParagraph"/>
              <w:spacing w:before="16"/>
              <w:ind w:right="106"/>
              <w:rPr>
                <w:sz w:val="20"/>
              </w:rPr>
            </w:pPr>
            <w:r>
              <w:rPr>
                <w:w w:val="95"/>
                <w:sz w:val="20"/>
              </w:rPr>
              <w:t>124</w:t>
            </w:r>
          </w:p>
        </w:tc>
        <w:tc>
          <w:tcPr>
            <w:tcW w:w="1848" w:type="dxa"/>
          </w:tcPr>
          <w:p>
            <w:pPr>
              <w:pStyle w:val="TableParagraph"/>
              <w:spacing w:before="16"/>
              <w:ind w:right="108"/>
              <w:rPr>
                <w:sz w:val="20"/>
              </w:rPr>
            </w:pPr>
            <w:r>
              <w:rPr>
                <w:w w:val="95"/>
                <w:sz w:val="20"/>
              </w:rPr>
              <w:t>123</w:t>
            </w:r>
          </w:p>
        </w:tc>
      </w:tr>
      <w:tr>
        <w:trPr>
          <w:trHeight w:val="285" w:hRule="atLeast"/>
        </w:trPr>
        <w:tc>
          <w:tcPr>
            <w:tcW w:w="5571" w:type="dxa"/>
            <w:shd w:val="clear" w:color="auto" w:fill="D2DFED"/>
          </w:tcPr>
          <w:p>
            <w:pPr>
              <w:pStyle w:val="TableParagraph"/>
              <w:spacing w:before="13"/>
              <w:ind w:left="117"/>
              <w:jc w:val="left"/>
              <w:rPr>
                <w:b/>
                <w:sz w:val="20"/>
              </w:rPr>
            </w:pPr>
            <w:r>
              <w:rPr>
                <w:b/>
                <w:sz w:val="20"/>
              </w:rPr>
              <w:t>Metropolitan Cemeteries Board</w:t>
            </w:r>
          </w:p>
        </w:tc>
        <w:tc>
          <w:tcPr>
            <w:tcW w:w="1389" w:type="dxa"/>
            <w:shd w:val="clear" w:color="auto" w:fill="D2DFED"/>
          </w:tcPr>
          <w:p>
            <w:pPr>
              <w:pStyle w:val="TableParagraph"/>
              <w:spacing w:before="13"/>
              <w:ind w:right="287"/>
              <w:rPr>
                <w:sz w:val="20"/>
              </w:rPr>
            </w:pPr>
            <w:r>
              <w:rPr>
                <w:w w:val="95"/>
                <w:sz w:val="20"/>
              </w:rPr>
              <w:t>137</w:t>
            </w:r>
          </w:p>
        </w:tc>
        <w:tc>
          <w:tcPr>
            <w:tcW w:w="1235" w:type="dxa"/>
            <w:shd w:val="clear" w:color="auto" w:fill="D2DFED"/>
          </w:tcPr>
          <w:p>
            <w:pPr>
              <w:pStyle w:val="TableParagraph"/>
              <w:spacing w:before="13"/>
              <w:ind w:right="106"/>
              <w:rPr>
                <w:sz w:val="20"/>
              </w:rPr>
            </w:pPr>
            <w:r>
              <w:rPr>
                <w:w w:val="95"/>
                <w:sz w:val="20"/>
              </w:rPr>
              <w:t>120</w:t>
            </w:r>
          </w:p>
        </w:tc>
        <w:tc>
          <w:tcPr>
            <w:tcW w:w="1848" w:type="dxa"/>
            <w:shd w:val="clear" w:color="auto" w:fill="D2DFED"/>
          </w:tcPr>
          <w:p>
            <w:pPr>
              <w:pStyle w:val="TableParagraph"/>
              <w:spacing w:before="13"/>
              <w:ind w:right="108"/>
              <w:rPr>
                <w:sz w:val="20"/>
              </w:rPr>
            </w:pPr>
            <w:r>
              <w:rPr>
                <w:w w:val="95"/>
                <w:sz w:val="20"/>
              </w:rPr>
              <w:t>106</w:t>
            </w:r>
          </w:p>
        </w:tc>
      </w:tr>
      <w:tr>
        <w:trPr>
          <w:trHeight w:val="283" w:hRule="atLeast"/>
        </w:trPr>
        <w:tc>
          <w:tcPr>
            <w:tcW w:w="5571" w:type="dxa"/>
          </w:tcPr>
          <w:p>
            <w:pPr>
              <w:pStyle w:val="TableParagraph"/>
              <w:spacing w:before="14"/>
              <w:ind w:left="117"/>
              <w:jc w:val="left"/>
              <w:rPr>
                <w:b/>
                <w:sz w:val="20"/>
              </w:rPr>
            </w:pPr>
            <w:r>
              <w:rPr>
                <w:b/>
                <w:sz w:val="20"/>
              </w:rPr>
              <w:t>Esperance Port Authority</w:t>
            </w:r>
          </w:p>
        </w:tc>
        <w:tc>
          <w:tcPr>
            <w:tcW w:w="1389" w:type="dxa"/>
          </w:tcPr>
          <w:p>
            <w:pPr>
              <w:pStyle w:val="TableParagraph"/>
              <w:spacing w:before="14"/>
              <w:ind w:right="287"/>
              <w:rPr>
                <w:sz w:val="20"/>
              </w:rPr>
            </w:pPr>
            <w:r>
              <w:rPr>
                <w:w w:val="95"/>
                <w:sz w:val="20"/>
              </w:rPr>
              <w:t>108</w:t>
            </w:r>
          </w:p>
        </w:tc>
        <w:tc>
          <w:tcPr>
            <w:tcW w:w="1235" w:type="dxa"/>
          </w:tcPr>
          <w:p>
            <w:pPr>
              <w:pStyle w:val="TableParagraph"/>
              <w:spacing w:before="14"/>
              <w:ind w:right="106"/>
              <w:rPr>
                <w:sz w:val="20"/>
              </w:rPr>
            </w:pPr>
            <w:r>
              <w:rPr>
                <w:w w:val="95"/>
                <w:sz w:val="20"/>
              </w:rPr>
              <w:t>107</w:t>
            </w:r>
          </w:p>
        </w:tc>
        <w:tc>
          <w:tcPr>
            <w:tcW w:w="1848" w:type="dxa"/>
          </w:tcPr>
          <w:p>
            <w:pPr>
              <w:pStyle w:val="TableParagraph"/>
              <w:spacing w:before="14"/>
              <w:ind w:right="108"/>
              <w:rPr>
                <w:sz w:val="20"/>
              </w:rPr>
            </w:pPr>
            <w:r>
              <w:rPr>
                <w:w w:val="95"/>
                <w:sz w:val="20"/>
              </w:rPr>
              <w:t>107</w:t>
            </w:r>
          </w:p>
        </w:tc>
      </w:tr>
      <w:tr>
        <w:trPr>
          <w:trHeight w:val="489" w:hRule="atLeast"/>
        </w:trPr>
        <w:tc>
          <w:tcPr>
            <w:tcW w:w="5571" w:type="dxa"/>
            <w:shd w:val="clear" w:color="auto" w:fill="D2DFED"/>
          </w:tcPr>
          <w:p>
            <w:pPr>
              <w:pStyle w:val="TableParagraph"/>
              <w:spacing w:line="239" w:lineRule="exact" w:before="0"/>
              <w:ind w:left="117"/>
              <w:jc w:val="left"/>
              <w:rPr>
                <w:b/>
                <w:sz w:val="20"/>
              </w:rPr>
            </w:pPr>
            <w:r>
              <w:rPr>
                <w:b/>
                <w:sz w:val="20"/>
              </w:rPr>
              <w:t>Builders’ Registration Board of Western Australia and</w:t>
            </w:r>
          </w:p>
          <w:p>
            <w:pPr>
              <w:pStyle w:val="TableParagraph"/>
              <w:spacing w:line="230" w:lineRule="exact" w:before="0"/>
              <w:ind w:left="117"/>
              <w:jc w:val="left"/>
              <w:rPr>
                <w:b/>
                <w:sz w:val="20"/>
              </w:rPr>
            </w:pPr>
            <w:r>
              <w:rPr>
                <w:b/>
                <w:sz w:val="20"/>
              </w:rPr>
              <w:t>Painters’ Registration Board</w:t>
            </w:r>
          </w:p>
        </w:tc>
        <w:tc>
          <w:tcPr>
            <w:tcW w:w="1389" w:type="dxa"/>
            <w:shd w:val="clear" w:color="auto" w:fill="D2DFED"/>
          </w:tcPr>
          <w:p>
            <w:pPr>
              <w:pStyle w:val="TableParagraph"/>
              <w:spacing w:before="116"/>
              <w:ind w:right="285"/>
              <w:rPr>
                <w:sz w:val="20"/>
              </w:rPr>
            </w:pPr>
            <w:r>
              <w:rPr>
                <w:w w:val="95"/>
                <w:sz w:val="20"/>
              </w:rPr>
              <w:t>73</w:t>
            </w:r>
          </w:p>
        </w:tc>
        <w:tc>
          <w:tcPr>
            <w:tcW w:w="1235" w:type="dxa"/>
            <w:shd w:val="clear" w:color="auto" w:fill="D2DFED"/>
          </w:tcPr>
          <w:p>
            <w:pPr>
              <w:pStyle w:val="TableParagraph"/>
              <w:spacing w:before="116"/>
              <w:ind w:right="104"/>
              <w:rPr>
                <w:sz w:val="20"/>
              </w:rPr>
            </w:pPr>
            <w:r>
              <w:rPr>
                <w:w w:val="95"/>
                <w:sz w:val="20"/>
              </w:rPr>
              <w:t>65</w:t>
            </w:r>
          </w:p>
        </w:tc>
        <w:tc>
          <w:tcPr>
            <w:tcW w:w="1848" w:type="dxa"/>
            <w:shd w:val="clear" w:color="auto" w:fill="D2DFED"/>
          </w:tcPr>
          <w:p>
            <w:pPr>
              <w:pStyle w:val="TableParagraph"/>
              <w:spacing w:before="116"/>
              <w:ind w:right="105"/>
              <w:rPr>
                <w:sz w:val="20"/>
              </w:rPr>
            </w:pPr>
            <w:r>
              <w:rPr>
                <w:w w:val="95"/>
                <w:sz w:val="20"/>
              </w:rPr>
              <w:t>60</w:t>
            </w:r>
          </w:p>
        </w:tc>
      </w:tr>
      <w:tr>
        <w:trPr>
          <w:trHeight w:val="285" w:hRule="atLeast"/>
        </w:trPr>
        <w:tc>
          <w:tcPr>
            <w:tcW w:w="5571" w:type="dxa"/>
          </w:tcPr>
          <w:p>
            <w:pPr>
              <w:pStyle w:val="TableParagraph"/>
              <w:spacing w:before="13"/>
              <w:ind w:left="117"/>
              <w:jc w:val="left"/>
              <w:rPr>
                <w:b/>
                <w:sz w:val="20"/>
              </w:rPr>
            </w:pPr>
            <w:r>
              <w:rPr>
                <w:b/>
                <w:sz w:val="20"/>
              </w:rPr>
              <w:t>Broome Port Authority</w:t>
            </w:r>
          </w:p>
        </w:tc>
        <w:tc>
          <w:tcPr>
            <w:tcW w:w="1389" w:type="dxa"/>
          </w:tcPr>
          <w:p>
            <w:pPr>
              <w:pStyle w:val="TableParagraph"/>
              <w:spacing w:before="13"/>
              <w:ind w:right="285"/>
              <w:rPr>
                <w:sz w:val="20"/>
              </w:rPr>
            </w:pPr>
            <w:r>
              <w:rPr>
                <w:w w:val="95"/>
                <w:sz w:val="20"/>
              </w:rPr>
              <w:t>77</w:t>
            </w:r>
          </w:p>
        </w:tc>
        <w:tc>
          <w:tcPr>
            <w:tcW w:w="1235" w:type="dxa"/>
          </w:tcPr>
          <w:p>
            <w:pPr>
              <w:pStyle w:val="TableParagraph"/>
              <w:spacing w:before="13"/>
              <w:ind w:right="104"/>
              <w:rPr>
                <w:sz w:val="20"/>
              </w:rPr>
            </w:pPr>
            <w:r>
              <w:rPr>
                <w:w w:val="95"/>
                <w:sz w:val="20"/>
              </w:rPr>
              <w:t>64</w:t>
            </w:r>
          </w:p>
        </w:tc>
        <w:tc>
          <w:tcPr>
            <w:tcW w:w="1848" w:type="dxa"/>
          </w:tcPr>
          <w:p>
            <w:pPr>
              <w:pStyle w:val="TableParagraph"/>
              <w:spacing w:before="13"/>
              <w:ind w:right="105"/>
              <w:rPr>
                <w:sz w:val="20"/>
              </w:rPr>
            </w:pPr>
            <w:r>
              <w:rPr>
                <w:w w:val="95"/>
                <w:sz w:val="20"/>
              </w:rPr>
              <w:t>48</w:t>
            </w:r>
          </w:p>
        </w:tc>
      </w:tr>
      <w:tr>
        <w:trPr>
          <w:trHeight w:val="283" w:hRule="atLeast"/>
        </w:trPr>
        <w:tc>
          <w:tcPr>
            <w:tcW w:w="5571" w:type="dxa"/>
            <w:shd w:val="clear" w:color="auto" w:fill="D2DFED"/>
          </w:tcPr>
          <w:p>
            <w:pPr>
              <w:pStyle w:val="TableParagraph"/>
              <w:spacing w:before="13"/>
              <w:ind w:left="117"/>
              <w:jc w:val="left"/>
              <w:rPr>
                <w:b/>
                <w:sz w:val="20"/>
              </w:rPr>
            </w:pPr>
            <w:r>
              <w:rPr>
                <w:b/>
                <w:sz w:val="20"/>
              </w:rPr>
              <w:t>Animal Resources Authority</w:t>
            </w:r>
          </w:p>
        </w:tc>
        <w:tc>
          <w:tcPr>
            <w:tcW w:w="1389" w:type="dxa"/>
            <w:shd w:val="clear" w:color="auto" w:fill="D2DFED"/>
          </w:tcPr>
          <w:p>
            <w:pPr>
              <w:pStyle w:val="TableParagraph"/>
              <w:spacing w:before="13"/>
              <w:ind w:right="285"/>
              <w:rPr>
                <w:sz w:val="20"/>
              </w:rPr>
            </w:pPr>
            <w:r>
              <w:rPr>
                <w:w w:val="95"/>
                <w:sz w:val="20"/>
              </w:rPr>
              <w:t>74</w:t>
            </w:r>
          </w:p>
        </w:tc>
        <w:tc>
          <w:tcPr>
            <w:tcW w:w="1235" w:type="dxa"/>
            <w:shd w:val="clear" w:color="auto" w:fill="D2DFED"/>
          </w:tcPr>
          <w:p>
            <w:pPr>
              <w:pStyle w:val="TableParagraph"/>
              <w:spacing w:before="13"/>
              <w:ind w:right="104"/>
              <w:rPr>
                <w:sz w:val="20"/>
              </w:rPr>
            </w:pPr>
            <w:r>
              <w:rPr>
                <w:w w:val="95"/>
                <w:sz w:val="20"/>
              </w:rPr>
              <w:t>61</w:t>
            </w:r>
          </w:p>
        </w:tc>
        <w:tc>
          <w:tcPr>
            <w:tcW w:w="1848" w:type="dxa"/>
            <w:shd w:val="clear" w:color="auto" w:fill="D2DFED"/>
          </w:tcPr>
          <w:p>
            <w:pPr>
              <w:pStyle w:val="TableParagraph"/>
              <w:spacing w:before="13"/>
              <w:ind w:right="105"/>
              <w:rPr>
                <w:sz w:val="20"/>
              </w:rPr>
            </w:pPr>
            <w:r>
              <w:rPr>
                <w:w w:val="95"/>
                <w:sz w:val="20"/>
              </w:rPr>
              <w:t>61</w:t>
            </w:r>
          </w:p>
        </w:tc>
      </w:tr>
      <w:tr>
        <w:trPr>
          <w:trHeight w:val="285" w:hRule="atLeast"/>
        </w:trPr>
        <w:tc>
          <w:tcPr>
            <w:tcW w:w="5571" w:type="dxa"/>
          </w:tcPr>
          <w:p>
            <w:pPr>
              <w:pStyle w:val="TableParagraph"/>
              <w:spacing w:before="16"/>
              <w:ind w:left="117"/>
              <w:jc w:val="left"/>
              <w:rPr>
                <w:b/>
                <w:sz w:val="20"/>
              </w:rPr>
            </w:pPr>
            <w:r>
              <w:rPr>
                <w:b/>
                <w:sz w:val="20"/>
              </w:rPr>
              <w:t>Western Australian Treasury Corporation</w:t>
            </w:r>
          </w:p>
        </w:tc>
        <w:tc>
          <w:tcPr>
            <w:tcW w:w="1389" w:type="dxa"/>
          </w:tcPr>
          <w:p>
            <w:pPr>
              <w:pStyle w:val="TableParagraph"/>
              <w:spacing w:before="16"/>
              <w:ind w:right="285"/>
              <w:rPr>
                <w:sz w:val="20"/>
              </w:rPr>
            </w:pPr>
            <w:r>
              <w:rPr>
                <w:w w:val="95"/>
                <w:sz w:val="20"/>
              </w:rPr>
              <w:t>62</w:t>
            </w:r>
          </w:p>
        </w:tc>
        <w:tc>
          <w:tcPr>
            <w:tcW w:w="1235" w:type="dxa"/>
          </w:tcPr>
          <w:p>
            <w:pPr>
              <w:pStyle w:val="TableParagraph"/>
              <w:spacing w:before="16"/>
              <w:ind w:right="104"/>
              <w:rPr>
                <w:sz w:val="20"/>
              </w:rPr>
            </w:pPr>
            <w:r>
              <w:rPr>
                <w:w w:val="95"/>
                <w:sz w:val="20"/>
              </w:rPr>
              <w:t>59</w:t>
            </w:r>
          </w:p>
        </w:tc>
        <w:tc>
          <w:tcPr>
            <w:tcW w:w="1848" w:type="dxa"/>
          </w:tcPr>
          <w:p>
            <w:pPr>
              <w:pStyle w:val="TableParagraph"/>
              <w:spacing w:before="16"/>
              <w:ind w:right="105"/>
              <w:rPr>
                <w:sz w:val="20"/>
              </w:rPr>
            </w:pPr>
            <w:r>
              <w:rPr>
                <w:w w:val="95"/>
                <w:sz w:val="20"/>
              </w:rPr>
              <w:t>59</w:t>
            </w:r>
          </w:p>
        </w:tc>
      </w:tr>
      <w:tr>
        <w:trPr>
          <w:trHeight w:val="285" w:hRule="atLeast"/>
        </w:trPr>
        <w:tc>
          <w:tcPr>
            <w:tcW w:w="5571" w:type="dxa"/>
            <w:shd w:val="clear" w:color="auto" w:fill="D2DFED"/>
          </w:tcPr>
          <w:p>
            <w:pPr>
              <w:pStyle w:val="TableParagraph"/>
              <w:spacing w:before="16"/>
              <w:ind w:left="117"/>
              <w:jc w:val="left"/>
              <w:rPr>
                <w:b/>
                <w:sz w:val="20"/>
              </w:rPr>
            </w:pPr>
            <w:r>
              <w:rPr>
                <w:b/>
                <w:sz w:val="20"/>
              </w:rPr>
              <w:t>Geraldton Port Authority</w:t>
            </w:r>
          </w:p>
        </w:tc>
        <w:tc>
          <w:tcPr>
            <w:tcW w:w="1389" w:type="dxa"/>
            <w:shd w:val="clear" w:color="auto" w:fill="D2DFED"/>
          </w:tcPr>
          <w:p>
            <w:pPr>
              <w:pStyle w:val="TableParagraph"/>
              <w:spacing w:before="16"/>
              <w:ind w:right="285"/>
              <w:rPr>
                <w:sz w:val="20"/>
              </w:rPr>
            </w:pPr>
            <w:r>
              <w:rPr>
                <w:w w:val="95"/>
                <w:sz w:val="20"/>
              </w:rPr>
              <w:t>57</w:t>
            </w:r>
          </w:p>
        </w:tc>
        <w:tc>
          <w:tcPr>
            <w:tcW w:w="1235" w:type="dxa"/>
            <w:shd w:val="clear" w:color="auto" w:fill="D2DFED"/>
          </w:tcPr>
          <w:p>
            <w:pPr>
              <w:pStyle w:val="TableParagraph"/>
              <w:spacing w:before="16"/>
              <w:ind w:right="104"/>
              <w:rPr>
                <w:sz w:val="20"/>
              </w:rPr>
            </w:pPr>
            <w:r>
              <w:rPr>
                <w:w w:val="95"/>
                <w:sz w:val="20"/>
              </w:rPr>
              <w:t>55</w:t>
            </w:r>
          </w:p>
        </w:tc>
        <w:tc>
          <w:tcPr>
            <w:tcW w:w="1848" w:type="dxa"/>
            <w:shd w:val="clear" w:color="auto" w:fill="D2DFED"/>
          </w:tcPr>
          <w:p>
            <w:pPr>
              <w:pStyle w:val="TableParagraph"/>
              <w:spacing w:before="16"/>
              <w:ind w:right="105"/>
              <w:rPr>
                <w:sz w:val="20"/>
              </w:rPr>
            </w:pPr>
            <w:r>
              <w:rPr>
                <w:w w:val="95"/>
                <w:sz w:val="20"/>
              </w:rPr>
              <w:t>55</w:t>
            </w:r>
          </w:p>
        </w:tc>
      </w:tr>
      <w:tr>
        <w:trPr>
          <w:trHeight w:val="487" w:hRule="atLeast"/>
        </w:trPr>
        <w:tc>
          <w:tcPr>
            <w:tcW w:w="5571" w:type="dxa"/>
          </w:tcPr>
          <w:p>
            <w:pPr>
              <w:pStyle w:val="TableParagraph"/>
              <w:spacing w:line="239" w:lineRule="exact" w:before="0"/>
              <w:ind w:left="117"/>
              <w:jc w:val="left"/>
              <w:rPr>
                <w:b/>
                <w:sz w:val="20"/>
              </w:rPr>
            </w:pPr>
            <w:r>
              <w:rPr>
                <w:b/>
                <w:sz w:val="20"/>
              </w:rPr>
              <w:t>East Perth Redevelopment Authority and Subiaco</w:t>
            </w:r>
          </w:p>
          <w:p>
            <w:pPr>
              <w:pStyle w:val="TableParagraph"/>
              <w:spacing w:line="228" w:lineRule="exact" w:before="0"/>
              <w:ind w:left="117"/>
              <w:jc w:val="left"/>
              <w:rPr>
                <w:b/>
                <w:sz w:val="20"/>
              </w:rPr>
            </w:pPr>
            <w:r>
              <w:rPr>
                <w:b/>
                <w:sz w:val="20"/>
              </w:rPr>
              <w:t>Redevelopment Authority</w:t>
            </w:r>
          </w:p>
        </w:tc>
        <w:tc>
          <w:tcPr>
            <w:tcW w:w="1389" w:type="dxa"/>
          </w:tcPr>
          <w:p>
            <w:pPr>
              <w:pStyle w:val="TableParagraph"/>
              <w:spacing w:before="116"/>
              <w:ind w:right="285"/>
              <w:rPr>
                <w:sz w:val="20"/>
              </w:rPr>
            </w:pPr>
            <w:r>
              <w:rPr>
                <w:w w:val="95"/>
                <w:sz w:val="20"/>
              </w:rPr>
              <w:t>54</w:t>
            </w:r>
          </w:p>
        </w:tc>
        <w:tc>
          <w:tcPr>
            <w:tcW w:w="1235" w:type="dxa"/>
          </w:tcPr>
          <w:p>
            <w:pPr>
              <w:pStyle w:val="TableParagraph"/>
              <w:spacing w:before="116"/>
              <w:ind w:right="104"/>
              <w:rPr>
                <w:sz w:val="20"/>
              </w:rPr>
            </w:pPr>
            <w:r>
              <w:rPr>
                <w:w w:val="95"/>
                <w:sz w:val="20"/>
              </w:rPr>
              <w:t>48</w:t>
            </w:r>
          </w:p>
        </w:tc>
        <w:tc>
          <w:tcPr>
            <w:tcW w:w="1848" w:type="dxa"/>
          </w:tcPr>
          <w:p>
            <w:pPr>
              <w:pStyle w:val="TableParagraph"/>
              <w:spacing w:before="116"/>
              <w:ind w:right="105"/>
              <w:rPr>
                <w:sz w:val="20"/>
              </w:rPr>
            </w:pPr>
            <w:r>
              <w:rPr>
                <w:w w:val="95"/>
                <w:sz w:val="20"/>
              </w:rPr>
              <w:t>50</w:t>
            </w:r>
          </w:p>
        </w:tc>
      </w:tr>
      <w:tr>
        <w:trPr>
          <w:trHeight w:val="285" w:hRule="atLeast"/>
        </w:trPr>
        <w:tc>
          <w:tcPr>
            <w:tcW w:w="5571" w:type="dxa"/>
            <w:shd w:val="clear" w:color="auto" w:fill="D2DFED"/>
          </w:tcPr>
          <w:p>
            <w:pPr>
              <w:pStyle w:val="TableParagraph"/>
              <w:spacing w:before="16"/>
              <w:ind w:left="117"/>
              <w:jc w:val="left"/>
              <w:rPr>
                <w:b/>
                <w:sz w:val="20"/>
              </w:rPr>
            </w:pPr>
            <w:r>
              <w:rPr>
                <w:b/>
                <w:sz w:val="20"/>
              </w:rPr>
              <w:t>Legal Practice Board</w:t>
            </w:r>
          </w:p>
        </w:tc>
        <w:tc>
          <w:tcPr>
            <w:tcW w:w="1389" w:type="dxa"/>
            <w:shd w:val="clear" w:color="auto" w:fill="D2DFED"/>
          </w:tcPr>
          <w:p>
            <w:pPr>
              <w:pStyle w:val="TableParagraph"/>
              <w:spacing w:before="16"/>
              <w:ind w:right="285"/>
              <w:rPr>
                <w:sz w:val="20"/>
              </w:rPr>
            </w:pPr>
            <w:r>
              <w:rPr>
                <w:w w:val="95"/>
                <w:sz w:val="20"/>
              </w:rPr>
              <w:t>59</w:t>
            </w:r>
          </w:p>
        </w:tc>
        <w:tc>
          <w:tcPr>
            <w:tcW w:w="1235" w:type="dxa"/>
            <w:shd w:val="clear" w:color="auto" w:fill="D2DFED"/>
          </w:tcPr>
          <w:p>
            <w:pPr>
              <w:pStyle w:val="TableParagraph"/>
              <w:spacing w:before="16"/>
              <w:ind w:right="104"/>
              <w:rPr>
                <w:sz w:val="20"/>
              </w:rPr>
            </w:pPr>
            <w:r>
              <w:rPr>
                <w:w w:val="95"/>
                <w:sz w:val="20"/>
              </w:rPr>
              <w:t>46</w:t>
            </w:r>
          </w:p>
        </w:tc>
        <w:tc>
          <w:tcPr>
            <w:tcW w:w="1848" w:type="dxa"/>
            <w:shd w:val="clear" w:color="auto" w:fill="D2DFED"/>
          </w:tcPr>
          <w:p>
            <w:pPr>
              <w:pStyle w:val="TableParagraph"/>
              <w:spacing w:before="16"/>
              <w:ind w:right="105"/>
              <w:rPr>
                <w:sz w:val="20"/>
              </w:rPr>
            </w:pPr>
            <w:r>
              <w:rPr>
                <w:w w:val="95"/>
                <w:sz w:val="20"/>
              </w:rPr>
              <w:t>43</w:t>
            </w:r>
          </w:p>
        </w:tc>
      </w:tr>
      <w:tr>
        <w:trPr>
          <w:trHeight w:val="285" w:hRule="atLeast"/>
        </w:trPr>
        <w:tc>
          <w:tcPr>
            <w:tcW w:w="5571" w:type="dxa"/>
          </w:tcPr>
          <w:p>
            <w:pPr>
              <w:pStyle w:val="TableParagraph"/>
              <w:spacing w:before="16"/>
              <w:ind w:left="117"/>
              <w:jc w:val="left"/>
              <w:rPr>
                <w:b/>
                <w:sz w:val="20"/>
              </w:rPr>
            </w:pPr>
            <w:r>
              <w:rPr>
                <w:b/>
                <w:sz w:val="20"/>
              </w:rPr>
              <w:t>Western Australian Institute of Sport</w:t>
            </w:r>
          </w:p>
        </w:tc>
        <w:tc>
          <w:tcPr>
            <w:tcW w:w="1389" w:type="dxa"/>
          </w:tcPr>
          <w:p>
            <w:pPr>
              <w:pStyle w:val="TableParagraph"/>
              <w:spacing w:before="16"/>
              <w:ind w:right="285"/>
              <w:rPr>
                <w:sz w:val="20"/>
              </w:rPr>
            </w:pPr>
            <w:r>
              <w:rPr>
                <w:w w:val="95"/>
                <w:sz w:val="20"/>
              </w:rPr>
              <w:t>47</w:t>
            </w:r>
          </w:p>
        </w:tc>
        <w:tc>
          <w:tcPr>
            <w:tcW w:w="1235" w:type="dxa"/>
          </w:tcPr>
          <w:p>
            <w:pPr>
              <w:pStyle w:val="TableParagraph"/>
              <w:spacing w:before="16"/>
              <w:ind w:right="104"/>
              <w:rPr>
                <w:sz w:val="20"/>
              </w:rPr>
            </w:pPr>
            <w:r>
              <w:rPr>
                <w:w w:val="95"/>
                <w:sz w:val="20"/>
              </w:rPr>
              <w:t>44</w:t>
            </w:r>
          </w:p>
        </w:tc>
        <w:tc>
          <w:tcPr>
            <w:tcW w:w="1848" w:type="dxa"/>
          </w:tcPr>
          <w:p>
            <w:pPr>
              <w:pStyle w:val="TableParagraph"/>
              <w:spacing w:before="16"/>
              <w:ind w:right="105"/>
              <w:rPr>
                <w:sz w:val="20"/>
              </w:rPr>
            </w:pPr>
            <w:r>
              <w:rPr>
                <w:w w:val="95"/>
                <w:sz w:val="20"/>
              </w:rPr>
              <w:t>45</w:t>
            </w:r>
          </w:p>
        </w:tc>
      </w:tr>
      <w:tr>
        <w:trPr>
          <w:trHeight w:val="285" w:hRule="atLeast"/>
        </w:trPr>
        <w:tc>
          <w:tcPr>
            <w:tcW w:w="5571" w:type="dxa"/>
            <w:shd w:val="clear" w:color="auto" w:fill="D2DFED"/>
          </w:tcPr>
          <w:p>
            <w:pPr>
              <w:pStyle w:val="TableParagraph"/>
              <w:spacing w:before="13"/>
              <w:ind w:left="117"/>
              <w:jc w:val="left"/>
              <w:rPr>
                <w:b/>
                <w:sz w:val="20"/>
              </w:rPr>
            </w:pPr>
            <w:r>
              <w:rPr>
                <w:b/>
                <w:sz w:val="20"/>
              </w:rPr>
              <w:t>Western Australian Greyhound Racing Association</w:t>
            </w:r>
          </w:p>
        </w:tc>
        <w:tc>
          <w:tcPr>
            <w:tcW w:w="1389" w:type="dxa"/>
            <w:shd w:val="clear" w:color="auto" w:fill="D2DFED"/>
          </w:tcPr>
          <w:p>
            <w:pPr>
              <w:pStyle w:val="TableParagraph"/>
              <w:spacing w:before="13"/>
              <w:ind w:right="285"/>
              <w:rPr>
                <w:sz w:val="20"/>
              </w:rPr>
            </w:pPr>
            <w:r>
              <w:rPr>
                <w:w w:val="95"/>
                <w:sz w:val="20"/>
              </w:rPr>
              <w:t>45</w:t>
            </w:r>
          </w:p>
        </w:tc>
        <w:tc>
          <w:tcPr>
            <w:tcW w:w="1235" w:type="dxa"/>
            <w:shd w:val="clear" w:color="auto" w:fill="D2DFED"/>
          </w:tcPr>
          <w:p>
            <w:pPr>
              <w:pStyle w:val="TableParagraph"/>
              <w:spacing w:before="13"/>
              <w:ind w:right="104"/>
              <w:rPr>
                <w:sz w:val="20"/>
              </w:rPr>
            </w:pPr>
            <w:r>
              <w:rPr>
                <w:w w:val="95"/>
                <w:sz w:val="20"/>
              </w:rPr>
              <w:t>43</w:t>
            </w:r>
          </w:p>
        </w:tc>
        <w:tc>
          <w:tcPr>
            <w:tcW w:w="1848" w:type="dxa"/>
            <w:shd w:val="clear" w:color="auto" w:fill="D2DFED"/>
          </w:tcPr>
          <w:p>
            <w:pPr>
              <w:pStyle w:val="TableParagraph"/>
              <w:spacing w:before="13"/>
              <w:ind w:right="105"/>
              <w:rPr>
                <w:sz w:val="20"/>
              </w:rPr>
            </w:pPr>
            <w:r>
              <w:rPr>
                <w:w w:val="95"/>
                <w:sz w:val="20"/>
              </w:rPr>
              <w:t>42</w:t>
            </w:r>
          </w:p>
        </w:tc>
      </w:tr>
      <w:tr>
        <w:trPr>
          <w:trHeight w:val="283" w:hRule="atLeast"/>
        </w:trPr>
        <w:tc>
          <w:tcPr>
            <w:tcW w:w="5571" w:type="dxa"/>
          </w:tcPr>
          <w:p>
            <w:pPr>
              <w:pStyle w:val="TableParagraph"/>
              <w:spacing w:before="14"/>
              <w:ind w:left="117"/>
              <w:jc w:val="left"/>
              <w:rPr>
                <w:b/>
                <w:sz w:val="20"/>
              </w:rPr>
            </w:pPr>
            <w:r>
              <w:rPr>
                <w:b/>
                <w:sz w:val="20"/>
              </w:rPr>
              <w:t>Western Australian College of Teaching</w:t>
            </w:r>
          </w:p>
        </w:tc>
        <w:tc>
          <w:tcPr>
            <w:tcW w:w="1389" w:type="dxa"/>
          </w:tcPr>
          <w:p>
            <w:pPr>
              <w:pStyle w:val="TableParagraph"/>
              <w:spacing w:before="14"/>
              <w:ind w:right="285"/>
              <w:rPr>
                <w:sz w:val="20"/>
              </w:rPr>
            </w:pPr>
            <w:r>
              <w:rPr>
                <w:w w:val="95"/>
                <w:sz w:val="20"/>
              </w:rPr>
              <w:t>50</w:t>
            </w:r>
          </w:p>
        </w:tc>
        <w:tc>
          <w:tcPr>
            <w:tcW w:w="1235" w:type="dxa"/>
          </w:tcPr>
          <w:p>
            <w:pPr>
              <w:pStyle w:val="TableParagraph"/>
              <w:spacing w:before="14"/>
              <w:ind w:right="104"/>
              <w:rPr>
                <w:sz w:val="20"/>
              </w:rPr>
            </w:pPr>
            <w:r>
              <w:rPr>
                <w:w w:val="95"/>
                <w:sz w:val="20"/>
              </w:rPr>
              <w:t>43</w:t>
            </w:r>
          </w:p>
        </w:tc>
        <w:tc>
          <w:tcPr>
            <w:tcW w:w="1848" w:type="dxa"/>
          </w:tcPr>
          <w:p>
            <w:pPr>
              <w:pStyle w:val="TableParagraph"/>
              <w:spacing w:before="14"/>
              <w:ind w:right="105"/>
              <w:rPr>
                <w:sz w:val="20"/>
              </w:rPr>
            </w:pPr>
            <w:r>
              <w:rPr>
                <w:w w:val="95"/>
                <w:sz w:val="20"/>
              </w:rPr>
              <w:t>41</w:t>
            </w:r>
          </w:p>
        </w:tc>
      </w:tr>
      <w:tr>
        <w:trPr>
          <w:trHeight w:val="285" w:hRule="atLeast"/>
        </w:trPr>
        <w:tc>
          <w:tcPr>
            <w:tcW w:w="5571" w:type="dxa"/>
            <w:shd w:val="clear" w:color="auto" w:fill="D2DFED"/>
          </w:tcPr>
          <w:p>
            <w:pPr>
              <w:pStyle w:val="TableParagraph"/>
              <w:spacing w:before="16"/>
              <w:ind w:left="117"/>
              <w:jc w:val="left"/>
              <w:rPr>
                <w:b/>
                <w:sz w:val="20"/>
              </w:rPr>
            </w:pPr>
            <w:r>
              <w:rPr>
                <w:b/>
                <w:sz w:val="20"/>
              </w:rPr>
              <w:t>Port Hedland Port Authority</w:t>
            </w:r>
          </w:p>
        </w:tc>
        <w:tc>
          <w:tcPr>
            <w:tcW w:w="1389" w:type="dxa"/>
            <w:shd w:val="clear" w:color="auto" w:fill="D2DFED"/>
          </w:tcPr>
          <w:p>
            <w:pPr>
              <w:pStyle w:val="TableParagraph"/>
              <w:spacing w:before="16"/>
              <w:ind w:right="285"/>
              <w:rPr>
                <w:sz w:val="20"/>
              </w:rPr>
            </w:pPr>
            <w:r>
              <w:rPr>
                <w:w w:val="95"/>
                <w:sz w:val="20"/>
              </w:rPr>
              <w:t>36</w:t>
            </w:r>
          </w:p>
        </w:tc>
        <w:tc>
          <w:tcPr>
            <w:tcW w:w="1235" w:type="dxa"/>
            <w:shd w:val="clear" w:color="auto" w:fill="D2DFED"/>
          </w:tcPr>
          <w:p>
            <w:pPr>
              <w:pStyle w:val="TableParagraph"/>
              <w:spacing w:before="16"/>
              <w:ind w:right="104"/>
              <w:rPr>
                <w:sz w:val="20"/>
              </w:rPr>
            </w:pPr>
            <w:r>
              <w:rPr>
                <w:w w:val="95"/>
                <w:sz w:val="20"/>
              </w:rPr>
              <w:t>36</w:t>
            </w:r>
          </w:p>
        </w:tc>
        <w:tc>
          <w:tcPr>
            <w:tcW w:w="1848" w:type="dxa"/>
            <w:shd w:val="clear" w:color="auto" w:fill="D2DFED"/>
          </w:tcPr>
          <w:p>
            <w:pPr>
              <w:pStyle w:val="TableParagraph"/>
              <w:spacing w:before="16"/>
              <w:ind w:right="105"/>
              <w:rPr>
                <w:sz w:val="20"/>
              </w:rPr>
            </w:pPr>
            <w:r>
              <w:rPr>
                <w:w w:val="95"/>
                <w:sz w:val="20"/>
              </w:rPr>
              <w:t>34</w:t>
            </w:r>
          </w:p>
        </w:tc>
      </w:tr>
      <w:tr>
        <w:trPr>
          <w:trHeight w:val="285" w:hRule="atLeast"/>
        </w:trPr>
        <w:tc>
          <w:tcPr>
            <w:tcW w:w="5571" w:type="dxa"/>
          </w:tcPr>
          <w:p>
            <w:pPr>
              <w:pStyle w:val="TableParagraph"/>
              <w:spacing w:before="16"/>
              <w:ind w:left="117"/>
              <w:jc w:val="left"/>
              <w:rPr>
                <w:b/>
                <w:sz w:val="20"/>
              </w:rPr>
            </w:pPr>
            <w:r>
              <w:rPr>
                <w:b/>
                <w:sz w:val="20"/>
              </w:rPr>
              <w:t>Bunbury Water Board (Aqwest)</w:t>
            </w:r>
          </w:p>
        </w:tc>
        <w:tc>
          <w:tcPr>
            <w:tcW w:w="1389" w:type="dxa"/>
          </w:tcPr>
          <w:p>
            <w:pPr>
              <w:pStyle w:val="TableParagraph"/>
              <w:spacing w:before="16"/>
              <w:ind w:right="285"/>
              <w:rPr>
                <w:sz w:val="20"/>
              </w:rPr>
            </w:pPr>
            <w:r>
              <w:rPr>
                <w:w w:val="95"/>
                <w:sz w:val="20"/>
              </w:rPr>
              <w:t>35</w:t>
            </w:r>
          </w:p>
        </w:tc>
        <w:tc>
          <w:tcPr>
            <w:tcW w:w="1235" w:type="dxa"/>
          </w:tcPr>
          <w:p>
            <w:pPr>
              <w:pStyle w:val="TableParagraph"/>
              <w:spacing w:before="16"/>
              <w:ind w:right="104"/>
              <w:rPr>
                <w:sz w:val="20"/>
              </w:rPr>
            </w:pPr>
            <w:r>
              <w:rPr>
                <w:w w:val="95"/>
                <w:sz w:val="20"/>
              </w:rPr>
              <w:t>33</w:t>
            </w:r>
          </w:p>
        </w:tc>
        <w:tc>
          <w:tcPr>
            <w:tcW w:w="1848" w:type="dxa"/>
          </w:tcPr>
          <w:p>
            <w:pPr>
              <w:pStyle w:val="TableParagraph"/>
              <w:spacing w:before="16"/>
              <w:ind w:right="105"/>
              <w:rPr>
                <w:sz w:val="20"/>
              </w:rPr>
            </w:pPr>
            <w:r>
              <w:rPr>
                <w:w w:val="95"/>
                <w:sz w:val="20"/>
              </w:rPr>
              <w:t>32</w:t>
            </w:r>
          </w:p>
        </w:tc>
      </w:tr>
      <w:tr>
        <w:trPr>
          <w:trHeight w:val="285" w:hRule="atLeast"/>
        </w:trPr>
        <w:tc>
          <w:tcPr>
            <w:tcW w:w="5571" w:type="dxa"/>
            <w:shd w:val="clear" w:color="auto" w:fill="D2DFED"/>
          </w:tcPr>
          <w:p>
            <w:pPr>
              <w:pStyle w:val="TableParagraph"/>
              <w:spacing w:before="13"/>
              <w:ind w:left="117"/>
              <w:jc w:val="left"/>
              <w:rPr>
                <w:b/>
                <w:sz w:val="20"/>
              </w:rPr>
            </w:pPr>
            <w:r>
              <w:rPr>
                <w:b/>
                <w:sz w:val="20"/>
              </w:rPr>
              <w:t>Busselton Water Board</w:t>
            </w:r>
          </w:p>
        </w:tc>
        <w:tc>
          <w:tcPr>
            <w:tcW w:w="1389" w:type="dxa"/>
            <w:shd w:val="clear" w:color="auto" w:fill="D2DFED"/>
          </w:tcPr>
          <w:p>
            <w:pPr>
              <w:pStyle w:val="TableParagraph"/>
              <w:spacing w:before="13"/>
              <w:ind w:right="285"/>
              <w:rPr>
                <w:sz w:val="20"/>
              </w:rPr>
            </w:pPr>
            <w:r>
              <w:rPr>
                <w:w w:val="95"/>
                <w:sz w:val="20"/>
              </w:rPr>
              <w:t>32</w:t>
            </w:r>
          </w:p>
        </w:tc>
        <w:tc>
          <w:tcPr>
            <w:tcW w:w="1235" w:type="dxa"/>
            <w:shd w:val="clear" w:color="auto" w:fill="D2DFED"/>
          </w:tcPr>
          <w:p>
            <w:pPr>
              <w:pStyle w:val="TableParagraph"/>
              <w:spacing w:before="13"/>
              <w:ind w:right="104"/>
              <w:rPr>
                <w:sz w:val="20"/>
              </w:rPr>
            </w:pPr>
            <w:r>
              <w:rPr>
                <w:w w:val="95"/>
                <w:sz w:val="20"/>
              </w:rPr>
              <w:t>31</w:t>
            </w:r>
          </w:p>
        </w:tc>
        <w:tc>
          <w:tcPr>
            <w:tcW w:w="1848" w:type="dxa"/>
            <w:shd w:val="clear" w:color="auto" w:fill="D2DFED"/>
          </w:tcPr>
          <w:p>
            <w:pPr>
              <w:pStyle w:val="TableParagraph"/>
              <w:spacing w:before="13"/>
              <w:ind w:right="105"/>
              <w:rPr>
                <w:sz w:val="20"/>
              </w:rPr>
            </w:pPr>
            <w:r>
              <w:rPr>
                <w:w w:val="95"/>
                <w:sz w:val="20"/>
              </w:rPr>
              <w:t>30</w:t>
            </w:r>
          </w:p>
        </w:tc>
      </w:tr>
      <w:tr>
        <w:trPr>
          <w:trHeight w:val="283" w:hRule="atLeast"/>
        </w:trPr>
        <w:tc>
          <w:tcPr>
            <w:tcW w:w="5571" w:type="dxa"/>
          </w:tcPr>
          <w:p>
            <w:pPr>
              <w:pStyle w:val="TableParagraph"/>
              <w:spacing w:before="13"/>
              <w:ind w:left="117"/>
              <w:jc w:val="left"/>
              <w:rPr>
                <w:b/>
                <w:sz w:val="20"/>
              </w:rPr>
            </w:pPr>
            <w:r>
              <w:rPr>
                <w:b/>
                <w:sz w:val="20"/>
              </w:rPr>
              <w:t>Nurses and Midwives Board of Western Australia</w:t>
            </w:r>
          </w:p>
        </w:tc>
        <w:tc>
          <w:tcPr>
            <w:tcW w:w="1389" w:type="dxa"/>
          </w:tcPr>
          <w:p>
            <w:pPr>
              <w:pStyle w:val="TableParagraph"/>
              <w:spacing w:before="13"/>
              <w:ind w:right="285"/>
              <w:rPr>
                <w:sz w:val="20"/>
              </w:rPr>
            </w:pPr>
            <w:r>
              <w:rPr>
                <w:w w:val="95"/>
                <w:sz w:val="20"/>
              </w:rPr>
              <w:t>33</w:t>
            </w:r>
          </w:p>
        </w:tc>
        <w:tc>
          <w:tcPr>
            <w:tcW w:w="1235" w:type="dxa"/>
          </w:tcPr>
          <w:p>
            <w:pPr>
              <w:pStyle w:val="TableParagraph"/>
              <w:spacing w:before="13"/>
              <w:ind w:right="104"/>
              <w:rPr>
                <w:sz w:val="20"/>
              </w:rPr>
            </w:pPr>
            <w:r>
              <w:rPr>
                <w:w w:val="95"/>
                <w:sz w:val="20"/>
              </w:rPr>
              <w:t>28</w:t>
            </w:r>
          </w:p>
        </w:tc>
        <w:tc>
          <w:tcPr>
            <w:tcW w:w="1848" w:type="dxa"/>
          </w:tcPr>
          <w:p>
            <w:pPr>
              <w:pStyle w:val="TableParagraph"/>
              <w:spacing w:before="13"/>
              <w:ind w:right="105"/>
              <w:rPr>
                <w:sz w:val="20"/>
              </w:rPr>
            </w:pPr>
            <w:r>
              <w:rPr>
                <w:w w:val="95"/>
                <w:sz w:val="20"/>
              </w:rPr>
              <w:t>29</w:t>
            </w:r>
          </w:p>
        </w:tc>
      </w:tr>
      <w:tr>
        <w:trPr>
          <w:trHeight w:val="285" w:hRule="atLeast"/>
        </w:trPr>
        <w:tc>
          <w:tcPr>
            <w:tcW w:w="5571" w:type="dxa"/>
            <w:shd w:val="clear" w:color="auto" w:fill="D2DFED"/>
          </w:tcPr>
          <w:p>
            <w:pPr>
              <w:pStyle w:val="TableParagraph"/>
              <w:spacing w:before="16"/>
              <w:ind w:left="117"/>
              <w:jc w:val="left"/>
              <w:rPr>
                <w:b/>
                <w:sz w:val="20"/>
              </w:rPr>
            </w:pPr>
            <w:r>
              <w:rPr>
                <w:b/>
                <w:sz w:val="20"/>
              </w:rPr>
              <w:t>Independent Market Operator</w:t>
            </w:r>
          </w:p>
        </w:tc>
        <w:tc>
          <w:tcPr>
            <w:tcW w:w="1389" w:type="dxa"/>
            <w:shd w:val="clear" w:color="auto" w:fill="D2DFED"/>
          </w:tcPr>
          <w:p>
            <w:pPr>
              <w:pStyle w:val="TableParagraph"/>
              <w:spacing w:before="16"/>
              <w:ind w:right="285"/>
              <w:rPr>
                <w:sz w:val="20"/>
              </w:rPr>
            </w:pPr>
            <w:r>
              <w:rPr>
                <w:w w:val="95"/>
                <w:sz w:val="20"/>
              </w:rPr>
              <w:t>30</w:t>
            </w:r>
          </w:p>
        </w:tc>
        <w:tc>
          <w:tcPr>
            <w:tcW w:w="1235" w:type="dxa"/>
            <w:shd w:val="clear" w:color="auto" w:fill="D2DFED"/>
          </w:tcPr>
          <w:p>
            <w:pPr>
              <w:pStyle w:val="TableParagraph"/>
              <w:spacing w:before="16"/>
              <w:ind w:right="104"/>
              <w:rPr>
                <w:sz w:val="20"/>
              </w:rPr>
            </w:pPr>
            <w:r>
              <w:rPr>
                <w:w w:val="95"/>
                <w:sz w:val="20"/>
              </w:rPr>
              <w:t>28</w:t>
            </w:r>
          </w:p>
        </w:tc>
        <w:tc>
          <w:tcPr>
            <w:tcW w:w="1848" w:type="dxa"/>
            <w:shd w:val="clear" w:color="auto" w:fill="D2DFED"/>
          </w:tcPr>
          <w:p>
            <w:pPr>
              <w:pStyle w:val="TableParagraph"/>
              <w:spacing w:before="16"/>
              <w:ind w:right="105"/>
              <w:rPr>
                <w:sz w:val="20"/>
              </w:rPr>
            </w:pPr>
            <w:r>
              <w:rPr>
                <w:w w:val="95"/>
                <w:sz w:val="20"/>
              </w:rPr>
              <w:t>28</w:t>
            </w:r>
          </w:p>
        </w:tc>
      </w:tr>
      <w:tr>
        <w:trPr>
          <w:trHeight w:val="285" w:hRule="atLeast"/>
        </w:trPr>
        <w:tc>
          <w:tcPr>
            <w:tcW w:w="5571" w:type="dxa"/>
          </w:tcPr>
          <w:p>
            <w:pPr>
              <w:pStyle w:val="TableParagraph"/>
              <w:spacing w:before="16"/>
              <w:ind w:left="117"/>
              <w:jc w:val="left"/>
              <w:rPr>
                <w:b/>
                <w:sz w:val="20"/>
              </w:rPr>
            </w:pPr>
            <w:r>
              <w:rPr>
                <w:b/>
                <w:sz w:val="20"/>
              </w:rPr>
              <w:t>Dampier Port Authority</w:t>
            </w:r>
          </w:p>
        </w:tc>
        <w:tc>
          <w:tcPr>
            <w:tcW w:w="1389" w:type="dxa"/>
          </w:tcPr>
          <w:p>
            <w:pPr>
              <w:pStyle w:val="TableParagraph"/>
              <w:spacing w:before="16"/>
              <w:ind w:right="285"/>
              <w:rPr>
                <w:sz w:val="20"/>
              </w:rPr>
            </w:pPr>
            <w:r>
              <w:rPr>
                <w:w w:val="95"/>
                <w:sz w:val="20"/>
              </w:rPr>
              <w:t>28</w:t>
            </w:r>
          </w:p>
        </w:tc>
        <w:tc>
          <w:tcPr>
            <w:tcW w:w="1235" w:type="dxa"/>
          </w:tcPr>
          <w:p>
            <w:pPr>
              <w:pStyle w:val="TableParagraph"/>
              <w:spacing w:before="16"/>
              <w:ind w:right="104"/>
              <w:rPr>
                <w:sz w:val="20"/>
              </w:rPr>
            </w:pPr>
            <w:r>
              <w:rPr>
                <w:w w:val="95"/>
                <w:sz w:val="20"/>
              </w:rPr>
              <w:t>27</w:t>
            </w:r>
          </w:p>
        </w:tc>
        <w:tc>
          <w:tcPr>
            <w:tcW w:w="1848" w:type="dxa"/>
          </w:tcPr>
          <w:p>
            <w:pPr>
              <w:pStyle w:val="TableParagraph"/>
              <w:spacing w:before="16"/>
              <w:ind w:right="105"/>
              <w:rPr>
                <w:sz w:val="20"/>
              </w:rPr>
            </w:pPr>
            <w:r>
              <w:rPr>
                <w:w w:val="95"/>
                <w:sz w:val="20"/>
              </w:rPr>
              <w:t>26</w:t>
            </w:r>
          </w:p>
        </w:tc>
      </w:tr>
      <w:tr>
        <w:trPr>
          <w:trHeight w:val="285" w:hRule="atLeast"/>
        </w:trPr>
        <w:tc>
          <w:tcPr>
            <w:tcW w:w="5571" w:type="dxa"/>
            <w:shd w:val="clear" w:color="auto" w:fill="D2DFED"/>
          </w:tcPr>
          <w:p>
            <w:pPr>
              <w:pStyle w:val="TableParagraph"/>
              <w:spacing w:before="13"/>
              <w:ind w:left="117"/>
              <w:jc w:val="left"/>
              <w:rPr>
                <w:b/>
                <w:sz w:val="20"/>
              </w:rPr>
            </w:pPr>
            <w:r>
              <w:rPr>
                <w:b/>
                <w:sz w:val="20"/>
              </w:rPr>
              <w:t>Albany Port Authority</w:t>
            </w:r>
          </w:p>
        </w:tc>
        <w:tc>
          <w:tcPr>
            <w:tcW w:w="1389" w:type="dxa"/>
            <w:shd w:val="clear" w:color="auto" w:fill="D2DFED"/>
          </w:tcPr>
          <w:p>
            <w:pPr>
              <w:pStyle w:val="TableParagraph"/>
              <w:spacing w:before="13"/>
              <w:ind w:right="285"/>
              <w:rPr>
                <w:sz w:val="20"/>
              </w:rPr>
            </w:pPr>
            <w:r>
              <w:rPr>
                <w:w w:val="95"/>
                <w:sz w:val="20"/>
              </w:rPr>
              <w:t>21</w:t>
            </w:r>
          </w:p>
        </w:tc>
        <w:tc>
          <w:tcPr>
            <w:tcW w:w="1235" w:type="dxa"/>
            <w:shd w:val="clear" w:color="auto" w:fill="D2DFED"/>
          </w:tcPr>
          <w:p>
            <w:pPr>
              <w:pStyle w:val="TableParagraph"/>
              <w:spacing w:before="13"/>
              <w:ind w:right="104"/>
              <w:rPr>
                <w:sz w:val="20"/>
              </w:rPr>
            </w:pPr>
            <w:r>
              <w:rPr>
                <w:w w:val="95"/>
                <w:sz w:val="20"/>
              </w:rPr>
              <w:t>21</w:t>
            </w:r>
          </w:p>
        </w:tc>
        <w:tc>
          <w:tcPr>
            <w:tcW w:w="1848" w:type="dxa"/>
            <w:shd w:val="clear" w:color="auto" w:fill="D2DFED"/>
          </w:tcPr>
          <w:p>
            <w:pPr>
              <w:pStyle w:val="TableParagraph"/>
              <w:spacing w:before="13"/>
              <w:ind w:right="105"/>
              <w:rPr>
                <w:sz w:val="20"/>
              </w:rPr>
            </w:pPr>
            <w:r>
              <w:rPr>
                <w:w w:val="95"/>
                <w:sz w:val="20"/>
              </w:rPr>
              <w:t>21</w:t>
            </w:r>
          </w:p>
        </w:tc>
      </w:tr>
      <w:tr>
        <w:trPr>
          <w:trHeight w:val="283" w:hRule="atLeast"/>
        </w:trPr>
        <w:tc>
          <w:tcPr>
            <w:tcW w:w="5571" w:type="dxa"/>
          </w:tcPr>
          <w:p>
            <w:pPr>
              <w:pStyle w:val="TableParagraph"/>
              <w:spacing w:before="13"/>
              <w:ind w:left="117"/>
              <w:jc w:val="left"/>
              <w:rPr>
                <w:b/>
                <w:sz w:val="20"/>
              </w:rPr>
            </w:pPr>
            <w:r>
              <w:rPr>
                <w:b/>
                <w:sz w:val="20"/>
              </w:rPr>
              <w:t>Bunbury Port Authority</w:t>
            </w:r>
          </w:p>
        </w:tc>
        <w:tc>
          <w:tcPr>
            <w:tcW w:w="1389" w:type="dxa"/>
          </w:tcPr>
          <w:p>
            <w:pPr>
              <w:pStyle w:val="TableParagraph"/>
              <w:spacing w:before="13"/>
              <w:ind w:right="285"/>
              <w:rPr>
                <w:sz w:val="20"/>
              </w:rPr>
            </w:pPr>
            <w:r>
              <w:rPr>
                <w:w w:val="95"/>
                <w:sz w:val="20"/>
              </w:rPr>
              <w:t>22</w:t>
            </w:r>
          </w:p>
        </w:tc>
        <w:tc>
          <w:tcPr>
            <w:tcW w:w="1235" w:type="dxa"/>
          </w:tcPr>
          <w:p>
            <w:pPr>
              <w:pStyle w:val="TableParagraph"/>
              <w:spacing w:before="13"/>
              <w:ind w:right="104"/>
              <w:rPr>
                <w:sz w:val="20"/>
              </w:rPr>
            </w:pPr>
            <w:r>
              <w:rPr>
                <w:w w:val="95"/>
                <w:sz w:val="20"/>
              </w:rPr>
              <w:t>20</w:t>
            </w:r>
          </w:p>
        </w:tc>
        <w:tc>
          <w:tcPr>
            <w:tcW w:w="1848" w:type="dxa"/>
          </w:tcPr>
          <w:p>
            <w:pPr>
              <w:pStyle w:val="TableParagraph"/>
              <w:spacing w:before="13"/>
              <w:ind w:right="105"/>
              <w:rPr>
                <w:sz w:val="20"/>
              </w:rPr>
            </w:pPr>
            <w:r>
              <w:rPr>
                <w:w w:val="95"/>
                <w:sz w:val="20"/>
              </w:rPr>
              <w:t>19</w:t>
            </w:r>
          </w:p>
        </w:tc>
      </w:tr>
      <w:tr>
        <w:trPr>
          <w:trHeight w:val="285" w:hRule="atLeast"/>
        </w:trPr>
        <w:tc>
          <w:tcPr>
            <w:tcW w:w="5571" w:type="dxa"/>
            <w:shd w:val="clear" w:color="auto" w:fill="D2DFED"/>
          </w:tcPr>
          <w:p>
            <w:pPr>
              <w:pStyle w:val="TableParagraph"/>
              <w:spacing w:before="16"/>
              <w:ind w:left="117"/>
              <w:jc w:val="left"/>
              <w:rPr>
                <w:b/>
                <w:sz w:val="20"/>
              </w:rPr>
            </w:pPr>
            <w:r>
              <w:rPr>
                <w:b/>
                <w:sz w:val="20"/>
              </w:rPr>
              <w:t>Perth Market Authority</w:t>
            </w:r>
          </w:p>
        </w:tc>
        <w:tc>
          <w:tcPr>
            <w:tcW w:w="1389" w:type="dxa"/>
            <w:shd w:val="clear" w:color="auto" w:fill="D2DFED"/>
          </w:tcPr>
          <w:p>
            <w:pPr>
              <w:pStyle w:val="TableParagraph"/>
              <w:spacing w:before="16"/>
              <w:ind w:right="285"/>
              <w:rPr>
                <w:sz w:val="20"/>
              </w:rPr>
            </w:pPr>
            <w:r>
              <w:rPr>
                <w:w w:val="95"/>
                <w:sz w:val="20"/>
              </w:rPr>
              <w:t>20</w:t>
            </w:r>
          </w:p>
        </w:tc>
        <w:tc>
          <w:tcPr>
            <w:tcW w:w="1235" w:type="dxa"/>
            <w:shd w:val="clear" w:color="auto" w:fill="D2DFED"/>
          </w:tcPr>
          <w:p>
            <w:pPr>
              <w:pStyle w:val="TableParagraph"/>
              <w:spacing w:before="16"/>
              <w:ind w:right="104"/>
              <w:rPr>
                <w:sz w:val="20"/>
              </w:rPr>
            </w:pPr>
            <w:r>
              <w:rPr>
                <w:w w:val="95"/>
                <w:sz w:val="20"/>
              </w:rPr>
              <w:t>18</w:t>
            </w:r>
          </w:p>
        </w:tc>
        <w:tc>
          <w:tcPr>
            <w:tcW w:w="1848" w:type="dxa"/>
            <w:shd w:val="clear" w:color="auto" w:fill="D2DFED"/>
          </w:tcPr>
          <w:p>
            <w:pPr>
              <w:pStyle w:val="TableParagraph"/>
              <w:spacing w:before="16"/>
              <w:ind w:right="105"/>
              <w:rPr>
                <w:sz w:val="20"/>
              </w:rPr>
            </w:pPr>
            <w:r>
              <w:rPr>
                <w:w w:val="95"/>
                <w:sz w:val="20"/>
              </w:rPr>
              <w:t>16</w:t>
            </w:r>
          </w:p>
        </w:tc>
      </w:tr>
      <w:tr>
        <w:trPr>
          <w:trHeight w:val="285" w:hRule="atLeast"/>
        </w:trPr>
        <w:tc>
          <w:tcPr>
            <w:tcW w:w="5571" w:type="dxa"/>
          </w:tcPr>
          <w:p>
            <w:pPr>
              <w:pStyle w:val="TableParagraph"/>
              <w:spacing w:before="16"/>
              <w:ind w:left="117"/>
              <w:jc w:val="left"/>
              <w:rPr>
                <w:b/>
                <w:sz w:val="20"/>
              </w:rPr>
            </w:pPr>
            <w:r>
              <w:rPr>
                <w:b/>
                <w:sz w:val="20"/>
              </w:rPr>
              <w:t>Western Australian Health Promotion Foundation (Healthway)</w:t>
            </w:r>
          </w:p>
        </w:tc>
        <w:tc>
          <w:tcPr>
            <w:tcW w:w="1389" w:type="dxa"/>
          </w:tcPr>
          <w:p>
            <w:pPr>
              <w:pStyle w:val="TableParagraph"/>
              <w:spacing w:before="16"/>
              <w:ind w:right="285"/>
              <w:rPr>
                <w:sz w:val="20"/>
              </w:rPr>
            </w:pPr>
            <w:r>
              <w:rPr>
                <w:w w:val="95"/>
                <w:sz w:val="20"/>
              </w:rPr>
              <w:t>16</w:t>
            </w:r>
          </w:p>
        </w:tc>
        <w:tc>
          <w:tcPr>
            <w:tcW w:w="1235" w:type="dxa"/>
          </w:tcPr>
          <w:p>
            <w:pPr>
              <w:pStyle w:val="TableParagraph"/>
              <w:spacing w:before="16"/>
              <w:ind w:right="104"/>
              <w:rPr>
                <w:sz w:val="20"/>
              </w:rPr>
            </w:pPr>
            <w:r>
              <w:rPr>
                <w:w w:val="95"/>
                <w:sz w:val="20"/>
              </w:rPr>
              <w:t>15</w:t>
            </w:r>
          </w:p>
        </w:tc>
        <w:tc>
          <w:tcPr>
            <w:tcW w:w="1848" w:type="dxa"/>
          </w:tcPr>
          <w:p>
            <w:pPr>
              <w:pStyle w:val="TableParagraph"/>
              <w:spacing w:before="16"/>
              <w:ind w:right="105"/>
              <w:rPr>
                <w:sz w:val="20"/>
              </w:rPr>
            </w:pPr>
            <w:r>
              <w:rPr>
                <w:w w:val="95"/>
                <w:sz w:val="20"/>
              </w:rPr>
              <w:t>14</w:t>
            </w:r>
          </w:p>
        </w:tc>
      </w:tr>
      <w:tr>
        <w:trPr>
          <w:trHeight w:val="285" w:hRule="atLeast"/>
        </w:trPr>
        <w:tc>
          <w:tcPr>
            <w:tcW w:w="5571" w:type="dxa"/>
            <w:shd w:val="clear" w:color="auto" w:fill="D2DFED"/>
          </w:tcPr>
          <w:p>
            <w:pPr>
              <w:pStyle w:val="TableParagraph"/>
              <w:spacing w:before="13"/>
              <w:ind w:left="117"/>
              <w:jc w:val="left"/>
              <w:rPr>
                <w:b/>
                <w:sz w:val="20"/>
              </w:rPr>
            </w:pPr>
            <w:r>
              <w:rPr>
                <w:b/>
                <w:sz w:val="20"/>
              </w:rPr>
              <w:t>Office of Health Review</w:t>
            </w:r>
          </w:p>
        </w:tc>
        <w:tc>
          <w:tcPr>
            <w:tcW w:w="1389" w:type="dxa"/>
            <w:shd w:val="clear" w:color="auto" w:fill="D2DFED"/>
          </w:tcPr>
          <w:p>
            <w:pPr>
              <w:pStyle w:val="TableParagraph"/>
              <w:spacing w:before="13"/>
              <w:ind w:right="284"/>
              <w:rPr>
                <w:sz w:val="20"/>
              </w:rPr>
            </w:pPr>
            <w:r>
              <w:rPr>
                <w:sz w:val="20"/>
              </w:rPr>
              <w:t>16</w:t>
            </w:r>
          </w:p>
        </w:tc>
        <w:tc>
          <w:tcPr>
            <w:tcW w:w="1235" w:type="dxa"/>
            <w:shd w:val="clear" w:color="auto" w:fill="D2DFED"/>
          </w:tcPr>
          <w:p>
            <w:pPr>
              <w:pStyle w:val="TableParagraph"/>
              <w:spacing w:before="13"/>
              <w:ind w:right="104"/>
              <w:rPr>
                <w:sz w:val="20"/>
              </w:rPr>
            </w:pPr>
            <w:r>
              <w:rPr>
                <w:w w:val="95"/>
                <w:sz w:val="20"/>
              </w:rPr>
              <w:t>13</w:t>
            </w:r>
          </w:p>
        </w:tc>
        <w:tc>
          <w:tcPr>
            <w:tcW w:w="1848" w:type="dxa"/>
            <w:shd w:val="clear" w:color="auto" w:fill="D2DFED"/>
          </w:tcPr>
          <w:p>
            <w:pPr>
              <w:pStyle w:val="TableParagraph"/>
              <w:spacing w:before="13"/>
              <w:ind w:right="105"/>
              <w:rPr>
                <w:sz w:val="20"/>
              </w:rPr>
            </w:pPr>
            <w:r>
              <w:rPr>
                <w:w w:val="95"/>
                <w:sz w:val="20"/>
              </w:rPr>
              <w:t>15</w:t>
            </w:r>
          </w:p>
        </w:tc>
      </w:tr>
      <w:tr>
        <w:trPr>
          <w:trHeight w:val="283" w:hRule="atLeast"/>
        </w:trPr>
        <w:tc>
          <w:tcPr>
            <w:tcW w:w="5571" w:type="dxa"/>
          </w:tcPr>
          <w:p>
            <w:pPr>
              <w:pStyle w:val="TableParagraph"/>
              <w:spacing w:before="14"/>
              <w:ind w:left="117"/>
              <w:jc w:val="left"/>
              <w:rPr>
                <w:b/>
                <w:sz w:val="20"/>
              </w:rPr>
            </w:pPr>
            <w:r>
              <w:rPr>
                <w:b/>
                <w:sz w:val="20"/>
              </w:rPr>
              <w:t>Building and Construction Industry Training Board</w:t>
            </w:r>
          </w:p>
        </w:tc>
        <w:tc>
          <w:tcPr>
            <w:tcW w:w="1389" w:type="dxa"/>
          </w:tcPr>
          <w:p>
            <w:pPr>
              <w:pStyle w:val="TableParagraph"/>
              <w:spacing w:before="14"/>
              <w:ind w:right="285"/>
              <w:rPr>
                <w:sz w:val="20"/>
              </w:rPr>
            </w:pPr>
            <w:r>
              <w:rPr>
                <w:w w:val="95"/>
                <w:sz w:val="20"/>
              </w:rPr>
              <w:t>13</w:t>
            </w:r>
          </w:p>
        </w:tc>
        <w:tc>
          <w:tcPr>
            <w:tcW w:w="1235" w:type="dxa"/>
          </w:tcPr>
          <w:p>
            <w:pPr>
              <w:pStyle w:val="TableParagraph"/>
              <w:spacing w:before="14"/>
              <w:ind w:right="104"/>
              <w:rPr>
                <w:sz w:val="20"/>
              </w:rPr>
            </w:pPr>
            <w:r>
              <w:rPr>
                <w:w w:val="95"/>
                <w:sz w:val="20"/>
              </w:rPr>
              <w:t>12</w:t>
            </w:r>
          </w:p>
        </w:tc>
        <w:tc>
          <w:tcPr>
            <w:tcW w:w="1848" w:type="dxa"/>
          </w:tcPr>
          <w:p>
            <w:pPr>
              <w:pStyle w:val="TableParagraph"/>
              <w:spacing w:before="14"/>
              <w:ind w:right="105"/>
              <w:rPr>
                <w:sz w:val="20"/>
              </w:rPr>
            </w:pPr>
            <w:r>
              <w:rPr>
                <w:w w:val="95"/>
                <w:sz w:val="20"/>
              </w:rPr>
              <w:t>11</w:t>
            </w:r>
          </w:p>
        </w:tc>
      </w:tr>
      <w:tr>
        <w:trPr>
          <w:trHeight w:val="285" w:hRule="atLeast"/>
        </w:trPr>
        <w:tc>
          <w:tcPr>
            <w:tcW w:w="5571" w:type="dxa"/>
            <w:shd w:val="clear" w:color="auto" w:fill="D2DFED"/>
          </w:tcPr>
          <w:p>
            <w:pPr>
              <w:pStyle w:val="TableParagraph"/>
              <w:spacing w:before="16"/>
              <w:ind w:left="117"/>
              <w:jc w:val="left"/>
              <w:rPr>
                <w:b/>
                <w:sz w:val="20"/>
              </w:rPr>
            </w:pPr>
            <w:r>
              <w:rPr>
                <w:b/>
                <w:sz w:val="20"/>
              </w:rPr>
              <w:t>Midland Redevelopment Authority</w:t>
            </w:r>
          </w:p>
        </w:tc>
        <w:tc>
          <w:tcPr>
            <w:tcW w:w="1389" w:type="dxa"/>
            <w:shd w:val="clear" w:color="auto" w:fill="D2DFED"/>
          </w:tcPr>
          <w:p>
            <w:pPr>
              <w:pStyle w:val="TableParagraph"/>
              <w:spacing w:before="16"/>
              <w:ind w:right="285"/>
              <w:rPr>
                <w:sz w:val="20"/>
              </w:rPr>
            </w:pPr>
            <w:r>
              <w:rPr>
                <w:w w:val="95"/>
                <w:sz w:val="20"/>
              </w:rPr>
              <w:t>13</w:t>
            </w:r>
          </w:p>
        </w:tc>
        <w:tc>
          <w:tcPr>
            <w:tcW w:w="1235" w:type="dxa"/>
            <w:shd w:val="clear" w:color="auto" w:fill="D2DFED"/>
          </w:tcPr>
          <w:p>
            <w:pPr>
              <w:pStyle w:val="TableParagraph"/>
              <w:spacing w:before="16"/>
              <w:ind w:right="104"/>
              <w:rPr>
                <w:sz w:val="20"/>
              </w:rPr>
            </w:pPr>
            <w:r>
              <w:rPr>
                <w:w w:val="95"/>
                <w:sz w:val="20"/>
              </w:rPr>
              <w:t>11</w:t>
            </w:r>
          </w:p>
        </w:tc>
        <w:tc>
          <w:tcPr>
            <w:tcW w:w="1848" w:type="dxa"/>
            <w:shd w:val="clear" w:color="auto" w:fill="D2DFED"/>
          </w:tcPr>
          <w:p>
            <w:pPr>
              <w:pStyle w:val="TableParagraph"/>
              <w:spacing w:before="16"/>
              <w:ind w:right="105"/>
              <w:rPr>
                <w:sz w:val="20"/>
              </w:rPr>
            </w:pPr>
            <w:r>
              <w:rPr>
                <w:w w:val="95"/>
                <w:sz w:val="20"/>
              </w:rPr>
              <w:t>14</w:t>
            </w:r>
          </w:p>
        </w:tc>
      </w:tr>
      <w:tr>
        <w:trPr>
          <w:trHeight w:val="285" w:hRule="atLeast"/>
        </w:trPr>
        <w:tc>
          <w:tcPr>
            <w:tcW w:w="5571" w:type="dxa"/>
          </w:tcPr>
          <w:p>
            <w:pPr>
              <w:pStyle w:val="TableParagraph"/>
              <w:spacing w:before="16"/>
              <w:ind w:left="117"/>
              <w:jc w:val="left"/>
              <w:rPr>
                <w:b/>
                <w:sz w:val="20"/>
              </w:rPr>
            </w:pPr>
            <w:r>
              <w:rPr>
                <w:b/>
                <w:sz w:val="20"/>
              </w:rPr>
              <w:t>Keep Australia Beautiful Council (W.A.)</w:t>
            </w:r>
          </w:p>
        </w:tc>
        <w:tc>
          <w:tcPr>
            <w:tcW w:w="1389" w:type="dxa"/>
          </w:tcPr>
          <w:p>
            <w:pPr>
              <w:pStyle w:val="TableParagraph"/>
              <w:spacing w:before="16"/>
              <w:ind w:right="285"/>
              <w:rPr>
                <w:sz w:val="20"/>
              </w:rPr>
            </w:pPr>
            <w:r>
              <w:rPr>
                <w:w w:val="95"/>
                <w:sz w:val="20"/>
              </w:rPr>
              <w:t>14</w:t>
            </w:r>
          </w:p>
        </w:tc>
        <w:tc>
          <w:tcPr>
            <w:tcW w:w="1235" w:type="dxa"/>
          </w:tcPr>
          <w:p>
            <w:pPr>
              <w:pStyle w:val="TableParagraph"/>
              <w:spacing w:before="16"/>
              <w:ind w:right="104"/>
              <w:rPr>
                <w:sz w:val="20"/>
              </w:rPr>
            </w:pPr>
            <w:r>
              <w:rPr>
                <w:w w:val="95"/>
                <w:sz w:val="20"/>
              </w:rPr>
              <w:t>11</w:t>
            </w:r>
          </w:p>
        </w:tc>
        <w:tc>
          <w:tcPr>
            <w:tcW w:w="1848" w:type="dxa"/>
          </w:tcPr>
          <w:p>
            <w:pPr>
              <w:pStyle w:val="TableParagraph"/>
              <w:spacing w:before="16"/>
              <w:ind w:right="105"/>
              <w:rPr>
                <w:sz w:val="20"/>
              </w:rPr>
            </w:pPr>
            <w:r>
              <w:rPr>
                <w:w w:val="95"/>
                <w:sz w:val="20"/>
              </w:rPr>
              <w:t>11</w:t>
            </w:r>
          </w:p>
        </w:tc>
      </w:tr>
      <w:tr>
        <w:trPr>
          <w:trHeight w:val="285" w:hRule="atLeast"/>
        </w:trPr>
        <w:tc>
          <w:tcPr>
            <w:tcW w:w="5571" w:type="dxa"/>
            <w:shd w:val="clear" w:color="auto" w:fill="D2DFED"/>
          </w:tcPr>
          <w:p>
            <w:pPr>
              <w:pStyle w:val="TableParagraph"/>
              <w:spacing w:before="13"/>
              <w:ind w:left="117"/>
              <w:jc w:val="left"/>
              <w:rPr>
                <w:b/>
                <w:sz w:val="20"/>
              </w:rPr>
            </w:pPr>
            <w:r>
              <w:rPr>
                <w:b/>
                <w:sz w:val="20"/>
              </w:rPr>
              <w:t>Potato Marketing Corporation of Western Australia</w:t>
            </w:r>
          </w:p>
        </w:tc>
        <w:tc>
          <w:tcPr>
            <w:tcW w:w="1389" w:type="dxa"/>
            <w:shd w:val="clear" w:color="auto" w:fill="D2DFED"/>
          </w:tcPr>
          <w:p>
            <w:pPr>
              <w:pStyle w:val="TableParagraph"/>
              <w:spacing w:before="13"/>
              <w:ind w:right="285"/>
              <w:rPr>
                <w:sz w:val="20"/>
              </w:rPr>
            </w:pPr>
            <w:r>
              <w:rPr>
                <w:w w:val="95"/>
                <w:sz w:val="20"/>
              </w:rPr>
              <w:t>11</w:t>
            </w:r>
          </w:p>
        </w:tc>
        <w:tc>
          <w:tcPr>
            <w:tcW w:w="1235" w:type="dxa"/>
            <w:shd w:val="clear" w:color="auto" w:fill="D2DFED"/>
          </w:tcPr>
          <w:p>
            <w:pPr>
              <w:pStyle w:val="TableParagraph"/>
              <w:spacing w:before="13"/>
              <w:ind w:right="104"/>
              <w:rPr>
                <w:sz w:val="20"/>
              </w:rPr>
            </w:pPr>
            <w:r>
              <w:rPr>
                <w:w w:val="95"/>
                <w:sz w:val="20"/>
              </w:rPr>
              <w:t>10</w:t>
            </w:r>
          </w:p>
        </w:tc>
        <w:tc>
          <w:tcPr>
            <w:tcW w:w="1848" w:type="dxa"/>
            <w:shd w:val="clear" w:color="auto" w:fill="D2DFED"/>
          </w:tcPr>
          <w:p>
            <w:pPr>
              <w:pStyle w:val="TableParagraph"/>
              <w:spacing w:before="13"/>
              <w:ind w:right="105"/>
              <w:rPr>
                <w:sz w:val="20"/>
              </w:rPr>
            </w:pPr>
            <w:r>
              <w:rPr>
                <w:w w:val="99"/>
                <w:sz w:val="20"/>
              </w:rPr>
              <w:t>9</w:t>
            </w:r>
          </w:p>
        </w:tc>
      </w:tr>
      <w:tr>
        <w:trPr>
          <w:trHeight w:val="283" w:hRule="atLeast"/>
        </w:trPr>
        <w:tc>
          <w:tcPr>
            <w:tcW w:w="5571" w:type="dxa"/>
          </w:tcPr>
          <w:p>
            <w:pPr>
              <w:pStyle w:val="TableParagraph"/>
              <w:spacing w:before="13"/>
              <w:ind w:left="117"/>
              <w:jc w:val="left"/>
              <w:rPr>
                <w:b/>
                <w:sz w:val="20"/>
              </w:rPr>
            </w:pPr>
            <w:r>
              <w:rPr>
                <w:b/>
                <w:sz w:val="20"/>
              </w:rPr>
              <w:t>Western Australian Meat Industry Authority</w:t>
            </w:r>
          </w:p>
        </w:tc>
        <w:tc>
          <w:tcPr>
            <w:tcW w:w="1389" w:type="dxa"/>
          </w:tcPr>
          <w:p>
            <w:pPr>
              <w:pStyle w:val="TableParagraph"/>
              <w:spacing w:before="13"/>
              <w:ind w:right="285"/>
              <w:rPr>
                <w:sz w:val="20"/>
              </w:rPr>
            </w:pPr>
            <w:r>
              <w:rPr>
                <w:w w:val="95"/>
                <w:sz w:val="20"/>
              </w:rPr>
              <w:t>15</w:t>
            </w:r>
          </w:p>
        </w:tc>
        <w:tc>
          <w:tcPr>
            <w:tcW w:w="1235" w:type="dxa"/>
          </w:tcPr>
          <w:p>
            <w:pPr>
              <w:pStyle w:val="TableParagraph"/>
              <w:spacing w:before="13"/>
              <w:ind w:right="104"/>
              <w:rPr>
                <w:sz w:val="20"/>
              </w:rPr>
            </w:pPr>
            <w:r>
              <w:rPr>
                <w:w w:val="95"/>
                <w:sz w:val="20"/>
              </w:rPr>
              <w:t>10</w:t>
            </w:r>
          </w:p>
        </w:tc>
        <w:tc>
          <w:tcPr>
            <w:tcW w:w="1848" w:type="dxa"/>
          </w:tcPr>
          <w:p>
            <w:pPr>
              <w:pStyle w:val="TableParagraph"/>
              <w:spacing w:before="13"/>
              <w:ind w:right="105"/>
              <w:rPr>
                <w:sz w:val="20"/>
              </w:rPr>
            </w:pPr>
            <w:r>
              <w:rPr>
                <w:w w:val="95"/>
                <w:sz w:val="20"/>
              </w:rPr>
              <w:t>11</w:t>
            </w:r>
          </w:p>
        </w:tc>
      </w:tr>
      <w:tr>
        <w:trPr>
          <w:trHeight w:val="285" w:hRule="atLeast"/>
        </w:trPr>
        <w:tc>
          <w:tcPr>
            <w:tcW w:w="5571" w:type="dxa"/>
            <w:shd w:val="clear" w:color="auto" w:fill="D2DFED"/>
          </w:tcPr>
          <w:p>
            <w:pPr>
              <w:pStyle w:val="TableParagraph"/>
              <w:spacing w:before="16"/>
              <w:ind w:left="117"/>
              <w:jc w:val="left"/>
              <w:rPr>
                <w:b/>
                <w:sz w:val="20"/>
              </w:rPr>
            </w:pPr>
            <w:r>
              <w:rPr>
                <w:b/>
                <w:sz w:val="20"/>
              </w:rPr>
              <w:t>Pharmaceutical Council of Western Australia</w:t>
            </w:r>
          </w:p>
        </w:tc>
        <w:tc>
          <w:tcPr>
            <w:tcW w:w="1389" w:type="dxa"/>
            <w:shd w:val="clear" w:color="auto" w:fill="D2DFED"/>
          </w:tcPr>
          <w:p>
            <w:pPr>
              <w:pStyle w:val="TableParagraph"/>
              <w:spacing w:before="16"/>
              <w:ind w:right="285"/>
              <w:rPr>
                <w:sz w:val="20"/>
              </w:rPr>
            </w:pPr>
            <w:r>
              <w:rPr>
                <w:w w:val="95"/>
                <w:sz w:val="20"/>
              </w:rPr>
              <w:t>10</w:t>
            </w:r>
          </w:p>
        </w:tc>
        <w:tc>
          <w:tcPr>
            <w:tcW w:w="1235" w:type="dxa"/>
            <w:shd w:val="clear" w:color="auto" w:fill="D2DFED"/>
          </w:tcPr>
          <w:p>
            <w:pPr>
              <w:pStyle w:val="TableParagraph"/>
              <w:spacing w:before="16"/>
              <w:ind w:right="103"/>
              <w:rPr>
                <w:sz w:val="20"/>
              </w:rPr>
            </w:pPr>
            <w:r>
              <w:rPr>
                <w:w w:val="99"/>
                <w:sz w:val="20"/>
              </w:rPr>
              <w:t>8</w:t>
            </w:r>
          </w:p>
        </w:tc>
        <w:tc>
          <w:tcPr>
            <w:tcW w:w="1848" w:type="dxa"/>
            <w:shd w:val="clear" w:color="auto" w:fill="D2DFED"/>
          </w:tcPr>
          <w:p>
            <w:pPr>
              <w:pStyle w:val="TableParagraph"/>
              <w:spacing w:before="16"/>
              <w:ind w:right="105"/>
              <w:rPr>
                <w:sz w:val="20"/>
              </w:rPr>
            </w:pPr>
            <w:r>
              <w:rPr>
                <w:w w:val="99"/>
                <w:sz w:val="20"/>
              </w:rPr>
              <w:t>8</w:t>
            </w:r>
          </w:p>
        </w:tc>
      </w:tr>
      <w:tr>
        <w:trPr>
          <w:trHeight w:val="285" w:hRule="atLeast"/>
        </w:trPr>
        <w:tc>
          <w:tcPr>
            <w:tcW w:w="5571" w:type="dxa"/>
          </w:tcPr>
          <w:p>
            <w:pPr>
              <w:pStyle w:val="TableParagraph"/>
              <w:spacing w:before="16"/>
              <w:ind w:left="117"/>
              <w:jc w:val="left"/>
              <w:rPr>
                <w:b/>
                <w:sz w:val="20"/>
              </w:rPr>
            </w:pPr>
            <w:r>
              <w:rPr>
                <w:b/>
                <w:sz w:val="20"/>
              </w:rPr>
              <w:t>Hairdressers Registration Board of Western Australia</w:t>
            </w:r>
          </w:p>
        </w:tc>
        <w:tc>
          <w:tcPr>
            <w:tcW w:w="1389" w:type="dxa"/>
          </w:tcPr>
          <w:p>
            <w:pPr>
              <w:pStyle w:val="TableParagraph"/>
              <w:spacing w:before="16"/>
              <w:ind w:right="284"/>
              <w:rPr>
                <w:sz w:val="20"/>
              </w:rPr>
            </w:pPr>
            <w:r>
              <w:rPr>
                <w:w w:val="99"/>
                <w:sz w:val="20"/>
              </w:rPr>
              <w:t>7</w:t>
            </w:r>
          </w:p>
        </w:tc>
        <w:tc>
          <w:tcPr>
            <w:tcW w:w="1235" w:type="dxa"/>
          </w:tcPr>
          <w:p>
            <w:pPr>
              <w:pStyle w:val="TableParagraph"/>
              <w:spacing w:before="16"/>
              <w:ind w:right="103"/>
              <w:rPr>
                <w:sz w:val="20"/>
              </w:rPr>
            </w:pPr>
            <w:r>
              <w:rPr>
                <w:w w:val="99"/>
                <w:sz w:val="20"/>
              </w:rPr>
              <w:t>7</w:t>
            </w:r>
          </w:p>
        </w:tc>
        <w:tc>
          <w:tcPr>
            <w:tcW w:w="1848" w:type="dxa"/>
          </w:tcPr>
          <w:p>
            <w:pPr>
              <w:pStyle w:val="TableParagraph"/>
              <w:spacing w:before="16"/>
              <w:ind w:right="105"/>
              <w:rPr>
                <w:sz w:val="20"/>
              </w:rPr>
            </w:pPr>
            <w:r>
              <w:rPr>
                <w:w w:val="99"/>
                <w:sz w:val="20"/>
              </w:rPr>
              <w:t>7</w:t>
            </w:r>
          </w:p>
        </w:tc>
      </w:tr>
      <w:tr>
        <w:trPr>
          <w:trHeight w:val="285" w:hRule="atLeast"/>
        </w:trPr>
        <w:tc>
          <w:tcPr>
            <w:tcW w:w="5571" w:type="dxa"/>
            <w:shd w:val="clear" w:color="auto" w:fill="D2DFED"/>
          </w:tcPr>
          <w:p>
            <w:pPr>
              <w:pStyle w:val="TableParagraph"/>
              <w:spacing w:before="13"/>
              <w:ind w:left="117"/>
              <w:jc w:val="left"/>
              <w:rPr>
                <w:b/>
                <w:sz w:val="20"/>
              </w:rPr>
            </w:pPr>
            <w:r>
              <w:rPr>
                <w:b/>
                <w:sz w:val="20"/>
              </w:rPr>
              <w:t>Burswood Park Board</w:t>
            </w:r>
          </w:p>
        </w:tc>
        <w:tc>
          <w:tcPr>
            <w:tcW w:w="1389" w:type="dxa"/>
            <w:shd w:val="clear" w:color="auto" w:fill="D2DFED"/>
          </w:tcPr>
          <w:p>
            <w:pPr>
              <w:pStyle w:val="TableParagraph"/>
              <w:spacing w:before="13"/>
              <w:ind w:right="284"/>
              <w:rPr>
                <w:sz w:val="20"/>
              </w:rPr>
            </w:pPr>
            <w:r>
              <w:rPr>
                <w:w w:val="99"/>
                <w:sz w:val="20"/>
              </w:rPr>
              <w:t>6</w:t>
            </w:r>
          </w:p>
        </w:tc>
        <w:tc>
          <w:tcPr>
            <w:tcW w:w="1235" w:type="dxa"/>
            <w:shd w:val="clear" w:color="auto" w:fill="D2DFED"/>
          </w:tcPr>
          <w:p>
            <w:pPr>
              <w:pStyle w:val="TableParagraph"/>
              <w:spacing w:before="13"/>
              <w:ind w:right="103"/>
              <w:rPr>
                <w:sz w:val="20"/>
              </w:rPr>
            </w:pPr>
            <w:r>
              <w:rPr>
                <w:w w:val="99"/>
                <w:sz w:val="20"/>
              </w:rPr>
              <w:t>6</w:t>
            </w:r>
          </w:p>
        </w:tc>
        <w:tc>
          <w:tcPr>
            <w:tcW w:w="1848" w:type="dxa"/>
            <w:shd w:val="clear" w:color="auto" w:fill="D2DFED"/>
          </w:tcPr>
          <w:p>
            <w:pPr>
              <w:pStyle w:val="TableParagraph"/>
              <w:spacing w:before="13"/>
              <w:ind w:right="105"/>
              <w:rPr>
                <w:sz w:val="20"/>
              </w:rPr>
            </w:pPr>
            <w:r>
              <w:rPr>
                <w:w w:val="99"/>
                <w:sz w:val="20"/>
              </w:rPr>
              <w:t>5</w:t>
            </w:r>
          </w:p>
        </w:tc>
      </w:tr>
      <w:tr>
        <w:trPr>
          <w:trHeight w:val="283" w:hRule="atLeast"/>
        </w:trPr>
        <w:tc>
          <w:tcPr>
            <w:tcW w:w="5571" w:type="dxa"/>
          </w:tcPr>
          <w:p>
            <w:pPr>
              <w:pStyle w:val="TableParagraph"/>
              <w:spacing w:before="13"/>
              <w:ind w:left="117"/>
              <w:jc w:val="left"/>
              <w:rPr>
                <w:b/>
                <w:sz w:val="20"/>
              </w:rPr>
            </w:pPr>
            <w:r>
              <w:rPr>
                <w:b/>
                <w:sz w:val="20"/>
              </w:rPr>
              <w:t>Veterinary Surgeons’ Board</w:t>
            </w:r>
          </w:p>
        </w:tc>
        <w:tc>
          <w:tcPr>
            <w:tcW w:w="1389" w:type="dxa"/>
          </w:tcPr>
          <w:p>
            <w:pPr>
              <w:pStyle w:val="TableParagraph"/>
              <w:spacing w:before="13"/>
              <w:ind w:right="284"/>
              <w:rPr>
                <w:sz w:val="20"/>
              </w:rPr>
            </w:pPr>
            <w:r>
              <w:rPr>
                <w:w w:val="99"/>
                <w:sz w:val="20"/>
              </w:rPr>
              <w:t>6</w:t>
            </w:r>
          </w:p>
        </w:tc>
        <w:tc>
          <w:tcPr>
            <w:tcW w:w="1235" w:type="dxa"/>
          </w:tcPr>
          <w:p>
            <w:pPr>
              <w:pStyle w:val="TableParagraph"/>
              <w:spacing w:before="13"/>
              <w:ind w:right="103"/>
              <w:rPr>
                <w:sz w:val="20"/>
              </w:rPr>
            </w:pPr>
            <w:r>
              <w:rPr>
                <w:w w:val="99"/>
                <w:sz w:val="20"/>
              </w:rPr>
              <w:t>4</w:t>
            </w:r>
          </w:p>
        </w:tc>
        <w:tc>
          <w:tcPr>
            <w:tcW w:w="1848" w:type="dxa"/>
          </w:tcPr>
          <w:p>
            <w:pPr>
              <w:pStyle w:val="TableParagraph"/>
              <w:spacing w:before="13"/>
              <w:ind w:right="105"/>
              <w:rPr>
                <w:sz w:val="20"/>
              </w:rPr>
            </w:pPr>
            <w:r>
              <w:rPr>
                <w:w w:val="99"/>
                <w:sz w:val="20"/>
              </w:rPr>
              <w:t>4</w:t>
            </w:r>
          </w:p>
        </w:tc>
      </w:tr>
      <w:tr>
        <w:trPr>
          <w:trHeight w:val="285" w:hRule="atLeast"/>
        </w:trPr>
        <w:tc>
          <w:tcPr>
            <w:tcW w:w="5571" w:type="dxa"/>
            <w:shd w:val="clear" w:color="auto" w:fill="D2DFED"/>
          </w:tcPr>
          <w:p>
            <w:pPr>
              <w:pStyle w:val="TableParagraph"/>
              <w:spacing w:before="16"/>
              <w:ind w:left="117"/>
              <w:jc w:val="left"/>
              <w:rPr>
                <w:b/>
                <w:sz w:val="20"/>
              </w:rPr>
            </w:pPr>
            <w:r>
              <w:rPr>
                <w:b/>
                <w:sz w:val="20"/>
              </w:rPr>
              <w:t>Architects Board of Western Australia</w:t>
            </w:r>
          </w:p>
        </w:tc>
        <w:tc>
          <w:tcPr>
            <w:tcW w:w="1389" w:type="dxa"/>
            <w:shd w:val="clear" w:color="auto" w:fill="D2DFED"/>
          </w:tcPr>
          <w:p>
            <w:pPr>
              <w:pStyle w:val="TableParagraph"/>
              <w:spacing w:before="16"/>
              <w:ind w:right="284"/>
              <w:rPr>
                <w:sz w:val="20"/>
              </w:rPr>
            </w:pPr>
            <w:r>
              <w:rPr>
                <w:w w:val="99"/>
                <w:sz w:val="20"/>
              </w:rPr>
              <w:t>3</w:t>
            </w:r>
          </w:p>
        </w:tc>
        <w:tc>
          <w:tcPr>
            <w:tcW w:w="1235" w:type="dxa"/>
            <w:shd w:val="clear" w:color="auto" w:fill="D2DFED"/>
          </w:tcPr>
          <w:p>
            <w:pPr>
              <w:pStyle w:val="TableParagraph"/>
              <w:spacing w:before="16"/>
              <w:ind w:right="103"/>
              <w:rPr>
                <w:sz w:val="20"/>
              </w:rPr>
            </w:pPr>
            <w:r>
              <w:rPr>
                <w:w w:val="99"/>
                <w:sz w:val="20"/>
              </w:rPr>
              <w:t>2</w:t>
            </w:r>
          </w:p>
        </w:tc>
        <w:tc>
          <w:tcPr>
            <w:tcW w:w="1848" w:type="dxa"/>
            <w:shd w:val="clear" w:color="auto" w:fill="D2DFED"/>
          </w:tcPr>
          <w:p>
            <w:pPr>
              <w:pStyle w:val="TableParagraph"/>
              <w:spacing w:before="16"/>
              <w:ind w:right="105"/>
              <w:rPr>
                <w:sz w:val="20"/>
              </w:rPr>
            </w:pPr>
            <w:r>
              <w:rPr>
                <w:w w:val="99"/>
                <w:sz w:val="20"/>
              </w:rPr>
              <w:t>2</w:t>
            </w:r>
          </w:p>
        </w:tc>
      </w:tr>
      <w:tr>
        <w:trPr>
          <w:trHeight w:val="285" w:hRule="atLeast"/>
        </w:trPr>
        <w:tc>
          <w:tcPr>
            <w:tcW w:w="5571" w:type="dxa"/>
            <w:tcBorders>
              <w:bottom w:val="double" w:sz="1" w:space="0" w:color="000000"/>
            </w:tcBorders>
          </w:tcPr>
          <w:p>
            <w:pPr>
              <w:pStyle w:val="TableParagraph"/>
              <w:spacing w:before="16"/>
              <w:ind w:left="117"/>
              <w:jc w:val="left"/>
              <w:rPr>
                <w:b/>
                <w:sz w:val="20"/>
              </w:rPr>
            </w:pPr>
            <w:r>
              <w:rPr>
                <w:b/>
                <w:sz w:val="20"/>
              </w:rPr>
              <w:t>Minerals and Energy Research Institute of Western Australia</w:t>
            </w:r>
          </w:p>
        </w:tc>
        <w:tc>
          <w:tcPr>
            <w:tcW w:w="1389" w:type="dxa"/>
            <w:tcBorders>
              <w:bottom w:val="double" w:sz="1" w:space="0" w:color="000000"/>
            </w:tcBorders>
          </w:tcPr>
          <w:p>
            <w:pPr>
              <w:pStyle w:val="TableParagraph"/>
              <w:spacing w:before="16"/>
              <w:ind w:right="284"/>
              <w:rPr>
                <w:sz w:val="20"/>
              </w:rPr>
            </w:pPr>
            <w:r>
              <w:rPr>
                <w:w w:val="99"/>
                <w:sz w:val="20"/>
              </w:rPr>
              <w:t>4</w:t>
            </w:r>
          </w:p>
        </w:tc>
        <w:tc>
          <w:tcPr>
            <w:tcW w:w="1235" w:type="dxa"/>
            <w:tcBorders>
              <w:bottom w:val="double" w:sz="1" w:space="0" w:color="000000"/>
            </w:tcBorders>
          </w:tcPr>
          <w:p>
            <w:pPr>
              <w:pStyle w:val="TableParagraph"/>
              <w:spacing w:before="16"/>
              <w:ind w:right="103"/>
              <w:rPr>
                <w:sz w:val="20"/>
              </w:rPr>
            </w:pPr>
            <w:r>
              <w:rPr>
                <w:w w:val="99"/>
                <w:sz w:val="20"/>
              </w:rPr>
              <w:t>2</w:t>
            </w:r>
          </w:p>
        </w:tc>
        <w:tc>
          <w:tcPr>
            <w:tcW w:w="1848" w:type="dxa"/>
            <w:tcBorders>
              <w:bottom w:val="double" w:sz="1" w:space="0" w:color="000000"/>
            </w:tcBorders>
          </w:tcPr>
          <w:p>
            <w:pPr>
              <w:pStyle w:val="TableParagraph"/>
              <w:spacing w:before="16"/>
              <w:ind w:right="105"/>
              <w:rPr>
                <w:sz w:val="20"/>
              </w:rPr>
            </w:pPr>
            <w:r>
              <w:rPr>
                <w:w w:val="99"/>
                <w:sz w:val="20"/>
              </w:rPr>
              <w:t>2</w:t>
            </w:r>
          </w:p>
        </w:tc>
      </w:tr>
      <w:tr>
        <w:trPr>
          <w:trHeight w:val="287" w:hRule="atLeast"/>
        </w:trPr>
        <w:tc>
          <w:tcPr>
            <w:tcW w:w="5571" w:type="dxa"/>
            <w:tcBorders>
              <w:top w:val="double" w:sz="1" w:space="0" w:color="000000"/>
              <w:bottom w:val="double" w:sz="1" w:space="0" w:color="000000"/>
            </w:tcBorders>
            <w:shd w:val="clear" w:color="auto" w:fill="D2DFED"/>
          </w:tcPr>
          <w:p>
            <w:pPr>
              <w:pStyle w:val="TableParagraph"/>
              <w:spacing w:before="15"/>
              <w:ind w:left="117"/>
              <w:jc w:val="left"/>
              <w:rPr>
                <w:b/>
                <w:i/>
                <w:sz w:val="20"/>
              </w:rPr>
            </w:pPr>
            <w:r>
              <w:rPr>
                <w:b/>
                <w:i/>
                <w:sz w:val="20"/>
              </w:rPr>
              <w:t>TOTAL</w:t>
            </w:r>
          </w:p>
        </w:tc>
        <w:tc>
          <w:tcPr>
            <w:tcW w:w="1389" w:type="dxa"/>
            <w:tcBorders>
              <w:top w:val="double" w:sz="1" w:space="0" w:color="000000"/>
              <w:bottom w:val="double" w:sz="1" w:space="0" w:color="000000"/>
            </w:tcBorders>
            <w:shd w:val="clear" w:color="auto" w:fill="D2DFED"/>
          </w:tcPr>
          <w:p>
            <w:pPr>
              <w:pStyle w:val="TableParagraph"/>
              <w:spacing w:before="15"/>
              <w:ind w:right="287"/>
              <w:rPr>
                <w:b/>
                <w:sz w:val="20"/>
              </w:rPr>
            </w:pPr>
            <w:r>
              <w:rPr>
                <w:b/>
                <w:sz w:val="20"/>
              </w:rPr>
              <w:t>13,737</w:t>
            </w:r>
          </w:p>
        </w:tc>
        <w:tc>
          <w:tcPr>
            <w:tcW w:w="1235" w:type="dxa"/>
            <w:tcBorders>
              <w:top w:val="double" w:sz="1" w:space="0" w:color="000000"/>
              <w:bottom w:val="double" w:sz="1" w:space="0" w:color="000000"/>
            </w:tcBorders>
            <w:shd w:val="clear" w:color="auto" w:fill="D2DFED"/>
          </w:tcPr>
          <w:p>
            <w:pPr>
              <w:pStyle w:val="TableParagraph"/>
              <w:spacing w:before="15"/>
              <w:ind w:right="106"/>
              <w:rPr>
                <w:b/>
                <w:sz w:val="20"/>
              </w:rPr>
            </w:pPr>
            <w:r>
              <w:rPr>
                <w:b/>
                <w:sz w:val="20"/>
              </w:rPr>
              <w:t>12,923</w:t>
            </w:r>
          </w:p>
        </w:tc>
        <w:tc>
          <w:tcPr>
            <w:tcW w:w="1848" w:type="dxa"/>
            <w:tcBorders>
              <w:top w:val="double" w:sz="1" w:space="0" w:color="000000"/>
              <w:bottom w:val="single" w:sz="4" w:space="0" w:color="000000"/>
            </w:tcBorders>
            <w:shd w:val="clear" w:color="auto" w:fill="D2DFED"/>
          </w:tcPr>
          <w:p>
            <w:pPr>
              <w:pStyle w:val="TableParagraph"/>
              <w:spacing w:before="15"/>
              <w:ind w:right="108"/>
              <w:rPr>
                <w:b/>
                <w:sz w:val="20"/>
              </w:rPr>
            </w:pPr>
            <w:r>
              <w:rPr>
                <w:b/>
                <w:sz w:val="20"/>
              </w:rPr>
              <w:t>12,541</w:t>
            </w:r>
          </w:p>
        </w:tc>
      </w:tr>
      <w:tr>
        <w:trPr>
          <w:trHeight w:val="135" w:hRule="atLeast"/>
        </w:trPr>
        <w:tc>
          <w:tcPr>
            <w:tcW w:w="5571" w:type="dxa"/>
            <w:tcBorders>
              <w:top w:val="double" w:sz="1" w:space="0" w:color="000000"/>
              <w:bottom w:val="double" w:sz="1" w:space="0" w:color="000000"/>
            </w:tcBorders>
          </w:tcPr>
          <w:p>
            <w:pPr>
              <w:pStyle w:val="TableParagraph"/>
              <w:spacing w:before="0"/>
              <w:jc w:val="left"/>
              <w:rPr>
                <w:rFonts w:ascii="Times New Roman"/>
                <w:sz w:val="8"/>
              </w:rPr>
            </w:pPr>
          </w:p>
        </w:tc>
        <w:tc>
          <w:tcPr>
            <w:tcW w:w="1389" w:type="dxa"/>
            <w:tcBorders>
              <w:top w:val="double" w:sz="1" w:space="0" w:color="000000"/>
              <w:bottom w:val="double" w:sz="1" w:space="0" w:color="000000"/>
            </w:tcBorders>
          </w:tcPr>
          <w:p>
            <w:pPr>
              <w:pStyle w:val="TableParagraph"/>
              <w:spacing w:before="0"/>
              <w:jc w:val="left"/>
              <w:rPr>
                <w:rFonts w:ascii="Times New Roman"/>
                <w:sz w:val="8"/>
              </w:rPr>
            </w:pPr>
          </w:p>
        </w:tc>
        <w:tc>
          <w:tcPr>
            <w:tcW w:w="1235" w:type="dxa"/>
            <w:tcBorders>
              <w:top w:val="double" w:sz="1" w:space="0" w:color="000000"/>
              <w:bottom w:val="double" w:sz="1" w:space="0" w:color="000000"/>
            </w:tcBorders>
          </w:tcPr>
          <w:p>
            <w:pPr>
              <w:pStyle w:val="TableParagraph"/>
              <w:spacing w:before="0"/>
              <w:jc w:val="left"/>
              <w:rPr>
                <w:rFonts w:ascii="Times New Roman"/>
                <w:sz w:val="8"/>
              </w:rPr>
            </w:pPr>
          </w:p>
        </w:tc>
        <w:tc>
          <w:tcPr>
            <w:tcW w:w="1848" w:type="dxa"/>
            <w:tcBorders>
              <w:top w:val="single" w:sz="4" w:space="0" w:color="000000"/>
            </w:tcBorders>
          </w:tcPr>
          <w:p>
            <w:pPr>
              <w:pStyle w:val="TableParagraph"/>
              <w:spacing w:line="20" w:lineRule="exact" w:before="0"/>
              <w:ind w:left="14" w:right="-72"/>
              <w:jc w:val="left"/>
              <w:rPr>
                <w:sz w:val="2"/>
              </w:rPr>
            </w:pPr>
            <w:r>
              <w:rPr>
                <w:sz w:val="2"/>
              </w:rPr>
              <w:pict>
                <v:group style="width:91.45pt;height:.5pt;mso-position-horizontal-relative:char;mso-position-vertical-relative:line" coordorigin="0,0" coordsize="1829,10">
                  <v:line style="position:absolute" from="0,5" to="1829,5" stroked="true" strokeweight=".48004pt" strokecolor="#000000">
                    <v:stroke dashstyle="solid"/>
                  </v:line>
                </v:group>
              </w:pict>
            </w:r>
            <w:r>
              <w:rPr>
                <w:sz w:val="2"/>
              </w:rPr>
            </w:r>
          </w:p>
        </w:tc>
      </w:tr>
    </w:tbl>
    <w:p>
      <w:pPr>
        <w:rPr>
          <w:sz w:val="2"/>
          <w:szCs w:val="2"/>
        </w:rPr>
      </w:pPr>
      <w:r>
        <w:rPr/>
        <w:pict>
          <v:shapetype id="_x0000_t202" o:spt="202" coordsize="21600,21600" path="m,l,21600r21600,l21600,xe">
            <v:stroke joinstyle="miter"/>
            <v:path gradientshapeok="t" o:connecttype="rect"/>
          </v:shapetype>
          <v:shape style="position:absolute;margin-left:65.903999pt;margin-top:759.359924pt;width:410.25pt;height:17.2pt;mso-position-horizontal-relative:page;mso-position-vertical-relative:page;z-index:251660288" type="#_x0000_t20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4"/>
                    <w:gridCol w:w="3077"/>
                    <w:gridCol w:w="1214"/>
                  </w:tblGrid>
                  <w:tr>
                    <w:trPr>
                      <w:trHeight w:val="323" w:hRule="atLeast"/>
                    </w:trPr>
                    <w:tc>
                      <w:tcPr>
                        <w:tcW w:w="3914" w:type="dxa"/>
                        <w:tcBorders>
                          <w:bottom w:val="double" w:sz="1" w:space="0" w:color="000000"/>
                        </w:tcBorders>
                      </w:tcPr>
                      <w:p>
                        <w:pPr>
                          <w:pStyle w:val="TableParagraph"/>
                          <w:spacing w:line="273" w:lineRule="exact" w:before="30"/>
                          <w:ind w:left="122"/>
                          <w:jc w:val="left"/>
                          <w:rPr>
                            <w:b/>
                            <w:sz w:val="24"/>
                          </w:rPr>
                        </w:pPr>
                        <w:r>
                          <w:rPr>
                            <w:b/>
                            <w:sz w:val="24"/>
                          </w:rPr>
                          <w:t>TOTAL (HR MOIR)</w:t>
                        </w:r>
                      </w:p>
                    </w:tc>
                    <w:tc>
                      <w:tcPr>
                        <w:tcW w:w="3077" w:type="dxa"/>
                        <w:tcBorders>
                          <w:bottom w:val="double" w:sz="1" w:space="0" w:color="000000"/>
                        </w:tcBorders>
                      </w:tcPr>
                      <w:p>
                        <w:pPr>
                          <w:pStyle w:val="TableParagraph"/>
                          <w:spacing w:line="273" w:lineRule="exact" w:before="30"/>
                          <w:ind w:left="1971"/>
                          <w:jc w:val="left"/>
                          <w:rPr>
                            <w:b/>
                            <w:sz w:val="24"/>
                          </w:rPr>
                        </w:pPr>
                        <w:r>
                          <w:rPr>
                            <w:b/>
                            <w:sz w:val="24"/>
                          </w:rPr>
                          <w:t>147,124</w:t>
                        </w:r>
                      </w:p>
                    </w:tc>
                    <w:tc>
                      <w:tcPr>
                        <w:tcW w:w="1214" w:type="dxa"/>
                        <w:tcBorders>
                          <w:bottom w:val="double" w:sz="1" w:space="0" w:color="000000"/>
                        </w:tcBorders>
                      </w:tcPr>
                      <w:p>
                        <w:pPr>
                          <w:pStyle w:val="TableParagraph"/>
                          <w:spacing w:line="273" w:lineRule="exact" w:before="30"/>
                          <w:ind w:left="310"/>
                          <w:jc w:val="left"/>
                          <w:rPr>
                            <w:b/>
                            <w:sz w:val="24"/>
                          </w:rPr>
                        </w:pPr>
                        <w:r>
                          <w:rPr>
                            <w:b/>
                            <w:sz w:val="24"/>
                          </w:rPr>
                          <w:t>114,850</w:t>
                        </w:r>
                      </w:p>
                    </w:tc>
                  </w:tr>
                </w:tbl>
                <w:p>
                  <w:pPr>
                    <w:pStyle w:val="BodyText"/>
                    <w:ind w:left="0"/>
                  </w:pPr>
                </w:p>
              </w:txbxContent>
            </v:textbox>
            <w10:wrap type="none"/>
          </v:shape>
        </w:pict>
      </w:r>
    </w:p>
    <w:sectPr>
      <w:pgSz w:w="11910" w:h="16850"/>
      <w:pgMar w:top="1000" w:bottom="280" w:left="12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960" w:hanging="360"/>
        <w:jc w:val="left"/>
      </w:pPr>
      <w:rPr>
        <w:rFonts w:hint="default" w:ascii="Calibri" w:hAnsi="Calibri" w:eastAsia="Calibri" w:cs="Calibri"/>
        <w:w w:val="100"/>
        <w:sz w:val="22"/>
        <w:szCs w:val="22"/>
        <w:lang w:val="en-au" w:eastAsia="en-au" w:bidi="en-au"/>
      </w:rPr>
    </w:lvl>
    <w:lvl w:ilvl="1">
      <w:start w:val="0"/>
      <w:numFmt w:val="bullet"/>
      <w:lvlText w:val="•"/>
      <w:lvlJc w:val="left"/>
      <w:pPr>
        <w:ind w:left="1892" w:hanging="360"/>
      </w:pPr>
      <w:rPr>
        <w:rFonts w:hint="default"/>
        <w:lang w:val="en-au" w:eastAsia="en-au" w:bidi="en-au"/>
      </w:rPr>
    </w:lvl>
    <w:lvl w:ilvl="2">
      <w:start w:val="0"/>
      <w:numFmt w:val="bullet"/>
      <w:lvlText w:val="•"/>
      <w:lvlJc w:val="left"/>
      <w:pPr>
        <w:ind w:left="2824" w:hanging="360"/>
      </w:pPr>
      <w:rPr>
        <w:rFonts w:hint="default"/>
        <w:lang w:val="en-au" w:eastAsia="en-au" w:bidi="en-au"/>
      </w:rPr>
    </w:lvl>
    <w:lvl w:ilvl="3">
      <w:start w:val="0"/>
      <w:numFmt w:val="bullet"/>
      <w:lvlText w:val="•"/>
      <w:lvlJc w:val="left"/>
      <w:pPr>
        <w:ind w:left="3757" w:hanging="360"/>
      </w:pPr>
      <w:rPr>
        <w:rFonts w:hint="default"/>
        <w:lang w:val="en-au" w:eastAsia="en-au" w:bidi="en-au"/>
      </w:rPr>
    </w:lvl>
    <w:lvl w:ilvl="4">
      <w:start w:val="0"/>
      <w:numFmt w:val="bullet"/>
      <w:lvlText w:val="•"/>
      <w:lvlJc w:val="left"/>
      <w:pPr>
        <w:ind w:left="4689" w:hanging="360"/>
      </w:pPr>
      <w:rPr>
        <w:rFonts w:hint="default"/>
        <w:lang w:val="en-au" w:eastAsia="en-au" w:bidi="en-au"/>
      </w:rPr>
    </w:lvl>
    <w:lvl w:ilvl="5">
      <w:start w:val="0"/>
      <w:numFmt w:val="bullet"/>
      <w:lvlText w:val="•"/>
      <w:lvlJc w:val="left"/>
      <w:pPr>
        <w:ind w:left="5622" w:hanging="360"/>
      </w:pPr>
      <w:rPr>
        <w:rFonts w:hint="default"/>
        <w:lang w:val="en-au" w:eastAsia="en-au" w:bidi="en-au"/>
      </w:rPr>
    </w:lvl>
    <w:lvl w:ilvl="6">
      <w:start w:val="0"/>
      <w:numFmt w:val="bullet"/>
      <w:lvlText w:val="•"/>
      <w:lvlJc w:val="left"/>
      <w:pPr>
        <w:ind w:left="6554" w:hanging="360"/>
      </w:pPr>
      <w:rPr>
        <w:rFonts w:hint="default"/>
        <w:lang w:val="en-au" w:eastAsia="en-au" w:bidi="en-au"/>
      </w:rPr>
    </w:lvl>
    <w:lvl w:ilvl="7">
      <w:start w:val="0"/>
      <w:numFmt w:val="bullet"/>
      <w:lvlText w:val="•"/>
      <w:lvlJc w:val="left"/>
      <w:pPr>
        <w:ind w:left="7486" w:hanging="360"/>
      </w:pPr>
      <w:rPr>
        <w:rFonts w:hint="default"/>
        <w:lang w:val="en-au" w:eastAsia="en-au" w:bidi="en-au"/>
      </w:rPr>
    </w:lvl>
    <w:lvl w:ilvl="8">
      <w:start w:val="0"/>
      <w:numFmt w:val="bullet"/>
      <w:lvlText w:val="•"/>
      <w:lvlJc w:val="left"/>
      <w:pPr>
        <w:ind w:left="8419" w:hanging="360"/>
      </w:pPr>
      <w:rPr>
        <w:rFonts w:hint="default"/>
        <w:lang w:val="en-au" w:eastAsia="en-au" w:bidi="en-a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ind w:left="240"/>
    </w:pPr>
    <w:rPr>
      <w:rFonts w:ascii="Calibri" w:hAnsi="Calibri" w:eastAsia="Calibri" w:cs="Calibri"/>
      <w:sz w:val="22"/>
      <w:szCs w:val="22"/>
      <w:lang w:val="en-au" w:eastAsia="en-au" w:bidi="en-au"/>
    </w:rPr>
  </w:style>
  <w:style w:styleId="ListParagraph" w:type="paragraph">
    <w:name w:val="List Paragraph"/>
    <w:basedOn w:val="Normal"/>
    <w:uiPriority w:val="1"/>
    <w:qFormat/>
    <w:pPr>
      <w:spacing w:before="1"/>
      <w:ind w:left="960" w:hanging="361"/>
    </w:pPr>
    <w:rPr>
      <w:rFonts w:ascii="Calibri" w:hAnsi="Calibri" w:eastAsia="Calibri" w:cs="Calibri"/>
      <w:lang w:val="en-au" w:eastAsia="en-au" w:bidi="en-au"/>
    </w:rPr>
  </w:style>
  <w:style w:styleId="TableParagraph" w:type="paragraph">
    <w:name w:val="Table Paragraph"/>
    <w:basedOn w:val="Normal"/>
    <w:uiPriority w:val="1"/>
    <w:qFormat/>
    <w:pPr>
      <w:spacing w:before="23"/>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spsailasavona</dc:creator>
  <dcterms:created xsi:type="dcterms:W3CDTF">2020-03-05T03:05:42Z</dcterms:created>
  <dcterms:modified xsi:type="dcterms:W3CDTF">2020-03-05T03:05:42Z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2009-09-17T00:00:00Z</vt:filetime>
  </property>
  <property fmtid="{D5CDD505-2E9C-101B-9397-08002B2CF9AE}" pid="3" name="Creator">
    <vt:lpwstr>Microsoft® Office Word 2007</vt:lpwstr>
  </property>
  <property fmtid="{D5CDD505-2E9C-101B-9397-08002B2CF9AE}" pid="4" name="LastSaved">
    <vt:filetime>2020-03-05T00:00:00Z</vt:filetime>
  </property>
</Properties>
</file>