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1"/>
        <w:rPr>
          <w:rFonts w:ascii="Times New Roman"/>
          <w:sz w:val="20"/>
        </w:rPr>
      </w:pPr>
      <w:r>
        <w:rPr>
          <w:rFonts w:ascii="Times New Roman"/>
          <w:sz w:val="20"/>
        </w:rPr>
        <w:drawing>
          <wp:inline distT="0" distB="0" distL="0" distR="0">
            <wp:extent cx="6538356" cy="75542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538356" cy="755427"/>
                    </a:xfrm>
                    <a:prstGeom prst="rect">
                      <a:avLst/>
                    </a:prstGeom>
                  </pic:spPr>
                </pic:pic>
              </a:graphicData>
            </a:graphic>
          </wp:inline>
        </w:drawing>
      </w:r>
      <w:r>
        <w:rPr>
          <w:rFonts w:ascii="Times New Roman"/>
          <w:sz w:val="20"/>
        </w:rPr>
      </w:r>
    </w:p>
    <w:p>
      <w:pPr>
        <w:pStyle w:val="BodyText"/>
        <w:spacing w:before="2"/>
        <w:rPr>
          <w:rFonts w:ascii="Times New Roman"/>
          <w:sz w:val="11"/>
        </w:rPr>
      </w:pPr>
    </w:p>
    <w:p>
      <w:pPr>
        <w:spacing w:before="44"/>
        <w:ind w:left="1310" w:right="1180" w:firstLine="0"/>
        <w:jc w:val="center"/>
        <w:rPr>
          <w:b/>
          <w:sz w:val="28"/>
        </w:rPr>
      </w:pPr>
      <w:r>
        <w:rPr>
          <w:b/>
          <w:sz w:val="28"/>
        </w:rPr>
        <w:t>Western Australian Public Sector Workforce Report (December 2011)</w:t>
      </w:r>
    </w:p>
    <w:p>
      <w:pPr>
        <w:pStyle w:val="BodyText"/>
        <w:spacing w:before="118"/>
        <w:ind w:left="597" w:right="464"/>
        <w:jc w:val="both"/>
      </w:pPr>
      <w:r>
        <w:rPr/>
        <w:t>In 2007/08, the Department of the Premier and Cabinet (DPC) introduced a new information system to improve workforce reporting on the Western Australian public sector.</w:t>
      </w:r>
      <w:r>
        <w:rPr>
          <w:vertAlign w:val="superscript"/>
        </w:rPr>
        <w:t>1</w:t>
      </w:r>
      <w:r>
        <w:rPr>
          <w:vertAlign w:val="baseline"/>
        </w:rPr>
        <w:t> This process is referred to as the </w:t>
      </w:r>
      <w:r>
        <w:rPr>
          <w:i/>
          <w:vertAlign w:val="baseline"/>
        </w:rPr>
        <w:t>Human Resource Minimum Obligatory Information Requirements </w:t>
      </w:r>
      <w:r>
        <w:rPr>
          <w:vertAlign w:val="baseline"/>
        </w:rPr>
        <w:t>(HRMOIR). The Public Sector Commission (PSC) was created in November 2008 and is continuing this</w:t>
      </w:r>
      <w:r>
        <w:rPr>
          <w:spacing w:val="-16"/>
          <w:vertAlign w:val="baseline"/>
        </w:rPr>
        <w:t> </w:t>
      </w:r>
      <w:r>
        <w:rPr>
          <w:vertAlign w:val="baseline"/>
        </w:rPr>
        <w:t>process.</w:t>
      </w:r>
    </w:p>
    <w:p>
      <w:pPr>
        <w:pStyle w:val="BodyText"/>
        <w:spacing w:before="121"/>
        <w:ind w:left="597"/>
        <w:jc w:val="both"/>
      </w:pPr>
      <w:r>
        <w:rPr/>
        <w:t>This report provides information, as at 31 December 2011, on:</w:t>
      </w:r>
    </w:p>
    <w:p>
      <w:pPr>
        <w:pStyle w:val="ListParagraph"/>
        <w:numPr>
          <w:ilvl w:val="0"/>
          <w:numId w:val="1"/>
        </w:numPr>
        <w:tabs>
          <w:tab w:pos="1318" w:val="left" w:leader="none"/>
        </w:tabs>
        <w:spacing w:line="276" w:lineRule="exact" w:before="106" w:after="0"/>
        <w:ind w:left="1317" w:right="0" w:hanging="361"/>
        <w:jc w:val="both"/>
        <w:rPr>
          <w:sz w:val="22"/>
        </w:rPr>
      </w:pPr>
      <w:r>
        <w:rPr>
          <w:sz w:val="22"/>
        </w:rPr>
        <w:t>Headcount</w:t>
      </w:r>
      <w:r>
        <w:rPr>
          <w:position w:val="10"/>
          <w:sz w:val="13"/>
        </w:rPr>
        <w:t>2 </w:t>
      </w:r>
      <w:r>
        <w:rPr>
          <w:sz w:val="22"/>
        </w:rPr>
        <w:t>- the number of employees in WA public sector</w:t>
      </w:r>
      <w:r>
        <w:rPr>
          <w:spacing w:val="-21"/>
          <w:sz w:val="22"/>
        </w:rPr>
        <w:t> </w:t>
      </w:r>
      <w:r>
        <w:rPr>
          <w:sz w:val="22"/>
        </w:rPr>
        <w:t>agencies;</w:t>
      </w:r>
    </w:p>
    <w:p>
      <w:pPr>
        <w:pStyle w:val="ListParagraph"/>
        <w:numPr>
          <w:ilvl w:val="0"/>
          <w:numId w:val="1"/>
        </w:numPr>
        <w:tabs>
          <w:tab w:pos="1318" w:val="left" w:leader="none"/>
        </w:tabs>
        <w:spacing w:line="276" w:lineRule="exact" w:before="0" w:after="0"/>
        <w:ind w:left="1317" w:right="0" w:hanging="361"/>
        <w:jc w:val="both"/>
        <w:rPr>
          <w:sz w:val="22"/>
        </w:rPr>
      </w:pPr>
      <w:r>
        <w:rPr>
          <w:sz w:val="22"/>
        </w:rPr>
        <w:t>Paid FTE</w:t>
      </w:r>
      <w:r>
        <w:rPr>
          <w:position w:val="10"/>
          <w:sz w:val="13"/>
        </w:rPr>
        <w:t>3 </w:t>
      </w:r>
      <w:r>
        <w:rPr>
          <w:sz w:val="22"/>
        </w:rPr>
        <w:t>- full time equivalent (FTE) employees in WA public sector agencies;</w:t>
      </w:r>
      <w:r>
        <w:rPr>
          <w:spacing w:val="-25"/>
          <w:sz w:val="22"/>
        </w:rPr>
        <w:t> </w:t>
      </w:r>
      <w:r>
        <w:rPr>
          <w:sz w:val="22"/>
        </w:rPr>
        <w:t>and</w:t>
      </w:r>
    </w:p>
    <w:p>
      <w:pPr>
        <w:pStyle w:val="ListParagraph"/>
        <w:numPr>
          <w:ilvl w:val="0"/>
          <w:numId w:val="1"/>
        </w:numPr>
        <w:tabs>
          <w:tab w:pos="1318" w:val="left" w:leader="none"/>
        </w:tabs>
        <w:spacing w:line="240" w:lineRule="auto" w:before="1" w:after="0"/>
        <w:ind w:left="1317" w:right="464" w:hanging="360"/>
        <w:jc w:val="both"/>
        <w:rPr>
          <w:sz w:val="22"/>
        </w:rPr>
      </w:pPr>
      <w:r>
        <w:rPr>
          <w:sz w:val="22"/>
        </w:rPr>
        <w:t>Average Paid FTE</w:t>
      </w:r>
      <w:r>
        <w:rPr>
          <w:sz w:val="22"/>
          <w:vertAlign w:val="superscript"/>
        </w:rPr>
        <w:t>4</w:t>
      </w:r>
      <w:r>
        <w:rPr>
          <w:sz w:val="22"/>
          <w:vertAlign w:val="baseline"/>
        </w:rPr>
        <w:t> - Seasonally adjusted average full time equivalent (FTE) employees in WA  public sector</w:t>
      </w:r>
      <w:r>
        <w:rPr>
          <w:spacing w:val="-1"/>
          <w:sz w:val="22"/>
          <w:vertAlign w:val="baseline"/>
        </w:rPr>
        <w:t> </w:t>
      </w:r>
      <w:r>
        <w:rPr>
          <w:sz w:val="22"/>
          <w:vertAlign w:val="baseline"/>
        </w:rPr>
        <w:t>agencies.</w:t>
      </w:r>
    </w:p>
    <w:p>
      <w:pPr>
        <w:pStyle w:val="BodyText"/>
        <w:spacing w:before="118"/>
        <w:ind w:left="597" w:right="463"/>
        <w:jc w:val="both"/>
      </w:pPr>
      <w:r>
        <w:rPr/>
        <w:t>In accordance with the Premier’s Economic  Statement  in  February  2009  and the  Cabinet  decision of 27 July 2009, an FTE ceiling has been applied to public sector agencies. PSC is assisting the Department of Treasury and Finance (DTF) with the monitoring and reporting against this requirement. This Workforce Report categorises agencies that are required to meet the FTE ceiling, and those not required to do so. Note, there are five agencies that are required to comply with an FTE ceiling that do not report HRMOIR data to PSC (refer Table</w:t>
      </w:r>
      <w:r>
        <w:rPr>
          <w:spacing w:val="-2"/>
        </w:rPr>
        <w:t> </w:t>
      </w:r>
      <w:r>
        <w:rPr/>
        <w:t>2).</w:t>
      </w:r>
    </w:p>
    <w:p>
      <w:pPr>
        <w:pStyle w:val="BodyText"/>
        <w:spacing w:before="122"/>
        <w:ind w:left="597" w:right="471"/>
        <w:jc w:val="both"/>
      </w:pPr>
      <w:r>
        <w:rPr/>
        <w:t>Since the September 2010 quarter, DTF’s methodology used to calculate agencies’ FTE ceilings has been aligned to PSC’s FTE methodology. However, direct comparisons between the FTE ceiling and ‘Average Paid FTE’, should still be done with care.</w:t>
      </w:r>
    </w:p>
    <w:p>
      <w:pPr>
        <w:spacing w:line="240" w:lineRule="auto" w:before="9"/>
        <w:rPr>
          <w:sz w:val="31"/>
        </w:rPr>
      </w:pPr>
    </w:p>
    <w:p>
      <w:pPr>
        <w:pStyle w:val="BodyText"/>
        <w:ind w:left="597"/>
        <w:jc w:val="both"/>
      </w:pPr>
      <w:r>
        <w:rPr>
          <w:color w:val="933634"/>
        </w:rPr>
        <w:t>Table 1: Agencies that are subject to an FTE Ceiling</w:t>
      </w:r>
    </w:p>
    <w:p>
      <w:pPr>
        <w:spacing w:line="240" w:lineRule="auto" w:before="0"/>
        <w:rPr>
          <w:sz w:val="20"/>
        </w:rPr>
      </w:pPr>
    </w:p>
    <w:p>
      <w:pPr>
        <w:spacing w:line="240" w:lineRule="auto" w:before="1" w:after="1"/>
        <w:rPr>
          <w:sz w:val="12"/>
        </w:rPr>
      </w:pP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34"/>
        <w:gridCol w:w="1551"/>
        <w:gridCol w:w="1312"/>
        <w:gridCol w:w="1127"/>
      </w:tblGrid>
      <w:tr>
        <w:trPr>
          <w:trHeight w:val="488" w:hRule="atLeast"/>
        </w:trPr>
        <w:tc>
          <w:tcPr>
            <w:tcW w:w="5634" w:type="dxa"/>
            <w:tcBorders>
              <w:top w:val="single" w:sz="8" w:space="0" w:color="4F81BC"/>
              <w:bottom w:val="single" w:sz="8" w:space="0" w:color="4F81BC"/>
            </w:tcBorders>
          </w:tcPr>
          <w:p>
            <w:pPr>
              <w:pStyle w:val="TableParagraph"/>
              <w:spacing w:before="0"/>
              <w:jc w:val="left"/>
              <w:rPr>
                <w:rFonts w:ascii="Times New Roman"/>
                <w:sz w:val="20"/>
              </w:rPr>
            </w:pPr>
          </w:p>
        </w:tc>
        <w:tc>
          <w:tcPr>
            <w:tcW w:w="1551" w:type="dxa"/>
            <w:tcBorders>
              <w:top w:val="single" w:sz="8" w:space="0" w:color="4F81BC"/>
              <w:bottom w:val="single" w:sz="8" w:space="0" w:color="4F81BC"/>
            </w:tcBorders>
          </w:tcPr>
          <w:p>
            <w:pPr>
              <w:pStyle w:val="TableParagraph"/>
              <w:spacing w:line="243" w:lineRule="exact" w:before="1"/>
              <w:ind w:left="417"/>
              <w:jc w:val="left"/>
              <w:rPr>
                <w:b/>
                <w:sz w:val="20"/>
              </w:rPr>
            </w:pPr>
            <w:r>
              <w:rPr>
                <w:b/>
                <w:sz w:val="20"/>
              </w:rPr>
              <w:t>Headcount</w:t>
            </w:r>
          </w:p>
          <w:p>
            <w:pPr>
              <w:pStyle w:val="TableParagraph"/>
              <w:spacing w:line="224" w:lineRule="exact" w:before="0"/>
              <w:ind w:left="498"/>
              <w:jc w:val="left"/>
              <w:rPr>
                <w:b/>
                <w:sz w:val="20"/>
              </w:rPr>
            </w:pPr>
            <w:r>
              <w:rPr>
                <w:b/>
                <w:sz w:val="20"/>
              </w:rPr>
              <w:t>Dec</w:t>
            </w:r>
            <w:r>
              <w:rPr>
                <w:b/>
                <w:spacing w:val="-4"/>
                <w:sz w:val="20"/>
              </w:rPr>
              <w:t> </w:t>
            </w:r>
            <w:r>
              <w:rPr>
                <w:b/>
                <w:sz w:val="20"/>
              </w:rPr>
              <w:t>2011</w:t>
            </w:r>
            <w:r>
              <w:rPr>
                <w:b/>
                <w:sz w:val="20"/>
                <w:vertAlign w:val="superscript"/>
              </w:rPr>
              <w:t>2</w:t>
            </w:r>
          </w:p>
        </w:tc>
        <w:tc>
          <w:tcPr>
            <w:tcW w:w="1312" w:type="dxa"/>
            <w:tcBorders>
              <w:top w:val="single" w:sz="8" w:space="0" w:color="4F81BC"/>
              <w:bottom w:val="single" w:sz="8" w:space="0" w:color="4F81BC"/>
            </w:tcBorders>
          </w:tcPr>
          <w:p>
            <w:pPr>
              <w:pStyle w:val="TableParagraph"/>
              <w:spacing w:line="243" w:lineRule="exact" w:before="1"/>
              <w:ind w:left="359"/>
              <w:jc w:val="left"/>
              <w:rPr>
                <w:b/>
                <w:sz w:val="20"/>
              </w:rPr>
            </w:pPr>
            <w:r>
              <w:rPr>
                <w:b/>
                <w:sz w:val="20"/>
              </w:rPr>
              <w:t>Paid</w:t>
            </w:r>
            <w:r>
              <w:rPr>
                <w:b/>
                <w:spacing w:val="-5"/>
                <w:sz w:val="20"/>
              </w:rPr>
              <w:t> </w:t>
            </w:r>
            <w:r>
              <w:rPr>
                <w:b/>
                <w:sz w:val="20"/>
              </w:rPr>
              <w:t>FTE</w:t>
            </w:r>
          </w:p>
          <w:p>
            <w:pPr>
              <w:pStyle w:val="TableParagraph"/>
              <w:spacing w:line="224" w:lineRule="exact" w:before="0"/>
              <w:ind w:left="225"/>
              <w:jc w:val="left"/>
              <w:rPr>
                <w:b/>
                <w:sz w:val="20"/>
              </w:rPr>
            </w:pPr>
            <w:r>
              <w:rPr>
                <w:b/>
                <w:sz w:val="20"/>
              </w:rPr>
              <w:t>Dec</w:t>
            </w:r>
            <w:r>
              <w:rPr>
                <w:b/>
                <w:spacing w:val="-4"/>
                <w:sz w:val="20"/>
              </w:rPr>
              <w:t> </w:t>
            </w:r>
            <w:r>
              <w:rPr>
                <w:b/>
                <w:sz w:val="20"/>
              </w:rPr>
              <w:t>2011</w:t>
            </w:r>
            <w:r>
              <w:rPr>
                <w:b/>
                <w:sz w:val="20"/>
                <w:vertAlign w:val="superscript"/>
              </w:rPr>
              <w:t>3</w:t>
            </w:r>
          </w:p>
        </w:tc>
        <w:tc>
          <w:tcPr>
            <w:tcW w:w="1127" w:type="dxa"/>
            <w:tcBorders>
              <w:top w:val="single" w:sz="8" w:space="0" w:color="4F81BC"/>
              <w:bottom w:val="single" w:sz="8" w:space="0" w:color="4F81BC"/>
            </w:tcBorders>
          </w:tcPr>
          <w:p>
            <w:pPr>
              <w:pStyle w:val="TableParagraph"/>
              <w:spacing w:line="243" w:lineRule="exact" w:before="1"/>
              <w:ind w:left="339"/>
              <w:jc w:val="left"/>
              <w:rPr>
                <w:b/>
                <w:sz w:val="20"/>
              </w:rPr>
            </w:pPr>
            <w:r>
              <w:rPr>
                <w:b/>
                <w:sz w:val="20"/>
              </w:rPr>
              <w:t>Average</w:t>
            </w:r>
          </w:p>
          <w:p>
            <w:pPr>
              <w:pStyle w:val="TableParagraph"/>
              <w:spacing w:line="224" w:lineRule="exact" w:before="0"/>
              <w:ind w:left="257"/>
              <w:jc w:val="left"/>
              <w:rPr>
                <w:b/>
                <w:sz w:val="20"/>
              </w:rPr>
            </w:pPr>
            <w:r>
              <w:rPr>
                <w:b/>
                <w:sz w:val="20"/>
              </w:rPr>
              <w:t>Paid</w:t>
            </w:r>
            <w:r>
              <w:rPr>
                <w:b/>
                <w:spacing w:val="-6"/>
                <w:sz w:val="20"/>
              </w:rPr>
              <w:t> </w:t>
            </w:r>
            <w:r>
              <w:rPr>
                <w:b/>
                <w:sz w:val="20"/>
              </w:rPr>
              <w:t>FTE</w:t>
            </w:r>
            <w:r>
              <w:rPr>
                <w:b/>
                <w:sz w:val="20"/>
                <w:vertAlign w:val="superscript"/>
              </w:rPr>
              <w:t>4</w:t>
            </w:r>
          </w:p>
        </w:tc>
      </w:tr>
      <w:tr>
        <w:trPr>
          <w:trHeight w:val="299" w:hRule="atLeast"/>
        </w:trPr>
        <w:tc>
          <w:tcPr>
            <w:tcW w:w="5634" w:type="dxa"/>
            <w:tcBorders>
              <w:top w:val="single" w:sz="8" w:space="0" w:color="4F81BC"/>
            </w:tcBorders>
            <w:shd w:val="clear" w:color="auto" w:fill="D2DFED"/>
          </w:tcPr>
          <w:p>
            <w:pPr>
              <w:pStyle w:val="TableParagraph"/>
              <w:spacing w:before="27"/>
              <w:ind w:left="122"/>
              <w:jc w:val="left"/>
              <w:rPr>
                <w:b/>
                <w:sz w:val="20"/>
              </w:rPr>
            </w:pPr>
            <w:r>
              <w:rPr>
                <w:b/>
                <w:sz w:val="20"/>
              </w:rPr>
              <w:t>Department of Education</w:t>
            </w:r>
          </w:p>
        </w:tc>
        <w:tc>
          <w:tcPr>
            <w:tcW w:w="1551" w:type="dxa"/>
            <w:tcBorders>
              <w:top w:val="single" w:sz="8" w:space="0" w:color="4F81BC"/>
            </w:tcBorders>
            <w:shd w:val="clear" w:color="auto" w:fill="D2DFED"/>
          </w:tcPr>
          <w:p>
            <w:pPr>
              <w:pStyle w:val="TableParagraph"/>
              <w:spacing w:before="27"/>
              <w:ind w:right="223"/>
              <w:rPr>
                <w:sz w:val="20"/>
              </w:rPr>
            </w:pPr>
            <w:r>
              <w:rPr>
                <w:w w:val="95"/>
                <w:sz w:val="20"/>
              </w:rPr>
              <w:t>46,746</w:t>
            </w:r>
          </w:p>
        </w:tc>
        <w:tc>
          <w:tcPr>
            <w:tcW w:w="1312" w:type="dxa"/>
            <w:tcBorders>
              <w:top w:val="single" w:sz="8" w:space="0" w:color="4F81BC"/>
            </w:tcBorders>
            <w:shd w:val="clear" w:color="auto" w:fill="D2DFED"/>
          </w:tcPr>
          <w:p>
            <w:pPr>
              <w:pStyle w:val="TableParagraph"/>
              <w:spacing w:before="27"/>
              <w:ind w:right="258"/>
              <w:rPr>
                <w:sz w:val="20"/>
              </w:rPr>
            </w:pPr>
            <w:r>
              <w:rPr>
                <w:w w:val="95"/>
                <w:sz w:val="20"/>
              </w:rPr>
              <w:t>31,528</w:t>
            </w:r>
          </w:p>
        </w:tc>
        <w:tc>
          <w:tcPr>
            <w:tcW w:w="1127" w:type="dxa"/>
            <w:tcBorders>
              <w:top w:val="single" w:sz="8" w:space="0" w:color="4F81BC"/>
            </w:tcBorders>
            <w:shd w:val="clear" w:color="auto" w:fill="D2DFED"/>
          </w:tcPr>
          <w:p>
            <w:pPr>
              <w:pStyle w:val="TableParagraph"/>
              <w:spacing w:before="27"/>
              <w:ind w:right="108"/>
              <w:rPr>
                <w:sz w:val="20"/>
              </w:rPr>
            </w:pPr>
            <w:r>
              <w:rPr>
                <w:w w:val="95"/>
                <w:sz w:val="20"/>
              </w:rPr>
              <w:t>33,413</w:t>
            </w:r>
          </w:p>
        </w:tc>
      </w:tr>
      <w:tr>
        <w:trPr>
          <w:trHeight w:val="300" w:hRule="atLeast"/>
        </w:trPr>
        <w:tc>
          <w:tcPr>
            <w:tcW w:w="5634" w:type="dxa"/>
          </w:tcPr>
          <w:p>
            <w:pPr>
              <w:pStyle w:val="TableParagraph"/>
              <w:spacing w:before="28"/>
              <w:ind w:left="122"/>
              <w:jc w:val="left"/>
              <w:rPr>
                <w:b/>
                <w:sz w:val="20"/>
              </w:rPr>
            </w:pPr>
            <w:r>
              <w:rPr>
                <w:b/>
                <w:sz w:val="20"/>
              </w:rPr>
              <w:t>Department of Health</w:t>
            </w:r>
          </w:p>
        </w:tc>
        <w:tc>
          <w:tcPr>
            <w:tcW w:w="1551" w:type="dxa"/>
          </w:tcPr>
          <w:p>
            <w:pPr>
              <w:pStyle w:val="TableParagraph"/>
              <w:spacing w:before="28"/>
              <w:ind w:right="223"/>
              <w:rPr>
                <w:sz w:val="20"/>
              </w:rPr>
            </w:pPr>
            <w:r>
              <w:rPr>
                <w:w w:val="95"/>
                <w:sz w:val="20"/>
              </w:rPr>
              <w:t>42,371</w:t>
            </w:r>
          </w:p>
        </w:tc>
        <w:tc>
          <w:tcPr>
            <w:tcW w:w="1312" w:type="dxa"/>
          </w:tcPr>
          <w:p>
            <w:pPr>
              <w:pStyle w:val="TableParagraph"/>
              <w:spacing w:before="28"/>
              <w:ind w:right="258"/>
              <w:rPr>
                <w:sz w:val="20"/>
              </w:rPr>
            </w:pPr>
            <w:r>
              <w:rPr>
                <w:w w:val="95"/>
                <w:sz w:val="20"/>
              </w:rPr>
              <w:t>33,333</w:t>
            </w:r>
          </w:p>
        </w:tc>
        <w:tc>
          <w:tcPr>
            <w:tcW w:w="1127" w:type="dxa"/>
          </w:tcPr>
          <w:p>
            <w:pPr>
              <w:pStyle w:val="TableParagraph"/>
              <w:spacing w:before="28"/>
              <w:ind w:right="108"/>
              <w:rPr>
                <w:sz w:val="20"/>
              </w:rPr>
            </w:pPr>
            <w:r>
              <w:rPr>
                <w:w w:val="95"/>
                <w:sz w:val="20"/>
              </w:rPr>
              <w:t>32,833</w:t>
            </w:r>
          </w:p>
        </w:tc>
      </w:tr>
      <w:tr>
        <w:trPr>
          <w:trHeight w:val="300" w:hRule="atLeast"/>
        </w:trPr>
        <w:tc>
          <w:tcPr>
            <w:tcW w:w="5634" w:type="dxa"/>
            <w:shd w:val="clear" w:color="auto" w:fill="D2DFED"/>
          </w:tcPr>
          <w:p>
            <w:pPr>
              <w:pStyle w:val="TableParagraph"/>
              <w:spacing w:before="28"/>
              <w:ind w:left="122"/>
              <w:jc w:val="left"/>
              <w:rPr>
                <w:b/>
                <w:sz w:val="20"/>
              </w:rPr>
            </w:pPr>
            <w:r>
              <w:rPr>
                <w:b/>
                <w:sz w:val="20"/>
              </w:rPr>
              <w:t>Police Service (Western Australia Police) and Police Force</w:t>
            </w:r>
          </w:p>
        </w:tc>
        <w:tc>
          <w:tcPr>
            <w:tcW w:w="1551" w:type="dxa"/>
            <w:shd w:val="clear" w:color="auto" w:fill="D2DFED"/>
          </w:tcPr>
          <w:p>
            <w:pPr>
              <w:pStyle w:val="TableParagraph"/>
              <w:spacing w:before="28"/>
              <w:ind w:right="223"/>
              <w:rPr>
                <w:sz w:val="20"/>
              </w:rPr>
            </w:pPr>
            <w:r>
              <w:rPr>
                <w:w w:val="95"/>
                <w:sz w:val="20"/>
              </w:rPr>
              <w:t>8,585</w:t>
            </w:r>
          </w:p>
        </w:tc>
        <w:tc>
          <w:tcPr>
            <w:tcW w:w="1312" w:type="dxa"/>
            <w:shd w:val="clear" w:color="auto" w:fill="D2DFED"/>
          </w:tcPr>
          <w:p>
            <w:pPr>
              <w:pStyle w:val="TableParagraph"/>
              <w:spacing w:before="28"/>
              <w:ind w:right="258"/>
              <w:rPr>
                <w:sz w:val="20"/>
              </w:rPr>
            </w:pPr>
            <w:r>
              <w:rPr>
                <w:w w:val="95"/>
                <w:sz w:val="20"/>
              </w:rPr>
              <w:t>7,684</w:t>
            </w:r>
          </w:p>
        </w:tc>
        <w:tc>
          <w:tcPr>
            <w:tcW w:w="1127" w:type="dxa"/>
            <w:shd w:val="clear" w:color="auto" w:fill="D2DFED"/>
          </w:tcPr>
          <w:p>
            <w:pPr>
              <w:pStyle w:val="TableParagraph"/>
              <w:spacing w:before="28"/>
              <w:ind w:right="108"/>
              <w:rPr>
                <w:sz w:val="20"/>
              </w:rPr>
            </w:pPr>
            <w:r>
              <w:rPr>
                <w:w w:val="95"/>
                <w:sz w:val="20"/>
              </w:rPr>
              <w:t>7,670</w:t>
            </w:r>
          </w:p>
        </w:tc>
      </w:tr>
      <w:tr>
        <w:trPr>
          <w:trHeight w:val="300" w:hRule="atLeast"/>
        </w:trPr>
        <w:tc>
          <w:tcPr>
            <w:tcW w:w="5634" w:type="dxa"/>
          </w:tcPr>
          <w:p>
            <w:pPr>
              <w:pStyle w:val="TableParagraph"/>
              <w:spacing w:before="28"/>
              <w:ind w:left="122"/>
              <w:jc w:val="left"/>
              <w:rPr>
                <w:b/>
                <w:sz w:val="20"/>
              </w:rPr>
            </w:pPr>
            <w:r>
              <w:rPr>
                <w:b/>
                <w:sz w:val="20"/>
              </w:rPr>
              <w:t>Department of Corrective Services</w:t>
            </w:r>
          </w:p>
        </w:tc>
        <w:tc>
          <w:tcPr>
            <w:tcW w:w="1551" w:type="dxa"/>
          </w:tcPr>
          <w:p>
            <w:pPr>
              <w:pStyle w:val="TableParagraph"/>
              <w:spacing w:before="28"/>
              <w:ind w:right="223"/>
              <w:rPr>
                <w:sz w:val="20"/>
              </w:rPr>
            </w:pPr>
            <w:r>
              <w:rPr>
                <w:w w:val="95"/>
                <w:sz w:val="20"/>
              </w:rPr>
              <w:t>4,507</w:t>
            </w:r>
          </w:p>
        </w:tc>
        <w:tc>
          <w:tcPr>
            <w:tcW w:w="1312" w:type="dxa"/>
          </w:tcPr>
          <w:p>
            <w:pPr>
              <w:pStyle w:val="TableParagraph"/>
              <w:spacing w:before="28"/>
              <w:ind w:right="258"/>
              <w:rPr>
                <w:sz w:val="20"/>
              </w:rPr>
            </w:pPr>
            <w:r>
              <w:rPr>
                <w:w w:val="95"/>
                <w:sz w:val="20"/>
              </w:rPr>
              <w:t>4,138</w:t>
            </w:r>
          </w:p>
        </w:tc>
        <w:tc>
          <w:tcPr>
            <w:tcW w:w="1127" w:type="dxa"/>
          </w:tcPr>
          <w:p>
            <w:pPr>
              <w:pStyle w:val="TableParagraph"/>
              <w:spacing w:before="28"/>
              <w:ind w:right="108"/>
              <w:rPr>
                <w:sz w:val="20"/>
              </w:rPr>
            </w:pPr>
            <w:r>
              <w:rPr>
                <w:w w:val="95"/>
                <w:sz w:val="20"/>
              </w:rPr>
              <w:t>4,152</w:t>
            </w:r>
          </w:p>
        </w:tc>
      </w:tr>
      <w:tr>
        <w:trPr>
          <w:trHeight w:val="300" w:hRule="atLeast"/>
        </w:trPr>
        <w:tc>
          <w:tcPr>
            <w:tcW w:w="5634" w:type="dxa"/>
            <w:shd w:val="clear" w:color="auto" w:fill="D2DFED"/>
          </w:tcPr>
          <w:p>
            <w:pPr>
              <w:pStyle w:val="TableParagraph"/>
              <w:spacing w:before="28"/>
              <w:ind w:left="122"/>
              <w:jc w:val="left"/>
              <w:rPr>
                <w:b/>
                <w:sz w:val="20"/>
              </w:rPr>
            </w:pPr>
            <w:r>
              <w:rPr>
                <w:b/>
                <w:sz w:val="20"/>
              </w:rPr>
              <w:t>Department for Child Protection</w:t>
            </w:r>
          </w:p>
        </w:tc>
        <w:tc>
          <w:tcPr>
            <w:tcW w:w="1551" w:type="dxa"/>
            <w:shd w:val="clear" w:color="auto" w:fill="D2DFED"/>
          </w:tcPr>
          <w:p>
            <w:pPr>
              <w:pStyle w:val="TableParagraph"/>
              <w:spacing w:before="28"/>
              <w:ind w:right="223"/>
              <w:rPr>
                <w:sz w:val="20"/>
              </w:rPr>
            </w:pPr>
            <w:r>
              <w:rPr>
                <w:w w:val="95"/>
                <w:sz w:val="20"/>
              </w:rPr>
              <w:t>2,487</w:t>
            </w:r>
          </w:p>
        </w:tc>
        <w:tc>
          <w:tcPr>
            <w:tcW w:w="1312" w:type="dxa"/>
            <w:shd w:val="clear" w:color="auto" w:fill="D2DFED"/>
          </w:tcPr>
          <w:p>
            <w:pPr>
              <w:pStyle w:val="TableParagraph"/>
              <w:spacing w:before="28"/>
              <w:ind w:right="258"/>
              <w:rPr>
                <w:sz w:val="20"/>
              </w:rPr>
            </w:pPr>
            <w:r>
              <w:rPr>
                <w:w w:val="95"/>
                <w:sz w:val="20"/>
              </w:rPr>
              <w:t>2,186</w:t>
            </w:r>
          </w:p>
        </w:tc>
        <w:tc>
          <w:tcPr>
            <w:tcW w:w="1127" w:type="dxa"/>
            <w:shd w:val="clear" w:color="auto" w:fill="D2DFED"/>
          </w:tcPr>
          <w:p>
            <w:pPr>
              <w:pStyle w:val="TableParagraph"/>
              <w:spacing w:before="28"/>
              <w:ind w:right="108"/>
              <w:rPr>
                <w:sz w:val="20"/>
              </w:rPr>
            </w:pPr>
            <w:r>
              <w:rPr>
                <w:w w:val="95"/>
                <w:sz w:val="20"/>
              </w:rPr>
              <w:t>2,120</w:t>
            </w:r>
          </w:p>
        </w:tc>
      </w:tr>
      <w:tr>
        <w:trPr>
          <w:trHeight w:val="300" w:hRule="atLeast"/>
        </w:trPr>
        <w:tc>
          <w:tcPr>
            <w:tcW w:w="5634" w:type="dxa"/>
          </w:tcPr>
          <w:p>
            <w:pPr>
              <w:pStyle w:val="TableParagraph"/>
              <w:spacing w:before="28"/>
              <w:ind w:left="122"/>
              <w:jc w:val="left"/>
              <w:rPr>
                <w:b/>
                <w:sz w:val="20"/>
              </w:rPr>
            </w:pPr>
            <w:r>
              <w:rPr>
                <w:b/>
                <w:sz w:val="20"/>
              </w:rPr>
              <w:t>Department of Environment and Conservation</w:t>
            </w:r>
          </w:p>
        </w:tc>
        <w:tc>
          <w:tcPr>
            <w:tcW w:w="1551" w:type="dxa"/>
          </w:tcPr>
          <w:p>
            <w:pPr>
              <w:pStyle w:val="TableParagraph"/>
              <w:spacing w:before="28"/>
              <w:ind w:right="223"/>
              <w:rPr>
                <w:sz w:val="20"/>
              </w:rPr>
            </w:pPr>
            <w:r>
              <w:rPr>
                <w:w w:val="95"/>
                <w:sz w:val="20"/>
              </w:rPr>
              <w:t>2,327</w:t>
            </w:r>
          </w:p>
        </w:tc>
        <w:tc>
          <w:tcPr>
            <w:tcW w:w="1312" w:type="dxa"/>
          </w:tcPr>
          <w:p>
            <w:pPr>
              <w:pStyle w:val="TableParagraph"/>
              <w:spacing w:before="28"/>
              <w:ind w:right="258"/>
              <w:rPr>
                <w:sz w:val="20"/>
              </w:rPr>
            </w:pPr>
            <w:r>
              <w:rPr>
                <w:w w:val="95"/>
                <w:sz w:val="20"/>
              </w:rPr>
              <w:t>1,945</w:t>
            </w:r>
          </w:p>
        </w:tc>
        <w:tc>
          <w:tcPr>
            <w:tcW w:w="1127" w:type="dxa"/>
          </w:tcPr>
          <w:p>
            <w:pPr>
              <w:pStyle w:val="TableParagraph"/>
              <w:spacing w:before="28"/>
              <w:ind w:right="108"/>
              <w:rPr>
                <w:sz w:val="20"/>
              </w:rPr>
            </w:pPr>
            <w:r>
              <w:rPr>
                <w:w w:val="95"/>
                <w:sz w:val="20"/>
              </w:rPr>
              <w:t>1,919</w:t>
            </w:r>
          </w:p>
        </w:tc>
      </w:tr>
      <w:tr>
        <w:trPr>
          <w:trHeight w:val="300" w:hRule="atLeast"/>
        </w:trPr>
        <w:tc>
          <w:tcPr>
            <w:tcW w:w="5634" w:type="dxa"/>
            <w:shd w:val="clear" w:color="auto" w:fill="D2DFED"/>
          </w:tcPr>
          <w:p>
            <w:pPr>
              <w:pStyle w:val="TableParagraph"/>
              <w:spacing w:before="28"/>
              <w:ind w:left="122"/>
              <w:jc w:val="left"/>
              <w:rPr>
                <w:b/>
                <w:sz w:val="20"/>
              </w:rPr>
            </w:pPr>
            <w:r>
              <w:rPr>
                <w:b/>
                <w:sz w:val="20"/>
              </w:rPr>
              <w:t>Disability Services Commission</w:t>
            </w:r>
          </w:p>
        </w:tc>
        <w:tc>
          <w:tcPr>
            <w:tcW w:w="1551" w:type="dxa"/>
            <w:shd w:val="clear" w:color="auto" w:fill="D2DFED"/>
          </w:tcPr>
          <w:p>
            <w:pPr>
              <w:pStyle w:val="TableParagraph"/>
              <w:spacing w:before="28"/>
              <w:ind w:right="223"/>
              <w:rPr>
                <w:sz w:val="20"/>
              </w:rPr>
            </w:pPr>
            <w:r>
              <w:rPr>
                <w:w w:val="95"/>
                <w:sz w:val="20"/>
              </w:rPr>
              <w:t>1,958</w:t>
            </w:r>
          </w:p>
        </w:tc>
        <w:tc>
          <w:tcPr>
            <w:tcW w:w="1312" w:type="dxa"/>
            <w:shd w:val="clear" w:color="auto" w:fill="D2DFED"/>
          </w:tcPr>
          <w:p>
            <w:pPr>
              <w:pStyle w:val="TableParagraph"/>
              <w:spacing w:before="28"/>
              <w:ind w:right="258"/>
              <w:rPr>
                <w:sz w:val="20"/>
              </w:rPr>
            </w:pPr>
            <w:r>
              <w:rPr>
                <w:w w:val="95"/>
                <w:sz w:val="20"/>
              </w:rPr>
              <w:t>1,638</w:t>
            </w:r>
          </w:p>
        </w:tc>
        <w:tc>
          <w:tcPr>
            <w:tcW w:w="1127" w:type="dxa"/>
            <w:shd w:val="clear" w:color="auto" w:fill="D2DFED"/>
          </w:tcPr>
          <w:p>
            <w:pPr>
              <w:pStyle w:val="TableParagraph"/>
              <w:spacing w:before="28"/>
              <w:ind w:right="108"/>
              <w:rPr>
                <w:sz w:val="20"/>
              </w:rPr>
            </w:pPr>
            <w:r>
              <w:rPr>
                <w:w w:val="95"/>
                <w:sz w:val="20"/>
              </w:rPr>
              <w:t>1,638</w:t>
            </w:r>
          </w:p>
        </w:tc>
      </w:tr>
      <w:tr>
        <w:trPr>
          <w:trHeight w:val="300" w:hRule="atLeast"/>
        </w:trPr>
        <w:tc>
          <w:tcPr>
            <w:tcW w:w="5634" w:type="dxa"/>
          </w:tcPr>
          <w:p>
            <w:pPr>
              <w:pStyle w:val="TableParagraph"/>
              <w:spacing w:before="28"/>
              <w:ind w:left="122"/>
              <w:jc w:val="left"/>
              <w:rPr>
                <w:b/>
                <w:sz w:val="20"/>
              </w:rPr>
            </w:pPr>
            <w:r>
              <w:rPr>
                <w:b/>
                <w:sz w:val="20"/>
              </w:rPr>
              <w:t>Department of the Attorney General</w:t>
            </w:r>
          </w:p>
        </w:tc>
        <w:tc>
          <w:tcPr>
            <w:tcW w:w="1551" w:type="dxa"/>
          </w:tcPr>
          <w:p>
            <w:pPr>
              <w:pStyle w:val="TableParagraph"/>
              <w:spacing w:before="28"/>
              <w:ind w:right="223"/>
              <w:rPr>
                <w:sz w:val="20"/>
              </w:rPr>
            </w:pPr>
            <w:r>
              <w:rPr>
                <w:w w:val="95"/>
                <w:sz w:val="20"/>
              </w:rPr>
              <w:t>1,709</w:t>
            </w:r>
          </w:p>
        </w:tc>
        <w:tc>
          <w:tcPr>
            <w:tcW w:w="1312" w:type="dxa"/>
          </w:tcPr>
          <w:p>
            <w:pPr>
              <w:pStyle w:val="TableParagraph"/>
              <w:spacing w:before="28"/>
              <w:ind w:right="258"/>
              <w:rPr>
                <w:sz w:val="20"/>
              </w:rPr>
            </w:pPr>
            <w:r>
              <w:rPr>
                <w:w w:val="95"/>
                <w:sz w:val="20"/>
              </w:rPr>
              <w:t>1,523</w:t>
            </w:r>
          </w:p>
        </w:tc>
        <w:tc>
          <w:tcPr>
            <w:tcW w:w="1127" w:type="dxa"/>
          </w:tcPr>
          <w:p>
            <w:pPr>
              <w:pStyle w:val="TableParagraph"/>
              <w:spacing w:before="28"/>
              <w:ind w:right="108"/>
              <w:rPr>
                <w:sz w:val="20"/>
              </w:rPr>
            </w:pPr>
            <w:r>
              <w:rPr>
                <w:w w:val="95"/>
                <w:sz w:val="20"/>
              </w:rPr>
              <w:t>1,518</w:t>
            </w:r>
          </w:p>
        </w:tc>
      </w:tr>
      <w:tr>
        <w:trPr>
          <w:trHeight w:val="299" w:hRule="atLeast"/>
        </w:trPr>
        <w:tc>
          <w:tcPr>
            <w:tcW w:w="5634" w:type="dxa"/>
            <w:shd w:val="clear" w:color="auto" w:fill="D2DFED"/>
          </w:tcPr>
          <w:p>
            <w:pPr>
              <w:pStyle w:val="TableParagraph"/>
              <w:spacing w:before="28"/>
              <w:ind w:left="122"/>
              <w:jc w:val="left"/>
              <w:rPr>
                <w:b/>
                <w:sz w:val="20"/>
              </w:rPr>
            </w:pPr>
            <w:r>
              <w:rPr>
                <w:b/>
                <w:sz w:val="20"/>
              </w:rPr>
              <w:t>Department of Finance</w:t>
            </w:r>
          </w:p>
        </w:tc>
        <w:tc>
          <w:tcPr>
            <w:tcW w:w="1551" w:type="dxa"/>
            <w:shd w:val="clear" w:color="auto" w:fill="D2DFED"/>
          </w:tcPr>
          <w:p>
            <w:pPr>
              <w:pStyle w:val="TableParagraph"/>
              <w:spacing w:before="28"/>
              <w:ind w:right="223"/>
              <w:rPr>
                <w:sz w:val="20"/>
              </w:rPr>
            </w:pPr>
            <w:r>
              <w:rPr>
                <w:w w:val="95"/>
                <w:sz w:val="20"/>
              </w:rPr>
              <w:t>1,547</w:t>
            </w:r>
          </w:p>
        </w:tc>
        <w:tc>
          <w:tcPr>
            <w:tcW w:w="1312" w:type="dxa"/>
            <w:shd w:val="clear" w:color="auto" w:fill="D2DFED"/>
          </w:tcPr>
          <w:p>
            <w:pPr>
              <w:pStyle w:val="TableParagraph"/>
              <w:spacing w:before="28"/>
              <w:ind w:right="258"/>
              <w:rPr>
                <w:sz w:val="20"/>
              </w:rPr>
            </w:pPr>
            <w:r>
              <w:rPr>
                <w:w w:val="95"/>
                <w:sz w:val="20"/>
              </w:rPr>
              <w:t>1,397</w:t>
            </w:r>
          </w:p>
        </w:tc>
        <w:tc>
          <w:tcPr>
            <w:tcW w:w="1127" w:type="dxa"/>
            <w:shd w:val="clear" w:color="auto" w:fill="D2DFED"/>
          </w:tcPr>
          <w:p>
            <w:pPr>
              <w:pStyle w:val="TableParagraph"/>
              <w:spacing w:before="28"/>
              <w:ind w:right="108"/>
              <w:rPr>
                <w:sz w:val="20"/>
              </w:rPr>
            </w:pPr>
            <w:r>
              <w:rPr>
                <w:w w:val="95"/>
                <w:sz w:val="20"/>
              </w:rPr>
              <w:t>1,404</w:t>
            </w:r>
          </w:p>
        </w:tc>
      </w:tr>
      <w:tr>
        <w:trPr>
          <w:trHeight w:val="302" w:hRule="atLeast"/>
        </w:trPr>
        <w:tc>
          <w:tcPr>
            <w:tcW w:w="5634" w:type="dxa"/>
            <w:tcBorders>
              <w:bottom w:val="single" w:sz="8" w:space="0" w:color="4F81BC"/>
            </w:tcBorders>
          </w:tcPr>
          <w:p>
            <w:pPr>
              <w:pStyle w:val="TableParagraph"/>
              <w:spacing w:before="28"/>
              <w:ind w:left="122"/>
              <w:jc w:val="left"/>
              <w:rPr>
                <w:b/>
                <w:sz w:val="20"/>
              </w:rPr>
            </w:pPr>
            <w:r>
              <w:rPr>
                <w:b/>
                <w:sz w:val="20"/>
              </w:rPr>
              <w:t>Department of Transport</w:t>
            </w:r>
          </w:p>
        </w:tc>
        <w:tc>
          <w:tcPr>
            <w:tcW w:w="1551" w:type="dxa"/>
            <w:tcBorders>
              <w:bottom w:val="single" w:sz="8" w:space="0" w:color="4F81BC"/>
            </w:tcBorders>
          </w:tcPr>
          <w:p>
            <w:pPr>
              <w:pStyle w:val="TableParagraph"/>
              <w:spacing w:before="28"/>
              <w:ind w:right="223"/>
              <w:rPr>
                <w:sz w:val="20"/>
              </w:rPr>
            </w:pPr>
            <w:r>
              <w:rPr>
                <w:w w:val="95"/>
                <w:sz w:val="20"/>
              </w:rPr>
              <w:t>1,488</w:t>
            </w:r>
          </w:p>
        </w:tc>
        <w:tc>
          <w:tcPr>
            <w:tcW w:w="1312" w:type="dxa"/>
            <w:tcBorders>
              <w:bottom w:val="single" w:sz="8" w:space="0" w:color="4F81BC"/>
            </w:tcBorders>
          </w:tcPr>
          <w:p>
            <w:pPr>
              <w:pStyle w:val="TableParagraph"/>
              <w:spacing w:before="28"/>
              <w:ind w:right="258"/>
              <w:rPr>
                <w:sz w:val="20"/>
              </w:rPr>
            </w:pPr>
            <w:r>
              <w:rPr>
                <w:w w:val="95"/>
                <w:sz w:val="20"/>
              </w:rPr>
              <w:t>1,326</w:t>
            </w:r>
          </w:p>
        </w:tc>
        <w:tc>
          <w:tcPr>
            <w:tcW w:w="1127" w:type="dxa"/>
            <w:tcBorders>
              <w:bottom w:val="single" w:sz="8" w:space="0" w:color="4F81BC"/>
            </w:tcBorders>
          </w:tcPr>
          <w:p>
            <w:pPr>
              <w:pStyle w:val="TableParagraph"/>
              <w:spacing w:before="28"/>
              <w:ind w:right="108"/>
              <w:rPr>
                <w:sz w:val="20"/>
              </w:rPr>
            </w:pPr>
            <w:r>
              <w:rPr>
                <w:w w:val="95"/>
                <w:sz w:val="20"/>
              </w:rPr>
              <w:t>1,308</w:t>
            </w:r>
          </w:p>
        </w:tc>
      </w:tr>
    </w:tbl>
    <w:p>
      <w:pPr>
        <w:spacing w:line="240" w:lineRule="auto" w:before="11"/>
        <w:rPr>
          <w:sz w:val="13"/>
        </w:rPr>
      </w:pPr>
      <w:r>
        <w:rPr/>
        <w:pict>
          <v:shape style="position:absolute;margin-left:63.863998pt;margin-top:10.73998pt;width:144.050pt;height:.1pt;mso-position-horizontal-relative:page;mso-position-vertical-relative:paragraph;z-index:-251658240;mso-wrap-distance-left:0;mso-wrap-distance-right:0" coordorigin="1277,215" coordsize="2881,0" path="m1277,215l4158,215e" filled="false" stroked="true" strokeweight=".60004pt" strokecolor="#000000">
            <v:path arrowok="t"/>
            <v:stroke dashstyle="solid"/>
            <w10:wrap type="topAndBottom"/>
          </v:shape>
        </w:pict>
      </w:r>
    </w:p>
    <w:p>
      <w:pPr>
        <w:spacing w:before="46"/>
        <w:ind w:left="597" w:right="472" w:firstLine="0"/>
        <w:jc w:val="both"/>
        <w:rPr>
          <w:sz w:val="18"/>
        </w:rPr>
      </w:pPr>
      <w:r>
        <w:rPr>
          <w:rFonts w:ascii="Arial" w:hAnsi="Arial"/>
          <w:position w:val="10"/>
          <w:sz w:val="13"/>
        </w:rPr>
        <w:t>1 </w:t>
      </w:r>
      <w:r>
        <w:rPr>
          <w:sz w:val="18"/>
        </w:rPr>
        <w:t>To ensure that FTE across agencies is calculated using a standard approach, some methodological changes from previous years were necessary. These changes resulted in a ‘break-in-series’ of quarterly workforce reports between June 2007 and June 2008. As a result of these changes, workforce data from June 2008 onwards may not be directly comparable to previous workforce reports.</w:t>
      </w:r>
    </w:p>
    <w:p>
      <w:pPr>
        <w:spacing w:line="219" w:lineRule="exact" w:before="0"/>
        <w:ind w:left="597" w:right="0" w:firstLine="0"/>
        <w:jc w:val="both"/>
        <w:rPr>
          <w:sz w:val="18"/>
        </w:rPr>
      </w:pPr>
      <w:r>
        <w:rPr>
          <w:position w:val="9"/>
          <w:sz w:val="12"/>
        </w:rPr>
        <w:t>2 </w:t>
      </w:r>
      <w:r>
        <w:rPr>
          <w:sz w:val="18"/>
        </w:rPr>
        <w:t>‘Headcount’ is a snapshot of employees as at the pay day on, or prior to, 31 December 2011 and includes all permanent, fixed</w:t>
      </w:r>
    </w:p>
    <w:p>
      <w:pPr>
        <w:spacing w:line="203" w:lineRule="exact" w:before="1"/>
        <w:ind w:left="597" w:right="0" w:firstLine="0"/>
        <w:jc w:val="both"/>
        <w:rPr>
          <w:sz w:val="18"/>
        </w:rPr>
      </w:pPr>
      <w:r>
        <w:rPr>
          <w:sz w:val="18"/>
        </w:rPr>
        <w:t>term and paid casual employees during that pay period.</w:t>
      </w:r>
    </w:p>
    <w:p>
      <w:pPr>
        <w:spacing w:line="235" w:lineRule="exact" w:before="0"/>
        <w:ind w:left="597" w:right="0" w:firstLine="0"/>
        <w:jc w:val="both"/>
        <w:rPr>
          <w:sz w:val="18"/>
        </w:rPr>
      </w:pPr>
      <w:r>
        <w:rPr>
          <w:position w:val="9"/>
          <w:sz w:val="12"/>
        </w:rPr>
        <w:t>3 </w:t>
      </w:r>
      <w:r>
        <w:rPr>
          <w:sz w:val="18"/>
        </w:rPr>
        <w:t>‘Paid FTE’ is a snapshot of employees who were paid during the last pay period ending on, or prior to, 31 December 2011. This</w:t>
      </w:r>
    </w:p>
    <w:p>
      <w:pPr>
        <w:spacing w:before="2"/>
        <w:ind w:left="597" w:right="465" w:firstLine="0"/>
        <w:jc w:val="both"/>
        <w:rPr>
          <w:sz w:val="18"/>
        </w:rPr>
      </w:pPr>
      <w:r>
        <w:rPr>
          <w:sz w:val="18"/>
        </w:rPr>
        <w:t>methodology may differ from those used by public sector agencies in their own operational workforce management process. As the quality of agency data is continuously being reviewed, some adjustments in FTE figures may occur.</w:t>
      </w:r>
    </w:p>
    <w:p>
      <w:pPr>
        <w:spacing w:line="219" w:lineRule="exact" w:before="0"/>
        <w:ind w:left="597" w:right="0" w:firstLine="0"/>
        <w:jc w:val="both"/>
        <w:rPr>
          <w:sz w:val="18"/>
        </w:rPr>
      </w:pPr>
      <w:r>
        <w:rPr>
          <w:position w:val="9"/>
          <w:sz w:val="12"/>
        </w:rPr>
        <w:t>4 </w:t>
      </w:r>
      <w:r>
        <w:rPr>
          <w:sz w:val="18"/>
        </w:rPr>
        <w:t>‘Average Paid FTE’ data aims to address seasonal fluctuations that occur in some agencies from one quarter to the next, and is</w:t>
      </w:r>
    </w:p>
    <w:p>
      <w:pPr>
        <w:spacing w:line="219" w:lineRule="exact" w:before="0"/>
        <w:ind w:left="597" w:right="0" w:firstLine="0"/>
        <w:jc w:val="both"/>
        <w:rPr>
          <w:sz w:val="18"/>
        </w:rPr>
      </w:pPr>
      <w:r>
        <w:rPr>
          <w:sz w:val="18"/>
        </w:rPr>
        <w:t>the averaged ‘Paid FTE’ of the sum of the current (December 2011) quarter and the preceding three quarters.</w:t>
      </w:r>
    </w:p>
    <w:p>
      <w:pPr>
        <w:spacing w:after="0" w:line="219" w:lineRule="exact"/>
        <w:jc w:val="both"/>
        <w:rPr>
          <w:sz w:val="18"/>
        </w:rPr>
        <w:sectPr>
          <w:footerReference w:type="default" r:id="rId5"/>
          <w:type w:val="continuous"/>
          <w:pgSz w:w="11910" w:h="16850"/>
          <w:pgMar w:footer="373" w:top="780" w:bottom="560" w:left="680" w:right="660"/>
          <w:pgNumType w:start="1"/>
        </w:sectPr>
      </w:pP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87"/>
        <w:gridCol w:w="1399"/>
        <w:gridCol w:w="1311"/>
        <w:gridCol w:w="1127"/>
      </w:tblGrid>
      <w:tr>
        <w:trPr>
          <w:trHeight w:val="488" w:hRule="atLeast"/>
        </w:trPr>
        <w:tc>
          <w:tcPr>
            <w:tcW w:w="5787" w:type="dxa"/>
            <w:tcBorders>
              <w:top w:val="single" w:sz="8" w:space="0" w:color="4F81BC"/>
              <w:bottom w:val="single" w:sz="8" w:space="0" w:color="4F81BC"/>
            </w:tcBorders>
          </w:tcPr>
          <w:p>
            <w:pPr>
              <w:pStyle w:val="TableParagraph"/>
              <w:spacing w:before="0"/>
              <w:jc w:val="left"/>
              <w:rPr>
                <w:rFonts w:ascii="Times New Roman"/>
                <w:sz w:val="18"/>
              </w:rPr>
            </w:pPr>
          </w:p>
        </w:tc>
        <w:tc>
          <w:tcPr>
            <w:tcW w:w="1399" w:type="dxa"/>
            <w:tcBorders>
              <w:top w:val="single" w:sz="8" w:space="0" w:color="4F81BC"/>
              <w:bottom w:val="single" w:sz="8" w:space="0" w:color="4F81BC"/>
            </w:tcBorders>
          </w:tcPr>
          <w:p>
            <w:pPr>
              <w:pStyle w:val="TableParagraph"/>
              <w:spacing w:line="240" w:lineRule="atLeast" w:before="1"/>
              <w:ind w:left="345" w:right="206" w:hanging="82"/>
              <w:jc w:val="left"/>
              <w:rPr>
                <w:b/>
                <w:sz w:val="20"/>
              </w:rPr>
            </w:pPr>
            <w:r>
              <w:rPr>
                <w:b/>
                <w:sz w:val="20"/>
              </w:rPr>
              <w:t>Headcount Dec 2011</w:t>
            </w:r>
            <w:r>
              <w:rPr>
                <w:b/>
                <w:sz w:val="20"/>
                <w:vertAlign w:val="superscript"/>
              </w:rPr>
              <w:t>2</w:t>
            </w:r>
          </w:p>
        </w:tc>
        <w:tc>
          <w:tcPr>
            <w:tcW w:w="1311" w:type="dxa"/>
            <w:tcBorders>
              <w:top w:val="single" w:sz="8" w:space="0" w:color="4F81BC"/>
              <w:bottom w:val="single" w:sz="8" w:space="0" w:color="4F81BC"/>
            </w:tcBorders>
          </w:tcPr>
          <w:p>
            <w:pPr>
              <w:pStyle w:val="TableParagraph"/>
              <w:spacing w:line="240" w:lineRule="atLeast" w:before="1"/>
              <w:ind w:left="224" w:right="237" w:firstLine="134"/>
              <w:jc w:val="left"/>
              <w:rPr>
                <w:b/>
                <w:sz w:val="20"/>
              </w:rPr>
            </w:pPr>
            <w:r>
              <w:rPr>
                <w:b/>
                <w:sz w:val="20"/>
              </w:rPr>
              <w:t>Paid FTE Dec 2011</w:t>
            </w:r>
            <w:r>
              <w:rPr>
                <w:b/>
                <w:sz w:val="20"/>
                <w:vertAlign w:val="superscript"/>
              </w:rPr>
              <w:t>3</w:t>
            </w:r>
          </w:p>
        </w:tc>
        <w:tc>
          <w:tcPr>
            <w:tcW w:w="1127" w:type="dxa"/>
            <w:tcBorders>
              <w:top w:val="single" w:sz="8" w:space="0" w:color="4F81BC"/>
              <w:bottom w:val="single" w:sz="8" w:space="0" w:color="4F81BC"/>
            </w:tcBorders>
          </w:tcPr>
          <w:p>
            <w:pPr>
              <w:pStyle w:val="TableParagraph"/>
              <w:spacing w:line="240" w:lineRule="atLeast" w:before="1"/>
              <w:ind w:left="257" w:right="88" w:firstLine="81"/>
              <w:jc w:val="left"/>
              <w:rPr>
                <w:b/>
                <w:sz w:val="20"/>
              </w:rPr>
            </w:pPr>
            <w:r>
              <w:rPr>
                <w:b/>
                <w:w w:val="95"/>
                <w:sz w:val="20"/>
              </w:rPr>
              <w:t>Average </w:t>
            </w:r>
            <w:r>
              <w:rPr>
                <w:b/>
                <w:sz w:val="20"/>
              </w:rPr>
              <w:t>Paid FTE</w:t>
            </w:r>
            <w:r>
              <w:rPr>
                <w:b/>
                <w:sz w:val="20"/>
                <w:vertAlign w:val="superscript"/>
              </w:rPr>
              <w:t>4</w:t>
            </w:r>
          </w:p>
        </w:tc>
      </w:tr>
      <w:tr>
        <w:trPr>
          <w:trHeight w:val="302" w:hRule="atLeast"/>
        </w:trPr>
        <w:tc>
          <w:tcPr>
            <w:tcW w:w="5787" w:type="dxa"/>
            <w:tcBorders>
              <w:top w:val="single" w:sz="8" w:space="0" w:color="4F81BC"/>
            </w:tcBorders>
            <w:shd w:val="clear" w:color="auto" w:fill="D2DFED"/>
          </w:tcPr>
          <w:p>
            <w:pPr>
              <w:pStyle w:val="TableParagraph"/>
              <w:spacing w:before="27"/>
              <w:ind w:left="122"/>
              <w:jc w:val="left"/>
              <w:rPr>
                <w:b/>
                <w:sz w:val="20"/>
              </w:rPr>
            </w:pPr>
            <w:r>
              <w:rPr>
                <w:b/>
                <w:sz w:val="20"/>
              </w:rPr>
              <w:t>Fire and Emergency Services Authority of Western Australia</w:t>
            </w:r>
          </w:p>
        </w:tc>
        <w:tc>
          <w:tcPr>
            <w:tcW w:w="1399" w:type="dxa"/>
            <w:tcBorders>
              <w:top w:val="single" w:sz="8" w:space="0" w:color="4F81BC"/>
            </w:tcBorders>
            <w:shd w:val="clear" w:color="auto" w:fill="D2DFED"/>
          </w:tcPr>
          <w:p>
            <w:pPr>
              <w:pStyle w:val="TableParagraph"/>
              <w:spacing w:before="27"/>
              <w:ind w:right="224"/>
              <w:rPr>
                <w:sz w:val="20"/>
              </w:rPr>
            </w:pPr>
            <w:r>
              <w:rPr>
                <w:w w:val="95"/>
                <w:sz w:val="20"/>
              </w:rPr>
              <w:t>1,428</w:t>
            </w:r>
          </w:p>
        </w:tc>
        <w:tc>
          <w:tcPr>
            <w:tcW w:w="1311" w:type="dxa"/>
            <w:tcBorders>
              <w:top w:val="single" w:sz="8" w:space="0" w:color="4F81BC"/>
            </w:tcBorders>
            <w:shd w:val="clear" w:color="auto" w:fill="D2DFED"/>
          </w:tcPr>
          <w:p>
            <w:pPr>
              <w:pStyle w:val="TableParagraph"/>
              <w:spacing w:before="27"/>
              <w:ind w:right="258"/>
              <w:rPr>
                <w:sz w:val="20"/>
              </w:rPr>
            </w:pPr>
            <w:r>
              <w:rPr>
                <w:w w:val="95"/>
                <w:sz w:val="20"/>
              </w:rPr>
              <w:t>1,381</w:t>
            </w:r>
          </w:p>
        </w:tc>
        <w:tc>
          <w:tcPr>
            <w:tcW w:w="1127" w:type="dxa"/>
            <w:tcBorders>
              <w:top w:val="single" w:sz="8" w:space="0" w:color="4F81BC"/>
            </w:tcBorders>
            <w:shd w:val="clear" w:color="auto" w:fill="D2DFED"/>
          </w:tcPr>
          <w:p>
            <w:pPr>
              <w:pStyle w:val="TableParagraph"/>
              <w:spacing w:before="27"/>
              <w:ind w:right="108"/>
              <w:rPr>
                <w:sz w:val="20"/>
              </w:rPr>
            </w:pPr>
            <w:r>
              <w:rPr>
                <w:w w:val="95"/>
                <w:sz w:val="20"/>
              </w:rPr>
              <w:t>1,355</w:t>
            </w:r>
          </w:p>
        </w:tc>
      </w:tr>
      <w:tr>
        <w:trPr>
          <w:trHeight w:val="300" w:hRule="atLeast"/>
        </w:trPr>
        <w:tc>
          <w:tcPr>
            <w:tcW w:w="5787" w:type="dxa"/>
          </w:tcPr>
          <w:p>
            <w:pPr>
              <w:pStyle w:val="TableParagraph"/>
              <w:ind w:left="122"/>
              <w:jc w:val="left"/>
              <w:rPr>
                <w:b/>
                <w:sz w:val="20"/>
              </w:rPr>
            </w:pPr>
            <w:r>
              <w:rPr>
                <w:b/>
                <w:sz w:val="20"/>
              </w:rPr>
              <w:t>Polytechnic West</w:t>
            </w:r>
          </w:p>
        </w:tc>
        <w:tc>
          <w:tcPr>
            <w:tcW w:w="1399" w:type="dxa"/>
          </w:tcPr>
          <w:p>
            <w:pPr>
              <w:pStyle w:val="TableParagraph"/>
              <w:ind w:right="224"/>
              <w:rPr>
                <w:sz w:val="20"/>
              </w:rPr>
            </w:pPr>
            <w:r>
              <w:rPr>
                <w:w w:val="95"/>
                <w:sz w:val="20"/>
              </w:rPr>
              <w:t>1,388</w:t>
            </w:r>
          </w:p>
        </w:tc>
        <w:tc>
          <w:tcPr>
            <w:tcW w:w="1311" w:type="dxa"/>
          </w:tcPr>
          <w:p>
            <w:pPr>
              <w:pStyle w:val="TableParagraph"/>
              <w:ind w:right="258"/>
              <w:rPr>
                <w:sz w:val="20"/>
              </w:rPr>
            </w:pPr>
            <w:r>
              <w:rPr>
                <w:w w:val="95"/>
                <w:sz w:val="20"/>
              </w:rPr>
              <w:t>1,013</w:t>
            </w:r>
          </w:p>
        </w:tc>
        <w:tc>
          <w:tcPr>
            <w:tcW w:w="1127" w:type="dxa"/>
          </w:tcPr>
          <w:p>
            <w:pPr>
              <w:pStyle w:val="TableParagraph"/>
              <w:ind w:right="108"/>
              <w:rPr>
                <w:sz w:val="20"/>
              </w:rPr>
            </w:pPr>
            <w:r>
              <w:rPr>
                <w:w w:val="95"/>
                <w:sz w:val="20"/>
              </w:rPr>
              <w:t>1,109</w:t>
            </w:r>
          </w:p>
        </w:tc>
      </w:tr>
      <w:tr>
        <w:trPr>
          <w:trHeight w:val="300" w:hRule="atLeast"/>
        </w:trPr>
        <w:tc>
          <w:tcPr>
            <w:tcW w:w="5787" w:type="dxa"/>
            <w:shd w:val="clear" w:color="auto" w:fill="D2DFED"/>
          </w:tcPr>
          <w:p>
            <w:pPr>
              <w:pStyle w:val="TableParagraph"/>
              <w:ind w:left="122"/>
              <w:jc w:val="left"/>
              <w:rPr>
                <w:b/>
                <w:sz w:val="20"/>
              </w:rPr>
            </w:pPr>
            <w:r>
              <w:rPr>
                <w:b/>
                <w:sz w:val="20"/>
              </w:rPr>
              <w:t>Department of Agriculture and Food</w:t>
            </w:r>
          </w:p>
        </w:tc>
        <w:tc>
          <w:tcPr>
            <w:tcW w:w="1399" w:type="dxa"/>
            <w:shd w:val="clear" w:color="auto" w:fill="D2DFED"/>
          </w:tcPr>
          <w:p>
            <w:pPr>
              <w:pStyle w:val="TableParagraph"/>
              <w:ind w:right="224"/>
              <w:rPr>
                <w:sz w:val="20"/>
              </w:rPr>
            </w:pPr>
            <w:r>
              <w:rPr>
                <w:w w:val="95"/>
                <w:sz w:val="20"/>
              </w:rPr>
              <w:t>1,320</w:t>
            </w:r>
          </w:p>
        </w:tc>
        <w:tc>
          <w:tcPr>
            <w:tcW w:w="1311" w:type="dxa"/>
            <w:shd w:val="clear" w:color="auto" w:fill="D2DFED"/>
          </w:tcPr>
          <w:p>
            <w:pPr>
              <w:pStyle w:val="TableParagraph"/>
              <w:ind w:right="258"/>
              <w:rPr>
                <w:sz w:val="20"/>
              </w:rPr>
            </w:pPr>
            <w:r>
              <w:rPr>
                <w:w w:val="95"/>
                <w:sz w:val="20"/>
              </w:rPr>
              <w:t>1,177</w:t>
            </w:r>
          </w:p>
        </w:tc>
        <w:tc>
          <w:tcPr>
            <w:tcW w:w="1127" w:type="dxa"/>
            <w:shd w:val="clear" w:color="auto" w:fill="D2DFED"/>
          </w:tcPr>
          <w:p>
            <w:pPr>
              <w:pStyle w:val="TableParagraph"/>
              <w:ind w:right="108"/>
              <w:rPr>
                <w:sz w:val="20"/>
              </w:rPr>
            </w:pPr>
            <w:r>
              <w:rPr>
                <w:w w:val="95"/>
                <w:sz w:val="20"/>
              </w:rPr>
              <w:t>1,186</w:t>
            </w:r>
          </w:p>
        </w:tc>
      </w:tr>
      <w:tr>
        <w:trPr>
          <w:trHeight w:val="300" w:hRule="atLeast"/>
        </w:trPr>
        <w:tc>
          <w:tcPr>
            <w:tcW w:w="5787" w:type="dxa"/>
          </w:tcPr>
          <w:p>
            <w:pPr>
              <w:pStyle w:val="TableParagraph"/>
              <w:ind w:left="122"/>
              <w:jc w:val="left"/>
              <w:rPr>
                <w:b/>
                <w:sz w:val="20"/>
              </w:rPr>
            </w:pPr>
            <w:r>
              <w:rPr>
                <w:b/>
                <w:sz w:val="20"/>
              </w:rPr>
              <w:t>Central Institute of Technology</w:t>
            </w:r>
          </w:p>
        </w:tc>
        <w:tc>
          <w:tcPr>
            <w:tcW w:w="1399" w:type="dxa"/>
          </w:tcPr>
          <w:p>
            <w:pPr>
              <w:pStyle w:val="TableParagraph"/>
              <w:ind w:right="224"/>
              <w:rPr>
                <w:sz w:val="20"/>
              </w:rPr>
            </w:pPr>
            <w:r>
              <w:rPr>
                <w:w w:val="95"/>
                <w:sz w:val="20"/>
              </w:rPr>
              <w:t>1,207</w:t>
            </w:r>
          </w:p>
        </w:tc>
        <w:tc>
          <w:tcPr>
            <w:tcW w:w="1311" w:type="dxa"/>
          </w:tcPr>
          <w:p>
            <w:pPr>
              <w:pStyle w:val="TableParagraph"/>
              <w:ind w:right="259"/>
              <w:rPr>
                <w:sz w:val="20"/>
              </w:rPr>
            </w:pPr>
            <w:r>
              <w:rPr>
                <w:w w:val="95"/>
                <w:sz w:val="20"/>
              </w:rPr>
              <w:t>934</w:t>
            </w:r>
          </w:p>
        </w:tc>
        <w:tc>
          <w:tcPr>
            <w:tcW w:w="1127" w:type="dxa"/>
          </w:tcPr>
          <w:p>
            <w:pPr>
              <w:pStyle w:val="TableParagraph"/>
              <w:ind w:right="108"/>
              <w:rPr>
                <w:sz w:val="20"/>
              </w:rPr>
            </w:pPr>
            <w:r>
              <w:rPr>
                <w:w w:val="95"/>
                <w:sz w:val="20"/>
              </w:rPr>
              <w:t>980</w:t>
            </w:r>
          </w:p>
        </w:tc>
      </w:tr>
      <w:tr>
        <w:trPr>
          <w:trHeight w:val="300" w:hRule="atLeast"/>
        </w:trPr>
        <w:tc>
          <w:tcPr>
            <w:tcW w:w="5787" w:type="dxa"/>
            <w:shd w:val="clear" w:color="auto" w:fill="D2DFED"/>
          </w:tcPr>
          <w:p>
            <w:pPr>
              <w:pStyle w:val="TableParagraph"/>
              <w:ind w:left="122"/>
              <w:jc w:val="left"/>
              <w:rPr>
                <w:b/>
                <w:sz w:val="20"/>
              </w:rPr>
            </w:pPr>
            <w:r>
              <w:rPr>
                <w:b/>
                <w:sz w:val="20"/>
              </w:rPr>
              <w:t>Commissioner of Main Roads</w:t>
            </w:r>
          </w:p>
        </w:tc>
        <w:tc>
          <w:tcPr>
            <w:tcW w:w="1399" w:type="dxa"/>
            <w:shd w:val="clear" w:color="auto" w:fill="D2DFED"/>
          </w:tcPr>
          <w:p>
            <w:pPr>
              <w:pStyle w:val="TableParagraph"/>
              <w:ind w:right="224"/>
              <w:rPr>
                <w:sz w:val="20"/>
              </w:rPr>
            </w:pPr>
            <w:r>
              <w:rPr>
                <w:w w:val="95"/>
                <w:sz w:val="20"/>
              </w:rPr>
              <w:t>1,061</w:t>
            </w:r>
          </w:p>
        </w:tc>
        <w:tc>
          <w:tcPr>
            <w:tcW w:w="1311" w:type="dxa"/>
            <w:shd w:val="clear" w:color="auto" w:fill="D2DFED"/>
          </w:tcPr>
          <w:p>
            <w:pPr>
              <w:pStyle w:val="TableParagraph"/>
              <w:ind w:right="259"/>
              <w:rPr>
                <w:sz w:val="20"/>
              </w:rPr>
            </w:pPr>
            <w:r>
              <w:rPr>
                <w:w w:val="95"/>
                <w:sz w:val="20"/>
              </w:rPr>
              <w:t>988</w:t>
            </w:r>
          </w:p>
        </w:tc>
        <w:tc>
          <w:tcPr>
            <w:tcW w:w="1127" w:type="dxa"/>
            <w:shd w:val="clear" w:color="auto" w:fill="D2DFED"/>
          </w:tcPr>
          <w:p>
            <w:pPr>
              <w:pStyle w:val="TableParagraph"/>
              <w:ind w:right="108"/>
              <w:rPr>
                <w:sz w:val="20"/>
              </w:rPr>
            </w:pPr>
            <w:r>
              <w:rPr>
                <w:w w:val="95"/>
                <w:sz w:val="20"/>
              </w:rPr>
              <w:t>1,002</w:t>
            </w:r>
          </w:p>
        </w:tc>
      </w:tr>
      <w:tr>
        <w:trPr>
          <w:trHeight w:val="300" w:hRule="atLeast"/>
        </w:trPr>
        <w:tc>
          <w:tcPr>
            <w:tcW w:w="5787" w:type="dxa"/>
          </w:tcPr>
          <w:p>
            <w:pPr>
              <w:pStyle w:val="TableParagraph"/>
              <w:ind w:left="122"/>
              <w:jc w:val="left"/>
              <w:rPr>
                <w:b/>
                <w:sz w:val="20"/>
              </w:rPr>
            </w:pPr>
            <w:r>
              <w:rPr>
                <w:b/>
                <w:sz w:val="20"/>
              </w:rPr>
              <w:t>Department of Commerce</w:t>
            </w:r>
          </w:p>
        </w:tc>
        <w:tc>
          <w:tcPr>
            <w:tcW w:w="1399" w:type="dxa"/>
          </w:tcPr>
          <w:p>
            <w:pPr>
              <w:pStyle w:val="TableParagraph"/>
              <w:ind w:right="224"/>
              <w:rPr>
                <w:sz w:val="20"/>
              </w:rPr>
            </w:pPr>
            <w:r>
              <w:rPr>
                <w:w w:val="95"/>
                <w:sz w:val="20"/>
              </w:rPr>
              <w:t>1,047</w:t>
            </w:r>
          </w:p>
        </w:tc>
        <w:tc>
          <w:tcPr>
            <w:tcW w:w="1311" w:type="dxa"/>
          </w:tcPr>
          <w:p>
            <w:pPr>
              <w:pStyle w:val="TableParagraph"/>
              <w:ind w:right="259"/>
              <w:rPr>
                <w:sz w:val="20"/>
              </w:rPr>
            </w:pPr>
            <w:r>
              <w:rPr>
                <w:w w:val="95"/>
                <w:sz w:val="20"/>
              </w:rPr>
              <w:t>937</w:t>
            </w:r>
          </w:p>
        </w:tc>
        <w:tc>
          <w:tcPr>
            <w:tcW w:w="1127" w:type="dxa"/>
          </w:tcPr>
          <w:p>
            <w:pPr>
              <w:pStyle w:val="TableParagraph"/>
              <w:ind w:right="108"/>
              <w:rPr>
                <w:sz w:val="20"/>
              </w:rPr>
            </w:pPr>
            <w:r>
              <w:rPr>
                <w:w w:val="95"/>
                <w:sz w:val="20"/>
              </w:rPr>
              <w:t>915</w:t>
            </w:r>
          </w:p>
        </w:tc>
      </w:tr>
      <w:tr>
        <w:trPr>
          <w:trHeight w:val="300" w:hRule="atLeast"/>
        </w:trPr>
        <w:tc>
          <w:tcPr>
            <w:tcW w:w="5787" w:type="dxa"/>
            <w:shd w:val="clear" w:color="auto" w:fill="D2DFED"/>
          </w:tcPr>
          <w:p>
            <w:pPr>
              <w:pStyle w:val="TableParagraph"/>
              <w:ind w:left="122"/>
              <w:jc w:val="left"/>
              <w:rPr>
                <w:b/>
                <w:sz w:val="20"/>
              </w:rPr>
            </w:pPr>
            <w:r>
              <w:rPr>
                <w:b/>
                <w:sz w:val="20"/>
              </w:rPr>
              <w:t>Department of the Premier and Cabinet</w:t>
            </w:r>
          </w:p>
        </w:tc>
        <w:tc>
          <w:tcPr>
            <w:tcW w:w="1399" w:type="dxa"/>
            <w:shd w:val="clear" w:color="auto" w:fill="D2DFED"/>
          </w:tcPr>
          <w:p>
            <w:pPr>
              <w:pStyle w:val="TableParagraph"/>
              <w:ind w:right="224"/>
              <w:rPr>
                <w:sz w:val="20"/>
              </w:rPr>
            </w:pPr>
            <w:r>
              <w:rPr>
                <w:w w:val="95"/>
                <w:sz w:val="20"/>
              </w:rPr>
              <w:t>874</w:t>
            </w:r>
          </w:p>
        </w:tc>
        <w:tc>
          <w:tcPr>
            <w:tcW w:w="1311" w:type="dxa"/>
            <w:shd w:val="clear" w:color="auto" w:fill="D2DFED"/>
          </w:tcPr>
          <w:p>
            <w:pPr>
              <w:pStyle w:val="TableParagraph"/>
              <w:ind w:right="259"/>
              <w:rPr>
                <w:sz w:val="20"/>
              </w:rPr>
            </w:pPr>
            <w:r>
              <w:rPr>
                <w:w w:val="95"/>
                <w:sz w:val="20"/>
              </w:rPr>
              <w:t>689</w:t>
            </w:r>
          </w:p>
        </w:tc>
        <w:tc>
          <w:tcPr>
            <w:tcW w:w="1127" w:type="dxa"/>
            <w:shd w:val="clear" w:color="auto" w:fill="D2DFED"/>
          </w:tcPr>
          <w:p>
            <w:pPr>
              <w:pStyle w:val="TableParagraph"/>
              <w:ind w:right="108"/>
              <w:rPr>
                <w:sz w:val="20"/>
              </w:rPr>
            </w:pPr>
            <w:r>
              <w:rPr>
                <w:w w:val="95"/>
                <w:sz w:val="20"/>
              </w:rPr>
              <w:t>675</w:t>
            </w:r>
          </w:p>
        </w:tc>
      </w:tr>
      <w:tr>
        <w:trPr>
          <w:trHeight w:val="300" w:hRule="atLeast"/>
        </w:trPr>
        <w:tc>
          <w:tcPr>
            <w:tcW w:w="5787" w:type="dxa"/>
          </w:tcPr>
          <w:p>
            <w:pPr>
              <w:pStyle w:val="TableParagraph"/>
              <w:ind w:left="122"/>
              <w:jc w:val="left"/>
              <w:rPr>
                <w:b/>
                <w:sz w:val="20"/>
              </w:rPr>
            </w:pPr>
            <w:r>
              <w:rPr>
                <w:b/>
                <w:sz w:val="20"/>
              </w:rPr>
              <w:t>Western Australian Land Information Authority (Landgate)</w:t>
            </w:r>
          </w:p>
        </w:tc>
        <w:tc>
          <w:tcPr>
            <w:tcW w:w="1399" w:type="dxa"/>
          </w:tcPr>
          <w:p>
            <w:pPr>
              <w:pStyle w:val="TableParagraph"/>
              <w:ind w:right="224"/>
              <w:rPr>
                <w:sz w:val="20"/>
              </w:rPr>
            </w:pPr>
            <w:r>
              <w:rPr>
                <w:w w:val="95"/>
                <w:sz w:val="20"/>
              </w:rPr>
              <w:t>828</w:t>
            </w:r>
          </w:p>
        </w:tc>
        <w:tc>
          <w:tcPr>
            <w:tcW w:w="1311" w:type="dxa"/>
          </w:tcPr>
          <w:p>
            <w:pPr>
              <w:pStyle w:val="TableParagraph"/>
              <w:ind w:right="259"/>
              <w:rPr>
                <w:sz w:val="20"/>
              </w:rPr>
            </w:pPr>
            <w:r>
              <w:rPr>
                <w:w w:val="95"/>
                <w:sz w:val="20"/>
              </w:rPr>
              <w:t>761</w:t>
            </w:r>
          </w:p>
        </w:tc>
        <w:tc>
          <w:tcPr>
            <w:tcW w:w="1127" w:type="dxa"/>
          </w:tcPr>
          <w:p>
            <w:pPr>
              <w:pStyle w:val="TableParagraph"/>
              <w:ind w:right="108"/>
              <w:rPr>
                <w:sz w:val="20"/>
              </w:rPr>
            </w:pPr>
            <w:r>
              <w:rPr>
                <w:w w:val="95"/>
                <w:sz w:val="20"/>
              </w:rPr>
              <w:t>809</w:t>
            </w:r>
          </w:p>
        </w:tc>
      </w:tr>
      <w:tr>
        <w:trPr>
          <w:trHeight w:val="300" w:hRule="atLeast"/>
        </w:trPr>
        <w:tc>
          <w:tcPr>
            <w:tcW w:w="5787" w:type="dxa"/>
            <w:shd w:val="clear" w:color="auto" w:fill="D2DFED"/>
          </w:tcPr>
          <w:p>
            <w:pPr>
              <w:pStyle w:val="TableParagraph"/>
              <w:ind w:left="122"/>
              <w:jc w:val="left"/>
              <w:rPr>
                <w:b/>
                <w:sz w:val="20"/>
              </w:rPr>
            </w:pPr>
            <w:r>
              <w:rPr>
                <w:b/>
                <w:sz w:val="20"/>
              </w:rPr>
              <w:t>Department of Mines and Petroleum</w:t>
            </w:r>
          </w:p>
        </w:tc>
        <w:tc>
          <w:tcPr>
            <w:tcW w:w="1399" w:type="dxa"/>
            <w:shd w:val="clear" w:color="auto" w:fill="D2DFED"/>
          </w:tcPr>
          <w:p>
            <w:pPr>
              <w:pStyle w:val="TableParagraph"/>
              <w:ind w:right="224"/>
              <w:rPr>
                <w:sz w:val="20"/>
              </w:rPr>
            </w:pPr>
            <w:r>
              <w:rPr>
                <w:w w:val="95"/>
                <w:sz w:val="20"/>
              </w:rPr>
              <w:t>808</w:t>
            </w:r>
          </w:p>
        </w:tc>
        <w:tc>
          <w:tcPr>
            <w:tcW w:w="1311" w:type="dxa"/>
            <w:shd w:val="clear" w:color="auto" w:fill="D2DFED"/>
          </w:tcPr>
          <w:p>
            <w:pPr>
              <w:pStyle w:val="TableParagraph"/>
              <w:ind w:right="259"/>
              <w:rPr>
                <w:sz w:val="20"/>
              </w:rPr>
            </w:pPr>
            <w:r>
              <w:rPr>
                <w:w w:val="95"/>
                <w:sz w:val="20"/>
              </w:rPr>
              <w:t>755</w:t>
            </w:r>
          </w:p>
        </w:tc>
        <w:tc>
          <w:tcPr>
            <w:tcW w:w="1127" w:type="dxa"/>
            <w:shd w:val="clear" w:color="auto" w:fill="D2DFED"/>
          </w:tcPr>
          <w:p>
            <w:pPr>
              <w:pStyle w:val="TableParagraph"/>
              <w:ind w:right="108"/>
              <w:rPr>
                <w:sz w:val="20"/>
              </w:rPr>
            </w:pPr>
            <w:r>
              <w:rPr>
                <w:w w:val="95"/>
                <w:sz w:val="20"/>
              </w:rPr>
              <w:t>751</w:t>
            </w:r>
          </w:p>
        </w:tc>
      </w:tr>
      <w:tr>
        <w:trPr>
          <w:trHeight w:val="300" w:hRule="atLeast"/>
        </w:trPr>
        <w:tc>
          <w:tcPr>
            <w:tcW w:w="5787" w:type="dxa"/>
          </w:tcPr>
          <w:p>
            <w:pPr>
              <w:pStyle w:val="TableParagraph"/>
              <w:ind w:left="122"/>
              <w:jc w:val="left"/>
              <w:rPr>
                <w:b/>
                <w:sz w:val="20"/>
              </w:rPr>
            </w:pPr>
            <w:r>
              <w:rPr>
                <w:b/>
                <w:sz w:val="20"/>
              </w:rPr>
              <w:t>Challenger Institute of Technology</w:t>
            </w:r>
          </w:p>
        </w:tc>
        <w:tc>
          <w:tcPr>
            <w:tcW w:w="1399" w:type="dxa"/>
          </w:tcPr>
          <w:p>
            <w:pPr>
              <w:pStyle w:val="TableParagraph"/>
              <w:ind w:right="224"/>
              <w:rPr>
                <w:sz w:val="20"/>
              </w:rPr>
            </w:pPr>
            <w:r>
              <w:rPr>
                <w:w w:val="95"/>
                <w:sz w:val="20"/>
              </w:rPr>
              <w:t>804</w:t>
            </w:r>
          </w:p>
        </w:tc>
        <w:tc>
          <w:tcPr>
            <w:tcW w:w="1311" w:type="dxa"/>
          </w:tcPr>
          <w:p>
            <w:pPr>
              <w:pStyle w:val="TableParagraph"/>
              <w:ind w:right="259"/>
              <w:rPr>
                <w:sz w:val="20"/>
              </w:rPr>
            </w:pPr>
            <w:r>
              <w:rPr>
                <w:w w:val="95"/>
                <w:sz w:val="20"/>
              </w:rPr>
              <w:t>611</w:t>
            </w:r>
          </w:p>
        </w:tc>
        <w:tc>
          <w:tcPr>
            <w:tcW w:w="1127" w:type="dxa"/>
          </w:tcPr>
          <w:p>
            <w:pPr>
              <w:pStyle w:val="TableParagraph"/>
              <w:ind w:right="108"/>
              <w:rPr>
                <w:sz w:val="20"/>
              </w:rPr>
            </w:pPr>
            <w:r>
              <w:rPr>
                <w:w w:val="95"/>
                <w:sz w:val="20"/>
              </w:rPr>
              <w:t>640</w:t>
            </w:r>
          </w:p>
        </w:tc>
      </w:tr>
      <w:tr>
        <w:trPr>
          <w:trHeight w:val="300" w:hRule="atLeast"/>
        </w:trPr>
        <w:tc>
          <w:tcPr>
            <w:tcW w:w="5787" w:type="dxa"/>
            <w:shd w:val="clear" w:color="auto" w:fill="D2DFED"/>
          </w:tcPr>
          <w:p>
            <w:pPr>
              <w:pStyle w:val="TableParagraph"/>
              <w:ind w:left="122"/>
              <w:jc w:val="left"/>
              <w:rPr>
                <w:b/>
                <w:sz w:val="20"/>
              </w:rPr>
            </w:pPr>
            <w:r>
              <w:rPr>
                <w:b/>
                <w:sz w:val="20"/>
              </w:rPr>
              <w:t>Department of Culture and the Arts</w:t>
            </w:r>
          </w:p>
        </w:tc>
        <w:tc>
          <w:tcPr>
            <w:tcW w:w="1399" w:type="dxa"/>
            <w:shd w:val="clear" w:color="auto" w:fill="D2DFED"/>
          </w:tcPr>
          <w:p>
            <w:pPr>
              <w:pStyle w:val="TableParagraph"/>
              <w:ind w:right="224"/>
              <w:rPr>
                <w:sz w:val="20"/>
              </w:rPr>
            </w:pPr>
            <w:r>
              <w:rPr>
                <w:w w:val="95"/>
                <w:sz w:val="20"/>
              </w:rPr>
              <w:t>751</w:t>
            </w:r>
          </w:p>
        </w:tc>
        <w:tc>
          <w:tcPr>
            <w:tcW w:w="1311" w:type="dxa"/>
            <w:shd w:val="clear" w:color="auto" w:fill="D2DFED"/>
          </w:tcPr>
          <w:p>
            <w:pPr>
              <w:pStyle w:val="TableParagraph"/>
              <w:ind w:right="259"/>
              <w:rPr>
                <w:sz w:val="20"/>
              </w:rPr>
            </w:pPr>
            <w:r>
              <w:rPr>
                <w:w w:val="95"/>
                <w:sz w:val="20"/>
              </w:rPr>
              <w:t>613</w:t>
            </w:r>
          </w:p>
        </w:tc>
        <w:tc>
          <w:tcPr>
            <w:tcW w:w="1127" w:type="dxa"/>
            <w:shd w:val="clear" w:color="auto" w:fill="D2DFED"/>
          </w:tcPr>
          <w:p>
            <w:pPr>
              <w:pStyle w:val="TableParagraph"/>
              <w:ind w:right="108"/>
              <w:rPr>
                <w:sz w:val="20"/>
              </w:rPr>
            </w:pPr>
            <w:r>
              <w:rPr>
                <w:w w:val="95"/>
                <w:sz w:val="20"/>
              </w:rPr>
              <w:t>624</w:t>
            </w:r>
          </w:p>
        </w:tc>
      </w:tr>
      <w:tr>
        <w:trPr>
          <w:trHeight w:val="300" w:hRule="atLeast"/>
        </w:trPr>
        <w:tc>
          <w:tcPr>
            <w:tcW w:w="5787" w:type="dxa"/>
          </w:tcPr>
          <w:p>
            <w:pPr>
              <w:pStyle w:val="TableParagraph"/>
              <w:spacing w:before="26"/>
              <w:ind w:left="122"/>
              <w:jc w:val="left"/>
              <w:rPr>
                <w:b/>
                <w:sz w:val="20"/>
              </w:rPr>
            </w:pPr>
            <w:r>
              <w:rPr>
                <w:b/>
                <w:sz w:val="20"/>
              </w:rPr>
              <w:t>Department of Training and Workforce Development</w:t>
            </w:r>
          </w:p>
        </w:tc>
        <w:tc>
          <w:tcPr>
            <w:tcW w:w="1399" w:type="dxa"/>
          </w:tcPr>
          <w:p>
            <w:pPr>
              <w:pStyle w:val="TableParagraph"/>
              <w:spacing w:before="26"/>
              <w:ind w:right="224"/>
              <w:rPr>
                <w:sz w:val="20"/>
              </w:rPr>
            </w:pPr>
            <w:r>
              <w:rPr>
                <w:w w:val="95"/>
                <w:sz w:val="20"/>
              </w:rPr>
              <w:t>679</w:t>
            </w:r>
          </w:p>
        </w:tc>
        <w:tc>
          <w:tcPr>
            <w:tcW w:w="1311" w:type="dxa"/>
          </w:tcPr>
          <w:p>
            <w:pPr>
              <w:pStyle w:val="TableParagraph"/>
              <w:spacing w:before="26"/>
              <w:ind w:right="259"/>
              <w:rPr>
                <w:sz w:val="20"/>
              </w:rPr>
            </w:pPr>
            <w:r>
              <w:rPr>
                <w:w w:val="95"/>
                <w:sz w:val="20"/>
              </w:rPr>
              <w:t>582</w:t>
            </w:r>
          </w:p>
        </w:tc>
        <w:tc>
          <w:tcPr>
            <w:tcW w:w="1127" w:type="dxa"/>
          </w:tcPr>
          <w:p>
            <w:pPr>
              <w:pStyle w:val="TableParagraph"/>
              <w:spacing w:before="26"/>
              <w:ind w:right="108"/>
              <w:rPr>
                <w:sz w:val="20"/>
              </w:rPr>
            </w:pPr>
            <w:r>
              <w:rPr>
                <w:w w:val="95"/>
                <w:sz w:val="20"/>
              </w:rPr>
              <w:t>573</w:t>
            </w:r>
          </w:p>
        </w:tc>
      </w:tr>
      <w:tr>
        <w:trPr>
          <w:trHeight w:val="300" w:hRule="atLeast"/>
        </w:trPr>
        <w:tc>
          <w:tcPr>
            <w:tcW w:w="5787" w:type="dxa"/>
            <w:shd w:val="clear" w:color="auto" w:fill="D2DFED"/>
          </w:tcPr>
          <w:p>
            <w:pPr>
              <w:pStyle w:val="TableParagraph"/>
              <w:ind w:left="122"/>
              <w:jc w:val="left"/>
              <w:rPr>
                <w:b/>
                <w:sz w:val="20"/>
              </w:rPr>
            </w:pPr>
            <w:r>
              <w:rPr>
                <w:b/>
                <w:sz w:val="20"/>
              </w:rPr>
              <w:t>Western Australian Sports Centre Trust</w:t>
            </w:r>
          </w:p>
        </w:tc>
        <w:tc>
          <w:tcPr>
            <w:tcW w:w="1399" w:type="dxa"/>
            <w:shd w:val="clear" w:color="auto" w:fill="D2DFED"/>
          </w:tcPr>
          <w:p>
            <w:pPr>
              <w:pStyle w:val="TableParagraph"/>
              <w:ind w:right="224"/>
              <w:rPr>
                <w:sz w:val="20"/>
              </w:rPr>
            </w:pPr>
            <w:r>
              <w:rPr>
                <w:w w:val="95"/>
                <w:sz w:val="20"/>
              </w:rPr>
              <w:t>647</w:t>
            </w:r>
          </w:p>
        </w:tc>
        <w:tc>
          <w:tcPr>
            <w:tcW w:w="1311" w:type="dxa"/>
            <w:shd w:val="clear" w:color="auto" w:fill="D2DFED"/>
          </w:tcPr>
          <w:p>
            <w:pPr>
              <w:pStyle w:val="TableParagraph"/>
              <w:ind w:right="259"/>
              <w:rPr>
                <w:sz w:val="20"/>
              </w:rPr>
            </w:pPr>
            <w:r>
              <w:rPr>
                <w:w w:val="95"/>
                <w:sz w:val="20"/>
              </w:rPr>
              <w:t>254</w:t>
            </w:r>
          </w:p>
        </w:tc>
        <w:tc>
          <w:tcPr>
            <w:tcW w:w="1127" w:type="dxa"/>
            <w:shd w:val="clear" w:color="auto" w:fill="D2DFED"/>
          </w:tcPr>
          <w:p>
            <w:pPr>
              <w:pStyle w:val="TableParagraph"/>
              <w:ind w:right="108"/>
              <w:rPr>
                <w:sz w:val="20"/>
              </w:rPr>
            </w:pPr>
            <w:r>
              <w:rPr>
                <w:w w:val="95"/>
                <w:sz w:val="20"/>
              </w:rPr>
              <w:t>249</w:t>
            </w:r>
          </w:p>
        </w:tc>
      </w:tr>
      <w:tr>
        <w:trPr>
          <w:trHeight w:val="300" w:hRule="atLeast"/>
        </w:trPr>
        <w:tc>
          <w:tcPr>
            <w:tcW w:w="5787" w:type="dxa"/>
          </w:tcPr>
          <w:p>
            <w:pPr>
              <w:pStyle w:val="TableParagraph"/>
              <w:ind w:left="122"/>
              <w:jc w:val="left"/>
              <w:rPr>
                <w:b/>
                <w:sz w:val="20"/>
              </w:rPr>
            </w:pPr>
            <w:r>
              <w:rPr>
                <w:b/>
                <w:sz w:val="20"/>
              </w:rPr>
              <w:t>Department of Water</w:t>
            </w:r>
          </w:p>
        </w:tc>
        <w:tc>
          <w:tcPr>
            <w:tcW w:w="1399" w:type="dxa"/>
          </w:tcPr>
          <w:p>
            <w:pPr>
              <w:pStyle w:val="TableParagraph"/>
              <w:ind w:right="224"/>
              <w:rPr>
                <w:sz w:val="20"/>
              </w:rPr>
            </w:pPr>
            <w:r>
              <w:rPr>
                <w:w w:val="95"/>
                <w:sz w:val="20"/>
              </w:rPr>
              <w:t>554</w:t>
            </w:r>
          </w:p>
        </w:tc>
        <w:tc>
          <w:tcPr>
            <w:tcW w:w="1311" w:type="dxa"/>
          </w:tcPr>
          <w:p>
            <w:pPr>
              <w:pStyle w:val="TableParagraph"/>
              <w:ind w:right="259"/>
              <w:rPr>
                <w:sz w:val="20"/>
              </w:rPr>
            </w:pPr>
            <w:r>
              <w:rPr>
                <w:w w:val="95"/>
                <w:sz w:val="20"/>
              </w:rPr>
              <w:t>488</w:t>
            </w:r>
          </w:p>
        </w:tc>
        <w:tc>
          <w:tcPr>
            <w:tcW w:w="1127" w:type="dxa"/>
          </w:tcPr>
          <w:p>
            <w:pPr>
              <w:pStyle w:val="TableParagraph"/>
              <w:ind w:right="108"/>
              <w:rPr>
                <w:sz w:val="20"/>
              </w:rPr>
            </w:pPr>
            <w:r>
              <w:rPr>
                <w:w w:val="95"/>
                <w:sz w:val="20"/>
              </w:rPr>
              <w:t>522</w:t>
            </w:r>
          </w:p>
        </w:tc>
      </w:tr>
      <w:tr>
        <w:trPr>
          <w:trHeight w:val="300" w:hRule="atLeast"/>
        </w:trPr>
        <w:tc>
          <w:tcPr>
            <w:tcW w:w="5787" w:type="dxa"/>
            <w:shd w:val="clear" w:color="auto" w:fill="D2DFED"/>
          </w:tcPr>
          <w:p>
            <w:pPr>
              <w:pStyle w:val="TableParagraph"/>
              <w:ind w:left="122"/>
              <w:jc w:val="left"/>
              <w:rPr>
                <w:b/>
                <w:sz w:val="20"/>
              </w:rPr>
            </w:pPr>
            <w:r>
              <w:rPr>
                <w:b/>
                <w:sz w:val="20"/>
              </w:rPr>
              <w:t>Department of Planning</w:t>
            </w:r>
          </w:p>
        </w:tc>
        <w:tc>
          <w:tcPr>
            <w:tcW w:w="1399" w:type="dxa"/>
            <w:shd w:val="clear" w:color="auto" w:fill="D2DFED"/>
          </w:tcPr>
          <w:p>
            <w:pPr>
              <w:pStyle w:val="TableParagraph"/>
              <w:ind w:right="224"/>
              <w:rPr>
                <w:sz w:val="20"/>
              </w:rPr>
            </w:pPr>
            <w:r>
              <w:rPr>
                <w:w w:val="95"/>
                <w:sz w:val="20"/>
              </w:rPr>
              <w:t>498</w:t>
            </w:r>
          </w:p>
        </w:tc>
        <w:tc>
          <w:tcPr>
            <w:tcW w:w="1311" w:type="dxa"/>
            <w:shd w:val="clear" w:color="auto" w:fill="D2DFED"/>
          </w:tcPr>
          <w:p>
            <w:pPr>
              <w:pStyle w:val="TableParagraph"/>
              <w:ind w:right="259"/>
              <w:rPr>
                <w:sz w:val="20"/>
              </w:rPr>
            </w:pPr>
            <w:r>
              <w:rPr>
                <w:w w:val="95"/>
                <w:sz w:val="20"/>
              </w:rPr>
              <w:t>452</w:t>
            </w:r>
          </w:p>
        </w:tc>
        <w:tc>
          <w:tcPr>
            <w:tcW w:w="1127" w:type="dxa"/>
            <w:shd w:val="clear" w:color="auto" w:fill="D2DFED"/>
          </w:tcPr>
          <w:p>
            <w:pPr>
              <w:pStyle w:val="TableParagraph"/>
              <w:ind w:right="108"/>
              <w:rPr>
                <w:sz w:val="20"/>
              </w:rPr>
            </w:pPr>
            <w:r>
              <w:rPr>
                <w:w w:val="95"/>
                <w:sz w:val="20"/>
              </w:rPr>
              <w:t>453</w:t>
            </w:r>
          </w:p>
        </w:tc>
      </w:tr>
      <w:tr>
        <w:trPr>
          <w:trHeight w:val="300" w:hRule="atLeast"/>
        </w:trPr>
        <w:tc>
          <w:tcPr>
            <w:tcW w:w="5787" w:type="dxa"/>
          </w:tcPr>
          <w:p>
            <w:pPr>
              <w:pStyle w:val="TableParagraph"/>
              <w:ind w:left="122"/>
              <w:jc w:val="left"/>
              <w:rPr>
                <w:b/>
                <w:sz w:val="20"/>
              </w:rPr>
            </w:pPr>
            <w:r>
              <w:rPr>
                <w:b/>
                <w:sz w:val="20"/>
              </w:rPr>
              <w:t>Department of Fisheries</w:t>
            </w:r>
          </w:p>
        </w:tc>
        <w:tc>
          <w:tcPr>
            <w:tcW w:w="1399" w:type="dxa"/>
          </w:tcPr>
          <w:p>
            <w:pPr>
              <w:pStyle w:val="TableParagraph"/>
              <w:ind w:right="224"/>
              <w:rPr>
                <w:sz w:val="20"/>
              </w:rPr>
            </w:pPr>
            <w:r>
              <w:rPr>
                <w:w w:val="95"/>
                <w:sz w:val="20"/>
              </w:rPr>
              <w:t>488</w:t>
            </w:r>
          </w:p>
        </w:tc>
        <w:tc>
          <w:tcPr>
            <w:tcW w:w="1311" w:type="dxa"/>
          </w:tcPr>
          <w:p>
            <w:pPr>
              <w:pStyle w:val="TableParagraph"/>
              <w:ind w:right="259"/>
              <w:rPr>
                <w:sz w:val="20"/>
              </w:rPr>
            </w:pPr>
            <w:r>
              <w:rPr>
                <w:w w:val="95"/>
                <w:sz w:val="20"/>
              </w:rPr>
              <w:t>441</w:t>
            </w:r>
          </w:p>
        </w:tc>
        <w:tc>
          <w:tcPr>
            <w:tcW w:w="1127" w:type="dxa"/>
          </w:tcPr>
          <w:p>
            <w:pPr>
              <w:pStyle w:val="TableParagraph"/>
              <w:ind w:right="108"/>
              <w:rPr>
                <w:sz w:val="20"/>
              </w:rPr>
            </w:pPr>
            <w:r>
              <w:rPr>
                <w:w w:val="95"/>
                <w:sz w:val="20"/>
              </w:rPr>
              <w:t>420</w:t>
            </w:r>
          </w:p>
        </w:tc>
      </w:tr>
      <w:tr>
        <w:trPr>
          <w:trHeight w:val="300" w:hRule="atLeast"/>
        </w:trPr>
        <w:tc>
          <w:tcPr>
            <w:tcW w:w="5787" w:type="dxa"/>
            <w:shd w:val="clear" w:color="auto" w:fill="D2DFED"/>
          </w:tcPr>
          <w:p>
            <w:pPr>
              <w:pStyle w:val="TableParagraph"/>
              <w:ind w:left="122"/>
              <w:jc w:val="left"/>
              <w:rPr>
                <w:b/>
                <w:sz w:val="20"/>
              </w:rPr>
            </w:pPr>
            <w:r>
              <w:rPr>
                <w:b/>
                <w:sz w:val="20"/>
              </w:rPr>
              <w:t>West Coast Institute of Training</w:t>
            </w:r>
          </w:p>
        </w:tc>
        <w:tc>
          <w:tcPr>
            <w:tcW w:w="1399" w:type="dxa"/>
            <w:shd w:val="clear" w:color="auto" w:fill="D2DFED"/>
          </w:tcPr>
          <w:p>
            <w:pPr>
              <w:pStyle w:val="TableParagraph"/>
              <w:ind w:right="224"/>
              <w:rPr>
                <w:sz w:val="20"/>
              </w:rPr>
            </w:pPr>
            <w:r>
              <w:rPr>
                <w:w w:val="95"/>
                <w:sz w:val="20"/>
              </w:rPr>
              <w:t>405</w:t>
            </w:r>
          </w:p>
        </w:tc>
        <w:tc>
          <w:tcPr>
            <w:tcW w:w="1311" w:type="dxa"/>
            <w:shd w:val="clear" w:color="auto" w:fill="D2DFED"/>
          </w:tcPr>
          <w:p>
            <w:pPr>
              <w:pStyle w:val="TableParagraph"/>
              <w:ind w:right="259"/>
              <w:rPr>
                <w:sz w:val="20"/>
              </w:rPr>
            </w:pPr>
            <w:r>
              <w:rPr>
                <w:w w:val="95"/>
                <w:sz w:val="20"/>
              </w:rPr>
              <w:t>320</w:t>
            </w:r>
          </w:p>
        </w:tc>
        <w:tc>
          <w:tcPr>
            <w:tcW w:w="1127" w:type="dxa"/>
            <w:shd w:val="clear" w:color="auto" w:fill="D2DFED"/>
          </w:tcPr>
          <w:p>
            <w:pPr>
              <w:pStyle w:val="TableParagraph"/>
              <w:ind w:right="108"/>
              <w:rPr>
                <w:sz w:val="20"/>
              </w:rPr>
            </w:pPr>
            <w:r>
              <w:rPr>
                <w:w w:val="95"/>
                <w:sz w:val="20"/>
              </w:rPr>
              <w:t>322</w:t>
            </w:r>
          </w:p>
        </w:tc>
      </w:tr>
      <w:tr>
        <w:trPr>
          <w:trHeight w:val="300" w:hRule="atLeast"/>
        </w:trPr>
        <w:tc>
          <w:tcPr>
            <w:tcW w:w="5787" w:type="dxa"/>
          </w:tcPr>
          <w:p>
            <w:pPr>
              <w:pStyle w:val="TableParagraph"/>
              <w:ind w:left="122"/>
              <w:jc w:val="left"/>
              <w:rPr>
                <w:b/>
                <w:sz w:val="20"/>
              </w:rPr>
            </w:pPr>
            <w:r>
              <w:rPr>
                <w:b/>
                <w:sz w:val="20"/>
              </w:rPr>
              <w:t>South West Institute of Technology</w:t>
            </w:r>
          </w:p>
        </w:tc>
        <w:tc>
          <w:tcPr>
            <w:tcW w:w="1399" w:type="dxa"/>
          </w:tcPr>
          <w:p>
            <w:pPr>
              <w:pStyle w:val="TableParagraph"/>
              <w:ind w:right="224"/>
              <w:rPr>
                <w:sz w:val="20"/>
              </w:rPr>
            </w:pPr>
            <w:r>
              <w:rPr>
                <w:w w:val="95"/>
                <w:sz w:val="20"/>
              </w:rPr>
              <w:t>318</w:t>
            </w:r>
          </w:p>
        </w:tc>
        <w:tc>
          <w:tcPr>
            <w:tcW w:w="1311" w:type="dxa"/>
          </w:tcPr>
          <w:p>
            <w:pPr>
              <w:pStyle w:val="TableParagraph"/>
              <w:ind w:right="259"/>
              <w:rPr>
                <w:sz w:val="20"/>
              </w:rPr>
            </w:pPr>
            <w:r>
              <w:rPr>
                <w:w w:val="95"/>
                <w:sz w:val="20"/>
              </w:rPr>
              <w:t>238</w:t>
            </w:r>
          </w:p>
        </w:tc>
        <w:tc>
          <w:tcPr>
            <w:tcW w:w="1127" w:type="dxa"/>
          </w:tcPr>
          <w:p>
            <w:pPr>
              <w:pStyle w:val="TableParagraph"/>
              <w:ind w:right="108"/>
              <w:rPr>
                <w:sz w:val="20"/>
              </w:rPr>
            </w:pPr>
            <w:r>
              <w:rPr>
                <w:w w:val="95"/>
                <w:sz w:val="20"/>
              </w:rPr>
              <w:t>261</w:t>
            </w:r>
          </w:p>
        </w:tc>
      </w:tr>
      <w:tr>
        <w:trPr>
          <w:trHeight w:val="300" w:hRule="atLeast"/>
        </w:trPr>
        <w:tc>
          <w:tcPr>
            <w:tcW w:w="5787" w:type="dxa"/>
            <w:shd w:val="clear" w:color="auto" w:fill="D2DFED"/>
          </w:tcPr>
          <w:p>
            <w:pPr>
              <w:pStyle w:val="TableParagraph"/>
              <w:ind w:left="122"/>
              <w:jc w:val="left"/>
              <w:rPr>
                <w:b/>
                <w:sz w:val="20"/>
              </w:rPr>
            </w:pPr>
            <w:r>
              <w:rPr>
                <w:b/>
                <w:sz w:val="20"/>
              </w:rPr>
              <w:t>Department of Treasury</w:t>
            </w:r>
          </w:p>
        </w:tc>
        <w:tc>
          <w:tcPr>
            <w:tcW w:w="1399" w:type="dxa"/>
            <w:shd w:val="clear" w:color="auto" w:fill="D2DFED"/>
          </w:tcPr>
          <w:p>
            <w:pPr>
              <w:pStyle w:val="TableParagraph"/>
              <w:ind w:right="224"/>
              <w:rPr>
                <w:sz w:val="20"/>
              </w:rPr>
            </w:pPr>
            <w:r>
              <w:rPr>
                <w:w w:val="95"/>
                <w:sz w:val="20"/>
              </w:rPr>
              <w:t>295</w:t>
            </w:r>
          </w:p>
        </w:tc>
        <w:tc>
          <w:tcPr>
            <w:tcW w:w="1311" w:type="dxa"/>
            <w:shd w:val="clear" w:color="auto" w:fill="D2DFED"/>
          </w:tcPr>
          <w:p>
            <w:pPr>
              <w:pStyle w:val="TableParagraph"/>
              <w:ind w:right="259"/>
              <w:rPr>
                <w:sz w:val="20"/>
              </w:rPr>
            </w:pPr>
            <w:r>
              <w:rPr>
                <w:w w:val="95"/>
                <w:sz w:val="20"/>
              </w:rPr>
              <w:t>266</w:t>
            </w:r>
          </w:p>
        </w:tc>
        <w:tc>
          <w:tcPr>
            <w:tcW w:w="1127" w:type="dxa"/>
            <w:shd w:val="clear" w:color="auto" w:fill="D2DFED"/>
          </w:tcPr>
          <w:p>
            <w:pPr>
              <w:pStyle w:val="TableParagraph"/>
              <w:ind w:right="108"/>
              <w:rPr>
                <w:sz w:val="20"/>
              </w:rPr>
            </w:pPr>
            <w:r>
              <w:rPr>
                <w:w w:val="95"/>
                <w:sz w:val="20"/>
              </w:rPr>
              <w:t>261</w:t>
            </w:r>
          </w:p>
        </w:tc>
      </w:tr>
      <w:tr>
        <w:trPr>
          <w:trHeight w:val="300" w:hRule="atLeast"/>
        </w:trPr>
        <w:tc>
          <w:tcPr>
            <w:tcW w:w="5787" w:type="dxa"/>
          </w:tcPr>
          <w:p>
            <w:pPr>
              <w:pStyle w:val="TableParagraph"/>
              <w:ind w:left="122"/>
              <w:jc w:val="left"/>
              <w:rPr>
                <w:b/>
                <w:sz w:val="20"/>
              </w:rPr>
            </w:pPr>
            <w:r>
              <w:rPr>
                <w:b/>
                <w:sz w:val="20"/>
              </w:rPr>
              <w:t>Department of Regional Development and Lands</w:t>
            </w:r>
          </w:p>
        </w:tc>
        <w:tc>
          <w:tcPr>
            <w:tcW w:w="1399" w:type="dxa"/>
          </w:tcPr>
          <w:p>
            <w:pPr>
              <w:pStyle w:val="TableParagraph"/>
              <w:ind w:right="224"/>
              <w:rPr>
                <w:sz w:val="20"/>
              </w:rPr>
            </w:pPr>
            <w:r>
              <w:rPr>
                <w:w w:val="95"/>
                <w:sz w:val="20"/>
              </w:rPr>
              <w:t>294</w:t>
            </w:r>
          </w:p>
        </w:tc>
        <w:tc>
          <w:tcPr>
            <w:tcW w:w="1311" w:type="dxa"/>
          </w:tcPr>
          <w:p>
            <w:pPr>
              <w:pStyle w:val="TableParagraph"/>
              <w:ind w:right="259"/>
              <w:rPr>
                <w:sz w:val="20"/>
              </w:rPr>
            </w:pPr>
            <w:r>
              <w:rPr>
                <w:w w:val="95"/>
                <w:sz w:val="20"/>
              </w:rPr>
              <w:t>273</w:t>
            </w:r>
          </w:p>
        </w:tc>
        <w:tc>
          <w:tcPr>
            <w:tcW w:w="1127" w:type="dxa"/>
          </w:tcPr>
          <w:p>
            <w:pPr>
              <w:pStyle w:val="TableParagraph"/>
              <w:ind w:right="108"/>
              <w:rPr>
                <w:sz w:val="20"/>
              </w:rPr>
            </w:pPr>
            <w:r>
              <w:rPr>
                <w:w w:val="95"/>
                <w:sz w:val="20"/>
              </w:rPr>
              <w:t>251</w:t>
            </w:r>
          </w:p>
        </w:tc>
      </w:tr>
      <w:tr>
        <w:trPr>
          <w:trHeight w:val="300" w:hRule="atLeast"/>
        </w:trPr>
        <w:tc>
          <w:tcPr>
            <w:tcW w:w="5787" w:type="dxa"/>
            <w:shd w:val="clear" w:color="auto" w:fill="D2DFED"/>
          </w:tcPr>
          <w:p>
            <w:pPr>
              <w:pStyle w:val="TableParagraph"/>
              <w:ind w:left="122"/>
              <w:jc w:val="left"/>
              <w:rPr>
                <w:b/>
                <w:sz w:val="20"/>
              </w:rPr>
            </w:pPr>
            <w:r>
              <w:rPr>
                <w:b/>
                <w:sz w:val="20"/>
              </w:rPr>
              <w:t>Office of the Director of Public Prosecutions</w:t>
            </w:r>
          </w:p>
        </w:tc>
        <w:tc>
          <w:tcPr>
            <w:tcW w:w="1399" w:type="dxa"/>
            <w:shd w:val="clear" w:color="auto" w:fill="D2DFED"/>
          </w:tcPr>
          <w:p>
            <w:pPr>
              <w:pStyle w:val="TableParagraph"/>
              <w:ind w:right="224"/>
              <w:rPr>
                <w:sz w:val="20"/>
              </w:rPr>
            </w:pPr>
            <w:r>
              <w:rPr>
                <w:w w:val="95"/>
                <w:sz w:val="20"/>
              </w:rPr>
              <w:t>257</w:t>
            </w:r>
          </w:p>
        </w:tc>
        <w:tc>
          <w:tcPr>
            <w:tcW w:w="1311" w:type="dxa"/>
            <w:shd w:val="clear" w:color="auto" w:fill="D2DFED"/>
          </w:tcPr>
          <w:p>
            <w:pPr>
              <w:pStyle w:val="TableParagraph"/>
              <w:ind w:right="259"/>
              <w:rPr>
                <w:sz w:val="20"/>
              </w:rPr>
            </w:pPr>
            <w:r>
              <w:rPr>
                <w:w w:val="95"/>
                <w:sz w:val="20"/>
              </w:rPr>
              <w:t>230</w:t>
            </w:r>
          </w:p>
        </w:tc>
        <w:tc>
          <w:tcPr>
            <w:tcW w:w="1127" w:type="dxa"/>
            <w:shd w:val="clear" w:color="auto" w:fill="D2DFED"/>
          </w:tcPr>
          <w:p>
            <w:pPr>
              <w:pStyle w:val="TableParagraph"/>
              <w:ind w:right="108"/>
              <w:rPr>
                <w:sz w:val="20"/>
              </w:rPr>
            </w:pPr>
            <w:r>
              <w:rPr>
                <w:w w:val="95"/>
                <w:sz w:val="20"/>
              </w:rPr>
              <w:t>234</w:t>
            </w:r>
          </w:p>
        </w:tc>
      </w:tr>
      <w:tr>
        <w:trPr>
          <w:trHeight w:val="300" w:hRule="atLeast"/>
        </w:trPr>
        <w:tc>
          <w:tcPr>
            <w:tcW w:w="5787" w:type="dxa"/>
          </w:tcPr>
          <w:p>
            <w:pPr>
              <w:pStyle w:val="TableParagraph"/>
              <w:ind w:left="122"/>
              <w:jc w:val="left"/>
              <w:rPr>
                <w:b/>
                <w:sz w:val="20"/>
              </w:rPr>
            </w:pPr>
            <w:r>
              <w:rPr>
                <w:b/>
                <w:sz w:val="20"/>
              </w:rPr>
              <w:t>Department for Communities</w:t>
            </w:r>
          </w:p>
        </w:tc>
        <w:tc>
          <w:tcPr>
            <w:tcW w:w="1399" w:type="dxa"/>
          </w:tcPr>
          <w:p>
            <w:pPr>
              <w:pStyle w:val="TableParagraph"/>
              <w:ind w:right="224"/>
              <w:rPr>
                <w:sz w:val="20"/>
              </w:rPr>
            </w:pPr>
            <w:r>
              <w:rPr>
                <w:w w:val="95"/>
                <w:sz w:val="20"/>
              </w:rPr>
              <w:t>255</w:t>
            </w:r>
          </w:p>
        </w:tc>
        <w:tc>
          <w:tcPr>
            <w:tcW w:w="1311" w:type="dxa"/>
          </w:tcPr>
          <w:p>
            <w:pPr>
              <w:pStyle w:val="TableParagraph"/>
              <w:ind w:right="259"/>
              <w:rPr>
                <w:sz w:val="20"/>
              </w:rPr>
            </w:pPr>
            <w:r>
              <w:rPr>
                <w:w w:val="95"/>
                <w:sz w:val="20"/>
              </w:rPr>
              <w:t>220</w:t>
            </w:r>
          </w:p>
        </w:tc>
        <w:tc>
          <w:tcPr>
            <w:tcW w:w="1127" w:type="dxa"/>
          </w:tcPr>
          <w:p>
            <w:pPr>
              <w:pStyle w:val="TableParagraph"/>
              <w:ind w:right="108"/>
              <w:rPr>
                <w:sz w:val="20"/>
              </w:rPr>
            </w:pPr>
            <w:r>
              <w:rPr>
                <w:w w:val="95"/>
                <w:sz w:val="20"/>
              </w:rPr>
              <w:t>230</w:t>
            </w:r>
          </w:p>
        </w:tc>
      </w:tr>
      <w:tr>
        <w:trPr>
          <w:trHeight w:val="300" w:hRule="atLeast"/>
        </w:trPr>
        <w:tc>
          <w:tcPr>
            <w:tcW w:w="5787" w:type="dxa"/>
            <w:shd w:val="clear" w:color="auto" w:fill="D2DFED"/>
          </w:tcPr>
          <w:p>
            <w:pPr>
              <w:pStyle w:val="TableParagraph"/>
              <w:spacing w:before="26"/>
              <w:ind w:left="122"/>
              <w:jc w:val="left"/>
              <w:rPr>
                <w:b/>
                <w:sz w:val="20"/>
              </w:rPr>
            </w:pPr>
            <w:r>
              <w:rPr>
                <w:b/>
                <w:sz w:val="20"/>
              </w:rPr>
              <w:t>Durack Institute of Technology</w:t>
            </w:r>
          </w:p>
        </w:tc>
        <w:tc>
          <w:tcPr>
            <w:tcW w:w="1399" w:type="dxa"/>
            <w:shd w:val="clear" w:color="auto" w:fill="D2DFED"/>
          </w:tcPr>
          <w:p>
            <w:pPr>
              <w:pStyle w:val="TableParagraph"/>
              <w:spacing w:before="26"/>
              <w:ind w:right="224"/>
              <w:rPr>
                <w:sz w:val="20"/>
              </w:rPr>
            </w:pPr>
            <w:r>
              <w:rPr>
                <w:w w:val="95"/>
                <w:sz w:val="20"/>
              </w:rPr>
              <w:t>246</w:t>
            </w:r>
          </w:p>
        </w:tc>
        <w:tc>
          <w:tcPr>
            <w:tcW w:w="1311" w:type="dxa"/>
            <w:shd w:val="clear" w:color="auto" w:fill="D2DFED"/>
          </w:tcPr>
          <w:p>
            <w:pPr>
              <w:pStyle w:val="TableParagraph"/>
              <w:spacing w:before="26"/>
              <w:ind w:right="259"/>
              <w:rPr>
                <w:sz w:val="20"/>
              </w:rPr>
            </w:pPr>
            <w:r>
              <w:rPr>
                <w:w w:val="95"/>
                <w:sz w:val="20"/>
              </w:rPr>
              <w:t>192</w:t>
            </w:r>
          </w:p>
        </w:tc>
        <w:tc>
          <w:tcPr>
            <w:tcW w:w="1127" w:type="dxa"/>
            <w:shd w:val="clear" w:color="auto" w:fill="D2DFED"/>
          </w:tcPr>
          <w:p>
            <w:pPr>
              <w:pStyle w:val="TableParagraph"/>
              <w:spacing w:before="26"/>
              <w:ind w:right="108"/>
              <w:rPr>
                <w:sz w:val="20"/>
              </w:rPr>
            </w:pPr>
            <w:r>
              <w:rPr>
                <w:w w:val="95"/>
                <w:sz w:val="20"/>
              </w:rPr>
              <w:t>202</w:t>
            </w:r>
          </w:p>
        </w:tc>
      </w:tr>
      <w:tr>
        <w:trPr>
          <w:trHeight w:val="300" w:hRule="atLeast"/>
        </w:trPr>
        <w:tc>
          <w:tcPr>
            <w:tcW w:w="5787" w:type="dxa"/>
          </w:tcPr>
          <w:p>
            <w:pPr>
              <w:pStyle w:val="TableParagraph"/>
              <w:ind w:left="122"/>
              <w:jc w:val="left"/>
              <w:rPr>
                <w:b/>
                <w:sz w:val="20"/>
              </w:rPr>
            </w:pPr>
            <w:r>
              <w:rPr>
                <w:b/>
                <w:sz w:val="20"/>
              </w:rPr>
              <w:t>Great Southern Institute of Technology</w:t>
            </w:r>
          </w:p>
        </w:tc>
        <w:tc>
          <w:tcPr>
            <w:tcW w:w="1399" w:type="dxa"/>
          </w:tcPr>
          <w:p>
            <w:pPr>
              <w:pStyle w:val="TableParagraph"/>
              <w:ind w:right="224"/>
              <w:rPr>
                <w:sz w:val="20"/>
              </w:rPr>
            </w:pPr>
            <w:r>
              <w:rPr>
                <w:w w:val="95"/>
                <w:sz w:val="20"/>
              </w:rPr>
              <w:t>245</w:t>
            </w:r>
          </w:p>
        </w:tc>
        <w:tc>
          <w:tcPr>
            <w:tcW w:w="1311" w:type="dxa"/>
          </w:tcPr>
          <w:p>
            <w:pPr>
              <w:pStyle w:val="TableParagraph"/>
              <w:ind w:right="259"/>
              <w:rPr>
                <w:sz w:val="20"/>
              </w:rPr>
            </w:pPr>
            <w:r>
              <w:rPr>
                <w:w w:val="95"/>
                <w:sz w:val="20"/>
              </w:rPr>
              <w:t>185</w:t>
            </w:r>
          </w:p>
        </w:tc>
        <w:tc>
          <w:tcPr>
            <w:tcW w:w="1127" w:type="dxa"/>
          </w:tcPr>
          <w:p>
            <w:pPr>
              <w:pStyle w:val="TableParagraph"/>
              <w:ind w:right="108"/>
              <w:rPr>
                <w:sz w:val="20"/>
              </w:rPr>
            </w:pPr>
            <w:r>
              <w:rPr>
                <w:w w:val="95"/>
                <w:sz w:val="20"/>
              </w:rPr>
              <w:t>200</w:t>
            </w:r>
          </w:p>
        </w:tc>
      </w:tr>
      <w:tr>
        <w:trPr>
          <w:trHeight w:val="300" w:hRule="atLeast"/>
        </w:trPr>
        <w:tc>
          <w:tcPr>
            <w:tcW w:w="5787" w:type="dxa"/>
            <w:shd w:val="clear" w:color="auto" w:fill="D2DFED"/>
          </w:tcPr>
          <w:p>
            <w:pPr>
              <w:pStyle w:val="TableParagraph"/>
              <w:ind w:left="122"/>
              <w:jc w:val="left"/>
              <w:rPr>
                <w:b/>
                <w:sz w:val="20"/>
              </w:rPr>
            </w:pPr>
            <w:r>
              <w:rPr>
                <w:b/>
                <w:sz w:val="20"/>
              </w:rPr>
              <w:t>Drug and Alcohol Office</w:t>
            </w:r>
          </w:p>
        </w:tc>
        <w:tc>
          <w:tcPr>
            <w:tcW w:w="1399" w:type="dxa"/>
            <w:shd w:val="clear" w:color="auto" w:fill="D2DFED"/>
          </w:tcPr>
          <w:p>
            <w:pPr>
              <w:pStyle w:val="TableParagraph"/>
              <w:ind w:right="224"/>
              <w:rPr>
                <w:sz w:val="20"/>
              </w:rPr>
            </w:pPr>
            <w:r>
              <w:rPr>
                <w:w w:val="95"/>
                <w:sz w:val="20"/>
              </w:rPr>
              <w:t>241</w:t>
            </w:r>
          </w:p>
        </w:tc>
        <w:tc>
          <w:tcPr>
            <w:tcW w:w="1311" w:type="dxa"/>
            <w:shd w:val="clear" w:color="auto" w:fill="D2DFED"/>
          </w:tcPr>
          <w:p>
            <w:pPr>
              <w:pStyle w:val="TableParagraph"/>
              <w:ind w:right="259"/>
              <w:rPr>
                <w:sz w:val="20"/>
              </w:rPr>
            </w:pPr>
            <w:r>
              <w:rPr>
                <w:w w:val="95"/>
                <w:sz w:val="20"/>
              </w:rPr>
              <w:t>191</w:t>
            </w:r>
          </w:p>
        </w:tc>
        <w:tc>
          <w:tcPr>
            <w:tcW w:w="1127" w:type="dxa"/>
            <w:shd w:val="clear" w:color="auto" w:fill="D2DFED"/>
          </w:tcPr>
          <w:p>
            <w:pPr>
              <w:pStyle w:val="TableParagraph"/>
              <w:ind w:right="108"/>
              <w:rPr>
                <w:sz w:val="20"/>
              </w:rPr>
            </w:pPr>
            <w:r>
              <w:rPr>
                <w:w w:val="95"/>
                <w:sz w:val="20"/>
              </w:rPr>
              <w:t>187</w:t>
            </w:r>
          </w:p>
        </w:tc>
      </w:tr>
      <w:tr>
        <w:trPr>
          <w:trHeight w:val="300" w:hRule="atLeast"/>
        </w:trPr>
        <w:tc>
          <w:tcPr>
            <w:tcW w:w="5787" w:type="dxa"/>
          </w:tcPr>
          <w:p>
            <w:pPr>
              <w:pStyle w:val="TableParagraph"/>
              <w:ind w:left="122"/>
              <w:jc w:val="left"/>
              <w:rPr>
                <w:b/>
                <w:sz w:val="20"/>
              </w:rPr>
            </w:pPr>
            <w:r>
              <w:rPr>
                <w:b/>
                <w:sz w:val="20"/>
              </w:rPr>
              <w:t>Zoological Parks Authority</w:t>
            </w:r>
          </w:p>
        </w:tc>
        <w:tc>
          <w:tcPr>
            <w:tcW w:w="1399" w:type="dxa"/>
          </w:tcPr>
          <w:p>
            <w:pPr>
              <w:pStyle w:val="TableParagraph"/>
              <w:ind w:right="224"/>
              <w:rPr>
                <w:sz w:val="20"/>
              </w:rPr>
            </w:pPr>
            <w:r>
              <w:rPr>
                <w:w w:val="95"/>
                <w:sz w:val="20"/>
              </w:rPr>
              <w:t>224</w:t>
            </w:r>
          </w:p>
        </w:tc>
        <w:tc>
          <w:tcPr>
            <w:tcW w:w="1311" w:type="dxa"/>
          </w:tcPr>
          <w:p>
            <w:pPr>
              <w:pStyle w:val="TableParagraph"/>
              <w:ind w:right="259"/>
              <w:rPr>
                <w:sz w:val="20"/>
              </w:rPr>
            </w:pPr>
            <w:r>
              <w:rPr>
                <w:w w:val="95"/>
                <w:sz w:val="20"/>
              </w:rPr>
              <w:t>175</w:t>
            </w:r>
          </w:p>
        </w:tc>
        <w:tc>
          <w:tcPr>
            <w:tcW w:w="1127" w:type="dxa"/>
          </w:tcPr>
          <w:p>
            <w:pPr>
              <w:pStyle w:val="TableParagraph"/>
              <w:ind w:right="108"/>
              <w:rPr>
                <w:sz w:val="20"/>
              </w:rPr>
            </w:pPr>
            <w:r>
              <w:rPr>
                <w:w w:val="95"/>
                <w:sz w:val="20"/>
              </w:rPr>
              <w:t>169</w:t>
            </w:r>
          </w:p>
        </w:tc>
      </w:tr>
      <w:tr>
        <w:trPr>
          <w:trHeight w:val="300" w:hRule="atLeast"/>
        </w:trPr>
        <w:tc>
          <w:tcPr>
            <w:tcW w:w="5787" w:type="dxa"/>
            <w:shd w:val="clear" w:color="auto" w:fill="D2DFED"/>
          </w:tcPr>
          <w:p>
            <w:pPr>
              <w:pStyle w:val="TableParagraph"/>
              <w:ind w:left="122"/>
              <w:jc w:val="left"/>
              <w:rPr>
                <w:b/>
                <w:sz w:val="20"/>
              </w:rPr>
            </w:pPr>
            <w:r>
              <w:rPr>
                <w:b/>
                <w:sz w:val="20"/>
              </w:rPr>
              <w:t>Pilbara Institute</w:t>
            </w:r>
          </w:p>
        </w:tc>
        <w:tc>
          <w:tcPr>
            <w:tcW w:w="1399" w:type="dxa"/>
            <w:shd w:val="clear" w:color="auto" w:fill="D2DFED"/>
          </w:tcPr>
          <w:p>
            <w:pPr>
              <w:pStyle w:val="TableParagraph"/>
              <w:ind w:right="224"/>
              <w:rPr>
                <w:sz w:val="20"/>
              </w:rPr>
            </w:pPr>
            <w:r>
              <w:rPr>
                <w:w w:val="95"/>
                <w:sz w:val="20"/>
              </w:rPr>
              <w:t>215</w:t>
            </w:r>
          </w:p>
        </w:tc>
        <w:tc>
          <w:tcPr>
            <w:tcW w:w="1311" w:type="dxa"/>
            <w:shd w:val="clear" w:color="auto" w:fill="D2DFED"/>
          </w:tcPr>
          <w:p>
            <w:pPr>
              <w:pStyle w:val="TableParagraph"/>
              <w:ind w:right="259"/>
              <w:rPr>
                <w:sz w:val="20"/>
              </w:rPr>
            </w:pPr>
            <w:r>
              <w:rPr>
                <w:w w:val="95"/>
                <w:sz w:val="20"/>
              </w:rPr>
              <w:t>189</w:t>
            </w:r>
          </w:p>
        </w:tc>
        <w:tc>
          <w:tcPr>
            <w:tcW w:w="1127" w:type="dxa"/>
            <w:shd w:val="clear" w:color="auto" w:fill="D2DFED"/>
          </w:tcPr>
          <w:p>
            <w:pPr>
              <w:pStyle w:val="TableParagraph"/>
              <w:ind w:right="108"/>
              <w:rPr>
                <w:sz w:val="20"/>
              </w:rPr>
            </w:pPr>
            <w:r>
              <w:rPr>
                <w:w w:val="95"/>
                <w:sz w:val="20"/>
              </w:rPr>
              <w:t>191</w:t>
            </w:r>
          </w:p>
        </w:tc>
      </w:tr>
      <w:tr>
        <w:trPr>
          <w:trHeight w:val="300" w:hRule="atLeast"/>
        </w:trPr>
        <w:tc>
          <w:tcPr>
            <w:tcW w:w="5787" w:type="dxa"/>
          </w:tcPr>
          <w:p>
            <w:pPr>
              <w:pStyle w:val="TableParagraph"/>
              <w:ind w:left="122"/>
              <w:jc w:val="left"/>
              <w:rPr>
                <w:b/>
                <w:sz w:val="20"/>
              </w:rPr>
            </w:pPr>
            <w:r>
              <w:rPr>
                <w:b/>
                <w:sz w:val="20"/>
              </w:rPr>
              <w:t>Department of Sport and Recreation</w:t>
            </w:r>
          </w:p>
        </w:tc>
        <w:tc>
          <w:tcPr>
            <w:tcW w:w="1399" w:type="dxa"/>
          </w:tcPr>
          <w:p>
            <w:pPr>
              <w:pStyle w:val="TableParagraph"/>
              <w:ind w:right="224"/>
              <w:rPr>
                <w:sz w:val="20"/>
              </w:rPr>
            </w:pPr>
            <w:r>
              <w:rPr>
                <w:w w:val="95"/>
                <w:sz w:val="20"/>
              </w:rPr>
              <w:t>213</w:t>
            </w:r>
          </w:p>
        </w:tc>
        <w:tc>
          <w:tcPr>
            <w:tcW w:w="1311" w:type="dxa"/>
          </w:tcPr>
          <w:p>
            <w:pPr>
              <w:pStyle w:val="TableParagraph"/>
              <w:ind w:right="259"/>
              <w:rPr>
                <w:sz w:val="20"/>
              </w:rPr>
            </w:pPr>
            <w:r>
              <w:rPr>
                <w:w w:val="95"/>
                <w:sz w:val="20"/>
              </w:rPr>
              <w:t>179</w:t>
            </w:r>
          </w:p>
        </w:tc>
        <w:tc>
          <w:tcPr>
            <w:tcW w:w="1127" w:type="dxa"/>
          </w:tcPr>
          <w:p>
            <w:pPr>
              <w:pStyle w:val="TableParagraph"/>
              <w:ind w:right="108"/>
              <w:rPr>
                <w:sz w:val="20"/>
              </w:rPr>
            </w:pPr>
            <w:r>
              <w:rPr>
                <w:w w:val="95"/>
                <w:sz w:val="20"/>
              </w:rPr>
              <w:t>180</w:t>
            </w:r>
          </w:p>
        </w:tc>
      </w:tr>
      <w:tr>
        <w:trPr>
          <w:trHeight w:val="300" w:hRule="atLeast"/>
        </w:trPr>
        <w:tc>
          <w:tcPr>
            <w:tcW w:w="5787" w:type="dxa"/>
            <w:shd w:val="clear" w:color="auto" w:fill="D2DFED"/>
          </w:tcPr>
          <w:p>
            <w:pPr>
              <w:pStyle w:val="TableParagraph"/>
              <w:ind w:left="122"/>
              <w:jc w:val="left"/>
              <w:rPr>
                <w:b/>
                <w:sz w:val="20"/>
              </w:rPr>
            </w:pPr>
            <w:r>
              <w:rPr>
                <w:b/>
                <w:sz w:val="20"/>
              </w:rPr>
              <w:t>Department of State Development</w:t>
            </w:r>
          </w:p>
        </w:tc>
        <w:tc>
          <w:tcPr>
            <w:tcW w:w="1399" w:type="dxa"/>
            <w:shd w:val="clear" w:color="auto" w:fill="D2DFED"/>
          </w:tcPr>
          <w:p>
            <w:pPr>
              <w:pStyle w:val="TableParagraph"/>
              <w:ind w:right="224"/>
              <w:rPr>
                <w:sz w:val="20"/>
              </w:rPr>
            </w:pPr>
            <w:r>
              <w:rPr>
                <w:w w:val="95"/>
                <w:sz w:val="20"/>
              </w:rPr>
              <w:t>183</w:t>
            </w:r>
          </w:p>
        </w:tc>
        <w:tc>
          <w:tcPr>
            <w:tcW w:w="1311" w:type="dxa"/>
            <w:shd w:val="clear" w:color="auto" w:fill="D2DFED"/>
          </w:tcPr>
          <w:p>
            <w:pPr>
              <w:pStyle w:val="TableParagraph"/>
              <w:ind w:right="259"/>
              <w:rPr>
                <w:sz w:val="20"/>
              </w:rPr>
            </w:pPr>
            <w:r>
              <w:rPr>
                <w:w w:val="95"/>
                <w:sz w:val="20"/>
              </w:rPr>
              <w:t>154</w:t>
            </w:r>
          </w:p>
        </w:tc>
        <w:tc>
          <w:tcPr>
            <w:tcW w:w="1127" w:type="dxa"/>
            <w:shd w:val="clear" w:color="auto" w:fill="D2DFED"/>
          </w:tcPr>
          <w:p>
            <w:pPr>
              <w:pStyle w:val="TableParagraph"/>
              <w:ind w:right="108"/>
              <w:rPr>
                <w:sz w:val="20"/>
              </w:rPr>
            </w:pPr>
            <w:r>
              <w:rPr>
                <w:w w:val="95"/>
                <w:sz w:val="20"/>
              </w:rPr>
              <w:t>160</w:t>
            </w:r>
          </w:p>
        </w:tc>
      </w:tr>
      <w:tr>
        <w:trPr>
          <w:trHeight w:val="300" w:hRule="atLeast"/>
        </w:trPr>
        <w:tc>
          <w:tcPr>
            <w:tcW w:w="5787" w:type="dxa"/>
          </w:tcPr>
          <w:p>
            <w:pPr>
              <w:pStyle w:val="TableParagraph"/>
              <w:ind w:left="122"/>
              <w:jc w:val="left"/>
              <w:rPr>
                <w:b/>
                <w:sz w:val="20"/>
              </w:rPr>
            </w:pPr>
            <w:r>
              <w:rPr>
                <w:b/>
                <w:sz w:val="20"/>
              </w:rPr>
              <w:t>Kimberley Training Institute</w:t>
            </w:r>
          </w:p>
        </w:tc>
        <w:tc>
          <w:tcPr>
            <w:tcW w:w="1399" w:type="dxa"/>
          </w:tcPr>
          <w:p>
            <w:pPr>
              <w:pStyle w:val="TableParagraph"/>
              <w:ind w:right="224"/>
              <w:rPr>
                <w:sz w:val="20"/>
              </w:rPr>
            </w:pPr>
            <w:r>
              <w:rPr>
                <w:w w:val="95"/>
                <w:sz w:val="20"/>
              </w:rPr>
              <w:t>179</w:t>
            </w:r>
          </w:p>
        </w:tc>
        <w:tc>
          <w:tcPr>
            <w:tcW w:w="1311" w:type="dxa"/>
          </w:tcPr>
          <w:p>
            <w:pPr>
              <w:pStyle w:val="TableParagraph"/>
              <w:ind w:right="259"/>
              <w:rPr>
                <w:sz w:val="20"/>
              </w:rPr>
            </w:pPr>
            <w:r>
              <w:rPr>
                <w:w w:val="95"/>
                <w:sz w:val="20"/>
              </w:rPr>
              <w:t>158</w:t>
            </w:r>
          </w:p>
        </w:tc>
        <w:tc>
          <w:tcPr>
            <w:tcW w:w="1127" w:type="dxa"/>
          </w:tcPr>
          <w:p>
            <w:pPr>
              <w:pStyle w:val="TableParagraph"/>
              <w:ind w:right="108"/>
              <w:rPr>
                <w:sz w:val="20"/>
              </w:rPr>
            </w:pPr>
            <w:r>
              <w:rPr>
                <w:w w:val="95"/>
                <w:sz w:val="20"/>
              </w:rPr>
              <w:t>155</w:t>
            </w:r>
          </w:p>
        </w:tc>
      </w:tr>
      <w:tr>
        <w:trPr>
          <w:trHeight w:val="300" w:hRule="atLeast"/>
        </w:trPr>
        <w:tc>
          <w:tcPr>
            <w:tcW w:w="5787" w:type="dxa"/>
            <w:shd w:val="clear" w:color="auto" w:fill="D2DFED"/>
          </w:tcPr>
          <w:p>
            <w:pPr>
              <w:pStyle w:val="TableParagraph"/>
              <w:ind w:left="122"/>
              <w:jc w:val="left"/>
              <w:rPr>
                <w:b/>
                <w:sz w:val="20"/>
              </w:rPr>
            </w:pPr>
            <w:r>
              <w:rPr>
                <w:b/>
                <w:sz w:val="20"/>
              </w:rPr>
              <w:t>Corruption and Crime Commission</w:t>
            </w:r>
          </w:p>
        </w:tc>
        <w:tc>
          <w:tcPr>
            <w:tcW w:w="1399" w:type="dxa"/>
            <w:shd w:val="clear" w:color="auto" w:fill="D2DFED"/>
          </w:tcPr>
          <w:p>
            <w:pPr>
              <w:pStyle w:val="TableParagraph"/>
              <w:ind w:right="224"/>
              <w:rPr>
                <w:sz w:val="20"/>
              </w:rPr>
            </w:pPr>
            <w:r>
              <w:rPr>
                <w:w w:val="95"/>
                <w:sz w:val="20"/>
              </w:rPr>
              <w:t>163</w:t>
            </w:r>
          </w:p>
        </w:tc>
        <w:tc>
          <w:tcPr>
            <w:tcW w:w="1311" w:type="dxa"/>
            <w:shd w:val="clear" w:color="auto" w:fill="D2DFED"/>
          </w:tcPr>
          <w:p>
            <w:pPr>
              <w:pStyle w:val="TableParagraph"/>
              <w:ind w:right="259"/>
              <w:rPr>
                <w:sz w:val="20"/>
              </w:rPr>
            </w:pPr>
            <w:r>
              <w:rPr>
                <w:w w:val="95"/>
                <w:sz w:val="20"/>
              </w:rPr>
              <w:t>151</w:t>
            </w:r>
          </w:p>
        </w:tc>
        <w:tc>
          <w:tcPr>
            <w:tcW w:w="1127" w:type="dxa"/>
            <w:shd w:val="clear" w:color="auto" w:fill="D2DFED"/>
          </w:tcPr>
          <w:p>
            <w:pPr>
              <w:pStyle w:val="TableParagraph"/>
              <w:ind w:right="108"/>
              <w:rPr>
                <w:sz w:val="20"/>
              </w:rPr>
            </w:pPr>
            <w:r>
              <w:rPr>
                <w:w w:val="95"/>
                <w:sz w:val="20"/>
              </w:rPr>
              <w:t>151</w:t>
            </w:r>
          </w:p>
        </w:tc>
      </w:tr>
      <w:tr>
        <w:trPr>
          <w:trHeight w:val="300" w:hRule="atLeast"/>
        </w:trPr>
        <w:tc>
          <w:tcPr>
            <w:tcW w:w="5787" w:type="dxa"/>
          </w:tcPr>
          <w:p>
            <w:pPr>
              <w:pStyle w:val="TableParagraph"/>
              <w:ind w:left="122"/>
              <w:jc w:val="left"/>
              <w:rPr>
                <w:b/>
                <w:sz w:val="20"/>
              </w:rPr>
            </w:pPr>
            <w:r>
              <w:rPr>
                <w:b/>
                <w:sz w:val="20"/>
              </w:rPr>
              <w:t>C Y O'Connor Institute</w:t>
            </w:r>
          </w:p>
        </w:tc>
        <w:tc>
          <w:tcPr>
            <w:tcW w:w="1399" w:type="dxa"/>
          </w:tcPr>
          <w:p>
            <w:pPr>
              <w:pStyle w:val="TableParagraph"/>
              <w:ind w:right="224"/>
              <w:rPr>
                <w:sz w:val="20"/>
              </w:rPr>
            </w:pPr>
            <w:r>
              <w:rPr>
                <w:w w:val="95"/>
                <w:sz w:val="20"/>
              </w:rPr>
              <w:t>159</w:t>
            </w:r>
          </w:p>
        </w:tc>
        <w:tc>
          <w:tcPr>
            <w:tcW w:w="1311" w:type="dxa"/>
          </w:tcPr>
          <w:p>
            <w:pPr>
              <w:pStyle w:val="TableParagraph"/>
              <w:ind w:right="259"/>
              <w:rPr>
                <w:sz w:val="20"/>
              </w:rPr>
            </w:pPr>
            <w:r>
              <w:rPr>
                <w:w w:val="95"/>
                <w:sz w:val="20"/>
              </w:rPr>
              <w:t>127</w:t>
            </w:r>
          </w:p>
        </w:tc>
        <w:tc>
          <w:tcPr>
            <w:tcW w:w="1127" w:type="dxa"/>
          </w:tcPr>
          <w:p>
            <w:pPr>
              <w:pStyle w:val="TableParagraph"/>
              <w:ind w:right="108"/>
              <w:rPr>
                <w:sz w:val="20"/>
              </w:rPr>
            </w:pPr>
            <w:r>
              <w:rPr>
                <w:w w:val="95"/>
                <w:sz w:val="20"/>
              </w:rPr>
              <w:t>133</w:t>
            </w:r>
          </w:p>
        </w:tc>
      </w:tr>
      <w:tr>
        <w:trPr>
          <w:trHeight w:val="300" w:hRule="atLeast"/>
        </w:trPr>
        <w:tc>
          <w:tcPr>
            <w:tcW w:w="5787" w:type="dxa"/>
            <w:shd w:val="clear" w:color="auto" w:fill="D2DFED"/>
          </w:tcPr>
          <w:p>
            <w:pPr>
              <w:pStyle w:val="TableParagraph"/>
              <w:ind w:left="122"/>
              <w:jc w:val="left"/>
              <w:rPr>
                <w:b/>
                <w:sz w:val="20"/>
              </w:rPr>
            </w:pPr>
            <w:r>
              <w:rPr>
                <w:b/>
                <w:sz w:val="20"/>
              </w:rPr>
              <w:t>Department of Indigenous Affairs</w:t>
            </w:r>
          </w:p>
        </w:tc>
        <w:tc>
          <w:tcPr>
            <w:tcW w:w="1399" w:type="dxa"/>
            <w:shd w:val="clear" w:color="auto" w:fill="D2DFED"/>
          </w:tcPr>
          <w:p>
            <w:pPr>
              <w:pStyle w:val="TableParagraph"/>
              <w:ind w:right="224"/>
              <w:rPr>
                <w:sz w:val="20"/>
              </w:rPr>
            </w:pPr>
            <w:r>
              <w:rPr>
                <w:w w:val="95"/>
                <w:sz w:val="20"/>
              </w:rPr>
              <w:t>159</w:t>
            </w:r>
          </w:p>
        </w:tc>
        <w:tc>
          <w:tcPr>
            <w:tcW w:w="1311" w:type="dxa"/>
            <w:shd w:val="clear" w:color="auto" w:fill="D2DFED"/>
          </w:tcPr>
          <w:p>
            <w:pPr>
              <w:pStyle w:val="TableParagraph"/>
              <w:ind w:right="259"/>
              <w:rPr>
                <w:sz w:val="20"/>
              </w:rPr>
            </w:pPr>
            <w:r>
              <w:rPr>
                <w:w w:val="95"/>
                <w:sz w:val="20"/>
              </w:rPr>
              <w:t>148</w:t>
            </w:r>
          </w:p>
        </w:tc>
        <w:tc>
          <w:tcPr>
            <w:tcW w:w="1127" w:type="dxa"/>
            <w:shd w:val="clear" w:color="auto" w:fill="D2DFED"/>
          </w:tcPr>
          <w:p>
            <w:pPr>
              <w:pStyle w:val="TableParagraph"/>
              <w:ind w:right="108"/>
              <w:rPr>
                <w:sz w:val="20"/>
              </w:rPr>
            </w:pPr>
            <w:r>
              <w:rPr>
                <w:w w:val="95"/>
                <w:sz w:val="20"/>
              </w:rPr>
              <w:t>141</w:t>
            </w:r>
          </w:p>
        </w:tc>
      </w:tr>
      <w:tr>
        <w:trPr>
          <w:trHeight w:val="300" w:hRule="atLeast"/>
        </w:trPr>
        <w:tc>
          <w:tcPr>
            <w:tcW w:w="5787" w:type="dxa"/>
          </w:tcPr>
          <w:p>
            <w:pPr>
              <w:pStyle w:val="TableParagraph"/>
              <w:ind w:left="122"/>
              <w:jc w:val="left"/>
              <w:rPr>
                <w:b/>
                <w:sz w:val="20"/>
              </w:rPr>
            </w:pPr>
            <w:r>
              <w:rPr>
                <w:b/>
                <w:sz w:val="20"/>
              </w:rPr>
              <w:t>Public Sector Commission</w:t>
            </w:r>
          </w:p>
        </w:tc>
        <w:tc>
          <w:tcPr>
            <w:tcW w:w="1399" w:type="dxa"/>
          </w:tcPr>
          <w:p>
            <w:pPr>
              <w:pStyle w:val="TableParagraph"/>
              <w:ind w:right="224"/>
              <w:rPr>
                <w:sz w:val="20"/>
              </w:rPr>
            </w:pPr>
            <w:r>
              <w:rPr>
                <w:w w:val="95"/>
                <w:sz w:val="20"/>
              </w:rPr>
              <w:t>157</w:t>
            </w:r>
          </w:p>
        </w:tc>
        <w:tc>
          <w:tcPr>
            <w:tcW w:w="1311" w:type="dxa"/>
          </w:tcPr>
          <w:p>
            <w:pPr>
              <w:pStyle w:val="TableParagraph"/>
              <w:ind w:right="259"/>
              <w:rPr>
                <w:sz w:val="20"/>
              </w:rPr>
            </w:pPr>
            <w:r>
              <w:rPr>
                <w:w w:val="95"/>
                <w:sz w:val="20"/>
              </w:rPr>
              <w:t>139</w:t>
            </w:r>
          </w:p>
        </w:tc>
        <w:tc>
          <w:tcPr>
            <w:tcW w:w="1127" w:type="dxa"/>
          </w:tcPr>
          <w:p>
            <w:pPr>
              <w:pStyle w:val="TableParagraph"/>
              <w:ind w:right="108"/>
              <w:rPr>
                <w:sz w:val="20"/>
              </w:rPr>
            </w:pPr>
            <w:r>
              <w:rPr>
                <w:w w:val="95"/>
                <w:sz w:val="20"/>
              </w:rPr>
              <w:t>134</w:t>
            </w:r>
          </w:p>
        </w:tc>
      </w:tr>
      <w:tr>
        <w:trPr>
          <w:trHeight w:val="300" w:hRule="atLeast"/>
        </w:trPr>
        <w:tc>
          <w:tcPr>
            <w:tcW w:w="5787" w:type="dxa"/>
            <w:shd w:val="clear" w:color="auto" w:fill="D2DFED"/>
          </w:tcPr>
          <w:p>
            <w:pPr>
              <w:pStyle w:val="TableParagraph"/>
              <w:ind w:left="122"/>
              <w:jc w:val="left"/>
              <w:rPr>
                <w:b/>
                <w:sz w:val="20"/>
              </w:rPr>
            </w:pPr>
            <w:r>
              <w:rPr>
                <w:b/>
                <w:sz w:val="20"/>
              </w:rPr>
              <w:t>Botanic Gardens and Parks Authority</w:t>
            </w:r>
          </w:p>
        </w:tc>
        <w:tc>
          <w:tcPr>
            <w:tcW w:w="1399" w:type="dxa"/>
            <w:shd w:val="clear" w:color="auto" w:fill="D2DFED"/>
          </w:tcPr>
          <w:p>
            <w:pPr>
              <w:pStyle w:val="TableParagraph"/>
              <w:ind w:right="224"/>
              <w:rPr>
                <w:sz w:val="20"/>
              </w:rPr>
            </w:pPr>
            <w:r>
              <w:rPr>
                <w:w w:val="95"/>
                <w:sz w:val="20"/>
              </w:rPr>
              <w:t>151</w:t>
            </w:r>
          </w:p>
        </w:tc>
        <w:tc>
          <w:tcPr>
            <w:tcW w:w="1311" w:type="dxa"/>
            <w:shd w:val="clear" w:color="auto" w:fill="D2DFED"/>
          </w:tcPr>
          <w:p>
            <w:pPr>
              <w:pStyle w:val="TableParagraph"/>
              <w:ind w:right="259"/>
              <w:rPr>
                <w:sz w:val="20"/>
              </w:rPr>
            </w:pPr>
            <w:r>
              <w:rPr>
                <w:w w:val="95"/>
                <w:sz w:val="20"/>
              </w:rPr>
              <w:t>112</w:t>
            </w:r>
          </w:p>
        </w:tc>
        <w:tc>
          <w:tcPr>
            <w:tcW w:w="1127" w:type="dxa"/>
            <w:shd w:val="clear" w:color="auto" w:fill="D2DFED"/>
          </w:tcPr>
          <w:p>
            <w:pPr>
              <w:pStyle w:val="TableParagraph"/>
              <w:ind w:right="108"/>
              <w:rPr>
                <w:sz w:val="20"/>
              </w:rPr>
            </w:pPr>
            <w:r>
              <w:rPr>
                <w:w w:val="95"/>
                <w:sz w:val="20"/>
              </w:rPr>
              <w:t>114</w:t>
            </w:r>
          </w:p>
        </w:tc>
      </w:tr>
      <w:tr>
        <w:trPr>
          <w:trHeight w:val="300" w:hRule="atLeast"/>
        </w:trPr>
        <w:tc>
          <w:tcPr>
            <w:tcW w:w="5787" w:type="dxa"/>
          </w:tcPr>
          <w:p>
            <w:pPr>
              <w:pStyle w:val="TableParagraph"/>
              <w:ind w:left="122"/>
              <w:jc w:val="left"/>
              <w:rPr>
                <w:b/>
                <w:sz w:val="20"/>
              </w:rPr>
            </w:pPr>
            <w:r>
              <w:rPr>
                <w:b/>
                <w:sz w:val="20"/>
              </w:rPr>
              <w:t>Curriculum Council</w:t>
            </w:r>
          </w:p>
        </w:tc>
        <w:tc>
          <w:tcPr>
            <w:tcW w:w="1399" w:type="dxa"/>
          </w:tcPr>
          <w:p>
            <w:pPr>
              <w:pStyle w:val="TableParagraph"/>
              <w:ind w:right="224"/>
              <w:rPr>
                <w:sz w:val="20"/>
              </w:rPr>
            </w:pPr>
            <w:r>
              <w:rPr>
                <w:w w:val="95"/>
                <w:sz w:val="20"/>
              </w:rPr>
              <w:t>151</w:t>
            </w:r>
          </w:p>
        </w:tc>
        <w:tc>
          <w:tcPr>
            <w:tcW w:w="1311" w:type="dxa"/>
          </w:tcPr>
          <w:p>
            <w:pPr>
              <w:pStyle w:val="TableParagraph"/>
              <w:ind w:right="259"/>
              <w:rPr>
                <w:sz w:val="20"/>
              </w:rPr>
            </w:pPr>
            <w:r>
              <w:rPr>
                <w:w w:val="95"/>
                <w:sz w:val="20"/>
              </w:rPr>
              <w:t>129</w:t>
            </w:r>
          </w:p>
        </w:tc>
        <w:tc>
          <w:tcPr>
            <w:tcW w:w="1127" w:type="dxa"/>
          </w:tcPr>
          <w:p>
            <w:pPr>
              <w:pStyle w:val="TableParagraph"/>
              <w:ind w:right="108"/>
              <w:rPr>
                <w:sz w:val="20"/>
              </w:rPr>
            </w:pPr>
            <w:r>
              <w:rPr>
                <w:w w:val="95"/>
                <w:sz w:val="20"/>
              </w:rPr>
              <w:t>132</w:t>
            </w:r>
          </w:p>
        </w:tc>
      </w:tr>
      <w:tr>
        <w:trPr>
          <w:trHeight w:val="300" w:hRule="atLeast"/>
        </w:trPr>
        <w:tc>
          <w:tcPr>
            <w:tcW w:w="5787" w:type="dxa"/>
            <w:shd w:val="clear" w:color="auto" w:fill="D2DFED"/>
          </w:tcPr>
          <w:p>
            <w:pPr>
              <w:pStyle w:val="TableParagraph"/>
              <w:ind w:left="122"/>
              <w:jc w:val="left"/>
              <w:rPr>
                <w:b/>
                <w:sz w:val="20"/>
              </w:rPr>
            </w:pPr>
            <w:r>
              <w:rPr>
                <w:b/>
                <w:sz w:val="20"/>
              </w:rPr>
              <w:t>Country High School Hostels Authority</w:t>
            </w:r>
          </w:p>
        </w:tc>
        <w:tc>
          <w:tcPr>
            <w:tcW w:w="1399" w:type="dxa"/>
            <w:shd w:val="clear" w:color="auto" w:fill="D2DFED"/>
          </w:tcPr>
          <w:p>
            <w:pPr>
              <w:pStyle w:val="TableParagraph"/>
              <w:ind w:right="224"/>
              <w:rPr>
                <w:sz w:val="20"/>
              </w:rPr>
            </w:pPr>
            <w:r>
              <w:rPr>
                <w:w w:val="95"/>
                <w:sz w:val="20"/>
              </w:rPr>
              <w:t>143</w:t>
            </w:r>
          </w:p>
        </w:tc>
        <w:tc>
          <w:tcPr>
            <w:tcW w:w="1311" w:type="dxa"/>
            <w:shd w:val="clear" w:color="auto" w:fill="D2DFED"/>
          </w:tcPr>
          <w:p>
            <w:pPr>
              <w:pStyle w:val="TableParagraph"/>
              <w:ind w:right="259"/>
              <w:rPr>
                <w:sz w:val="20"/>
              </w:rPr>
            </w:pPr>
            <w:r>
              <w:rPr>
                <w:w w:val="95"/>
                <w:sz w:val="20"/>
              </w:rPr>
              <w:t>106</w:t>
            </w:r>
          </w:p>
        </w:tc>
        <w:tc>
          <w:tcPr>
            <w:tcW w:w="1127" w:type="dxa"/>
            <w:shd w:val="clear" w:color="auto" w:fill="D2DFED"/>
          </w:tcPr>
          <w:p>
            <w:pPr>
              <w:pStyle w:val="TableParagraph"/>
              <w:ind w:right="108"/>
              <w:rPr>
                <w:sz w:val="20"/>
              </w:rPr>
            </w:pPr>
            <w:r>
              <w:rPr>
                <w:w w:val="95"/>
                <w:sz w:val="20"/>
              </w:rPr>
              <w:t>112</w:t>
            </w:r>
          </w:p>
        </w:tc>
      </w:tr>
      <w:tr>
        <w:trPr>
          <w:trHeight w:val="300" w:hRule="atLeast"/>
        </w:trPr>
        <w:tc>
          <w:tcPr>
            <w:tcW w:w="5787" w:type="dxa"/>
          </w:tcPr>
          <w:p>
            <w:pPr>
              <w:pStyle w:val="TableParagraph"/>
              <w:ind w:left="122"/>
              <w:jc w:val="left"/>
              <w:rPr>
                <w:b/>
                <w:sz w:val="20"/>
              </w:rPr>
            </w:pPr>
            <w:r>
              <w:rPr>
                <w:b/>
                <w:sz w:val="20"/>
              </w:rPr>
              <w:t>Chemistry Centre (WA)</w:t>
            </w:r>
          </w:p>
        </w:tc>
        <w:tc>
          <w:tcPr>
            <w:tcW w:w="1399" w:type="dxa"/>
          </w:tcPr>
          <w:p>
            <w:pPr>
              <w:pStyle w:val="TableParagraph"/>
              <w:ind w:right="224"/>
              <w:rPr>
                <w:sz w:val="20"/>
              </w:rPr>
            </w:pPr>
            <w:r>
              <w:rPr>
                <w:w w:val="95"/>
                <w:sz w:val="20"/>
              </w:rPr>
              <w:t>133</w:t>
            </w:r>
          </w:p>
        </w:tc>
        <w:tc>
          <w:tcPr>
            <w:tcW w:w="1311" w:type="dxa"/>
          </w:tcPr>
          <w:p>
            <w:pPr>
              <w:pStyle w:val="TableParagraph"/>
              <w:ind w:right="259"/>
              <w:rPr>
                <w:sz w:val="20"/>
              </w:rPr>
            </w:pPr>
            <w:r>
              <w:rPr>
                <w:w w:val="95"/>
                <w:sz w:val="20"/>
              </w:rPr>
              <w:t>118</w:t>
            </w:r>
          </w:p>
        </w:tc>
        <w:tc>
          <w:tcPr>
            <w:tcW w:w="1127" w:type="dxa"/>
          </w:tcPr>
          <w:p>
            <w:pPr>
              <w:pStyle w:val="TableParagraph"/>
              <w:ind w:right="108"/>
              <w:rPr>
                <w:sz w:val="20"/>
              </w:rPr>
            </w:pPr>
            <w:r>
              <w:rPr>
                <w:w w:val="95"/>
                <w:sz w:val="20"/>
              </w:rPr>
              <w:t>116</w:t>
            </w:r>
          </w:p>
        </w:tc>
      </w:tr>
      <w:tr>
        <w:trPr>
          <w:trHeight w:val="300" w:hRule="atLeast"/>
        </w:trPr>
        <w:tc>
          <w:tcPr>
            <w:tcW w:w="5787" w:type="dxa"/>
            <w:shd w:val="clear" w:color="auto" w:fill="D2DFED"/>
          </w:tcPr>
          <w:p>
            <w:pPr>
              <w:pStyle w:val="TableParagraph"/>
              <w:ind w:left="122"/>
              <w:jc w:val="left"/>
              <w:rPr>
                <w:b/>
                <w:sz w:val="20"/>
              </w:rPr>
            </w:pPr>
            <w:r>
              <w:rPr>
                <w:b/>
                <w:sz w:val="20"/>
              </w:rPr>
              <w:t>Department of Racing, Gaming and Liquor</w:t>
            </w:r>
          </w:p>
        </w:tc>
        <w:tc>
          <w:tcPr>
            <w:tcW w:w="1399" w:type="dxa"/>
            <w:shd w:val="clear" w:color="auto" w:fill="D2DFED"/>
          </w:tcPr>
          <w:p>
            <w:pPr>
              <w:pStyle w:val="TableParagraph"/>
              <w:ind w:right="224"/>
              <w:rPr>
                <w:sz w:val="20"/>
              </w:rPr>
            </w:pPr>
            <w:r>
              <w:rPr>
                <w:w w:val="95"/>
                <w:sz w:val="20"/>
              </w:rPr>
              <w:t>127</w:t>
            </w:r>
          </w:p>
        </w:tc>
        <w:tc>
          <w:tcPr>
            <w:tcW w:w="1311" w:type="dxa"/>
            <w:shd w:val="clear" w:color="auto" w:fill="D2DFED"/>
          </w:tcPr>
          <w:p>
            <w:pPr>
              <w:pStyle w:val="TableParagraph"/>
              <w:ind w:right="259"/>
              <w:rPr>
                <w:sz w:val="20"/>
              </w:rPr>
            </w:pPr>
            <w:r>
              <w:rPr>
                <w:w w:val="95"/>
                <w:sz w:val="20"/>
              </w:rPr>
              <w:t>109</w:t>
            </w:r>
          </w:p>
        </w:tc>
        <w:tc>
          <w:tcPr>
            <w:tcW w:w="1127" w:type="dxa"/>
            <w:shd w:val="clear" w:color="auto" w:fill="D2DFED"/>
          </w:tcPr>
          <w:p>
            <w:pPr>
              <w:pStyle w:val="TableParagraph"/>
              <w:ind w:right="108"/>
              <w:rPr>
                <w:sz w:val="20"/>
              </w:rPr>
            </w:pPr>
            <w:r>
              <w:rPr>
                <w:w w:val="95"/>
                <w:sz w:val="20"/>
              </w:rPr>
              <w:t>113</w:t>
            </w:r>
          </w:p>
        </w:tc>
      </w:tr>
      <w:tr>
        <w:trPr>
          <w:trHeight w:val="300" w:hRule="atLeast"/>
        </w:trPr>
        <w:tc>
          <w:tcPr>
            <w:tcW w:w="5787" w:type="dxa"/>
          </w:tcPr>
          <w:p>
            <w:pPr>
              <w:pStyle w:val="TableParagraph"/>
              <w:ind w:left="122"/>
              <w:jc w:val="left"/>
              <w:rPr>
                <w:b/>
                <w:sz w:val="20"/>
              </w:rPr>
            </w:pPr>
            <w:r>
              <w:rPr>
                <w:b/>
                <w:sz w:val="20"/>
              </w:rPr>
              <w:t>Department of Local Government</w:t>
            </w:r>
          </w:p>
        </w:tc>
        <w:tc>
          <w:tcPr>
            <w:tcW w:w="1399" w:type="dxa"/>
          </w:tcPr>
          <w:p>
            <w:pPr>
              <w:pStyle w:val="TableParagraph"/>
              <w:ind w:right="224"/>
              <w:rPr>
                <w:sz w:val="20"/>
              </w:rPr>
            </w:pPr>
            <w:r>
              <w:rPr>
                <w:w w:val="95"/>
                <w:sz w:val="20"/>
              </w:rPr>
              <w:t>126</w:t>
            </w:r>
          </w:p>
        </w:tc>
        <w:tc>
          <w:tcPr>
            <w:tcW w:w="1311" w:type="dxa"/>
          </w:tcPr>
          <w:p>
            <w:pPr>
              <w:pStyle w:val="TableParagraph"/>
              <w:ind w:right="259"/>
              <w:rPr>
                <w:sz w:val="20"/>
              </w:rPr>
            </w:pPr>
            <w:r>
              <w:rPr>
                <w:w w:val="95"/>
                <w:sz w:val="20"/>
              </w:rPr>
              <w:t>113</w:t>
            </w:r>
          </w:p>
        </w:tc>
        <w:tc>
          <w:tcPr>
            <w:tcW w:w="1127" w:type="dxa"/>
          </w:tcPr>
          <w:p>
            <w:pPr>
              <w:pStyle w:val="TableParagraph"/>
              <w:ind w:right="108"/>
              <w:rPr>
                <w:sz w:val="20"/>
              </w:rPr>
            </w:pPr>
            <w:r>
              <w:rPr>
                <w:w w:val="95"/>
                <w:sz w:val="20"/>
              </w:rPr>
              <w:t>116</w:t>
            </w:r>
          </w:p>
        </w:tc>
      </w:tr>
      <w:tr>
        <w:trPr>
          <w:trHeight w:val="300" w:hRule="atLeast"/>
        </w:trPr>
        <w:tc>
          <w:tcPr>
            <w:tcW w:w="5787" w:type="dxa"/>
            <w:shd w:val="clear" w:color="auto" w:fill="D2DFED"/>
          </w:tcPr>
          <w:p>
            <w:pPr>
              <w:pStyle w:val="TableParagraph"/>
              <w:ind w:left="122"/>
              <w:jc w:val="left"/>
              <w:rPr>
                <w:b/>
                <w:sz w:val="20"/>
              </w:rPr>
            </w:pPr>
            <w:r>
              <w:rPr>
                <w:b/>
                <w:sz w:val="20"/>
              </w:rPr>
              <w:t>Office of the Auditor General</w:t>
            </w:r>
          </w:p>
        </w:tc>
        <w:tc>
          <w:tcPr>
            <w:tcW w:w="1399" w:type="dxa"/>
            <w:shd w:val="clear" w:color="auto" w:fill="D2DFED"/>
          </w:tcPr>
          <w:p>
            <w:pPr>
              <w:pStyle w:val="TableParagraph"/>
              <w:ind w:right="224"/>
              <w:rPr>
                <w:sz w:val="20"/>
              </w:rPr>
            </w:pPr>
            <w:r>
              <w:rPr>
                <w:w w:val="95"/>
                <w:sz w:val="20"/>
              </w:rPr>
              <w:t>121</w:t>
            </w:r>
          </w:p>
        </w:tc>
        <w:tc>
          <w:tcPr>
            <w:tcW w:w="1311" w:type="dxa"/>
            <w:shd w:val="clear" w:color="auto" w:fill="D2DFED"/>
          </w:tcPr>
          <w:p>
            <w:pPr>
              <w:pStyle w:val="TableParagraph"/>
              <w:ind w:right="259"/>
              <w:rPr>
                <w:sz w:val="20"/>
              </w:rPr>
            </w:pPr>
            <w:r>
              <w:rPr>
                <w:w w:val="95"/>
                <w:sz w:val="20"/>
              </w:rPr>
              <w:t>107</w:t>
            </w:r>
          </w:p>
        </w:tc>
        <w:tc>
          <w:tcPr>
            <w:tcW w:w="1127" w:type="dxa"/>
            <w:shd w:val="clear" w:color="auto" w:fill="D2DFED"/>
          </w:tcPr>
          <w:p>
            <w:pPr>
              <w:pStyle w:val="TableParagraph"/>
              <w:ind w:right="108"/>
              <w:rPr>
                <w:sz w:val="20"/>
              </w:rPr>
            </w:pPr>
            <w:r>
              <w:rPr>
                <w:w w:val="95"/>
                <w:sz w:val="20"/>
              </w:rPr>
              <w:t>114</w:t>
            </w:r>
          </w:p>
        </w:tc>
      </w:tr>
      <w:tr>
        <w:trPr>
          <w:trHeight w:val="300" w:hRule="atLeast"/>
        </w:trPr>
        <w:tc>
          <w:tcPr>
            <w:tcW w:w="5787" w:type="dxa"/>
          </w:tcPr>
          <w:p>
            <w:pPr>
              <w:pStyle w:val="TableParagraph"/>
              <w:ind w:left="122"/>
              <w:jc w:val="left"/>
              <w:rPr>
                <w:b/>
                <w:sz w:val="20"/>
              </w:rPr>
            </w:pPr>
            <w:r>
              <w:rPr>
                <w:b/>
                <w:sz w:val="20"/>
              </w:rPr>
              <w:t>Western Australian Tourism Commission</w:t>
            </w:r>
          </w:p>
        </w:tc>
        <w:tc>
          <w:tcPr>
            <w:tcW w:w="1399" w:type="dxa"/>
          </w:tcPr>
          <w:p>
            <w:pPr>
              <w:pStyle w:val="TableParagraph"/>
              <w:ind w:right="224"/>
              <w:rPr>
                <w:sz w:val="20"/>
              </w:rPr>
            </w:pPr>
            <w:r>
              <w:rPr>
                <w:w w:val="95"/>
                <w:sz w:val="20"/>
              </w:rPr>
              <w:t>102</w:t>
            </w:r>
          </w:p>
        </w:tc>
        <w:tc>
          <w:tcPr>
            <w:tcW w:w="1311" w:type="dxa"/>
          </w:tcPr>
          <w:p>
            <w:pPr>
              <w:pStyle w:val="TableParagraph"/>
              <w:ind w:right="256"/>
              <w:rPr>
                <w:sz w:val="20"/>
              </w:rPr>
            </w:pPr>
            <w:r>
              <w:rPr>
                <w:w w:val="95"/>
                <w:sz w:val="20"/>
              </w:rPr>
              <w:t>92</w:t>
            </w:r>
          </w:p>
        </w:tc>
        <w:tc>
          <w:tcPr>
            <w:tcW w:w="1127" w:type="dxa"/>
          </w:tcPr>
          <w:p>
            <w:pPr>
              <w:pStyle w:val="TableParagraph"/>
              <w:ind w:right="106"/>
              <w:rPr>
                <w:sz w:val="20"/>
              </w:rPr>
            </w:pPr>
            <w:r>
              <w:rPr>
                <w:w w:val="95"/>
                <w:sz w:val="20"/>
              </w:rPr>
              <w:t>95</w:t>
            </w:r>
          </w:p>
        </w:tc>
      </w:tr>
      <w:tr>
        <w:trPr>
          <w:trHeight w:val="300" w:hRule="atLeast"/>
        </w:trPr>
        <w:tc>
          <w:tcPr>
            <w:tcW w:w="5787" w:type="dxa"/>
            <w:shd w:val="clear" w:color="auto" w:fill="D2DFED"/>
          </w:tcPr>
          <w:p>
            <w:pPr>
              <w:pStyle w:val="TableParagraph"/>
              <w:ind w:left="122"/>
              <w:jc w:val="left"/>
              <w:rPr>
                <w:b/>
                <w:sz w:val="20"/>
              </w:rPr>
            </w:pPr>
            <w:r>
              <w:rPr>
                <w:b/>
                <w:sz w:val="20"/>
              </w:rPr>
              <w:t>Office of the Environmental Protection Authority</w:t>
            </w:r>
          </w:p>
        </w:tc>
        <w:tc>
          <w:tcPr>
            <w:tcW w:w="1399" w:type="dxa"/>
            <w:shd w:val="clear" w:color="auto" w:fill="D2DFED"/>
          </w:tcPr>
          <w:p>
            <w:pPr>
              <w:pStyle w:val="TableParagraph"/>
              <w:ind w:right="222"/>
              <w:rPr>
                <w:sz w:val="20"/>
              </w:rPr>
            </w:pPr>
            <w:r>
              <w:rPr>
                <w:w w:val="95"/>
                <w:sz w:val="20"/>
              </w:rPr>
              <w:t>99</w:t>
            </w:r>
          </w:p>
        </w:tc>
        <w:tc>
          <w:tcPr>
            <w:tcW w:w="1311" w:type="dxa"/>
            <w:shd w:val="clear" w:color="auto" w:fill="D2DFED"/>
          </w:tcPr>
          <w:p>
            <w:pPr>
              <w:pStyle w:val="TableParagraph"/>
              <w:ind w:right="256"/>
              <w:rPr>
                <w:sz w:val="20"/>
              </w:rPr>
            </w:pPr>
            <w:r>
              <w:rPr>
                <w:w w:val="95"/>
                <w:sz w:val="20"/>
              </w:rPr>
              <w:t>88</w:t>
            </w:r>
          </w:p>
        </w:tc>
        <w:tc>
          <w:tcPr>
            <w:tcW w:w="1127" w:type="dxa"/>
            <w:shd w:val="clear" w:color="auto" w:fill="D2DFED"/>
          </w:tcPr>
          <w:p>
            <w:pPr>
              <w:pStyle w:val="TableParagraph"/>
              <w:ind w:right="106"/>
              <w:rPr>
                <w:sz w:val="20"/>
              </w:rPr>
            </w:pPr>
            <w:r>
              <w:rPr>
                <w:w w:val="95"/>
                <w:sz w:val="20"/>
              </w:rPr>
              <w:t>90</w:t>
            </w:r>
          </w:p>
        </w:tc>
      </w:tr>
      <w:tr>
        <w:trPr>
          <w:trHeight w:val="299" w:hRule="atLeast"/>
        </w:trPr>
        <w:tc>
          <w:tcPr>
            <w:tcW w:w="5787" w:type="dxa"/>
          </w:tcPr>
          <w:p>
            <w:pPr>
              <w:pStyle w:val="TableParagraph"/>
              <w:ind w:left="122"/>
              <w:jc w:val="left"/>
              <w:rPr>
                <w:b/>
                <w:sz w:val="20"/>
              </w:rPr>
            </w:pPr>
            <w:r>
              <w:rPr>
                <w:b/>
                <w:sz w:val="20"/>
              </w:rPr>
              <w:t>Office of Energy</w:t>
            </w:r>
          </w:p>
        </w:tc>
        <w:tc>
          <w:tcPr>
            <w:tcW w:w="1399" w:type="dxa"/>
          </w:tcPr>
          <w:p>
            <w:pPr>
              <w:pStyle w:val="TableParagraph"/>
              <w:ind w:right="222"/>
              <w:rPr>
                <w:sz w:val="20"/>
              </w:rPr>
            </w:pPr>
            <w:r>
              <w:rPr>
                <w:w w:val="95"/>
                <w:sz w:val="20"/>
              </w:rPr>
              <w:t>84</w:t>
            </w:r>
          </w:p>
        </w:tc>
        <w:tc>
          <w:tcPr>
            <w:tcW w:w="1311" w:type="dxa"/>
          </w:tcPr>
          <w:p>
            <w:pPr>
              <w:pStyle w:val="TableParagraph"/>
              <w:ind w:right="256"/>
              <w:rPr>
                <w:sz w:val="20"/>
              </w:rPr>
            </w:pPr>
            <w:r>
              <w:rPr>
                <w:w w:val="95"/>
                <w:sz w:val="20"/>
              </w:rPr>
              <w:t>75</w:t>
            </w:r>
          </w:p>
        </w:tc>
        <w:tc>
          <w:tcPr>
            <w:tcW w:w="1127" w:type="dxa"/>
          </w:tcPr>
          <w:p>
            <w:pPr>
              <w:pStyle w:val="TableParagraph"/>
              <w:ind w:right="106"/>
              <w:rPr>
                <w:sz w:val="20"/>
              </w:rPr>
            </w:pPr>
            <w:r>
              <w:rPr>
                <w:w w:val="95"/>
                <w:sz w:val="20"/>
              </w:rPr>
              <w:t>76</w:t>
            </w:r>
          </w:p>
        </w:tc>
      </w:tr>
      <w:tr>
        <w:trPr>
          <w:trHeight w:val="299" w:hRule="atLeast"/>
        </w:trPr>
        <w:tc>
          <w:tcPr>
            <w:tcW w:w="5787" w:type="dxa"/>
            <w:tcBorders>
              <w:bottom w:val="single" w:sz="8" w:space="0" w:color="4F81BC"/>
            </w:tcBorders>
            <w:shd w:val="clear" w:color="auto" w:fill="D2DFED"/>
          </w:tcPr>
          <w:p>
            <w:pPr>
              <w:pStyle w:val="TableParagraph"/>
              <w:ind w:left="122"/>
              <w:jc w:val="left"/>
              <w:rPr>
                <w:b/>
                <w:sz w:val="20"/>
              </w:rPr>
            </w:pPr>
            <w:r>
              <w:rPr>
                <w:b/>
                <w:sz w:val="20"/>
              </w:rPr>
              <w:t>Department of Education Services</w:t>
            </w:r>
          </w:p>
        </w:tc>
        <w:tc>
          <w:tcPr>
            <w:tcW w:w="1399" w:type="dxa"/>
            <w:tcBorders>
              <w:bottom w:val="single" w:sz="8" w:space="0" w:color="4F81BC"/>
            </w:tcBorders>
            <w:shd w:val="clear" w:color="auto" w:fill="D2DFED"/>
          </w:tcPr>
          <w:p>
            <w:pPr>
              <w:pStyle w:val="TableParagraph"/>
              <w:ind w:right="222"/>
              <w:rPr>
                <w:sz w:val="20"/>
              </w:rPr>
            </w:pPr>
            <w:r>
              <w:rPr>
                <w:w w:val="95"/>
                <w:sz w:val="20"/>
              </w:rPr>
              <w:t>71</w:t>
            </w:r>
          </w:p>
        </w:tc>
        <w:tc>
          <w:tcPr>
            <w:tcW w:w="1311" w:type="dxa"/>
            <w:tcBorders>
              <w:bottom w:val="single" w:sz="8" w:space="0" w:color="4F81BC"/>
            </w:tcBorders>
            <w:shd w:val="clear" w:color="auto" w:fill="D2DFED"/>
          </w:tcPr>
          <w:p>
            <w:pPr>
              <w:pStyle w:val="TableParagraph"/>
              <w:ind w:right="256"/>
              <w:rPr>
                <w:sz w:val="20"/>
              </w:rPr>
            </w:pPr>
            <w:r>
              <w:rPr>
                <w:w w:val="95"/>
                <w:sz w:val="20"/>
              </w:rPr>
              <w:t>61</w:t>
            </w:r>
          </w:p>
        </w:tc>
        <w:tc>
          <w:tcPr>
            <w:tcW w:w="1127" w:type="dxa"/>
            <w:tcBorders>
              <w:bottom w:val="single" w:sz="8" w:space="0" w:color="4F81BC"/>
            </w:tcBorders>
            <w:shd w:val="clear" w:color="auto" w:fill="D2DFED"/>
          </w:tcPr>
          <w:p>
            <w:pPr>
              <w:pStyle w:val="TableParagraph"/>
              <w:ind w:right="106"/>
              <w:rPr>
                <w:sz w:val="20"/>
              </w:rPr>
            </w:pPr>
            <w:r>
              <w:rPr>
                <w:w w:val="95"/>
                <w:sz w:val="20"/>
              </w:rPr>
              <w:t>60</w:t>
            </w:r>
          </w:p>
        </w:tc>
      </w:tr>
    </w:tbl>
    <w:p>
      <w:pPr>
        <w:spacing w:after="0"/>
        <w:rPr>
          <w:sz w:val="20"/>
        </w:rPr>
        <w:sectPr>
          <w:pgSz w:w="11910" w:h="16850"/>
          <w:pgMar w:header="0" w:footer="373" w:top="1120" w:bottom="560" w:left="680" w:right="660"/>
        </w:sect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7"/>
        <w:gridCol w:w="1421"/>
        <w:gridCol w:w="1310"/>
        <w:gridCol w:w="1125"/>
      </w:tblGrid>
      <w:tr>
        <w:trPr>
          <w:trHeight w:val="488" w:hRule="atLeast"/>
        </w:trPr>
        <w:tc>
          <w:tcPr>
            <w:tcW w:w="5757" w:type="dxa"/>
            <w:tcBorders>
              <w:top w:val="single" w:sz="8" w:space="0" w:color="4F81BC"/>
              <w:bottom w:val="single" w:sz="8" w:space="0" w:color="4F81BC"/>
            </w:tcBorders>
          </w:tcPr>
          <w:p>
            <w:pPr>
              <w:pStyle w:val="TableParagraph"/>
              <w:spacing w:before="0"/>
              <w:jc w:val="left"/>
              <w:rPr>
                <w:rFonts w:ascii="Times New Roman"/>
                <w:sz w:val="18"/>
              </w:rPr>
            </w:pPr>
          </w:p>
        </w:tc>
        <w:tc>
          <w:tcPr>
            <w:tcW w:w="1421" w:type="dxa"/>
            <w:tcBorders>
              <w:top w:val="single" w:sz="8" w:space="0" w:color="4F81BC"/>
              <w:bottom w:val="single" w:sz="8" w:space="0" w:color="4F81BC"/>
            </w:tcBorders>
          </w:tcPr>
          <w:p>
            <w:pPr>
              <w:pStyle w:val="TableParagraph"/>
              <w:spacing w:line="240" w:lineRule="atLeast" w:before="1"/>
              <w:ind w:left="368" w:right="205" w:hanging="82"/>
              <w:jc w:val="left"/>
              <w:rPr>
                <w:b/>
                <w:sz w:val="20"/>
              </w:rPr>
            </w:pPr>
            <w:r>
              <w:rPr>
                <w:b/>
                <w:sz w:val="20"/>
              </w:rPr>
              <w:t>Headcount Dec 2011</w:t>
            </w:r>
            <w:r>
              <w:rPr>
                <w:b/>
                <w:sz w:val="20"/>
                <w:vertAlign w:val="superscript"/>
              </w:rPr>
              <w:t>2</w:t>
            </w:r>
          </w:p>
        </w:tc>
        <w:tc>
          <w:tcPr>
            <w:tcW w:w="1310" w:type="dxa"/>
            <w:tcBorders>
              <w:top w:val="single" w:sz="8" w:space="0" w:color="4F81BC"/>
              <w:bottom w:val="single" w:sz="8" w:space="0" w:color="4F81BC"/>
            </w:tcBorders>
          </w:tcPr>
          <w:p>
            <w:pPr>
              <w:pStyle w:val="TableParagraph"/>
              <w:spacing w:line="240" w:lineRule="atLeast" w:before="1"/>
              <w:ind w:left="225" w:right="235" w:firstLine="134"/>
              <w:jc w:val="left"/>
              <w:rPr>
                <w:b/>
                <w:sz w:val="20"/>
              </w:rPr>
            </w:pPr>
            <w:r>
              <w:rPr>
                <w:b/>
                <w:sz w:val="20"/>
              </w:rPr>
              <w:t>Paid FTE Dec 2011</w:t>
            </w:r>
            <w:r>
              <w:rPr>
                <w:b/>
                <w:sz w:val="20"/>
                <w:vertAlign w:val="superscript"/>
              </w:rPr>
              <w:t>3</w:t>
            </w:r>
          </w:p>
        </w:tc>
        <w:tc>
          <w:tcPr>
            <w:tcW w:w="1125" w:type="dxa"/>
            <w:tcBorders>
              <w:top w:val="single" w:sz="8" w:space="0" w:color="4F81BC"/>
              <w:bottom w:val="single" w:sz="8" w:space="0" w:color="4F81BC"/>
            </w:tcBorders>
          </w:tcPr>
          <w:p>
            <w:pPr>
              <w:pStyle w:val="TableParagraph"/>
              <w:spacing w:line="240" w:lineRule="atLeast" w:before="1"/>
              <w:ind w:left="259" w:right="84" w:firstLine="81"/>
              <w:jc w:val="left"/>
              <w:rPr>
                <w:b/>
                <w:sz w:val="20"/>
              </w:rPr>
            </w:pPr>
            <w:r>
              <w:rPr>
                <w:b/>
                <w:w w:val="95"/>
                <w:sz w:val="20"/>
              </w:rPr>
              <w:t>Average </w:t>
            </w:r>
            <w:r>
              <w:rPr>
                <w:b/>
                <w:sz w:val="20"/>
              </w:rPr>
              <w:t>Paid FTE</w:t>
            </w:r>
            <w:r>
              <w:rPr>
                <w:b/>
                <w:sz w:val="20"/>
                <w:vertAlign w:val="superscript"/>
              </w:rPr>
              <w:t>4</w:t>
            </w:r>
          </w:p>
        </w:tc>
      </w:tr>
      <w:tr>
        <w:trPr>
          <w:trHeight w:val="489" w:hRule="atLeast"/>
        </w:trPr>
        <w:tc>
          <w:tcPr>
            <w:tcW w:w="5757" w:type="dxa"/>
            <w:tcBorders>
              <w:top w:val="single" w:sz="8" w:space="0" w:color="4F81BC"/>
            </w:tcBorders>
          </w:tcPr>
          <w:p>
            <w:pPr>
              <w:pStyle w:val="TableParagraph"/>
              <w:spacing w:line="243" w:lineRule="exact" w:before="1"/>
              <w:ind w:left="115"/>
              <w:jc w:val="left"/>
              <w:rPr>
                <w:b/>
                <w:sz w:val="20"/>
              </w:rPr>
            </w:pPr>
            <w:r>
              <w:rPr>
                <w:b/>
                <w:sz w:val="20"/>
              </w:rPr>
              <w:t>Parliamentary Commissioner for Administrative Investigations</w:t>
            </w:r>
          </w:p>
          <w:p>
            <w:pPr>
              <w:pStyle w:val="TableParagraph"/>
              <w:spacing w:line="225" w:lineRule="exact" w:before="0"/>
              <w:ind w:left="115"/>
              <w:jc w:val="left"/>
              <w:rPr>
                <w:b/>
                <w:sz w:val="20"/>
              </w:rPr>
            </w:pPr>
            <w:r>
              <w:rPr>
                <w:b/>
                <w:sz w:val="20"/>
              </w:rPr>
              <w:t>(Ombudsman)</w:t>
            </w:r>
          </w:p>
        </w:tc>
        <w:tc>
          <w:tcPr>
            <w:tcW w:w="1421" w:type="dxa"/>
            <w:tcBorders>
              <w:top w:val="single" w:sz="8" w:space="0" w:color="4F81BC"/>
            </w:tcBorders>
          </w:tcPr>
          <w:p>
            <w:pPr>
              <w:pStyle w:val="TableParagraph"/>
              <w:spacing w:before="121"/>
              <w:ind w:right="221"/>
              <w:rPr>
                <w:sz w:val="20"/>
              </w:rPr>
            </w:pPr>
            <w:r>
              <w:rPr>
                <w:w w:val="95"/>
                <w:sz w:val="20"/>
              </w:rPr>
              <w:t>64</w:t>
            </w:r>
          </w:p>
        </w:tc>
        <w:tc>
          <w:tcPr>
            <w:tcW w:w="1310" w:type="dxa"/>
            <w:tcBorders>
              <w:top w:val="single" w:sz="8" w:space="0" w:color="4F81BC"/>
            </w:tcBorders>
          </w:tcPr>
          <w:p>
            <w:pPr>
              <w:pStyle w:val="TableParagraph"/>
              <w:spacing w:before="121"/>
              <w:ind w:right="254"/>
              <w:rPr>
                <w:sz w:val="20"/>
              </w:rPr>
            </w:pPr>
            <w:r>
              <w:rPr>
                <w:w w:val="95"/>
                <w:sz w:val="20"/>
              </w:rPr>
              <w:t>58</w:t>
            </w:r>
          </w:p>
        </w:tc>
        <w:tc>
          <w:tcPr>
            <w:tcW w:w="1125" w:type="dxa"/>
            <w:tcBorders>
              <w:top w:val="single" w:sz="8" w:space="0" w:color="4F81BC"/>
            </w:tcBorders>
          </w:tcPr>
          <w:p>
            <w:pPr>
              <w:pStyle w:val="TableParagraph"/>
              <w:spacing w:before="121"/>
              <w:ind w:right="102"/>
              <w:rPr>
                <w:sz w:val="20"/>
              </w:rPr>
            </w:pPr>
            <w:r>
              <w:rPr>
                <w:w w:val="95"/>
                <w:sz w:val="20"/>
              </w:rPr>
              <w:t>56</w:t>
            </w:r>
          </w:p>
        </w:tc>
      </w:tr>
      <w:tr>
        <w:trPr>
          <w:trHeight w:val="300" w:hRule="atLeast"/>
        </w:trPr>
        <w:tc>
          <w:tcPr>
            <w:tcW w:w="5757" w:type="dxa"/>
            <w:shd w:val="clear" w:color="auto" w:fill="D2DFED"/>
          </w:tcPr>
          <w:p>
            <w:pPr>
              <w:pStyle w:val="TableParagraph"/>
              <w:spacing w:before="28"/>
              <w:ind w:left="115"/>
              <w:jc w:val="left"/>
              <w:rPr>
                <w:b/>
                <w:sz w:val="20"/>
              </w:rPr>
            </w:pPr>
            <w:r>
              <w:rPr>
                <w:b/>
                <w:sz w:val="20"/>
              </w:rPr>
              <w:t>Swan River Trust</w:t>
            </w:r>
          </w:p>
        </w:tc>
        <w:tc>
          <w:tcPr>
            <w:tcW w:w="1421" w:type="dxa"/>
            <w:shd w:val="clear" w:color="auto" w:fill="D2DFED"/>
          </w:tcPr>
          <w:p>
            <w:pPr>
              <w:pStyle w:val="TableParagraph"/>
              <w:spacing w:before="28"/>
              <w:ind w:right="221"/>
              <w:rPr>
                <w:sz w:val="20"/>
              </w:rPr>
            </w:pPr>
            <w:r>
              <w:rPr>
                <w:w w:val="95"/>
                <w:sz w:val="20"/>
              </w:rPr>
              <w:t>62</w:t>
            </w:r>
          </w:p>
        </w:tc>
        <w:tc>
          <w:tcPr>
            <w:tcW w:w="1310" w:type="dxa"/>
            <w:shd w:val="clear" w:color="auto" w:fill="D2DFED"/>
          </w:tcPr>
          <w:p>
            <w:pPr>
              <w:pStyle w:val="TableParagraph"/>
              <w:spacing w:before="28"/>
              <w:ind w:right="254"/>
              <w:rPr>
                <w:sz w:val="20"/>
              </w:rPr>
            </w:pPr>
            <w:r>
              <w:rPr>
                <w:w w:val="95"/>
                <w:sz w:val="20"/>
              </w:rPr>
              <w:t>58</w:t>
            </w:r>
          </w:p>
        </w:tc>
        <w:tc>
          <w:tcPr>
            <w:tcW w:w="1125" w:type="dxa"/>
            <w:shd w:val="clear" w:color="auto" w:fill="D2DFED"/>
          </w:tcPr>
          <w:p>
            <w:pPr>
              <w:pStyle w:val="TableParagraph"/>
              <w:spacing w:before="28"/>
              <w:ind w:right="102"/>
              <w:rPr>
                <w:sz w:val="20"/>
              </w:rPr>
            </w:pPr>
            <w:r>
              <w:rPr>
                <w:w w:val="95"/>
                <w:sz w:val="20"/>
              </w:rPr>
              <w:t>56</w:t>
            </w:r>
          </w:p>
        </w:tc>
      </w:tr>
      <w:tr>
        <w:trPr>
          <w:trHeight w:val="300" w:hRule="atLeast"/>
        </w:trPr>
        <w:tc>
          <w:tcPr>
            <w:tcW w:w="5757" w:type="dxa"/>
          </w:tcPr>
          <w:p>
            <w:pPr>
              <w:pStyle w:val="TableParagraph"/>
              <w:spacing w:before="28"/>
              <w:ind w:left="115"/>
              <w:jc w:val="left"/>
              <w:rPr>
                <w:b/>
                <w:sz w:val="20"/>
              </w:rPr>
            </w:pPr>
            <w:r>
              <w:rPr>
                <w:b/>
                <w:sz w:val="20"/>
              </w:rPr>
              <w:t>Mental Health Commission</w:t>
            </w:r>
          </w:p>
        </w:tc>
        <w:tc>
          <w:tcPr>
            <w:tcW w:w="1421" w:type="dxa"/>
          </w:tcPr>
          <w:p>
            <w:pPr>
              <w:pStyle w:val="TableParagraph"/>
              <w:spacing w:before="28"/>
              <w:ind w:right="221"/>
              <w:rPr>
                <w:sz w:val="20"/>
              </w:rPr>
            </w:pPr>
            <w:r>
              <w:rPr>
                <w:w w:val="95"/>
                <w:sz w:val="20"/>
              </w:rPr>
              <w:t>55</w:t>
            </w:r>
          </w:p>
        </w:tc>
        <w:tc>
          <w:tcPr>
            <w:tcW w:w="1310" w:type="dxa"/>
          </w:tcPr>
          <w:p>
            <w:pPr>
              <w:pStyle w:val="TableParagraph"/>
              <w:spacing w:before="28"/>
              <w:ind w:right="254"/>
              <w:rPr>
                <w:sz w:val="20"/>
              </w:rPr>
            </w:pPr>
            <w:r>
              <w:rPr>
                <w:w w:val="95"/>
                <w:sz w:val="20"/>
              </w:rPr>
              <w:t>50</w:t>
            </w:r>
          </w:p>
        </w:tc>
        <w:tc>
          <w:tcPr>
            <w:tcW w:w="1125" w:type="dxa"/>
          </w:tcPr>
          <w:p>
            <w:pPr>
              <w:pStyle w:val="TableParagraph"/>
              <w:spacing w:before="28"/>
              <w:ind w:right="102"/>
              <w:rPr>
                <w:sz w:val="20"/>
              </w:rPr>
            </w:pPr>
            <w:r>
              <w:rPr>
                <w:w w:val="95"/>
                <w:sz w:val="20"/>
              </w:rPr>
              <w:t>47</w:t>
            </w:r>
          </w:p>
        </w:tc>
      </w:tr>
      <w:tr>
        <w:trPr>
          <w:trHeight w:val="300" w:hRule="atLeast"/>
        </w:trPr>
        <w:tc>
          <w:tcPr>
            <w:tcW w:w="5757" w:type="dxa"/>
            <w:shd w:val="clear" w:color="auto" w:fill="D2DFED"/>
          </w:tcPr>
          <w:p>
            <w:pPr>
              <w:pStyle w:val="TableParagraph"/>
              <w:spacing w:before="28"/>
              <w:ind w:left="115"/>
              <w:jc w:val="left"/>
              <w:rPr>
                <w:b/>
                <w:sz w:val="20"/>
              </w:rPr>
            </w:pPr>
            <w:r>
              <w:rPr>
                <w:b/>
                <w:sz w:val="20"/>
              </w:rPr>
              <w:t>Western Australian Electoral Commission</w:t>
            </w:r>
          </w:p>
        </w:tc>
        <w:tc>
          <w:tcPr>
            <w:tcW w:w="1421" w:type="dxa"/>
            <w:shd w:val="clear" w:color="auto" w:fill="D2DFED"/>
          </w:tcPr>
          <w:p>
            <w:pPr>
              <w:pStyle w:val="TableParagraph"/>
              <w:spacing w:before="28"/>
              <w:ind w:right="221"/>
              <w:rPr>
                <w:sz w:val="20"/>
              </w:rPr>
            </w:pPr>
            <w:r>
              <w:rPr>
                <w:w w:val="95"/>
                <w:sz w:val="20"/>
              </w:rPr>
              <w:t>55</w:t>
            </w:r>
          </w:p>
        </w:tc>
        <w:tc>
          <w:tcPr>
            <w:tcW w:w="1310" w:type="dxa"/>
            <w:shd w:val="clear" w:color="auto" w:fill="D2DFED"/>
          </w:tcPr>
          <w:p>
            <w:pPr>
              <w:pStyle w:val="TableParagraph"/>
              <w:spacing w:before="28"/>
              <w:ind w:right="254"/>
              <w:rPr>
                <w:sz w:val="20"/>
              </w:rPr>
            </w:pPr>
            <w:r>
              <w:rPr>
                <w:w w:val="95"/>
                <w:sz w:val="20"/>
              </w:rPr>
              <w:t>48</w:t>
            </w:r>
          </w:p>
        </w:tc>
        <w:tc>
          <w:tcPr>
            <w:tcW w:w="1125" w:type="dxa"/>
            <w:shd w:val="clear" w:color="auto" w:fill="D2DFED"/>
          </w:tcPr>
          <w:p>
            <w:pPr>
              <w:pStyle w:val="TableParagraph"/>
              <w:spacing w:before="28"/>
              <w:ind w:right="102"/>
              <w:rPr>
                <w:sz w:val="20"/>
              </w:rPr>
            </w:pPr>
            <w:r>
              <w:rPr>
                <w:w w:val="95"/>
                <w:sz w:val="20"/>
              </w:rPr>
              <w:t>48</w:t>
            </w:r>
          </w:p>
        </w:tc>
      </w:tr>
      <w:tr>
        <w:trPr>
          <w:trHeight w:val="300" w:hRule="atLeast"/>
        </w:trPr>
        <w:tc>
          <w:tcPr>
            <w:tcW w:w="5757" w:type="dxa"/>
          </w:tcPr>
          <w:p>
            <w:pPr>
              <w:pStyle w:val="TableParagraph"/>
              <w:spacing w:before="28"/>
              <w:ind w:left="115"/>
              <w:jc w:val="left"/>
              <w:rPr>
                <w:b/>
                <w:sz w:val="20"/>
              </w:rPr>
            </w:pPr>
            <w:r>
              <w:rPr>
                <w:b/>
                <w:sz w:val="20"/>
              </w:rPr>
              <w:t>Economic Regulation Authority</w:t>
            </w:r>
          </w:p>
        </w:tc>
        <w:tc>
          <w:tcPr>
            <w:tcW w:w="1421" w:type="dxa"/>
          </w:tcPr>
          <w:p>
            <w:pPr>
              <w:pStyle w:val="TableParagraph"/>
              <w:spacing w:before="28"/>
              <w:ind w:right="221"/>
              <w:rPr>
                <w:sz w:val="20"/>
              </w:rPr>
            </w:pPr>
            <w:r>
              <w:rPr>
                <w:w w:val="95"/>
                <w:sz w:val="20"/>
              </w:rPr>
              <w:t>53</w:t>
            </w:r>
          </w:p>
        </w:tc>
        <w:tc>
          <w:tcPr>
            <w:tcW w:w="1310" w:type="dxa"/>
          </w:tcPr>
          <w:p>
            <w:pPr>
              <w:pStyle w:val="TableParagraph"/>
              <w:spacing w:before="28"/>
              <w:ind w:right="254"/>
              <w:rPr>
                <w:sz w:val="20"/>
              </w:rPr>
            </w:pPr>
            <w:r>
              <w:rPr>
                <w:w w:val="95"/>
                <w:sz w:val="20"/>
              </w:rPr>
              <w:t>50</w:t>
            </w:r>
          </w:p>
        </w:tc>
        <w:tc>
          <w:tcPr>
            <w:tcW w:w="1125" w:type="dxa"/>
          </w:tcPr>
          <w:p>
            <w:pPr>
              <w:pStyle w:val="TableParagraph"/>
              <w:spacing w:before="28"/>
              <w:ind w:right="102"/>
              <w:rPr>
                <w:sz w:val="20"/>
              </w:rPr>
            </w:pPr>
            <w:r>
              <w:rPr>
                <w:w w:val="95"/>
                <w:sz w:val="20"/>
              </w:rPr>
              <w:t>49</w:t>
            </w:r>
          </w:p>
        </w:tc>
      </w:tr>
      <w:tr>
        <w:trPr>
          <w:trHeight w:val="300" w:hRule="atLeast"/>
        </w:trPr>
        <w:tc>
          <w:tcPr>
            <w:tcW w:w="5757" w:type="dxa"/>
            <w:shd w:val="clear" w:color="auto" w:fill="D2DFED"/>
          </w:tcPr>
          <w:p>
            <w:pPr>
              <w:pStyle w:val="TableParagraph"/>
              <w:spacing w:before="28"/>
              <w:ind w:left="115"/>
              <w:jc w:val="left"/>
              <w:rPr>
                <w:b/>
                <w:sz w:val="20"/>
              </w:rPr>
            </w:pPr>
            <w:r>
              <w:rPr>
                <w:b/>
                <w:sz w:val="20"/>
              </w:rPr>
              <w:t>Small Business Development Corporation</w:t>
            </w:r>
          </w:p>
        </w:tc>
        <w:tc>
          <w:tcPr>
            <w:tcW w:w="1421" w:type="dxa"/>
            <w:shd w:val="clear" w:color="auto" w:fill="D2DFED"/>
          </w:tcPr>
          <w:p>
            <w:pPr>
              <w:pStyle w:val="TableParagraph"/>
              <w:spacing w:before="28"/>
              <w:ind w:right="221"/>
              <w:rPr>
                <w:sz w:val="20"/>
              </w:rPr>
            </w:pPr>
            <w:r>
              <w:rPr>
                <w:w w:val="95"/>
                <w:sz w:val="20"/>
              </w:rPr>
              <w:t>52</w:t>
            </w:r>
          </w:p>
        </w:tc>
        <w:tc>
          <w:tcPr>
            <w:tcW w:w="1310" w:type="dxa"/>
            <w:shd w:val="clear" w:color="auto" w:fill="D2DFED"/>
          </w:tcPr>
          <w:p>
            <w:pPr>
              <w:pStyle w:val="TableParagraph"/>
              <w:spacing w:before="28"/>
              <w:ind w:right="254"/>
              <w:rPr>
                <w:sz w:val="20"/>
              </w:rPr>
            </w:pPr>
            <w:r>
              <w:rPr>
                <w:w w:val="95"/>
                <w:sz w:val="20"/>
              </w:rPr>
              <w:t>46</w:t>
            </w:r>
          </w:p>
        </w:tc>
        <w:tc>
          <w:tcPr>
            <w:tcW w:w="1125" w:type="dxa"/>
            <w:shd w:val="clear" w:color="auto" w:fill="D2DFED"/>
          </w:tcPr>
          <w:p>
            <w:pPr>
              <w:pStyle w:val="TableParagraph"/>
              <w:spacing w:before="28"/>
              <w:ind w:right="102"/>
              <w:rPr>
                <w:sz w:val="20"/>
              </w:rPr>
            </w:pPr>
            <w:r>
              <w:rPr>
                <w:w w:val="95"/>
                <w:sz w:val="20"/>
              </w:rPr>
              <w:t>47</w:t>
            </w:r>
          </w:p>
        </w:tc>
      </w:tr>
      <w:tr>
        <w:trPr>
          <w:trHeight w:val="299" w:hRule="atLeast"/>
        </w:trPr>
        <w:tc>
          <w:tcPr>
            <w:tcW w:w="5757" w:type="dxa"/>
          </w:tcPr>
          <w:p>
            <w:pPr>
              <w:pStyle w:val="TableParagraph"/>
              <w:spacing w:before="28"/>
              <w:ind w:left="115"/>
              <w:jc w:val="left"/>
              <w:rPr>
                <w:b/>
                <w:sz w:val="20"/>
              </w:rPr>
            </w:pPr>
            <w:r>
              <w:rPr>
                <w:b/>
                <w:sz w:val="20"/>
              </w:rPr>
              <w:t>The National Trust of Australia (W.A.)</w:t>
            </w:r>
          </w:p>
        </w:tc>
        <w:tc>
          <w:tcPr>
            <w:tcW w:w="1421" w:type="dxa"/>
          </w:tcPr>
          <w:p>
            <w:pPr>
              <w:pStyle w:val="TableParagraph"/>
              <w:spacing w:before="28"/>
              <w:ind w:right="221"/>
              <w:rPr>
                <w:sz w:val="20"/>
              </w:rPr>
            </w:pPr>
            <w:r>
              <w:rPr>
                <w:w w:val="95"/>
                <w:sz w:val="20"/>
              </w:rPr>
              <w:t>44</w:t>
            </w:r>
          </w:p>
        </w:tc>
        <w:tc>
          <w:tcPr>
            <w:tcW w:w="1310" w:type="dxa"/>
          </w:tcPr>
          <w:p>
            <w:pPr>
              <w:pStyle w:val="TableParagraph"/>
              <w:spacing w:before="28"/>
              <w:ind w:right="254"/>
              <w:rPr>
                <w:sz w:val="20"/>
              </w:rPr>
            </w:pPr>
            <w:r>
              <w:rPr>
                <w:w w:val="95"/>
                <w:sz w:val="20"/>
              </w:rPr>
              <w:t>30</w:t>
            </w:r>
          </w:p>
        </w:tc>
        <w:tc>
          <w:tcPr>
            <w:tcW w:w="1125" w:type="dxa"/>
          </w:tcPr>
          <w:p>
            <w:pPr>
              <w:pStyle w:val="TableParagraph"/>
              <w:spacing w:before="28"/>
              <w:ind w:right="102"/>
              <w:rPr>
                <w:sz w:val="20"/>
              </w:rPr>
            </w:pPr>
            <w:r>
              <w:rPr>
                <w:w w:val="95"/>
                <w:sz w:val="20"/>
              </w:rPr>
              <w:t>30</w:t>
            </w:r>
          </w:p>
        </w:tc>
      </w:tr>
      <w:tr>
        <w:trPr>
          <w:trHeight w:val="489" w:hRule="atLeast"/>
        </w:trPr>
        <w:tc>
          <w:tcPr>
            <w:tcW w:w="5757" w:type="dxa"/>
            <w:shd w:val="clear" w:color="auto" w:fill="D2DFED"/>
          </w:tcPr>
          <w:p>
            <w:pPr>
              <w:pStyle w:val="TableParagraph"/>
              <w:spacing w:line="243" w:lineRule="exact" w:before="0"/>
              <w:ind w:left="115"/>
              <w:jc w:val="left"/>
              <w:rPr>
                <w:b/>
                <w:sz w:val="20"/>
              </w:rPr>
            </w:pPr>
            <w:r>
              <w:rPr>
                <w:b/>
                <w:sz w:val="20"/>
              </w:rPr>
              <w:t>Department of the Registrar Western Australian Industrial</w:t>
            </w:r>
          </w:p>
          <w:p>
            <w:pPr>
              <w:pStyle w:val="TableParagraph"/>
              <w:spacing w:line="226" w:lineRule="exact" w:before="0"/>
              <w:ind w:left="115"/>
              <w:jc w:val="left"/>
              <w:rPr>
                <w:b/>
                <w:sz w:val="20"/>
              </w:rPr>
            </w:pPr>
            <w:r>
              <w:rPr>
                <w:b/>
                <w:sz w:val="20"/>
              </w:rPr>
              <w:t>Relations Commission</w:t>
            </w:r>
          </w:p>
        </w:tc>
        <w:tc>
          <w:tcPr>
            <w:tcW w:w="1421" w:type="dxa"/>
            <w:shd w:val="clear" w:color="auto" w:fill="D2DFED"/>
          </w:tcPr>
          <w:p>
            <w:pPr>
              <w:pStyle w:val="TableParagraph"/>
              <w:spacing w:before="121"/>
              <w:ind w:right="221"/>
              <w:rPr>
                <w:sz w:val="20"/>
              </w:rPr>
            </w:pPr>
            <w:r>
              <w:rPr>
                <w:w w:val="95"/>
                <w:sz w:val="20"/>
              </w:rPr>
              <w:t>38</w:t>
            </w:r>
          </w:p>
        </w:tc>
        <w:tc>
          <w:tcPr>
            <w:tcW w:w="1310" w:type="dxa"/>
            <w:shd w:val="clear" w:color="auto" w:fill="D2DFED"/>
          </w:tcPr>
          <w:p>
            <w:pPr>
              <w:pStyle w:val="TableParagraph"/>
              <w:spacing w:before="121"/>
              <w:ind w:right="254"/>
              <w:rPr>
                <w:sz w:val="20"/>
              </w:rPr>
            </w:pPr>
            <w:r>
              <w:rPr>
                <w:w w:val="95"/>
                <w:sz w:val="20"/>
              </w:rPr>
              <w:t>34</w:t>
            </w:r>
          </w:p>
        </w:tc>
        <w:tc>
          <w:tcPr>
            <w:tcW w:w="1125" w:type="dxa"/>
            <w:shd w:val="clear" w:color="auto" w:fill="D2DFED"/>
          </w:tcPr>
          <w:p>
            <w:pPr>
              <w:pStyle w:val="TableParagraph"/>
              <w:spacing w:before="121"/>
              <w:ind w:right="102"/>
              <w:rPr>
                <w:sz w:val="20"/>
              </w:rPr>
            </w:pPr>
            <w:r>
              <w:rPr>
                <w:w w:val="95"/>
                <w:sz w:val="20"/>
              </w:rPr>
              <w:t>37</w:t>
            </w:r>
          </w:p>
        </w:tc>
      </w:tr>
      <w:tr>
        <w:trPr>
          <w:trHeight w:val="299" w:hRule="atLeast"/>
        </w:trPr>
        <w:tc>
          <w:tcPr>
            <w:tcW w:w="5757" w:type="dxa"/>
          </w:tcPr>
          <w:p>
            <w:pPr>
              <w:pStyle w:val="TableParagraph"/>
              <w:ind w:left="115"/>
              <w:jc w:val="left"/>
              <w:rPr>
                <w:b/>
                <w:sz w:val="20"/>
              </w:rPr>
            </w:pPr>
            <w:r>
              <w:rPr>
                <w:b/>
                <w:sz w:val="20"/>
              </w:rPr>
              <w:t>Commissioner for Equal Opportunity</w:t>
            </w:r>
          </w:p>
        </w:tc>
        <w:tc>
          <w:tcPr>
            <w:tcW w:w="1421" w:type="dxa"/>
          </w:tcPr>
          <w:p>
            <w:pPr>
              <w:pStyle w:val="TableParagraph"/>
              <w:ind w:right="221"/>
              <w:rPr>
                <w:sz w:val="20"/>
              </w:rPr>
            </w:pPr>
            <w:r>
              <w:rPr>
                <w:w w:val="95"/>
                <w:sz w:val="20"/>
              </w:rPr>
              <w:t>33</w:t>
            </w:r>
          </w:p>
        </w:tc>
        <w:tc>
          <w:tcPr>
            <w:tcW w:w="1310" w:type="dxa"/>
          </w:tcPr>
          <w:p>
            <w:pPr>
              <w:pStyle w:val="TableParagraph"/>
              <w:ind w:right="254"/>
              <w:rPr>
                <w:sz w:val="20"/>
              </w:rPr>
            </w:pPr>
            <w:r>
              <w:rPr>
                <w:w w:val="95"/>
                <w:sz w:val="20"/>
              </w:rPr>
              <w:t>28</w:t>
            </w:r>
          </w:p>
        </w:tc>
        <w:tc>
          <w:tcPr>
            <w:tcW w:w="1125" w:type="dxa"/>
          </w:tcPr>
          <w:p>
            <w:pPr>
              <w:pStyle w:val="TableParagraph"/>
              <w:ind w:right="102"/>
              <w:rPr>
                <w:sz w:val="20"/>
              </w:rPr>
            </w:pPr>
            <w:r>
              <w:rPr>
                <w:w w:val="95"/>
                <w:sz w:val="20"/>
              </w:rPr>
              <w:t>27</w:t>
            </w:r>
          </w:p>
        </w:tc>
      </w:tr>
      <w:tr>
        <w:trPr>
          <w:trHeight w:val="300" w:hRule="atLeast"/>
        </w:trPr>
        <w:tc>
          <w:tcPr>
            <w:tcW w:w="5757" w:type="dxa"/>
            <w:shd w:val="clear" w:color="auto" w:fill="D2DFED"/>
          </w:tcPr>
          <w:p>
            <w:pPr>
              <w:pStyle w:val="TableParagraph"/>
              <w:ind w:left="115"/>
              <w:jc w:val="left"/>
              <w:rPr>
                <w:b/>
                <w:sz w:val="20"/>
              </w:rPr>
            </w:pPr>
            <w:r>
              <w:rPr>
                <w:b/>
                <w:sz w:val="20"/>
              </w:rPr>
              <w:t>Heritage Council of Western Australia</w:t>
            </w:r>
          </w:p>
        </w:tc>
        <w:tc>
          <w:tcPr>
            <w:tcW w:w="1421" w:type="dxa"/>
            <w:shd w:val="clear" w:color="auto" w:fill="D2DFED"/>
          </w:tcPr>
          <w:p>
            <w:pPr>
              <w:pStyle w:val="TableParagraph"/>
              <w:ind w:right="221"/>
              <w:rPr>
                <w:sz w:val="20"/>
              </w:rPr>
            </w:pPr>
            <w:r>
              <w:rPr>
                <w:w w:val="95"/>
                <w:sz w:val="20"/>
              </w:rPr>
              <w:t>33</w:t>
            </w:r>
          </w:p>
        </w:tc>
        <w:tc>
          <w:tcPr>
            <w:tcW w:w="1310" w:type="dxa"/>
            <w:shd w:val="clear" w:color="auto" w:fill="D2DFED"/>
          </w:tcPr>
          <w:p>
            <w:pPr>
              <w:pStyle w:val="TableParagraph"/>
              <w:ind w:right="254"/>
              <w:rPr>
                <w:sz w:val="20"/>
              </w:rPr>
            </w:pPr>
            <w:r>
              <w:rPr>
                <w:w w:val="95"/>
                <w:sz w:val="20"/>
              </w:rPr>
              <w:t>30</w:t>
            </w:r>
          </w:p>
        </w:tc>
        <w:tc>
          <w:tcPr>
            <w:tcW w:w="1125" w:type="dxa"/>
            <w:shd w:val="clear" w:color="auto" w:fill="D2DFED"/>
          </w:tcPr>
          <w:p>
            <w:pPr>
              <w:pStyle w:val="TableParagraph"/>
              <w:ind w:right="102"/>
              <w:rPr>
                <w:sz w:val="20"/>
              </w:rPr>
            </w:pPr>
            <w:r>
              <w:rPr>
                <w:w w:val="95"/>
                <w:sz w:val="20"/>
              </w:rPr>
              <w:t>26</w:t>
            </w:r>
          </w:p>
        </w:tc>
      </w:tr>
      <w:tr>
        <w:trPr>
          <w:trHeight w:val="300" w:hRule="atLeast"/>
        </w:trPr>
        <w:tc>
          <w:tcPr>
            <w:tcW w:w="5757" w:type="dxa"/>
          </w:tcPr>
          <w:p>
            <w:pPr>
              <w:pStyle w:val="TableParagraph"/>
              <w:spacing w:before="26"/>
              <w:ind w:left="115"/>
              <w:jc w:val="left"/>
              <w:rPr>
                <w:b/>
                <w:sz w:val="20"/>
              </w:rPr>
            </w:pPr>
            <w:r>
              <w:rPr>
                <w:b/>
                <w:sz w:val="20"/>
              </w:rPr>
              <w:t>South West Development Commission</w:t>
            </w:r>
          </w:p>
        </w:tc>
        <w:tc>
          <w:tcPr>
            <w:tcW w:w="1421" w:type="dxa"/>
          </w:tcPr>
          <w:p>
            <w:pPr>
              <w:pStyle w:val="TableParagraph"/>
              <w:spacing w:before="26"/>
              <w:ind w:right="221"/>
              <w:rPr>
                <w:sz w:val="20"/>
              </w:rPr>
            </w:pPr>
            <w:r>
              <w:rPr>
                <w:w w:val="95"/>
                <w:sz w:val="20"/>
              </w:rPr>
              <w:t>22</w:t>
            </w:r>
          </w:p>
        </w:tc>
        <w:tc>
          <w:tcPr>
            <w:tcW w:w="1310" w:type="dxa"/>
          </w:tcPr>
          <w:p>
            <w:pPr>
              <w:pStyle w:val="TableParagraph"/>
              <w:spacing w:before="26"/>
              <w:ind w:right="254"/>
              <w:rPr>
                <w:sz w:val="20"/>
              </w:rPr>
            </w:pPr>
            <w:r>
              <w:rPr>
                <w:w w:val="95"/>
                <w:sz w:val="20"/>
              </w:rPr>
              <w:t>21</w:t>
            </w:r>
          </w:p>
        </w:tc>
        <w:tc>
          <w:tcPr>
            <w:tcW w:w="1125" w:type="dxa"/>
          </w:tcPr>
          <w:p>
            <w:pPr>
              <w:pStyle w:val="TableParagraph"/>
              <w:spacing w:before="26"/>
              <w:ind w:right="102"/>
              <w:rPr>
                <w:sz w:val="20"/>
              </w:rPr>
            </w:pPr>
            <w:r>
              <w:rPr>
                <w:w w:val="95"/>
                <w:sz w:val="20"/>
              </w:rPr>
              <w:t>22</w:t>
            </w:r>
          </w:p>
        </w:tc>
      </w:tr>
      <w:tr>
        <w:trPr>
          <w:trHeight w:val="300" w:hRule="atLeast"/>
        </w:trPr>
        <w:tc>
          <w:tcPr>
            <w:tcW w:w="5757" w:type="dxa"/>
            <w:shd w:val="clear" w:color="auto" w:fill="D2DFED"/>
          </w:tcPr>
          <w:p>
            <w:pPr>
              <w:pStyle w:val="TableParagraph"/>
              <w:ind w:left="115"/>
              <w:jc w:val="left"/>
              <w:rPr>
                <w:b/>
                <w:sz w:val="20"/>
              </w:rPr>
            </w:pPr>
            <w:r>
              <w:rPr>
                <w:b/>
                <w:sz w:val="20"/>
              </w:rPr>
              <w:t>Office of the Commissioner for Children and Young People</w:t>
            </w:r>
          </w:p>
        </w:tc>
        <w:tc>
          <w:tcPr>
            <w:tcW w:w="1421" w:type="dxa"/>
            <w:shd w:val="clear" w:color="auto" w:fill="D2DFED"/>
          </w:tcPr>
          <w:p>
            <w:pPr>
              <w:pStyle w:val="TableParagraph"/>
              <w:ind w:right="221"/>
              <w:rPr>
                <w:sz w:val="20"/>
              </w:rPr>
            </w:pPr>
            <w:r>
              <w:rPr>
                <w:w w:val="95"/>
                <w:sz w:val="20"/>
              </w:rPr>
              <w:t>18</w:t>
            </w:r>
          </w:p>
        </w:tc>
        <w:tc>
          <w:tcPr>
            <w:tcW w:w="1310" w:type="dxa"/>
            <w:shd w:val="clear" w:color="auto" w:fill="D2DFED"/>
          </w:tcPr>
          <w:p>
            <w:pPr>
              <w:pStyle w:val="TableParagraph"/>
              <w:ind w:right="254"/>
              <w:rPr>
                <w:sz w:val="20"/>
              </w:rPr>
            </w:pPr>
            <w:r>
              <w:rPr>
                <w:w w:val="95"/>
                <w:sz w:val="20"/>
              </w:rPr>
              <w:t>15</w:t>
            </w:r>
          </w:p>
        </w:tc>
        <w:tc>
          <w:tcPr>
            <w:tcW w:w="1125" w:type="dxa"/>
            <w:shd w:val="clear" w:color="auto" w:fill="D2DFED"/>
          </w:tcPr>
          <w:p>
            <w:pPr>
              <w:pStyle w:val="TableParagraph"/>
              <w:ind w:right="102"/>
              <w:rPr>
                <w:sz w:val="20"/>
              </w:rPr>
            </w:pPr>
            <w:r>
              <w:rPr>
                <w:w w:val="95"/>
                <w:sz w:val="20"/>
              </w:rPr>
              <w:t>15</w:t>
            </w:r>
          </w:p>
        </w:tc>
      </w:tr>
      <w:tr>
        <w:trPr>
          <w:trHeight w:val="300" w:hRule="atLeast"/>
        </w:trPr>
        <w:tc>
          <w:tcPr>
            <w:tcW w:w="5757" w:type="dxa"/>
          </w:tcPr>
          <w:p>
            <w:pPr>
              <w:pStyle w:val="TableParagraph"/>
              <w:ind w:left="115"/>
              <w:jc w:val="left"/>
              <w:rPr>
                <w:b/>
                <w:sz w:val="20"/>
              </w:rPr>
            </w:pPr>
            <w:r>
              <w:rPr>
                <w:b/>
                <w:sz w:val="20"/>
              </w:rPr>
              <w:t>Office of the Inspector of Custodial Services</w:t>
            </w:r>
          </w:p>
        </w:tc>
        <w:tc>
          <w:tcPr>
            <w:tcW w:w="1421" w:type="dxa"/>
          </w:tcPr>
          <w:p>
            <w:pPr>
              <w:pStyle w:val="TableParagraph"/>
              <w:ind w:right="221"/>
              <w:rPr>
                <w:sz w:val="20"/>
              </w:rPr>
            </w:pPr>
            <w:r>
              <w:rPr>
                <w:w w:val="95"/>
                <w:sz w:val="20"/>
              </w:rPr>
              <w:t>17</w:t>
            </w:r>
          </w:p>
        </w:tc>
        <w:tc>
          <w:tcPr>
            <w:tcW w:w="1310" w:type="dxa"/>
          </w:tcPr>
          <w:p>
            <w:pPr>
              <w:pStyle w:val="TableParagraph"/>
              <w:ind w:right="254"/>
              <w:rPr>
                <w:sz w:val="20"/>
              </w:rPr>
            </w:pPr>
            <w:r>
              <w:rPr>
                <w:w w:val="95"/>
                <w:sz w:val="20"/>
              </w:rPr>
              <w:t>16</w:t>
            </w:r>
          </w:p>
        </w:tc>
        <w:tc>
          <w:tcPr>
            <w:tcW w:w="1125" w:type="dxa"/>
          </w:tcPr>
          <w:p>
            <w:pPr>
              <w:pStyle w:val="TableParagraph"/>
              <w:ind w:right="102"/>
              <w:rPr>
                <w:sz w:val="20"/>
              </w:rPr>
            </w:pPr>
            <w:r>
              <w:rPr>
                <w:w w:val="95"/>
                <w:sz w:val="20"/>
              </w:rPr>
              <w:t>15</w:t>
            </w:r>
          </w:p>
        </w:tc>
      </w:tr>
      <w:tr>
        <w:trPr>
          <w:trHeight w:val="300" w:hRule="atLeast"/>
        </w:trPr>
        <w:tc>
          <w:tcPr>
            <w:tcW w:w="5757" w:type="dxa"/>
            <w:shd w:val="clear" w:color="auto" w:fill="D2DFED"/>
          </w:tcPr>
          <w:p>
            <w:pPr>
              <w:pStyle w:val="TableParagraph"/>
              <w:ind w:left="115"/>
              <w:jc w:val="left"/>
              <w:rPr>
                <w:b/>
                <w:sz w:val="20"/>
              </w:rPr>
            </w:pPr>
            <w:r>
              <w:rPr>
                <w:b/>
                <w:sz w:val="20"/>
              </w:rPr>
              <w:t>Wheatbelt Development Commission</w:t>
            </w:r>
          </w:p>
        </w:tc>
        <w:tc>
          <w:tcPr>
            <w:tcW w:w="1421" w:type="dxa"/>
            <w:shd w:val="clear" w:color="auto" w:fill="D2DFED"/>
          </w:tcPr>
          <w:p>
            <w:pPr>
              <w:pStyle w:val="TableParagraph"/>
              <w:ind w:right="221"/>
              <w:rPr>
                <w:sz w:val="20"/>
              </w:rPr>
            </w:pPr>
            <w:r>
              <w:rPr>
                <w:w w:val="95"/>
                <w:sz w:val="20"/>
              </w:rPr>
              <w:t>16</w:t>
            </w:r>
          </w:p>
        </w:tc>
        <w:tc>
          <w:tcPr>
            <w:tcW w:w="1310" w:type="dxa"/>
            <w:shd w:val="clear" w:color="auto" w:fill="D2DFED"/>
          </w:tcPr>
          <w:p>
            <w:pPr>
              <w:pStyle w:val="TableParagraph"/>
              <w:ind w:right="254"/>
              <w:rPr>
                <w:sz w:val="20"/>
              </w:rPr>
            </w:pPr>
            <w:r>
              <w:rPr>
                <w:w w:val="95"/>
                <w:sz w:val="20"/>
              </w:rPr>
              <w:t>14</w:t>
            </w:r>
          </w:p>
        </w:tc>
        <w:tc>
          <w:tcPr>
            <w:tcW w:w="1125" w:type="dxa"/>
            <w:shd w:val="clear" w:color="auto" w:fill="D2DFED"/>
          </w:tcPr>
          <w:p>
            <w:pPr>
              <w:pStyle w:val="TableParagraph"/>
              <w:ind w:right="102"/>
              <w:rPr>
                <w:sz w:val="20"/>
              </w:rPr>
            </w:pPr>
            <w:r>
              <w:rPr>
                <w:w w:val="95"/>
                <w:sz w:val="20"/>
              </w:rPr>
              <w:t>14</w:t>
            </w:r>
          </w:p>
        </w:tc>
      </w:tr>
      <w:tr>
        <w:trPr>
          <w:trHeight w:val="300" w:hRule="atLeast"/>
        </w:trPr>
        <w:tc>
          <w:tcPr>
            <w:tcW w:w="5757" w:type="dxa"/>
          </w:tcPr>
          <w:p>
            <w:pPr>
              <w:pStyle w:val="TableParagraph"/>
              <w:ind w:left="115"/>
              <w:jc w:val="left"/>
              <w:rPr>
                <w:b/>
                <w:sz w:val="20"/>
              </w:rPr>
            </w:pPr>
            <w:r>
              <w:rPr>
                <w:b/>
                <w:sz w:val="20"/>
              </w:rPr>
              <w:t>Mid West Development Commission</w:t>
            </w:r>
          </w:p>
        </w:tc>
        <w:tc>
          <w:tcPr>
            <w:tcW w:w="1421" w:type="dxa"/>
          </w:tcPr>
          <w:p>
            <w:pPr>
              <w:pStyle w:val="TableParagraph"/>
              <w:ind w:right="221"/>
              <w:rPr>
                <w:sz w:val="20"/>
              </w:rPr>
            </w:pPr>
            <w:r>
              <w:rPr>
                <w:w w:val="95"/>
                <w:sz w:val="20"/>
              </w:rPr>
              <w:t>15</w:t>
            </w:r>
          </w:p>
        </w:tc>
        <w:tc>
          <w:tcPr>
            <w:tcW w:w="1310" w:type="dxa"/>
          </w:tcPr>
          <w:p>
            <w:pPr>
              <w:pStyle w:val="TableParagraph"/>
              <w:ind w:right="254"/>
              <w:rPr>
                <w:sz w:val="20"/>
              </w:rPr>
            </w:pPr>
            <w:r>
              <w:rPr>
                <w:w w:val="95"/>
                <w:sz w:val="20"/>
              </w:rPr>
              <w:t>14</w:t>
            </w:r>
          </w:p>
        </w:tc>
        <w:tc>
          <w:tcPr>
            <w:tcW w:w="1125" w:type="dxa"/>
          </w:tcPr>
          <w:p>
            <w:pPr>
              <w:pStyle w:val="TableParagraph"/>
              <w:ind w:right="102"/>
              <w:rPr>
                <w:sz w:val="20"/>
              </w:rPr>
            </w:pPr>
            <w:r>
              <w:rPr>
                <w:w w:val="95"/>
                <w:sz w:val="20"/>
              </w:rPr>
              <w:t>14</w:t>
            </w:r>
          </w:p>
        </w:tc>
      </w:tr>
      <w:tr>
        <w:trPr>
          <w:trHeight w:val="300" w:hRule="atLeast"/>
        </w:trPr>
        <w:tc>
          <w:tcPr>
            <w:tcW w:w="5757" w:type="dxa"/>
            <w:shd w:val="clear" w:color="auto" w:fill="D2DFED"/>
          </w:tcPr>
          <w:p>
            <w:pPr>
              <w:pStyle w:val="TableParagraph"/>
              <w:ind w:left="115"/>
              <w:jc w:val="left"/>
              <w:rPr>
                <w:b/>
                <w:sz w:val="20"/>
              </w:rPr>
            </w:pPr>
            <w:r>
              <w:rPr>
                <w:b/>
                <w:sz w:val="20"/>
              </w:rPr>
              <w:t>Gascoyne Development Commission</w:t>
            </w:r>
          </w:p>
        </w:tc>
        <w:tc>
          <w:tcPr>
            <w:tcW w:w="1421" w:type="dxa"/>
            <w:shd w:val="clear" w:color="auto" w:fill="D2DFED"/>
          </w:tcPr>
          <w:p>
            <w:pPr>
              <w:pStyle w:val="TableParagraph"/>
              <w:ind w:right="221"/>
              <w:rPr>
                <w:sz w:val="20"/>
              </w:rPr>
            </w:pPr>
            <w:r>
              <w:rPr>
                <w:w w:val="95"/>
                <w:sz w:val="20"/>
              </w:rPr>
              <w:t>14</w:t>
            </w:r>
          </w:p>
        </w:tc>
        <w:tc>
          <w:tcPr>
            <w:tcW w:w="1310" w:type="dxa"/>
            <w:shd w:val="clear" w:color="auto" w:fill="D2DFED"/>
          </w:tcPr>
          <w:p>
            <w:pPr>
              <w:pStyle w:val="TableParagraph"/>
              <w:ind w:right="254"/>
              <w:rPr>
                <w:sz w:val="20"/>
              </w:rPr>
            </w:pPr>
            <w:r>
              <w:rPr>
                <w:w w:val="95"/>
                <w:sz w:val="20"/>
              </w:rPr>
              <w:t>12</w:t>
            </w:r>
          </w:p>
        </w:tc>
        <w:tc>
          <w:tcPr>
            <w:tcW w:w="1125" w:type="dxa"/>
            <w:shd w:val="clear" w:color="auto" w:fill="D2DFED"/>
          </w:tcPr>
          <w:p>
            <w:pPr>
              <w:pStyle w:val="TableParagraph"/>
              <w:ind w:right="102"/>
              <w:rPr>
                <w:sz w:val="20"/>
              </w:rPr>
            </w:pPr>
            <w:r>
              <w:rPr>
                <w:w w:val="95"/>
                <w:sz w:val="20"/>
              </w:rPr>
              <w:t>12</w:t>
            </w:r>
          </w:p>
        </w:tc>
      </w:tr>
      <w:tr>
        <w:trPr>
          <w:trHeight w:val="300" w:hRule="atLeast"/>
        </w:trPr>
        <w:tc>
          <w:tcPr>
            <w:tcW w:w="5757" w:type="dxa"/>
          </w:tcPr>
          <w:p>
            <w:pPr>
              <w:pStyle w:val="TableParagraph"/>
              <w:ind w:left="115"/>
              <w:jc w:val="left"/>
              <w:rPr>
                <w:b/>
                <w:sz w:val="20"/>
              </w:rPr>
            </w:pPr>
            <w:r>
              <w:rPr>
                <w:b/>
                <w:sz w:val="20"/>
              </w:rPr>
              <w:t>Great Southern Development Commission</w:t>
            </w:r>
          </w:p>
        </w:tc>
        <w:tc>
          <w:tcPr>
            <w:tcW w:w="1421" w:type="dxa"/>
          </w:tcPr>
          <w:p>
            <w:pPr>
              <w:pStyle w:val="TableParagraph"/>
              <w:ind w:right="221"/>
              <w:rPr>
                <w:sz w:val="20"/>
              </w:rPr>
            </w:pPr>
            <w:r>
              <w:rPr>
                <w:w w:val="95"/>
                <w:sz w:val="20"/>
              </w:rPr>
              <w:t>14</w:t>
            </w:r>
          </w:p>
        </w:tc>
        <w:tc>
          <w:tcPr>
            <w:tcW w:w="1310" w:type="dxa"/>
          </w:tcPr>
          <w:p>
            <w:pPr>
              <w:pStyle w:val="TableParagraph"/>
              <w:ind w:right="254"/>
              <w:rPr>
                <w:sz w:val="20"/>
              </w:rPr>
            </w:pPr>
            <w:r>
              <w:rPr>
                <w:w w:val="95"/>
                <w:sz w:val="20"/>
              </w:rPr>
              <w:t>13</w:t>
            </w:r>
          </w:p>
        </w:tc>
        <w:tc>
          <w:tcPr>
            <w:tcW w:w="1125" w:type="dxa"/>
          </w:tcPr>
          <w:p>
            <w:pPr>
              <w:pStyle w:val="TableParagraph"/>
              <w:ind w:right="102"/>
              <w:rPr>
                <w:sz w:val="20"/>
              </w:rPr>
            </w:pPr>
            <w:r>
              <w:rPr>
                <w:w w:val="95"/>
                <w:sz w:val="20"/>
              </w:rPr>
              <w:t>12</w:t>
            </w:r>
          </w:p>
        </w:tc>
      </w:tr>
      <w:tr>
        <w:trPr>
          <w:trHeight w:val="300" w:hRule="atLeast"/>
        </w:trPr>
        <w:tc>
          <w:tcPr>
            <w:tcW w:w="5757" w:type="dxa"/>
            <w:shd w:val="clear" w:color="auto" w:fill="D2DFED"/>
          </w:tcPr>
          <w:p>
            <w:pPr>
              <w:pStyle w:val="TableParagraph"/>
              <w:ind w:left="115"/>
              <w:jc w:val="left"/>
              <w:rPr>
                <w:b/>
                <w:sz w:val="20"/>
              </w:rPr>
            </w:pPr>
            <w:r>
              <w:rPr>
                <w:b/>
                <w:sz w:val="20"/>
              </w:rPr>
              <w:t>Kimberley Development Commission</w:t>
            </w:r>
          </w:p>
        </w:tc>
        <w:tc>
          <w:tcPr>
            <w:tcW w:w="1421" w:type="dxa"/>
            <w:shd w:val="clear" w:color="auto" w:fill="D2DFED"/>
          </w:tcPr>
          <w:p>
            <w:pPr>
              <w:pStyle w:val="TableParagraph"/>
              <w:ind w:right="221"/>
              <w:rPr>
                <w:sz w:val="20"/>
              </w:rPr>
            </w:pPr>
            <w:r>
              <w:rPr>
                <w:w w:val="95"/>
                <w:sz w:val="20"/>
              </w:rPr>
              <w:t>14</w:t>
            </w:r>
          </w:p>
        </w:tc>
        <w:tc>
          <w:tcPr>
            <w:tcW w:w="1310" w:type="dxa"/>
            <w:shd w:val="clear" w:color="auto" w:fill="D2DFED"/>
          </w:tcPr>
          <w:p>
            <w:pPr>
              <w:pStyle w:val="TableParagraph"/>
              <w:ind w:right="254"/>
              <w:rPr>
                <w:sz w:val="20"/>
              </w:rPr>
            </w:pPr>
            <w:r>
              <w:rPr>
                <w:w w:val="95"/>
                <w:sz w:val="20"/>
              </w:rPr>
              <w:t>13</w:t>
            </w:r>
          </w:p>
        </w:tc>
        <w:tc>
          <w:tcPr>
            <w:tcW w:w="1125" w:type="dxa"/>
            <w:shd w:val="clear" w:color="auto" w:fill="D2DFED"/>
          </w:tcPr>
          <w:p>
            <w:pPr>
              <w:pStyle w:val="TableParagraph"/>
              <w:ind w:right="102"/>
              <w:rPr>
                <w:sz w:val="20"/>
              </w:rPr>
            </w:pPr>
            <w:r>
              <w:rPr>
                <w:w w:val="95"/>
                <w:sz w:val="20"/>
              </w:rPr>
              <w:t>13</w:t>
            </w:r>
          </w:p>
        </w:tc>
      </w:tr>
      <w:tr>
        <w:trPr>
          <w:trHeight w:val="300" w:hRule="atLeast"/>
        </w:trPr>
        <w:tc>
          <w:tcPr>
            <w:tcW w:w="5757" w:type="dxa"/>
          </w:tcPr>
          <w:p>
            <w:pPr>
              <w:pStyle w:val="TableParagraph"/>
              <w:ind w:left="115"/>
              <w:jc w:val="left"/>
              <w:rPr>
                <w:b/>
                <w:sz w:val="20"/>
              </w:rPr>
            </w:pPr>
            <w:r>
              <w:rPr>
                <w:b/>
                <w:sz w:val="20"/>
              </w:rPr>
              <w:t>Pilbara Development Commission</w:t>
            </w:r>
          </w:p>
        </w:tc>
        <w:tc>
          <w:tcPr>
            <w:tcW w:w="1421" w:type="dxa"/>
          </w:tcPr>
          <w:p>
            <w:pPr>
              <w:pStyle w:val="TableParagraph"/>
              <w:ind w:right="221"/>
              <w:rPr>
                <w:sz w:val="20"/>
              </w:rPr>
            </w:pPr>
            <w:r>
              <w:rPr>
                <w:w w:val="95"/>
                <w:sz w:val="20"/>
              </w:rPr>
              <w:t>14</w:t>
            </w:r>
          </w:p>
        </w:tc>
        <w:tc>
          <w:tcPr>
            <w:tcW w:w="1310" w:type="dxa"/>
          </w:tcPr>
          <w:p>
            <w:pPr>
              <w:pStyle w:val="TableParagraph"/>
              <w:ind w:right="254"/>
              <w:rPr>
                <w:sz w:val="20"/>
              </w:rPr>
            </w:pPr>
            <w:r>
              <w:rPr>
                <w:w w:val="95"/>
                <w:sz w:val="20"/>
              </w:rPr>
              <w:t>12</w:t>
            </w:r>
          </w:p>
        </w:tc>
        <w:tc>
          <w:tcPr>
            <w:tcW w:w="1125" w:type="dxa"/>
          </w:tcPr>
          <w:p>
            <w:pPr>
              <w:pStyle w:val="TableParagraph"/>
              <w:ind w:right="102"/>
              <w:rPr>
                <w:sz w:val="20"/>
              </w:rPr>
            </w:pPr>
            <w:r>
              <w:rPr>
                <w:w w:val="95"/>
                <w:sz w:val="20"/>
              </w:rPr>
              <w:t>12</w:t>
            </w:r>
          </w:p>
        </w:tc>
      </w:tr>
      <w:tr>
        <w:trPr>
          <w:trHeight w:val="300" w:hRule="atLeast"/>
        </w:trPr>
        <w:tc>
          <w:tcPr>
            <w:tcW w:w="5757" w:type="dxa"/>
            <w:shd w:val="clear" w:color="auto" w:fill="D2DFED"/>
          </w:tcPr>
          <w:p>
            <w:pPr>
              <w:pStyle w:val="TableParagraph"/>
              <w:ind w:left="115"/>
              <w:jc w:val="left"/>
              <w:rPr>
                <w:b/>
                <w:sz w:val="20"/>
              </w:rPr>
            </w:pPr>
            <w:r>
              <w:rPr>
                <w:b/>
                <w:sz w:val="20"/>
              </w:rPr>
              <w:t>Goldfields-Esperance Development Commission</w:t>
            </w:r>
          </w:p>
        </w:tc>
        <w:tc>
          <w:tcPr>
            <w:tcW w:w="1421" w:type="dxa"/>
            <w:shd w:val="clear" w:color="auto" w:fill="D2DFED"/>
          </w:tcPr>
          <w:p>
            <w:pPr>
              <w:pStyle w:val="TableParagraph"/>
              <w:ind w:right="221"/>
              <w:rPr>
                <w:sz w:val="20"/>
              </w:rPr>
            </w:pPr>
            <w:r>
              <w:rPr>
                <w:w w:val="95"/>
                <w:sz w:val="20"/>
              </w:rPr>
              <w:t>13</w:t>
            </w:r>
          </w:p>
        </w:tc>
        <w:tc>
          <w:tcPr>
            <w:tcW w:w="1310" w:type="dxa"/>
            <w:shd w:val="clear" w:color="auto" w:fill="D2DFED"/>
          </w:tcPr>
          <w:p>
            <w:pPr>
              <w:pStyle w:val="TableParagraph"/>
              <w:ind w:right="254"/>
              <w:rPr>
                <w:sz w:val="20"/>
              </w:rPr>
            </w:pPr>
            <w:r>
              <w:rPr>
                <w:w w:val="95"/>
                <w:sz w:val="20"/>
              </w:rPr>
              <w:t>11</w:t>
            </w:r>
          </w:p>
        </w:tc>
        <w:tc>
          <w:tcPr>
            <w:tcW w:w="1125" w:type="dxa"/>
            <w:shd w:val="clear" w:color="auto" w:fill="D2DFED"/>
          </w:tcPr>
          <w:p>
            <w:pPr>
              <w:pStyle w:val="TableParagraph"/>
              <w:ind w:right="102"/>
              <w:rPr>
                <w:sz w:val="20"/>
              </w:rPr>
            </w:pPr>
            <w:r>
              <w:rPr>
                <w:w w:val="95"/>
                <w:sz w:val="20"/>
              </w:rPr>
              <w:t>11</w:t>
            </w:r>
          </w:p>
        </w:tc>
      </w:tr>
      <w:tr>
        <w:trPr>
          <w:trHeight w:val="300" w:hRule="atLeast"/>
        </w:trPr>
        <w:tc>
          <w:tcPr>
            <w:tcW w:w="5757" w:type="dxa"/>
          </w:tcPr>
          <w:p>
            <w:pPr>
              <w:pStyle w:val="TableParagraph"/>
              <w:ind w:left="115"/>
              <w:jc w:val="left"/>
              <w:rPr>
                <w:b/>
                <w:sz w:val="20"/>
              </w:rPr>
            </w:pPr>
            <w:r>
              <w:rPr>
                <w:b/>
                <w:sz w:val="20"/>
              </w:rPr>
              <w:t>Peel Development Commission</w:t>
            </w:r>
          </w:p>
        </w:tc>
        <w:tc>
          <w:tcPr>
            <w:tcW w:w="1421" w:type="dxa"/>
          </w:tcPr>
          <w:p>
            <w:pPr>
              <w:pStyle w:val="TableParagraph"/>
              <w:ind w:right="221"/>
              <w:rPr>
                <w:sz w:val="20"/>
              </w:rPr>
            </w:pPr>
            <w:r>
              <w:rPr>
                <w:w w:val="95"/>
                <w:sz w:val="20"/>
              </w:rPr>
              <w:t>12</w:t>
            </w:r>
          </w:p>
        </w:tc>
        <w:tc>
          <w:tcPr>
            <w:tcW w:w="1310" w:type="dxa"/>
          </w:tcPr>
          <w:p>
            <w:pPr>
              <w:pStyle w:val="TableParagraph"/>
              <w:ind w:right="254"/>
              <w:rPr>
                <w:sz w:val="20"/>
              </w:rPr>
            </w:pPr>
            <w:r>
              <w:rPr>
                <w:w w:val="95"/>
                <w:sz w:val="20"/>
              </w:rPr>
              <w:t>10</w:t>
            </w:r>
          </w:p>
        </w:tc>
        <w:tc>
          <w:tcPr>
            <w:tcW w:w="1125" w:type="dxa"/>
          </w:tcPr>
          <w:p>
            <w:pPr>
              <w:pStyle w:val="TableParagraph"/>
              <w:ind w:right="102"/>
              <w:rPr>
                <w:sz w:val="20"/>
              </w:rPr>
            </w:pPr>
            <w:r>
              <w:rPr>
                <w:w w:val="95"/>
                <w:sz w:val="20"/>
              </w:rPr>
              <w:t>11</w:t>
            </w:r>
          </w:p>
        </w:tc>
      </w:tr>
      <w:tr>
        <w:trPr>
          <w:trHeight w:val="300" w:hRule="atLeast"/>
        </w:trPr>
        <w:tc>
          <w:tcPr>
            <w:tcW w:w="5757" w:type="dxa"/>
            <w:shd w:val="clear" w:color="auto" w:fill="D2DFED"/>
          </w:tcPr>
          <w:p>
            <w:pPr>
              <w:pStyle w:val="TableParagraph"/>
              <w:spacing w:before="26"/>
              <w:ind w:left="115"/>
              <w:jc w:val="left"/>
              <w:rPr>
                <w:b/>
                <w:sz w:val="20"/>
              </w:rPr>
            </w:pPr>
            <w:r>
              <w:rPr>
                <w:b/>
                <w:sz w:val="20"/>
              </w:rPr>
              <w:t>Office of the Information Commissioner</w:t>
            </w:r>
          </w:p>
        </w:tc>
        <w:tc>
          <w:tcPr>
            <w:tcW w:w="1421" w:type="dxa"/>
            <w:shd w:val="clear" w:color="auto" w:fill="D2DFED"/>
          </w:tcPr>
          <w:p>
            <w:pPr>
              <w:pStyle w:val="TableParagraph"/>
              <w:spacing w:before="26"/>
              <w:ind w:right="221"/>
              <w:rPr>
                <w:sz w:val="20"/>
              </w:rPr>
            </w:pPr>
            <w:r>
              <w:rPr>
                <w:w w:val="95"/>
                <w:sz w:val="20"/>
              </w:rPr>
              <w:t>10</w:t>
            </w:r>
          </w:p>
        </w:tc>
        <w:tc>
          <w:tcPr>
            <w:tcW w:w="1310" w:type="dxa"/>
            <w:shd w:val="clear" w:color="auto" w:fill="D2DFED"/>
          </w:tcPr>
          <w:p>
            <w:pPr>
              <w:pStyle w:val="TableParagraph"/>
              <w:spacing w:before="26"/>
              <w:ind w:right="254"/>
              <w:rPr>
                <w:sz w:val="20"/>
              </w:rPr>
            </w:pPr>
            <w:r>
              <w:rPr>
                <w:w w:val="95"/>
                <w:sz w:val="20"/>
              </w:rPr>
              <w:t>10</w:t>
            </w:r>
          </w:p>
        </w:tc>
        <w:tc>
          <w:tcPr>
            <w:tcW w:w="1125" w:type="dxa"/>
            <w:shd w:val="clear" w:color="auto" w:fill="D2DFED"/>
          </w:tcPr>
          <w:p>
            <w:pPr>
              <w:pStyle w:val="TableParagraph"/>
              <w:spacing w:before="26"/>
              <w:ind w:right="102"/>
              <w:rPr>
                <w:sz w:val="20"/>
              </w:rPr>
            </w:pPr>
            <w:r>
              <w:rPr>
                <w:w w:val="95"/>
                <w:sz w:val="20"/>
              </w:rPr>
              <w:t>10</w:t>
            </w:r>
          </w:p>
        </w:tc>
      </w:tr>
      <w:tr>
        <w:trPr>
          <w:trHeight w:val="299" w:hRule="atLeast"/>
        </w:trPr>
        <w:tc>
          <w:tcPr>
            <w:tcW w:w="5757" w:type="dxa"/>
          </w:tcPr>
          <w:p>
            <w:pPr>
              <w:pStyle w:val="TableParagraph"/>
              <w:ind w:left="115"/>
              <w:jc w:val="left"/>
              <w:rPr>
                <w:b/>
                <w:sz w:val="20"/>
              </w:rPr>
            </w:pPr>
            <w:r>
              <w:rPr>
                <w:b/>
                <w:sz w:val="20"/>
              </w:rPr>
              <w:t>Law Reform Commission of Western Australia</w:t>
            </w:r>
          </w:p>
        </w:tc>
        <w:tc>
          <w:tcPr>
            <w:tcW w:w="1421" w:type="dxa"/>
          </w:tcPr>
          <w:p>
            <w:pPr>
              <w:pStyle w:val="TableParagraph"/>
              <w:ind w:right="221"/>
              <w:rPr>
                <w:sz w:val="20"/>
              </w:rPr>
            </w:pPr>
            <w:r>
              <w:rPr>
                <w:w w:val="99"/>
                <w:sz w:val="20"/>
              </w:rPr>
              <w:t>6</w:t>
            </w:r>
          </w:p>
        </w:tc>
        <w:tc>
          <w:tcPr>
            <w:tcW w:w="1310" w:type="dxa"/>
          </w:tcPr>
          <w:p>
            <w:pPr>
              <w:pStyle w:val="TableParagraph"/>
              <w:ind w:right="254"/>
              <w:rPr>
                <w:sz w:val="20"/>
              </w:rPr>
            </w:pPr>
            <w:r>
              <w:rPr>
                <w:w w:val="99"/>
                <w:sz w:val="20"/>
              </w:rPr>
              <w:t>2</w:t>
            </w:r>
          </w:p>
        </w:tc>
        <w:tc>
          <w:tcPr>
            <w:tcW w:w="1125" w:type="dxa"/>
          </w:tcPr>
          <w:p>
            <w:pPr>
              <w:pStyle w:val="TableParagraph"/>
              <w:ind w:right="102"/>
              <w:rPr>
                <w:sz w:val="20"/>
              </w:rPr>
            </w:pPr>
            <w:r>
              <w:rPr>
                <w:w w:val="99"/>
                <w:sz w:val="20"/>
              </w:rPr>
              <w:t>3</w:t>
            </w:r>
          </w:p>
        </w:tc>
      </w:tr>
      <w:tr>
        <w:trPr>
          <w:trHeight w:val="313" w:hRule="atLeast"/>
        </w:trPr>
        <w:tc>
          <w:tcPr>
            <w:tcW w:w="5757" w:type="dxa"/>
            <w:tcBorders>
              <w:bottom w:val="single" w:sz="8" w:space="0" w:color="4F81BC"/>
            </w:tcBorders>
            <w:shd w:val="clear" w:color="auto" w:fill="D2DFED"/>
          </w:tcPr>
          <w:p>
            <w:pPr>
              <w:pStyle w:val="TableParagraph"/>
              <w:spacing w:before="32"/>
              <w:ind w:left="115"/>
              <w:jc w:val="left"/>
              <w:rPr>
                <w:b/>
                <w:sz w:val="20"/>
              </w:rPr>
            </w:pPr>
            <w:r>
              <w:rPr>
                <w:b/>
                <w:sz w:val="20"/>
              </w:rPr>
              <w:t>Salaries and Allowances Tribunal</w:t>
            </w:r>
          </w:p>
        </w:tc>
        <w:tc>
          <w:tcPr>
            <w:tcW w:w="1421" w:type="dxa"/>
            <w:tcBorders>
              <w:bottom w:val="single" w:sz="8" w:space="0" w:color="4F81BC"/>
            </w:tcBorders>
            <w:shd w:val="clear" w:color="auto" w:fill="D2DFED"/>
          </w:tcPr>
          <w:p>
            <w:pPr>
              <w:pStyle w:val="TableParagraph"/>
              <w:spacing w:before="32"/>
              <w:ind w:right="221"/>
              <w:rPr>
                <w:sz w:val="20"/>
              </w:rPr>
            </w:pPr>
            <w:r>
              <w:rPr>
                <w:w w:val="99"/>
                <w:sz w:val="20"/>
              </w:rPr>
              <w:t>2</w:t>
            </w:r>
          </w:p>
        </w:tc>
        <w:tc>
          <w:tcPr>
            <w:tcW w:w="1310" w:type="dxa"/>
            <w:tcBorders>
              <w:bottom w:val="single" w:sz="8" w:space="0" w:color="4F81BC"/>
            </w:tcBorders>
            <w:shd w:val="clear" w:color="auto" w:fill="D2DFED"/>
          </w:tcPr>
          <w:p>
            <w:pPr>
              <w:pStyle w:val="TableParagraph"/>
              <w:spacing w:before="32"/>
              <w:ind w:right="254"/>
              <w:rPr>
                <w:sz w:val="20"/>
              </w:rPr>
            </w:pPr>
            <w:r>
              <w:rPr>
                <w:w w:val="99"/>
                <w:sz w:val="20"/>
              </w:rPr>
              <w:t>2</w:t>
            </w:r>
          </w:p>
        </w:tc>
        <w:tc>
          <w:tcPr>
            <w:tcW w:w="1125" w:type="dxa"/>
            <w:tcBorders>
              <w:bottom w:val="single" w:sz="8" w:space="0" w:color="4F81BC"/>
            </w:tcBorders>
            <w:shd w:val="clear" w:color="auto" w:fill="D2DFED"/>
          </w:tcPr>
          <w:p>
            <w:pPr>
              <w:pStyle w:val="TableParagraph"/>
              <w:spacing w:before="32"/>
              <w:ind w:right="102"/>
              <w:rPr>
                <w:sz w:val="20"/>
              </w:rPr>
            </w:pPr>
            <w:r>
              <w:rPr>
                <w:w w:val="99"/>
                <w:sz w:val="20"/>
              </w:rPr>
              <w:t>2</w:t>
            </w:r>
          </w:p>
        </w:tc>
      </w:tr>
      <w:tr>
        <w:trPr>
          <w:trHeight w:val="284" w:hRule="atLeast"/>
        </w:trPr>
        <w:tc>
          <w:tcPr>
            <w:tcW w:w="5757" w:type="dxa"/>
            <w:tcBorders>
              <w:top w:val="single" w:sz="8" w:space="0" w:color="4F81BC"/>
              <w:bottom w:val="single" w:sz="8" w:space="0" w:color="4F81BC"/>
            </w:tcBorders>
          </w:tcPr>
          <w:p>
            <w:pPr>
              <w:pStyle w:val="TableParagraph"/>
              <w:spacing w:before="20"/>
              <w:ind w:left="115"/>
              <w:jc w:val="left"/>
              <w:rPr>
                <w:b/>
                <w:i/>
                <w:sz w:val="20"/>
              </w:rPr>
            </w:pPr>
            <w:r>
              <w:rPr>
                <w:b/>
                <w:i/>
                <w:sz w:val="20"/>
              </w:rPr>
              <w:t>TOTAL</w:t>
            </w:r>
            <w:r>
              <w:rPr>
                <w:b/>
                <w:i/>
                <w:sz w:val="20"/>
                <w:vertAlign w:val="superscript"/>
              </w:rPr>
              <w:t>5</w:t>
            </w:r>
          </w:p>
        </w:tc>
        <w:tc>
          <w:tcPr>
            <w:tcW w:w="1421" w:type="dxa"/>
            <w:tcBorders>
              <w:top w:val="single" w:sz="8" w:space="0" w:color="4F81BC"/>
              <w:bottom w:val="single" w:sz="8" w:space="0" w:color="4F81BC"/>
            </w:tcBorders>
          </w:tcPr>
          <w:p>
            <w:pPr>
              <w:pStyle w:val="TableParagraph"/>
              <w:spacing w:line="259" w:lineRule="exact" w:before="6"/>
              <w:ind w:right="221"/>
              <w:rPr>
                <w:b/>
                <w:sz w:val="22"/>
              </w:rPr>
            </w:pPr>
            <w:r>
              <w:rPr>
                <w:b/>
                <w:sz w:val="22"/>
              </w:rPr>
              <w:t>134,299</w:t>
            </w:r>
          </w:p>
        </w:tc>
        <w:tc>
          <w:tcPr>
            <w:tcW w:w="1310" w:type="dxa"/>
            <w:tcBorders>
              <w:top w:val="single" w:sz="8" w:space="0" w:color="4F81BC"/>
              <w:bottom w:val="single" w:sz="8" w:space="0" w:color="4F81BC"/>
            </w:tcBorders>
          </w:tcPr>
          <w:p>
            <w:pPr>
              <w:pStyle w:val="TableParagraph"/>
              <w:spacing w:line="259" w:lineRule="exact" w:before="6"/>
              <w:ind w:right="253"/>
              <w:rPr>
                <w:b/>
                <w:sz w:val="22"/>
              </w:rPr>
            </w:pPr>
            <w:r>
              <w:rPr>
                <w:b/>
                <w:sz w:val="22"/>
              </w:rPr>
              <w:t>104,018</w:t>
            </w:r>
          </w:p>
        </w:tc>
        <w:tc>
          <w:tcPr>
            <w:tcW w:w="1125" w:type="dxa"/>
            <w:tcBorders>
              <w:top w:val="single" w:sz="8" w:space="0" w:color="4F81BC"/>
              <w:bottom w:val="single" w:sz="8" w:space="0" w:color="4F81BC"/>
            </w:tcBorders>
          </w:tcPr>
          <w:p>
            <w:pPr>
              <w:pStyle w:val="TableParagraph"/>
              <w:spacing w:line="259" w:lineRule="exact" w:before="6"/>
              <w:ind w:right="101"/>
              <w:rPr>
                <w:b/>
                <w:sz w:val="22"/>
              </w:rPr>
            </w:pPr>
            <w:r>
              <w:rPr>
                <w:b/>
                <w:sz w:val="22"/>
              </w:rPr>
              <w:t>104,695</w:t>
            </w:r>
          </w:p>
        </w:tc>
      </w:tr>
    </w:tbl>
    <w:p>
      <w:pPr>
        <w:spacing w:line="240" w:lineRule="auto" w:before="0"/>
        <w:rPr>
          <w:sz w:val="20"/>
        </w:rPr>
      </w:pPr>
    </w:p>
    <w:p>
      <w:pPr>
        <w:spacing w:line="240" w:lineRule="auto" w:before="7"/>
        <w:rPr>
          <w:sz w:val="17"/>
        </w:rPr>
      </w:pPr>
    </w:p>
    <w:p>
      <w:pPr>
        <w:pStyle w:val="BodyText"/>
        <w:spacing w:before="56"/>
        <w:ind w:left="597"/>
      </w:pPr>
      <w:r>
        <w:rPr>
          <w:color w:val="933634"/>
        </w:rPr>
        <w:t>Table 2: Agencies that are subject to an FTE Ceiling, but do not provide HRMOIR data</w:t>
      </w:r>
    </w:p>
    <w:p>
      <w:pPr>
        <w:spacing w:line="240" w:lineRule="auto" w:before="3"/>
        <w:rPr>
          <w:sz w:val="24"/>
        </w:rPr>
      </w:pPr>
    </w:p>
    <w:p>
      <w:pPr>
        <w:spacing w:before="0"/>
        <w:ind w:left="597" w:right="0" w:firstLine="0"/>
        <w:jc w:val="left"/>
        <w:rPr>
          <w:sz w:val="24"/>
        </w:rPr>
      </w:pPr>
      <w:r>
        <w:rPr>
          <w:sz w:val="24"/>
        </w:rPr>
        <w:t>The FTE Ceilings for these agencies are taken to be their FTE levels for each quarter.</w:t>
      </w: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74"/>
        <w:gridCol w:w="2242"/>
      </w:tblGrid>
      <w:tr>
        <w:trPr>
          <w:trHeight w:val="488" w:hRule="atLeast"/>
        </w:trPr>
        <w:tc>
          <w:tcPr>
            <w:tcW w:w="7374" w:type="dxa"/>
            <w:tcBorders>
              <w:top w:val="single" w:sz="8" w:space="0" w:color="4F81BC"/>
              <w:bottom w:val="single" w:sz="8" w:space="0" w:color="4F81BC"/>
            </w:tcBorders>
          </w:tcPr>
          <w:p>
            <w:pPr>
              <w:pStyle w:val="TableParagraph"/>
              <w:spacing w:before="0"/>
              <w:jc w:val="left"/>
              <w:rPr>
                <w:rFonts w:ascii="Times New Roman"/>
                <w:sz w:val="18"/>
              </w:rPr>
            </w:pPr>
          </w:p>
        </w:tc>
        <w:tc>
          <w:tcPr>
            <w:tcW w:w="2242" w:type="dxa"/>
            <w:tcBorders>
              <w:top w:val="single" w:sz="8" w:space="0" w:color="4F81BC"/>
              <w:bottom w:val="single" w:sz="8" w:space="0" w:color="4F81BC"/>
            </w:tcBorders>
          </w:tcPr>
          <w:p>
            <w:pPr>
              <w:pStyle w:val="TableParagraph"/>
              <w:spacing w:line="243" w:lineRule="exact" w:before="0"/>
              <w:ind w:left="1452"/>
              <w:jc w:val="left"/>
              <w:rPr>
                <w:b/>
                <w:sz w:val="20"/>
              </w:rPr>
            </w:pPr>
            <w:r>
              <w:rPr>
                <w:b/>
                <w:sz w:val="20"/>
              </w:rPr>
              <w:t>Average</w:t>
            </w:r>
          </w:p>
          <w:p>
            <w:pPr>
              <w:pStyle w:val="TableParagraph"/>
              <w:spacing w:line="225" w:lineRule="exact" w:before="0"/>
              <w:ind w:left="1435"/>
              <w:jc w:val="left"/>
              <w:rPr>
                <w:b/>
                <w:sz w:val="20"/>
              </w:rPr>
            </w:pPr>
            <w:r>
              <w:rPr>
                <w:b/>
                <w:sz w:val="20"/>
              </w:rPr>
              <w:t>Paid</w:t>
            </w:r>
            <w:r>
              <w:rPr>
                <w:b/>
                <w:spacing w:val="-5"/>
                <w:sz w:val="20"/>
              </w:rPr>
              <w:t> </w:t>
            </w:r>
            <w:r>
              <w:rPr>
                <w:b/>
                <w:sz w:val="20"/>
              </w:rPr>
              <w:t>FTE</w:t>
            </w:r>
          </w:p>
        </w:tc>
      </w:tr>
      <w:tr>
        <w:trPr>
          <w:trHeight w:val="285" w:hRule="atLeast"/>
        </w:trPr>
        <w:tc>
          <w:tcPr>
            <w:tcW w:w="7374" w:type="dxa"/>
            <w:tcBorders>
              <w:top w:val="single" w:sz="8" w:space="0" w:color="4F81BC"/>
            </w:tcBorders>
            <w:shd w:val="clear" w:color="auto" w:fill="D2DFED"/>
          </w:tcPr>
          <w:p>
            <w:pPr>
              <w:pStyle w:val="TableParagraph"/>
              <w:spacing w:line="243" w:lineRule="exact" w:before="0"/>
              <w:ind w:left="115"/>
              <w:jc w:val="left"/>
              <w:rPr>
                <w:b/>
                <w:sz w:val="20"/>
              </w:rPr>
            </w:pPr>
            <w:r>
              <w:rPr>
                <w:b/>
                <w:sz w:val="20"/>
              </w:rPr>
              <w:t>Parliamentary Services</w:t>
            </w:r>
          </w:p>
        </w:tc>
        <w:tc>
          <w:tcPr>
            <w:tcW w:w="2242" w:type="dxa"/>
            <w:tcBorders>
              <w:top w:val="single" w:sz="8" w:space="0" w:color="4F81BC"/>
            </w:tcBorders>
            <w:shd w:val="clear" w:color="auto" w:fill="D2DFED"/>
          </w:tcPr>
          <w:p>
            <w:pPr>
              <w:pStyle w:val="TableParagraph"/>
              <w:spacing w:before="20"/>
              <w:ind w:right="110"/>
              <w:rPr>
                <w:sz w:val="20"/>
              </w:rPr>
            </w:pPr>
            <w:r>
              <w:rPr>
                <w:w w:val="95"/>
                <w:sz w:val="20"/>
              </w:rPr>
              <w:t>103</w:t>
            </w:r>
          </w:p>
        </w:tc>
      </w:tr>
      <w:tr>
        <w:trPr>
          <w:trHeight w:val="286" w:hRule="atLeast"/>
        </w:trPr>
        <w:tc>
          <w:tcPr>
            <w:tcW w:w="7374" w:type="dxa"/>
          </w:tcPr>
          <w:p>
            <w:pPr>
              <w:pStyle w:val="TableParagraph"/>
              <w:spacing w:line="244" w:lineRule="exact" w:before="0"/>
              <w:ind w:left="115"/>
              <w:jc w:val="left"/>
              <w:rPr>
                <w:b/>
                <w:sz w:val="20"/>
              </w:rPr>
            </w:pPr>
            <w:r>
              <w:rPr>
                <w:b/>
                <w:sz w:val="20"/>
              </w:rPr>
              <w:t>Governor’s Establishment</w:t>
            </w:r>
          </w:p>
        </w:tc>
        <w:tc>
          <w:tcPr>
            <w:tcW w:w="2242" w:type="dxa"/>
          </w:tcPr>
          <w:p>
            <w:pPr>
              <w:pStyle w:val="TableParagraph"/>
              <w:spacing w:before="21"/>
              <w:ind w:right="107"/>
              <w:rPr>
                <w:sz w:val="20"/>
              </w:rPr>
            </w:pPr>
            <w:r>
              <w:rPr>
                <w:sz w:val="20"/>
              </w:rPr>
              <w:t>33</w:t>
            </w:r>
          </w:p>
        </w:tc>
      </w:tr>
      <w:tr>
        <w:trPr>
          <w:trHeight w:val="283" w:hRule="atLeast"/>
        </w:trPr>
        <w:tc>
          <w:tcPr>
            <w:tcW w:w="7374" w:type="dxa"/>
            <w:shd w:val="clear" w:color="auto" w:fill="D2DFED"/>
          </w:tcPr>
          <w:p>
            <w:pPr>
              <w:pStyle w:val="TableParagraph"/>
              <w:spacing w:line="243" w:lineRule="exact" w:before="0"/>
              <w:ind w:left="115"/>
              <w:jc w:val="left"/>
              <w:rPr>
                <w:b/>
                <w:sz w:val="20"/>
              </w:rPr>
            </w:pPr>
            <w:r>
              <w:rPr>
                <w:b/>
                <w:sz w:val="20"/>
              </w:rPr>
              <w:t>Legislative Assembly</w:t>
            </w:r>
          </w:p>
        </w:tc>
        <w:tc>
          <w:tcPr>
            <w:tcW w:w="2242" w:type="dxa"/>
            <w:shd w:val="clear" w:color="auto" w:fill="D2DFED"/>
          </w:tcPr>
          <w:p>
            <w:pPr>
              <w:pStyle w:val="TableParagraph"/>
              <w:spacing w:before="18"/>
              <w:ind w:right="108"/>
              <w:rPr>
                <w:sz w:val="20"/>
              </w:rPr>
            </w:pPr>
            <w:r>
              <w:rPr>
                <w:w w:val="95"/>
                <w:sz w:val="20"/>
              </w:rPr>
              <w:t>32</w:t>
            </w:r>
          </w:p>
        </w:tc>
      </w:tr>
      <w:tr>
        <w:trPr>
          <w:trHeight w:val="285" w:hRule="atLeast"/>
        </w:trPr>
        <w:tc>
          <w:tcPr>
            <w:tcW w:w="7374" w:type="dxa"/>
          </w:tcPr>
          <w:p>
            <w:pPr>
              <w:pStyle w:val="TableParagraph"/>
              <w:spacing w:line="243" w:lineRule="exact" w:before="0"/>
              <w:ind w:left="115"/>
              <w:jc w:val="left"/>
              <w:rPr>
                <w:b/>
                <w:sz w:val="20"/>
              </w:rPr>
            </w:pPr>
            <w:r>
              <w:rPr>
                <w:b/>
                <w:sz w:val="20"/>
              </w:rPr>
              <w:t>Legislative Council</w:t>
            </w:r>
          </w:p>
        </w:tc>
        <w:tc>
          <w:tcPr>
            <w:tcW w:w="2242" w:type="dxa"/>
          </w:tcPr>
          <w:p>
            <w:pPr>
              <w:pStyle w:val="TableParagraph"/>
              <w:spacing w:before="20"/>
              <w:ind w:right="108"/>
              <w:rPr>
                <w:sz w:val="20"/>
              </w:rPr>
            </w:pPr>
            <w:r>
              <w:rPr>
                <w:w w:val="95"/>
                <w:sz w:val="20"/>
              </w:rPr>
              <w:t>28</w:t>
            </w:r>
          </w:p>
        </w:tc>
      </w:tr>
      <w:tr>
        <w:trPr>
          <w:trHeight w:val="285" w:hRule="atLeast"/>
        </w:trPr>
        <w:tc>
          <w:tcPr>
            <w:tcW w:w="7374" w:type="dxa"/>
            <w:tcBorders>
              <w:bottom w:val="single" w:sz="8" w:space="0" w:color="4F81BC"/>
            </w:tcBorders>
            <w:shd w:val="clear" w:color="auto" w:fill="D2DFED"/>
          </w:tcPr>
          <w:p>
            <w:pPr>
              <w:pStyle w:val="TableParagraph"/>
              <w:spacing w:line="243" w:lineRule="exact" w:before="0"/>
              <w:ind w:left="115"/>
              <w:jc w:val="left"/>
              <w:rPr>
                <w:b/>
                <w:sz w:val="20"/>
              </w:rPr>
            </w:pPr>
            <w:r>
              <w:rPr>
                <w:b/>
                <w:sz w:val="20"/>
              </w:rPr>
              <w:t>Parliamentary Inspector of the Corruption and Crime Commission</w:t>
            </w:r>
          </w:p>
        </w:tc>
        <w:tc>
          <w:tcPr>
            <w:tcW w:w="2242" w:type="dxa"/>
            <w:tcBorders>
              <w:bottom w:val="single" w:sz="8" w:space="0" w:color="4F81BC"/>
            </w:tcBorders>
            <w:shd w:val="clear" w:color="auto" w:fill="D2DFED"/>
          </w:tcPr>
          <w:p>
            <w:pPr>
              <w:pStyle w:val="TableParagraph"/>
              <w:spacing w:before="20"/>
              <w:ind w:right="107"/>
              <w:rPr>
                <w:sz w:val="20"/>
              </w:rPr>
            </w:pPr>
            <w:r>
              <w:rPr>
                <w:w w:val="99"/>
                <w:sz w:val="20"/>
              </w:rPr>
              <w:t>2</w:t>
            </w:r>
          </w:p>
        </w:tc>
      </w:tr>
      <w:tr>
        <w:trPr>
          <w:trHeight w:val="284" w:hRule="atLeast"/>
        </w:trPr>
        <w:tc>
          <w:tcPr>
            <w:tcW w:w="7374" w:type="dxa"/>
            <w:tcBorders>
              <w:top w:val="single" w:sz="8" w:space="0" w:color="4F81BC"/>
              <w:bottom w:val="single" w:sz="8" w:space="0" w:color="4F81BC"/>
            </w:tcBorders>
          </w:tcPr>
          <w:p>
            <w:pPr>
              <w:pStyle w:val="TableParagraph"/>
              <w:spacing w:line="243" w:lineRule="exact" w:before="0"/>
              <w:ind w:left="115"/>
              <w:jc w:val="left"/>
              <w:rPr>
                <w:b/>
                <w:i/>
                <w:sz w:val="20"/>
              </w:rPr>
            </w:pPr>
            <w:r>
              <w:rPr>
                <w:b/>
                <w:i/>
                <w:sz w:val="20"/>
              </w:rPr>
              <w:t>TOTAL</w:t>
            </w:r>
          </w:p>
        </w:tc>
        <w:tc>
          <w:tcPr>
            <w:tcW w:w="2242" w:type="dxa"/>
            <w:tcBorders>
              <w:top w:val="single" w:sz="8" w:space="0" w:color="4F81BC"/>
              <w:bottom w:val="single" w:sz="8" w:space="0" w:color="4F81BC"/>
            </w:tcBorders>
          </w:tcPr>
          <w:p>
            <w:pPr>
              <w:pStyle w:val="TableParagraph"/>
              <w:spacing w:line="243" w:lineRule="exact" w:before="0"/>
              <w:ind w:right="110"/>
              <w:rPr>
                <w:b/>
                <w:sz w:val="20"/>
              </w:rPr>
            </w:pPr>
            <w:r>
              <w:rPr>
                <w:b/>
                <w:w w:val="95"/>
                <w:sz w:val="20"/>
              </w:rPr>
              <w:t>198</w:t>
            </w:r>
          </w:p>
        </w:tc>
      </w:tr>
    </w:tbl>
    <w:p>
      <w:pPr>
        <w:spacing w:line="240" w:lineRule="auto" w:before="0"/>
        <w:rPr>
          <w:sz w:val="20"/>
        </w:rPr>
      </w:pPr>
    </w:p>
    <w:p>
      <w:pPr>
        <w:spacing w:line="240" w:lineRule="auto" w:before="0"/>
        <w:rPr>
          <w:sz w:val="22"/>
        </w:rPr>
      </w:pPr>
      <w:r>
        <w:rPr/>
        <w:pict>
          <v:group style="position:absolute;margin-left:62.424pt;margin-top:15.392989pt;width:486.1pt;height:1.45pt;mso-position-horizontal-relative:page;mso-position-vertical-relative:paragraph;z-index:-251657216;mso-wrap-distance-left:0;mso-wrap-distance-right:0" coordorigin="1248,308" coordsize="9722,29">
            <v:line style="position:absolute" from="1248,313" to="10970,313" stroked="true" strokeweight=".47998pt" strokecolor="#000000">
              <v:stroke dashstyle="solid"/>
            </v:line>
            <v:line style="position:absolute" from="1248,332" to="10970,332" stroked="true" strokeweight=".47998pt" strokecolor="#000000">
              <v:stroke dashstyle="solid"/>
            </v:line>
            <w10:wrap type="topAndBottom"/>
          </v:group>
        </w:pict>
      </w:r>
    </w:p>
    <w:p>
      <w:pPr>
        <w:tabs>
          <w:tab w:pos="9239" w:val="left" w:leader="none"/>
        </w:tabs>
        <w:spacing w:before="0" w:after="3"/>
        <w:ind w:left="597" w:right="0" w:firstLine="0"/>
        <w:jc w:val="left"/>
        <w:rPr>
          <w:b/>
          <w:sz w:val="24"/>
        </w:rPr>
      </w:pPr>
      <w:r>
        <w:rPr>
          <w:b/>
          <w:sz w:val="24"/>
        </w:rPr>
        <w:t>Average Paid FTE for agencies subject to the</w:t>
      </w:r>
      <w:r>
        <w:rPr>
          <w:b/>
          <w:spacing w:val="-14"/>
          <w:sz w:val="24"/>
        </w:rPr>
        <w:t> </w:t>
      </w:r>
      <w:r>
        <w:rPr>
          <w:b/>
          <w:sz w:val="24"/>
        </w:rPr>
        <w:t>FTE</w:t>
      </w:r>
      <w:r>
        <w:rPr>
          <w:b/>
          <w:spacing w:val="-4"/>
          <w:sz w:val="24"/>
        </w:rPr>
        <w:t> </w:t>
      </w:r>
      <w:r>
        <w:rPr>
          <w:b/>
          <w:sz w:val="24"/>
        </w:rPr>
        <w:t>Ceiling</w:t>
      </w:r>
      <w:r>
        <w:rPr>
          <w:b/>
          <w:sz w:val="24"/>
          <w:vertAlign w:val="superscript"/>
        </w:rPr>
        <w:t>6</w:t>
      </w:r>
      <w:r>
        <w:rPr>
          <w:b/>
          <w:sz w:val="24"/>
          <w:vertAlign w:val="baseline"/>
        </w:rPr>
        <w:tab/>
        <w:t>105,741</w:t>
      </w:r>
    </w:p>
    <w:p>
      <w:pPr>
        <w:spacing w:line="29" w:lineRule="exact"/>
        <w:ind w:left="563" w:right="0" w:firstLine="0"/>
        <w:rPr>
          <w:sz w:val="2"/>
        </w:rPr>
      </w:pPr>
      <w:r>
        <w:rPr>
          <w:position w:val="0"/>
          <w:sz w:val="2"/>
        </w:rPr>
        <w:pict>
          <v:group style="width:486.1pt;height:1.45pt;mso-position-horizontal-relative:char;mso-position-vertical-relative:line" coordorigin="0,0" coordsize="9722,29">
            <v:line style="position:absolute" from="0,24" to="9722,24" stroked="true" strokeweight=".47998pt" strokecolor="#000000">
              <v:stroke dashstyle="solid"/>
            </v:line>
            <v:line style="position:absolute" from="0,5" to="9722,5" stroked="true" strokeweight=".47998pt" strokecolor="#000000">
              <v:stroke dashstyle="solid"/>
            </v:line>
          </v:group>
        </w:pict>
      </w:r>
      <w:r>
        <w:rPr>
          <w:position w:val="0"/>
          <w:sz w:val="2"/>
        </w:rPr>
      </w:r>
    </w:p>
    <w:p>
      <w:pPr>
        <w:spacing w:line="240" w:lineRule="auto" w:before="10"/>
        <w:rPr>
          <w:b/>
          <w:sz w:val="15"/>
        </w:rPr>
      </w:pPr>
      <w:r>
        <w:rPr/>
        <w:pict>
          <v:shape style="position:absolute;margin-left:63.863998pt;margin-top:11.93997pt;width:144.050pt;height:.1pt;mso-position-horizontal-relative:page;mso-position-vertical-relative:paragraph;z-index:-251655168;mso-wrap-distance-left:0;mso-wrap-distance-right:0" coordorigin="1277,239" coordsize="2881,0" path="m1277,239l4158,239e" filled="false" stroked="true" strokeweight=".60004pt" strokecolor="#000000">
            <v:path arrowok="t"/>
            <v:stroke dashstyle="solid"/>
            <w10:wrap type="topAndBottom"/>
          </v:shape>
        </w:pict>
      </w:r>
    </w:p>
    <w:p>
      <w:pPr>
        <w:spacing w:before="57"/>
        <w:ind w:left="597" w:right="372" w:firstLine="0"/>
        <w:jc w:val="left"/>
        <w:rPr>
          <w:sz w:val="16"/>
        </w:rPr>
      </w:pPr>
      <w:r>
        <w:rPr>
          <w:position w:val="8"/>
          <w:sz w:val="10"/>
        </w:rPr>
        <w:t>5 </w:t>
      </w:r>
      <w:r>
        <w:rPr>
          <w:sz w:val="16"/>
        </w:rPr>
        <w:t>The Average Paid FTE for the group of entities is the average of the sum of Paid FTE over the last four quarters. This is not the same as summing the Average Paid FTE for each entity due to machinery-of-government changes.</w:t>
      </w:r>
    </w:p>
    <w:p>
      <w:pPr>
        <w:spacing w:line="196" w:lineRule="exact" w:before="0"/>
        <w:ind w:left="597" w:right="0" w:firstLine="0"/>
        <w:jc w:val="left"/>
        <w:rPr>
          <w:sz w:val="16"/>
        </w:rPr>
      </w:pPr>
      <w:r>
        <w:rPr>
          <w:rFonts w:ascii="Arial"/>
          <w:position w:val="8"/>
          <w:sz w:val="10"/>
        </w:rPr>
        <w:t>6 </w:t>
      </w:r>
      <w:r>
        <w:rPr>
          <w:sz w:val="16"/>
        </w:rPr>
        <w:t>The Average Paid FTE for the group of entities is the average of the sum of Paid FTE over the last four quarters. This is not the same as summing</w:t>
      </w:r>
    </w:p>
    <w:p>
      <w:pPr>
        <w:spacing w:before="2"/>
        <w:ind w:left="597" w:right="0" w:firstLine="0"/>
        <w:jc w:val="left"/>
        <w:rPr>
          <w:sz w:val="16"/>
        </w:rPr>
      </w:pPr>
      <w:r>
        <w:rPr>
          <w:sz w:val="16"/>
        </w:rPr>
        <w:t>the Average Paid FTE for each entity due to machinery-of-government changes.</w:t>
      </w:r>
    </w:p>
    <w:p>
      <w:pPr>
        <w:spacing w:after="0"/>
        <w:jc w:val="left"/>
        <w:rPr>
          <w:sz w:val="16"/>
        </w:rPr>
        <w:sectPr>
          <w:pgSz w:w="11910" w:h="16850"/>
          <w:pgMar w:header="0" w:footer="373" w:top="1120" w:bottom="640" w:left="680" w:right="660"/>
        </w:sectPr>
      </w:pPr>
    </w:p>
    <w:p>
      <w:pPr>
        <w:pStyle w:val="BodyText"/>
        <w:spacing w:before="42"/>
        <w:ind w:left="597"/>
      </w:pPr>
      <w:r>
        <w:rPr>
          <w:color w:val="933634"/>
        </w:rPr>
        <w:t>Table 3: Agencies that are not subject to an FTE Ceiling</w:t>
      </w:r>
    </w:p>
    <w:p>
      <w:pPr>
        <w:spacing w:line="240" w:lineRule="auto" w:before="11" w:after="1"/>
        <w:rPr>
          <w:sz w:val="22"/>
        </w:rPr>
      </w:pP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11"/>
        <w:gridCol w:w="1275"/>
        <w:gridCol w:w="1311"/>
        <w:gridCol w:w="1127"/>
      </w:tblGrid>
      <w:tr>
        <w:trPr>
          <w:trHeight w:val="488" w:hRule="atLeast"/>
        </w:trPr>
        <w:tc>
          <w:tcPr>
            <w:tcW w:w="5911" w:type="dxa"/>
            <w:tcBorders>
              <w:top w:val="single" w:sz="8" w:space="0" w:color="4F81BC"/>
              <w:bottom w:val="single" w:sz="8" w:space="0" w:color="4F81BC"/>
            </w:tcBorders>
          </w:tcPr>
          <w:p>
            <w:pPr>
              <w:pStyle w:val="TableParagraph"/>
              <w:spacing w:before="0"/>
              <w:jc w:val="left"/>
              <w:rPr>
                <w:rFonts w:ascii="Times New Roman"/>
                <w:sz w:val="18"/>
              </w:rPr>
            </w:pPr>
          </w:p>
        </w:tc>
        <w:tc>
          <w:tcPr>
            <w:tcW w:w="1275" w:type="dxa"/>
            <w:tcBorders>
              <w:top w:val="single" w:sz="8" w:space="0" w:color="4F81BC"/>
              <w:bottom w:val="single" w:sz="8" w:space="0" w:color="4F81BC"/>
            </w:tcBorders>
          </w:tcPr>
          <w:p>
            <w:pPr>
              <w:pStyle w:val="TableParagraph"/>
              <w:spacing w:line="243" w:lineRule="exact" w:before="1"/>
              <w:ind w:left="140"/>
              <w:jc w:val="left"/>
              <w:rPr>
                <w:b/>
                <w:sz w:val="20"/>
              </w:rPr>
            </w:pPr>
            <w:r>
              <w:rPr>
                <w:b/>
                <w:sz w:val="20"/>
              </w:rPr>
              <w:t>Headcount</w:t>
            </w:r>
          </w:p>
          <w:p>
            <w:pPr>
              <w:pStyle w:val="TableParagraph"/>
              <w:spacing w:line="224" w:lineRule="exact" w:before="0"/>
              <w:ind w:left="221"/>
              <w:jc w:val="left"/>
              <w:rPr>
                <w:b/>
                <w:sz w:val="20"/>
              </w:rPr>
            </w:pPr>
            <w:r>
              <w:rPr>
                <w:b/>
                <w:sz w:val="20"/>
              </w:rPr>
              <w:t>Dec</w:t>
            </w:r>
            <w:r>
              <w:rPr>
                <w:b/>
                <w:spacing w:val="-4"/>
                <w:sz w:val="20"/>
              </w:rPr>
              <w:t> </w:t>
            </w:r>
            <w:r>
              <w:rPr>
                <w:b/>
                <w:sz w:val="20"/>
              </w:rPr>
              <w:t>2011</w:t>
            </w:r>
            <w:r>
              <w:rPr>
                <w:b/>
                <w:sz w:val="20"/>
                <w:vertAlign w:val="superscript"/>
              </w:rPr>
              <w:t>2</w:t>
            </w:r>
          </w:p>
        </w:tc>
        <w:tc>
          <w:tcPr>
            <w:tcW w:w="1311" w:type="dxa"/>
            <w:tcBorders>
              <w:top w:val="single" w:sz="8" w:space="0" w:color="4F81BC"/>
              <w:bottom w:val="single" w:sz="8" w:space="0" w:color="4F81BC"/>
            </w:tcBorders>
          </w:tcPr>
          <w:p>
            <w:pPr>
              <w:pStyle w:val="TableParagraph"/>
              <w:spacing w:line="243" w:lineRule="exact" w:before="1"/>
              <w:ind w:left="358"/>
              <w:jc w:val="left"/>
              <w:rPr>
                <w:b/>
                <w:sz w:val="20"/>
              </w:rPr>
            </w:pPr>
            <w:r>
              <w:rPr>
                <w:b/>
                <w:sz w:val="20"/>
              </w:rPr>
              <w:t>Paid</w:t>
            </w:r>
            <w:r>
              <w:rPr>
                <w:b/>
                <w:spacing w:val="-5"/>
                <w:sz w:val="20"/>
              </w:rPr>
              <w:t> </w:t>
            </w:r>
            <w:r>
              <w:rPr>
                <w:b/>
                <w:sz w:val="20"/>
              </w:rPr>
              <w:t>FTE</w:t>
            </w:r>
          </w:p>
          <w:p>
            <w:pPr>
              <w:pStyle w:val="TableParagraph"/>
              <w:spacing w:line="224" w:lineRule="exact" w:before="0"/>
              <w:ind w:left="224"/>
              <w:jc w:val="left"/>
              <w:rPr>
                <w:b/>
                <w:sz w:val="20"/>
              </w:rPr>
            </w:pPr>
            <w:r>
              <w:rPr>
                <w:b/>
                <w:sz w:val="20"/>
              </w:rPr>
              <w:t>Dec</w:t>
            </w:r>
            <w:r>
              <w:rPr>
                <w:b/>
                <w:spacing w:val="-4"/>
                <w:sz w:val="20"/>
              </w:rPr>
              <w:t> </w:t>
            </w:r>
            <w:r>
              <w:rPr>
                <w:b/>
                <w:sz w:val="20"/>
              </w:rPr>
              <w:t>2011</w:t>
            </w:r>
            <w:r>
              <w:rPr>
                <w:b/>
                <w:sz w:val="20"/>
                <w:vertAlign w:val="superscript"/>
              </w:rPr>
              <w:t>3</w:t>
            </w:r>
          </w:p>
        </w:tc>
        <w:tc>
          <w:tcPr>
            <w:tcW w:w="1127" w:type="dxa"/>
            <w:tcBorders>
              <w:top w:val="single" w:sz="8" w:space="0" w:color="4F81BC"/>
              <w:bottom w:val="single" w:sz="8" w:space="0" w:color="4F81BC"/>
            </w:tcBorders>
          </w:tcPr>
          <w:p>
            <w:pPr>
              <w:pStyle w:val="TableParagraph"/>
              <w:spacing w:line="243" w:lineRule="exact" w:before="1"/>
              <w:ind w:left="339"/>
              <w:jc w:val="left"/>
              <w:rPr>
                <w:b/>
                <w:sz w:val="20"/>
              </w:rPr>
            </w:pPr>
            <w:r>
              <w:rPr>
                <w:b/>
                <w:sz w:val="20"/>
              </w:rPr>
              <w:t>Average</w:t>
            </w:r>
          </w:p>
          <w:p>
            <w:pPr>
              <w:pStyle w:val="TableParagraph"/>
              <w:spacing w:line="224" w:lineRule="exact" w:before="0"/>
              <w:ind w:left="257"/>
              <w:jc w:val="left"/>
              <w:rPr>
                <w:b/>
                <w:sz w:val="20"/>
              </w:rPr>
            </w:pPr>
            <w:r>
              <w:rPr>
                <w:b/>
                <w:sz w:val="20"/>
              </w:rPr>
              <w:t>Paid</w:t>
            </w:r>
            <w:r>
              <w:rPr>
                <w:b/>
                <w:spacing w:val="-6"/>
                <w:sz w:val="20"/>
              </w:rPr>
              <w:t> </w:t>
            </w:r>
            <w:r>
              <w:rPr>
                <w:b/>
                <w:sz w:val="20"/>
              </w:rPr>
              <w:t>FTE</w:t>
            </w:r>
            <w:r>
              <w:rPr>
                <w:b/>
                <w:sz w:val="20"/>
                <w:vertAlign w:val="superscript"/>
              </w:rPr>
              <w:t>4</w:t>
            </w:r>
          </w:p>
        </w:tc>
      </w:tr>
      <w:tr>
        <w:trPr>
          <w:trHeight w:val="316" w:hRule="atLeast"/>
        </w:trPr>
        <w:tc>
          <w:tcPr>
            <w:tcW w:w="5911" w:type="dxa"/>
            <w:tcBorders>
              <w:top w:val="single" w:sz="8" w:space="0" w:color="4F81BC"/>
            </w:tcBorders>
            <w:shd w:val="clear" w:color="auto" w:fill="D2DFED"/>
          </w:tcPr>
          <w:p>
            <w:pPr>
              <w:pStyle w:val="TableParagraph"/>
              <w:spacing w:before="34"/>
              <w:ind w:left="122"/>
              <w:jc w:val="left"/>
              <w:rPr>
                <w:b/>
                <w:sz w:val="20"/>
              </w:rPr>
            </w:pPr>
            <w:r>
              <w:rPr>
                <w:b/>
                <w:sz w:val="20"/>
              </w:rPr>
              <w:t>Electricity Networks Corporation (Western Power)</w:t>
            </w:r>
          </w:p>
        </w:tc>
        <w:tc>
          <w:tcPr>
            <w:tcW w:w="1275" w:type="dxa"/>
            <w:tcBorders>
              <w:top w:val="single" w:sz="8" w:space="0" w:color="4F81BC"/>
            </w:tcBorders>
            <w:shd w:val="clear" w:color="auto" w:fill="D2DFED"/>
          </w:tcPr>
          <w:p>
            <w:pPr>
              <w:pStyle w:val="TableParagraph"/>
              <w:spacing w:before="34"/>
              <w:ind w:right="224"/>
              <w:rPr>
                <w:sz w:val="20"/>
              </w:rPr>
            </w:pPr>
            <w:r>
              <w:rPr>
                <w:w w:val="95"/>
                <w:sz w:val="20"/>
              </w:rPr>
              <w:t>3,051</w:t>
            </w:r>
          </w:p>
        </w:tc>
        <w:tc>
          <w:tcPr>
            <w:tcW w:w="1311" w:type="dxa"/>
            <w:tcBorders>
              <w:top w:val="single" w:sz="8" w:space="0" w:color="4F81BC"/>
            </w:tcBorders>
            <w:shd w:val="clear" w:color="auto" w:fill="D2DFED"/>
          </w:tcPr>
          <w:p>
            <w:pPr>
              <w:pStyle w:val="TableParagraph"/>
              <w:spacing w:before="34"/>
              <w:ind w:right="258"/>
              <w:rPr>
                <w:sz w:val="20"/>
              </w:rPr>
            </w:pPr>
            <w:r>
              <w:rPr>
                <w:w w:val="95"/>
                <w:sz w:val="20"/>
              </w:rPr>
              <w:t>3,011</w:t>
            </w:r>
          </w:p>
        </w:tc>
        <w:tc>
          <w:tcPr>
            <w:tcW w:w="1127" w:type="dxa"/>
            <w:tcBorders>
              <w:top w:val="single" w:sz="8" w:space="0" w:color="4F81BC"/>
            </w:tcBorders>
            <w:shd w:val="clear" w:color="auto" w:fill="D2DFED"/>
          </w:tcPr>
          <w:p>
            <w:pPr>
              <w:pStyle w:val="TableParagraph"/>
              <w:spacing w:before="34"/>
              <w:ind w:right="108"/>
              <w:rPr>
                <w:sz w:val="20"/>
              </w:rPr>
            </w:pPr>
            <w:r>
              <w:rPr>
                <w:w w:val="95"/>
                <w:sz w:val="20"/>
              </w:rPr>
              <w:t>2,984</w:t>
            </w:r>
          </w:p>
        </w:tc>
      </w:tr>
      <w:tr>
        <w:trPr>
          <w:trHeight w:val="300" w:hRule="atLeast"/>
        </w:trPr>
        <w:tc>
          <w:tcPr>
            <w:tcW w:w="5911" w:type="dxa"/>
          </w:tcPr>
          <w:p>
            <w:pPr>
              <w:pStyle w:val="TableParagraph"/>
              <w:ind w:left="122"/>
              <w:jc w:val="left"/>
              <w:rPr>
                <w:b/>
                <w:sz w:val="20"/>
              </w:rPr>
            </w:pPr>
            <w:r>
              <w:rPr>
                <w:b/>
                <w:sz w:val="20"/>
              </w:rPr>
              <w:t>Water Corporation</w:t>
            </w:r>
          </w:p>
        </w:tc>
        <w:tc>
          <w:tcPr>
            <w:tcW w:w="1275" w:type="dxa"/>
          </w:tcPr>
          <w:p>
            <w:pPr>
              <w:pStyle w:val="TableParagraph"/>
              <w:ind w:right="224"/>
              <w:rPr>
                <w:sz w:val="20"/>
              </w:rPr>
            </w:pPr>
            <w:r>
              <w:rPr>
                <w:w w:val="95"/>
                <w:sz w:val="20"/>
              </w:rPr>
              <w:t>3,000</w:t>
            </w:r>
          </w:p>
        </w:tc>
        <w:tc>
          <w:tcPr>
            <w:tcW w:w="1311" w:type="dxa"/>
          </w:tcPr>
          <w:p>
            <w:pPr>
              <w:pStyle w:val="TableParagraph"/>
              <w:ind w:right="258"/>
              <w:rPr>
                <w:sz w:val="20"/>
              </w:rPr>
            </w:pPr>
            <w:r>
              <w:rPr>
                <w:w w:val="95"/>
                <w:sz w:val="20"/>
              </w:rPr>
              <w:t>2,861</w:t>
            </w:r>
          </w:p>
        </w:tc>
        <w:tc>
          <w:tcPr>
            <w:tcW w:w="1127" w:type="dxa"/>
          </w:tcPr>
          <w:p>
            <w:pPr>
              <w:pStyle w:val="TableParagraph"/>
              <w:ind w:right="108"/>
              <w:rPr>
                <w:sz w:val="20"/>
              </w:rPr>
            </w:pPr>
            <w:r>
              <w:rPr>
                <w:sz w:val="20"/>
              </w:rPr>
              <w:t>2,879</w:t>
            </w:r>
          </w:p>
        </w:tc>
      </w:tr>
      <w:tr>
        <w:trPr>
          <w:trHeight w:val="300" w:hRule="atLeast"/>
        </w:trPr>
        <w:tc>
          <w:tcPr>
            <w:tcW w:w="5911" w:type="dxa"/>
            <w:shd w:val="clear" w:color="auto" w:fill="D2DFED"/>
          </w:tcPr>
          <w:p>
            <w:pPr>
              <w:pStyle w:val="TableParagraph"/>
              <w:ind w:left="122"/>
              <w:jc w:val="left"/>
              <w:rPr>
                <w:b/>
                <w:sz w:val="20"/>
              </w:rPr>
            </w:pPr>
            <w:r>
              <w:rPr>
                <w:b/>
                <w:sz w:val="20"/>
              </w:rPr>
              <w:t>Public Transport Authority of Western Australia</w:t>
            </w:r>
          </w:p>
        </w:tc>
        <w:tc>
          <w:tcPr>
            <w:tcW w:w="1275" w:type="dxa"/>
            <w:shd w:val="clear" w:color="auto" w:fill="D2DFED"/>
          </w:tcPr>
          <w:p>
            <w:pPr>
              <w:pStyle w:val="TableParagraph"/>
              <w:ind w:right="224"/>
              <w:rPr>
                <w:sz w:val="20"/>
              </w:rPr>
            </w:pPr>
            <w:r>
              <w:rPr>
                <w:w w:val="95"/>
                <w:sz w:val="20"/>
              </w:rPr>
              <w:t>1,488</w:t>
            </w:r>
          </w:p>
        </w:tc>
        <w:tc>
          <w:tcPr>
            <w:tcW w:w="1311" w:type="dxa"/>
            <w:shd w:val="clear" w:color="auto" w:fill="D2DFED"/>
          </w:tcPr>
          <w:p>
            <w:pPr>
              <w:pStyle w:val="TableParagraph"/>
              <w:ind w:right="258"/>
              <w:rPr>
                <w:sz w:val="20"/>
              </w:rPr>
            </w:pPr>
            <w:r>
              <w:rPr>
                <w:w w:val="95"/>
                <w:sz w:val="20"/>
              </w:rPr>
              <w:t>1,429</w:t>
            </w:r>
          </w:p>
        </w:tc>
        <w:tc>
          <w:tcPr>
            <w:tcW w:w="1127" w:type="dxa"/>
            <w:shd w:val="clear" w:color="auto" w:fill="D2DFED"/>
          </w:tcPr>
          <w:p>
            <w:pPr>
              <w:pStyle w:val="TableParagraph"/>
              <w:ind w:right="108"/>
              <w:rPr>
                <w:sz w:val="20"/>
              </w:rPr>
            </w:pPr>
            <w:r>
              <w:rPr>
                <w:w w:val="95"/>
                <w:sz w:val="20"/>
              </w:rPr>
              <w:t>1,410</w:t>
            </w:r>
          </w:p>
        </w:tc>
      </w:tr>
      <w:tr>
        <w:trPr>
          <w:trHeight w:val="300" w:hRule="atLeast"/>
        </w:trPr>
        <w:tc>
          <w:tcPr>
            <w:tcW w:w="5911" w:type="dxa"/>
          </w:tcPr>
          <w:p>
            <w:pPr>
              <w:pStyle w:val="TableParagraph"/>
              <w:ind w:left="122"/>
              <w:jc w:val="left"/>
              <w:rPr>
                <w:b/>
                <w:sz w:val="20"/>
              </w:rPr>
            </w:pPr>
            <w:r>
              <w:rPr>
                <w:b/>
                <w:sz w:val="20"/>
              </w:rPr>
              <w:t>Department of Housing</w:t>
            </w:r>
          </w:p>
        </w:tc>
        <w:tc>
          <w:tcPr>
            <w:tcW w:w="1275" w:type="dxa"/>
          </w:tcPr>
          <w:p>
            <w:pPr>
              <w:pStyle w:val="TableParagraph"/>
              <w:ind w:right="224"/>
              <w:rPr>
                <w:sz w:val="20"/>
              </w:rPr>
            </w:pPr>
            <w:r>
              <w:rPr>
                <w:w w:val="95"/>
                <w:sz w:val="20"/>
              </w:rPr>
              <w:t>1,368</w:t>
            </w:r>
          </w:p>
        </w:tc>
        <w:tc>
          <w:tcPr>
            <w:tcW w:w="1311" w:type="dxa"/>
          </w:tcPr>
          <w:p>
            <w:pPr>
              <w:pStyle w:val="TableParagraph"/>
              <w:ind w:right="258"/>
              <w:rPr>
                <w:sz w:val="20"/>
              </w:rPr>
            </w:pPr>
            <w:r>
              <w:rPr>
                <w:w w:val="95"/>
                <w:sz w:val="20"/>
              </w:rPr>
              <w:t>1,231</w:t>
            </w:r>
          </w:p>
        </w:tc>
        <w:tc>
          <w:tcPr>
            <w:tcW w:w="1127" w:type="dxa"/>
          </w:tcPr>
          <w:p>
            <w:pPr>
              <w:pStyle w:val="TableParagraph"/>
              <w:ind w:right="108"/>
              <w:rPr>
                <w:sz w:val="20"/>
              </w:rPr>
            </w:pPr>
            <w:r>
              <w:rPr>
                <w:w w:val="95"/>
                <w:sz w:val="20"/>
              </w:rPr>
              <w:t>1,214</w:t>
            </w:r>
          </w:p>
        </w:tc>
      </w:tr>
      <w:tr>
        <w:trPr>
          <w:trHeight w:val="300" w:hRule="atLeast"/>
        </w:trPr>
        <w:tc>
          <w:tcPr>
            <w:tcW w:w="5911" w:type="dxa"/>
            <w:shd w:val="clear" w:color="auto" w:fill="D2DFED"/>
          </w:tcPr>
          <w:p>
            <w:pPr>
              <w:pStyle w:val="TableParagraph"/>
              <w:ind w:left="122"/>
              <w:jc w:val="left"/>
              <w:rPr>
                <w:b/>
                <w:sz w:val="20"/>
              </w:rPr>
            </w:pPr>
            <w:r>
              <w:rPr>
                <w:b/>
                <w:sz w:val="20"/>
              </w:rPr>
              <w:t>Electricity Generation Corporation (Verve Energy)</w:t>
            </w:r>
          </w:p>
        </w:tc>
        <w:tc>
          <w:tcPr>
            <w:tcW w:w="1275" w:type="dxa"/>
            <w:shd w:val="clear" w:color="auto" w:fill="D2DFED"/>
          </w:tcPr>
          <w:p>
            <w:pPr>
              <w:pStyle w:val="TableParagraph"/>
              <w:ind w:right="224"/>
              <w:rPr>
                <w:sz w:val="20"/>
              </w:rPr>
            </w:pPr>
            <w:r>
              <w:rPr>
                <w:w w:val="95"/>
                <w:sz w:val="20"/>
              </w:rPr>
              <w:t>591</w:t>
            </w:r>
          </w:p>
        </w:tc>
        <w:tc>
          <w:tcPr>
            <w:tcW w:w="1311" w:type="dxa"/>
            <w:shd w:val="clear" w:color="auto" w:fill="D2DFED"/>
          </w:tcPr>
          <w:p>
            <w:pPr>
              <w:pStyle w:val="TableParagraph"/>
              <w:ind w:right="259"/>
              <w:rPr>
                <w:sz w:val="20"/>
              </w:rPr>
            </w:pPr>
            <w:r>
              <w:rPr>
                <w:w w:val="95"/>
                <w:sz w:val="20"/>
              </w:rPr>
              <w:t>574</w:t>
            </w:r>
          </w:p>
        </w:tc>
        <w:tc>
          <w:tcPr>
            <w:tcW w:w="1127" w:type="dxa"/>
            <w:shd w:val="clear" w:color="auto" w:fill="D2DFED"/>
          </w:tcPr>
          <w:p>
            <w:pPr>
              <w:pStyle w:val="TableParagraph"/>
              <w:ind w:right="108"/>
              <w:rPr>
                <w:sz w:val="20"/>
              </w:rPr>
            </w:pPr>
            <w:r>
              <w:rPr>
                <w:w w:val="95"/>
                <w:sz w:val="20"/>
              </w:rPr>
              <w:t>594</w:t>
            </w:r>
          </w:p>
        </w:tc>
      </w:tr>
      <w:tr>
        <w:trPr>
          <w:trHeight w:val="300" w:hRule="atLeast"/>
        </w:trPr>
        <w:tc>
          <w:tcPr>
            <w:tcW w:w="5911" w:type="dxa"/>
          </w:tcPr>
          <w:p>
            <w:pPr>
              <w:pStyle w:val="TableParagraph"/>
              <w:ind w:left="122"/>
              <w:jc w:val="left"/>
              <w:rPr>
                <w:b/>
                <w:sz w:val="20"/>
              </w:rPr>
            </w:pPr>
            <w:r>
              <w:rPr>
                <w:b/>
                <w:sz w:val="20"/>
              </w:rPr>
              <w:t>Racing and Wagering WA</w:t>
            </w:r>
          </w:p>
        </w:tc>
        <w:tc>
          <w:tcPr>
            <w:tcW w:w="1275" w:type="dxa"/>
          </w:tcPr>
          <w:p>
            <w:pPr>
              <w:pStyle w:val="TableParagraph"/>
              <w:ind w:right="224"/>
              <w:rPr>
                <w:sz w:val="20"/>
              </w:rPr>
            </w:pPr>
            <w:r>
              <w:rPr>
                <w:w w:val="95"/>
                <w:sz w:val="20"/>
              </w:rPr>
              <w:t>488</w:t>
            </w:r>
          </w:p>
        </w:tc>
        <w:tc>
          <w:tcPr>
            <w:tcW w:w="1311" w:type="dxa"/>
          </w:tcPr>
          <w:p>
            <w:pPr>
              <w:pStyle w:val="TableParagraph"/>
              <w:ind w:right="259"/>
              <w:rPr>
                <w:sz w:val="20"/>
              </w:rPr>
            </w:pPr>
            <w:r>
              <w:rPr>
                <w:w w:val="95"/>
                <w:sz w:val="20"/>
              </w:rPr>
              <w:t>350</w:t>
            </w:r>
          </w:p>
        </w:tc>
        <w:tc>
          <w:tcPr>
            <w:tcW w:w="1127" w:type="dxa"/>
          </w:tcPr>
          <w:p>
            <w:pPr>
              <w:pStyle w:val="TableParagraph"/>
              <w:ind w:right="108"/>
              <w:rPr>
                <w:sz w:val="20"/>
              </w:rPr>
            </w:pPr>
            <w:r>
              <w:rPr>
                <w:w w:val="95"/>
                <w:sz w:val="20"/>
              </w:rPr>
              <w:t>362</w:t>
            </w:r>
          </w:p>
        </w:tc>
      </w:tr>
      <w:tr>
        <w:trPr>
          <w:trHeight w:val="300" w:hRule="atLeast"/>
        </w:trPr>
        <w:tc>
          <w:tcPr>
            <w:tcW w:w="5911" w:type="dxa"/>
            <w:shd w:val="clear" w:color="auto" w:fill="D2DFED"/>
          </w:tcPr>
          <w:p>
            <w:pPr>
              <w:pStyle w:val="TableParagraph"/>
              <w:ind w:left="122"/>
              <w:jc w:val="left"/>
              <w:rPr>
                <w:b/>
                <w:sz w:val="20"/>
              </w:rPr>
            </w:pPr>
            <w:r>
              <w:rPr>
                <w:b/>
                <w:sz w:val="20"/>
              </w:rPr>
              <w:t>Regional Power Corporation (Horizon Power)</w:t>
            </w:r>
          </w:p>
        </w:tc>
        <w:tc>
          <w:tcPr>
            <w:tcW w:w="1275" w:type="dxa"/>
            <w:shd w:val="clear" w:color="auto" w:fill="D2DFED"/>
          </w:tcPr>
          <w:p>
            <w:pPr>
              <w:pStyle w:val="TableParagraph"/>
              <w:ind w:right="224"/>
              <w:rPr>
                <w:sz w:val="20"/>
              </w:rPr>
            </w:pPr>
            <w:r>
              <w:rPr>
                <w:w w:val="95"/>
                <w:sz w:val="20"/>
              </w:rPr>
              <w:t>428</w:t>
            </w:r>
          </w:p>
        </w:tc>
        <w:tc>
          <w:tcPr>
            <w:tcW w:w="1311" w:type="dxa"/>
            <w:shd w:val="clear" w:color="auto" w:fill="D2DFED"/>
          </w:tcPr>
          <w:p>
            <w:pPr>
              <w:pStyle w:val="TableParagraph"/>
              <w:ind w:right="259"/>
              <w:rPr>
                <w:sz w:val="20"/>
              </w:rPr>
            </w:pPr>
            <w:r>
              <w:rPr>
                <w:w w:val="95"/>
                <w:sz w:val="20"/>
              </w:rPr>
              <w:t>423</w:t>
            </w:r>
          </w:p>
        </w:tc>
        <w:tc>
          <w:tcPr>
            <w:tcW w:w="1127" w:type="dxa"/>
            <w:shd w:val="clear" w:color="auto" w:fill="D2DFED"/>
          </w:tcPr>
          <w:p>
            <w:pPr>
              <w:pStyle w:val="TableParagraph"/>
              <w:ind w:right="108"/>
              <w:rPr>
                <w:sz w:val="20"/>
              </w:rPr>
            </w:pPr>
            <w:r>
              <w:rPr>
                <w:w w:val="95"/>
                <w:sz w:val="20"/>
              </w:rPr>
              <w:t>418</w:t>
            </w:r>
          </w:p>
        </w:tc>
      </w:tr>
      <w:tr>
        <w:trPr>
          <w:trHeight w:val="300" w:hRule="atLeast"/>
        </w:trPr>
        <w:tc>
          <w:tcPr>
            <w:tcW w:w="5911" w:type="dxa"/>
          </w:tcPr>
          <w:p>
            <w:pPr>
              <w:pStyle w:val="TableParagraph"/>
              <w:ind w:left="122"/>
              <w:jc w:val="left"/>
              <w:rPr>
                <w:b/>
                <w:sz w:val="20"/>
              </w:rPr>
            </w:pPr>
            <w:r>
              <w:rPr>
                <w:b/>
                <w:sz w:val="20"/>
              </w:rPr>
              <w:t>Electricity Retail Corporation (Synergy)</w:t>
            </w:r>
          </w:p>
        </w:tc>
        <w:tc>
          <w:tcPr>
            <w:tcW w:w="1275" w:type="dxa"/>
          </w:tcPr>
          <w:p>
            <w:pPr>
              <w:pStyle w:val="TableParagraph"/>
              <w:ind w:right="224"/>
              <w:rPr>
                <w:sz w:val="20"/>
              </w:rPr>
            </w:pPr>
            <w:r>
              <w:rPr>
                <w:w w:val="95"/>
                <w:sz w:val="20"/>
              </w:rPr>
              <w:t>390</w:t>
            </w:r>
          </w:p>
        </w:tc>
        <w:tc>
          <w:tcPr>
            <w:tcW w:w="1311" w:type="dxa"/>
          </w:tcPr>
          <w:p>
            <w:pPr>
              <w:pStyle w:val="TableParagraph"/>
              <w:ind w:right="259"/>
              <w:rPr>
                <w:sz w:val="20"/>
              </w:rPr>
            </w:pPr>
            <w:r>
              <w:rPr>
                <w:w w:val="95"/>
                <w:sz w:val="20"/>
              </w:rPr>
              <w:t>374</w:t>
            </w:r>
          </w:p>
        </w:tc>
        <w:tc>
          <w:tcPr>
            <w:tcW w:w="1127" w:type="dxa"/>
          </w:tcPr>
          <w:p>
            <w:pPr>
              <w:pStyle w:val="TableParagraph"/>
              <w:ind w:right="108"/>
              <w:rPr>
                <w:sz w:val="20"/>
              </w:rPr>
            </w:pPr>
            <w:r>
              <w:rPr>
                <w:w w:val="95"/>
                <w:sz w:val="20"/>
              </w:rPr>
              <w:t>369</w:t>
            </w:r>
          </w:p>
        </w:tc>
      </w:tr>
      <w:tr>
        <w:trPr>
          <w:trHeight w:val="300" w:hRule="atLeast"/>
        </w:trPr>
        <w:tc>
          <w:tcPr>
            <w:tcW w:w="5911" w:type="dxa"/>
            <w:shd w:val="clear" w:color="auto" w:fill="D2DFED"/>
          </w:tcPr>
          <w:p>
            <w:pPr>
              <w:pStyle w:val="TableParagraph"/>
              <w:spacing w:before="26"/>
              <w:ind w:left="122"/>
              <w:jc w:val="left"/>
              <w:rPr>
                <w:b/>
                <w:sz w:val="20"/>
              </w:rPr>
            </w:pPr>
            <w:r>
              <w:rPr>
                <w:b/>
                <w:sz w:val="20"/>
              </w:rPr>
              <w:t>Insurance Commission of Western Australia</w:t>
            </w:r>
          </w:p>
        </w:tc>
        <w:tc>
          <w:tcPr>
            <w:tcW w:w="1275" w:type="dxa"/>
            <w:shd w:val="clear" w:color="auto" w:fill="D2DFED"/>
          </w:tcPr>
          <w:p>
            <w:pPr>
              <w:pStyle w:val="TableParagraph"/>
              <w:spacing w:before="26"/>
              <w:ind w:right="224"/>
              <w:rPr>
                <w:sz w:val="20"/>
              </w:rPr>
            </w:pPr>
            <w:r>
              <w:rPr>
                <w:w w:val="95"/>
                <w:sz w:val="20"/>
              </w:rPr>
              <w:t>374</w:t>
            </w:r>
          </w:p>
        </w:tc>
        <w:tc>
          <w:tcPr>
            <w:tcW w:w="1311" w:type="dxa"/>
            <w:shd w:val="clear" w:color="auto" w:fill="D2DFED"/>
          </w:tcPr>
          <w:p>
            <w:pPr>
              <w:pStyle w:val="TableParagraph"/>
              <w:spacing w:before="26"/>
              <w:ind w:right="259"/>
              <w:rPr>
                <w:sz w:val="20"/>
              </w:rPr>
            </w:pPr>
            <w:r>
              <w:rPr>
                <w:w w:val="95"/>
                <w:sz w:val="20"/>
              </w:rPr>
              <w:t>338</w:t>
            </w:r>
          </w:p>
        </w:tc>
        <w:tc>
          <w:tcPr>
            <w:tcW w:w="1127" w:type="dxa"/>
            <w:shd w:val="clear" w:color="auto" w:fill="D2DFED"/>
          </w:tcPr>
          <w:p>
            <w:pPr>
              <w:pStyle w:val="TableParagraph"/>
              <w:spacing w:before="26"/>
              <w:ind w:right="108"/>
              <w:rPr>
                <w:sz w:val="20"/>
              </w:rPr>
            </w:pPr>
            <w:r>
              <w:rPr>
                <w:w w:val="95"/>
                <w:sz w:val="20"/>
              </w:rPr>
              <w:t>348</w:t>
            </w:r>
          </w:p>
        </w:tc>
      </w:tr>
      <w:tr>
        <w:trPr>
          <w:trHeight w:val="300" w:hRule="atLeast"/>
        </w:trPr>
        <w:tc>
          <w:tcPr>
            <w:tcW w:w="5911" w:type="dxa"/>
          </w:tcPr>
          <w:p>
            <w:pPr>
              <w:pStyle w:val="TableParagraph"/>
              <w:ind w:left="122"/>
              <w:jc w:val="left"/>
              <w:rPr>
                <w:b/>
                <w:sz w:val="20"/>
              </w:rPr>
            </w:pPr>
            <w:r>
              <w:rPr>
                <w:b/>
                <w:sz w:val="20"/>
              </w:rPr>
              <w:t>Gold Corporation</w:t>
            </w:r>
          </w:p>
        </w:tc>
        <w:tc>
          <w:tcPr>
            <w:tcW w:w="1275" w:type="dxa"/>
          </w:tcPr>
          <w:p>
            <w:pPr>
              <w:pStyle w:val="TableParagraph"/>
              <w:ind w:right="224"/>
              <w:rPr>
                <w:sz w:val="20"/>
              </w:rPr>
            </w:pPr>
            <w:r>
              <w:rPr>
                <w:w w:val="95"/>
                <w:sz w:val="20"/>
              </w:rPr>
              <w:t>356</w:t>
            </w:r>
          </w:p>
        </w:tc>
        <w:tc>
          <w:tcPr>
            <w:tcW w:w="1311" w:type="dxa"/>
          </w:tcPr>
          <w:p>
            <w:pPr>
              <w:pStyle w:val="TableParagraph"/>
              <w:ind w:right="259"/>
              <w:rPr>
                <w:sz w:val="20"/>
              </w:rPr>
            </w:pPr>
            <w:r>
              <w:rPr>
                <w:w w:val="95"/>
                <w:sz w:val="20"/>
              </w:rPr>
              <w:t>344</w:t>
            </w:r>
          </w:p>
        </w:tc>
        <w:tc>
          <w:tcPr>
            <w:tcW w:w="1127" w:type="dxa"/>
          </w:tcPr>
          <w:p>
            <w:pPr>
              <w:pStyle w:val="TableParagraph"/>
              <w:ind w:right="108"/>
              <w:rPr>
                <w:sz w:val="20"/>
              </w:rPr>
            </w:pPr>
            <w:r>
              <w:rPr>
                <w:w w:val="95"/>
                <w:sz w:val="20"/>
              </w:rPr>
              <w:t>340</w:t>
            </w:r>
          </w:p>
        </w:tc>
      </w:tr>
      <w:tr>
        <w:trPr>
          <w:trHeight w:val="300" w:hRule="atLeast"/>
        </w:trPr>
        <w:tc>
          <w:tcPr>
            <w:tcW w:w="5911" w:type="dxa"/>
            <w:shd w:val="clear" w:color="auto" w:fill="D2DFED"/>
          </w:tcPr>
          <w:p>
            <w:pPr>
              <w:pStyle w:val="TableParagraph"/>
              <w:ind w:left="122"/>
              <w:jc w:val="left"/>
              <w:rPr>
                <w:b/>
                <w:sz w:val="20"/>
              </w:rPr>
            </w:pPr>
            <w:r>
              <w:rPr>
                <w:b/>
                <w:sz w:val="20"/>
              </w:rPr>
              <w:t>Legal Aid Commission of Western Australia</w:t>
            </w:r>
          </w:p>
        </w:tc>
        <w:tc>
          <w:tcPr>
            <w:tcW w:w="1275" w:type="dxa"/>
            <w:shd w:val="clear" w:color="auto" w:fill="D2DFED"/>
          </w:tcPr>
          <w:p>
            <w:pPr>
              <w:pStyle w:val="TableParagraph"/>
              <w:ind w:right="224"/>
              <w:rPr>
                <w:sz w:val="20"/>
              </w:rPr>
            </w:pPr>
            <w:r>
              <w:rPr>
                <w:w w:val="95"/>
                <w:sz w:val="20"/>
              </w:rPr>
              <w:t>342</w:t>
            </w:r>
          </w:p>
        </w:tc>
        <w:tc>
          <w:tcPr>
            <w:tcW w:w="1311" w:type="dxa"/>
            <w:shd w:val="clear" w:color="auto" w:fill="D2DFED"/>
          </w:tcPr>
          <w:p>
            <w:pPr>
              <w:pStyle w:val="TableParagraph"/>
              <w:ind w:right="259"/>
              <w:rPr>
                <w:sz w:val="20"/>
              </w:rPr>
            </w:pPr>
            <w:r>
              <w:rPr>
                <w:w w:val="95"/>
                <w:sz w:val="20"/>
              </w:rPr>
              <w:t>303</w:t>
            </w:r>
          </w:p>
        </w:tc>
        <w:tc>
          <w:tcPr>
            <w:tcW w:w="1127" w:type="dxa"/>
            <w:shd w:val="clear" w:color="auto" w:fill="D2DFED"/>
          </w:tcPr>
          <w:p>
            <w:pPr>
              <w:pStyle w:val="TableParagraph"/>
              <w:ind w:right="108"/>
              <w:rPr>
                <w:sz w:val="20"/>
              </w:rPr>
            </w:pPr>
            <w:r>
              <w:rPr>
                <w:w w:val="95"/>
                <w:sz w:val="20"/>
              </w:rPr>
              <w:t>292</w:t>
            </w:r>
          </w:p>
        </w:tc>
      </w:tr>
      <w:tr>
        <w:trPr>
          <w:trHeight w:val="300" w:hRule="atLeast"/>
        </w:trPr>
        <w:tc>
          <w:tcPr>
            <w:tcW w:w="5911" w:type="dxa"/>
          </w:tcPr>
          <w:p>
            <w:pPr>
              <w:pStyle w:val="TableParagraph"/>
              <w:ind w:left="122"/>
              <w:jc w:val="left"/>
              <w:rPr>
                <w:b/>
                <w:sz w:val="20"/>
              </w:rPr>
            </w:pPr>
            <w:r>
              <w:rPr>
                <w:b/>
                <w:sz w:val="20"/>
              </w:rPr>
              <w:t>Fremantle Port Authority</w:t>
            </w:r>
          </w:p>
        </w:tc>
        <w:tc>
          <w:tcPr>
            <w:tcW w:w="1275" w:type="dxa"/>
          </w:tcPr>
          <w:p>
            <w:pPr>
              <w:pStyle w:val="TableParagraph"/>
              <w:ind w:right="224"/>
              <w:rPr>
                <w:sz w:val="20"/>
              </w:rPr>
            </w:pPr>
            <w:r>
              <w:rPr>
                <w:w w:val="95"/>
                <w:sz w:val="20"/>
              </w:rPr>
              <w:t>332</w:t>
            </w:r>
          </w:p>
        </w:tc>
        <w:tc>
          <w:tcPr>
            <w:tcW w:w="1311" w:type="dxa"/>
          </w:tcPr>
          <w:p>
            <w:pPr>
              <w:pStyle w:val="TableParagraph"/>
              <w:ind w:right="259"/>
              <w:rPr>
                <w:sz w:val="20"/>
              </w:rPr>
            </w:pPr>
            <w:r>
              <w:rPr>
                <w:w w:val="95"/>
                <w:sz w:val="20"/>
              </w:rPr>
              <w:t>320</w:t>
            </w:r>
          </w:p>
        </w:tc>
        <w:tc>
          <w:tcPr>
            <w:tcW w:w="1127" w:type="dxa"/>
          </w:tcPr>
          <w:p>
            <w:pPr>
              <w:pStyle w:val="TableParagraph"/>
              <w:ind w:right="108"/>
              <w:rPr>
                <w:sz w:val="20"/>
              </w:rPr>
            </w:pPr>
            <w:r>
              <w:rPr>
                <w:w w:val="95"/>
                <w:sz w:val="20"/>
              </w:rPr>
              <w:t>319</w:t>
            </w:r>
          </w:p>
        </w:tc>
      </w:tr>
      <w:tr>
        <w:trPr>
          <w:trHeight w:val="300" w:hRule="atLeast"/>
        </w:trPr>
        <w:tc>
          <w:tcPr>
            <w:tcW w:w="5911" w:type="dxa"/>
            <w:shd w:val="clear" w:color="auto" w:fill="D2DFED"/>
          </w:tcPr>
          <w:p>
            <w:pPr>
              <w:pStyle w:val="TableParagraph"/>
              <w:ind w:left="122"/>
              <w:jc w:val="left"/>
              <w:rPr>
                <w:b/>
                <w:sz w:val="20"/>
              </w:rPr>
            </w:pPr>
            <w:r>
              <w:rPr>
                <w:b/>
                <w:sz w:val="20"/>
              </w:rPr>
              <w:t>Government Employees Superannuation Board (GESB)</w:t>
            </w:r>
          </w:p>
        </w:tc>
        <w:tc>
          <w:tcPr>
            <w:tcW w:w="1275" w:type="dxa"/>
            <w:shd w:val="clear" w:color="auto" w:fill="D2DFED"/>
          </w:tcPr>
          <w:p>
            <w:pPr>
              <w:pStyle w:val="TableParagraph"/>
              <w:ind w:right="224"/>
              <w:rPr>
                <w:sz w:val="20"/>
              </w:rPr>
            </w:pPr>
            <w:r>
              <w:rPr>
                <w:w w:val="95"/>
                <w:sz w:val="20"/>
              </w:rPr>
              <w:t>218</w:t>
            </w:r>
          </w:p>
        </w:tc>
        <w:tc>
          <w:tcPr>
            <w:tcW w:w="1311" w:type="dxa"/>
            <w:shd w:val="clear" w:color="auto" w:fill="D2DFED"/>
          </w:tcPr>
          <w:p>
            <w:pPr>
              <w:pStyle w:val="TableParagraph"/>
              <w:ind w:right="259"/>
              <w:rPr>
                <w:sz w:val="20"/>
              </w:rPr>
            </w:pPr>
            <w:r>
              <w:rPr>
                <w:w w:val="95"/>
                <w:sz w:val="20"/>
              </w:rPr>
              <w:t>207</w:t>
            </w:r>
          </w:p>
        </w:tc>
        <w:tc>
          <w:tcPr>
            <w:tcW w:w="1127" w:type="dxa"/>
            <w:shd w:val="clear" w:color="auto" w:fill="D2DFED"/>
          </w:tcPr>
          <w:p>
            <w:pPr>
              <w:pStyle w:val="TableParagraph"/>
              <w:ind w:right="108"/>
              <w:rPr>
                <w:sz w:val="20"/>
              </w:rPr>
            </w:pPr>
            <w:r>
              <w:rPr>
                <w:w w:val="95"/>
                <w:sz w:val="20"/>
              </w:rPr>
              <w:t>216</w:t>
            </w:r>
          </w:p>
        </w:tc>
      </w:tr>
      <w:tr>
        <w:trPr>
          <w:trHeight w:val="300" w:hRule="atLeast"/>
        </w:trPr>
        <w:tc>
          <w:tcPr>
            <w:tcW w:w="5911" w:type="dxa"/>
          </w:tcPr>
          <w:p>
            <w:pPr>
              <w:pStyle w:val="TableParagraph"/>
              <w:ind w:left="122"/>
              <w:jc w:val="left"/>
              <w:rPr>
                <w:b/>
                <w:sz w:val="20"/>
              </w:rPr>
            </w:pPr>
            <w:r>
              <w:rPr>
                <w:b/>
                <w:sz w:val="20"/>
              </w:rPr>
              <w:t>Western Australian Land Authority (LandCorp)</w:t>
            </w:r>
          </w:p>
        </w:tc>
        <w:tc>
          <w:tcPr>
            <w:tcW w:w="1275" w:type="dxa"/>
          </w:tcPr>
          <w:p>
            <w:pPr>
              <w:pStyle w:val="TableParagraph"/>
              <w:ind w:right="224"/>
              <w:rPr>
                <w:sz w:val="20"/>
              </w:rPr>
            </w:pPr>
            <w:r>
              <w:rPr>
                <w:w w:val="95"/>
                <w:sz w:val="20"/>
              </w:rPr>
              <w:t>209</w:t>
            </w:r>
          </w:p>
        </w:tc>
        <w:tc>
          <w:tcPr>
            <w:tcW w:w="1311" w:type="dxa"/>
          </w:tcPr>
          <w:p>
            <w:pPr>
              <w:pStyle w:val="TableParagraph"/>
              <w:ind w:right="259"/>
              <w:rPr>
                <w:sz w:val="20"/>
              </w:rPr>
            </w:pPr>
            <w:r>
              <w:rPr>
                <w:w w:val="95"/>
                <w:sz w:val="20"/>
              </w:rPr>
              <w:t>200</w:t>
            </w:r>
          </w:p>
        </w:tc>
        <w:tc>
          <w:tcPr>
            <w:tcW w:w="1127" w:type="dxa"/>
          </w:tcPr>
          <w:p>
            <w:pPr>
              <w:pStyle w:val="TableParagraph"/>
              <w:ind w:right="108"/>
              <w:rPr>
                <w:sz w:val="20"/>
              </w:rPr>
            </w:pPr>
            <w:r>
              <w:rPr>
                <w:w w:val="95"/>
                <w:sz w:val="20"/>
              </w:rPr>
              <w:t>217</w:t>
            </w:r>
          </w:p>
        </w:tc>
      </w:tr>
      <w:tr>
        <w:trPr>
          <w:trHeight w:val="300" w:hRule="atLeast"/>
        </w:trPr>
        <w:tc>
          <w:tcPr>
            <w:tcW w:w="5911" w:type="dxa"/>
            <w:shd w:val="clear" w:color="auto" w:fill="D2DFED"/>
          </w:tcPr>
          <w:p>
            <w:pPr>
              <w:pStyle w:val="TableParagraph"/>
              <w:ind w:left="122"/>
              <w:jc w:val="left"/>
              <w:rPr>
                <w:b/>
                <w:sz w:val="20"/>
              </w:rPr>
            </w:pPr>
            <w:r>
              <w:rPr>
                <w:b/>
                <w:sz w:val="20"/>
              </w:rPr>
              <w:t>Lotteries Commission (Lotterywest)</w:t>
            </w:r>
          </w:p>
        </w:tc>
        <w:tc>
          <w:tcPr>
            <w:tcW w:w="1275" w:type="dxa"/>
            <w:shd w:val="clear" w:color="auto" w:fill="D2DFED"/>
          </w:tcPr>
          <w:p>
            <w:pPr>
              <w:pStyle w:val="TableParagraph"/>
              <w:ind w:right="224"/>
              <w:rPr>
                <w:sz w:val="20"/>
              </w:rPr>
            </w:pPr>
            <w:r>
              <w:rPr>
                <w:w w:val="95"/>
                <w:sz w:val="20"/>
              </w:rPr>
              <w:t>194</w:t>
            </w:r>
          </w:p>
        </w:tc>
        <w:tc>
          <w:tcPr>
            <w:tcW w:w="1311" w:type="dxa"/>
            <w:shd w:val="clear" w:color="auto" w:fill="D2DFED"/>
          </w:tcPr>
          <w:p>
            <w:pPr>
              <w:pStyle w:val="TableParagraph"/>
              <w:ind w:right="259"/>
              <w:rPr>
                <w:sz w:val="20"/>
              </w:rPr>
            </w:pPr>
            <w:r>
              <w:rPr>
                <w:w w:val="95"/>
                <w:sz w:val="20"/>
              </w:rPr>
              <w:t>182</w:t>
            </w:r>
          </w:p>
        </w:tc>
        <w:tc>
          <w:tcPr>
            <w:tcW w:w="1127" w:type="dxa"/>
            <w:shd w:val="clear" w:color="auto" w:fill="D2DFED"/>
          </w:tcPr>
          <w:p>
            <w:pPr>
              <w:pStyle w:val="TableParagraph"/>
              <w:ind w:right="108"/>
              <w:rPr>
                <w:sz w:val="20"/>
              </w:rPr>
            </w:pPr>
            <w:r>
              <w:rPr>
                <w:w w:val="95"/>
                <w:sz w:val="20"/>
              </w:rPr>
              <w:t>188</w:t>
            </w:r>
          </w:p>
        </w:tc>
      </w:tr>
      <w:tr>
        <w:trPr>
          <w:trHeight w:val="300" w:hRule="atLeast"/>
        </w:trPr>
        <w:tc>
          <w:tcPr>
            <w:tcW w:w="5911" w:type="dxa"/>
          </w:tcPr>
          <w:p>
            <w:pPr>
              <w:pStyle w:val="TableParagraph"/>
              <w:ind w:left="122"/>
              <w:jc w:val="left"/>
              <w:rPr>
                <w:b/>
                <w:sz w:val="20"/>
              </w:rPr>
            </w:pPr>
            <w:r>
              <w:rPr>
                <w:b/>
                <w:sz w:val="20"/>
              </w:rPr>
              <w:t>Forest Products Commission</w:t>
            </w:r>
          </w:p>
        </w:tc>
        <w:tc>
          <w:tcPr>
            <w:tcW w:w="1275" w:type="dxa"/>
          </w:tcPr>
          <w:p>
            <w:pPr>
              <w:pStyle w:val="TableParagraph"/>
              <w:ind w:right="224"/>
              <w:rPr>
                <w:sz w:val="20"/>
              </w:rPr>
            </w:pPr>
            <w:r>
              <w:rPr>
                <w:w w:val="95"/>
                <w:sz w:val="20"/>
              </w:rPr>
              <w:t>169</w:t>
            </w:r>
          </w:p>
        </w:tc>
        <w:tc>
          <w:tcPr>
            <w:tcW w:w="1311" w:type="dxa"/>
          </w:tcPr>
          <w:p>
            <w:pPr>
              <w:pStyle w:val="TableParagraph"/>
              <w:ind w:right="259"/>
              <w:rPr>
                <w:sz w:val="20"/>
              </w:rPr>
            </w:pPr>
            <w:r>
              <w:rPr>
                <w:w w:val="95"/>
                <w:sz w:val="20"/>
              </w:rPr>
              <w:t>147</w:t>
            </w:r>
          </w:p>
        </w:tc>
        <w:tc>
          <w:tcPr>
            <w:tcW w:w="1127" w:type="dxa"/>
          </w:tcPr>
          <w:p>
            <w:pPr>
              <w:pStyle w:val="TableParagraph"/>
              <w:ind w:right="108"/>
              <w:rPr>
                <w:sz w:val="20"/>
              </w:rPr>
            </w:pPr>
            <w:r>
              <w:rPr>
                <w:w w:val="95"/>
                <w:sz w:val="20"/>
              </w:rPr>
              <w:t>151</w:t>
            </w:r>
          </w:p>
        </w:tc>
      </w:tr>
      <w:tr>
        <w:trPr>
          <w:trHeight w:val="300" w:hRule="atLeast"/>
        </w:trPr>
        <w:tc>
          <w:tcPr>
            <w:tcW w:w="5911" w:type="dxa"/>
            <w:shd w:val="clear" w:color="auto" w:fill="D2DFED"/>
          </w:tcPr>
          <w:p>
            <w:pPr>
              <w:pStyle w:val="TableParagraph"/>
              <w:ind w:left="122"/>
              <w:jc w:val="left"/>
              <w:rPr>
                <w:b/>
                <w:sz w:val="20"/>
              </w:rPr>
            </w:pPr>
            <w:r>
              <w:rPr>
                <w:b/>
                <w:sz w:val="20"/>
              </w:rPr>
              <w:t>Rottnest Island Authority</w:t>
            </w:r>
          </w:p>
        </w:tc>
        <w:tc>
          <w:tcPr>
            <w:tcW w:w="1275" w:type="dxa"/>
            <w:shd w:val="clear" w:color="auto" w:fill="D2DFED"/>
          </w:tcPr>
          <w:p>
            <w:pPr>
              <w:pStyle w:val="TableParagraph"/>
              <w:ind w:right="224"/>
              <w:rPr>
                <w:sz w:val="20"/>
              </w:rPr>
            </w:pPr>
            <w:r>
              <w:rPr>
                <w:w w:val="95"/>
                <w:sz w:val="20"/>
              </w:rPr>
              <w:t>154</w:t>
            </w:r>
          </w:p>
        </w:tc>
        <w:tc>
          <w:tcPr>
            <w:tcW w:w="1311" w:type="dxa"/>
            <w:shd w:val="clear" w:color="auto" w:fill="D2DFED"/>
          </w:tcPr>
          <w:p>
            <w:pPr>
              <w:pStyle w:val="TableParagraph"/>
              <w:ind w:right="259"/>
              <w:rPr>
                <w:sz w:val="20"/>
              </w:rPr>
            </w:pPr>
            <w:r>
              <w:rPr>
                <w:w w:val="95"/>
                <w:sz w:val="20"/>
              </w:rPr>
              <w:t>127</w:t>
            </w:r>
          </w:p>
        </w:tc>
        <w:tc>
          <w:tcPr>
            <w:tcW w:w="1127" w:type="dxa"/>
            <w:shd w:val="clear" w:color="auto" w:fill="D2DFED"/>
          </w:tcPr>
          <w:p>
            <w:pPr>
              <w:pStyle w:val="TableParagraph"/>
              <w:ind w:right="108"/>
              <w:rPr>
                <w:sz w:val="20"/>
              </w:rPr>
            </w:pPr>
            <w:r>
              <w:rPr>
                <w:w w:val="95"/>
                <w:sz w:val="20"/>
              </w:rPr>
              <w:t>121</w:t>
            </w:r>
          </w:p>
        </w:tc>
      </w:tr>
      <w:tr>
        <w:trPr>
          <w:trHeight w:val="300" w:hRule="atLeast"/>
        </w:trPr>
        <w:tc>
          <w:tcPr>
            <w:tcW w:w="5911" w:type="dxa"/>
          </w:tcPr>
          <w:p>
            <w:pPr>
              <w:pStyle w:val="TableParagraph"/>
              <w:ind w:left="122"/>
              <w:jc w:val="left"/>
              <w:rPr>
                <w:b/>
                <w:sz w:val="20"/>
              </w:rPr>
            </w:pPr>
            <w:r>
              <w:rPr>
                <w:b/>
                <w:sz w:val="20"/>
              </w:rPr>
              <w:t>WorkCover Western Australia Authority</w:t>
            </w:r>
          </w:p>
        </w:tc>
        <w:tc>
          <w:tcPr>
            <w:tcW w:w="1275" w:type="dxa"/>
          </w:tcPr>
          <w:p>
            <w:pPr>
              <w:pStyle w:val="TableParagraph"/>
              <w:ind w:right="224"/>
              <w:rPr>
                <w:sz w:val="20"/>
              </w:rPr>
            </w:pPr>
            <w:r>
              <w:rPr>
                <w:w w:val="95"/>
                <w:sz w:val="20"/>
              </w:rPr>
              <w:t>154</w:t>
            </w:r>
          </w:p>
        </w:tc>
        <w:tc>
          <w:tcPr>
            <w:tcW w:w="1311" w:type="dxa"/>
          </w:tcPr>
          <w:p>
            <w:pPr>
              <w:pStyle w:val="TableParagraph"/>
              <w:ind w:right="259"/>
              <w:rPr>
                <w:sz w:val="20"/>
              </w:rPr>
            </w:pPr>
            <w:r>
              <w:rPr>
                <w:w w:val="95"/>
                <w:sz w:val="20"/>
              </w:rPr>
              <w:t>146</w:t>
            </w:r>
          </w:p>
        </w:tc>
        <w:tc>
          <w:tcPr>
            <w:tcW w:w="1127" w:type="dxa"/>
          </w:tcPr>
          <w:p>
            <w:pPr>
              <w:pStyle w:val="TableParagraph"/>
              <w:ind w:right="108"/>
              <w:rPr>
                <w:sz w:val="20"/>
              </w:rPr>
            </w:pPr>
            <w:r>
              <w:rPr>
                <w:w w:val="95"/>
                <w:sz w:val="20"/>
              </w:rPr>
              <w:t>145</w:t>
            </w:r>
          </w:p>
        </w:tc>
      </w:tr>
      <w:tr>
        <w:trPr>
          <w:trHeight w:val="300" w:hRule="atLeast"/>
        </w:trPr>
        <w:tc>
          <w:tcPr>
            <w:tcW w:w="5911" w:type="dxa"/>
            <w:shd w:val="clear" w:color="auto" w:fill="D2DFED"/>
          </w:tcPr>
          <w:p>
            <w:pPr>
              <w:pStyle w:val="TableParagraph"/>
              <w:ind w:left="122"/>
              <w:jc w:val="left"/>
              <w:rPr>
                <w:b/>
                <w:sz w:val="20"/>
              </w:rPr>
            </w:pPr>
            <w:r>
              <w:rPr>
                <w:b/>
                <w:sz w:val="20"/>
              </w:rPr>
              <w:t>Metropolitan Cemeteries Board</w:t>
            </w:r>
          </w:p>
        </w:tc>
        <w:tc>
          <w:tcPr>
            <w:tcW w:w="1275" w:type="dxa"/>
            <w:shd w:val="clear" w:color="auto" w:fill="D2DFED"/>
          </w:tcPr>
          <w:p>
            <w:pPr>
              <w:pStyle w:val="TableParagraph"/>
              <w:ind w:right="224"/>
              <w:rPr>
                <w:sz w:val="20"/>
              </w:rPr>
            </w:pPr>
            <w:r>
              <w:rPr>
                <w:w w:val="95"/>
                <w:sz w:val="20"/>
              </w:rPr>
              <w:t>149</w:t>
            </w:r>
          </w:p>
        </w:tc>
        <w:tc>
          <w:tcPr>
            <w:tcW w:w="1311" w:type="dxa"/>
            <w:shd w:val="clear" w:color="auto" w:fill="D2DFED"/>
          </w:tcPr>
          <w:p>
            <w:pPr>
              <w:pStyle w:val="TableParagraph"/>
              <w:ind w:right="259"/>
              <w:rPr>
                <w:sz w:val="20"/>
              </w:rPr>
            </w:pPr>
            <w:r>
              <w:rPr>
                <w:w w:val="95"/>
                <w:sz w:val="20"/>
              </w:rPr>
              <w:t>129</w:t>
            </w:r>
          </w:p>
        </w:tc>
        <w:tc>
          <w:tcPr>
            <w:tcW w:w="1127" w:type="dxa"/>
            <w:shd w:val="clear" w:color="auto" w:fill="D2DFED"/>
          </w:tcPr>
          <w:p>
            <w:pPr>
              <w:pStyle w:val="TableParagraph"/>
              <w:ind w:right="108"/>
              <w:rPr>
                <w:sz w:val="20"/>
              </w:rPr>
            </w:pPr>
            <w:r>
              <w:rPr>
                <w:w w:val="95"/>
                <w:sz w:val="20"/>
              </w:rPr>
              <w:t>127</w:t>
            </w:r>
          </w:p>
        </w:tc>
      </w:tr>
      <w:tr>
        <w:trPr>
          <w:trHeight w:val="300" w:hRule="atLeast"/>
        </w:trPr>
        <w:tc>
          <w:tcPr>
            <w:tcW w:w="5911" w:type="dxa"/>
          </w:tcPr>
          <w:p>
            <w:pPr>
              <w:pStyle w:val="TableParagraph"/>
              <w:ind w:left="122"/>
              <w:jc w:val="left"/>
              <w:rPr>
                <w:b/>
                <w:sz w:val="20"/>
              </w:rPr>
            </w:pPr>
            <w:r>
              <w:rPr>
                <w:b/>
                <w:sz w:val="20"/>
              </w:rPr>
              <w:t>Esperance Port Authority</w:t>
            </w:r>
          </w:p>
        </w:tc>
        <w:tc>
          <w:tcPr>
            <w:tcW w:w="1275" w:type="dxa"/>
          </w:tcPr>
          <w:p>
            <w:pPr>
              <w:pStyle w:val="TableParagraph"/>
              <w:ind w:right="224"/>
              <w:rPr>
                <w:sz w:val="20"/>
              </w:rPr>
            </w:pPr>
            <w:r>
              <w:rPr>
                <w:w w:val="95"/>
                <w:sz w:val="20"/>
              </w:rPr>
              <w:t>113</w:t>
            </w:r>
          </w:p>
        </w:tc>
        <w:tc>
          <w:tcPr>
            <w:tcW w:w="1311" w:type="dxa"/>
          </w:tcPr>
          <w:p>
            <w:pPr>
              <w:pStyle w:val="TableParagraph"/>
              <w:ind w:right="259"/>
              <w:rPr>
                <w:sz w:val="20"/>
              </w:rPr>
            </w:pPr>
            <w:r>
              <w:rPr>
                <w:w w:val="95"/>
                <w:sz w:val="20"/>
              </w:rPr>
              <w:t>113</w:t>
            </w:r>
          </w:p>
        </w:tc>
        <w:tc>
          <w:tcPr>
            <w:tcW w:w="1127" w:type="dxa"/>
          </w:tcPr>
          <w:p>
            <w:pPr>
              <w:pStyle w:val="TableParagraph"/>
              <w:ind w:right="108"/>
              <w:rPr>
                <w:sz w:val="20"/>
              </w:rPr>
            </w:pPr>
            <w:r>
              <w:rPr>
                <w:w w:val="95"/>
                <w:sz w:val="20"/>
              </w:rPr>
              <w:t>111</w:t>
            </w:r>
          </w:p>
        </w:tc>
      </w:tr>
      <w:tr>
        <w:trPr>
          <w:trHeight w:val="300" w:hRule="atLeast"/>
        </w:trPr>
        <w:tc>
          <w:tcPr>
            <w:tcW w:w="5911" w:type="dxa"/>
            <w:shd w:val="clear" w:color="auto" w:fill="D2DFED"/>
          </w:tcPr>
          <w:p>
            <w:pPr>
              <w:pStyle w:val="TableParagraph"/>
              <w:ind w:left="122"/>
              <w:jc w:val="left"/>
              <w:rPr>
                <w:b/>
                <w:sz w:val="20"/>
              </w:rPr>
            </w:pPr>
            <w:r>
              <w:rPr>
                <w:b/>
                <w:sz w:val="20"/>
              </w:rPr>
              <w:t>Port Hedland Port Authority</w:t>
            </w:r>
          </w:p>
        </w:tc>
        <w:tc>
          <w:tcPr>
            <w:tcW w:w="1275" w:type="dxa"/>
            <w:shd w:val="clear" w:color="auto" w:fill="D2DFED"/>
          </w:tcPr>
          <w:p>
            <w:pPr>
              <w:pStyle w:val="TableParagraph"/>
              <w:ind w:right="224"/>
              <w:rPr>
                <w:sz w:val="20"/>
              </w:rPr>
            </w:pPr>
            <w:r>
              <w:rPr>
                <w:w w:val="95"/>
                <w:sz w:val="20"/>
              </w:rPr>
              <w:t>103</w:t>
            </w:r>
          </w:p>
        </w:tc>
        <w:tc>
          <w:tcPr>
            <w:tcW w:w="1311" w:type="dxa"/>
            <w:shd w:val="clear" w:color="auto" w:fill="D2DFED"/>
          </w:tcPr>
          <w:p>
            <w:pPr>
              <w:pStyle w:val="TableParagraph"/>
              <w:ind w:right="259"/>
              <w:rPr>
                <w:sz w:val="20"/>
              </w:rPr>
            </w:pPr>
            <w:r>
              <w:rPr>
                <w:w w:val="95"/>
                <w:sz w:val="20"/>
              </w:rPr>
              <w:t>102</w:t>
            </w:r>
          </w:p>
        </w:tc>
        <w:tc>
          <w:tcPr>
            <w:tcW w:w="1127" w:type="dxa"/>
            <w:shd w:val="clear" w:color="auto" w:fill="D2DFED"/>
          </w:tcPr>
          <w:p>
            <w:pPr>
              <w:pStyle w:val="TableParagraph"/>
              <w:ind w:right="106"/>
              <w:rPr>
                <w:sz w:val="20"/>
              </w:rPr>
            </w:pPr>
            <w:r>
              <w:rPr>
                <w:w w:val="95"/>
                <w:sz w:val="20"/>
              </w:rPr>
              <w:t>89</w:t>
            </w:r>
          </w:p>
        </w:tc>
      </w:tr>
      <w:tr>
        <w:trPr>
          <w:trHeight w:val="300" w:hRule="atLeast"/>
        </w:trPr>
        <w:tc>
          <w:tcPr>
            <w:tcW w:w="5911" w:type="dxa"/>
          </w:tcPr>
          <w:p>
            <w:pPr>
              <w:pStyle w:val="TableParagraph"/>
              <w:ind w:left="122"/>
              <w:jc w:val="left"/>
              <w:rPr>
                <w:b/>
                <w:sz w:val="20"/>
              </w:rPr>
            </w:pPr>
            <w:r>
              <w:rPr>
                <w:b/>
                <w:sz w:val="20"/>
              </w:rPr>
              <w:t>Geraldton Port Authority</w:t>
            </w:r>
          </w:p>
        </w:tc>
        <w:tc>
          <w:tcPr>
            <w:tcW w:w="1275" w:type="dxa"/>
          </w:tcPr>
          <w:p>
            <w:pPr>
              <w:pStyle w:val="TableParagraph"/>
              <w:ind w:right="222"/>
              <w:rPr>
                <w:sz w:val="20"/>
              </w:rPr>
            </w:pPr>
            <w:r>
              <w:rPr>
                <w:w w:val="95"/>
                <w:sz w:val="20"/>
              </w:rPr>
              <w:t>84</w:t>
            </w:r>
          </w:p>
        </w:tc>
        <w:tc>
          <w:tcPr>
            <w:tcW w:w="1311" w:type="dxa"/>
          </w:tcPr>
          <w:p>
            <w:pPr>
              <w:pStyle w:val="TableParagraph"/>
              <w:ind w:right="256"/>
              <w:rPr>
                <w:sz w:val="20"/>
              </w:rPr>
            </w:pPr>
            <w:r>
              <w:rPr>
                <w:w w:val="95"/>
                <w:sz w:val="20"/>
              </w:rPr>
              <w:t>69</w:t>
            </w:r>
          </w:p>
        </w:tc>
        <w:tc>
          <w:tcPr>
            <w:tcW w:w="1127" w:type="dxa"/>
          </w:tcPr>
          <w:p>
            <w:pPr>
              <w:pStyle w:val="TableParagraph"/>
              <w:ind w:right="106"/>
              <w:rPr>
                <w:sz w:val="20"/>
              </w:rPr>
            </w:pPr>
            <w:r>
              <w:rPr>
                <w:w w:val="95"/>
                <w:sz w:val="20"/>
              </w:rPr>
              <w:t>64</w:t>
            </w:r>
          </w:p>
        </w:tc>
      </w:tr>
      <w:tr>
        <w:trPr>
          <w:trHeight w:val="300" w:hRule="atLeast"/>
        </w:trPr>
        <w:tc>
          <w:tcPr>
            <w:tcW w:w="5911" w:type="dxa"/>
            <w:shd w:val="clear" w:color="auto" w:fill="D2DFED"/>
          </w:tcPr>
          <w:p>
            <w:pPr>
              <w:pStyle w:val="TableParagraph"/>
              <w:ind w:left="122"/>
              <w:jc w:val="left"/>
              <w:rPr>
                <w:b/>
                <w:sz w:val="20"/>
              </w:rPr>
            </w:pPr>
            <w:r>
              <w:rPr>
                <w:b/>
                <w:sz w:val="20"/>
              </w:rPr>
              <w:t>Western Australian Treasury Corporation</w:t>
            </w:r>
          </w:p>
        </w:tc>
        <w:tc>
          <w:tcPr>
            <w:tcW w:w="1275" w:type="dxa"/>
            <w:shd w:val="clear" w:color="auto" w:fill="D2DFED"/>
          </w:tcPr>
          <w:p>
            <w:pPr>
              <w:pStyle w:val="TableParagraph"/>
              <w:ind w:right="222"/>
              <w:rPr>
                <w:sz w:val="20"/>
              </w:rPr>
            </w:pPr>
            <w:r>
              <w:rPr>
                <w:w w:val="95"/>
                <w:sz w:val="20"/>
              </w:rPr>
              <w:t>67</w:t>
            </w:r>
          </w:p>
        </w:tc>
        <w:tc>
          <w:tcPr>
            <w:tcW w:w="1311" w:type="dxa"/>
            <w:shd w:val="clear" w:color="auto" w:fill="D2DFED"/>
          </w:tcPr>
          <w:p>
            <w:pPr>
              <w:pStyle w:val="TableParagraph"/>
              <w:ind w:right="256"/>
              <w:rPr>
                <w:sz w:val="20"/>
              </w:rPr>
            </w:pPr>
            <w:r>
              <w:rPr>
                <w:w w:val="95"/>
                <w:sz w:val="20"/>
              </w:rPr>
              <w:t>64</w:t>
            </w:r>
          </w:p>
        </w:tc>
        <w:tc>
          <w:tcPr>
            <w:tcW w:w="1127" w:type="dxa"/>
            <w:shd w:val="clear" w:color="auto" w:fill="D2DFED"/>
          </w:tcPr>
          <w:p>
            <w:pPr>
              <w:pStyle w:val="TableParagraph"/>
              <w:ind w:right="106"/>
              <w:rPr>
                <w:sz w:val="20"/>
              </w:rPr>
            </w:pPr>
            <w:r>
              <w:rPr>
                <w:w w:val="95"/>
                <w:sz w:val="20"/>
              </w:rPr>
              <w:t>63</w:t>
            </w:r>
          </w:p>
        </w:tc>
      </w:tr>
      <w:tr>
        <w:trPr>
          <w:trHeight w:val="300" w:hRule="atLeast"/>
        </w:trPr>
        <w:tc>
          <w:tcPr>
            <w:tcW w:w="5911" w:type="dxa"/>
          </w:tcPr>
          <w:p>
            <w:pPr>
              <w:pStyle w:val="TableParagraph"/>
              <w:ind w:left="122"/>
              <w:jc w:val="left"/>
              <w:rPr>
                <w:b/>
                <w:sz w:val="20"/>
              </w:rPr>
            </w:pPr>
            <w:r>
              <w:rPr>
                <w:b/>
                <w:sz w:val="20"/>
              </w:rPr>
              <w:t>Animal Resources Authority</w:t>
            </w:r>
          </w:p>
        </w:tc>
        <w:tc>
          <w:tcPr>
            <w:tcW w:w="1275" w:type="dxa"/>
          </w:tcPr>
          <w:p>
            <w:pPr>
              <w:pStyle w:val="TableParagraph"/>
              <w:ind w:right="222"/>
              <w:rPr>
                <w:sz w:val="20"/>
              </w:rPr>
            </w:pPr>
            <w:r>
              <w:rPr>
                <w:w w:val="95"/>
                <w:sz w:val="20"/>
              </w:rPr>
              <w:t>64</w:t>
            </w:r>
          </w:p>
        </w:tc>
        <w:tc>
          <w:tcPr>
            <w:tcW w:w="1311" w:type="dxa"/>
          </w:tcPr>
          <w:p>
            <w:pPr>
              <w:pStyle w:val="TableParagraph"/>
              <w:ind w:right="256"/>
              <w:rPr>
                <w:sz w:val="20"/>
              </w:rPr>
            </w:pPr>
            <w:r>
              <w:rPr>
                <w:w w:val="95"/>
                <w:sz w:val="20"/>
              </w:rPr>
              <w:t>49</w:t>
            </w:r>
          </w:p>
        </w:tc>
        <w:tc>
          <w:tcPr>
            <w:tcW w:w="1127" w:type="dxa"/>
          </w:tcPr>
          <w:p>
            <w:pPr>
              <w:pStyle w:val="TableParagraph"/>
              <w:ind w:right="106"/>
              <w:rPr>
                <w:sz w:val="20"/>
              </w:rPr>
            </w:pPr>
            <w:r>
              <w:rPr>
                <w:w w:val="95"/>
                <w:sz w:val="20"/>
              </w:rPr>
              <w:t>49</w:t>
            </w:r>
          </w:p>
        </w:tc>
      </w:tr>
      <w:tr>
        <w:trPr>
          <w:trHeight w:val="300" w:hRule="atLeast"/>
        </w:trPr>
        <w:tc>
          <w:tcPr>
            <w:tcW w:w="5911" w:type="dxa"/>
            <w:shd w:val="clear" w:color="auto" w:fill="D2DFED"/>
          </w:tcPr>
          <w:p>
            <w:pPr>
              <w:pStyle w:val="TableParagraph"/>
              <w:ind w:left="122"/>
              <w:jc w:val="left"/>
              <w:rPr>
                <w:b/>
                <w:sz w:val="20"/>
              </w:rPr>
            </w:pPr>
            <w:r>
              <w:rPr>
                <w:b/>
                <w:sz w:val="20"/>
              </w:rPr>
              <w:t>Western Australian Institute of Sport</w:t>
            </w:r>
          </w:p>
        </w:tc>
        <w:tc>
          <w:tcPr>
            <w:tcW w:w="1275" w:type="dxa"/>
            <w:shd w:val="clear" w:color="auto" w:fill="D2DFED"/>
          </w:tcPr>
          <w:p>
            <w:pPr>
              <w:pStyle w:val="TableParagraph"/>
              <w:ind w:right="222"/>
              <w:rPr>
                <w:sz w:val="20"/>
              </w:rPr>
            </w:pPr>
            <w:r>
              <w:rPr>
                <w:w w:val="95"/>
                <w:sz w:val="20"/>
              </w:rPr>
              <w:t>61</w:t>
            </w:r>
          </w:p>
        </w:tc>
        <w:tc>
          <w:tcPr>
            <w:tcW w:w="1311" w:type="dxa"/>
            <w:shd w:val="clear" w:color="auto" w:fill="D2DFED"/>
          </w:tcPr>
          <w:p>
            <w:pPr>
              <w:pStyle w:val="TableParagraph"/>
              <w:ind w:right="256"/>
              <w:rPr>
                <w:sz w:val="20"/>
              </w:rPr>
            </w:pPr>
            <w:r>
              <w:rPr>
                <w:w w:val="95"/>
                <w:sz w:val="20"/>
              </w:rPr>
              <w:t>52</w:t>
            </w:r>
          </w:p>
        </w:tc>
        <w:tc>
          <w:tcPr>
            <w:tcW w:w="1127" w:type="dxa"/>
            <w:shd w:val="clear" w:color="auto" w:fill="D2DFED"/>
          </w:tcPr>
          <w:p>
            <w:pPr>
              <w:pStyle w:val="TableParagraph"/>
              <w:ind w:right="106"/>
              <w:rPr>
                <w:sz w:val="20"/>
              </w:rPr>
            </w:pPr>
            <w:r>
              <w:rPr>
                <w:w w:val="95"/>
                <w:sz w:val="20"/>
              </w:rPr>
              <w:t>51</w:t>
            </w:r>
          </w:p>
        </w:tc>
      </w:tr>
      <w:tr>
        <w:trPr>
          <w:trHeight w:val="300" w:hRule="atLeast"/>
        </w:trPr>
        <w:tc>
          <w:tcPr>
            <w:tcW w:w="5911" w:type="dxa"/>
          </w:tcPr>
          <w:p>
            <w:pPr>
              <w:pStyle w:val="TableParagraph"/>
              <w:ind w:left="122"/>
              <w:jc w:val="left"/>
              <w:rPr>
                <w:b/>
                <w:sz w:val="20"/>
              </w:rPr>
            </w:pPr>
            <w:r>
              <w:rPr>
                <w:b/>
                <w:sz w:val="20"/>
              </w:rPr>
              <w:t>East Perth Redevelopment Authority</w:t>
            </w:r>
          </w:p>
        </w:tc>
        <w:tc>
          <w:tcPr>
            <w:tcW w:w="1275" w:type="dxa"/>
          </w:tcPr>
          <w:p>
            <w:pPr>
              <w:pStyle w:val="TableParagraph"/>
              <w:ind w:right="222"/>
              <w:rPr>
                <w:sz w:val="20"/>
              </w:rPr>
            </w:pPr>
            <w:r>
              <w:rPr>
                <w:w w:val="95"/>
                <w:sz w:val="20"/>
              </w:rPr>
              <w:t>60</w:t>
            </w:r>
          </w:p>
        </w:tc>
        <w:tc>
          <w:tcPr>
            <w:tcW w:w="1311" w:type="dxa"/>
          </w:tcPr>
          <w:p>
            <w:pPr>
              <w:pStyle w:val="TableParagraph"/>
              <w:ind w:right="256"/>
              <w:rPr>
                <w:sz w:val="20"/>
              </w:rPr>
            </w:pPr>
            <w:r>
              <w:rPr>
                <w:w w:val="95"/>
                <w:sz w:val="20"/>
              </w:rPr>
              <w:t>53</w:t>
            </w:r>
          </w:p>
        </w:tc>
        <w:tc>
          <w:tcPr>
            <w:tcW w:w="1127" w:type="dxa"/>
          </w:tcPr>
          <w:p>
            <w:pPr>
              <w:pStyle w:val="TableParagraph"/>
              <w:ind w:right="106"/>
              <w:rPr>
                <w:sz w:val="20"/>
              </w:rPr>
            </w:pPr>
            <w:r>
              <w:rPr>
                <w:w w:val="95"/>
                <w:sz w:val="20"/>
              </w:rPr>
              <w:t>50</w:t>
            </w:r>
          </w:p>
        </w:tc>
      </w:tr>
      <w:tr>
        <w:trPr>
          <w:trHeight w:val="300" w:hRule="atLeast"/>
        </w:trPr>
        <w:tc>
          <w:tcPr>
            <w:tcW w:w="5911" w:type="dxa"/>
            <w:shd w:val="clear" w:color="auto" w:fill="D2DFED"/>
          </w:tcPr>
          <w:p>
            <w:pPr>
              <w:pStyle w:val="TableParagraph"/>
              <w:ind w:left="122"/>
              <w:jc w:val="left"/>
              <w:rPr>
                <w:b/>
                <w:sz w:val="20"/>
              </w:rPr>
            </w:pPr>
            <w:r>
              <w:rPr>
                <w:b/>
                <w:sz w:val="20"/>
              </w:rPr>
              <w:t>Broome Port Authority</w:t>
            </w:r>
          </w:p>
        </w:tc>
        <w:tc>
          <w:tcPr>
            <w:tcW w:w="1275" w:type="dxa"/>
            <w:shd w:val="clear" w:color="auto" w:fill="D2DFED"/>
          </w:tcPr>
          <w:p>
            <w:pPr>
              <w:pStyle w:val="TableParagraph"/>
              <w:ind w:right="222"/>
              <w:rPr>
                <w:sz w:val="20"/>
              </w:rPr>
            </w:pPr>
            <w:r>
              <w:rPr>
                <w:w w:val="95"/>
                <w:sz w:val="20"/>
              </w:rPr>
              <w:t>59</w:t>
            </w:r>
          </w:p>
        </w:tc>
        <w:tc>
          <w:tcPr>
            <w:tcW w:w="1311" w:type="dxa"/>
            <w:shd w:val="clear" w:color="auto" w:fill="D2DFED"/>
          </w:tcPr>
          <w:p>
            <w:pPr>
              <w:pStyle w:val="TableParagraph"/>
              <w:ind w:right="256"/>
              <w:rPr>
                <w:sz w:val="20"/>
              </w:rPr>
            </w:pPr>
            <w:r>
              <w:rPr>
                <w:w w:val="95"/>
                <w:sz w:val="20"/>
              </w:rPr>
              <w:t>39</w:t>
            </w:r>
          </w:p>
        </w:tc>
        <w:tc>
          <w:tcPr>
            <w:tcW w:w="1127" w:type="dxa"/>
            <w:shd w:val="clear" w:color="auto" w:fill="D2DFED"/>
          </w:tcPr>
          <w:p>
            <w:pPr>
              <w:pStyle w:val="TableParagraph"/>
              <w:ind w:right="106"/>
              <w:rPr>
                <w:sz w:val="20"/>
              </w:rPr>
            </w:pPr>
            <w:r>
              <w:rPr>
                <w:w w:val="95"/>
                <w:sz w:val="20"/>
              </w:rPr>
              <w:t>40</w:t>
            </w:r>
          </w:p>
        </w:tc>
      </w:tr>
      <w:tr>
        <w:trPr>
          <w:trHeight w:val="300" w:hRule="atLeast"/>
        </w:trPr>
        <w:tc>
          <w:tcPr>
            <w:tcW w:w="5911" w:type="dxa"/>
          </w:tcPr>
          <w:p>
            <w:pPr>
              <w:pStyle w:val="TableParagraph"/>
              <w:ind w:left="122"/>
              <w:jc w:val="left"/>
              <w:rPr>
                <w:b/>
                <w:sz w:val="20"/>
              </w:rPr>
            </w:pPr>
            <w:r>
              <w:rPr>
                <w:b/>
                <w:sz w:val="20"/>
              </w:rPr>
              <w:t>Dampier Port Authority</w:t>
            </w:r>
          </w:p>
        </w:tc>
        <w:tc>
          <w:tcPr>
            <w:tcW w:w="1275" w:type="dxa"/>
          </w:tcPr>
          <w:p>
            <w:pPr>
              <w:pStyle w:val="TableParagraph"/>
              <w:ind w:right="222"/>
              <w:rPr>
                <w:sz w:val="20"/>
              </w:rPr>
            </w:pPr>
            <w:r>
              <w:rPr>
                <w:w w:val="95"/>
                <w:sz w:val="20"/>
              </w:rPr>
              <w:t>57</w:t>
            </w:r>
          </w:p>
        </w:tc>
        <w:tc>
          <w:tcPr>
            <w:tcW w:w="1311" w:type="dxa"/>
          </w:tcPr>
          <w:p>
            <w:pPr>
              <w:pStyle w:val="TableParagraph"/>
              <w:ind w:right="256"/>
              <w:rPr>
                <w:sz w:val="20"/>
              </w:rPr>
            </w:pPr>
            <w:r>
              <w:rPr>
                <w:w w:val="95"/>
                <w:sz w:val="20"/>
              </w:rPr>
              <w:t>57</w:t>
            </w:r>
          </w:p>
        </w:tc>
        <w:tc>
          <w:tcPr>
            <w:tcW w:w="1127" w:type="dxa"/>
          </w:tcPr>
          <w:p>
            <w:pPr>
              <w:pStyle w:val="TableParagraph"/>
              <w:ind w:right="106"/>
              <w:rPr>
                <w:sz w:val="20"/>
              </w:rPr>
            </w:pPr>
            <w:r>
              <w:rPr>
                <w:w w:val="95"/>
                <w:sz w:val="20"/>
              </w:rPr>
              <w:t>52</w:t>
            </w:r>
          </w:p>
        </w:tc>
      </w:tr>
      <w:tr>
        <w:trPr>
          <w:trHeight w:val="300" w:hRule="atLeast"/>
        </w:trPr>
        <w:tc>
          <w:tcPr>
            <w:tcW w:w="5911" w:type="dxa"/>
            <w:shd w:val="clear" w:color="auto" w:fill="D2DFED"/>
          </w:tcPr>
          <w:p>
            <w:pPr>
              <w:pStyle w:val="TableParagraph"/>
              <w:ind w:left="122"/>
              <w:jc w:val="left"/>
              <w:rPr>
                <w:b/>
                <w:sz w:val="20"/>
              </w:rPr>
            </w:pPr>
            <w:r>
              <w:rPr>
                <w:b/>
                <w:sz w:val="20"/>
              </w:rPr>
              <w:t>Legal Practice Board</w:t>
            </w:r>
          </w:p>
        </w:tc>
        <w:tc>
          <w:tcPr>
            <w:tcW w:w="1275" w:type="dxa"/>
            <w:shd w:val="clear" w:color="auto" w:fill="D2DFED"/>
          </w:tcPr>
          <w:p>
            <w:pPr>
              <w:pStyle w:val="TableParagraph"/>
              <w:ind w:right="222"/>
              <w:rPr>
                <w:sz w:val="20"/>
              </w:rPr>
            </w:pPr>
            <w:r>
              <w:rPr>
                <w:w w:val="95"/>
                <w:sz w:val="20"/>
              </w:rPr>
              <w:t>49</w:t>
            </w:r>
          </w:p>
        </w:tc>
        <w:tc>
          <w:tcPr>
            <w:tcW w:w="1311" w:type="dxa"/>
            <w:shd w:val="clear" w:color="auto" w:fill="D2DFED"/>
          </w:tcPr>
          <w:p>
            <w:pPr>
              <w:pStyle w:val="TableParagraph"/>
              <w:ind w:right="256"/>
              <w:rPr>
                <w:sz w:val="20"/>
              </w:rPr>
            </w:pPr>
            <w:r>
              <w:rPr>
                <w:w w:val="95"/>
                <w:sz w:val="20"/>
              </w:rPr>
              <w:t>43</w:t>
            </w:r>
          </w:p>
        </w:tc>
        <w:tc>
          <w:tcPr>
            <w:tcW w:w="1127" w:type="dxa"/>
            <w:shd w:val="clear" w:color="auto" w:fill="D2DFED"/>
          </w:tcPr>
          <w:p>
            <w:pPr>
              <w:pStyle w:val="TableParagraph"/>
              <w:ind w:right="106"/>
              <w:rPr>
                <w:sz w:val="20"/>
              </w:rPr>
            </w:pPr>
            <w:r>
              <w:rPr>
                <w:w w:val="95"/>
                <w:sz w:val="20"/>
              </w:rPr>
              <w:t>43</w:t>
            </w:r>
          </w:p>
        </w:tc>
      </w:tr>
      <w:tr>
        <w:trPr>
          <w:trHeight w:val="300" w:hRule="atLeast"/>
        </w:trPr>
        <w:tc>
          <w:tcPr>
            <w:tcW w:w="5911" w:type="dxa"/>
          </w:tcPr>
          <w:p>
            <w:pPr>
              <w:pStyle w:val="TableParagraph"/>
              <w:ind w:left="122"/>
              <w:jc w:val="left"/>
              <w:rPr>
                <w:b/>
                <w:sz w:val="20"/>
              </w:rPr>
            </w:pPr>
            <w:r>
              <w:rPr>
                <w:b/>
                <w:sz w:val="20"/>
              </w:rPr>
              <w:t>Perth Market Authority</w:t>
            </w:r>
          </w:p>
        </w:tc>
        <w:tc>
          <w:tcPr>
            <w:tcW w:w="1275" w:type="dxa"/>
          </w:tcPr>
          <w:p>
            <w:pPr>
              <w:pStyle w:val="TableParagraph"/>
              <w:ind w:right="222"/>
              <w:rPr>
                <w:sz w:val="20"/>
              </w:rPr>
            </w:pPr>
            <w:r>
              <w:rPr>
                <w:w w:val="95"/>
                <w:sz w:val="20"/>
              </w:rPr>
              <w:t>49</w:t>
            </w:r>
          </w:p>
        </w:tc>
        <w:tc>
          <w:tcPr>
            <w:tcW w:w="1311" w:type="dxa"/>
          </w:tcPr>
          <w:p>
            <w:pPr>
              <w:pStyle w:val="TableParagraph"/>
              <w:ind w:right="256"/>
              <w:rPr>
                <w:sz w:val="20"/>
              </w:rPr>
            </w:pPr>
            <w:r>
              <w:rPr>
                <w:w w:val="95"/>
                <w:sz w:val="20"/>
              </w:rPr>
              <w:t>29</w:t>
            </w:r>
          </w:p>
        </w:tc>
        <w:tc>
          <w:tcPr>
            <w:tcW w:w="1127" w:type="dxa"/>
          </w:tcPr>
          <w:p>
            <w:pPr>
              <w:pStyle w:val="TableParagraph"/>
              <w:ind w:right="106"/>
              <w:rPr>
                <w:sz w:val="20"/>
              </w:rPr>
            </w:pPr>
            <w:r>
              <w:rPr>
                <w:w w:val="95"/>
                <w:sz w:val="20"/>
              </w:rPr>
              <w:t>27</w:t>
            </w:r>
          </w:p>
        </w:tc>
      </w:tr>
      <w:tr>
        <w:trPr>
          <w:trHeight w:val="300" w:hRule="atLeast"/>
        </w:trPr>
        <w:tc>
          <w:tcPr>
            <w:tcW w:w="5911" w:type="dxa"/>
            <w:shd w:val="clear" w:color="auto" w:fill="D2DFED"/>
          </w:tcPr>
          <w:p>
            <w:pPr>
              <w:pStyle w:val="TableParagraph"/>
              <w:ind w:left="122"/>
              <w:jc w:val="left"/>
              <w:rPr>
                <w:b/>
                <w:sz w:val="20"/>
              </w:rPr>
            </w:pPr>
            <w:r>
              <w:rPr>
                <w:b/>
                <w:sz w:val="20"/>
              </w:rPr>
              <w:t>Independent Market Operator</w:t>
            </w:r>
          </w:p>
        </w:tc>
        <w:tc>
          <w:tcPr>
            <w:tcW w:w="1275" w:type="dxa"/>
            <w:shd w:val="clear" w:color="auto" w:fill="D2DFED"/>
          </w:tcPr>
          <w:p>
            <w:pPr>
              <w:pStyle w:val="TableParagraph"/>
              <w:ind w:right="222"/>
              <w:rPr>
                <w:sz w:val="20"/>
              </w:rPr>
            </w:pPr>
            <w:r>
              <w:rPr>
                <w:w w:val="95"/>
                <w:sz w:val="20"/>
              </w:rPr>
              <w:t>44</w:t>
            </w:r>
          </w:p>
        </w:tc>
        <w:tc>
          <w:tcPr>
            <w:tcW w:w="1311" w:type="dxa"/>
            <w:shd w:val="clear" w:color="auto" w:fill="D2DFED"/>
          </w:tcPr>
          <w:p>
            <w:pPr>
              <w:pStyle w:val="TableParagraph"/>
              <w:ind w:right="256"/>
              <w:rPr>
                <w:sz w:val="20"/>
              </w:rPr>
            </w:pPr>
            <w:r>
              <w:rPr>
                <w:w w:val="95"/>
                <w:sz w:val="20"/>
              </w:rPr>
              <w:t>42</w:t>
            </w:r>
          </w:p>
        </w:tc>
        <w:tc>
          <w:tcPr>
            <w:tcW w:w="1127" w:type="dxa"/>
            <w:shd w:val="clear" w:color="auto" w:fill="D2DFED"/>
          </w:tcPr>
          <w:p>
            <w:pPr>
              <w:pStyle w:val="TableParagraph"/>
              <w:ind w:right="106"/>
              <w:rPr>
                <w:sz w:val="20"/>
              </w:rPr>
            </w:pPr>
            <w:r>
              <w:rPr>
                <w:w w:val="95"/>
                <w:sz w:val="20"/>
              </w:rPr>
              <w:t>38</w:t>
            </w:r>
          </w:p>
        </w:tc>
      </w:tr>
      <w:tr>
        <w:trPr>
          <w:trHeight w:val="300" w:hRule="atLeast"/>
        </w:trPr>
        <w:tc>
          <w:tcPr>
            <w:tcW w:w="5911" w:type="dxa"/>
          </w:tcPr>
          <w:p>
            <w:pPr>
              <w:pStyle w:val="TableParagraph"/>
              <w:spacing w:before="26"/>
              <w:ind w:left="122"/>
              <w:jc w:val="left"/>
              <w:rPr>
                <w:b/>
                <w:sz w:val="20"/>
              </w:rPr>
            </w:pPr>
            <w:r>
              <w:rPr>
                <w:b/>
                <w:sz w:val="20"/>
              </w:rPr>
              <w:t>Western Australian Greyhound Racing Association</w:t>
            </w:r>
          </w:p>
        </w:tc>
        <w:tc>
          <w:tcPr>
            <w:tcW w:w="1275" w:type="dxa"/>
          </w:tcPr>
          <w:p>
            <w:pPr>
              <w:pStyle w:val="TableParagraph"/>
              <w:spacing w:before="26"/>
              <w:ind w:right="222"/>
              <w:rPr>
                <w:sz w:val="20"/>
              </w:rPr>
            </w:pPr>
            <w:r>
              <w:rPr>
                <w:w w:val="95"/>
                <w:sz w:val="20"/>
              </w:rPr>
              <w:t>40</w:t>
            </w:r>
          </w:p>
        </w:tc>
        <w:tc>
          <w:tcPr>
            <w:tcW w:w="1311" w:type="dxa"/>
          </w:tcPr>
          <w:p>
            <w:pPr>
              <w:pStyle w:val="TableParagraph"/>
              <w:spacing w:before="26"/>
              <w:ind w:right="256"/>
              <w:rPr>
                <w:sz w:val="20"/>
              </w:rPr>
            </w:pPr>
            <w:r>
              <w:rPr>
                <w:w w:val="95"/>
                <w:sz w:val="20"/>
              </w:rPr>
              <w:t>39</w:t>
            </w:r>
          </w:p>
        </w:tc>
        <w:tc>
          <w:tcPr>
            <w:tcW w:w="1127" w:type="dxa"/>
          </w:tcPr>
          <w:p>
            <w:pPr>
              <w:pStyle w:val="TableParagraph"/>
              <w:spacing w:before="26"/>
              <w:ind w:right="106"/>
              <w:rPr>
                <w:sz w:val="20"/>
              </w:rPr>
            </w:pPr>
            <w:r>
              <w:rPr>
                <w:w w:val="95"/>
                <w:sz w:val="20"/>
              </w:rPr>
              <w:t>38</w:t>
            </w:r>
          </w:p>
        </w:tc>
      </w:tr>
      <w:tr>
        <w:trPr>
          <w:trHeight w:val="300" w:hRule="atLeast"/>
        </w:trPr>
        <w:tc>
          <w:tcPr>
            <w:tcW w:w="5911" w:type="dxa"/>
            <w:shd w:val="clear" w:color="auto" w:fill="D2DFED"/>
          </w:tcPr>
          <w:p>
            <w:pPr>
              <w:pStyle w:val="TableParagraph"/>
              <w:ind w:left="122"/>
              <w:jc w:val="left"/>
              <w:rPr>
                <w:b/>
                <w:sz w:val="20"/>
              </w:rPr>
            </w:pPr>
            <w:r>
              <w:rPr>
                <w:b/>
                <w:sz w:val="20"/>
              </w:rPr>
              <w:t>Western Australian College of Teaching</w:t>
            </w:r>
          </w:p>
        </w:tc>
        <w:tc>
          <w:tcPr>
            <w:tcW w:w="1275" w:type="dxa"/>
            <w:shd w:val="clear" w:color="auto" w:fill="D2DFED"/>
          </w:tcPr>
          <w:p>
            <w:pPr>
              <w:pStyle w:val="TableParagraph"/>
              <w:ind w:right="222"/>
              <w:rPr>
                <w:sz w:val="20"/>
              </w:rPr>
            </w:pPr>
            <w:r>
              <w:rPr>
                <w:w w:val="95"/>
                <w:sz w:val="20"/>
              </w:rPr>
              <w:t>39</w:t>
            </w:r>
          </w:p>
        </w:tc>
        <w:tc>
          <w:tcPr>
            <w:tcW w:w="1311" w:type="dxa"/>
            <w:shd w:val="clear" w:color="auto" w:fill="D2DFED"/>
          </w:tcPr>
          <w:p>
            <w:pPr>
              <w:pStyle w:val="TableParagraph"/>
              <w:ind w:right="256"/>
              <w:rPr>
                <w:sz w:val="20"/>
              </w:rPr>
            </w:pPr>
            <w:r>
              <w:rPr>
                <w:w w:val="95"/>
                <w:sz w:val="20"/>
              </w:rPr>
              <w:t>34</w:t>
            </w:r>
          </w:p>
        </w:tc>
        <w:tc>
          <w:tcPr>
            <w:tcW w:w="1127" w:type="dxa"/>
            <w:shd w:val="clear" w:color="auto" w:fill="D2DFED"/>
          </w:tcPr>
          <w:p>
            <w:pPr>
              <w:pStyle w:val="TableParagraph"/>
              <w:ind w:right="106"/>
              <w:rPr>
                <w:sz w:val="20"/>
              </w:rPr>
            </w:pPr>
            <w:r>
              <w:rPr>
                <w:w w:val="95"/>
                <w:sz w:val="20"/>
              </w:rPr>
              <w:t>37</w:t>
            </w:r>
          </w:p>
        </w:tc>
      </w:tr>
      <w:tr>
        <w:trPr>
          <w:trHeight w:val="300" w:hRule="atLeast"/>
        </w:trPr>
        <w:tc>
          <w:tcPr>
            <w:tcW w:w="5911" w:type="dxa"/>
          </w:tcPr>
          <w:p>
            <w:pPr>
              <w:pStyle w:val="TableParagraph"/>
              <w:ind w:left="122"/>
              <w:jc w:val="left"/>
              <w:rPr>
                <w:b/>
                <w:sz w:val="20"/>
              </w:rPr>
            </w:pPr>
            <w:r>
              <w:rPr>
                <w:b/>
                <w:sz w:val="20"/>
              </w:rPr>
              <w:t>Bunbury Water Board (Aqwest)</w:t>
            </w:r>
          </w:p>
        </w:tc>
        <w:tc>
          <w:tcPr>
            <w:tcW w:w="1275" w:type="dxa"/>
          </w:tcPr>
          <w:p>
            <w:pPr>
              <w:pStyle w:val="TableParagraph"/>
              <w:ind w:right="222"/>
              <w:rPr>
                <w:sz w:val="20"/>
              </w:rPr>
            </w:pPr>
            <w:r>
              <w:rPr>
                <w:w w:val="95"/>
                <w:sz w:val="20"/>
              </w:rPr>
              <w:t>36</w:t>
            </w:r>
          </w:p>
        </w:tc>
        <w:tc>
          <w:tcPr>
            <w:tcW w:w="1311" w:type="dxa"/>
          </w:tcPr>
          <w:p>
            <w:pPr>
              <w:pStyle w:val="TableParagraph"/>
              <w:ind w:right="256"/>
              <w:rPr>
                <w:sz w:val="20"/>
              </w:rPr>
            </w:pPr>
            <w:r>
              <w:rPr>
                <w:w w:val="95"/>
                <w:sz w:val="20"/>
              </w:rPr>
              <w:t>33</w:t>
            </w:r>
          </w:p>
        </w:tc>
        <w:tc>
          <w:tcPr>
            <w:tcW w:w="1127" w:type="dxa"/>
          </w:tcPr>
          <w:p>
            <w:pPr>
              <w:pStyle w:val="TableParagraph"/>
              <w:ind w:right="106"/>
              <w:rPr>
                <w:sz w:val="20"/>
              </w:rPr>
            </w:pPr>
            <w:r>
              <w:rPr>
                <w:w w:val="95"/>
                <w:sz w:val="20"/>
              </w:rPr>
              <w:t>33</w:t>
            </w:r>
          </w:p>
        </w:tc>
      </w:tr>
      <w:tr>
        <w:trPr>
          <w:trHeight w:val="300" w:hRule="atLeast"/>
        </w:trPr>
        <w:tc>
          <w:tcPr>
            <w:tcW w:w="5911" w:type="dxa"/>
            <w:shd w:val="clear" w:color="auto" w:fill="D2DFED"/>
          </w:tcPr>
          <w:p>
            <w:pPr>
              <w:pStyle w:val="TableParagraph"/>
              <w:ind w:left="122"/>
              <w:jc w:val="left"/>
              <w:rPr>
                <w:b/>
                <w:sz w:val="20"/>
              </w:rPr>
            </w:pPr>
            <w:r>
              <w:rPr>
                <w:b/>
                <w:sz w:val="20"/>
              </w:rPr>
              <w:t>Busselton Water Board</w:t>
            </w:r>
          </w:p>
        </w:tc>
        <w:tc>
          <w:tcPr>
            <w:tcW w:w="1275" w:type="dxa"/>
            <w:shd w:val="clear" w:color="auto" w:fill="D2DFED"/>
          </w:tcPr>
          <w:p>
            <w:pPr>
              <w:pStyle w:val="TableParagraph"/>
              <w:ind w:right="222"/>
              <w:rPr>
                <w:sz w:val="20"/>
              </w:rPr>
            </w:pPr>
            <w:r>
              <w:rPr>
                <w:w w:val="95"/>
                <w:sz w:val="20"/>
              </w:rPr>
              <w:t>32</w:t>
            </w:r>
          </w:p>
        </w:tc>
        <w:tc>
          <w:tcPr>
            <w:tcW w:w="1311" w:type="dxa"/>
            <w:shd w:val="clear" w:color="auto" w:fill="D2DFED"/>
          </w:tcPr>
          <w:p>
            <w:pPr>
              <w:pStyle w:val="TableParagraph"/>
              <w:ind w:right="256"/>
              <w:rPr>
                <w:sz w:val="20"/>
              </w:rPr>
            </w:pPr>
            <w:r>
              <w:rPr>
                <w:w w:val="95"/>
                <w:sz w:val="20"/>
              </w:rPr>
              <w:t>31</w:t>
            </w:r>
          </w:p>
        </w:tc>
        <w:tc>
          <w:tcPr>
            <w:tcW w:w="1127" w:type="dxa"/>
            <w:shd w:val="clear" w:color="auto" w:fill="D2DFED"/>
          </w:tcPr>
          <w:p>
            <w:pPr>
              <w:pStyle w:val="TableParagraph"/>
              <w:ind w:right="106"/>
              <w:rPr>
                <w:sz w:val="20"/>
              </w:rPr>
            </w:pPr>
            <w:r>
              <w:rPr>
                <w:w w:val="95"/>
                <w:sz w:val="20"/>
              </w:rPr>
              <w:t>29</w:t>
            </w:r>
          </w:p>
        </w:tc>
      </w:tr>
      <w:tr>
        <w:trPr>
          <w:trHeight w:val="300" w:hRule="atLeast"/>
        </w:trPr>
        <w:tc>
          <w:tcPr>
            <w:tcW w:w="5911" w:type="dxa"/>
          </w:tcPr>
          <w:p>
            <w:pPr>
              <w:pStyle w:val="TableParagraph"/>
              <w:ind w:left="122"/>
              <w:jc w:val="left"/>
              <w:rPr>
                <w:b/>
                <w:sz w:val="20"/>
              </w:rPr>
            </w:pPr>
            <w:r>
              <w:rPr>
                <w:b/>
                <w:sz w:val="20"/>
              </w:rPr>
              <w:t>Bunbury Port Authority</w:t>
            </w:r>
          </w:p>
        </w:tc>
        <w:tc>
          <w:tcPr>
            <w:tcW w:w="1275" w:type="dxa"/>
          </w:tcPr>
          <w:p>
            <w:pPr>
              <w:pStyle w:val="TableParagraph"/>
              <w:ind w:right="222"/>
              <w:rPr>
                <w:sz w:val="20"/>
              </w:rPr>
            </w:pPr>
            <w:r>
              <w:rPr>
                <w:w w:val="95"/>
                <w:sz w:val="20"/>
              </w:rPr>
              <w:t>28</w:t>
            </w:r>
          </w:p>
        </w:tc>
        <w:tc>
          <w:tcPr>
            <w:tcW w:w="1311" w:type="dxa"/>
          </w:tcPr>
          <w:p>
            <w:pPr>
              <w:pStyle w:val="TableParagraph"/>
              <w:ind w:right="256"/>
              <w:rPr>
                <w:sz w:val="20"/>
              </w:rPr>
            </w:pPr>
            <w:r>
              <w:rPr>
                <w:w w:val="95"/>
                <w:sz w:val="20"/>
              </w:rPr>
              <w:t>27</w:t>
            </w:r>
          </w:p>
        </w:tc>
        <w:tc>
          <w:tcPr>
            <w:tcW w:w="1127" w:type="dxa"/>
          </w:tcPr>
          <w:p>
            <w:pPr>
              <w:pStyle w:val="TableParagraph"/>
              <w:ind w:right="106"/>
              <w:rPr>
                <w:sz w:val="20"/>
              </w:rPr>
            </w:pPr>
            <w:r>
              <w:rPr>
                <w:w w:val="95"/>
                <w:sz w:val="20"/>
              </w:rPr>
              <w:t>27</w:t>
            </w:r>
          </w:p>
        </w:tc>
      </w:tr>
      <w:tr>
        <w:trPr>
          <w:trHeight w:val="300" w:hRule="atLeast"/>
        </w:trPr>
        <w:tc>
          <w:tcPr>
            <w:tcW w:w="5911" w:type="dxa"/>
            <w:shd w:val="clear" w:color="auto" w:fill="D2DFED"/>
          </w:tcPr>
          <w:p>
            <w:pPr>
              <w:pStyle w:val="TableParagraph"/>
              <w:ind w:left="122"/>
              <w:jc w:val="left"/>
              <w:rPr>
                <w:b/>
                <w:sz w:val="20"/>
              </w:rPr>
            </w:pPr>
            <w:r>
              <w:rPr>
                <w:b/>
                <w:sz w:val="20"/>
              </w:rPr>
              <w:t>Albany Port Authority</w:t>
            </w:r>
          </w:p>
        </w:tc>
        <w:tc>
          <w:tcPr>
            <w:tcW w:w="1275" w:type="dxa"/>
            <w:shd w:val="clear" w:color="auto" w:fill="D2DFED"/>
          </w:tcPr>
          <w:p>
            <w:pPr>
              <w:pStyle w:val="TableParagraph"/>
              <w:ind w:right="222"/>
              <w:rPr>
                <w:sz w:val="20"/>
              </w:rPr>
            </w:pPr>
            <w:r>
              <w:rPr>
                <w:w w:val="95"/>
                <w:sz w:val="20"/>
              </w:rPr>
              <w:t>22</w:t>
            </w:r>
          </w:p>
        </w:tc>
        <w:tc>
          <w:tcPr>
            <w:tcW w:w="1311" w:type="dxa"/>
            <w:shd w:val="clear" w:color="auto" w:fill="D2DFED"/>
          </w:tcPr>
          <w:p>
            <w:pPr>
              <w:pStyle w:val="TableParagraph"/>
              <w:ind w:right="256"/>
              <w:rPr>
                <w:sz w:val="20"/>
              </w:rPr>
            </w:pPr>
            <w:r>
              <w:rPr>
                <w:w w:val="95"/>
                <w:sz w:val="20"/>
              </w:rPr>
              <w:t>22</w:t>
            </w:r>
          </w:p>
        </w:tc>
        <w:tc>
          <w:tcPr>
            <w:tcW w:w="1127" w:type="dxa"/>
            <w:shd w:val="clear" w:color="auto" w:fill="D2DFED"/>
          </w:tcPr>
          <w:p>
            <w:pPr>
              <w:pStyle w:val="TableParagraph"/>
              <w:ind w:right="106"/>
              <w:rPr>
                <w:sz w:val="20"/>
              </w:rPr>
            </w:pPr>
            <w:r>
              <w:rPr>
                <w:w w:val="95"/>
                <w:sz w:val="20"/>
              </w:rPr>
              <w:t>21</w:t>
            </w:r>
          </w:p>
        </w:tc>
      </w:tr>
      <w:tr>
        <w:trPr>
          <w:trHeight w:val="487" w:hRule="atLeast"/>
        </w:trPr>
        <w:tc>
          <w:tcPr>
            <w:tcW w:w="5911" w:type="dxa"/>
          </w:tcPr>
          <w:p>
            <w:pPr>
              <w:pStyle w:val="TableParagraph"/>
              <w:spacing w:line="242" w:lineRule="exact" w:before="0"/>
              <w:ind w:left="122"/>
              <w:jc w:val="left"/>
              <w:rPr>
                <w:b/>
                <w:sz w:val="20"/>
              </w:rPr>
            </w:pPr>
            <w:r>
              <w:rPr>
                <w:b/>
                <w:sz w:val="20"/>
              </w:rPr>
              <w:t>Health and Disability Services Complaints Office (HaDSCO)</w:t>
            </w:r>
          </w:p>
          <w:p>
            <w:pPr>
              <w:pStyle w:val="TableParagraph"/>
              <w:spacing w:line="225" w:lineRule="exact" w:before="0"/>
              <w:ind w:left="122"/>
              <w:jc w:val="left"/>
              <w:rPr>
                <w:b/>
                <w:sz w:val="20"/>
              </w:rPr>
            </w:pPr>
            <w:r>
              <w:rPr>
                <w:b/>
                <w:sz w:val="20"/>
              </w:rPr>
              <w:t>(formerly Office of Health Review)</w:t>
            </w:r>
          </w:p>
        </w:tc>
        <w:tc>
          <w:tcPr>
            <w:tcW w:w="1275" w:type="dxa"/>
          </w:tcPr>
          <w:p>
            <w:pPr>
              <w:pStyle w:val="TableParagraph"/>
              <w:spacing w:before="121"/>
              <w:ind w:right="222"/>
              <w:rPr>
                <w:sz w:val="20"/>
              </w:rPr>
            </w:pPr>
            <w:r>
              <w:rPr>
                <w:w w:val="95"/>
                <w:sz w:val="20"/>
              </w:rPr>
              <w:t>18</w:t>
            </w:r>
          </w:p>
        </w:tc>
        <w:tc>
          <w:tcPr>
            <w:tcW w:w="1311" w:type="dxa"/>
          </w:tcPr>
          <w:p>
            <w:pPr>
              <w:pStyle w:val="TableParagraph"/>
              <w:spacing w:before="121"/>
              <w:ind w:right="256"/>
              <w:rPr>
                <w:sz w:val="20"/>
              </w:rPr>
            </w:pPr>
            <w:r>
              <w:rPr>
                <w:w w:val="95"/>
                <w:sz w:val="20"/>
              </w:rPr>
              <w:t>14</w:t>
            </w:r>
          </w:p>
        </w:tc>
        <w:tc>
          <w:tcPr>
            <w:tcW w:w="1127" w:type="dxa"/>
          </w:tcPr>
          <w:p>
            <w:pPr>
              <w:pStyle w:val="TableParagraph"/>
              <w:spacing w:before="121"/>
              <w:ind w:right="106"/>
              <w:rPr>
                <w:sz w:val="20"/>
              </w:rPr>
            </w:pPr>
            <w:r>
              <w:rPr>
                <w:w w:val="95"/>
                <w:sz w:val="20"/>
              </w:rPr>
              <w:t>15</w:t>
            </w:r>
          </w:p>
        </w:tc>
      </w:tr>
      <w:tr>
        <w:trPr>
          <w:trHeight w:val="300" w:hRule="atLeast"/>
        </w:trPr>
        <w:tc>
          <w:tcPr>
            <w:tcW w:w="5911" w:type="dxa"/>
            <w:shd w:val="clear" w:color="auto" w:fill="D2DFED"/>
          </w:tcPr>
          <w:p>
            <w:pPr>
              <w:pStyle w:val="TableParagraph"/>
              <w:spacing w:before="28"/>
              <w:ind w:left="122"/>
              <w:jc w:val="left"/>
              <w:rPr>
                <w:b/>
                <w:sz w:val="20"/>
              </w:rPr>
            </w:pPr>
            <w:r>
              <w:rPr>
                <w:b/>
                <w:sz w:val="20"/>
              </w:rPr>
              <w:t>Western Australian Health Promotion Foundation (Healthway)</w:t>
            </w:r>
          </w:p>
        </w:tc>
        <w:tc>
          <w:tcPr>
            <w:tcW w:w="1275" w:type="dxa"/>
            <w:shd w:val="clear" w:color="auto" w:fill="D2DFED"/>
          </w:tcPr>
          <w:p>
            <w:pPr>
              <w:pStyle w:val="TableParagraph"/>
              <w:spacing w:before="28"/>
              <w:ind w:right="222"/>
              <w:rPr>
                <w:sz w:val="20"/>
              </w:rPr>
            </w:pPr>
            <w:r>
              <w:rPr>
                <w:w w:val="95"/>
                <w:sz w:val="20"/>
              </w:rPr>
              <w:t>18</w:t>
            </w:r>
          </w:p>
        </w:tc>
        <w:tc>
          <w:tcPr>
            <w:tcW w:w="1311" w:type="dxa"/>
            <w:shd w:val="clear" w:color="auto" w:fill="D2DFED"/>
          </w:tcPr>
          <w:p>
            <w:pPr>
              <w:pStyle w:val="TableParagraph"/>
              <w:spacing w:before="28"/>
              <w:ind w:right="256"/>
              <w:rPr>
                <w:sz w:val="20"/>
              </w:rPr>
            </w:pPr>
            <w:r>
              <w:rPr>
                <w:w w:val="95"/>
                <w:sz w:val="20"/>
              </w:rPr>
              <w:t>18</w:t>
            </w:r>
          </w:p>
        </w:tc>
        <w:tc>
          <w:tcPr>
            <w:tcW w:w="1127" w:type="dxa"/>
            <w:shd w:val="clear" w:color="auto" w:fill="D2DFED"/>
          </w:tcPr>
          <w:p>
            <w:pPr>
              <w:pStyle w:val="TableParagraph"/>
              <w:spacing w:before="28"/>
              <w:ind w:right="106"/>
              <w:rPr>
                <w:sz w:val="20"/>
              </w:rPr>
            </w:pPr>
            <w:r>
              <w:rPr>
                <w:w w:val="95"/>
                <w:sz w:val="20"/>
              </w:rPr>
              <w:t>16</w:t>
            </w:r>
          </w:p>
        </w:tc>
      </w:tr>
      <w:tr>
        <w:trPr>
          <w:trHeight w:val="300" w:hRule="atLeast"/>
        </w:trPr>
        <w:tc>
          <w:tcPr>
            <w:tcW w:w="5911" w:type="dxa"/>
          </w:tcPr>
          <w:p>
            <w:pPr>
              <w:pStyle w:val="TableParagraph"/>
              <w:spacing w:before="28"/>
              <w:ind w:left="122"/>
              <w:jc w:val="left"/>
              <w:rPr>
                <w:b/>
                <w:sz w:val="20"/>
              </w:rPr>
            </w:pPr>
            <w:r>
              <w:rPr>
                <w:b/>
                <w:sz w:val="20"/>
              </w:rPr>
              <w:t>Keep Australia Beautiful Council (W.A.)</w:t>
            </w:r>
          </w:p>
        </w:tc>
        <w:tc>
          <w:tcPr>
            <w:tcW w:w="1275" w:type="dxa"/>
          </w:tcPr>
          <w:p>
            <w:pPr>
              <w:pStyle w:val="TableParagraph"/>
              <w:spacing w:before="28"/>
              <w:ind w:right="222"/>
              <w:rPr>
                <w:sz w:val="20"/>
              </w:rPr>
            </w:pPr>
            <w:r>
              <w:rPr>
                <w:w w:val="95"/>
                <w:sz w:val="20"/>
              </w:rPr>
              <w:t>17</w:t>
            </w:r>
          </w:p>
        </w:tc>
        <w:tc>
          <w:tcPr>
            <w:tcW w:w="1311" w:type="dxa"/>
          </w:tcPr>
          <w:p>
            <w:pPr>
              <w:pStyle w:val="TableParagraph"/>
              <w:spacing w:before="28"/>
              <w:ind w:right="256"/>
              <w:rPr>
                <w:sz w:val="20"/>
              </w:rPr>
            </w:pPr>
            <w:r>
              <w:rPr>
                <w:w w:val="95"/>
                <w:sz w:val="20"/>
              </w:rPr>
              <w:t>13</w:t>
            </w:r>
          </w:p>
        </w:tc>
        <w:tc>
          <w:tcPr>
            <w:tcW w:w="1127" w:type="dxa"/>
          </w:tcPr>
          <w:p>
            <w:pPr>
              <w:pStyle w:val="TableParagraph"/>
              <w:spacing w:before="28"/>
              <w:ind w:right="106"/>
              <w:rPr>
                <w:sz w:val="20"/>
              </w:rPr>
            </w:pPr>
            <w:r>
              <w:rPr>
                <w:w w:val="95"/>
                <w:sz w:val="20"/>
              </w:rPr>
              <w:t>12</w:t>
            </w:r>
          </w:p>
        </w:tc>
      </w:tr>
      <w:tr>
        <w:trPr>
          <w:trHeight w:val="301" w:hRule="atLeast"/>
        </w:trPr>
        <w:tc>
          <w:tcPr>
            <w:tcW w:w="5911" w:type="dxa"/>
            <w:tcBorders>
              <w:bottom w:val="single" w:sz="8" w:space="0" w:color="4F81BC"/>
            </w:tcBorders>
            <w:shd w:val="clear" w:color="auto" w:fill="D2DFED"/>
          </w:tcPr>
          <w:p>
            <w:pPr>
              <w:pStyle w:val="TableParagraph"/>
              <w:spacing w:before="28"/>
              <w:ind w:left="122"/>
              <w:jc w:val="left"/>
              <w:rPr>
                <w:b/>
                <w:sz w:val="20"/>
              </w:rPr>
            </w:pPr>
            <w:r>
              <w:rPr>
                <w:b/>
                <w:sz w:val="20"/>
              </w:rPr>
              <w:t>Building and Construction Industry Training Board</w:t>
            </w:r>
          </w:p>
        </w:tc>
        <w:tc>
          <w:tcPr>
            <w:tcW w:w="1275" w:type="dxa"/>
            <w:tcBorders>
              <w:bottom w:val="single" w:sz="8" w:space="0" w:color="4F81BC"/>
            </w:tcBorders>
            <w:shd w:val="clear" w:color="auto" w:fill="D2DFED"/>
          </w:tcPr>
          <w:p>
            <w:pPr>
              <w:pStyle w:val="TableParagraph"/>
              <w:spacing w:before="28"/>
              <w:ind w:right="222"/>
              <w:rPr>
                <w:sz w:val="20"/>
              </w:rPr>
            </w:pPr>
            <w:r>
              <w:rPr>
                <w:w w:val="95"/>
                <w:sz w:val="20"/>
              </w:rPr>
              <w:t>16</w:t>
            </w:r>
          </w:p>
        </w:tc>
        <w:tc>
          <w:tcPr>
            <w:tcW w:w="1311" w:type="dxa"/>
            <w:tcBorders>
              <w:bottom w:val="single" w:sz="8" w:space="0" w:color="4F81BC"/>
            </w:tcBorders>
            <w:shd w:val="clear" w:color="auto" w:fill="D2DFED"/>
          </w:tcPr>
          <w:p>
            <w:pPr>
              <w:pStyle w:val="TableParagraph"/>
              <w:spacing w:before="28"/>
              <w:ind w:right="256"/>
              <w:rPr>
                <w:sz w:val="20"/>
              </w:rPr>
            </w:pPr>
            <w:r>
              <w:rPr>
                <w:w w:val="95"/>
                <w:sz w:val="20"/>
              </w:rPr>
              <w:t>14</w:t>
            </w:r>
          </w:p>
        </w:tc>
        <w:tc>
          <w:tcPr>
            <w:tcW w:w="1127" w:type="dxa"/>
            <w:tcBorders>
              <w:bottom w:val="single" w:sz="8" w:space="0" w:color="4F81BC"/>
            </w:tcBorders>
            <w:shd w:val="clear" w:color="auto" w:fill="D2DFED"/>
          </w:tcPr>
          <w:p>
            <w:pPr>
              <w:pStyle w:val="TableParagraph"/>
              <w:spacing w:before="28"/>
              <w:ind w:right="106"/>
              <w:rPr>
                <w:sz w:val="20"/>
              </w:rPr>
            </w:pPr>
            <w:r>
              <w:rPr>
                <w:w w:val="95"/>
                <w:sz w:val="20"/>
              </w:rPr>
              <w:t>15</w:t>
            </w:r>
          </w:p>
        </w:tc>
      </w:tr>
    </w:tbl>
    <w:p>
      <w:pPr>
        <w:spacing w:after="0"/>
        <w:rPr>
          <w:sz w:val="20"/>
        </w:rPr>
        <w:sectPr>
          <w:pgSz w:w="11910" w:h="16850"/>
          <w:pgMar w:header="0" w:footer="373" w:top="1360" w:bottom="640" w:left="680" w:right="660"/>
        </w:sect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0"/>
        <w:gridCol w:w="1449"/>
        <w:gridCol w:w="1311"/>
        <w:gridCol w:w="1126"/>
      </w:tblGrid>
      <w:tr>
        <w:trPr>
          <w:trHeight w:val="488" w:hRule="atLeast"/>
        </w:trPr>
        <w:tc>
          <w:tcPr>
            <w:tcW w:w="5730" w:type="dxa"/>
            <w:tcBorders>
              <w:top w:val="single" w:sz="8" w:space="0" w:color="4F81BC"/>
              <w:bottom w:val="single" w:sz="8" w:space="0" w:color="4F81BC"/>
            </w:tcBorders>
          </w:tcPr>
          <w:p>
            <w:pPr>
              <w:pStyle w:val="TableParagraph"/>
              <w:spacing w:before="0"/>
              <w:jc w:val="left"/>
              <w:rPr>
                <w:rFonts w:ascii="Times New Roman"/>
                <w:sz w:val="18"/>
              </w:rPr>
            </w:pPr>
          </w:p>
        </w:tc>
        <w:tc>
          <w:tcPr>
            <w:tcW w:w="1449" w:type="dxa"/>
            <w:tcBorders>
              <w:top w:val="single" w:sz="8" w:space="0" w:color="4F81BC"/>
              <w:bottom w:val="single" w:sz="8" w:space="0" w:color="4F81BC"/>
            </w:tcBorders>
          </w:tcPr>
          <w:p>
            <w:pPr>
              <w:pStyle w:val="TableParagraph"/>
              <w:spacing w:line="240" w:lineRule="atLeast" w:before="1"/>
              <w:ind w:left="395" w:right="206" w:hanging="82"/>
              <w:jc w:val="left"/>
              <w:rPr>
                <w:b/>
                <w:sz w:val="20"/>
              </w:rPr>
            </w:pPr>
            <w:r>
              <w:rPr>
                <w:b/>
                <w:sz w:val="20"/>
              </w:rPr>
              <w:t>Headcount Dec 2011</w:t>
            </w:r>
            <w:r>
              <w:rPr>
                <w:b/>
                <w:sz w:val="20"/>
                <w:vertAlign w:val="superscript"/>
              </w:rPr>
              <w:t>2</w:t>
            </w:r>
          </w:p>
        </w:tc>
        <w:tc>
          <w:tcPr>
            <w:tcW w:w="1311" w:type="dxa"/>
            <w:tcBorders>
              <w:top w:val="single" w:sz="8" w:space="0" w:color="4F81BC"/>
              <w:bottom w:val="single" w:sz="8" w:space="0" w:color="4F81BC"/>
            </w:tcBorders>
          </w:tcPr>
          <w:p>
            <w:pPr>
              <w:pStyle w:val="TableParagraph"/>
              <w:spacing w:line="240" w:lineRule="atLeast" w:before="1"/>
              <w:ind w:left="224" w:right="237" w:firstLine="134"/>
              <w:jc w:val="left"/>
              <w:rPr>
                <w:b/>
                <w:sz w:val="20"/>
              </w:rPr>
            </w:pPr>
            <w:r>
              <w:rPr>
                <w:b/>
                <w:sz w:val="20"/>
              </w:rPr>
              <w:t>Paid FTE Dec 2011</w:t>
            </w:r>
            <w:r>
              <w:rPr>
                <w:b/>
                <w:sz w:val="20"/>
                <w:vertAlign w:val="superscript"/>
              </w:rPr>
              <w:t>3</w:t>
            </w:r>
          </w:p>
        </w:tc>
        <w:tc>
          <w:tcPr>
            <w:tcW w:w="1126" w:type="dxa"/>
            <w:tcBorders>
              <w:top w:val="single" w:sz="8" w:space="0" w:color="4F81BC"/>
              <w:bottom w:val="single" w:sz="8" w:space="0" w:color="4F81BC"/>
            </w:tcBorders>
          </w:tcPr>
          <w:p>
            <w:pPr>
              <w:pStyle w:val="TableParagraph"/>
              <w:spacing w:line="240" w:lineRule="atLeast" w:before="1"/>
              <w:ind w:left="257" w:right="87" w:firstLine="81"/>
              <w:jc w:val="left"/>
              <w:rPr>
                <w:b/>
                <w:sz w:val="20"/>
              </w:rPr>
            </w:pPr>
            <w:r>
              <w:rPr>
                <w:b/>
                <w:w w:val="95"/>
                <w:sz w:val="20"/>
              </w:rPr>
              <w:t>Average </w:t>
            </w:r>
            <w:r>
              <w:rPr>
                <w:b/>
                <w:sz w:val="20"/>
              </w:rPr>
              <w:t>Paid FTE</w:t>
            </w:r>
            <w:r>
              <w:rPr>
                <w:b/>
                <w:sz w:val="20"/>
                <w:vertAlign w:val="superscript"/>
              </w:rPr>
              <w:t>4</w:t>
            </w:r>
          </w:p>
        </w:tc>
      </w:tr>
      <w:tr>
        <w:trPr>
          <w:trHeight w:val="302" w:hRule="atLeast"/>
        </w:trPr>
        <w:tc>
          <w:tcPr>
            <w:tcW w:w="5730" w:type="dxa"/>
            <w:tcBorders>
              <w:top w:val="single" w:sz="8" w:space="0" w:color="4F81BC"/>
            </w:tcBorders>
          </w:tcPr>
          <w:p>
            <w:pPr>
              <w:pStyle w:val="TableParagraph"/>
              <w:spacing w:before="27"/>
              <w:ind w:left="115"/>
              <w:jc w:val="left"/>
              <w:rPr>
                <w:b/>
                <w:sz w:val="20"/>
              </w:rPr>
            </w:pPr>
            <w:r>
              <w:rPr>
                <w:b/>
                <w:sz w:val="20"/>
              </w:rPr>
              <w:t>Western Australian Meat Industry Authority</w:t>
            </w:r>
          </w:p>
        </w:tc>
        <w:tc>
          <w:tcPr>
            <w:tcW w:w="1449" w:type="dxa"/>
            <w:tcBorders>
              <w:top w:val="single" w:sz="8" w:space="0" w:color="4F81BC"/>
            </w:tcBorders>
          </w:tcPr>
          <w:p>
            <w:pPr>
              <w:pStyle w:val="TableParagraph"/>
              <w:spacing w:before="27"/>
              <w:ind w:right="222"/>
              <w:rPr>
                <w:sz w:val="20"/>
              </w:rPr>
            </w:pPr>
            <w:r>
              <w:rPr>
                <w:w w:val="95"/>
                <w:sz w:val="20"/>
              </w:rPr>
              <w:t>14</w:t>
            </w:r>
          </w:p>
        </w:tc>
        <w:tc>
          <w:tcPr>
            <w:tcW w:w="1311" w:type="dxa"/>
            <w:tcBorders>
              <w:top w:val="single" w:sz="8" w:space="0" w:color="4F81BC"/>
            </w:tcBorders>
          </w:tcPr>
          <w:p>
            <w:pPr>
              <w:pStyle w:val="TableParagraph"/>
              <w:spacing w:before="27"/>
              <w:ind w:right="256"/>
              <w:rPr>
                <w:sz w:val="20"/>
              </w:rPr>
            </w:pPr>
            <w:r>
              <w:rPr>
                <w:w w:val="95"/>
                <w:sz w:val="20"/>
              </w:rPr>
              <w:t>12</w:t>
            </w:r>
          </w:p>
        </w:tc>
        <w:tc>
          <w:tcPr>
            <w:tcW w:w="1126" w:type="dxa"/>
            <w:tcBorders>
              <w:top w:val="single" w:sz="8" w:space="0" w:color="4F81BC"/>
            </w:tcBorders>
          </w:tcPr>
          <w:p>
            <w:pPr>
              <w:pStyle w:val="TableParagraph"/>
              <w:spacing w:before="27"/>
              <w:ind w:right="105"/>
              <w:rPr>
                <w:sz w:val="20"/>
              </w:rPr>
            </w:pPr>
            <w:r>
              <w:rPr>
                <w:w w:val="95"/>
                <w:sz w:val="20"/>
              </w:rPr>
              <w:t>11</w:t>
            </w:r>
          </w:p>
        </w:tc>
      </w:tr>
      <w:tr>
        <w:trPr>
          <w:trHeight w:val="300" w:hRule="atLeast"/>
        </w:trPr>
        <w:tc>
          <w:tcPr>
            <w:tcW w:w="5730" w:type="dxa"/>
            <w:shd w:val="clear" w:color="auto" w:fill="D2DFED"/>
          </w:tcPr>
          <w:p>
            <w:pPr>
              <w:pStyle w:val="TableParagraph"/>
              <w:ind w:left="115"/>
              <w:jc w:val="left"/>
              <w:rPr>
                <w:b/>
                <w:sz w:val="20"/>
              </w:rPr>
            </w:pPr>
            <w:r>
              <w:rPr>
                <w:b/>
                <w:sz w:val="20"/>
              </w:rPr>
              <w:t>Potato Marketing Corporation of Western Australia</w:t>
            </w:r>
          </w:p>
        </w:tc>
        <w:tc>
          <w:tcPr>
            <w:tcW w:w="1449" w:type="dxa"/>
            <w:shd w:val="clear" w:color="auto" w:fill="D2DFED"/>
          </w:tcPr>
          <w:p>
            <w:pPr>
              <w:pStyle w:val="TableParagraph"/>
              <w:ind w:right="222"/>
              <w:rPr>
                <w:sz w:val="20"/>
              </w:rPr>
            </w:pPr>
            <w:r>
              <w:rPr>
                <w:w w:val="95"/>
                <w:sz w:val="20"/>
              </w:rPr>
              <w:t>12</w:t>
            </w:r>
          </w:p>
        </w:tc>
        <w:tc>
          <w:tcPr>
            <w:tcW w:w="1311" w:type="dxa"/>
            <w:shd w:val="clear" w:color="auto" w:fill="D2DFED"/>
          </w:tcPr>
          <w:p>
            <w:pPr>
              <w:pStyle w:val="TableParagraph"/>
              <w:ind w:right="256"/>
              <w:rPr>
                <w:sz w:val="20"/>
              </w:rPr>
            </w:pPr>
            <w:r>
              <w:rPr>
                <w:w w:val="95"/>
                <w:sz w:val="20"/>
              </w:rPr>
              <w:t>11</w:t>
            </w:r>
          </w:p>
        </w:tc>
        <w:tc>
          <w:tcPr>
            <w:tcW w:w="1126" w:type="dxa"/>
            <w:shd w:val="clear" w:color="auto" w:fill="D2DFED"/>
          </w:tcPr>
          <w:p>
            <w:pPr>
              <w:pStyle w:val="TableParagraph"/>
              <w:ind w:right="105"/>
              <w:rPr>
                <w:sz w:val="20"/>
              </w:rPr>
            </w:pPr>
            <w:r>
              <w:rPr>
                <w:w w:val="95"/>
                <w:sz w:val="20"/>
              </w:rPr>
              <w:t>10</w:t>
            </w:r>
          </w:p>
        </w:tc>
      </w:tr>
      <w:tr>
        <w:trPr>
          <w:trHeight w:val="300" w:hRule="atLeast"/>
        </w:trPr>
        <w:tc>
          <w:tcPr>
            <w:tcW w:w="5730" w:type="dxa"/>
          </w:tcPr>
          <w:p>
            <w:pPr>
              <w:pStyle w:val="TableParagraph"/>
              <w:ind w:left="115"/>
              <w:jc w:val="left"/>
              <w:rPr>
                <w:b/>
                <w:sz w:val="20"/>
              </w:rPr>
            </w:pPr>
            <w:r>
              <w:rPr>
                <w:b/>
                <w:sz w:val="20"/>
              </w:rPr>
              <w:t>Burswood Park Board</w:t>
            </w:r>
          </w:p>
        </w:tc>
        <w:tc>
          <w:tcPr>
            <w:tcW w:w="1449" w:type="dxa"/>
          </w:tcPr>
          <w:p>
            <w:pPr>
              <w:pStyle w:val="TableParagraph"/>
              <w:ind w:right="222"/>
              <w:rPr>
                <w:sz w:val="20"/>
              </w:rPr>
            </w:pPr>
            <w:r>
              <w:rPr>
                <w:w w:val="99"/>
                <w:sz w:val="20"/>
              </w:rPr>
              <w:t>8</w:t>
            </w:r>
          </w:p>
        </w:tc>
        <w:tc>
          <w:tcPr>
            <w:tcW w:w="1311" w:type="dxa"/>
          </w:tcPr>
          <w:p>
            <w:pPr>
              <w:pStyle w:val="TableParagraph"/>
              <w:ind w:right="256"/>
              <w:rPr>
                <w:sz w:val="20"/>
              </w:rPr>
            </w:pPr>
            <w:r>
              <w:rPr>
                <w:w w:val="99"/>
                <w:sz w:val="20"/>
              </w:rPr>
              <w:t>7</w:t>
            </w:r>
          </w:p>
        </w:tc>
        <w:tc>
          <w:tcPr>
            <w:tcW w:w="1126" w:type="dxa"/>
          </w:tcPr>
          <w:p>
            <w:pPr>
              <w:pStyle w:val="TableParagraph"/>
              <w:ind w:right="105"/>
              <w:rPr>
                <w:sz w:val="20"/>
              </w:rPr>
            </w:pPr>
            <w:r>
              <w:rPr>
                <w:w w:val="99"/>
                <w:sz w:val="20"/>
              </w:rPr>
              <w:t>7</w:t>
            </w:r>
          </w:p>
        </w:tc>
      </w:tr>
      <w:tr>
        <w:trPr>
          <w:trHeight w:val="300" w:hRule="atLeast"/>
        </w:trPr>
        <w:tc>
          <w:tcPr>
            <w:tcW w:w="5730" w:type="dxa"/>
            <w:shd w:val="clear" w:color="auto" w:fill="D2DFED"/>
          </w:tcPr>
          <w:p>
            <w:pPr>
              <w:pStyle w:val="TableParagraph"/>
              <w:ind w:left="115"/>
              <w:jc w:val="left"/>
              <w:rPr>
                <w:b/>
                <w:sz w:val="20"/>
              </w:rPr>
            </w:pPr>
            <w:r>
              <w:rPr>
                <w:b/>
                <w:sz w:val="20"/>
              </w:rPr>
              <w:t>Midland Redevelopment Authority</w:t>
            </w:r>
          </w:p>
        </w:tc>
        <w:tc>
          <w:tcPr>
            <w:tcW w:w="1449" w:type="dxa"/>
            <w:shd w:val="clear" w:color="auto" w:fill="D2DFED"/>
          </w:tcPr>
          <w:p>
            <w:pPr>
              <w:pStyle w:val="TableParagraph"/>
              <w:ind w:right="222"/>
              <w:rPr>
                <w:sz w:val="20"/>
              </w:rPr>
            </w:pPr>
            <w:r>
              <w:rPr>
                <w:w w:val="99"/>
                <w:sz w:val="20"/>
              </w:rPr>
              <w:t>8</w:t>
            </w:r>
          </w:p>
        </w:tc>
        <w:tc>
          <w:tcPr>
            <w:tcW w:w="1311" w:type="dxa"/>
            <w:shd w:val="clear" w:color="auto" w:fill="D2DFED"/>
          </w:tcPr>
          <w:p>
            <w:pPr>
              <w:pStyle w:val="TableParagraph"/>
              <w:ind w:right="256"/>
              <w:rPr>
                <w:sz w:val="20"/>
              </w:rPr>
            </w:pPr>
            <w:r>
              <w:rPr>
                <w:w w:val="99"/>
                <w:sz w:val="20"/>
              </w:rPr>
              <w:t>8</w:t>
            </w:r>
          </w:p>
        </w:tc>
        <w:tc>
          <w:tcPr>
            <w:tcW w:w="1126" w:type="dxa"/>
            <w:shd w:val="clear" w:color="auto" w:fill="D2DFED"/>
          </w:tcPr>
          <w:p>
            <w:pPr>
              <w:pStyle w:val="TableParagraph"/>
              <w:ind w:right="105"/>
              <w:rPr>
                <w:sz w:val="20"/>
              </w:rPr>
            </w:pPr>
            <w:r>
              <w:rPr>
                <w:w w:val="99"/>
                <w:sz w:val="20"/>
              </w:rPr>
              <w:t>8</w:t>
            </w:r>
          </w:p>
        </w:tc>
      </w:tr>
      <w:tr>
        <w:trPr>
          <w:trHeight w:val="300" w:hRule="atLeast"/>
        </w:trPr>
        <w:tc>
          <w:tcPr>
            <w:tcW w:w="5730" w:type="dxa"/>
          </w:tcPr>
          <w:p>
            <w:pPr>
              <w:pStyle w:val="TableParagraph"/>
              <w:ind w:left="115"/>
              <w:jc w:val="left"/>
              <w:rPr>
                <w:b/>
                <w:sz w:val="20"/>
              </w:rPr>
            </w:pPr>
            <w:r>
              <w:rPr>
                <w:b/>
                <w:sz w:val="20"/>
              </w:rPr>
              <w:t>Veterinary Surgeons’ Board</w:t>
            </w:r>
          </w:p>
        </w:tc>
        <w:tc>
          <w:tcPr>
            <w:tcW w:w="1449" w:type="dxa"/>
          </w:tcPr>
          <w:p>
            <w:pPr>
              <w:pStyle w:val="TableParagraph"/>
              <w:ind w:right="222"/>
              <w:rPr>
                <w:sz w:val="20"/>
              </w:rPr>
            </w:pPr>
            <w:r>
              <w:rPr>
                <w:w w:val="99"/>
                <w:sz w:val="20"/>
              </w:rPr>
              <w:t>7</w:t>
            </w:r>
          </w:p>
        </w:tc>
        <w:tc>
          <w:tcPr>
            <w:tcW w:w="1311" w:type="dxa"/>
          </w:tcPr>
          <w:p>
            <w:pPr>
              <w:pStyle w:val="TableParagraph"/>
              <w:ind w:right="256"/>
              <w:rPr>
                <w:sz w:val="20"/>
              </w:rPr>
            </w:pPr>
            <w:r>
              <w:rPr>
                <w:w w:val="99"/>
                <w:sz w:val="20"/>
              </w:rPr>
              <w:t>4</w:t>
            </w:r>
          </w:p>
        </w:tc>
        <w:tc>
          <w:tcPr>
            <w:tcW w:w="1126" w:type="dxa"/>
          </w:tcPr>
          <w:p>
            <w:pPr>
              <w:pStyle w:val="TableParagraph"/>
              <w:ind w:right="105"/>
              <w:rPr>
                <w:sz w:val="20"/>
              </w:rPr>
            </w:pPr>
            <w:r>
              <w:rPr>
                <w:w w:val="99"/>
                <w:sz w:val="20"/>
              </w:rPr>
              <w:t>4</w:t>
            </w:r>
          </w:p>
        </w:tc>
      </w:tr>
      <w:tr>
        <w:trPr>
          <w:trHeight w:val="300" w:hRule="atLeast"/>
        </w:trPr>
        <w:tc>
          <w:tcPr>
            <w:tcW w:w="5730" w:type="dxa"/>
            <w:shd w:val="clear" w:color="auto" w:fill="D2DFED"/>
          </w:tcPr>
          <w:p>
            <w:pPr>
              <w:pStyle w:val="TableParagraph"/>
              <w:ind w:left="115"/>
              <w:jc w:val="left"/>
              <w:rPr>
                <w:b/>
                <w:sz w:val="20"/>
              </w:rPr>
            </w:pPr>
            <w:r>
              <w:rPr>
                <w:b/>
                <w:sz w:val="20"/>
              </w:rPr>
              <w:t>Minerals and Energy Research Institute of Western Australia</w:t>
            </w:r>
          </w:p>
        </w:tc>
        <w:tc>
          <w:tcPr>
            <w:tcW w:w="1449" w:type="dxa"/>
            <w:shd w:val="clear" w:color="auto" w:fill="D2DFED"/>
          </w:tcPr>
          <w:p>
            <w:pPr>
              <w:pStyle w:val="TableParagraph"/>
              <w:ind w:right="222"/>
              <w:rPr>
                <w:sz w:val="20"/>
              </w:rPr>
            </w:pPr>
            <w:r>
              <w:rPr>
                <w:w w:val="99"/>
                <w:sz w:val="20"/>
              </w:rPr>
              <w:t>4</w:t>
            </w:r>
          </w:p>
        </w:tc>
        <w:tc>
          <w:tcPr>
            <w:tcW w:w="1311" w:type="dxa"/>
            <w:shd w:val="clear" w:color="auto" w:fill="D2DFED"/>
          </w:tcPr>
          <w:p>
            <w:pPr>
              <w:pStyle w:val="TableParagraph"/>
              <w:ind w:right="256"/>
              <w:rPr>
                <w:sz w:val="20"/>
              </w:rPr>
            </w:pPr>
            <w:r>
              <w:rPr>
                <w:w w:val="99"/>
                <w:sz w:val="20"/>
              </w:rPr>
              <w:t>2</w:t>
            </w:r>
          </w:p>
        </w:tc>
        <w:tc>
          <w:tcPr>
            <w:tcW w:w="1126" w:type="dxa"/>
            <w:shd w:val="clear" w:color="auto" w:fill="D2DFED"/>
          </w:tcPr>
          <w:p>
            <w:pPr>
              <w:pStyle w:val="TableParagraph"/>
              <w:ind w:right="105"/>
              <w:rPr>
                <w:sz w:val="20"/>
              </w:rPr>
            </w:pPr>
            <w:r>
              <w:rPr>
                <w:w w:val="99"/>
                <w:sz w:val="20"/>
              </w:rPr>
              <w:t>2</w:t>
            </w:r>
          </w:p>
        </w:tc>
      </w:tr>
      <w:tr>
        <w:trPr>
          <w:trHeight w:val="299" w:hRule="atLeast"/>
        </w:trPr>
        <w:tc>
          <w:tcPr>
            <w:tcW w:w="5730" w:type="dxa"/>
            <w:tcBorders>
              <w:bottom w:val="double" w:sz="1" w:space="0" w:color="000000"/>
            </w:tcBorders>
          </w:tcPr>
          <w:p>
            <w:pPr>
              <w:pStyle w:val="TableParagraph"/>
              <w:ind w:left="115"/>
              <w:jc w:val="left"/>
              <w:rPr>
                <w:b/>
                <w:sz w:val="20"/>
              </w:rPr>
            </w:pPr>
            <w:r>
              <w:rPr>
                <w:b/>
                <w:sz w:val="20"/>
              </w:rPr>
              <w:t>Architects Board of Western Australia</w:t>
            </w:r>
          </w:p>
        </w:tc>
        <w:tc>
          <w:tcPr>
            <w:tcW w:w="1449" w:type="dxa"/>
            <w:tcBorders>
              <w:bottom w:val="double" w:sz="1" w:space="0" w:color="000000"/>
            </w:tcBorders>
          </w:tcPr>
          <w:p>
            <w:pPr>
              <w:pStyle w:val="TableParagraph"/>
              <w:ind w:right="222"/>
              <w:rPr>
                <w:sz w:val="20"/>
              </w:rPr>
            </w:pPr>
            <w:r>
              <w:rPr>
                <w:w w:val="99"/>
                <w:sz w:val="20"/>
              </w:rPr>
              <w:t>3</w:t>
            </w:r>
          </w:p>
        </w:tc>
        <w:tc>
          <w:tcPr>
            <w:tcW w:w="1311" w:type="dxa"/>
            <w:tcBorders>
              <w:bottom w:val="double" w:sz="1" w:space="0" w:color="000000"/>
            </w:tcBorders>
          </w:tcPr>
          <w:p>
            <w:pPr>
              <w:pStyle w:val="TableParagraph"/>
              <w:ind w:right="256"/>
              <w:rPr>
                <w:sz w:val="20"/>
              </w:rPr>
            </w:pPr>
            <w:r>
              <w:rPr>
                <w:w w:val="99"/>
                <w:sz w:val="20"/>
              </w:rPr>
              <w:t>2</w:t>
            </w:r>
          </w:p>
        </w:tc>
        <w:tc>
          <w:tcPr>
            <w:tcW w:w="1126" w:type="dxa"/>
            <w:tcBorders>
              <w:bottom w:val="double" w:sz="1" w:space="0" w:color="000000"/>
            </w:tcBorders>
          </w:tcPr>
          <w:p>
            <w:pPr>
              <w:pStyle w:val="TableParagraph"/>
              <w:ind w:right="105"/>
              <w:rPr>
                <w:sz w:val="20"/>
              </w:rPr>
            </w:pPr>
            <w:r>
              <w:rPr>
                <w:w w:val="99"/>
                <w:sz w:val="20"/>
              </w:rPr>
              <w:t>2</w:t>
            </w:r>
          </w:p>
        </w:tc>
      </w:tr>
      <w:tr>
        <w:trPr>
          <w:trHeight w:val="315" w:hRule="atLeast"/>
        </w:trPr>
        <w:tc>
          <w:tcPr>
            <w:tcW w:w="5730" w:type="dxa"/>
            <w:tcBorders>
              <w:top w:val="double" w:sz="1" w:space="0" w:color="000000"/>
              <w:bottom w:val="double" w:sz="1" w:space="0" w:color="000000"/>
            </w:tcBorders>
          </w:tcPr>
          <w:p>
            <w:pPr>
              <w:pStyle w:val="TableParagraph"/>
              <w:spacing w:before="34"/>
              <w:ind w:left="115"/>
              <w:jc w:val="left"/>
              <w:rPr>
                <w:b/>
                <w:i/>
                <w:sz w:val="20"/>
              </w:rPr>
            </w:pPr>
            <w:r>
              <w:rPr>
                <w:b/>
                <w:i/>
                <w:sz w:val="20"/>
              </w:rPr>
              <w:t>TOTAL</w:t>
            </w:r>
            <w:r>
              <w:rPr>
                <w:b/>
                <w:i/>
                <w:sz w:val="20"/>
                <w:vertAlign w:val="superscript"/>
              </w:rPr>
              <w:t>7</w:t>
            </w:r>
          </w:p>
        </w:tc>
        <w:tc>
          <w:tcPr>
            <w:tcW w:w="1449" w:type="dxa"/>
            <w:tcBorders>
              <w:top w:val="double" w:sz="1" w:space="0" w:color="000000"/>
              <w:bottom w:val="double" w:sz="1" w:space="0" w:color="000000"/>
            </w:tcBorders>
          </w:tcPr>
          <w:p>
            <w:pPr>
              <w:pStyle w:val="TableParagraph"/>
              <w:spacing w:before="20"/>
              <w:ind w:right="221"/>
              <w:rPr>
                <w:b/>
                <w:sz w:val="22"/>
              </w:rPr>
            </w:pPr>
            <w:r>
              <w:rPr>
                <w:b/>
                <w:sz w:val="22"/>
              </w:rPr>
              <w:t>14,587</w:t>
            </w:r>
          </w:p>
        </w:tc>
        <w:tc>
          <w:tcPr>
            <w:tcW w:w="1311" w:type="dxa"/>
            <w:tcBorders>
              <w:top w:val="double" w:sz="1" w:space="0" w:color="000000"/>
              <w:bottom w:val="double" w:sz="1" w:space="0" w:color="000000"/>
            </w:tcBorders>
          </w:tcPr>
          <w:p>
            <w:pPr>
              <w:pStyle w:val="TableParagraph"/>
              <w:spacing w:before="20"/>
              <w:ind w:right="255"/>
              <w:rPr>
                <w:b/>
                <w:sz w:val="22"/>
              </w:rPr>
            </w:pPr>
            <w:r>
              <w:rPr>
                <w:b/>
                <w:sz w:val="22"/>
              </w:rPr>
              <w:t>13,699</w:t>
            </w:r>
          </w:p>
        </w:tc>
        <w:tc>
          <w:tcPr>
            <w:tcW w:w="1126" w:type="dxa"/>
            <w:tcBorders>
              <w:top w:val="double" w:sz="1" w:space="0" w:color="000000"/>
              <w:bottom w:val="double" w:sz="1" w:space="0" w:color="000000"/>
            </w:tcBorders>
          </w:tcPr>
          <w:p>
            <w:pPr>
              <w:pStyle w:val="TableParagraph"/>
              <w:spacing w:before="20"/>
              <w:ind w:right="104"/>
              <w:rPr>
                <w:b/>
                <w:sz w:val="22"/>
              </w:rPr>
            </w:pPr>
            <w:r>
              <w:rPr>
                <w:b/>
                <w:sz w:val="22"/>
              </w:rPr>
              <w:t>13,657</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after="1"/>
        <w:rPr>
          <w:sz w:val="11"/>
        </w:r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1"/>
        <w:gridCol w:w="3191"/>
        <w:gridCol w:w="1271"/>
      </w:tblGrid>
      <w:tr>
        <w:trPr>
          <w:trHeight w:val="294" w:hRule="atLeast"/>
        </w:trPr>
        <w:tc>
          <w:tcPr>
            <w:tcW w:w="4021" w:type="dxa"/>
            <w:tcBorders>
              <w:top w:val="double" w:sz="1" w:space="0" w:color="000000"/>
              <w:bottom w:val="double" w:sz="1" w:space="0" w:color="000000"/>
            </w:tcBorders>
          </w:tcPr>
          <w:p>
            <w:pPr>
              <w:pStyle w:val="TableParagraph"/>
              <w:spacing w:line="275" w:lineRule="exact" w:before="0"/>
              <w:ind w:left="115"/>
              <w:jc w:val="left"/>
              <w:rPr>
                <w:b/>
                <w:sz w:val="24"/>
              </w:rPr>
            </w:pPr>
            <w:r>
              <w:rPr>
                <w:b/>
                <w:sz w:val="24"/>
              </w:rPr>
              <w:t>TOTAL</w:t>
            </w:r>
            <w:r>
              <w:rPr>
                <w:b/>
                <w:position w:val="10"/>
                <w:sz w:val="13"/>
              </w:rPr>
              <w:t>8 </w:t>
            </w:r>
            <w:r>
              <w:rPr>
                <w:b/>
                <w:sz w:val="24"/>
              </w:rPr>
              <w:t>(HRMOIR)</w:t>
            </w:r>
          </w:p>
        </w:tc>
        <w:tc>
          <w:tcPr>
            <w:tcW w:w="3191" w:type="dxa"/>
            <w:tcBorders>
              <w:top w:val="double" w:sz="1" w:space="0" w:color="000000"/>
              <w:bottom w:val="double" w:sz="1" w:space="0" w:color="000000"/>
            </w:tcBorders>
          </w:tcPr>
          <w:p>
            <w:pPr>
              <w:pStyle w:val="TableParagraph"/>
              <w:spacing w:line="275" w:lineRule="exact" w:before="0"/>
              <w:ind w:right="255"/>
              <w:rPr>
                <w:b/>
                <w:sz w:val="24"/>
              </w:rPr>
            </w:pPr>
            <w:r>
              <w:rPr>
                <w:b/>
                <w:sz w:val="24"/>
              </w:rPr>
              <w:t>148,886</w:t>
            </w:r>
          </w:p>
        </w:tc>
        <w:tc>
          <w:tcPr>
            <w:tcW w:w="1271" w:type="dxa"/>
            <w:tcBorders>
              <w:top w:val="double" w:sz="1" w:space="0" w:color="000000"/>
              <w:bottom w:val="double" w:sz="1" w:space="0" w:color="000000"/>
            </w:tcBorders>
          </w:tcPr>
          <w:p>
            <w:pPr>
              <w:pStyle w:val="TableParagraph"/>
              <w:spacing w:line="275" w:lineRule="exact" w:before="0"/>
              <w:ind w:left="255"/>
              <w:jc w:val="left"/>
              <w:rPr>
                <w:b/>
                <w:sz w:val="24"/>
              </w:rPr>
            </w:pPr>
            <w:r>
              <w:rPr>
                <w:b/>
                <w:sz w:val="24"/>
              </w:rPr>
              <w:t>117,716</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rPr>
          <w:sz w:val="14"/>
        </w:rPr>
      </w:pPr>
      <w:r>
        <w:rPr/>
        <w:pict>
          <v:shape style="position:absolute;margin-left:63.863998pt;margin-top:11.169839pt;width:144.050pt;height:.1pt;mso-position-horizontal-relative:page;mso-position-vertical-relative:paragraph;z-index:-251654144;mso-wrap-distance-left:0;mso-wrap-distance-right:0" coordorigin="1277,223" coordsize="2881,0" path="m1277,223l4158,223e" filled="false" stroked="true" strokeweight=".599980pt" strokecolor="#000000">
            <v:path arrowok="t"/>
            <v:stroke dashstyle="solid"/>
            <w10:wrap type="topAndBottom"/>
          </v:shape>
        </w:pict>
      </w:r>
    </w:p>
    <w:p>
      <w:pPr>
        <w:spacing w:before="57"/>
        <w:ind w:left="597" w:right="372" w:firstLine="0"/>
        <w:jc w:val="left"/>
        <w:rPr>
          <w:sz w:val="16"/>
        </w:rPr>
      </w:pPr>
      <w:r>
        <w:rPr>
          <w:position w:val="8"/>
          <w:sz w:val="10"/>
        </w:rPr>
        <w:t>7 </w:t>
      </w:r>
      <w:r>
        <w:rPr>
          <w:sz w:val="16"/>
        </w:rPr>
        <w:t>The Average Paid FTE for the group of entities is the average of the sum of Paid FTE over the last four quarters. This is not the same as summing the Average Paid FTE for each entity due to machinery-of-government changes.</w:t>
      </w:r>
    </w:p>
    <w:p>
      <w:pPr>
        <w:spacing w:line="196" w:lineRule="exact" w:before="0"/>
        <w:ind w:left="597" w:right="0" w:firstLine="0"/>
        <w:jc w:val="left"/>
        <w:rPr>
          <w:sz w:val="16"/>
        </w:rPr>
      </w:pPr>
      <w:r>
        <w:rPr>
          <w:position w:val="8"/>
          <w:sz w:val="10"/>
        </w:rPr>
        <w:t>8 </w:t>
      </w:r>
      <w:r>
        <w:rPr>
          <w:sz w:val="16"/>
        </w:rPr>
        <w:t>The sum may not equal the total due to rounding.</w:t>
      </w:r>
    </w:p>
    <w:sectPr>
      <w:pgSz w:w="11910" w:h="16850"/>
      <w:pgMar w:header="0" w:footer="373" w:top="1120" w:bottom="640" w:left="6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719971pt;margin-top:808.48999pt;width:10.1pt;height:10.050pt;mso-position-horizontal-relative:page;mso-position-vertical-relative:page;z-index:-253513728" type="#_x0000_t202" filled="false" stroked="false">
          <v:textbox inset="0,0,0,0">
            <w:txbxContent>
              <w:p>
                <w:pPr>
                  <w:spacing w:line="184" w:lineRule="exact" w:before="0"/>
                  <w:ind w:left="60" w:right="0" w:firstLine="0"/>
                  <w:jc w:val="left"/>
                  <w:rPr>
                    <w:sz w:val="16"/>
                  </w:rPr>
                </w:pPr>
                <w:r>
                  <w:rPr/>
                  <w:fldChar w:fldCharType="begin"/>
                </w:r>
                <w:r>
                  <w:rPr>
                    <w:w w:val="100"/>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17" w:hanging="360"/>
        <w:jc w:val="left"/>
      </w:pPr>
      <w:rPr>
        <w:rFonts w:hint="default" w:ascii="Calibri" w:hAnsi="Calibri" w:eastAsia="Calibri" w:cs="Calibri"/>
        <w:w w:val="100"/>
        <w:sz w:val="22"/>
        <w:szCs w:val="22"/>
        <w:lang w:val="en-au" w:eastAsia="en-au" w:bidi="en-au"/>
      </w:rPr>
    </w:lvl>
    <w:lvl w:ilvl="1">
      <w:start w:val="0"/>
      <w:numFmt w:val="bullet"/>
      <w:lvlText w:val="•"/>
      <w:lvlJc w:val="left"/>
      <w:pPr>
        <w:ind w:left="2244" w:hanging="360"/>
      </w:pPr>
      <w:rPr>
        <w:rFonts w:hint="default"/>
        <w:lang w:val="en-au" w:eastAsia="en-au" w:bidi="en-au"/>
      </w:rPr>
    </w:lvl>
    <w:lvl w:ilvl="2">
      <w:start w:val="0"/>
      <w:numFmt w:val="bullet"/>
      <w:lvlText w:val="•"/>
      <w:lvlJc w:val="left"/>
      <w:pPr>
        <w:ind w:left="3168" w:hanging="360"/>
      </w:pPr>
      <w:rPr>
        <w:rFonts w:hint="default"/>
        <w:lang w:val="en-au" w:eastAsia="en-au" w:bidi="en-au"/>
      </w:rPr>
    </w:lvl>
    <w:lvl w:ilvl="3">
      <w:start w:val="0"/>
      <w:numFmt w:val="bullet"/>
      <w:lvlText w:val="•"/>
      <w:lvlJc w:val="left"/>
      <w:pPr>
        <w:ind w:left="4093" w:hanging="360"/>
      </w:pPr>
      <w:rPr>
        <w:rFonts w:hint="default"/>
        <w:lang w:val="en-au" w:eastAsia="en-au" w:bidi="en-au"/>
      </w:rPr>
    </w:lvl>
    <w:lvl w:ilvl="4">
      <w:start w:val="0"/>
      <w:numFmt w:val="bullet"/>
      <w:lvlText w:val="•"/>
      <w:lvlJc w:val="left"/>
      <w:pPr>
        <w:ind w:left="5017" w:hanging="360"/>
      </w:pPr>
      <w:rPr>
        <w:rFonts w:hint="default"/>
        <w:lang w:val="en-au" w:eastAsia="en-au" w:bidi="en-au"/>
      </w:rPr>
    </w:lvl>
    <w:lvl w:ilvl="5">
      <w:start w:val="0"/>
      <w:numFmt w:val="bullet"/>
      <w:lvlText w:val="•"/>
      <w:lvlJc w:val="left"/>
      <w:pPr>
        <w:ind w:left="5942" w:hanging="360"/>
      </w:pPr>
      <w:rPr>
        <w:rFonts w:hint="default"/>
        <w:lang w:val="en-au" w:eastAsia="en-au" w:bidi="en-au"/>
      </w:rPr>
    </w:lvl>
    <w:lvl w:ilvl="6">
      <w:start w:val="0"/>
      <w:numFmt w:val="bullet"/>
      <w:lvlText w:val="•"/>
      <w:lvlJc w:val="left"/>
      <w:pPr>
        <w:ind w:left="6866" w:hanging="360"/>
      </w:pPr>
      <w:rPr>
        <w:rFonts w:hint="default"/>
        <w:lang w:val="en-au" w:eastAsia="en-au" w:bidi="en-au"/>
      </w:rPr>
    </w:lvl>
    <w:lvl w:ilvl="7">
      <w:start w:val="0"/>
      <w:numFmt w:val="bullet"/>
      <w:lvlText w:val="•"/>
      <w:lvlJc w:val="left"/>
      <w:pPr>
        <w:ind w:left="7790" w:hanging="360"/>
      </w:pPr>
      <w:rPr>
        <w:rFonts w:hint="default"/>
        <w:lang w:val="en-au" w:eastAsia="en-au" w:bidi="en-au"/>
      </w:rPr>
    </w:lvl>
    <w:lvl w:ilvl="8">
      <w:start w:val="0"/>
      <w:numFmt w:val="bullet"/>
      <w:lvlText w:val="•"/>
      <w:lvlJc w:val="left"/>
      <w:pPr>
        <w:ind w:left="8715" w:hanging="360"/>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2"/>
      <w:szCs w:val="22"/>
      <w:lang w:val="en-au" w:eastAsia="en-au" w:bidi="en-au"/>
    </w:rPr>
  </w:style>
  <w:style w:styleId="ListParagraph" w:type="paragraph">
    <w:name w:val="List Paragraph"/>
    <w:basedOn w:val="Normal"/>
    <w:uiPriority w:val="1"/>
    <w:qFormat/>
    <w:pPr>
      <w:spacing w:line="276" w:lineRule="exact"/>
      <w:ind w:left="1317" w:hanging="361"/>
      <w:jc w:val="both"/>
    </w:pPr>
    <w:rPr>
      <w:rFonts w:ascii="Calibri" w:hAnsi="Calibri" w:eastAsia="Calibri" w:cs="Calibri"/>
      <w:lang w:val="en-au" w:eastAsia="en-au" w:bidi="en-au"/>
    </w:rPr>
  </w:style>
  <w:style w:styleId="TableParagraph" w:type="paragraph">
    <w:name w:val="Table Paragraph"/>
    <w:basedOn w:val="Normal"/>
    <w:uiPriority w:val="1"/>
    <w:qFormat/>
    <w:pPr>
      <w:spacing w:before="25"/>
      <w:jc w:val="right"/>
    </w:pPr>
    <w:rPr>
      <w:rFonts w:ascii="Calibri" w:hAnsi="Calibri" w:eastAsia="Calibri" w:cs="Calibri"/>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dcterms:created xsi:type="dcterms:W3CDTF">2020-03-05T03:13:24Z</dcterms:created>
  <dcterms:modified xsi:type="dcterms:W3CDTF">2020-03-05T03:13:24Z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2012-04-03T00:00:00Z</vt:filetime>
  </property>
  <property fmtid="{D5CDD505-2E9C-101B-9397-08002B2CF9AE}" pid="3" name="Creator">
    <vt:lpwstr>Microsoft® Office Word 2007</vt:lpwstr>
  </property>
  <property fmtid="{D5CDD505-2E9C-101B-9397-08002B2CF9AE}" pid="4" name="LastSaved">
    <vt:filetime>2020-03-05T00:00:00Z</vt:filetime>
  </property>
</Properties>
</file>