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3F" w:rsidRDefault="0094633F" w:rsidP="0094633F">
      <w:pPr>
        <w:pStyle w:val="Default"/>
        <w:rPr>
          <w:sz w:val="23"/>
          <w:szCs w:val="23"/>
        </w:rPr>
      </w:pPr>
      <w:bookmarkStart w:id="0" w:name="_GoBack"/>
      <w:bookmarkEnd w:id="0"/>
    </w:p>
    <w:p w:rsidR="0094633F" w:rsidRDefault="0094633F" w:rsidP="0094633F">
      <w:pPr>
        <w:pStyle w:val="Default"/>
        <w:rPr>
          <w:sz w:val="23"/>
          <w:szCs w:val="23"/>
        </w:rPr>
      </w:pPr>
    </w:p>
    <w:p w:rsidR="0094633F" w:rsidRDefault="00E26880" w:rsidP="0094633F">
      <w:pPr>
        <w:pStyle w:val="Default"/>
        <w:rPr>
          <w:sz w:val="23"/>
          <w:szCs w:val="23"/>
        </w:rPr>
      </w:pPr>
      <w:r>
        <w:rPr>
          <w:noProof/>
          <w:lang w:eastAsia="en-AU"/>
        </w:rPr>
        <w:drawing>
          <wp:inline distT="0" distB="0" distL="0" distR="0" wp14:anchorId="3EEB2356" wp14:editId="62EC531E">
            <wp:extent cx="1168842" cy="1168842"/>
            <wp:effectExtent l="0" t="0" r="0" b="0"/>
            <wp:docPr id="2" name="Picture 2" descr="https://www.dpc.wa.gov.au/GuidelinesAndPolicies/CommonBadging/PublishingImages/downloads/seal/sealBlack_810x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c.wa.gov.au/GuidelinesAndPolicies/CommonBadging/PublishingImages/downloads/seal/sealBlack_810x8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450" cy="1178450"/>
                    </a:xfrm>
                    <a:prstGeom prst="rect">
                      <a:avLst/>
                    </a:prstGeom>
                    <a:noFill/>
                    <a:ln>
                      <a:noFill/>
                    </a:ln>
                  </pic:spPr>
                </pic:pic>
              </a:graphicData>
            </a:graphic>
          </wp:inline>
        </w:drawing>
      </w:r>
    </w:p>
    <w:p w:rsidR="0094633F" w:rsidRDefault="0094633F" w:rsidP="0094633F">
      <w:pPr>
        <w:pStyle w:val="Default"/>
        <w:jc w:val="center"/>
        <w:rPr>
          <w:sz w:val="23"/>
          <w:szCs w:val="23"/>
        </w:rPr>
      </w:pPr>
    </w:p>
    <w:p w:rsidR="0094633F" w:rsidRDefault="0094633F" w:rsidP="0094633F">
      <w:pPr>
        <w:pStyle w:val="Default"/>
        <w:jc w:val="center"/>
        <w:rPr>
          <w:b/>
          <w:bCs/>
          <w:sz w:val="48"/>
          <w:szCs w:val="48"/>
        </w:rPr>
      </w:pPr>
    </w:p>
    <w:p w:rsidR="0094633F" w:rsidRDefault="0094633F" w:rsidP="0094633F">
      <w:pPr>
        <w:pStyle w:val="Default"/>
        <w:jc w:val="center"/>
        <w:rPr>
          <w:b/>
          <w:bCs/>
          <w:sz w:val="48"/>
          <w:szCs w:val="48"/>
        </w:rPr>
      </w:pPr>
    </w:p>
    <w:p w:rsidR="0094633F" w:rsidRDefault="0094633F" w:rsidP="0094633F">
      <w:pPr>
        <w:pStyle w:val="Default"/>
        <w:jc w:val="center"/>
        <w:rPr>
          <w:b/>
          <w:bCs/>
          <w:sz w:val="48"/>
          <w:szCs w:val="48"/>
        </w:rPr>
      </w:pPr>
    </w:p>
    <w:p w:rsidR="0094633F" w:rsidRDefault="0094633F" w:rsidP="0094633F">
      <w:pPr>
        <w:pStyle w:val="Default"/>
        <w:jc w:val="center"/>
        <w:rPr>
          <w:b/>
          <w:bCs/>
          <w:sz w:val="48"/>
          <w:szCs w:val="48"/>
        </w:rPr>
      </w:pPr>
      <w:r>
        <w:rPr>
          <w:b/>
          <w:bCs/>
          <w:sz w:val="48"/>
          <w:szCs w:val="48"/>
        </w:rPr>
        <w:t xml:space="preserve">Western Australian Government Indexation Policy for the </w:t>
      </w:r>
    </w:p>
    <w:p w:rsidR="0094633F" w:rsidRDefault="0094633F" w:rsidP="0094633F">
      <w:pPr>
        <w:pStyle w:val="Default"/>
        <w:jc w:val="center"/>
        <w:rPr>
          <w:b/>
          <w:bCs/>
          <w:sz w:val="48"/>
          <w:szCs w:val="48"/>
        </w:rPr>
      </w:pPr>
      <w:r>
        <w:rPr>
          <w:b/>
          <w:bCs/>
          <w:sz w:val="48"/>
          <w:szCs w:val="48"/>
        </w:rPr>
        <w:t>Non-Government Human Services Sector</w:t>
      </w:r>
    </w:p>
    <w:p w:rsidR="006668FF" w:rsidRDefault="006668FF" w:rsidP="0094633F">
      <w:pPr>
        <w:pStyle w:val="Default"/>
        <w:jc w:val="center"/>
        <w:rPr>
          <w:b/>
          <w:bCs/>
          <w:sz w:val="48"/>
          <w:szCs w:val="48"/>
        </w:rPr>
      </w:pPr>
    </w:p>
    <w:p w:rsidR="0094633F" w:rsidRDefault="006668FF" w:rsidP="0094633F">
      <w:pPr>
        <w:pStyle w:val="Default"/>
        <w:jc w:val="center"/>
        <w:rPr>
          <w:b/>
          <w:bCs/>
          <w:sz w:val="48"/>
          <w:szCs w:val="48"/>
        </w:rPr>
      </w:pPr>
      <w:r w:rsidRPr="006668FF">
        <w:rPr>
          <w:b/>
          <w:bCs/>
          <w:sz w:val="48"/>
          <w:szCs w:val="48"/>
        </w:rPr>
        <w:t>June 2019</w:t>
      </w:r>
    </w:p>
    <w:p w:rsidR="0094633F" w:rsidRDefault="0094633F" w:rsidP="0094633F">
      <w:pPr>
        <w:pStyle w:val="Default"/>
        <w:jc w:val="center"/>
        <w:rPr>
          <w:b/>
          <w:bCs/>
          <w:sz w:val="48"/>
          <w:szCs w:val="48"/>
        </w:rPr>
      </w:pPr>
    </w:p>
    <w:p w:rsidR="0094633F" w:rsidRDefault="0094633F" w:rsidP="0094633F">
      <w:pPr>
        <w:pStyle w:val="Default"/>
        <w:jc w:val="center"/>
        <w:rPr>
          <w:rFonts w:ascii="Calibri" w:hAnsi="Calibri" w:cs="Calibri"/>
          <w:sz w:val="22"/>
          <w:szCs w:val="22"/>
        </w:rPr>
      </w:pPr>
    </w:p>
    <w:p w:rsidR="0094633F" w:rsidRDefault="0094633F" w:rsidP="0094633F">
      <w:pPr>
        <w:pStyle w:val="Default"/>
        <w:jc w:val="center"/>
        <w:rPr>
          <w:color w:val="auto"/>
        </w:rPr>
      </w:pPr>
    </w:p>
    <w:p w:rsidR="0094633F" w:rsidRDefault="0094633F" w:rsidP="0094633F">
      <w:pPr>
        <w:pStyle w:val="Default"/>
        <w:pageBreakBefore/>
        <w:rPr>
          <w:color w:val="auto"/>
          <w:sz w:val="28"/>
          <w:szCs w:val="28"/>
        </w:rPr>
      </w:pPr>
      <w:r>
        <w:rPr>
          <w:b/>
          <w:bCs/>
          <w:color w:val="auto"/>
          <w:sz w:val="28"/>
          <w:szCs w:val="28"/>
        </w:rPr>
        <w:lastRenderedPageBreak/>
        <w:t xml:space="preserve">POLICY STATEMENT </w:t>
      </w:r>
    </w:p>
    <w:p w:rsidR="0094633F" w:rsidRDefault="0094633F" w:rsidP="0094633F">
      <w:pPr>
        <w:pStyle w:val="Default"/>
        <w:rPr>
          <w:b/>
          <w:bCs/>
          <w:color w:val="auto"/>
          <w:sz w:val="22"/>
          <w:szCs w:val="22"/>
        </w:rPr>
      </w:pPr>
    </w:p>
    <w:p w:rsidR="0094633F" w:rsidRDefault="0094633F" w:rsidP="0094633F">
      <w:pPr>
        <w:pStyle w:val="Default"/>
        <w:rPr>
          <w:color w:val="auto"/>
          <w:sz w:val="22"/>
          <w:szCs w:val="22"/>
        </w:rPr>
      </w:pPr>
      <w:r>
        <w:rPr>
          <w:b/>
          <w:bCs/>
          <w:color w:val="auto"/>
          <w:sz w:val="22"/>
          <w:szCs w:val="22"/>
        </w:rPr>
        <w:t xml:space="preserve">Policy Objectives </w:t>
      </w:r>
    </w:p>
    <w:p w:rsidR="0094633F" w:rsidRDefault="0094633F" w:rsidP="0094633F">
      <w:pPr>
        <w:pStyle w:val="Default"/>
        <w:jc w:val="both"/>
        <w:rPr>
          <w:color w:val="auto"/>
          <w:sz w:val="22"/>
          <w:szCs w:val="22"/>
        </w:rPr>
      </w:pPr>
      <w:r>
        <w:rPr>
          <w:color w:val="auto"/>
          <w:sz w:val="22"/>
          <w:szCs w:val="22"/>
        </w:rPr>
        <w:t xml:space="preserve">The </w:t>
      </w:r>
      <w:r>
        <w:rPr>
          <w:i/>
          <w:iCs/>
          <w:color w:val="auto"/>
          <w:sz w:val="22"/>
          <w:szCs w:val="22"/>
        </w:rPr>
        <w:t xml:space="preserve">Western Australian Government Indexation Policy for the Non-Government Human Services Sector </w:t>
      </w:r>
      <w:r>
        <w:rPr>
          <w:color w:val="auto"/>
          <w:sz w:val="22"/>
          <w:szCs w:val="22"/>
        </w:rPr>
        <w:t xml:space="preserve">(the </w:t>
      </w:r>
      <w:r>
        <w:rPr>
          <w:i/>
          <w:iCs/>
          <w:color w:val="auto"/>
          <w:sz w:val="22"/>
          <w:szCs w:val="22"/>
        </w:rPr>
        <w:t>Indexation Policy</w:t>
      </w:r>
      <w:r>
        <w:rPr>
          <w:color w:val="auto"/>
          <w:sz w:val="22"/>
          <w:szCs w:val="22"/>
        </w:rPr>
        <w:t xml:space="preserve">) provides for transparency and consistency in the level of indexation to </w:t>
      </w:r>
      <w:proofErr w:type="gramStart"/>
      <w:r>
        <w:rPr>
          <w:color w:val="auto"/>
          <w:sz w:val="22"/>
          <w:szCs w:val="22"/>
        </w:rPr>
        <w:t>be applied</w:t>
      </w:r>
      <w:proofErr w:type="gramEnd"/>
      <w:r>
        <w:rPr>
          <w:color w:val="auto"/>
          <w:sz w:val="22"/>
          <w:szCs w:val="22"/>
        </w:rPr>
        <w:t xml:space="preserve"> to prices in contracting arrangements under the </w:t>
      </w:r>
      <w:r w:rsidRPr="00EC0A20">
        <w:rPr>
          <w:color w:val="auto"/>
          <w:sz w:val="22"/>
          <w:szCs w:val="22"/>
        </w:rPr>
        <w:t>Delivering Community Ser</w:t>
      </w:r>
      <w:r w:rsidR="00EC0A20">
        <w:rPr>
          <w:color w:val="auto"/>
          <w:sz w:val="22"/>
          <w:szCs w:val="22"/>
        </w:rPr>
        <w:t xml:space="preserve">vices in Partnership Policy 2018 </w:t>
      </w:r>
      <w:r>
        <w:rPr>
          <w:color w:val="auto"/>
          <w:sz w:val="22"/>
          <w:szCs w:val="22"/>
        </w:rPr>
        <w:t xml:space="preserve">(the </w:t>
      </w:r>
      <w:r>
        <w:rPr>
          <w:i/>
          <w:iCs/>
          <w:color w:val="auto"/>
          <w:sz w:val="22"/>
          <w:szCs w:val="22"/>
        </w:rPr>
        <w:t>DCSP Policy</w:t>
      </w:r>
      <w:r>
        <w:rPr>
          <w:color w:val="auto"/>
          <w:sz w:val="22"/>
          <w:szCs w:val="22"/>
        </w:rPr>
        <w:t xml:space="preserve">). </w:t>
      </w:r>
    </w:p>
    <w:p w:rsidR="0094633F" w:rsidRDefault="0094633F" w:rsidP="0094633F">
      <w:pPr>
        <w:pStyle w:val="Default"/>
        <w:jc w:val="both"/>
        <w:rPr>
          <w:color w:val="auto"/>
          <w:sz w:val="22"/>
          <w:szCs w:val="22"/>
        </w:rPr>
      </w:pPr>
    </w:p>
    <w:p w:rsidR="0094633F" w:rsidRDefault="0094633F" w:rsidP="0094633F">
      <w:pPr>
        <w:pStyle w:val="Default"/>
        <w:jc w:val="both"/>
        <w:rPr>
          <w:color w:val="auto"/>
          <w:sz w:val="22"/>
          <w:szCs w:val="22"/>
        </w:rPr>
      </w:pPr>
      <w:r>
        <w:rPr>
          <w:color w:val="auto"/>
          <w:sz w:val="22"/>
          <w:szCs w:val="22"/>
        </w:rPr>
        <w:t xml:space="preserve">The objectives of the </w:t>
      </w:r>
      <w:r>
        <w:rPr>
          <w:i/>
          <w:iCs/>
          <w:color w:val="auto"/>
          <w:sz w:val="22"/>
          <w:szCs w:val="22"/>
        </w:rPr>
        <w:t xml:space="preserve">Indexation Policy </w:t>
      </w:r>
      <w:r>
        <w:rPr>
          <w:color w:val="auto"/>
          <w:sz w:val="22"/>
          <w:szCs w:val="22"/>
        </w:rPr>
        <w:t xml:space="preserve">are to provide: </w:t>
      </w:r>
    </w:p>
    <w:p w:rsidR="0094633F" w:rsidRDefault="0094633F" w:rsidP="0094633F">
      <w:pPr>
        <w:pStyle w:val="Default"/>
        <w:numPr>
          <w:ilvl w:val="0"/>
          <w:numId w:val="1"/>
        </w:numPr>
        <w:spacing w:after="29"/>
        <w:jc w:val="both"/>
        <w:rPr>
          <w:color w:val="auto"/>
          <w:sz w:val="22"/>
          <w:szCs w:val="22"/>
        </w:rPr>
      </w:pPr>
      <w:r>
        <w:rPr>
          <w:color w:val="auto"/>
          <w:sz w:val="22"/>
          <w:szCs w:val="22"/>
        </w:rPr>
        <w:t xml:space="preserve">increases to service agreement prices over the life of a service agreement to assist in addressing cost increases; </w:t>
      </w:r>
    </w:p>
    <w:p w:rsidR="0094633F" w:rsidRDefault="0094633F" w:rsidP="0094633F">
      <w:pPr>
        <w:pStyle w:val="Default"/>
        <w:numPr>
          <w:ilvl w:val="0"/>
          <w:numId w:val="1"/>
        </w:numPr>
        <w:spacing w:after="29"/>
        <w:jc w:val="both"/>
        <w:rPr>
          <w:color w:val="auto"/>
          <w:sz w:val="22"/>
          <w:szCs w:val="22"/>
        </w:rPr>
      </w:pPr>
      <w:r w:rsidRPr="0094633F">
        <w:rPr>
          <w:color w:val="auto"/>
          <w:sz w:val="22"/>
          <w:szCs w:val="22"/>
        </w:rPr>
        <w:t xml:space="preserve">transparency and consistency in the level of indexation across community services service agreements; </w:t>
      </w:r>
      <w:r w:rsidR="009327E8">
        <w:rPr>
          <w:color w:val="auto"/>
          <w:sz w:val="22"/>
          <w:szCs w:val="22"/>
        </w:rPr>
        <w:t>and</w:t>
      </w:r>
    </w:p>
    <w:p w:rsidR="0094633F" w:rsidRPr="0094633F" w:rsidRDefault="0094633F" w:rsidP="009327E8">
      <w:pPr>
        <w:pStyle w:val="Default"/>
        <w:numPr>
          <w:ilvl w:val="0"/>
          <w:numId w:val="1"/>
        </w:numPr>
        <w:spacing w:after="29"/>
        <w:jc w:val="both"/>
        <w:rPr>
          <w:color w:val="auto"/>
          <w:sz w:val="22"/>
          <w:szCs w:val="22"/>
        </w:rPr>
      </w:pPr>
      <w:proofErr w:type="gramStart"/>
      <w:r w:rsidRPr="0094633F">
        <w:rPr>
          <w:color w:val="auto"/>
          <w:sz w:val="22"/>
          <w:szCs w:val="22"/>
        </w:rPr>
        <w:t>administrative</w:t>
      </w:r>
      <w:proofErr w:type="gramEnd"/>
      <w:r w:rsidRPr="0094633F">
        <w:rPr>
          <w:color w:val="auto"/>
          <w:sz w:val="22"/>
          <w:szCs w:val="22"/>
        </w:rPr>
        <w:t xml:space="preserve"> simplicity in the application of the </w:t>
      </w:r>
      <w:r w:rsidRPr="0094633F">
        <w:rPr>
          <w:i/>
          <w:iCs/>
          <w:color w:val="auto"/>
          <w:sz w:val="22"/>
          <w:szCs w:val="22"/>
        </w:rPr>
        <w:t>Policy</w:t>
      </w:r>
      <w:r w:rsidR="009327E8">
        <w:rPr>
          <w:color w:val="auto"/>
          <w:sz w:val="22"/>
          <w:szCs w:val="22"/>
        </w:rPr>
        <w:t>.</w:t>
      </w:r>
      <w:r w:rsidRPr="0094633F">
        <w:rPr>
          <w:color w:val="auto"/>
          <w:sz w:val="22"/>
          <w:szCs w:val="22"/>
        </w:rPr>
        <w:t xml:space="preserve"> </w:t>
      </w:r>
    </w:p>
    <w:p w:rsidR="0094633F" w:rsidRDefault="0094633F" w:rsidP="0094633F">
      <w:pPr>
        <w:pStyle w:val="Default"/>
        <w:jc w:val="both"/>
        <w:rPr>
          <w:color w:val="auto"/>
          <w:sz w:val="22"/>
          <w:szCs w:val="22"/>
        </w:rPr>
      </w:pPr>
    </w:p>
    <w:p w:rsidR="0094633F" w:rsidRDefault="0094633F" w:rsidP="0094633F">
      <w:pPr>
        <w:pStyle w:val="Default"/>
        <w:jc w:val="both"/>
        <w:rPr>
          <w:color w:val="auto"/>
          <w:sz w:val="22"/>
          <w:szCs w:val="22"/>
        </w:rPr>
      </w:pPr>
      <w:r>
        <w:rPr>
          <w:color w:val="auto"/>
          <w:sz w:val="22"/>
          <w:szCs w:val="22"/>
        </w:rPr>
        <w:t xml:space="preserve">Indexation </w:t>
      </w:r>
      <w:proofErr w:type="gramStart"/>
      <w:r>
        <w:rPr>
          <w:color w:val="auto"/>
          <w:sz w:val="22"/>
          <w:szCs w:val="22"/>
        </w:rPr>
        <w:t>is not intended</w:t>
      </w:r>
      <w:proofErr w:type="gramEnd"/>
      <w:r>
        <w:rPr>
          <w:color w:val="auto"/>
          <w:sz w:val="22"/>
          <w:szCs w:val="22"/>
        </w:rPr>
        <w:t xml:space="preserve"> to meet growth in services due to demand pressures. In addition, extraordinary situations will occasionally arise where one-off increases to specific costs make prices unsustainable within the life of a service agreement. Service agreements established under the </w:t>
      </w:r>
      <w:r>
        <w:rPr>
          <w:i/>
          <w:iCs/>
          <w:color w:val="auto"/>
          <w:sz w:val="22"/>
          <w:szCs w:val="22"/>
        </w:rPr>
        <w:t xml:space="preserve">DCSP Policy </w:t>
      </w:r>
      <w:r>
        <w:rPr>
          <w:color w:val="auto"/>
          <w:sz w:val="22"/>
          <w:szCs w:val="22"/>
        </w:rPr>
        <w:t xml:space="preserve">provide for a separate process for the variation of prices in extraordinary situations, which </w:t>
      </w:r>
      <w:proofErr w:type="gramStart"/>
      <w:r>
        <w:rPr>
          <w:color w:val="auto"/>
          <w:sz w:val="22"/>
          <w:szCs w:val="22"/>
        </w:rPr>
        <w:t>will be considered subject to adequate justification and the availability of funding, and approved at the absolute discretion of the Public Authority</w:t>
      </w:r>
      <w:proofErr w:type="gramEnd"/>
      <w:r>
        <w:rPr>
          <w:color w:val="auto"/>
          <w:sz w:val="22"/>
          <w:szCs w:val="22"/>
        </w:rPr>
        <w:t xml:space="preserve">. </w:t>
      </w:r>
    </w:p>
    <w:p w:rsidR="0094633F" w:rsidRDefault="0094633F" w:rsidP="0094633F">
      <w:pPr>
        <w:pStyle w:val="Default"/>
        <w:jc w:val="both"/>
        <w:rPr>
          <w:color w:val="auto"/>
          <w:sz w:val="22"/>
          <w:szCs w:val="22"/>
        </w:rPr>
      </w:pPr>
    </w:p>
    <w:p w:rsidR="0094633F" w:rsidRDefault="0094633F" w:rsidP="0094633F">
      <w:pPr>
        <w:pStyle w:val="Default"/>
        <w:jc w:val="both"/>
        <w:rPr>
          <w:color w:val="auto"/>
          <w:sz w:val="22"/>
          <w:szCs w:val="22"/>
        </w:rPr>
      </w:pPr>
      <w:r>
        <w:rPr>
          <w:color w:val="auto"/>
          <w:sz w:val="22"/>
          <w:szCs w:val="22"/>
        </w:rPr>
        <w:t xml:space="preserve">Similarly, the </w:t>
      </w:r>
      <w:r>
        <w:rPr>
          <w:i/>
          <w:iCs/>
          <w:color w:val="auto"/>
          <w:sz w:val="22"/>
          <w:szCs w:val="22"/>
        </w:rPr>
        <w:t xml:space="preserve">Indexation Policy </w:t>
      </w:r>
      <w:r>
        <w:rPr>
          <w:color w:val="auto"/>
          <w:sz w:val="22"/>
          <w:szCs w:val="22"/>
        </w:rPr>
        <w:t xml:space="preserve">does not cover changes to base service agreement prices that arise from renewal of service agreements at their expiry. </w:t>
      </w:r>
    </w:p>
    <w:p w:rsidR="0094633F" w:rsidRDefault="0094633F" w:rsidP="0094633F">
      <w:pPr>
        <w:pStyle w:val="Default"/>
        <w:jc w:val="both"/>
        <w:rPr>
          <w:b/>
          <w:bCs/>
          <w:color w:val="auto"/>
          <w:sz w:val="22"/>
          <w:szCs w:val="22"/>
        </w:rPr>
      </w:pPr>
    </w:p>
    <w:p w:rsidR="0094633F" w:rsidRDefault="0094633F" w:rsidP="0094633F">
      <w:pPr>
        <w:pStyle w:val="Default"/>
        <w:jc w:val="both"/>
        <w:rPr>
          <w:color w:val="auto"/>
          <w:sz w:val="22"/>
          <w:szCs w:val="22"/>
        </w:rPr>
      </w:pPr>
      <w:r>
        <w:rPr>
          <w:b/>
          <w:bCs/>
          <w:color w:val="auto"/>
          <w:sz w:val="22"/>
          <w:szCs w:val="22"/>
        </w:rPr>
        <w:t xml:space="preserve">Implementation </w:t>
      </w:r>
    </w:p>
    <w:p w:rsidR="0094633F" w:rsidRDefault="0094633F" w:rsidP="0094633F">
      <w:pPr>
        <w:pStyle w:val="Default"/>
        <w:jc w:val="both"/>
        <w:rPr>
          <w:color w:val="auto"/>
          <w:sz w:val="22"/>
          <w:szCs w:val="22"/>
        </w:rPr>
      </w:pPr>
      <w:r>
        <w:rPr>
          <w:color w:val="auto"/>
          <w:sz w:val="22"/>
          <w:szCs w:val="22"/>
        </w:rPr>
        <w:t xml:space="preserve">This is a Government initiated revision of the </w:t>
      </w:r>
      <w:r>
        <w:rPr>
          <w:i/>
          <w:iCs/>
          <w:color w:val="auto"/>
          <w:sz w:val="22"/>
          <w:szCs w:val="22"/>
        </w:rPr>
        <w:t xml:space="preserve">Western Australian Government Indexation Policy for the Non-Government Human Services Sector </w:t>
      </w:r>
      <w:r w:rsidR="00EC0A20">
        <w:rPr>
          <w:i/>
          <w:iCs/>
          <w:color w:val="auto"/>
          <w:sz w:val="22"/>
          <w:szCs w:val="22"/>
        </w:rPr>
        <w:t>2015</w:t>
      </w:r>
      <w:r>
        <w:rPr>
          <w:i/>
          <w:iCs/>
          <w:color w:val="auto"/>
          <w:sz w:val="22"/>
          <w:szCs w:val="22"/>
        </w:rPr>
        <w:t xml:space="preserve"> (Indexation Policy) </w:t>
      </w:r>
      <w:r>
        <w:rPr>
          <w:color w:val="auto"/>
          <w:sz w:val="22"/>
          <w:szCs w:val="22"/>
        </w:rPr>
        <w:t xml:space="preserve">and </w:t>
      </w:r>
      <w:proofErr w:type="gramStart"/>
      <w:r>
        <w:rPr>
          <w:color w:val="auto"/>
          <w:sz w:val="22"/>
          <w:szCs w:val="22"/>
        </w:rPr>
        <w:t>has been endorsed</w:t>
      </w:r>
      <w:proofErr w:type="gramEnd"/>
      <w:r>
        <w:rPr>
          <w:color w:val="auto"/>
          <w:sz w:val="22"/>
          <w:szCs w:val="22"/>
        </w:rPr>
        <w:t xml:space="preserve"> by Cabinet. </w:t>
      </w:r>
    </w:p>
    <w:p w:rsidR="0094633F" w:rsidRDefault="0094633F" w:rsidP="0094633F">
      <w:pPr>
        <w:pStyle w:val="Default"/>
        <w:jc w:val="both"/>
        <w:rPr>
          <w:color w:val="auto"/>
          <w:sz w:val="22"/>
          <w:szCs w:val="22"/>
        </w:rPr>
      </w:pPr>
    </w:p>
    <w:p w:rsidR="0094633F" w:rsidRDefault="0094633F" w:rsidP="0094633F">
      <w:pPr>
        <w:pStyle w:val="Default"/>
        <w:jc w:val="both"/>
        <w:rPr>
          <w:color w:val="auto"/>
          <w:sz w:val="22"/>
          <w:szCs w:val="22"/>
        </w:rPr>
      </w:pPr>
      <w:r>
        <w:rPr>
          <w:color w:val="auto"/>
          <w:sz w:val="22"/>
          <w:szCs w:val="22"/>
        </w:rPr>
        <w:t xml:space="preserve">The </w:t>
      </w:r>
      <w:r>
        <w:rPr>
          <w:i/>
          <w:iCs/>
          <w:color w:val="auto"/>
          <w:sz w:val="22"/>
          <w:szCs w:val="22"/>
        </w:rPr>
        <w:t xml:space="preserve">Indexation Policy </w:t>
      </w:r>
      <w:r>
        <w:rPr>
          <w:color w:val="auto"/>
          <w:sz w:val="22"/>
          <w:szCs w:val="22"/>
        </w:rPr>
        <w:t xml:space="preserve">is subordinate to and </w:t>
      </w:r>
      <w:proofErr w:type="gramStart"/>
      <w:r>
        <w:rPr>
          <w:color w:val="auto"/>
          <w:sz w:val="22"/>
          <w:szCs w:val="22"/>
        </w:rPr>
        <w:t>should be read</w:t>
      </w:r>
      <w:proofErr w:type="gramEnd"/>
      <w:r>
        <w:rPr>
          <w:color w:val="auto"/>
          <w:sz w:val="22"/>
          <w:szCs w:val="22"/>
        </w:rPr>
        <w:t xml:space="preserve"> in conjunction with the </w:t>
      </w:r>
      <w:r>
        <w:rPr>
          <w:i/>
          <w:iCs/>
          <w:color w:val="auto"/>
          <w:sz w:val="22"/>
          <w:szCs w:val="22"/>
        </w:rPr>
        <w:t>DCSP Policy</w:t>
      </w:r>
      <w:r>
        <w:rPr>
          <w:color w:val="auto"/>
          <w:sz w:val="22"/>
          <w:szCs w:val="22"/>
        </w:rPr>
        <w:t xml:space="preserve">. Definitions in the </w:t>
      </w:r>
      <w:r>
        <w:rPr>
          <w:i/>
          <w:iCs/>
          <w:color w:val="auto"/>
          <w:sz w:val="22"/>
          <w:szCs w:val="22"/>
        </w:rPr>
        <w:t xml:space="preserve">DCSP Policy </w:t>
      </w:r>
      <w:r>
        <w:rPr>
          <w:color w:val="auto"/>
          <w:sz w:val="22"/>
          <w:szCs w:val="22"/>
        </w:rPr>
        <w:t xml:space="preserve">also apply to this </w:t>
      </w:r>
      <w:r>
        <w:rPr>
          <w:i/>
          <w:iCs/>
          <w:color w:val="auto"/>
          <w:sz w:val="22"/>
          <w:szCs w:val="22"/>
        </w:rPr>
        <w:t xml:space="preserve">Indexation Policy. </w:t>
      </w:r>
    </w:p>
    <w:p w:rsidR="0094633F" w:rsidRDefault="0094633F" w:rsidP="0094633F">
      <w:pPr>
        <w:pStyle w:val="Default"/>
        <w:jc w:val="both"/>
        <w:rPr>
          <w:color w:val="auto"/>
          <w:sz w:val="22"/>
          <w:szCs w:val="22"/>
        </w:rPr>
      </w:pPr>
    </w:p>
    <w:p w:rsidR="0094633F" w:rsidRDefault="0094633F" w:rsidP="0094633F">
      <w:pPr>
        <w:pStyle w:val="Default"/>
        <w:jc w:val="both"/>
        <w:rPr>
          <w:color w:val="auto"/>
          <w:sz w:val="22"/>
          <w:szCs w:val="22"/>
        </w:rPr>
      </w:pPr>
      <w:r>
        <w:rPr>
          <w:color w:val="auto"/>
          <w:sz w:val="22"/>
          <w:szCs w:val="22"/>
        </w:rPr>
        <w:t xml:space="preserve">Implementation of the revised </w:t>
      </w:r>
      <w:r>
        <w:rPr>
          <w:i/>
          <w:iCs/>
          <w:color w:val="auto"/>
          <w:sz w:val="22"/>
          <w:szCs w:val="22"/>
        </w:rPr>
        <w:t xml:space="preserve">Indexation Policy </w:t>
      </w:r>
      <w:r>
        <w:rPr>
          <w:color w:val="auto"/>
          <w:sz w:val="22"/>
          <w:szCs w:val="22"/>
        </w:rPr>
        <w:t xml:space="preserve">is </w:t>
      </w:r>
      <w:r w:rsidRPr="00EC0A20">
        <w:rPr>
          <w:color w:val="auto"/>
          <w:sz w:val="22"/>
          <w:szCs w:val="22"/>
        </w:rPr>
        <w:t xml:space="preserve">to commence on 1 July </w:t>
      </w:r>
      <w:r w:rsidR="00EC0A20">
        <w:rPr>
          <w:color w:val="auto"/>
          <w:sz w:val="22"/>
          <w:szCs w:val="22"/>
        </w:rPr>
        <w:t>2019</w:t>
      </w:r>
      <w:r>
        <w:rPr>
          <w:color w:val="auto"/>
          <w:sz w:val="22"/>
          <w:szCs w:val="22"/>
        </w:rPr>
        <w:t xml:space="preserve"> for all service agreements, whether existing, renewed or new. </w:t>
      </w:r>
    </w:p>
    <w:p w:rsidR="0094633F" w:rsidRDefault="0094633F" w:rsidP="0094633F">
      <w:pPr>
        <w:pStyle w:val="Default"/>
        <w:jc w:val="both"/>
        <w:rPr>
          <w:color w:val="auto"/>
          <w:sz w:val="22"/>
          <w:szCs w:val="22"/>
        </w:rPr>
      </w:pPr>
    </w:p>
    <w:p w:rsidR="0094633F" w:rsidRDefault="00EC0A20" w:rsidP="0094633F">
      <w:pPr>
        <w:pStyle w:val="Default"/>
        <w:jc w:val="both"/>
        <w:rPr>
          <w:color w:val="auto"/>
          <w:sz w:val="22"/>
          <w:szCs w:val="22"/>
        </w:rPr>
      </w:pPr>
      <w:r>
        <w:rPr>
          <w:color w:val="auto"/>
          <w:sz w:val="22"/>
          <w:szCs w:val="22"/>
        </w:rPr>
        <w:t xml:space="preserve">The Department of Treasury </w:t>
      </w:r>
      <w:r w:rsidR="0094633F" w:rsidRPr="00EC129A">
        <w:rPr>
          <w:color w:val="auto"/>
          <w:sz w:val="22"/>
          <w:szCs w:val="22"/>
        </w:rPr>
        <w:t xml:space="preserve">will provide ongoing support and oversight for the </w:t>
      </w:r>
      <w:r w:rsidR="0094633F" w:rsidRPr="00EC129A">
        <w:rPr>
          <w:i/>
          <w:iCs/>
          <w:color w:val="auto"/>
          <w:sz w:val="22"/>
          <w:szCs w:val="22"/>
        </w:rPr>
        <w:t>Indexation Policy</w:t>
      </w:r>
      <w:r w:rsidR="0094633F" w:rsidRPr="00EC129A">
        <w:rPr>
          <w:color w:val="auto"/>
          <w:sz w:val="22"/>
          <w:szCs w:val="22"/>
        </w:rPr>
        <w:t>. All enquiries should be directed to the Department of Finance,</w:t>
      </w:r>
      <w:r>
        <w:rPr>
          <w:color w:val="auto"/>
          <w:sz w:val="22"/>
          <w:szCs w:val="22"/>
        </w:rPr>
        <w:t xml:space="preserve"> </w:t>
      </w:r>
      <w:r w:rsidRPr="00EC0A20">
        <w:rPr>
          <w:color w:val="auto"/>
          <w:sz w:val="22"/>
          <w:szCs w:val="22"/>
        </w:rPr>
        <w:t>Funding and Contracting Services (</w:t>
      </w:r>
      <w:proofErr w:type="gramStart"/>
      <w:r w:rsidRPr="00EC0A20">
        <w:rPr>
          <w:color w:val="auto"/>
          <w:sz w:val="22"/>
          <w:szCs w:val="22"/>
        </w:rPr>
        <w:t>FaCS</w:t>
      </w:r>
      <w:proofErr w:type="gramEnd"/>
      <w:r w:rsidRPr="00EC129A">
        <w:rPr>
          <w:color w:val="auto"/>
          <w:sz w:val="22"/>
          <w:szCs w:val="22"/>
        </w:rPr>
        <w:t>)</w:t>
      </w:r>
      <w:r w:rsidR="0094633F" w:rsidRPr="00EC129A">
        <w:rPr>
          <w:color w:val="auto"/>
          <w:sz w:val="22"/>
          <w:szCs w:val="22"/>
        </w:rPr>
        <w:t>.</w:t>
      </w:r>
      <w:r w:rsidR="0094633F">
        <w:rPr>
          <w:color w:val="auto"/>
          <w:sz w:val="22"/>
          <w:szCs w:val="22"/>
        </w:rPr>
        <w:t xml:space="preserve"> </w:t>
      </w:r>
    </w:p>
    <w:p w:rsidR="0094633F" w:rsidRDefault="0094633F" w:rsidP="0094633F">
      <w:pPr>
        <w:pStyle w:val="Default"/>
        <w:jc w:val="both"/>
        <w:rPr>
          <w:b/>
          <w:bCs/>
          <w:color w:val="auto"/>
          <w:sz w:val="22"/>
          <w:szCs w:val="22"/>
        </w:rPr>
      </w:pPr>
    </w:p>
    <w:p w:rsidR="0094633F" w:rsidRDefault="0094633F" w:rsidP="0094633F">
      <w:pPr>
        <w:pStyle w:val="Default"/>
        <w:jc w:val="both"/>
        <w:rPr>
          <w:color w:val="auto"/>
          <w:sz w:val="22"/>
          <w:szCs w:val="22"/>
        </w:rPr>
      </w:pPr>
      <w:r>
        <w:rPr>
          <w:b/>
          <w:bCs/>
          <w:color w:val="auto"/>
          <w:sz w:val="22"/>
          <w:szCs w:val="22"/>
        </w:rPr>
        <w:t xml:space="preserve">Scope </w:t>
      </w:r>
    </w:p>
    <w:p w:rsidR="0094633F" w:rsidRDefault="0094633F" w:rsidP="0094633F">
      <w:pPr>
        <w:pStyle w:val="Default"/>
        <w:jc w:val="both"/>
        <w:rPr>
          <w:color w:val="auto"/>
          <w:sz w:val="22"/>
          <w:szCs w:val="22"/>
        </w:rPr>
      </w:pPr>
      <w:r>
        <w:rPr>
          <w:color w:val="auto"/>
          <w:sz w:val="22"/>
          <w:szCs w:val="22"/>
        </w:rPr>
        <w:t xml:space="preserve">The </w:t>
      </w:r>
      <w:r>
        <w:rPr>
          <w:i/>
          <w:iCs/>
          <w:color w:val="auto"/>
          <w:sz w:val="22"/>
          <w:szCs w:val="22"/>
        </w:rPr>
        <w:t xml:space="preserve">Indexation Policy </w:t>
      </w:r>
      <w:r>
        <w:rPr>
          <w:color w:val="auto"/>
          <w:sz w:val="22"/>
          <w:szCs w:val="22"/>
        </w:rPr>
        <w:t xml:space="preserve">applies to service agreements between Public Authorities and </w:t>
      </w:r>
      <w:proofErr w:type="gramStart"/>
      <w:r>
        <w:rPr>
          <w:color w:val="auto"/>
          <w:sz w:val="22"/>
          <w:szCs w:val="22"/>
        </w:rPr>
        <w:t>Organisations for the purchase of Community Services.</w:t>
      </w:r>
      <w:proofErr w:type="gramEnd"/>
      <w:r>
        <w:rPr>
          <w:color w:val="auto"/>
          <w:sz w:val="22"/>
          <w:szCs w:val="22"/>
        </w:rPr>
        <w:t xml:space="preserve"> The </w:t>
      </w:r>
      <w:r>
        <w:rPr>
          <w:i/>
          <w:iCs/>
          <w:color w:val="auto"/>
          <w:sz w:val="22"/>
          <w:szCs w:val="22"/>
        </w:rPr>
        <w:t xml:space="preserve">Indexation Policy </w:t>
      </w:r>
      <w:r>
        <w:rPr>
          <w:color w:val="auto"/>
          <w:sz w:val="22"/>
          <w:szCs w:val="22"/>
        </w:rPr>
        <w:t xml:space="preserve">applies to the State funded component of such service agreements. </w:t>
      </w:r>
    </w:p>
    <w:p w:rsidR="0094633F" w:rsidRDefault="0094633F" w:rsidP="0094633F">
      <w:pPr>
        <w:pStyle w:val="Default"/>
        <w:jc w:val="both"/>
        <w:rPr>
          <w:color w:val="auto"/>
          <w:sz w:val="22"/>
          <w:szCs w:val="22"/>
        </w:rPr>
      </w:pPr>
    </w:p>
    <w:p w:rsidR="0094633F" w:rsidRDefault="0094633F" w:rsidP="0094633F">
      <w:pPr>
        <w:pStyle w:val="Default"/>
        <w:jc w:val="both"/>
        <w:rPr>
          <w:rFonts w:ascii="Calibri" w:hAnsi="Calibri" w:cs="Calibri"/>
          <w:color w:val="auto"/>
          <w:sz w:val="22"/>
          <w:szCs w:val="22"/>
        </w:rPr>
      </w:pPr>
      <w:r>
        <w:rPr>
          <w:color w:val="auto"/>
          <w:sz w:val="22"/>
          <w:szCs w:val="22"/>
        </w:rPr>
        <w:t xml:space="preserve">The </w:t>
      </w:r>
      <w:r>
        <w:rPr>
          <w:i/>
          <w:iCs/>
          <w:color w:val="auto"/>
          <w:sz w:val="22"/>
          <w:szCs w:val="22"/>
        </w:rPr>
        <w:t xml:space="preserve">Indexation Policy </w:t>
      </w:r>
      <w:r>
        <w:rPr>
          <w:color w:val="auto"/>
          <w:sz w:val="22"/>
          <w:szCs w:val="22"/>
        </w:rPr>
        <w:t xml:space="preserve">also applies where pricing frameworks or other mechanisms are in place between Public Authorities and Organisations to facilitate individualised funding arrangements between Public Authorities and individuals for the purchase of Community Services from Organisations. In these instances, the indexation policy applies to the unit prices contained in the pricing </w:t>
      </w:r>
      <w:r w:rsidR="009D1F59">
        <w:rPr>
          <w:color w:val="auto"/>
          <w:sz w:val="22"/>
          <w:szCs w:val="22"/>
        </w:rPr>
        <w:t>framework or other arrangement.</w:t>
      </w:r>
    </w:p>
    <w:p w:rsidR="0094633F" w:rsidRDefault="0094633F" w:rsidP="0094633F">
      <w:pPr>
        <w:pStyle w:val="Default"/>
        <w:jc w:val="both"/>
        <w:rPr>
          <w:color w:val="auto"/>
        </w:rPr>
      </w:pPr>
    </w:p>
    <w:p w:rsidR="0094633F" w:rsidRDefault="0094633F" w:rsidP="0094633F">
      <w:pPr>
        <w:pStyle w:val="Default"/>
        <w:pageBreakBefore/>
        <w:jc w:val="both"/>
        <w:rPr>
          <w:color w:val="auto"/>
          <w:sz w:val="22"/>
          <w:szCs w:val="22"/>
        </w:rPr>
      </w:pPr>
      <w:r>
        <w:rPr>
          <w:color w:val="auto"/>
          <w:sz w:val="22"/>
          <w:szCs w:val="22"/>
        </w:rPr>
        <w:lastRenderedPageBreak/>
        <w:t xml:space="preserve">The </w:t>
      </w:r>
      <w:r>
        <w:rPr>
          <w:i/>
          <w:iCs/>
          <w:color w:val="auto"/>
          <w:sz w:val="22"/>
          <w:szCs w:val="22"/>
        </w:rPr>
        <w:t xml:space="preserve">Indexation Policy </w:t>
      </w:r>
      <w:r>
        <w:rPr>
          <w:color w:val="auto"/>
          <w:sz w:val="22"/>
          <w:szCs w:val="22"/>
        </w:rPr>
        <w:t xml:space="preserve">does not apply to: </w:t>
      </w:r>
    </w:p>
    <w:p w:rsidR="009D1F59" w:rsidRDefault="0094633F" w:rsidP="0094633F">
      <w:pPr>
        <w:pStyle w:val="Default"/>
        <w:numPr>
          <w:ilvl w:val="0"/>
          <w:numId w:val="2"/>
        </w:numPr>
        <w:spacing w:after="30"/>
        <w:jc w:val="both"/>
        <w:rPr>
          <w:color w:val="auto"/>
          <w:sz w:val="22"/>
          <w:szCs w:val="22"/>
        </w:rPr>
      </w:pPr>
      <w:r>
        <w:rPr>
          <w:color w:val="auto"/>
          <w:sz w:val="22"/>
          <w:szCs w:val="22"/>
        </w:rPr>
        <w:t xml:space="preserve">All other funding arrangements (including grants) under the </w:t>
      </w:r>
      <w:r>
        <w:rPr>
          <w:i/>
          <w:iCs/>
          <w:color w:val="auto"/>
          <w:sz w:val="22"/>
          <w:szCs w:val="22"/>
        </w:rPr>
        <w:t xml:space="preserve">DCSP Policy; </w:t>
      </w:r>
      <w:r>
        <w:rPr>
          <w:color w:val="auto"/>
          <w:sz w:val="22"/>
          <w:szCs w:val="22"/>
        </w:rPr>
        <w:t xml:space="preserve">or </w:t>
      </w:r>
    </w:p>
    <w:p w:rsidR="0094633F" w:rsidRPr="009D1F59" w:rsidRDefault="0094633F" w:rsidP="0094633F">
      <w:pPr>
        <w:pStyle w:val="Default"/>
        <w:numPr>
          <w:ilvl w:val="0"/>
          <w:numId w:val="2"/>
        </w:numPr>
        <w:spacing w:after="30"/>
        <w:jc w:val="both"/>
        <w:rPr>
          <w:color w:val="auto"/>
          <w:sz w:val="22"/>
          <w:szCs w:val="22"/>
        </w:rPr>
      </w:pPr>
      <w:proofErr w:type="gramStart"/>
      <w:r w:rsidRPr="009D1F59">
        <w:rPr>
          <w:color w:val="auto"/>
          <w:sz w:val="22"/>
          <w:szCs w:val="22"/>
        </w:rPr>
        <w:t xml:space="preserve">Contractual arrangements that are not for Community Services as defined in the </w:t>
      </w:r>
      <w:r w:rsidRPr="009D1F59">
        <w:rPr>
          <w:i/>
          <w:iCs/>
          <w:color w:val="auto"/>
          <w:sz w:val="22"/>
          <w:szCs w:val="22"/>
        </w:rPr>
        <w:t>DCSP Policy.</w:t>
      </w:r>
      <w:proofErr w:type="gramEnd"/>
      <w:r w:rsidRPr="009D1F59">
        <w:rPr>
          <w:i/>
          <w:iCs/>
          <w:color w:val="auto"/>
          <w:sz w:val="22"/>
          <w:szCs w:val="22"/>
        </w:rPr>
        <w:t xml:space="preserve"> </w:t>
      </w:r>
    </w:p>
    <w:p w:rsidR="0094633F" w:rsidRDefault="0094633F" w:rsidP="0094633F">
      <w:pPr>
        <w:pStyle w:val="Default"/>
        <w:jc w:val="both"/>
        <w:rPr>
          <w:color w:val="auto"/>
          <w:sz w:val="22"/>
          <w:szCs w:val="22"/>
        </w:rPr>
      </w:pPr>
    </w:p>
    <w:p w:rsidR="0094633F" w:rsidRDefault="0094633F" w:rsidP="0094633F">
      <w:pPr>
        <w:pStyle w:val="Default"/>
        <w:jc w:val="both"/>
        <w:rPr>
          <w:color w:val="auto"/>
          <w:sz w:val="28"/>
          <w:szCs w:val="28"/>
        </w:rPr>
      </w:pPr>
      <w:r>
        <w:rPr>
          <w:b/>
          <w:bCs/>
          <w:color w:val="auto"/>
          <w:sz w:val="28"/>
          <w:szCs w:val="28"/>
        </w:rPr>
        <w:t xml:space="preserve">INDEXATION RATES </w:t>
      </w:r>
    </w:p>
    <w:p w:rsidR="0094633F" w:rsidRDefault="0094633F" w:rsidP="0094633F">
      <w:pPr>
        <w:pStyle w:val="Default"/>
        <w:jc w:val="both"/>
        <w:rPr>
          <w:b/>
          <w:bCs/>
          <w:color w:val="auto"/>
          <w:sz w:val="22"/>
          <w:szCs w:val="22"/>
        </w:rPr>
      </w:pPr>
    </w:p>
    <w:p w:rsidR="0094633F" w:rsidRDefault="0094633F" w:rsidP="0094633F">
      <w:pPr>
        <w:pStyle w:val="Default"/>
        <w:jc w:val="both"/>
        <w:rPr>
          <w:color w:val="auto"/>
          <w:sz w:val="22"/>
          <w:szCs w:val="22"/>
        </w:rPr>
      </w:pPr>
      <w:r>
        <w:rPr>
          <w:b/>
          <w:bCs/>
          <w:color w:val="auto"/>
          <w:sz w:val="22"/>
          <w:szCs w:val="22"/>
        </w:rPr>
        <w:t xml:space="preserve">Determination </w:t>
      </w:r>
    </w:p>
    <w:p w:rsidR="0094633F" w:rsidRDefault="0094633F" w:rsidP="0094633F">
      <w:pPr>
        <w:pStyle w:val="Default"/>
        <w:jc w:val="both"/>
        <w:rPr>
          <w:color w:val="auto"/>
          <w:sz w:val="22"/>
          <w:szCs w:val="22"/>
        </w:rPr>
      </w:pPr>
      <w:r>
        <w:rPr>
          <w:color w:val="auto"/>
          <w:sz w:val="22"/>
          <w:szCs w:val="22"/>
        </w:rPr>
        <w:t xml:space="preserve">The indexation rate applicable to eligible service agreements and individualised funding arrangements </w:t>
      </w:r>
      <w:proofErr w:type="gramStart"/>
      <w:r>
        <w:rPr>
          <w:color w:val="auto"/>
          <w:sz w:val="22"/>
          <w:szCs w:val="22"/>
        </w:rPr>
        <w:t>will be calculated</w:t>
      </w:r>
      <w:proofErr w:type="gramEnd"/>
      <w:r>
        <w:rPr>
          <w:color w:val="auto"/>
          <w:sz w:val="22"/>
          <w:szCs w:val="22"/>
        </w:rPr>
        <w:t xml:space="preserve"> according to the following formula: </w:t>
      </w:r>
    </w:p>
    <w:p w:rsidR="0094633F" w:rsidRDefault="0094633F" w:rsidP="0094633F">
      <w:pPr>
        <w:pStyle w:val="Default"/>
        <w:jc w:val="both"/>
        <w:rPr>
          <w:b/>
          <w:bCs/>
          <w:color w:val="auto"/>
          <w:sz w:val="22"/>
          <w:szCs w:val="22"/>
        </w:rPr>
      </w:pPr>
    </w:p>
    <w:p w:rsidR="00EC0A20" w:rsidRPr="00EC0A20" w:rsidRDefault="00EC0A20" w:rsidP="00EC0A20">
      <w:pPr>
        <w:pStyle w:val="Default"/>
        <w:jc w:val="both"/>
        <w:rPr>
          <w:color w:val="auto"/>
          <w:sz w:val="22"/>
          <w:szCs w:val="22"/>
        </w:rPr>
      </w:pPr>
      <w:r w:rsidRPr="00EC0A20">
        <w:rPr>
          <w:b/>
          <w:bCs/>
          <w:color w:val="auto"/>
          <w:sz w:val="22"/>
          <w:szCs w:val="22"/>
        </w:rPr>
        <w:t>CPI *</w:t>
      </w:r>
      <w:r w:rsidR="006E0047">
        <w:rPr>
          <w:b/>
          <w:bCs/>
          <w:color w:val="auto"/>
          <w:sz w:val="22"/>
          <w:szCs w:val="22"/>
        </w:rPr>
        <w:t>0.2</w:t>
      </w:r>
      <w:r w:rsidRPr="00EC0A20">
        <w:rPr>
          <w:b/>
          <w:bCs/>
          <w:color w:val="auto"/>
          <w:sz w:val="22"/>
          <w:szCs w:val="22"/>
        </w:rPr>
        <w:t xml:space="preserve"> + WPI *</w:t>
      </w:r>
      <w:r w:rsidR="006E0047">
        <w:rPr>
          <w:b/>
          <w:bCs/>
          <w:color w:val="auto"/>
          <w:sz w:val="22"/>
          <w:szCs w:val="22"/>
        </w:rPr>
        <w:t>0.8</w:t>
      </w:r>
      <w:r w:rsidRPr="00EC0A20">
        <w:rPr>
          <w:b/>
          <w:bCs/>
          <w:color w:val="auto"/>
          <w:sz w:val="22"/>
          <w:szCs w:val="22"/>
        </w:rPr>
        <w:t xml:space="preserve"> </w:t>
      </w:r>
    </w:p>
    <w:p w:rsidR="00EC0A20" w:rsidRPr="00EC0A20" w:rsidRDefault="00EC0A20" w:rsidP="00EC0A20">
      <w:pPr>
        <w:pStyle w:val="Default"/>
        <w:jc w:val="both"/>
        <w:rPr>
          <w:color w:val="auto"/>
          <w:sz w:val="22"/>
          <w:szCs w:val="22"/>
        </w:rPr>
      </w:pPr>
    </w:p>
    <w:p w:rsidR="00EC0A20" w:rsidRPr="00EC0A20" w:rsidRDefault="00EC0A20" w:rsidP="00EC0A20">
      <w:pPr>
        <w:pStyle w:val="Default"/>
        <w:jc w:val="both"/>
        <w:rPr>
          <w:color w:val="auto"/>
          <w:sz w:val="22"/>
          <w:szCs w:val="22"/>
        </w:rPr>
      </w:pPr>
      <w:r w:rsidRPr="00EC0A20">
        <w:rPr>
          <w:color w:val="auto"/>
          <w:sz w:val="22"/>
          <w:szCs w:val="22"/>
        </w:rPr>
        <w:t xml:space="preserve">Where: </w:t>
      </w:r>
    </w:p>
    <w:p w:rsidR="00EC0A20" w:rsidRPr="00EC0A20" w:rsidRDefault="00EC0A20" w:rsidP="00EC0A20">
      <w:pPr>
        <w:pStyle w:val="Default"/>
        <w:jc w:val="both"/>
        <w:rPr>
          <w:color w:val="auto"/>
          <w:sz w:val="22"/>
          <w:szCs w:val="22"/>
        </w:rPr>
      </w:pPr>
    </w:p>
    <w:p w:rsidR="00EC0A20" w:rsidRPr="00EC0A20" w:rsidRDefault="00EC0A20" w:rsidP="00EC0A20">
      <w:pPr>
        <w:pStyle w:val="Default"/>
        <w:numPr>
          <w:ilvl w:val="0"/>
          <w:numId w:val="3"/>
        </w:numPr>
        <w:jc w:val="both"/>
        <w:rPr>
          <w:color w:val="auto"/>
          <w:sz w:val="22"/>
          <w:szCs w:val="22"/>
        </w:rPr>
      </w:pPr>
      <w:r w:rsidRPr="00EC0A20">
        <w:rPr>
          <w:color w:val="auto"/>
          <w:sz w:val="22"/>
          <w:szCs w:val="22"/>
        </w:rPr>
        <w:t>CPI is the annual percentage increase in the Perth Consumer Price Index; and</w:t>
      </w:r>
    </w:p>
    <w:p w:rsidR="00EC0A20" w:rsidRPr="00EC0A20" w:rsidRDefault="00EC0A20" w:rsidP="00EC0A20">
      <w:pPr>
        <w:pStyle w:val="Default"/>
        <w:jc w:val="both"/>
        <w:rPr>
          <w:color w:val="auto"/>
          <w:sz w:val="22"/>
          <w:szCs w:val="22"/>
        </w:rPr>
      </w:pPr>
    </w:p>
    <w:p w:rsidR="00EC0A20" w:rsidRPr="00EC0A20" w:rsidRDefault="00EC0A20" w:rsidP="00EC0A20">
      <w:pPr>
        <w:pStyle w:val="Default"/>
        <w:numPr>
          <w:ilvl w:val="0"/>
          <w:numId w:val="3"/>
        </w:numPr>
        <w:jc w:val="both"/>
        <w:rPr>
          <w:color w:val="auto"/>
          <w:sz w:val="22"/>
          <w:szCs w:val="22"/>
        </w:rPr>
      </w:pPr>
      <w:r w:rsidRPr="00EC0A20">
        <w:rPr>
          <w:color w:val="auto"/>
          <w:sz w:val="22"/>
          <w:szCs w:val="22"/>
        </w:rPr>
        <w:t xml:space="preserve">WPI is the annual percentage increase in the Perth Wage Price Index.  </w:t>
      </w:r>
    </w:p>
    <w:p w:rsidR="00EC0A20" w:rsidRPr="00EC0A20" w:rsidRDefault="00EC0A20" w:rsidP="00EC0A20">
      <w:pPr>
        <w:pStyle w:val="Default"/>
        <w:jc w:val="both"/>
        <w:rPr>
          <w:color w:val="auto"/>
          <w:sz w:val="22"/>
          <w:szCs w:val="22"/>
        </w:rPr>
      </w:pPr>
    </w:p>
    <w:p w:rsidR="00EC0A20" w:rsidRDefault="00EC0A20" w:rsidP="00EC0A20">
      <w:pPr>
        <w:pStyle w:val="Default"/>
        <w:jc w:val="both"/>
        <w:rPr>
          <w:color w:val="auto"/>
          <w:sz w:val="22"/>
          <w:szCs w:val="22"/>
        </w:rPr>
      </w:pPr>
      <w:r w:rsidRPr="00EC0A20">
        <w:rPr>
          <w:color w:val="auto"/>
          <w:sz w:val="22"/>
          <w:szCs w:val="22"/>
        </w:rPr>
        <w:t xml:space="preserve">Indices </w:t>
      </w:r>
      <w:proofErr w:type="gramStart"/>
      <w:r w:rsidRPr="00EC0A20">
        <w:rPr>
          <w:color w:val="auto"/>
          <w:sz w:val="22"/>
          <w:szCs w:val="22"/>
        </w:rPr>
        <w:t>will be source</w:t>
      </w:r>
      <w:r w:rsidR="00246878">
        <w:rPr>
          <w:color w:val="auto"/>
          <w:sz w:val="22"/>
          <w:szCs w:val="22"/>
        </w:rPr>
        <w:t>d</w:t>
      </w:r>
      <w:proofErr w:type="gramEnd"/>
      <w:r w:rsidRPr="00EC0A20">
        <w:rPr>
          <w:color w:val="auto"/>
          <w:sz w:val="22"/>
          <w:szCs w:val="22"/>
        </w:rPr>
        <w:t xml:space="preserve"> from the latest actual data available on 1 July as published by the Australian Bureau of Statistics.</w:t>
      </w:r>
      <w:r>
        <w:rPr>
          <w:color w:val="auto"/>
          <w:sz w:val="22"/>
          <w:szCs w:val="22"/>
        </w:rPr>
        <w:t xml:space="preserve">  </w:t>
      </w:r>
    </w:p>
    <w:p w:rsidR="00EC0A20" w:rsidRDefault="00EC0A20" w:rsidP="0094633F">
      <w:pPr>
        <w:pStyle w:val="Default"/>
        <w:jc w:val="both"/>
        <w:rPr>
          <w:color w:val="auto"/>
          <w:sz w:val="22"/>
          <w:szCs w:val="22"/>
        </w:rPr>
      </w:pPr>
    </w:p>
    <w:p w:rsidR="00EC0A20" w:rsidRDefault="00EC0A20" w:rsidP="0094633F">
      <w:pPr>
        <w:pStyle w:val="Default"/>
        <w:jc w:val="both"/>
        <w:rPr>
          <w:color w:val="auto"/>
          <w:sz w:val="22"/>
          <w:szCs w:val="22"/>
        </w:rPr>
      </w:pPr>
    </w:p>
    <w:sectPr w:rsidR="00EC0A20" w:rsidSect="009D1F59">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AB" w:rsidRDefault="00AA17AB" w:rsidP="009D1F59">
      <w:pPr>
        <w:spacing w:after="0" w:line="240" w:lineRule="auto"/>
      </w:pPr>
      <w:r>
        <w:separator/>
      </w:r>
    </w:p>
  </w:endnote>
  <w:endnote w:type="continuationSeparator" w:id="0">
    <w:p w:rsidR="00AA17AB" w:rsidRDefault="00AA17AB" w:rsidP="009D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362656"/>
      <w:docPartObj>
        <w:docPartGallery w:val="Page Numbers (Bottom of Page)"/>
        <w:docPartUnique/>
      </w:docPartObj>
    </w:sdtPr>
    <w:sdtEndPr>
      <w:rPr>
        <w:noProof/>
      </w:rPr>
    </w:sdtEndPr>
    <w:sdtContent>
      <w:p w:rsidR="009D1F59" w:rsidRDefault="009D1F59">
        <w:pPr>
          <w:pStyle w:val="Footer"/>
          <w:jc w:val="right"/>
        </w:pPr>
        <w:r>
          <w:fldChar w:fldCharType="begin"/>
        </w:r>
        <w:r>
          <w:instrText xml:space="preserve"> PAGE   \* MERGEFORMAT </w:instrText>
        </w:r>
        <w:r>
          <w:fldChar w:fldCharType="separate"/>
        </w:r>
        <w:r w:rsidR="004F64D8">
          <w:rPr>
            <w:noProof/>
          </w:rPr>
          <w:t>3</w:t>
        </w:r>
        <w:r>
          <w:rPr>
            <w:noProof/>
          </w:rPr>
          <w:fldChar w:fldCharType="end"/>
        </w:r>
      </w:p>
    </w:sdtContent>
  </w:sdt>
  <w:p w:rsidR="009D1F59" w:rsidRDefault="009D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AB" w:rsidRDefault="00AA17AB" w:rsidP="009D1F59">
      <w:pPr>
        <w:spacing w:after="0" w:line="240" w:lineRule="auto"/>
      </w:pPr>
      <w:r>
        <w:separator/>
      </w:r>
    </w:p>
  </w:footnote>
  <w:footnote w:type="continuationSeparator" w:id="0">
    <w:p w:rsidR="00AA17AB" w:rsidRDefault="00AA17AB" w:rsidP="009D1F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05A6"/>
    <w:multiLevelType w:val="hybridMultilevel"/>
    <w:tmpl w:val="338A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C43154"/>
    <w:multiLevelType w:val="hybridMultilevel"/>
    <w:tmpl w:val="440C0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4D437C"/>
    <w:multiLevelType w:val="hybridMultilevel"/>
    <w:tmpl w:val="6F467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3F"/>
    <w:rsid w:val="000D6F7E"/>
    <w:rsid w:val="00245D93"/>
    <w:rsid w:val="00246878"/>
    <w:rsid w:val="00333C40"/>
    <w:rsid w:val="00380613"/>
    <w:rsid w:val="00483408"/>
    <w:rsid w:val="004F64D8"/>
    <w:rsid w:val="005D7264"/>
    <w:rsid w:val="005F7719"/>
    <w:rsid w:val="006668FF"/>
    <w:rsid w:val="006E0047"/>
    <w:rsid w:val="006F080C"/>
    <w:rsid w:val="008F22CA"/>
    <w:rsid w:val="009327E8"/>
    <w:rsid w:val="00935239"/>
    <w:rsid w:val="0094633F"/>
    <w:rsid w:val="009D1F59"/>
    <w:rsid w:val="00A10F7D"/>
    <w:rsid w:val="00AA17AB"/>
    <w:rsid w:val="00DD6679"/>
    <w:rsid w:val="00E12E1C"/>
    <w:rsid w:val="00E26880"/>
    <w:rsid w:val="00EC0A20"/>
    <w:rsid w:val="00EC129A"/>
    <w:rsid w:val="00EF6D99"/>
    <w:rsid w:val="00F62892"/>
    <w:rsid w:val="00FD31EC"/>
    <w:rsid w:val="00FF1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B465A-D82F-4A18-BF34-06ECC393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633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D1F59"/>
    <w:rPr>
      <w:sz w:val="16"/>
      <w:szCs w:val="16"/>
    </w:rPr>
  </w:style>
  <w:style w:type="paragraph" w:styleId="CommentText">
    <w:name w:val="annotation text"/>
    <w:basedOn w:val="Normal"/>
    <w:link w:val="CommentTextChar"/>
    <w:uiPriority w:val="99"/>
    <w:unhideWhenUsed/>
    <w:rsid w:val="009D1F59"/>
    <w:pPr>
      <w:spacing w:line="240" w:lineRule="auto"/>
    </w:pPr>
    <w:rPr>
      <w:sz w:val="20"/>
      <w:szCs w:val="20"/>
    </w:rPr>
  </w:style>
  <w:style w:type="character" w:customStyle="1" w:styleId="CommentTextChar">
    <w:name w:val="Comment Text Char"/>
    <w:basedOn w:val="DefaultParagraphFont"/>
    <w:link w:val="CommentText"/>
    <w:uiPriority w:val="99"/>
    <w:rsid w:val="009D1F59"/>
    <w:rPr>
      <w:sz w:val="20"/>
      <w:szCs w:val="20"/>
    </w:rPr>
  </w:style>
  <w:style w:type="paragraph" w:styleId="CommentSubject">
    <w:name w:val="annotation subject"/>
    <w:basedOn w:val="CommentText"/>
    <w:next w:val="CommentText"/>
    <w:link w:val="CommentSubjectChar"/>
    <w:uiPriority w:val="99"/>
    <w:semiHidden/>
    <w:unhideWhenUsed/>
    <w:rsid w:val="009D1F59"/>
    <w:rPr>
      <w:b/>
      <w:bCs/>
    </w:rPr>
  </w:style>
  <w:style w:type="character" w:customStyle="1" w:styleId="CommentSubjectChar">
    <w:name w:val="Comment Subject Char"/>
    <w:basedOn w:val="CommentTextChar"/>
    <w:link w:val="CommentSubject"/>
    <w:uiPriority w:val="99"/>
    <w:semiHidden/>
    <w:rsid w:val="009D1F59"/>
    <w:rPr>
      <w:b/>
      <w:bCs/>
      <w:sz w:val="20"/>
      <w:szCs w:val="20"/>
    </w:rPr>
  </w:style>
  <w:style w:type="paragraph" w:styleId="BalloonText">
    <w:name w:val="Balloon Text"/>
    <w:basedOn w:val="Normal"/>
    <w:link w:val="BalloonTextChar"/>
    <w:uiPriority w:val="99"/>
    <w:semiHidden/>
    <w:unhideWhenUsed/>
    <w:rsid w:val="009D1F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F59"/>
    <w:rPr>
      <w:rFonts w:ascii="Segoe UI" w:hAnsi="Segoe UI" w:cs="Segoe UI"/>
      <w:sz w:val="18"/>
      <w:szCs w:val="18"/>
    </w:rPr>
  </w:style>
  <w:style w:type="paragraph" w:styleId="Header">
    <w:name w:val="header"/>
    <w:basedOn w:val="Normal"/>
    <w:link w:val="HeaderChar"/>
    <w:uiPriority w:val="99"/>
    <w:unhideWhenUsed/>
    <w:rsid w:val="009D1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F59"/>
  </w:style>
  <w:style w:type="paragraph" w:styleId="Footer">
    <w:name w:val="footer"/>
    <w:basedOn w:val="Normal"/>
    <w:link w:val="FooterChar"/>
    <w:uiPriority w:val="99"/>
    <w:unhideWhenUsed/>
    <w:rsid w:val="009D1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A01C-BCD2-4717-8179-794623B6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540</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Dalling, Kylie</dc:creator>
  <cp:keywords/>
  <dc:description/>
  <cp:lastModifiedBy>Docters Van Leeuwen, Margitta</cp:lastModifiedBy>
  <cp:revision>2</cp:revision>
  <dcterms:created xsi:type="dcterms:W3CDTF">2019-07-09T03:20:00Z</dcterms:created>
  <dcterms:modified xsi:type="dcterms:W3CDTF">2019-07-09T03:20:00Z</dcterms:modified>
</cp:coreProperties>
</file>