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977" w:rsidRDefault="00172296" w:rsidP="00064756">
      <w:r>
        <w:rPr>
          <w:noProof/>
          <w:lang w:eastAsia="en-AU"/>
        </w:rPr>
        <mc:AlternateContent>
          <mc:Choice Requires="wps">
            <w:drawing>
              <wp:anchor distT="0" distB="0" distL="114300" distR="114300" simplePos="0" relativeHeight="251639808" behindDoc="0" locked="0" layoutInCell="1" allowOverlap="1" wp14:anchorId="32EACA1D" wp14:editId="74587B32">
                <wp:simplePos x="0" y="0"/>
                <wp:positionH relativeFrom="column">
                  <wp:posOffset>811911</wp:posOffset>
                </wp:positionH>
                <wp:positionV relativeFrom="paragraph">
                  <wp:posOffset>-1270</wp:posOffset>
                </wp:positionV>
                <wp:extent cx="4264025" cy="62738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627380"/>
                        </a:xfrm>
                        <a:prstGeom prst="rect">
                          <a:avLst/>
                        </a:prstGeom>
                        <a:noFill/>
                        <a:ln w="9525">
                          <a:noFill/>
                          <a:miter lim="800000"/>
                          <a:headEnd/>
                          <a:tailEnd/>
                        </a:ln>
                      </wps:spPr>
                      <wps:txbx>
                        <w:txbxContent>
                          <w:p w:rsidR="002A26A8" w:rsidRPr="00064756" w:rsidRDefault="002A26A8" w:rsidP="00064756">
                            <w:pPr>
                              <w:spacing w:after="60"/>
                              <w:rPr>
                                <w:rFonts w:ascii="Arial" w:hAnsi="Arial" w:cs="Arial"/>
                                <w:sz w:val="26"/>
                                <w:szCs w:val="26"/>
                              </w:rPr>
                            </w:pPr>
                            <w:r w:rsidRPr="00064756">
                              <w:rPr>
                                <w:rFonts w:ascii="Arial" w:hAnsi="Arial" w:cs="Arial"/>
                                <w:sz w:val="26"/>
                                <w:szCs w:val="26"/>
                              </w:rPr>
                              <w:t xml:space="preserve">Government of </w:t>
                            </w:r>
                            <w:r w:rsidRPr="00064756">
                              <w:rPr>
                                <w:rFonts w:ascii="Arial" w:hAnsi="Arial" w:cs="Arial"/>
                                <w:b/>
                                <w:sz w:val="26"/>
                                <w:szCs w:val="26"/>
                              </w:rPr>
                              <w:t>Western Australia</w:t>
                            </w:r>
                          </w:p>
                          <w:p w:rsidR="002A26A8" w:rsidRPr="00064756" w:rsidRDefault="002A26A8" w:rsidP="00064756">
                            <w:pPr>
                              <w:spacing w:after="60"/>
                              <w:rPr>
                                <w:rFonts w:ascii="Arial" w:hAnsi="Arial" w:cs="Arial"/>
                              </w:rPr>
                            </w:pPr>
                            <w:r w:rsidRPr="00064756">
                              <w:rPr>
                                <w:rFonts w:ascii="Arial" w:hAnsi="Arial" w:cs="Arial"/>
                              </w:rPr>
                              <w:t xml:space="preserve">Department of </w:t>
                            </w:r>
                            <w:r w:rsidRPr="00064756">
                              <w:rPr>
                                <w:rFonts w:ascii="Arial" w:hAnsi="Arial" w:cs="Arial"/>
                                <w:b/>
                              </w:rPr>
                              <w:t>the Premier and 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95pt;margin-top:-.1pt;width:335.75pt;height:49.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" filled="f" stroked="f">
                <v:textbox>
                  <w:txbxContent>
                    <w:p w:rsidR="002A26A8" w:rsidRPr="00064756" w:rsidRDefault="002A26A8" w:rsidP="00064756">
                      <w:pPr>
                        <w:spacing w:after="60"/>
                        <w:rPr>
                          <w:rFonts w:ascii="Arial" w:hAnsi="Arial" w:cs="Arial"/>
                          <w:sz w:val="26"/>
                          <w:szCs w:val="26"/>
                        </w:rPr>
                      </w:pPr>
                      <w:r w:rsidRPr="00064756">
                        <w:rPr>
                          <w:rFonts w:ascii="Arial" w:hAnsi="Arial" w:cs="Arial"/>
                          <w:sz w:val="26"/>
                          <w:szCs w:val="26"/>
                        </w:rPr>
                        <w:t xml:space="preserve">Government of </w:t>
                      </w:r>
                      <w:r w:rsidRPr="00064756">
                        <w:rPr>
                          <w:rFonts w:ascii="Arial" w:hAnsi="Arial" w:cs="Arial"/>
                          <w:b/>
                          <w:sz w:val="26"/>
                          <w:szCs w:val="26"/>
                        </w:rPr>
                        <w:t>Western Australia</w:t>
                      </w:r>
                    </w:p>
                    <w:p w:rsidR="002A26A8" w:rsidRPr="00064756" w:rsidRDefault="002A26A8" w:rsidP="00064756">
                      <w:pPr>
                        <w:spacing w:after="60"/>
                        <w:rPr>
                          <w:rFonts w:ascii="Arial" w:hAnsi="Arial" w:cs="Arial"/>
                        </w:rPr>
                      </w:pPr>
                      <w:r w:rsidRPr="00064756">
                        <w:rPr>
                          <w:rFonts w:ascii="Arial" w:hAnsi="Arial" w:cs="Arial"/>
                        </w:rPr>
                        <w:t xml:space="preserve">Department of </w:t>
                      </w:r>
                      <w:r w:rsidRPr="00064756">
                        <w:rPr>
                          <w:rFonts w:ascii="Arial" w:hAnsi="Arial" w:cs="Arial"/>
                          <w:b/>
                        </w:rPr>
                        <w:t>the Premier and Cabinet</w:t>
                      </w:r>
                    </w:p>
                  </w:txbxContent>
                </v:textbox>
              </v:shape>
            </w:pict>
          </mc:Fallback>
        </mc:AlternateContent>
      </w:r>
      <w:r>
        <w:rPr>
          <w:noProof/>
          <w:lang w:eastAsia="en-AU"/>
        </w:rPr>
        <w:drawing>
          <wp:anchor distT="0" distB="0" distL="114300" distR="114300" simplePos="0" relativeHeight="251640832" behindDoc="0" locked="0" layoutInCell="1" allowOverlap="1" wp14:anchorId="017B2401" wp14:editId="6C20F0FC">
            <wp:simplePos x="0" y="0"/>
            <wp:positionH relativeFrom="column">
              <wp:posOffset>-39370</wp:posOffset>
            </wp:positionH>
            <wp:positionV relativeFrom="paragraph">
              <wp:posOffset>-36830</wp:posOffset>
            </wp:positionV>
            <wp:extent cx="901065" cy="670560"/>
            <wp:effectExtent l="0" t="0" r="0" b="0"/>
            <wp:wrapNone/>
            <wp:docPr id="3" name="Picture 3" descr="State Crest image" title="Stat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OriginalColour_562x4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1065" cy="670560"/>
                    </a:xfrm>
                    <a:prstGeom prst="rect">
                      <a:avLst/>
                    </a:prstGeom>
                  </pic:spPr>
                </pic:pic>
              </a:graphicData>
            </a:graphic>
            <wp14:sizeRelH relativeFrom="page">
              <wp14:pctWidth>0</wp14:pctWidth>
            </wp14:sizeRelH>
            <wp14:sizeRelV relativeFrom="page">
              <wp14:pctHeight>0</wp14:pctHeight>
            </wp14:sizeRelV>
          </wp:anchor>
        </w:drawing>
      </w:r>
    </w:p>
    <w:p w:rsidR="00E67977" w:rsidRDefault="00E67977" w:rsidP="00064756"/>
    <w:p w:rsidR="00E67977" w:rsidRDefault="00E67977" w:rsidP="00064756"/>
    <w:p w:rsidR="00E67977" w:rsidRDefault="00E67977" w:rsidP="00064756"/>
    <w:p w:rsidR="00E67977" w:rsidRDefault="00E67977" w:rsidP="00064756"/>
    <w:p w:rsidR="00E67977" w:rsidRDefault="00E67977" w:rsidP="00871E44"/>
    <w:p w:rsidR="00172296" w:rsidRDefault="00172296" w:rsidP="00064756"/>
    <w:p w:rsidR="00172296" w:rsidRDefault="00172296" w:rsidP="00064756"/>
    <w:p w:rsidR="00172296" w:rsidRDefault="00172296" w:rsidP="00064756"/>
    <w:p w:rsidR="00172296" w:rsidRDefault="00886AD0" w:rsidP="00064756">
      <w:r>
        <w:rPr>
          <w:noProof/>
          <w:lang w:eastAsia="en-AU"/>
        </w:rPr>
        <w:drawing>
          <wp:anchor distT="0" distB="0" distL="114300" distR="114300" simplePos="0" relativeHeight="251971584" behindDoc="1" locked="0" layoutInCell="1" allowOverlap="1" wp14:anchorId="7BCE6204" wp14:editId="37933D8C">
            <wp:simplePos x="0" y="0"/>
            <wp:positionH relativeFrom="column">
              <wp:posOffset>-648335</wp:posOffset>
            </wp:positionH>
            <wp:positionV relativeFrom="paragraph">
              <wp:posOffset>310406</wp:posOffset>
            </wp:positionV>
            <wp:extent cx="7606665" cy="2004060"/>
            <wp:effectExtent l="0" t="0" r="0" b="0"/>
            <wp:wrapNone/>
            <wp:docPr id="67" name="Picture 67" descr="Dumas House and Perth City skyline from South Perth foreshor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6.JPG"/>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3708" t="25451" b="36486"/>
                    <a:stretch/>
                  </pic:blipFill>
                  <pic:spPr bwMode="auto">
                    <a:xfrm>
                      <a:off x="0" y="0"/>
                      <a:ext cx="7606665" cy="20040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296" w:rsidRDefault="00172296" w:rsidP="00064756"/>
    <w:p w:rsidR="00172296" w:rsidRDefault="00172296" w:rsidP="00064756"/>
    <w:p w:rsidR="00E67977" w:rsidRDefault="00E67977" w:rsidP="00030C02"/>
    <w:p w:rsidR="00546157" w:rsidRDefault="00546157" w:rsidP="00030C02"/>
    <w:p w:rsidR="00E67977" w:rsidRDefault="00E67977" w:rsidP="00030C02"/>
    <w:p w:rsidR="00E67977" w:rsidRPr="00886AD0" w:rsidRDefault="00E67977" w:rsidP="00886AD0">
      <w:pPr>
        <w:spacing w:after="120"/>
        <w:ind w:firstLine="142"/>
        <w:rPr>
          <w:rFonts w:ascii="Arial" w:hAnsi="Arial" w:cs="Arial"/>
          <w:color w:val="000000" w:themeColor="text1"/>
          <w:sz w:val="36"/>
          <w:szCs w:val="40"/>
        </w:rPr>
      </w:pPr>
      <w:r w:rsidRPr="00886AD0">
        <w:rPr>
          <w:rFonts w:ascii="Arial" w:hAnsi="Arial" w:cs="Arial"/>
          <w:color w:val="000000" w:themeColor="text1"/>
          <w:sz w:val="36"/>
          <w:szCs w:val="40"/>
        </w:rPr>
        <w:t>Department of the Premier and Cabinet</w:t>
      </w:r>
    </w:p>
    <w:p w:rsidR="00E67977" w:rsidRPr="00030C02" w:rsidRDefault="00E67977" w:rsidP="00FB58AB">
      <w:pPr>
        <w:spacing w:after="0"/>
      </w:pPr>
      <w:r w:rsidRPr="008C42A9">
        <w:rPr>
          <w:rFonts w:ascii="Arial" w:hAnsi="Arial" w:cs="Arial"/>
          <w:sz w:val="80"/>
          <w:szCs w:val="80"/>
        </w:rPr>
        <w:t>Annual Report</w:t>
      </w:r>
      <w:r w:rsidR="00FB58AB" w:rsidRPr="008C42A9">
        <w:rPr>
          <w:rFonts w:ascii="Arial" w:hAnsi="Arial" w:cs="Arial"/>
          <w:sz w:val="80"/>
          <w:szCs w:val="80"/>
        </w:rPr>
        <w:t xml:space="preserve"> </w:t>
      </w:r>
      <w:r w:rsidRPr="00886AD0">
        <w:rPr>
          <w:rFonts w:ascii="Arial" w:hAnsi="Arial" w:cs="Arial"/>
          <w:b/>
          <w:color w:val="0484AC"/>
          <w:sz w:val="80"/>
          <w:szCs w:val="80"/>
        </w:rPr>
        <w:t>2014</w:t>
      </w:r>
      <w:r w:rsidR="00066350">
        <w:rPr>
          <w:rFonts w:ascii="Arial" w:hAnsi="Arial" w:cs="Arial"/>
          <w:b/>
          <w:color w:val="0484AC"/>
          <w:sz w:val="80"/>
          <w:szCs w:val="80"/>
        </w:rPr>
        <w:t>–</w:t>
      </w:r>
      <w:r w:rsidRPr="00886AD0">
        <w:rPr>
          <w:rFonts w:ascii="Arial" w:hAnsi="Arial" w:cs="Arial"/>
          <w:b/>
          <w:color w:val="0484AC"/>
          <w:sz w:val="80"/>
          <w:szCs w:val="80"/>
        </w:rPr>
        <w:t>2015</w:t>
      </w:r>
    </w:p>
    <w:p w:rsidR="00E67977" w:rsidRDefault="00E67977" w:rsidP="00064756"/>
    <w:p w:rsidR="00FA2800" w:rsidRDefault="00FA2800" w:rsidP="00064756"/>
    <w:p w:rsidR="00FA2800" w:rsidRDefault="00FA2800" w:rsidP="00064756"/>
    <w:p w:rsidR="00FA2800" w:rsidRDefault="00FA2800" w:rsidP="00064756"/>
    <w:p w:rsidR="00D51F4B" w:rsidRDefault="00D51F4B" w:rsidP="00064756"/>
    <w:p w:rsidR="00D51F4B" w:rsidRDefault="00D51F4B" w:rsidP="00064756"/>
    <w:p w:rsidR="00C57847" w:rsidRDefault="00C57847" w:rsidP="00064756"/>
    <w:p w:rsidR="00FB58AB" w:rsidRDefault="00FB58AB" w:rsidP="00064756"/>
    <w:p w:rsidR="00FB58AB" w:rsidRDefault="00FB58AB" w:rsidP="00064756"/>
    <w:p w:rsidR="00FB58AB" w:rsidRDefault="00FB58AB" w:rsidP="00064756"/>
    <w:p w:rsidR="00D51F4B" w:rsidRDefault="00D51F4B" w:rsidP="00064756"/>
    <w:p w:rsidR="00D51F4B" w:rsidRDefault="00D51F4B" w:rsidP="00064756"/>
    <w:p w:rsidR="00FB58AB" w:rsidRDefault="00FB58AB" w:rsidP="00064756"/>
    <w:p w:rsidR="00FA2800" w:rsidRPr="00086A10" w:rsidRDefault="00FA2800" w:rsidP="00064756">
      <w:pPr>
        <w:pStyle w:val="Subtitle"/>
      </w:pPr>
      <w:r w:rsidRPr="00086A10">
        <w:t>Produced and published by</w:t>
      </w:r>
    </w:p>
    <w:p w:rsidR="00FA2800" w:rsidRPr="00ED242F" w:rsidRDefault="00FA2800" w:rsidP="00E95947">
      <w:pPr>
        <w:rPr>
          <w:rFonts w:ascii="Arial" w:hAnsi="Arial" w:cs="Arial"/>
          <w:color w:val="003366"/>
          <w:sz w:val="28"/>
        </w:rPr>
      </w:pPr>
      <w:r w:rsidRPr="00ED242F">
        <w:rPr>
          <w:rFonts w:ascii="Arial" w:hAnsi="Arial" w:cs="Arial"/>
          <w:color w:val="003366"/>
          <w:sz w:val="28"/>
        </w:rPr>
        <w:t>The Department of the Premier and Cabinet</w:t>
      </w:r>
    </w:p>
    <w:p w:rsidR="00FA2800" w:rsidRDefault="00FA2800" w:rsidP="004E79C0">
      <w:pPr>
        <w:spacing w:after="0"/>
      </w:pPr>
    </w:p>
    <w:p w:rsidR="00FA2800" w:rsidRPr="00086A10" w:rsidRDefault="00FA2800" w:rsidP="00064756">
      <w:pPr>
        <w:pStyle w:val="Subtitle"/>
      </w:pPr>
      <w:r w:rsidRPr="00086A10">
        <w:t>Principal address:</w:t>
      </w:r>
    </w:p>
    <w:p w:rsidR="00FA2800" w:rsidRDefault="00FA2800" w:rsidP="00064756">
      <w:pPr>
        <w:pStyle w:val="Subtitle"/>
      </w:pPr>
      <w:r>
        <w:t>Dumas House</w:t>
      </w:r>
    </w:p>
    <w:p w:rsidR="00FA2800" w:rsidRDefault="00FA2800" w:rsidP="00064756">
      <w:pPr>
        <w:pStyle w:val="Subtitle"/>
      </w:pPr>
      <w:r>
        <w:t>2 Havelock Street</w:t>
      </w:r>
    </w:p>
    <w:p w:rsidR="00FA2800" w:rsidRDefault="00FA2800" w:rsidP="00064756">
      <w:pPr>
        <w:pStyle w:val="Subtitle"/>
      </w:pPr>
      <w:r>
        <w:t>WEST PERTH WA 6005</w:t>
      </w:r>
    </w:p>
    <w:p w:rsidR="00FA2800" w:rsidRDefault="00FA2800" w:rsidP="004E79C0">
      <w:pPr>
        <w:spacing w:after="0"/>
      </w:pPr>
    </w:p>
    <w:p w:rsidR="00FA2800" w:rsidRPr="00086A10" w:rsidRDefault="00FA2800" w:rsidP="00064756">
      <w:pPr>
        <w:pStyle w:val="Subtitle"/>
      </w:pPr>
      <w:r w:rsidRPr="00086A10">
        <w:t>Postal address:</w:t>
      </w:r>
    </w:p>
    <w:p w:rsidR="00FA2800" w:rsidRDefault="00FA2800" w:rsidP="00064756">
      <w:pPr>
        <w:pStyle w:val="Subtitle"/>
      </w:pPr>
      <w:r>
        <w:t>Locked Bag 3001</w:t>
      </w:r>
    </w:p>
    <w:p w:rsidR="00FA2800" w:rsidRDefault="00FA2800" w:rsidP="00064756">
      <w:pPr>
        <w:pStyle w:val="Subtitle"/>
      </w:pPr>
      <w:r>
        <w:t>WEST PERTH WA 6872</w:t>
      </w:r>
    </w:p>
    <w:p w:rsidR="00FA2800" w:rsidRDefault="00FA2800" w:rsidP="004E79C0">
      <w:pPr>
        <w:spacing w:after="0"/>
      </w:pPr>
    </w:p>
    <w:p w:rsidR="00FA2800" w:rsidRPr="00064756" w:rsidRDefault="00FA2800" w:rsidP="00064756">
      <w:pPr>
        <w:pStyle w:val="Subtitle"/>
      </w:pPr>
      <w:r w:rsidRPr="00064756">
        <w:t>Telephone: (08) 6552 5000</w:t>
      </w:r>
    </w:p>
    <w:p w:rsidR="00FA2800" w:rsidRPr="00064756" w:rsidRDefault="00FA2800" w:rsidP="00064756">
      <w:pPr>
        <w:pStyle w:val="Subtitle"/>
      </w:pPr>
      <w:r w:rsidRPr="00064756">
        <w:t>Fax: (08) 6552 5001</w:t>
      </w:r>
    </w:p>
    <w:p w:rsidR="00FA2800" w:rsidRPr="00064756" w:rsidRDefault="00FA2800" w:rsidP="00064756">
      <w:pPr>
        <w:pStyle w:val="Subtitle"/>
      </w:pPr>
      <w:r w:rsidRPr="00064756">
        <w:t xml:space="preserve">Email: </w:t>
      </w:r>
      <w:hyperlink r:id="rId12" w:history="1">
        <w:r w:rsidR="00030C02" w:rsidRPr="00030C02">
          <w:rPr>
            <w:rStyle w:val="Hyperlink"/>
          </w:rPr>
          <w:t>mailto:admin@dpc.wa.gov.au</w:t>
        </w:r>
      </w:hyperlink>
    </w:p>
    <w:p w:rsidR="00FA2800" w:rsidRPr="00064756" w:rsidRDefault="00FA2800" w:rsidP="00064756">
      <w:pPr>
        <w:pStyle w:val="Subtitle"/>
      </w:pPr>
      <w:r w:rsidRPr="00064756">
        <w:t xml:space="preserve">Internet: </w:t>
      </w:r>
      <w:hyperlink r:id="rId13" w:tgtFrame="_blank" w:history="1">
        <w:r w:rsidR="00030C02" w:rsidRPr="00030C02">
          <w:rPr>
            <w:rStyle w:val="Hyperlink"/>
          </w:rPr>
          <w:t>https://www.dpc.wa.gov.au/</w:t>
        </w:r>
      </w:hyperlink>
    </w:p>
    <w:p w:rsidR="00FA2800" w:rsidRDefault="00FA2800" w:rsidP="004E79C0">
      <w:pPr>
        <w:spacing w:after="0"/>
      </w:pPr>
    </w:p>
    <w:p w:rsidR="00FA2800" w:rsidRPr="00086A10" w:rsidRDefault="00FA2800" w:rsidP="00064756">
      <w:pPr>
        <w:pStyle w:val="Subtitle"/>
      </w:pPr>
      <w:r w:rsidRPr="00086A10">
        <w:t>ISSN (Print): 1448-7306</w:t>
      </w:r>
    </w:p>
    <w:p w:rsidR="00FA2800" w:rsidRDefault="00FA2800" w:rsidP="00064756">
      <w:pPr>
        <w:pStyle w:val="Subtitle"/>
      </w:pPr>
      <w:r w:rsidRPr="00086A10">
        <w:t>ISSN (Online): 1448-7314</w:t>
      </w:r>
    </w:p>
    <w:p w:rsidR="00030C02" w:rsidRDefault="00030C02">
      <w:pPr>
        <w:spacing w:line="276" w:lineRule="auto"/>
      </w:pPr>
      <w:r>
        <w:br w:type="page"/>
      </w:r>
    </w:p>
    <w:p w:rsidR="00030C02" w:rsidRPr="00627466" w:rsidRDefault="00086A10" w:rsidP="00030C02">
      <w:pPr>
        <w:rPr>
          <w:rFonts w:ascii="Arial" w:hAnsi="Arial" w:cs="Arial"/>
          <w:color w:val="003366"/>
          <w:sz w:val="56"/>
          <w:szCs w:val="56"/>
        </w:rPr>
      </w:pPr>
      <w:r w:rsidRPr="00627466">
        <w:rPr>
          <w:rFonts w:ascii="Arial" w:hAnsi="Arial" w:cs="Arial"/>
          <w:color w:val="003366"/>
          <w:sz w:val="56"/>
          <w:szCs w:val="56"/>
        </w:rPr>
        <w:lastRenderedPageBreak/>
        <w:t>Contents</w:t>
      </w:r>
      <w:bookmarkStart w:id="0" w:name="_Toc425370242"/>
      <w:bookmarkStart w:id="1" w:name="_Toc425607403"/>
      <w:bookmarkStart w:id="2" w:name="_Toc426104464"/>
      <w:bookmarkStart w:id="3" w:name="_Toc426637532"/>
    </w:p>
    <w:p w:rsidR="00030C02" w:rsidRDefault="00030C02" w:rsidP="00030C02"/>
    <w:p w:rsidR="006A0008" w:rsidRPr="006A0008" w:rsidRDefault="006A0008">
      <w:pPr>
        <w:pStyle w:val="TOC1"/>
        <w:rPr>
          <w:rFonts w:asciiTheme="minorHAnsi" w:eastAsiaTheme="minorEastAsia" w:hAnsiTheme="minorHAnsi" w:cstheme="minorBidi"/>
          <w:sz w:val="22"/>
          <w:szCs w:val="22"/>
          <w:lang w:eastAsia="en-AU"/>
        </w:rPr>
      </w:pPr>
      <w:r w:rsidRPr="006A0008">
        <w:rPr>
          <w:sz w:val="22"/>
          <w:szCs w:val="22"/>
        </w:rPr>
        <w:fldChar w:fldCharType="begin"/>
      </w:r>
      <w:r w:rsidRPr="006A0008">
        <w:rPr>
          <w:sz w:val="22"/>
          <w:szCs w:val="22"/>
        </w:rPr>
        <w:instrText xml:space="preserve"> TOC \o "1-2" \h \z \u </w:instrText>
      </w:r>
      <w:r w:rsidRPr="006A0008">
        <w:rPr>
          <w:sz w:val="22"/>
          <w:szCs w:val="22"/>
        </w:rPr>
        <w:fldChar w:fldCharType="separate"/>
      </w:r>
      <w:hyperlink w:anchor="_Toc430547883" w:history="1">
        <w:r w:rsidRPr="006A0008">
          <w:rPr>
            <w:rStyle w:val="Hyperlink"/>
            <w:sz w:val="22"/>
            <w:szCs w:val="22"/>
          </w:rPr>
          <w:t>Statement of Compliance</w:t>
        </w:r>
        <w:r w:rsidRPr="006A0008">
          <w:rPr>
            <w:webHidden/>
            <w:sz w:val="22"/>
            <w:szCs w:val="22"/>
          </w:rPr>
          <w:tab/>
        </w:r>
        <w:r w:rsidRPr="006A0008">
          <w:rPr>
            <w:webHidden/>
            <w:sz w:val="22"/>
            <w:szCs w:val="22"/>
          </w:rPr>
          <w:fldChar w:fldCharType="begin"/>
        </w:r>
        <w:r w:rsidRPr="006A0008">
          <w:rPr>
            <w:webHidden/>
            <w:sz w:val="22"/>
            <w:szCs w:val="22"/>
          </w:rPr>
          <w:instrText xml:space="preserve"> PAGEREF _Toc430547883 \h </w:instrText>
        </w:r>
        <w:r w:rsidRPr="006A0008">
          <w:rPr>
            <w:webHidden/>
            <w:sz w:val="22"/>
            <w:szCs w:val="22"/>
          </w:rPr>
        </w:r>
        <w:r w:rsidRPr="006A0008">
          <w:rPr>
            <w:webHidden/>
            <w:sz w:val="22"/>
            <w:szCs w:val="22"/>
          </w:rPr>
          <w:fldChar w:fldCharType="separate"/>
        </w:r>
        <w:r w:rsidR="00291F1E">
          <w:rPr>
            <w:webHidden/>
            <w:sz w:val="22"/>
            <w:szCs w:val="22"/>
          </w:rPr>
          <w:t>4</w:t>
        </w:r>
        <w:r w:rsidRPr="006A0008">
          <w:rPr>
            <w:webHidden/>
            <w:sz w:val="22"/>
            <w:szCs w:val="22"/>
          </w:rPr>
          <w:fldChar w:fldCharType="end"/>
        </w:r>
      </w:hyperlink>
    </w:p>
    <w:p w:rsidR="006A0008" w:rsidRPr="006A0008" w:rsidRDefault="002A26A8">
      <w:pPr>
        <w:pStyle w:val="TOC1"/>
        <w:rPr>
          <w:rFonts w:asciiTheme="minorHAnsi" w:eastAsiaTheme="minorEastAsia" w:hAnsiTheme="minorHAnsi" w:cstheme="minorBidi"/>
          <w:sz w:val="22"/>
          <w:szCs w:val="22"/>
          <w:lang w:eastAsia="en-AU"/>
        </w:rPr>
      </w:pPr>
      <w:hyperlink w:anchor="_Toc430547884" w:history="1">
        <w:r w:rsidR="006A0008" w:rsidRPr="006A0008">
          <w:rPr>
            <w:rStyle w:val="Hyperlink"/>
            <w:sz w:val="22"/>
            <w:szCs w:val="22"/>
          </w:rPr>
          <w:t>Director General’s Foreword</w:t>
        </w:r>
        <w:r w:rsidR="006A0008" w:rsidRPr="006A0008">
          <w:rPr>
            <w:webHidden/>
            <w:sz w:val="22"/>
            <w:szCs w:val="22"/>
          </w:rPr>
          <w:tab/>
        </w:r>
        <w:r w:rsidR="006A0008" w:rsidRPr="006A0008">
          <w:rPr>
            <w:webHidden/>
            <w:sz w:val="22"/>
            <w:szCs w:val="22"/>
          </w:rPr>
          <w:fldChar w:fldCharType="begin"/>
        </w:r>
        <w:r w:rsidR="006A0008" w:rsidRPr="006A0008">
          <w:rPr>
            <w:webHidden/>
            <w:sz w:val="22"/>
            <w:szCs w:val="22"/>
          </w:rPr>
          <w:instrText xml:space="preserve"> PAGEREF _Toc430547884 \h </w:instrText>
        </w:r>
        <w:r w:rsidR="006A0008" w:rsidRPr="006A0008">
          <w:rPr>
            <w:webHidden/>
            <w:sz w:val="22"/>
            <w:szCs w:val="22"/>
          </w:rPr>
        </w:r>
        <w:r w:rsidR="006A0008" w:rsidRPr="006A0008">
          <w:rPr>
            <w:webHidden/>
            <w:sz w:val="22"/>
            <w:szCs w:val="22"/>
          </w:rPr>
          <w:fldChar w:fldCharType="separate"/>
        </w:r>
        <w:r w:rsidR="00291F1E">
          <w:rPr>
            <w:webHidden/>
            <w:sz w:val="22"/>
            <w:szCs w:val="22"/>
          </w:rPr>
          <w:t>5</w:t>
        </w:r>
        <w:r w:rsidR="006A0008" w:rsidRPr="006A0008">
          <w:rPr>
            <w:webHidden/>
            <w:sz w:val="22"/>
            <w:szCs w:val="22"/>
          </w:rPr>
          <w:fldChar w:fldCharType="end"/>
        </w:r>
      </w:hyperlink>
    </w:p>
    <w:p w:rsidR="006A0008" w:rsidRPr="006A0008" w:rsidRDefault="002A26A8">
      <w:pPr>
        <w:pStyle w:val="TOC1"/>
        <w:rPr>
          <w:rFonts w:asciiTheme="minorHAnsi" w:eastAsiaTheme="minorEastAsia" w:hAnsiTheme="minorHAnsi" w:cstheme="minorBidi"/>
          <w:sz w:val="22"/>
          <w:szCs w:val="22"/>
          <w:lang w:eastAsia="en-AU"/>
        </w:rPr>
      </w:pPr>
      <w:hyperlink w:anchor="_Toc430547885" w:history="1">
        <w:r w:rsidR="006A0008" w:rsidRPr="006A0008">
          <w:rPr>
            <w:rStyle w:val="Hyperlink"/>
            <w:sz w:val="22"/>
            <w:szCs w:val="22"/>
          </w:rPr>
          <w:t>About the Department</w:t>
        </w:r>
        <w:r w:rsidR="006A0008" w:rsidRPr="006A0008">
          <w:rPr>
            <w:webHidden/>
            <w:sz w:val="22"/>
            <w:szCs w:val="22"/>
          </w:rPr>
          <w:tab/>
        </w:r>
        <w:r w:rsidR="006A0008" w:rsidRPr="006A0008">
          <w:rPr>
            <w:webHidden/>
            <w:sz w:val="22"/>
            <w:szCs w:val="22"/>
          </w:rPr>
          <w:fldChar w:fldCharType="begin"/>
        </w:r>
        <w:r w:rsidR="006A0008" w:rsidRPr="006A0008">
          <w:rPr>
            <w:webHidden/>
            <w:sz w:val="22"/>
            <w:szCs w:val="22"/>
          </w:rPr>
          <w:instrText xml:space="preserve"> PAGEREF _Toc430547885 \h </w:instrText>
        </w:r>
        <w:r w:rsidR="006A0008" w:rsidRPr="006A0008">
          <w:rPr>
            <w:webHidden/>
            <w:sz w:val="22"/>
            <w:szCs w:val="22"/>
          </w:rPr>
        </w:r>
        <w:r w:rsidR="006A0008" w:rsidRPr="006A0008">
          <w:rPr>
            <w:webHidden/>
            <w:sz w:val="22"/>
            <w:szCs w:val="22"/>
          </w:rPr>
          <w:fldChar w:fldCharType="separate"/>
        </w:r>
        <w:r w:rsidR="00291F1E">
          <w:rPr>
            <w:webHidden/>
            <w:sz w:val="22"/>
            <w:szCs w:val="22"/>
          </w:rPr>
          <w:t>6</w:t>
        </w:r>
        <w:r w:rsidR="006A0008" w:rsidRPr="006A0008">
          <w:rPr>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86" w:history="1">
        <w:r w:rsidR="006A0008" w:rsidRPr="006A0008">
          <w:rPr>
            <w:rStyle w:val="Hyperlink"/>
            <w:noProof/>
            <w:sz w:val="22"/>
            <w:szCs w:val="22"/>
          </w:rPr>
          <w:t>Overview</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_Toc430547886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6</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87" w:history="1">
        <w:r w:rsidR="006A0008" w:rsidRPr="006A0008">
          <w:rPr>
            <w:rStyle w:val="Hyperlink"/>
            <w:noProof/>
            <w:sz w:val="22"/>
            <w:szCs w:val="22"/>
          </w:rPr>
          <w:t>Administered Legislation</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_Toc430547887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7</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88" w:history="1">
        <w:r w:rsidR="006A0008" w:rsidRPr="006A0008">
          <w:rPr>
            <w:rStyle w:val="Hyperlink"/>
            <w:noProof/>
            <w:sz w:val="22"/>
            <w:szCs w:val="22"/>
          </w:rPr>
          <w:t>Our Structure</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_Toc430547888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9</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89" w:history="1">
        <w:r w:rsidR="006A0008" w:rsidRPr="006A0008">
          <w:rPr>
            <w:rStyle w:val="Hyperlink"/>
            <w:noProof/>
            <w:sz w:val="22"/>
            <w:szCs w:val="22"/>
          </w:rPr>
          <w:t>Senior Officers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_Toc430547889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11</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0" w:history="1">
        <w:r w:rsidR="006A0008" w:rsidRPr="006A0008">
          <w:rPr>
            <w:rStyle w:val="Hyperlink"/>
            <w:noProof/>
            <w:sz w:val="22"/>
            <w:szCs w:val="22"/>
          </w:rPr>
          <w:t>Our Workplace</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_Toc430547890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15</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1" w:history="1">
        <w:r w:rsidR="006A0008" w:rsidRPr="006A0008">
          <w:rPr>
            <w:rStyle w:val="Hyperlink"/>
            <w:noProof/>
            <w:sz w:val="22"/>
            <w:szCs w:val="22"/>
          </w:rPr>
          <w:t>Our Goals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_Toc430547891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18</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2" w:history="1">
        <w:r w:rsidR="006A0008" w:rsidRPr="006A0008">
          <w:rPr>
            <w:rStyle w:val="Hyperlink"/>
            <w:noProof/>
            <w:sz w:val="22"/>
            <w:szCs w:val="22"/>
          </w:rPr>
          <w:t>Key Service Areas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_Toc430547892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18</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3" w:history="1">
        <w:r w:rsidR="006A0008" w:rsidRPr="006A0008">
          <w:rPr>
            <w:rStyle w:val="Hyperlink"/>
            <w:noProof/>
            <w:sz w:val="22"/>
            <w:szCs w:val="22"/>
          </w:rPr>
          <w:t>Performance Management Framework</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_Toc430547893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20</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4" w:history="1">
        <w:r w:rsidR="006A0008" w:rsidRPr="006A0008">
          <w:rPr>
            <w:rStyle w:val="Hyperlink"/>
            <w:noProof/>
            <w:sz w:val="22"/>
            <w:szCs w:val="22"/>
          </w:rPr>
          <w:t>Working with the Public Sector and Community</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_Toc430547894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21</w:t>
        </w:r>
        <w:r w:rsidR="006A0008" w:rsidRPr="006A0008">
          <w:rPr>
            <w:noProof/>
            <w:webHidden/>
            <w:sz w:val="22"/>
            <w:szCs w:val="22"/>
          </w:rPr>
          <w:fldChar w:fldCharType="end"/>
        </w:r>
      </w:hyperlink>
    </w:p>
    <w:p w:rsidR="006A0008" w:rsidRPr="006A0008" w:rsidRDefault="002A26A8">
      <w:pPr>
        <w:pStyle w:val="TOC1"/>
        <w:rPr>
          <w:rFonts w:asciiTheme="minorHAnsi" w:eastAsiaTheme="minorEastAsia" w:hAnsiTheme="minorHAnsi" w:cstheme="minorBidi"/>
          <w:sz w:val="22"/>
          <w:szCs w:val="22"/>
          <w:lang w:eastAsia="en-AU"/>
        </w:rPr>
      </w:pPr>
      <w:hyperlink w:anchor="_Toc430547895" w:history="1">
        <w:r w:rsidR="006A0008" w:rsidRPr="006A0008">
          <w:rPr>
            <w:rStyle w:val="Hyperlink"/>
            <w:sz w:val="22"/>
            <w:szCs w:val="22"/>
          </w:rPr>
          <w:t>Agency Performance</w:t>
        </w:r>
        <w:r w:rsidR="006A0008" w:rsidRPr="006A0008">
          <w:rPr>
            <w:webHidden/>
            <w:sz w:val="22"/>
            <w:szCs w:val="22"/>
          </w:rPr>
          <w:tab/>
        </w:r>
        <w:r w:rsidR="006A0008" w:rsidRPr="006A0008">
          <w:rPr>
            <w:webHidden/>
            <w:sz w:val="22"/>
            <w:szCs w:val="22"/>
          </w:rPr>
          <w:fldChar w:fldCharType="begin"/>
        </w:r>
        <w:r w:rsidR="006A0008" w:rsidRPr="006A0008">
          <w:rPr>
            <w:webHidden/>
            <w:sz w:val="22"/>
            <w:szCs w:val="22"/>
          </w:rPr>
          <w:instrText xml:space="preserve"> PAGEREF _Toc430547895 \h </w:instrText>
        </w:r>
        <w:r w:rsidR="006A0008" w:rsidRPr="006A0008">
          <w:rPr>
            <w:webHidden/>
            <w:sz w:val="22"/>
            <w:szCs w:val="22"/>
          </w:rPr>
        </w:r>
        <w:r w:rsidR="006A0008" w:rsidRPr="006A0008">
          <w:rPr>
            <w:webHidden/>
            <w:sz w:val="22"/>
            <w:szCs w:val="22"/>
          </w:rPr>
          <w:fldChar w:fldCharType="separate"/>
        </w:r>
        <w:r w:rsidR="00291F1E">
          <w:rPr>
            <w:webHidden/>
            <w:sz w:val="22"/>
            <w:szCs w:val="22"/>
          </w:rPr>
          <w:t>23</w:t>
        </w:r>
        <w:r w:rsidR="006A0008" w:rsidRPr="006A0008">
          <w:rPr>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6" w:history="1">
        <w:r w:rsidR="006A0008" w:rsidRPr="006A0008">
          <w:rPr>
            <w:rStyle w:val="Hyperlink"/>
            <w:noProof/>
            <w:sz w:val="22"/>
            <w:szCs w:val="22"/>
          </w:rPr>
          <w:t>Service 1: Administration of Executive Government Services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_Toc430547896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23</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898" w:history="1">
        <w:r w:rsidR="006A0008" w:rsidRPr="006A0008">
          <w:rPr>
            <w:rStyle w:val="Hyperlink"/>
            <w:noProof/>
            <w:sz w:val="22"/>
            <w:szCs w:val="22"/>
          </w:rPr>
          <w:t>Service 2: Government Policy Management</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_Toc430547898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33</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00" w:history="1">
        <w:r w:rsidR="006A0008" w:rsidRPr="006A0008">
          <w:rPr>
            <w:rStyle w:val="Hyperlink"/>
            <w:noProof/>
            <w:sz w:val="22"/>
            <w:szCs w:val="22"/>
          </w:rPr>
          <w:t>Actual results versus budget targets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_Toc430547900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52</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01" w:history="1">
        <w:r w:rsidR="006A0008" w:rsidRPr="006A0008">
          <w:rPr>
            <w:rStyle w:val="Hyperlink"/>
            <w:noProof/>
            <w:sz w:val="22"/>
            <w:szCs w:val="22"/>
          </w:rPr>
          <w:t>Anzac Centenary Commemoration</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_Toc430547901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53</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02" w:history="1">
        <w:r w:rsidR="006A0008" w:rsidRPr="006A0008">
          <w:rPr>
            <w:rStyle w:val="Hyperlink"/>
            <w:noProof/>
            <w:sz w:val="22"/>
            <w:szCs w:val="22"/>
          </w:rPr>
          <w:t>Significant Issues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_Toc430547902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55</w:t>
        </w:r>
        <w:r w:rsidR="006A0008" w:rsidRPr="006A0008">
          <w:rPr>
            <w:noProof/>
            <w:webHidden/>
            <w:sz w:val="22"/>
            <w:szCs w:val="22"/>
          </w:rPr>
          <w:fldChar w:fldCharType="end"/>
        </w:r>
      </w:hyperlink>
    </w:p>
    <w:p w:rsidR="006A0008" w:rsidRPr="006A0008" w:rsidRDefault="002A26A8">
      <w:pPr>
        <w:pStyle w:val="TOC1"/>
        <w:rPr>
          <w:rFonts w:asciiTheme="minorHAnsi" w:eastAsiaTheme="minorEastAsia" w:hAnsiTheme="minorHAnsi" w:cstheme="minorBidi"/>
          <w:sz w:val="22"/>
          <w:szCs w:val="22"/>
          <w:lang w:eastAsia="en-AU"/>
        </w:rPr>
      </w:pPr>
      <w:hyperlink w:anchor="_Toc430547903" w:history="1">
        <w:r w:rsidR="006A0008" w:rsidRPr="006A0008">
          <w:rPr>
            <w:rStyle w:val="Hyperlink"/>
            <w:sz w:val="22"/>
            <w:szCs w:val="22"/>
          </w:rPr>
          <w:t>Disclosures and Legal Compliance</w:t>
        </w:r>
        <w:r w:rsidR="006A0008" w:rsidRPr="006A0008">
          <w:rPr>
            <w:webHidden/>
            <w:sz w:val="22"/>
            <w:szCs w:val="22"/>
          </w:rPr>
          <w:tab/>
        </w:r>
        <w:r w:rsidR="006A0008" w:rsidRPr="006A0008">
          <w:rPr>
            <w:webHidden/>
            <w:sz w:val="22"/>
            <w:szCs w:val="22"/>
          </w:rPr>
          <w:fldChar w:fldCharType="begin"/>
        </w:r>
        <w:r w:rsidR="006A0008" w:rsidRPr="006A0008">
          <w:rPr>
            <w:webHidden/>
            <w:sz w:val="22"/>
            <w:szCs w:val="22"/>
          </w:rPr>
          <w:instrText xml:space="preserve"> PAGEREF _Toc430547903 \h </w:instrText>
        </w:r>
        <w:r w:rsidR="006A0008" w:rsidRPr="006A0008">
          <w:rPr>
            <w:webHidden/>
            <w:sz w:val="22"/>
            <w:szCs w:val="22"/>
          </w:rPr>
        </w:r>
        <w:r w:rsidR="006A0008" w:rsidRPr="006A0008">
          <w:rPr>
            <w:webHidden/>
            <w:sz w:val="22"/>
            <w:szCs w:val="22"/>
          </w:rPr>
          <w:fldChar w:fldCharType="separate"/>
        </w:r>
        <w:r w:rsidR="00291F1E">
          <w:rPr>
            <w:webHidden/>
            <w:sz w:val="22"/>
            <w:szCs w:val="22"/>
          </w:rPr>
          <w:t>56</w:t>
        </w:r>
        <w:r w:rsidR="006A0008" w:rsidRPr="006A0008">
          <w:rPr>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04" w:history="1">
        <w:r w:rsidR="006A0008" w:rsidRPr="006A0008">
          <w:rPr>
            <w:rStyle w:val="Hyperlink"/>
            <w:noProof/>
            <w:sz w:val="22"/>
            <w:szCs w:val="22"/>
          </w:rPr>
          <w:t>Opinion of the Auditor General</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_Toc430547904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56</w:t>
        </w:r>
        <w:r w:rsidR="006A0008" w:rsidRPr="006A0008">
          <w:rPr>
            <w:noProof/>
            <w:webHidden/>
            <w:sz w:val="22"/>
            <w:szCs w:val="22"/>
          </w:rPr>
          <w:fldChar w:fldCharType="end"/>
        </w:r>
      </w:hyperlink>
    </w:p>
    <w:p w:rsidR="006A0008" w:rsidRPr="006A0008" w:rsidRDefault="002A26A8">
      <w:pPr>
        <w:pStyle w:val="TOC1"/>
        <w:rPr>
          <w:rFonts w:asciiTheme="minorHAnsi" w:eastAsiaTheme="minorEastAsia" w:hAnsiTheme="minorHAnsi" w:cstheme="minorBidi"/>
          <w:sz w:val="22"/>
          <w:szCs w:val="22"/>
          <w:lang w:eastAsia="en-AU"/>
        </w:rPr>
      </w:pPr>
      <w:hyperlink w:anchor="_Toc430547905" w:history="1">
        <w:r w:rsidR="006A0008" w:rsidRPr="006A0008">
          <w:rPr>
            <w:rStyle w:val="Hyperlink"/>
            <w:sz w:val="22"/>
            <w:szCs w:val="22"/>
          </w:rPr>
          <w:t>Financial Statements</w:t>
        </w:r>
        <w:r w:rsidR="006A0008" w:rsidRPr="006A0008">
          <w:rPr>
            <w:webHidden/>
            <w:sz w:val="22"/>
            <w:szCs w:val="22"/>
          </w:rPr>
          <w:tab/>
        </w:r>
        <w:r w:rsidR="006A0008" w:rsidRPr="006A0008">
          <w:rPr>
            <w:webHidden/>
            <w:sz w:val="22"/>
            <w:szCs w:val="22"/>
          </w:rPr>
          <w:fldChar w:fldCharType="begin"/>
        </w:r>
        <w:r w:rsidR="006A0008" w:rsidRPr="006A0008">
          <w:rPr>
            <w:webHidden/>
            <w:sz w:val="22"/>
            <w:szCs w:val="22"/>
          </w:rPr>
          <w:instrText xml:space="preserve"> PAGEREF _Toc430547905 \h </w:instrText>
        </w:r>
        <w:r w:rsidR="006A0008" w:rsidRPr="006A0008">
          <w:rPr>
            <w:webHidden/>
            <w:sz w:val="22"/>
            <w:szCs w:val="22"/>
          </w:rPr>
        </w:r>
        <w:r w:rsidR="006A0008" w:rsidRPr="006A0008">
          <w:rPr>
            <w:webHidden/>
            <w:sz w:val="22"/>
            <w:szCs w:val="22"/>
          </w:rPr>
          <w:fldChar w:fldCharType="separate"/>
        </w:r>
        <w:r w:rsidR="00291F1E">
          <w:rPr>
            <w:webHidden/>
            <w:sz w:val="22"/>
            <w:szCs w:val="22"/>
          </w:rPr>
          <w:t>59</w:t>
        </w:r>
        <w:r w:rsidR="006A0008" w:rsidRPr="006A0008">
          <w:rPr>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07" w:history="1">
        <w:r w:rsidR="006A0008" w:rsidRPr="006A0008">
          <w:rPr>
            <w:rStyle w:val="Hyperlink"/>
            <w:noProof/>
            <w:sz w:val="22"/>
            <w:szCs w:val="22"/>
            <w:lang w:val="en-GB"/>
          </w:rPr>
          <w:t>Certification of Financial Statements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_Toc430547907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59</w:t>
        </w:r>
        <w:r w:rsidR="006A0008" w:rsidRPr="006A0008">
          <w:rPr>
            <w:noProof/>
            <w:webHidden/>
            <w:sz w:val="22"/>
            <w:szCs w:val="22"/>
          </w:rPr>
          <w:fldChar w:fldCharType="end"/>
        </w:r>
      </w:hyperlink>
    </w:p>
    <w:p w:rsidR="006A0008" w:rsidRPr="006A0008" w:rsidRDefault="002A26A8" w:rsidP="006A0008">
      <w:pPr>
        <w:pStyle w:val="TOC1"/>
        <w:rPr>
          <w:rFonts w:asciiTheme="minorHAnsi" w:eastAsiaTheme="minorEastAsia" w:hAnsiTheme="minorHAnsi" w:cstheme="minorBidi"/>
          <w:sz w:val="22"/>
          <w:szCs w:val="22"/>
          <w:lang w:eastAsia="en-AU"/>
        </w:rPr>
      </w:pPr>
      <w:hyperlink w:anchor="_Toc430547909" w:history="1">
        <w:r w:rsidR="006A0008" w:rsidRPr="006A0008">
          <w:rPr>
            <w:rStyle w:val="Hyperlink"/>
            <w:sz w:val="22"/>
            <w:szCs w:val="22"/>
          </w:rPr>
          <w:t>Notes to the Financial Statements</w:t>
        </w:r>
        <w:r w:rsidR="006A0008" w:rsidRPr="006A0008">
          <w:rPr>
            <w:webHidden/>
            <w:sz w:val="22"/>
            <w:szCs w:val="22"/>
          </w:rPr>
          <w:tab/>
        </w:r>
        <w:r w:rsidR="006A0008" w:rsidRPr="006A0008">
          <w:rPr>
            <w:webHidden/>
            <w:sz w:val="22"/>
            <w:szCs w:val="22"/>
          </w:rPr>
          <w:fldChar w:fldCharType="begin"/>
        </w:r>
        <w:r w:rsidR="006A0008" w:rsidRPr="006A0008">
          <w:rPr>
            <w:webHidden/>
            <w:sz w:val="22"/>
            <w:szCs w:val="22"/>
          </w:rPr>
          <w:instrText xml:space="preserve"> PAGEREF _Toc430547909 \h </w:instrText>
        </w:r>
        <w:r w:rsidR="006A0008" w:rsidRPr="006A0008">
          <w:rPr>
            <w:webHidden/>
            <w:sz w:val="22"/>
            <w:szCs w:val="22"/>
          </w:rPr>
        </w:r>
        <w:r w:rsidR="006A0008" w:rsidRPr="006A0008">
          <w:rPr>
            <w:webHidden/>
            <w:sz w:val="22"/>
            <w:szCs w:val="22"/>
          </w:rPr>
          <w:fldChar w:fldCharType="separate"/>
        </w:r>
        <w:r w:rsidR="00291F1E">
          <w:rPr>
            <w:webHidden/>
            <w:sz w:val="22"/>
            <w:szCs w:val="22"/>
          </w:rPr>
          <w:t>68</w:t>
        </w:r>
        <w:r w:rsidR="006A0008" w:rsidRPr="006A0008">
          <w:rPr>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10" w:history="1">
        <w:r w:rsidR="006A0008" w:rsidRPr="006A0008">
          <w:rPr>
            <w:rStyle w:val="Hyperlink"/>
            <w:noProof/>
            <w:sz w:val="22"/>
            <w:szCs w:val="22"/>
          </w:rPr>
          <w:t>Audited Key Performance Indicator Information</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_Toc430547910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128</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11" w:history="1">
        <w:r w:rsidR="006A0008" w:rsidRPr="006A0008">
          <w:rPr>
            <w:rStyle w:val="Hyperlink"/>
            <w:noProof/>
            <w:sz w:val="22"/>
            <w:szCs w:val="22"/>
          </w:rPr>
          <w:t>Other Financial Disclosures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_Toc430547911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137</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12" w:history="1">
        <w:r w:rsidR="006A0008" w:rsidRPr="006A0008">
          <w:rPr>
            <w:rStyle w:val="Hyperlink"/>
            <w:noProof/>
            <w:sz w:val="22"/>
            <w:szCs w:val="22"/>
          </w:rPr>
          <w:t>Governance Disclosures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_Toc430547912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138</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13" w:history="1">
        <w:r w:rsidR="006A0008" w:rsidRPr="006A0008">
          <w:rPr>
            <w:rStyle w:val="Hyperlink"/>
            <w:noProof/>
            <w:sz w:val="22"/>
            <w:szCs w:val="22"/>
          </w:rPr>
          <w:t>Other Legal Requirements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_Toc430547913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142</w:t>
        </w:r>
        <w:r w:rsidR="006A0008" w:rsidRPr="006A0008">
          <w:rPr>
            <w:noProof/>
            <w:webHidden/>
            <w:sz w:val="22"/>
            <w:szCs w:val="22"/>
          </w:rPr>
          <w:fldChar w:fldCharType="end"/>
        </w:r>
      </w:hyperlink>
    </w:p>
    <w:p w:rsidR="006A0008" w:rsidRPr="006A0008" w:rsidRDefault="002A26A8">
      <w:pPr>
        <w:pStyle w:val="TOC2"/>
        <w:rPr>
          <w:rFonts w:asciiTheme="minorHAnsi" w:eastAsiaTheme="minorEastAsia" w:hAnsiTheme="minorHAnsi" w:cstheme="minorBidi"/>
          <w:noProof/>
          <w:sz w:val="22"/>
          <w:szCs w:val="22"/>
          <w:lang w:eastAsia="en-AU"/>
        </w:rPr>
      </w:pPr>
      <w:hyperlink w:anchor="_Toc430547914" w:history="1">
        <w:r w:rsidR="006A0008" w:rsidRPr="006A0008">
          <w:rPr>
            <w:rStyle w:val="Hyperlink"/>
            <w:noProof/>
            <w:sz w:val="22"/>
            <w:szCs w:val="22"/>
          </w:rPr>
          <w:t>Government Policy Requirements</w:t>
        </w:r>
        <w:r w:rsidR="006A0008" w:rsidRPr="006A0008">
          <w:rPr>
            <w:noProof/>
            <w:webHidden/>
            <w:sz w:val="22"/>
            <w:szCs w:val="22"/>
          </w:rPr>
          <w:tab/>
        </w:r>
        <w:r w:rsidR="006A0008" w:rsidRPr="006A0008">
          <w:rPr>
            <w:noProof/>
            <w:webHidden/>
            <w:sz w:val="22"/>
            <w:szCs w:val="22"/>
          </w:rPr>
          <w:fldChar w:fldCharType="begin"/>
        </w:r>
        <w:r w:rsidR="006A0008" w:rsidRPr="006A0008">
          <w:rPr>
            <w:noProof/>
            <w:webHidden/>
            <w:sz w:val="22"/>
            <w:szCs w:val="22"/>
          </w:rPr>
          <w:instrText xml:space="preserve"> PAGEREF _Toc430547914 \h </w:instrText>
        </w:r>
        <w:r w:rsidR="006A0008" w:rsidRPr="006A0008">
          <w:rPr>
            <w:noProof/>
            <w:webHidden/>
            <w:sz w:val="22"/>
            <w:szCs w:val="22"/>
          </w:rPr>
        </w:r>
        <w:r w:rsidR="006A0008" w:rsidRPr="006A0008">
          <w:rPr>
            <w:noProof/>
            <w:webHidden/>
            <w:sz w:val="22"/>
            <w:szCs w:val="22"/>
          </w:rPr>
          <w:fldChar w:fldCharType="separate"/>
        </w:r>
        <w:r w:rsidR="00291F1E">
          <w:rPr>
            <w:noProof/>
            <w:webHidden/>
            <w:sz w:val="22"/>
            <w:szCs w:val="22"/>
          </w:rPr>
          <w:t>147</w:t>
        </w:r>
        <w:r w:rsidR="006A0008" w:rsidRPr="006A0008">
          <w:rPr>
            <w:noProof/>
            <w:webHidden/>
            <w:sz w:val="22"/>
            <w:szCs w:val="22"/>
          </w:rPr>
          <w:fldChar w:fldCharType="end"/>
        </w:r>
      </w:hyperlink>
    </w:p>
    <w:p w:rsidR="00030C02" w:rsidRDefault="006A0008" w:rsidP="00030C02">
      <w:r w:rsidRPr="006A0008">
        <w:rPr>
          <w:sz w:val="22"/>
          <w:szCs w:val="22"/>
        </w:rPr>
        <w:fldChar w:fldCharType="end"/>
      </w:r>
    </w:p>
    <w:p w:rsidR="00291F1E" w:rsidRDefault="00291F1E">
      <w:pPr>
        <w:spacing w:line="276" w:lineRule="auto"/>
        <w:sectPr w:rsidR="00291F1E" w:rsidSect="009A36D1">
          <w:pgSz w:w="11906" w:h="16838"/>
          <w:pgMar w:top="993" w:right="991" w:bottom="709" w:left="993" w:header="709" w:footer="404" w:gutter="0"/>
          <w:cols w:space="708"/>
          <w:docGrid w:linePitch="360"/>
        </w:sectPr>
      </w:pPr>
    </w:p>
    <w:p w:rsidR="00B71CD3" w:rsidRPr="006027D5" w:rsidRDefault="00B71CD3" w:rsidP="00030C02">
      <w:pPr>
        <w:pStyle w:val="Heading1"/>
      </w:pPr>
      <w:bookmarkStart w:id="4" w:name="_Toc430547883"/>
      <w:r w:rsidRPr="006027D5">
        <w:t>Statement of Compliance</w:t>
      </w:r>
      <w:bookmarkEnd w:id="0"/>
      <w:bookmarkEnd w:id="1"/>
      <w:bookmarkEnd w:id="2"/>
      <w:bookmarkEnd w:id="3"/>
      <w:bookmarkEnd w:id="4"/>
    </w:p>
    <w:p w:rsidR="00B71CD3" w:rsidRPr="00A32A99" w:rsidRDefault="00B71CD3" w:rsidP="00064756">
      <w:pPr>
        <w:rPr>
          <w:rFonts w:ascii="Arial" w:hAnsi="Arial" w:cs="Arial"/>
          <w:b/>
        </w:rPr>
      </w:pPr>
      <w:r w:rsidRPr="00A32A99">
        <w:rPr>
          <w:rFonts w:ascii="Arial" w:hAnsi="Arial" w:cs="Arial"/>
          <w:b/>
        </w:rPr>
        <w:t>For the year ended 30 June 2015</w:t>
      </w:r>
    </w:p>
    <w:p w:rsidR="00B71CD3" w:rsidRDefault="00B71CD3" w:rsidP="005E599E">
      <w:pPr>
        <w:tabs>
          <w:tab w:val="left" w:pos="5466"/>
        </w:tabs>
      </w:pPr>
    </w:p>
    <w:p w:rsidR="00B71CD3" w:rsidRDefault="00B71CD3" w:rsidP="00064756">
      <w:pPr>
        <w:pStyle w:val="Subtitle"/>
      </w:pPr>
      <w:r>
        <w:t>Hon C J Barnett MEc MLA</w:t>
      </w:r>
    </w:p>
    <w:p w:rsidR="00B71CD3" w:rsidRPr="00A32A99" w:rsidRDefault="00B71CD3" w:rsidP="00064756">
      <w:pPr>
        <w:rPr>
          <w:b/>
        </w:rPr>
      </w:pPr>
      <w:r w:rsidRPr="00A32A99">
        <w:rPr>
          <w:b/>
        </w:rPr>
        <w:t>PREMIER</w:t>
      </w:r>
    </w:p>
    <w:p w:rsidR="00B71CD3" w:rsidRDefault="00B71CD3" w:rsidP="00064756"/>
    <w:p w:rsidR="00B71CD3" w:rsidRDefault="00B71CD3" w:rsidP="00064756">
      <w:r>
        <w:t>In accordance with section 63 of the Financial Management Act 2006, I hereby submit for your information and presentation to the Parliament, the Annual Report for the Department of the Premier and Cabinet for the financial year ended 30 June 2015.</w:t>
      </w:r>
      <w:bookmarkStart w:id="5" w:name="_GoBack"/>
      <w:bookmarkEnd w:id="5"/>
    </w:p>
    <w:p w:rsidR="00B71CD3" w:rsidRDefault="00B71CD3" w:rsidP="00064756">
      <w:r>
        <w:t xml:space="preserve">The Annual Report has been prepared in accordance with the provisions of the </w:t>
      </w:r>
      <w:r w:rsidRPr="00B71CD3">
        <w:rPr>
          <w:i/>
        </w:rPr>
        <w:t>Financial Management Act 2006</w:t>
      </w:r>
      <w:r>
        <w:t>.</w:t>
      </w:r>
    </w:p>
    <w:p w:rsidR="00030C02" w:rsidRDefault="00030C02" w:rsidP="00064756">
      <w:pPr>
        <w:pStyle w:val="Subtitle"/>
      </w:pPr>
    </w:p>
    <w:p w:rsidR="00B71CD3" w:rsidRPr="00B71CD3" w:rsidRDefault="00B71CD3" w:rsidP="00064756">
      <w:pPr>
        <w:pStyle w:val="Subtitle"/>
      </w:pPr>
      <w:r w:rsidRPr="00B71CD3">
        <w:t>Peter Conran</w:t>
      </w:r>
    </w:p>
    <w:p w:rsidR="00B71CD3" w:rsidRPr="00A32A99" w:rsidRDefault="00B71CD3" w:rsidP="00064756">
      <w:pPr>
        <w:rPr>
          <w:b/>
        </w:rPr>
      </w:pPr>
      <w:r w:rsidRPr="00A32A99">
        <w:rPr>
          <w:b/>
        </w:rPr>
        <w:t>DIRECTOR GENERAL</w:t>
      </w:r>
    </w:p>
    <w:p w:rsidR="00030C02" w:rsidRDefault="00030C02" w:rsidP="00030C02">
      <w:pPr>
        <w:rPr>
          <w:lang w:eastAsia="en-AU"/>
        </w:rPr>
      </w:pPr>
      <w:r>
        <w:t>17 September</w:t>
      </w:r>
      <w:r w:rsidR="00B71CD3">
        <w:t xml:space="preserve"> 2015</w:t>
      </w:r>
      <w:bookmarkStart w:id="6" w:name="_Toc425370243"/>
      <w:bookmarkStart w:id="7" w:name="_Toc425607404"/>
      <w:bookmarkStart w:id="8" w:name="_Toc426104465"/>
      <w:bookmarkStart w:id="9" w:name="_Toc426637533"/>
    </w:p>
    <w:p w:rsidR="00030C02" w:rsidRPr="00FA2954" w:rsidRDefault="00030C02" w:rsidP="00FA2954">
      <w:pPr>
        <w:rPr>
          <w:rFonts w:ascii="Arial" w:eastAsia="Segoe UI" w:hAnsi="Arial" w:cs="Arial"/>
          <w:color w:val="193A68"/>
          <w:kern w:val="24"/>
          <w:lang w:eastAsia="en-AU"/>
        </w:rPr>
      </w:pPr>
      <w:r>
        <w:br w:type="page"/>
      </w:r>
    </w:p>
    <w:p w:rsidR="00172296" w:rsidRDefault="00172296" w:rsidP="0011613C">
      <w:pPr>
        <w:pStyle w:val="Heading1"/>
        <w:spacing w:before="0" w:after="60"/>
      </w:pPr>
      <w:bookmarkStart w:id="10" w:name="_Toc430547884"/>
      <w:r>
        <w:t>Director General’s Foreword</w:t>
      </w:r>
      <w:bookmarkEnd w:id="6"/>
      <w:bookmarkEnd w:id="7"/>
      <w:bookmarkEnd w:id="8"/>
      <w:bookmarkEnd w:id="9"/>
      <w:bookmarkEnd w:id="10"/>
    </w:p>
    <w:p w:rsidR="00C57847" w:rsidRPr="00C57847" w:rsidRDefault="00C57847" w:rsidP="0011613C">
      <w:pPr>
        <w:spacing w:after="60"/>
        <w:rPr>
          <w:lang w:val="en-US"/>
        </w:rPr>
      </w:pPr>
      <w:r w:rsidRPr="00C57847">
        <w:rPr>
          <w:lang w:val="en-US"/>
        </w:rPr>
        <w:t>2014–15 has been a busy year for the Department which has seen many achievements for the State Government and the Western Australian community.</w:t>
      </w:r>
    </w:p>
    <w:p w:rsidR="00C57847" w:rsidRPr="00C57847" w:rsidRDefault="00C57847" w:rsidP="0011613C">
      <w:pPr>
        <w:spacing w:after="60"/>
        <w:rPr>
          <w:lang w:val="en-US"/>
        </w:rPr>
      </w:pPr>
      <w:r w:rsidRPr="00C57847">
        <w:rPr>
          <w:lang w:val="en-US"/>
        </w:rPr>
        <w:t xml:space="preserve">A significant project during the year was the facilitation and coordination of major commemorative events to mark the departure of troops from Western Australia for battles in the First World War.  </w:t>
      </w:r>
    </w:p>
    <w:p w:rsidR="00C57847" w:rsidRPr="00C57847" w:rsidRDefault="00C57847" w:rsidP="0011613C">
      <w:pPr>
        <w:spacing w:after="60"/>
        <w:rPr>
          <w:lang w:val="en-US"/>
        </w:rPr>
      </w:pPr>
      <w:r w:rsidRPr="00C57847">
        <w:rPr>
          <w:lang w:val="en-US"/>
        </w:rPr>
        <w:t xml:space="preserve">In October and November 2014 a number of events commenced in Albany, some of which included the Royal Australian Navy Ceremonial Sunset, a troop march, symbolic ship departure, community concert and the official opening of the National Anzac Centre by the Premier and the Australian and New Zealand Prime Ministers.  </w:t>
      </w:r>
    </w:p>
    <w:p w:rsidR="00C57847" w:rsidRPr="00C57847" w:rsidRDefault="00C57847" w:rsidP="0011613C">
      <w:pPr>
        <w:spacing w:after="60"/>
        <w:rPr>
          <w:lang w:val="en-US"/>
        </w:rPr>
      </w:pPr>
      <w:r w:rsidRPr="00C57847">
        <w:rPr>
          <w:lang w:val="en-US"/>
        </w:rPr>
        <w:t>The Department also coordinated events that commemorated the two ships that departed Fremantle with most of WA’s troops onboard, escorted by the Japanese naval vessel the Ibuki.  Events included an overnight cadet bivouac at the site of the Blackboy Hill training ground, cadet marches at Blackboy Hill and Fremantle along with a commemorative service in Fremantle.</w:t>
      </w:r>
    </w:p>
    <w:p w:rsidR="00C57847" w:rsidRPr="00C57847" w:rsidRDefault="00C57847" w:rsidP="0011613C">
      <w:pPr>
        <w:spacing w:after="60"/>
        <w:rPr>
          <w:lang w:val="en-US"/>
        </w:rPr>
      </w:pPr>
      <w:r w:rsidRPr="00C57847">
        <w:rPr>
          <w:lang w:val="en-US"/>
        </w:rPr>
        <w:t>All of these events received widespread praise from attending dignitaries and the community members who participated.  I would like to thank the dedicated team of staff who have assisted in coordinating these very special events.</w:t>
      </w:r>
    </w:p>
    <w:p w:rsidR="00C57847" w:rsidRPr="00C57847" w:rsidRDefault="00C57847" w:rsidP="0011613C">
      <w:pPr>
        <w:spacing w:after="60"/>
        <w:rPr>
          <w:lang w:val="en-US"/>
        </w:rPr>
      </w:pPr>
      <w:r w:rsidRPr="00C57847">
        <w:rPr>
          <w:lang w:val="en-US"/>
        </w:rPr>
        <w:t>Throughout 2014–15 the Department continued its important role in delivering support services to all Ministerial Offices, from general recruitment and air charter services to the relocation of two Ministerial Offices into Dumas House.  This latter achievement has presented considerable savings as Ministerial Offices are consolidated in the building. The staff who work with Ministerial and Parliamentary Electorate Offices in delivering those support services deserve special mention for their efforts over the year.</w:t>
      </w:r>
    </w:p>
    <w:p w:rsidR="00C57847" w:rsidRPr="00C57847" w:rsidRDefault="00C57847" w:rsidP="0011613C">
      <w:pPr>
        <w:spacing w:after="60"/>
        <w:rPr>
          <w:lang w:val="en-US"/>
        </w:rPr>
      </w:pPr>
      <w:r w:rsidRPr="00C57847">
        <w:rPr>
          <w:lang w:val="en-US"/>
        </w:rPr>
        <w:t xml:space="preserve">The Office of Science has made significant inroads in supporting government agencies on science related issues and facilitating cross-government linkages across the science community.  The Science Statement for Western Australia, launched by the Premier in April 2015 provides a strategic focus for the future of science for Western Australia, and I look forward to the many exciting initiatives to be progressed by the Office of Science. </w:t>
      </w:r>
    </w:p>
    <w:p w:rsidR="00C57847" w:rsidRPr="00C57847" w:rsidRDefault="00C57847" w:rsidP="0011613C">
      <w:pPr>
        <w:spacing w:after="60"/>
        <w:rPr>
          <w:lang w:val="en-US"/>
        </w:rPr>
      </w:pPr>
      <w:r w:rsidRPr="00C57847">
        <w:rPr>
          <w:lang w:val="en-US"/>
        </w:rPr>
        <w:t>The Department’s policy teams have been working hard to progress various policy reforms in conjunction with other community and business groups, which have included the coordination and implementation of the Government’s shark mitigation strategy, Indigenous over-representation in the legal system, reforms to improve landholder property rights and the South West Native Title settlement.  It takes a great deal of drive and motivation to achieve reform across the many activities of government and I congratulate all policy staff for their efforts.</w:t>
      </w:r>
    </w:p>
    <w:p w:rsidR="00C57847" w:rsidRPr="00C57847" w:rsidRDefault="00C57847" w:rsidP="0011613C">
      <w:pPr>
        <w:spacing w:after="60"/>
        <w:rPr>
          <w:lang w:val="en-US"/>
        </w:rPr>
      </w:pPr>
      <w:r w:rsidRPr="00C57847">
        <w:rPr>
          <w:lang w:val="en-US"/>
        </w:rPr>
        <w:t>Once again the Department has achieved its goals in supporting the Premier as head of the Western Australian Government and the Minister for Science, and in providing quality policy and administrative advice and support to enable the Premier and Government to serve the WA community well.</w:t>
      </w:r>
    </w:p>
    <w:p w:rsidR="0011613C" w:rsidRDefault="0011613C" w:rsidP="0011613C">
      <w:pPr>
        <w:spacing w:after="60"/>
        <w:rPr>
          <w:lang w:val="en-US"/>
        </w:rPr>
      </w:pPr>
    </w:p>
    <w:p w:rsidR="00C57847" w:rsidRPr="00C57847" w:rsidRDefault="00C57847" w:rsidP="0011613C">
      <w:pPr>
        <w:spacing w:after="60"/>
        <w:rPr>
          <w:b/>
          <w:lang w:val="en-US"/>
        </w:rPr>
      </w:pPr>
      <w:r w:rsidRPr="00C57847">
        <w:rPr>
          <w:lang w:val="en-US"/>
        </w:rPr>
        <w:t>Peter Conran</w:t>
      </w:r>
      <w:r w:rsidRPr="00C57847">
        <w:rPr>
          <w:lang w:val="en-US"/>
        </w:rPr>
        <w:br/>
      </w:r>
      <w:r w:rsidRPr="00C57847">
        <w:rPr>
          <w:rFonts w:ascii="Segoe UI Semibold" w:hAnsi="Segoe UI Semibold" w:cs="Segoe UI Semibold"/>
          <w:b/>
          <w:lang w:val="en-US"/>
        </w:rPr>
        <w:t>DIRECTOR GENERAL</w:t>
      </w:r>
    </w:p>
    <w:p w:rsidR="006027D5" w:rsidRPr="00A32A99" w:rsidRDefault="006027D5" w:rsidP="00C63A96">
      <w:pPr>
        <w:pStyle w:val="Heading1"/>
      </w:pPr>
      <w:bookmarkStart w:id="11" w:name="_Toc430547885"/>
      <w:bookmarkStart w:id="12" w:name="_Toc425370246"/>
      <w:bookmarkStart w:id="13" w:name="_Toc425607517"/>
      <w:bookmarkStart w:id="14" w:name="_Toc426104468"/>
      <w:bookmarkStart w:id="15" w:name="_Toc426397319"/>
      <w:bookmarkStart w:id="16" w:name="_Toc426637291"/>
      <w:bookmarkStart w:id="17" w:name="_Toc426637536"/>
      <w:r w:rsidRPr="00A32A99">
        <w:t>About the Department</w:t>
      </w:r>
      <w:bookmarkEnd w:id="11"/>
    </w:p>
    <w:p w:rsidR="00167531" w:rsidRPr="00015828" w:rsidRDefault="00167531" w:rsidP="00C63A96">
      <w:pPr>
        <w:pStyle w:val="Heading2"/>
      </w:pPr>
      <w:bookmarkStart w:id="18" w:name="_Toc430547886"/>
      <w:r w:rsidRPr="00015828">
        <w:t>Overview</w:t>
      </w:r>
      <w:bookmarkEnd w:id="18"/>
    </w:p>
    <w:p w:rsidR="002C6B4C" w:rsidRPr="00015828" w:rsidRDefault="002C6B4C" w:rsidP="00C63A96">
      <w:pPr>
        <w:pStyle w:val="Heading3"/>
      </w:pPr>
      <w:r w:rsidRPr="00015828">
        <w:t>Responsible Minister</w:t>
      </w:r>
      <w:bookmarkEnd w:id="12"/>
      <w:bookmarkEnd w:id="13"/>
      <w:bookmarkEnd w:id="14"/>
      <w:bookmarkEnd w:id="15"/>
      <w:bookmarkEnd w:id="16"/>
      <w:bookmarkEnd w:id="17"/>
    </w:p>
    <w:p w:rsidR="002C6B4C" w:rsidRDefault="002C6B4C" w:rsidP="00064756">
      <w:r w:rsidRPr="002C6B4C">
        <w:t xml:space="preserve">The Department reports to the Hon C J Barnett MEc MLA, in his capacity as </w:t>
      </w:r>
      <w:r>
        <w:t>P</w:t>
      </w:r>
      <w:r w:rsidRPr="002C6B4C">
        <w:t>remier;</w:t>
      </w:r>
      <w:r>
        <w:t xml:space="preserve"> </w:t>
      </w:r>
      <w:r w:rsidRPr="00A377E5">
        <w:t>Minister for Science.</w:t>
      </w:r>
    </w:p>
    <w:p w:rsidR="002C6B4C" w:rsidRPr="00015828" w:rsidRDefault="002C6B4C" w:rsidP="00C63A96">
      <w:pPr>
        <w:pStyle w:val="Heading3"/>
      </w:pPr>
      <w:bookmarkStart w:id="19" w:name="_Toc425370247"/>
      <w:bookmarkStart w:id="20" w:name="_Toc425607518"/>
      <w:bookmarkStart w:id="21" w:name="_Toc426104469"/>
      <w:bookmarkStart w:id="22" w:name="_Toc426397320"/>
      <w:bookmarkStart w:id="23" w:name="_Toc426637292"/>
      <w:bookmarkStart w:id="24" w:name="_Toc426637537"/>
      <w:r w:rsidRPr="00015828">
        <w:t>Chief Executive Officer</w:t>
      </w:r>
      <w:bookmarkEnd w:id="19"/>
      <w:bookmarkEnd w:id="20"/>
      <w:bookmarkEnd w:id="21"/>
      <w:bookmarkEnd w:id="22"/>
      <w:bookmarkEnd w:id="23"/>
      <w:bookmarkEnd w:id="24"/>
    </w:p>
    <w:p w:rsidR="002C6B4C" w:rsidRDefault="002C6B4C" w:rsidP="00064756">
      <w:r w:rsidRPr="002C6B4C">
        <w:t>Mr Peter Conran AM is the Chief Executive Officer of the Department appointed under section 45 of the Public Sector Management Act 1994 and is also the Accountable Authority, as prescribed in section 52 of the Financial Management Act 2006.</w:t>
      </w:r>
    </w:p>
    <w:p w:rsidR="002C6B4C" w:rsidRPr="00015828" w:rsidRDefault="002C6B4C" w:rsidP="00C63A96">
      <w:pPr>
        <w:pStyle w:val="Heading3"/>
      </w:pPr>
      <w:bookmarkStart w:id="25" w:name="_Toc425370248"/>
      <w:bookmarkStart w:id="26" w:name="_Toc425607519"/>
      <w:bookmarkStart w:id="27" w:name="_Toc426104470"/>
      <w:bookmarkStart w:id="28" w:name="_Toc426397321"/>
      <w:bookmarkStart w:id="29" w:name="_Toc426637293"/>
      <w:bookmarkStart w:id="30" w:name="_Toc426637538"/>
      <w:r w:rsidRPr="00015828">
        <w:t>Authority for the Establishment of the Agency</w:t>
      </w:r>
      <w:bookmarkEnd w:id="25"/>
      <w:bookmarkEnd w:id="26"/>
      <w:bookmarkEnd w:id="27"/>
      <w:bookmarkEnd w:id="28"/>
      <w:bookmarkEnd w:id="29"/>
      <w:bookmarkEnd w:id="30"/>
    </w:p>
    <w:p w:rsidR="00E87F4D" w:rsidRDefault="002C6B4C" w:rsidP="00030C02">
      <w:r w:rsidRPr="002C6B4C">
        <w:t>The Department was established in 2001 under the Public Sector Management Act 1994.</w:t>
      </w:r>
    </w:p>
    <w:p w:rsidR="002C6B4C" w:rsidRPr="00015828" w:rsidRDefault="002C6B4C" w:rsidP="00C63A96">
      <w:pPr>
        <w:pStyle w:val="Heading3"/>
      </w:pPr>
      <w:bookmarkStart w:id="31" w:name="_Toc425370249"/>
      <w:bookmarkStart w:id="32" w:name="_Toc425607520"/>
      <w:bookmarkStart w:id="33" w:name="_Toc426104471"/>
      <w:bookmarkStart w:id="34" w:name="_Toc426397322"/>
      <w:bookmarkStart w:id="35" w:name="_Toc426637294"/>
      <w:bookmarkStart w:id="36" w:name="_Toc426637539"/>
      <w:r w:rsidRPr="00015828">
        <w:t>Our Vision</w:t>
      </w:r>
      <w:bookmarkEnd w:id="31"/>
      <w:bookmarkEnd w:id="32"/>
      <w:bookmarkEnd w:id="33"/>
      <w:bookmarkEnd w:id="34"/>
      <w:bookmarkEnd w:id="35"/>
      <w:bookmarkEnd w:id="36"/>
    </w:p>
    <w:p w:rsidR="00316767" w:rsidRPr="00030C02" w:rsidRDefault="002C6B4C" w:rsidP="00AE75A9">
      <w:pPr>
        <w:pStyle w:val="ListParagraph"/>
        <w:numPr>
          <w:ilvl w:val="0"/>
          <w:numId w:val="13"/>
        </w:numPr>
      </w:pPr>
      <w:r w:rsidRPr="00030C02">
        <w:t>Improving outcomes through leadership, collaboration and innovation.</w:t>
      </w:r>
    </w:p>
    <w:p w:rsidR="002C6B4C" w:rsidRPr="00015828" w:rsidRDefault="002C6B4C" w:rsidP="00C63A96">
      <w:pPr>
        <w:pStyle w:val="Heading3"/>
      </w:pPr>
      <w:bookmarkStart w:id="37" w:name="_Toc425370250"/>
      <w:bookmarkStart w:id="38" w:name="_Toc425607521"/>
      <w:bookmarkStart w:id="39" w:name="_Toc426104472"/>
      <w:bookmarkStart w:id="40" w:name="_Toc426397323"/>
      <w:bookmarkStart w:id="41" w:name="_Toc426637295"/>
      <w:bookmarkStart w:id="42" w:name="_Toc426637540"/>
      <w:r w:rsidRPr="00015828">
        <w:t>Our Purpose</w:t>
      </w:r>
      <w:bookmarkEnd w:id="37"/>
      <w:bookmarkEnd w:id="38"/>
      <w:bookmarkEnd w:id="39"/>
      <w:bookmarkEnd w:id="40"/>
      <w:bookmarkEnd w:id="41"/>
      <w:bookmarkEnd w:id="42"/>
    </w:p>
    <w:p w:rsidR="00316767" w:rsidRPr="00030C02" w:rsidRDefault="002C6B4C" w:rsidP="00AE75A9">
      <w:pPr>
        <w:pStyle w:val="ListParagraph"/>
        <w:numPr>
          <w:ilvl w:val="0"/>
          <w:numId w:val="12"/>
        </w:numPr>
      </w:pPr>
      <w:r w:rsidRPr="00030C02">
        <w:t>We provide quality policy and administrative advice and support to enable the Premier and Government to serve the Western Australian community well.</w:t>
      </w:r>
    </w:p>
    <w:p w:rsidR="002C6B4C" w:rsidRPr="00015828" w:rsidRDefault="002C6B4C" w:rsidP="00C63A96">
      <w:pPr>
        <w:pStyle w:val="Heading3"/>
      </w:pPr>
      <w:bookmarkStart w:id="43" w:name="_Toc425370251"/>
      <w:bookmarkStart w:id="44" w:name="_Toc425607522"/>
      <w:bookmarkStart w:id="45" w:name="_Toc426104473"/>
      <w:bookmarkStart w:id="46" w:name="_Toc426397324"/>
      <w:bookmarkStart w:id="47" w:name="_Toc426637296"/>
      <w:bookmarkStart w:id="48" w:name="_Toc426637541"/>
      <w:r w:rsidRPr="00015828">
        <w:t>Our Values</w:t>
      </w:r>
      <w:bookmarkEnd w:id="43"/>
      <w:bookmarkEnd w:id="44"/>
      <w:bookmarkEnd w:id="45"/>
      <w:bookmarkEnd w:id="46"/>
      <w:bookmarkEnd w:id="47"/>
      <w:bookmarkEnd w:id="48"/>
    </w:p>
    <w:p w:rsidR="00316767" w:rsidRPr="00030C02" w:rsidRDefault="00316767" w:rsidP="00B849B2">
      <w:pPr>
        <w:ind w:left="284"/>
      </w:pPr>
      <w:r w:rsidRPr="00030C02">
        <w:t>The Department is committed to the Public Sector Code of Ethics and will be guided by its Code of Conduct and the following values:</w:t>
      </w:r>
    </w:p>
    <w:p w:rsidR="00316767" w:rsidRPr="00030C02" w:rsidRDefault="00316767" w:rsidP="00AE75A9">
      <w:pPr>
        <w:pStyle w:val="ListParagraph"/>
        <w:numPr>
          <w:ilvl w:val="0"/>
          <w:numId w:val="11"/>
        </w:numPr>
        <w:spacing w:after="120"/>
      </w:pPr>
      <w:r w:rsidRPr="00030C02">
        <w:t>Working with integrity</w:t>
      </w:r>
    </w:p>
    <w:p w:rsidR="00316767" w:rsidRPr="00030C02" w:rsidRDefault="00316767" w:rsidP="00AE75A9">
      <w:pPr>
        <w:pStyle w:val="ListParagraph"/>
        <w:numPr>
          <w:ilvl w:val="0"/>
          <w:numId w:val="11"/>
        </w:numPr>
        <w:spacing w:after="120"/>
      </w:pPr>
      <w:r w:rsidRPr="00030C02">
        <w:t>Focused on results</w:t>
      </w:r>
    </w:p>
    <w:p w:rsidR="00316767" w:rsidRPr="00030C02" w:rsidRDefault="00316767" w:rsidP="00AE75A9">
      <w:pPr>
        <w:pStyle w:val="ListParagraph"/>
        <w:numPr>
          <w:ilvl w:val="0"/>
          <w:numId w:val="11"/>
        </w:numPr>
        <w:spacing w:after="120"/>
      </w:pPr>
      <w:r w:rsidRPr="00030C02">
        <w:t>Collaborating with others</w:t>
      </w:r>
    </w:p>
    <w:p w:rsidR="002C6B4C" w:rsidRPr="00030C02" w:rsidRDefault="00316767" w:rsidP="00AE75A9">
      <w:pPr>
        <w:pStyle w:val="ListParagraph"/>
        <w:numPr>
          <w:ilvl w:val="0"/>
          <w:numId w:val="11"/>
        </w:numPr>
        <w:spacing w:after="120"/>
      </w:pPr>
      <w:r w:rsidRPr="00030C02">
        <w:t>Leading improvement</w:t>
      </w:r>
    </w:p>
    <w:p w:rsidR="00D51F4B" w:rsidRDefault="00D51F4B">
      <w:pPr>
        <w:spacing w:line="276" w:lineRule="auto"/>
        <w:rPr>
          <w:rFonts w:ascii="Arial" w:eastAsia="Segoe UI" w:hAnsi="Arial" w:cs="Arial"/>
          <w:noProof/>
          <w:color w:val="365F91" w:themeColor="accent1" w:themeShade="BF"/>
          <w:kern w:val="24"/>
          <w:sz w:val="44"/>
          <w:szCs w:val="44"/>
          <w:lang w:eastAsia="en-AU"/>
        </w:rPr>
      </w:pPr>
      <w:bookmarkStart w:id="49" w:name="_Toc425370252"/>
      <w:bookmarkStart w:id="50" w:name="_Toc425607407"/>
      <w:bookmarkStart w:id="51" w:name="_Toc425607523"/>
      <w:bookmarkStart w:id="52" w:name="_Toc426104474"/>
      <w:bookmarkStart w:id="53" w:name="_Toc426637297"/>
      <w:bookmarkStart w:id="54" w:name="_Toc426637542"/>
      <w:r>
        <w:br w:type="page"/>
      </w:r>
    </w:p>
    <w:p w:rsidR="00167531" w:rsidRPr="00286C95" w:rsidRDefault="00F1585A" w:rsidP="00C63A96">
      <w:pPr>
        <w:pStyle w:val="Heading2"/>
      </w:pPr>
      <w:bookmarkStart w:id="55" w:name="_Toc430547887"/>
      <w:r w:rsidRPr="00286C95">
        <w:t xml:space="preserve">Administered </w:t>
      </w:r>
      <w:r w:rsidR="00316767" w:rsidRPr="00286C95">
        <w:t>Legislation</w:t>
      </w:r>
      <w:bookmarkEnd w:id="49"/>
      <w:bookmarkEnd w:id="50"/>
      <w:bookmarkEnd w:id="51"/>
      <w:bookmarkEnd w:id="52"/>
      <w:bookmarkEnd w:id="53"/>
      <w:bookmarkEnd w:id="54"/>
      <w:bookmarkEnd w:id="55"/>
    </w:p>
    <w:p w:rsidR="00316767" w:rsidRDefault="00316767" w:rsidP="00064756">
      <w:r>
        <w:t>The following is a list of the Acts of Parliament which are the responsibility of the Premier and are administered by the Department.</w:t>
      </w:r>
    </w:p>
    <w:p w:rsidR="00316767" w:rsidRPr="00B67051" w:rsidRDefault="00316767" w:rsidP="00167531">
      <w:pPr>
        <w:pStyle w:val="Subtitle"/>
        <w:spacing w:after="40"/>
        <w:rPr>
          <w:i/>
        </w:rPr>
      </w:pPr>
      <w:r w:rsidRPr="00B67051">
        <w:rPr>
          <w:i/>
        </w:rPr>
        <w:t>Agent General Act 1895</w:t>
      </w:r>
    </w:p>
    <w:p w:rsidR="00316767" w:rsidRPr="00B67051" w:rsidRDefault="00316767" w:rsidP="00167531">
      <w:pPr>
        <w:pStyle w:val="Subtitle"/>
        <w:spacing w:after="40"/>
        <w:rPr>
          <w:i/>
        </w:rPr>
      </w:pPr>
      <w:r w:rsidRPr="00B67051">
        <w:rPr>
          <w:i/>
        </w:rPr>
        <w:t>Alteration of Statutory Designations Act 1974</w:t>
      </w:r>
    </w:p>
    <w:p w:rsidR="00316767" w:rsidRPr="00B67051" w:rsidRDefault="00316767" w:rsidP="00167531">
      <w:pPr>
        <w:pStyle w:val="Subtitle"/>
        <w:spacing w:after="40"/>
        <w:rPr>
          <w:i/>
        </w:rPr>
      </w:pPr>
      <w:r w:rsidRPr="00B67051">
        <w:rPr>
          <w:i/>
        </w:rPr>
        <w:t>Armorial Bearings Protection Act 1979</w:t>
      </w:r>
    </w:p>
    <w:p w:rsidR="00316767" w:rsidRPr="00B67051" w:rsidRDefault="00316767" w:rsidP="00167531">
      <w:pPr>
        <w:pStyle w:val="Subtitle"/>
        <w:spacing w:after="40"/>
        <w:rPr>
          <w:i/>
        </w:rPr>
      </w:pPr>
      <w:r w:rsidRPr="00B67051">
        <w:rPr>
          <w:i/>
        </w:rPr>
        <w:t>Constitution Act 1889</w:t>
      </w:r>
    </w:p>
    <w:p w:rsidR="00316767" w:rsidRPr="00B67051" w:rsidRDefault="00316767" w:rsidP="00167531">
      <w:pPr>
        <w:pStyle w:val="Subtitle"/>
        <w:spacing w:after="40"/>
        <w:rPr>
          <w:i/>
        </w:rPr>
      </w:pPr>
      <w:r w:rsidRPr="00B67051">
        <w:rPr>
          <w:i/>
        </w:rPr>
        <w:t>Constitution Acts Amendment Act 1899</w:t>
      </w:r>
    </w:p>
    <w:p w:rsidR="00316767" w:rsidRPr="00B67051" w:rsidRDefault="00316767" w:rsidP="00167531">
      <w:pPr>
        <w:pStyle w:val="Subtitle"/>
        <w:spacing w:after="40"/>
        <w:rPr>
          <w:i/>
        </w:rPr>
      </w:pPr>
      <w:r w:rsidRPr="00B67051">
        <w:rPr>
          <w:i/>
        </w:rPr>
        <w:t>Daylight Saving Act 2006</w:t>
      </w:r>
    </w:p>
    <w:p w:rsidR="00316767" w:rsidRPr="00B67051" w:rsidRDefault="00316767" w:rsidP="00167531">
      <w:pPr>
        <w:pStyle w:val="Subtitle"/>
        <w:spacing w:after="40"/>
        <w:rPr>
          <w:i/>
        </w:rPr>
      </w:pPr>
      <w:r w:rsidRPr="00B67051">
        <w:rPr>
          <w:i/>
        </w:rPr>
        <w:t>Deputy Governor’s Powers Act 1911</w:t>
      </w:r>
    </w:p>
    <w:p w:rsidR="00316767" w:rsidRPr="00B67051" w:rsidRDefault="00316767" w:rsidP="00167531">
      <w:pPr>
        <w:pStyle w:val="Subtitle"/>
        <w:spacing w:after="40"/>
        <w:rPr>
          <w:i/>
        </w:rPr>
      </w:pPr>
      <w:r w:rsidRPr="00B67051">
        <w:rPr>
          <w:i/>
        </w:rPr>
        <w:t>Discharged Servicemen’s Badges Act 1967</w:t>
      </w:r>
    </w:p>
    <w:p w:rsidR="00316767" w:rsidRPr="00B67051" w:rsidRDefault="00316767" w:rsidP="00167531">
      <w:pPr>
        <w:pStyle w:val="Subtitle"/>
        <w:spacing w:after="40"/>
        <w:rPr>
          <w:i/>
        </w:rPr>
      </w:pPr>
      <w:r w:rsidRPr="00B67051">
        <w:rPr>
          <w:i/>
        </w:rPr>
        <w:t>Election of Senators Act 1903</w:t>
      </w:r>
    </w:p>
    <w:p w:rsidR="00316767" w:rsidRPr="00B67051" w:rsidRDefault="00316767" w:rsidP="00167531">
      <w:pPr>
        <w:pStyle w:val="Subtitle"/>
        <w:spacing w:after="40"/>
        <w:rPr>
          <w:i/>
        </w:rPr>
      </w:pPr>
      <w:r w:rsidRPr="00B67051">
        <w:rPr>
          <w:i/>
        </w:rPr>
        <w:t>Indian Ocean Territories (Administration of Laws) Act 1992</w:t>
      </w:r>
    </w:p>
    <w:p w:rsidR="00316767" w:rsidRPr="00B67051" w:rsidRDefault="00316767" w:rsidP="00167531">
      <w:pPr>
        <w:pStyle w:val="Subtitle"/>
        <w:spacing w:after="40"/>
        <w:rPr>
          <w:i/>
        </w:rPr>
      </w:pPr>
      <w:r w:rsidRPr="00B67051">
        <w:rPr>
          <w:i/>
        </w:rPr>
        <w:t>Machinery of Government (Miscellaneous Amendments) Act 2006</w:t>
      </w:r>
    </w:p>
    <w:p w:rsidR="00316767" w:rsidRPr="00B67051" w:rsidRDefault="00316767" w:rsidP="00167531">
      <w:pPr>
        <w:pStyle w:val="Subtitle"/>
        <w:spacing w:after="40"/>
        <w:rPr>
          <w:i/>
        </w:rPr>
      </w:pPr>
      <w:r w:rsidRPr="00B67051">
        <w:rPr>
          <w:i/>
        </w:rPr>
        <w:t>Members of Parliament (Financial Interests) Act 1992</w:t>
      </w:r>
    </w:p>
    <w:p w:rsidR="00316767" w:rsidRPr="00B67051" w:rsidRDefault="00316767" w:rsidP="00167531">
      <w:pPr>
        <w:pStyle w:val="Subtitle"/>
        <w:spacing w:after="40"/>
        <w:rPr>
          <w:i/>
        </w:rPr>
      </w:pPr>
      <w:r w:rsidRPr="00B67051">
        <w:rPr>
          <w:i/>
        </w:rPr>
        <w:t>Ministers’ Titles Act 1925</w:t>
      </w:r>
    </w:p>
    <w:p w:rsidR="00316767" w:rsidRPr="00B67051" w:rsidRDefault="00316767" w:rsidP="00167531">
      <w:pPr>
        <w:pStyle w:val="Subtitle"/>
        <w:spacing w:after="40"/>
        <w:rPr>
          <w:i/>
        </w:rPr>
      </w:pPr>
      <w:r w:rsidRPr="00B67051">
        <w:rPr>
          <w:i/>
        </w:rPr>
        <w:t>Mutual Recognition (Western Australia) Act 2010</w:t>
      </w:r>
    </w:p>
    <w:p w:rsidR="00316767" w:rsidRPr="00B67051" w:rsidRDefault="00316767" w:rsidP="00167531">
      <w:pPr>
        <w:pStyle w:val="Subtitle"/>
        <w:spacing w:after="40"/>
        <w:rPr>
          <w:i/>
        </w:rPr>
      </w:pPr>
      <w:r w:rsidRPr="00B67051">
        <w:rPr>
          <w:i/>
        </w:rPr>
        <w:t>Parliamentary and Electorate Staff (Employment) Act 1992</w:t>
      </w:r>
    </w:p>
    <w:p w:rsidR="00316767" w:rsidRPr="00B67051" w:rsidRDefault="00316767" w:rsidP="00167531">
      <w:pPr>
        <w:pStyle w:val="Subtitle"/>
        <w:spacing w:after="40"/>
        <w:rPr>
          <w:i/>
        </w:rPr>
      </w:pPr>
      <w:r w:rsidRPr="00B67051">
        <w:rPr>
          <w:i/>
        </w:rPr>
        <w:t>Parliamentary Papers Act 1891</w:t>
      </w:r>
    </w:p>
    <w:p w:rsidR="00316767" w:rsidRPr="00B67051" w:rsidRDefault="00316767" w:rsidP="00167531">
      <w:pPr>
        <w:pStyle w:val="Subtitle"/>
        <w:spacing w:after="40"/>
        <w:rPr>
          <w:i/>
        </w:rPr>
      </w:pPr>
      <w:r w:rsidRPr="00B67051">
        <w:rPr>
          <w:i/>
        </w:rPr>
        <w:t>Parliamentary Privileges Act 1891</w:t>
      </w:r>
    </w:p>
    <w:p w:rsidR="00316767" w:rsidRPr="00B67051" w:rsidRDefault="00316767" w:rsidP="00167531">
      <w:pPr>
        <w:pStyle w:val="Subtitle"/>
        <w:spacing w:after="40"/>
        <w:rPr>
          <w:i/>
        </w:rPr>
      </w:pPr>
      <w:r w:rsidRPr="00B67051">
        <w:rPr>
          <w:i/>
        </w:rPr>
        <w:t>Returned Servicemen’s Badges Act 1953</w:t>
      </w:r>
    </w:p>
    <w:p w:rsidR="00316767" w:rsidRPr="00B67051" w:rsidRDefault="00316767" w:rsidP="00167531">
      <w:pPr>
        <w:pStyle w:val="Subtitle"/>
        <w:spacing w:after="40"/>
        <w:rPr>
          <w:i/>
        </w:rPr>
      </w:pPr>
      <w:r w:rsidRPr="00B67051">
        <w:rPr>
          <w:i/>
        </w:rPr>
        <w:t>Royal Commission (Custody of Records) Act 1992</w:t>
      </w:r>
    </w:p>
    <w:p w:rsidR="00316767" w:rsidRPr="00B67051" w:rsidRDefault="00316767" w:rsidP="00167531">
      <w:pPr>
        <w:pStyle w:val="Subtitle"/>
        <w:spacing w:after="40"/>
        <w:rPr>
          <w:i/>
        </w:rPr>
      </w:pPr>
      <w:r w:rsidRPr="00B67051">
        <w:rPr>
          <w:i/>
        </w:rPr>
        <w:t>Royal Commission into Commercial Activities of Government Act 1992</w:t>
      </w:r>
    </w:p>
    <w:p w:rsidR="00316767" w:rsidRPr="00B67051" w:rsidRDefault="00316767" w:rsidP="00167531">
      <w:pPr>
        <w:pStyle w:val="Subtitle"/>
        <w:spacing w:after="40"/>
        <w:rPr>
          <w:i/>
        </w:rPr>
      </w:pPr>
      <w:r w:rsidRPr="00B67051">
        <w:rPr>
          <w:i/>
        </w:rPr>
        <w:t>Royal Commissions Act 1968</w:t>
      </w:r>
    </w:p>
    <w:p w:rsidR="00316767" w:rsidRPr="00B67051" w:rsidRDefault="00316767" w:rsidP="00167531">
      <w:pPr>
        <w:pStyle w:val="Subtitle"/>
        <w:spacing w:after="40"/>
        <w:rPr>
          <w:i/>
        </w:rPr>
      </w:pPr>
      <w:r w:rsidRPr="00B67051">
        <w:rPr>
          <w:i/>
        </w:rPr>
        <w:t>Royal Powers Act 1953</w:t>
      </w:r>
    </w:p>
    <w:p w:rsidR="00316767" w:rsidRPr="00B67051" w:rsidRDefault="00316767" w:rsidP="00167531">
      <w:pPr>
        <w:pStyle w:val="Subtitle"/>
        <w:spacing w:after="40"/>
        <w:rPr>
          <w:i/>
        </w:rPr>
      </w:pPr>
      <w:r w:rsidRPr="00B67051">
        <w:rPr>
          <w:i/>
        </w:rPr>
        <w:t>Royal Style and Titles Act 1947</w:t>
      </w:r>
    </w:p>
    <w:p w:rsidR="00316767" w:rsidRPr="00B67051" w:rsidRDefault="00316767" w:rsidP="00167531">
      <w:pPr>
        <w:pStyle w:val="Subtitle"/>
        <w:spacing w:after="40"/>
        <w:rPr>
          <w:i/>
        </w:rPr>
      </w:pPr>
      <w:r w:rsidRPr="00B67051">
        <w:rPr>
          <w:i/>
        </w:rPr>
        <w:t>Standard Time Act 2005</w:t>
      </w:r>
    </w:p>
    <w:p w:rsidR="00316767" w:rsidRPr="00B67051" w:rsidRDefault="00316767" w:rsidP="00167531">
      <w:pPr>
        <w:pStyle w:val="Subtitle"/>
        <w:spacing w:after="40"/>
        <w:rPr>
          <w:i/>
        </w:rPr>
      </w:pPr>
      <w:r w:rsidRPr="00B67051">
        <w:rPr>
          <w:i/>
        </w:rPr>
        <w:t>State Flag Act 2006</w:t>
      </w:r>
    </w:p>
    <w:p w:rsidR="00316767" w:rsidRPr="00B67051" w:rsidRDefault="00316767" w:rsidP="00167531">
      <w:pPr>
        <w:pStyle w:val="Subtitle"/>
        <w:spacing w:after="40"/>
        <w:rPr>
          <w:i/>
        </w:rPr>
      </w:pPr>
      <w:r w:rsidRPr="00B67051">
        <w:rPr>
          <w:i/>
        </w:rPr>
        <w:t>Taxation (Staff Arrangements) Act 1969</w:t>
      </w:r>
    </w:p>
    <w:p w:rsidR="00316767" w:rsidRPr="00B67051" w:rsidRDefault="00316767" w:rsidP="00167531">
      <w:pPr>
        <w:pStyle w:val="Subtitle"/>
        <w:spacing w:after="40"/>
        <w:rPr>
          <w:i/>
        </w:rPr>
      </w:pPr>
      <w:r w:rsidRPr="00B67051">
        <w:rPr>
          <w:i/>
        </w:rPr>
        <w:t>Terrorism (Commonwealth Powers) Act 2002</w:t>
      </w:r>
    </w:p>
    <w:p w:rsidR="00316767" w:rsidRPr="00B67051" w:rsidRDefault="00316767" w:rsidP="00167531">
      <w:pPr>
        <w:pStyle w:val="Subtitle"/>
        <w:spacing w:after="40"/>
        <w:rPr>
          <w:i/>
        </w:rPr>
      </w:pPr>
      <w:r w:rsidRPr="00B67051">
        <w:rPr>
          <w:i/>
        </w:rPr>
        <w:t>Trans-Tasman Mutual Recognition (Western Australia) Act 2007</w:t>
      </w:r>
    </w:p>
    <w:p w:rsidR="00556D97" w:rsidRPr="00030C02" w:rsidRDefault="00316767" w:rsidP="00030C02">
      <w:pPr>
        <w:spacing w:after="40"/>
        <w:rPr>
          <w:i/>
        </w:rPr>
      </w:pPr>
      <w:r w:rsidRPr="00B67051">
        <w:rPr>
          <w:i/>
        </w:rPr>
        <w:t>Western Australia Day (Renaming) Act 2012</w:t>
      </w:r>
    </w:p>
    <w:p w:rsidR="00556D97" w:rsidRPr="00286C95" w:rsidRDefault="00556D97" w:rsidP="00C63A96">
      <w:pPr>
        <w:pStyle w:val="Heading3"/>
      </w:pPr>
      <w:bookmarkStart w:id="56" w:name="_Toc425370253"/>
      <w:bookmarkStart w:id="57" w:name="_Toc425607524"/>
      <w:bookmarkStart w:id="58" w:name="_Toc426104475"/>
      <w:bookmarkStart w:id="59" w:name="_Toc426397326"/>
      <w:bookmarkStart w:id="60" w:name="_Toc426637298"/>
      <w:bookmarkStart w:id="61" w:name="_Toc426637543"/>
      <w:r w:rsidRPr="00286C95">
        <w:t>Other key legislation impacting on the Department’s activities</w:t>
      </w:r>
      <w:bookmarkEnd w:id="56"/>
      <w:bookmarkEnd w:id="57"/>
      <w:bookmarkEnd w:id="58"/>
      <w:bookmarkEnd w:id="59"/>
      <w:bookmarkEnd w:id="60"/>
      <w:bookmarkEnd w:id="61"/>
    </w:p>
    <w:p w:rsidR="00556D97" w:rsidRPr="00B67051" w:rsidRDefault="00556D97" w:rsidP="00167531">
      <w:pPr>
        <w:pStyle w:val="Subtitle"/>
        <w:spacing w:after="40"/>
        <w:rPr>
          <w:i/>
        </w:rPr>
      </w:pPr>
      <w:r w:rsidRPr="00B67051">
        <w:rPr>
          <w:i/>
        </w:rPr>
        <w:t>Corruption and Crime Commission Act 2003</w:t>
      </w:r>
    </w:p>
    <w:p w:rsidR="00556D97" w:rsidRPr="00B67051" w:rsidRDefault="00556D97" w:rsidP="00167531">
      <w:pPr>
        <w:pStyle w:val="Subtitle"/>
        <w:spacing w:after="40"/>
        <w:rPr>
          <w:i/>
        </w:rPr>
      </w:pPr>
      <w:r w:rsidRPr="00B67051">
        <w:rPr>
          <w:i/>
        </w:rPr>
        <w:t>Disability Services Act 1993</w:t>
      </w:r>
    </w:p>
    <w:p w:rsidR="00556D97" w:rsidRPr="00B67051" w:rsidRDefault="00556D97" w:rsidP="00167531">
      <w:pPr>
        <w:pStyle w:val="Subtitle"/>
        <w:spacing w:after="40"/>
        <w:rPr>
          <w:i/>
        </w:rPr>
      </w:pPr>
      <w:r w:rsidRPr="00B67051">
        <w:rPr>
          <w:i/>
        </w:rPr>
        <w:t>Equal Opportunity Act 1984</w:t>
      </w:r>
    </w:p>
    <w:p w:rsidR="00556D97" w:rsidRPr="00B67051" w:rsidRDefault="00556D97" w:rsidP="00167531">
      <w:pPr>
        <w:pStyle w:val="Subtitle"/>
        <w:spacing w:after="40"/>
        <w:rPr>
          <w:i/>
        </w:rPr>
      </w:pPr>
      <w:r w:rsidRPr="00B67051">
        <w:rPr>
          <w:i/>
        </w:rPr>
        <w:t>Financial Management Act 2006</w:t>
      </w:r>
    </w:p>
    <w:p w:rsidR="00556D97" w:rsidRPr="00B67051" w:rsidRDefault="00556D97" w:rsidP="00167531">
      <w:pPr>
        <w:pStyle w:val="Subtitle"/>
        <w:spacing w:after="40"/>
        <w:rPr>
          <w:i/>
        </w:rPr>
      </w:pPr>
      <w:r w:rsidRPr="00B67051">
        <w:rPr>
          <w:i/>
        </w:rPr>
        <w:t>Freedom of Information Act 1992</w:t>
      </w:r>
    </w:p>
    <w:p w:rsidR="00556D97" w:rsidRPr="00B67051" w:rsidRDefault="00556D97" w:rsidP="00167531">
      <w:pPr>
        <w:pStyle w:val="Subtitle"/>
        <w:spacing w:after="40"/>
        <w:rPr>
          <w:i/>
        </w:rPr>
      </w:pPr>
      <w:r w:rsidRPr="00B67051">
        <w:rPr>
          <w:i/>
        </w:rPr>
        <w:t>Industrial Relations Act 1979</w:t>
      </w:r>
    </w:p>
    <w:p w:rsidR="00556D97" w:rsidRPr="00B67051" w:rsidRDefault="00556D97" w:rsidP="00167531">
      <w:pPr>
        <w:pStyle w:val="Subtitle"/>
        <w:spacing w:after="40"/>
        <w:rPr>
          <w:i/>
        </w:rPr>
      </w:pPr>
      <w:r w:rsidRPr="00B67051">
        <w:rPr>
          <w:i/>
        </w:rPr>
        <w:t>Minimum Conditions of Employment Act 1993</w:t>
      </w:r>
    </w:p>
    <w:p w:rsidR="00556D97" w:rsidRPr="00B67051" w:rsidRDefault="00556D97" w:rsidP="00167531">
      <w:pPr>
        <w:pStyle w:val="Subtitle"/>
        <w:spacing w:after="40"/>
        <w:rPr>
          <w:i/>
        </w:rPr>
      </w:pPr>
      <w:r w:rsidRPr="00B67051">
        <w:rPr>
          <w:i/>
        </w:rPr>
        <w:t>Occupational Safety and Health Act 1984</w:t>
      </w:r>
    </w:p>
    <w:p w:rsidR="00556D97" w:rsidRPr="00B67051" w:rsidRDefault="00556D97" w:rsidP="00167531">
      <w:pPr>
        <w:pStyle w:val="Subtitle"/>
        <w:spacing w:after="40"/>
        <w:rPr>
          <w:i/>
        </w:rPr>
      </w:pPr>
      <w:r w:rsidRPr="00B67051">
        <w:rPr>
          <w:i/>
        </w:rPr>
        <w:t>Parliamentary Commissioner Act 1971</w:t>
      </w:r>
    </w:p>
    <w:p w:rsidR="00556D97" w:rsidRPr="00B67051" w:rsidRDefault="00556D97" w:rsidP="00167531">
      <w:pPr>
        <w:pStyle w:val="Subtitle"/>
        <w:spacing w:after="40"/>
        <w:rPr>
          <w:i/>
        </w:rPr>
      </w:pPr>
      <w:r w:rsidRPr="00B67051">
        <w:rPr>
          <w:i/>
        </w:rPr>
        <w:t>Public and Bank Holidays Act 1972</w:t>
      </w:r>
    </w:p>
    <w:p w:rsidR="00556D97" w:rsidRPr="00B67051" w:rsidRDefault="00556D97" w:rsidP="00167531">
      <w:pPr>
        <w:pStyle w:val="Subtitle"/>
        <w:spacing w:after="40"/>
        <w:rPr>
          <w:i/>
        </w:rPr>
      </w:pPr>
      <w:r w:rsidRPr="00B67051">
        <w:rPr>
          <w:i/>
        </w:rPr>
        <w:t>Public Interest Disclosure Act 2003</w:t>
      </w:r>
    </w:p>
    <w:p w:rsidR="00556D97" w:rsidRPr="00B67051" w:rsidRDefault="00556D97" w:rsidP="00167531">
      <w:pPr>
        <w:pStyle w:val="Subtitle"/>
        <w:spacing w:after="40"/>
        <w:rPr>
          <w:i/>
        </w:rPr>
      </w:pPr>
      <w:r w:rsidRPr="00B67051">
        <w:rPr>
          <w:i/>
        </w:rPr>
        <w:t>Public Sector Management Act 1994</w:t>
      </w:r>
    </w:p>
    <w:p w:rsidR="00556D97" w:rsidRPr="00B67051" w:rsidRDefault="00556D97" w:rsidP="00167531">
      <w:pPr>
        <w:pStyle w:val="Subtitle"/>
        <w:spacing w:after="40"/>
        <w:rPr>
          <w:i/>
        </w:rPr>
      </w:pPr>
      <w:r w:rsidRPr="00B67051">
        <w:rPr>
          <w:i/>
        </w:rPr>
        <w:t>State Records Act 2000</w:t>
      </w:r>
    </w:p>
    <w:p w:rsidR="00556D97" w:rsidRPr="00B67051" w:rsidRDefault="00556D97" w:rsidP="00167531">
      <w:pPr>
        <w:pStyle w:val="Subtitle"/>
        <w:spacing w:after="40"/>
        <w:rPr>
          <w:i/>
        </w:rPr>
      </w:pPr>
      <w:r w:rsidRPr="00B67051">
        <w:rPr>
          <w:i/>
        </w:rPr>
        <w:t>State Supply Commission Act 1991</w:t>
      </w:r>
    </w:p>
    <w:p w:rsidR="00D2666E" w:rsidRPr="00BC54EA" w:rsidRDefault="00556D97" w:rsidP="00BC54EA">
      <w:pPr>
        <w:pStyle w:val="Subtitle"/>
        <w:spacing w:after="40"/>
        <w:rPr>
          <w:i/>
        </w:rPr>
      </w:pPr>
      <w:r w:rsidRPr="00B67051">
        <w:rPr>
          <w:i/>
        </w:rPr>
        <w:t>Workers Compensation and Injury Management Act 1981</w:t>
      </w:r>
    </w:p>
    <w:p w:rsidR="00D51F4B" w:rsidRDefault="00D51F4B">
      <w:pPr>
        <w:spacing w:line="276" w:lineRule="auto"/>
        <w:rPr>
          <w:rFonts w:ascii="Arial" w:eastAsia="Segoe UI" w:hAnsi="Arial" w:cs="Arial"/>
          <w:noProof/>
          <w:color w:val="365F91" w:themeColor="accent1" w:themeShade="BF"/>
          <w:kern w:val="24"/>
          <w:sz w:val="44"/>
          <w:szCs w:val="44"/>
          <w:lang w:eastAsia="en-AU"/>
        </w:rPr>
      </w:pPr>
      <w:bookmarkStart w:id="62" w:name="_Toc425370254"/>
      <w:bookmarkStart w:id="63" w:name="_Toc425607408"/>
      <w:bookmarkStart w:id="64" w:name="_Toc425607525"/>
      <w:bookmarkStart w:id="65" w:name="_Toc426104476"/>
      <w:bookmarkStart w:id="66" w:name="_Toc426637299"/>
      <w:bookmarkStart w:id="67" w:name="_Toc426637544"/>
      <w:r>
        <w:br w:type="page"/>
      </w:r>
    </w:p>
    <w:p w:rsidR="00316767" w:rsidRPr="00D2666E" w:rsidRDefault="00316767" w:rsidP="00C63A96">
      <w:pPr>
        <w:pStyle w:val="Heading2"/>
      </w:pPr>
      <w:bookmarkStart w:id="68" w:name="_Toc430547888"/>
      <w:r w:rsidRPr="00286C95">
        <w:t>Our Structure</w:t>
      </w:r>
      <w:bookmarkEnd w:id="62"/>
      <w:bookmarkEnd w:id="63"/>
      <w:bookmarkEnd w:id="64"/>
      <w:bookmarkEnd w:id="65"/>
      <w:bookmarkEnd w:id="66"/>
      <w:bookmarkEnd w:id="67"/>
      <w:bookmarkEnd w:id="68"/>
    </w:p>
    <w:p w:rsidR="00172296" w:rsidRDefault="00030C02" w:rsidP="00030C02">
      <w:r w:rsidRPr="005629B9">
        <w:rPr>
          <w:b/>
        </w:rPr>
        <w:t xml:space="preserve">Premier </w:t>
      </w:r>
      <w:r w:rsidR="00BC54EA">
        <w:t>—</w:t>
      </w:r>
      <w:r>
        <w:t xml:space="preserve"> Hon Colin Barnett MEc MLA</w:t>
      </w:r>
    </w:p>
    <w:p w:rsidR="00030C02" w:rsidRDefault="00EF674D" w:rsidP="00EF674D">
      <w:pPr>
        <w:ind w:left="720"/>
      </w:pPr>
      <w:r w:rsidRPr="005629B9">
        <w:rPr>
          <w:b/>
        </w:rPr>
        <w:t>Department of the Premier and Cabinet</w:t>
      </w:r>
      <w:r w:rsidRPr="005629B9">
        <w:rPr>
          <w:b/>
        </w:rPr>
        <w:br/>
      </w:r>
      <w:r w:rsidR="00030C02">
        <w:t xml:space="preserve">Director General </w:t>
      </w:r>
      <w:r w:rsidR="00BC54EA">
        <w:t>— Peter Conran AM</w:t>
      </w:r>
    </w:p>
    <w:p w:rsidR="00EF674D" w:rsidRPr="005629B9" w:rsidRDefault="00EF674D" w:rsidP="00EF674D">
      <w:pPr>
        <w:ind w:left="1440"/>
        <w:rPr>
          <w:b/>
        </w:rPr>
      </w:pPr>
      <w:r w:rsidRPr="005629B9">
        <w:rPr>
          <w:b/>
        </w:rPr>
        <w:t>Ministerial Offices</w:t>
      </w:r>
    </w:p>
    <w:p w:rsidR="00EF674D" w:rsidRPr="005629B9" w:rsidRDefault="00EF674D" w:rsidP="00EF674D">
      <w:pPr>
        <w:ind w:left="1440"/>
        <w:rPr>
          <w:b/>
        </w:rPr>
      </w:pPr>
      <w:r w:rsidRPr="005629B9">
        <w:rPr>
          <w:b/>
        </w:rPr>
        <w:t>Overseas Offices</w:t>
      </w:r>
    </w:p>
    <w:p w:rsidR="00EF674D" w:rsidRDefault="00EF674D" w:rsidP="00EF674D">
      <w:pPr>
        <w:ind w:left="1440"/>
      </w:pPr>
      <w:r w:rsidRPr="005629B9">
        <w:rPr>
          <w:b/>
        </w:rPr>
        <w:t>Office of the Director General</w:t>
      </w:r>
      <w:r>
        <w:br/>
        <w:t>Director — Robert Kennedy</w:t>
      </w:r>
    </w:p>
    <w:p w:rsidR="00EF674D" w:rsidRPr="005629B9" w:rsidRDefault="00EF674D" w:rsidP="00EF674D">
      <w:pPr>
        <w:ind w:left="1440"/>
        <w:rPr>
          <w:b/>
        </w:rPr>
      </w:pPr>
      <w:r w:rsidRPr="005629B9">
        <w:rPr>
          <w:b/>
        </w:rPr>
        <w:t>Cabinet and Policy Division</w:t>
      </w:r>
    </w:p>
    <w:p w:rsidR="00EF674D" w:rsidRDefault="00EF674D" w:rsidP="00EF674D">
      <w:pPr>
        <w:ind w:left="2160"/>
      </w:pPr>
      <w:r w:rsidRPr="005629B9">
        <w:rPr>
          <w:b/>
        </w:rPr>
        <w:t>Economic and Deregulation</w:t>
      </w:r>
      <w:r>
        <w:br/>
        <w:t>Deputy Director General — David Smith</w:t>
      </w:r>
    </w:p>
    <w:p w:rsidR="00EF674D" w:rsidRDefault="00EF674D" w:rsidP="00EF674D">
      <w:pPr>
        <w:ind w:left="2160"/>
      </w:pPr>
      <w:r w:rsidRPr="005629B9">
        <w:rPr>
          <w:b/>
        </w:rPr>
        <w:t>Community and Human Services</w:t>
      </w:r>
      <w:r>
        <w:br/>
        <w:t>Deputy Director General — John Catlin *</w:t>
      </w:r>
    </w:p>
    <w:p w:rsidR="00EF674D" w:rsidRDefault="00EF674D" w:rsidP="00E90762">
      <w:pPr>
        <w:spacing w:after="60"/>
        <w:ind w:left="2880"/>
      </w:pPr>
      <w:r>
        <w:t>Environmental and Natural Resources</w:t>
      </w:r>
    </w:p>
    <w:p w:rsidR="00EF674D" w:rsidRDefault="00EF674D" w:rsidP="00E90762">
      <w:pPr>
        <w:spacing w:after="60"/>
        <w:ind w:left="2880"/>
      </w:pPr>
      <w:r>
        <w:t>Planning, Housing and Infrastructure</w:t>
      </w:r>
    </w:p>
    <w:p w:rsidR="00EF674D" w:rsidRDefault="00EF674D" w:rsidP="00E90762">
      <w:pPr>
        <w:spacing w:after="60"/>
        <w:ind w:left="2880"/>
      </w:pPr>
      <w:r>
        <w:t>Partnership Forum</w:t>
      </w:r>
    </w:p>
    <w:p w:rsidR="00EF674D" w:rsidRDefault="00EF674D" w:rsidP="00E90762">
      <w:pPr>
        <w:spacing w:after="60"/>
        <w:ind w:left="2880"/>
      </w:pPr>
      <w:r>
        <w:t>Human Services Reform</w:t>
      </w:r>
    </w:p>
    <w:p w:rsidR="00EF674D" w:rsidRDefault="00EF674D" w:rsidP="00E90762">
      <w:pPr>
        <w:spacing w:after="60"/>
        <w:ind w:left="2880"/>
      </w:pPr>
      <w:r>
        <w:t>Approvals Reform</w:t>
      </w:r>
    </w:p>
    <w:p w:rsidR="00EF674D" w:rsidRDefault="00EF674D" w:rsidP="00E90762">
      <w:pPr>
        <w:spacing w:after="60"/>
        <w:ind w:left="2880"/>
      </w:pPr>
      <w:r>
        <w:t>COAG</w:t>
      </w:r>
    </w:p>
    <w:p w:rsidR="00EF674D" w:rsidRDefault="00EF674D" w:rsidP="00E90762">
      <w:pPr>
        <w:spacing w:after="60"/>
        <w:ind w:left="2880"/>
      </w:pPr>
      <w:r>
        <w:t>National Enquiries</w:t>
      </w:r>
    </w:p>
    <w:p w:rsidR="00EF674D" w:rsidRDefault="00EF674D" w:rsidP="00E90762">
      <w:pPr>
        <w:spacing w:after="60"/>
        <w:ind w:left="2880"/>
      </w:pPr>
      <w:r>
        <w:t>Treaties</w:t>
      </w:r>
    </w:p>
    <w:p w:rsidR="00EF674D" w:rsidRDefault="00EF674D" w:rsidP="00E90762">
      <w:pPr>
        <w:spacing w:after="60"/>
        <w:ind w:left="2880"/>
      </w:pPr>
      <w:r>
        <w:t>Indian Ocean Territories</w:t>
      </w:r>
    </w:p>
    <w:p w:rsidR="00EF674D" w:rsidRDefault="00EF674D" w:rsidP="00E90762">
      <w:pPr>
        <w:spacing w:after="60"/>
        <w:ind w:left="2880"/>
      </w:pPr>
      <w:r>
        <w:t>Federal Regulatory/Governance Models</w:t>
      </w:r>
    </w:p>
    <w:p w:rsidR="00EF674D" w:rsidRDefault="00EF674D" w:rsidP="00EF674D">
      <w:pPr>
        <w:ind w:left="2880"/>
      </w:pPr>
      <w:r>
        <w:t>Public Sector Policy and Collaboration</w:t>
      </w:r>
    </w:p>
    <w:p w:rsidR="00EF674D" w:rsidRDefault="00EF674D" w:rsidP="00E90762">
      <w:pPr>
        <w:ind w:left="1440"/>
      </w:pPr>
      <w:r w:rsidRPr="005629B9">
        <w:rPr>
          <w:b/>
        </w:rPr>
        <w:t>State Administration and Corporate Support</w:t>
      </w:r>
      <w:r w:rsidR="00E90762" w:rsidRPr="005629B9">
        <w:rPr>
          <w:b/>
        </w:rPr>
        <w:t xml:space="preserve"> Division</w:t>
      </w:r>
      <w:r>
        <w:br/>
        <w:t>Assistant Director General — Kathryn Andrews *</w:t>
      </w:r>
    </w:p>
    <w:p w:rsidR="00EF674D" w:rsidRDefault="00EF674D" w:rsidP="00E90762">
      <w:pPr>
        <w:spacing w:after="60"/>
        <w:ind w:left="2160"/>
      </w:pPr>
      <w:r>
        <w:t>Ministerial Support</w:t>
      </w:r>
    </w:p>
    <w:p w:rsidR="00EF674D" w:rsidRDefault="00EF674D" w:rsidP="00E90762">
      <w:pPr>
        <w:spacing w:after="60"/>
        <w:ind w:left="2160"/>
      </w:pPr>
      <w:r>
        <w:t>Entitlements and Transport Services</w:t>
      </w:r>
    </w:p>
    <w:p w:rsidR="00EF674D" w:rsidRDefault="00EF674D" w:rsidP="00E90762">
      <w:pPr>
        <w:spacing w:after="60"/>
        <w:ind w:left="2160"/>
      </w:pPr>
      <w:r>
        <w:t>Parliamentary Parties Support</w:t>
      </w:r>
    </w:p>
    <w:p w:rsidR="00EF674D" w:rsidRDefault="00EF674D" w:rsidP="00E90762">
      <w:pPr>
        <w:spacing w:after="60"/>
        <w:ind w:left="2160"/>
      </w:pPr>
      <w:r>
        <w:t>Corporate Information</w:t>
      </w:r>
    </w:p>
    <w:p w:rsidR="00EF674D" w:rsidRDefault="00EF674D" w:rsidP="00E90762">
      <w:pPr>
        <w:spacing w:after="60"/>
        <w:ind w:left="2160"/>
      </w:pPr>
      <w:r>
        <w:t>Information Management and Technology</w:t>
      </w:r>
    </w:p>
    <w:p w:rsidR="00EF674D" w:rsidRDefault="00EF674D" w:rsidP="00E90762">
      <w:pPr>
        <w:spacing w:after="60"/>
        <w:ind w:left="2160"/>
      </w:pPr>
      <w:r>
        <w:t>Human Resources</w:t>
      </w:r>
    </w:p>
    <w:p w:rsidR="00EF674D" w:rsidRDefault="00EF674D" w:rsidP="00E90762">
      <w:pPr>
        <w:spacing w:after="60"/>
        <w:ind w:left="2160"/>
      </w:pPr>
      <w:r>
        <w:t>Media Services</w:t>
      </w:r>
    </w:p>
    <w:p w:rsidR="00EF674D" w:rsidRDefault="00EF674D" w:rsidP="00E90762">
      <w:pPr>
        <w:spacing w:after="60"/>
        <w:ind w:left="2160"/>
      </w:pPr>
      <w:r>
        <w:t>Finance</w:t>
      </w:r>
    </w:p>
    <w:p w:rsidR="00EF674D" w:rsidRDefault="00EF674D" w:rsidP="00E90762">
      <w:pPr>
        <w:spacing w:after="60"/>
        <w:ind w:left="2160"/>
      </w:pPr>
      <w:r>
        <w:t>Ancillary Services</w:t>
      </w:r>
    </w:p>
    <w:p w:rsidR="00EF674D" w:rsidRDefault="00EF674D" w:rsidP="00E90762">
      <w:pPr>
        <w:spacing w:after="60"/>
        <w:ind w:left="2160"/>
      </w:pPr>
      <w:r>
        <w:t>Facilities Management</w:t>
      </w:r>
    </w:p>
    <w:p w:rsidR="00EF674D" w:rsidRDefault="00EF674D" w:rsidP="00E90762">
      <w:pPr>
        <w:ind w:left="2160"/>
      </w:pPr>
      <w:r>
        <w:t>Freedom of Information</w:t>
      </w:r>
    </w:p>
    <w:p w:rsidR="00EF674D" w:rsidRDefault="00EF674D" w:rsidP="00E90762">
      <w:pPr>
        <w:ind w:left="1440"/>
      </w:pPr>
      <w:r w:rsidRPr="005629B9">
        <w:rPr>
          <w:b/>
        </w:rPr>
        <w:t>Whole of Government, Future Directions and Strategic Projects</w:t>
      </w:r>
      <w:r w:rsidRPr="005629B9">
        <w:rPr>
          <w:b/>
        </w:rPr>
        <w:br/>
      </w:r>
      <w:r>
        <w:t>Executive Director — Richard May</w:t>
      </w:r>
    </w:p>
    <w:p w:rsidR="00EF674D" w:rsidRDefault="00EF674D" w:rsidP="00E90762">
      <w:pPr>
        <w:ind w:left="1440"/>
      </w:pPr>
      <w:r w:rsidRPr="005629B9">
        <w:rPr>
          <w:b/>
        </w:rPr>
        <w:t>Land, Approvals and Native Title</w:t>
      </w:r>
      <w:r w:rsidRPr="005629B9">
        <w:rPr>
          <w:b/>
        </w:rPr>
        <w:br/>
      </w:r>
      <w:r>
        <w:t>Executive Director — Adrian Murphy *</w:t>
      </w:r>
    </w:p>
    <w:p w:rsidR="00E90762" w:rsidRDefault="00E90762" w:rsidP="00E90762">
      <w:pPr>
        <w:ind w:left="1440"/>
      </w:pPr>
      <w:r w:rsidRPr="005629B9">
        <w:rPr>
          <w:b/>
        </w:rPr>
        <w:t>Office of State Security and Emergency Coordination</w:t>
      </w:r>
      <w:r w:rsidRPr="005629B9">
        <w:rPr>
          <w:b/>
        </w:rPr>
        <w:br/>
      </w:r>
      <w:r>
        <w:t>Assistant Director General — Geoff Hay</w:t>
      </w:r>
    </w:p>
    <w:p w:rsidR="00E90762" w:rsidRDefault="00E90762" w:rsidP="00E90762">
      <w:pPr>
        <w:ind w:left="1440"/>
      </w:pPr>
      <w:r w:rsidRPr="005629B9">
        <w:rPr>
          <w:b/>
        </w:rPr>
        <w:t>Office of Science</w:t>
      </w:r>
      <w:r w:rsidRPr="005629B9">
        <w:rPr>
          <w:b/>
        </w:rPr>
        <w:br/>
      </w:r>
      <w:r>
        <w:t>Executive Director — Jennifer McGrath *</w:t>
      </w:r>
    </w:p>
    <w:p w:rsidR="00E90762" w:rsidRDefault="00E90762" w:rsidP="00E90762">
      <w:pPr>
        <w:ind w:left="1440"/>
      </w:pPr>
      <w:r w:rsidRPr="005629B9">
        <w:rPr>
          <w:b/>
        </w:rPr>
        <w:t>Cabinet Secretariat</w:t>
      </w:r>
      <w:r>
        <w:br/>
        <w:t>Director — Nick Hagley</w:t>
      </w:r>
    </w:p>
    <w:p w:rsidR="00E90762" w:rsidRDefault="00E90762" w:rsidP="00E90762">
      <w:pPr>
        <w:ind w:left="1440"/>
      </w:pPr>
      <w:r w:rsidRPr="005629B9">
        <w:rPr>
          <w:b/>
        </w:rPr>
        <w:t>State Law Publisher</w:t>
      </w:r>
      <w:r w:rsidRPr="005629B9">
        <w:rPr>
          <w:b/>
        </w:rPr>
        <w:br/>
      </w:r>
      <w:r>
        <w:t>Director — John Strijk</w:t>
      </w:r>
    </w:p>
    <w:p w:rsidR="00E90762" w:rsidRDefault="00E90762" w:rsidP="00E90762">
      <w:r>
        <w:t>* Officer currently acting in the position</w:t>
      </w:r>
    </w:p>
    <w:p w:rsidR="00C57847" w:rsidRDefault="00C57847" w:rsidP="00C57847">
      <w:pPr>
        <w:rPr>
          <w:noProof/>
          <w:lang w:eastAsia="en-AU"/>
        </w:rPr>
      </w:pPr>
      <w:bookmarkStart w:id="69" w:name="_Toc425370255"/>
      <w:bookmarkStart w:id="70" w:name="_Toc425607409"/>
      <w:bookmarkStart w:id="71" w:name="_Toc425607526"/>
      <w:bookmarkStart w:id="72" w:name="_Toc426104477"/>
      <w:bookmarkStart w:id="73" w:name="_Toc426637300"/>
      <w:bookmarkStart w:id="74" w:name="_Toc426637545"/>
    </w:p>
    <w:p w:rsidR="0011613C" w:rsidRDefault="0011613C">
      <w:pPr>
        <w:spacing w:line="276" w:lineRule="auto"/>
        <w:rPr>
          <w:rFonts w:ascii="Arial" w:eastAsia="Segoe UI" w:hAnsi="Arial" w:cs="Arial"/>
          <w:noProof/>
          <w:color w:val="365F91" w:themeColor="accent1" w:themeShade="BF"/>
          <w:kern w:val="24"/>
          <w:sz w:val="44"/>
          <w:szCs w:val="44"/>
          <w:lang w:eastAsia="en-AU"/>
        </w:rPr>
      </w:pPr>
      <w:bookmarkStart w:id="75" w:name="_Toc430547889"/>
      <w:r>
        <w:br w:type="page"/>
      </w:r>
    </w:p>
    <w:p w:rsidR="00586D2E" w:rsidRPr="00586D2E" w:rsidRDefault="008C1B80" w:rsidP="00E90762">
      <w:pPr>
        <w:pStyle w:val="Heading2"/>
      </w:pPr>
      <w:r w:rsidRPr="00286C95">
        <w:t>Senior Officers</w:t>
      </w:r>
      <w:bookmarkEnd w:id="69"/>
      <w:bookmarkEnd w:id="70"/>
      <w:bookmarkEnd w:id="71"/>
      <w:bookmarkEnd w:id="72"/>
      <w:bookmarkEnd w:id="73"/>
      <w:bookmarkEnd w:id="74"/>
      <w:bookmarkEnd w:id="75"/>
    </w:p>
    <w:p w:rsidR="001D7682" w:rsidRPr="00286C95" w:rsidRDefault="00582D2D" w:rsidP="00C63A96">
      <w:pPr>
        <w:pStyle w:val="Heading3"/>
        <w:rPr>
          <w:b/>
        </w:rPr>
      </w:pPr>
      <w:bookmarkStart w:id="76" w:name="_Toc425370256"/>
      <w:bookmarkStart w:id="77" w:name="_Toc425607527"/>
      <w:bookmarkStart w:id="78" w:name="_Toc426104478"/>
      <w:bookmarkStart w:id="79" w:name="_Toc426397329"/>
      <w:bookmarkStart w:id="80" w:name="_Toc426637301"/>
      <w:bookmarkStart w:id="81" w:name="_Toc426637546"/>
      <w:r w:rsidRPr="00286C95">
        <w:t>D</w:t>
      </w:r>
      <w:r w:rsidR="00315834" w:rsidRPr="00286C95">
        <w:t>irector General</w:t>
      </w:r>
      <w:r w:rsidR="00E90762">
        <w:br/>
      </w:r>
      <w:r w:rsidR="001D7682" w:rsidRPr="00286C95">
        <w:rPr>
          <w:b/>
        </w:rPr>
        <w:t>Mr Peter Conran</w:t>
      </w:r>
      <w:bookmarkEnd w:id="76"/>
      <w:bookmarkEnd w:id="77"/>
      <w:bookmarkEnd w:id="78"/>
      <w:bookmarkEnd w:id="79"/>
      <w:bookmarkEnd w:id="80"/>
      <w:bookmarkEnd w:id="81"/>
    </w:p>
    <w:p w:rsidR="00E90762" w:rsidRPr="00E90762" w:rsidRDefault="00E90762" w:rsidP="00E90762">
      <w:pPr>
        <w:rPr>
          <w:lang w:val="en-US"/>
        </w:rPr>
      </w:pPr>
      <w:bookmarkStart w:id="82" w:name="_Toc425370257"/>
      <w:bookmarkStart w:id="83" w:name="_Toc425607528"/>
      <w:bookmarkStart w:id="84" w:name="_Toc426104479"/>
      <w:bookmarkStart w:id="85" w:name="_Toc426397330"/>
      <w:bookmarkStart w:id="86" w:name="_Toc426637302"/>
      <w:bookmarkStart w:id="87" w:name="_Toc426637547"/>
      <w:r w:rsidRPr="00E90762">
        <w:rPr>
          <w:lang w:val="en-US"/>
        </w:rPr>
        <w:t xml:space="preserve">Mr Peter Conran AM commenced as Director General of the Department of the Premier and Cabinet in November 2008 and was re-appointed for five years in May 2013.  In this capacity, he has led the Department in advising and serving the Premier and Cabinet.  Mr Conran has over 30 years of policy and leadership experience within the Western Australian, Northern Territory and Commonwealth Governments.  His diverse positions have included Senior Advisor, Cabinet Secretary and Head of the Cabinet Policy Unit within the Office of the Prime Minister.  Additionally, he has been Deputy Director General of this Department and Secretary of both the Department of the Chief Minister and the Attorney General’s Department in the Northern Territory. </w:t>
      </w:r>
    </w:p>
    <w:p w:rsidR="001D7682" w:rsidRPr="00286C95" w:rsidRDefault="00315834" w:rsidP="00C63A96">
      <w:pPr>
        <w:pStyle w:val="Heading3"/>
        <w:rPr>
          <w:b/>
        </w:rPr>
      </w:pPr>
      <w:r w:rsidRPr="00286C95">
        <w:t xml:space="preserve">Deputy Director General </w:t>
      </w:r>
      <w:r w:rsidR="00E90762">
        <w:t>—</w:t>
      </w:r>
      <w:r w:rsidRPr="00286C95">
        <w:t xml:space="preserve"> </w:t>
      </w:r>
      <w:r w:rsidR="001D7682" w:rsidRPr="00286C95">
        <w:t>Economic</w:t>
      </w:r>
      <w:r w:rsidR="00775089" w:rsidRPr="00286C95">
        <w:t xml:space="preserve"> and</w:t>
      </w:r>
      <w:r w:rsidR="001D7682" w:rsidRPr="00286C95">
        <w:t xml:space="preserve"> Deregulation</w:t>
      </w:r>
      <w:r w:rsidR="00775089" w:rsidRPr="00286C95">
        <w:br/>
      </w:r>
      <w:r w:rsidR="001D7682" w:rsidRPr="00286C95">
        <w:rPr>
          <w:b/>
        </w:rPr>
        <w:t>Mr David Smith</w:t>
      </w:r>
      <w:bookmarkEnd w:id="82"/>
      <w:bookmarkEnd w:id="83"/>
      <w:bookmarkEnd w:id="84"/>
      <w:bookmarkEnd w:id="85"/>
      <w:bookmarkEnd w:id="86"/>
      <w:bookmarkEnd w:id="87"/>
    </w:p>
    <w:p w:rsidR="00E90762" w:rsidRPr="00E90762" w:rsidRDefault="00E90762" w:rsidP="00E90762">
      <w:pPr>
        <w:rPr>
          <w:lang w:val="en-US"/>
        </w:rPr>
      </w:pPr>
      <w:bookmarkStart w:id="88" w:name="_Toc425370258"/>
      <w:bookmarkStart w:id="89" w:name="_Toc425607529"/>
      <w:bookmarkStart w:id="90" w:name="_Toc426104480"/>
      <w:bookmarkStart w:id="91" w:name="_Toc426397331"/>
      <w:bookmarkStart w:id="92" w:name="_Toc426637303"/>
      <w:bookmarkStart w:id="93" w:name="_Toc426637548"/>
      <w:r w:rsidRPr="00E90762">
        <w:rPr>
          <w:lang w:val="en-US"/>
        </w:rPr>
        <w:t xml:space="preserve">Mr Smith has been the Deputy Director General since August 2008.  Prior to this, he was a member of the Corporate Executive of the Department of Treasury and Finance (DTF), with responsibility for economic policy.  Mr Smith was in the DTF in a variety of positions over a 12-year period.  In addition, he has over </w:t>
      </w:r>
      <w:r w:rsidRPr="00E90762">
        <w:rPr>
          <w:lang w:val="en-US"/>
        </w:rPr>
        <w:br/>
        <w:t>20 years of experience in the Commonwealth public service, including the Department of the Prime Minister and Cabinet and an overseas posting with the Department of Foreign Affairs and Trade.  He has also worked with a private economic consultancy in London.</w:t>
      </w:r>
    </w:p>
    <w:p w:rsidR="001D7682" w:rsidRPr="00286C95" w:rsidRDefault="00315834" w:rsidP="00E90762">
      <w:pPr>
        <w:rPr>
          <w:b/>
        </w:rPr>
      </w:pPr>
      <w:r w:rsidRPr="00E90762">
        <w:rPr>
          <w:rFonts w:ascii="Arial" w:eastAsia="Segoe UI" w:hAnsi="Arial" w:cs="Arial"/>
          <w:noProof/>
          <w:color w:val="006699"/>
          <w:kern w:val="24"/>
          <w:sz w:val="36"/>
          <w:szCs w:val="36"/>
          <w:lang w:eastAsia="en-AU"/>
        </w:rPr>
        <w:t xml:space="preserve">Deputy Director General </w:t>
      </w:r>
      <w:r w:rsidR="00E90762">
        <w:rPr>
          <w:rFonts w:ascii="Arial" w:eastAsia="Segoe UI" w:hAnsi="Arial" w:cs="Arial"/>
          <w:noProof/>
          <w:color w:val="006699"/>
          <w:kern w:val="24"/>
          <w:sz w:val="36"/>
          <w:szCs w:val="36"/>
          <w:lang w:eastAsia="en-AU"/>
        </w:rPr>
        <w:t>—</w:t>
      </w:r>
      <w:r w:rsidRPr="00E90762">
        <w:rPr>
          <w:rFonts w:ascii="Arial" w:eastAsia="Segoe UI" w:hAnsi="Arial" w:cs="Arial"/>
          <w:noProof/>
          <w:color w:val="006699"/>
          <w:kern w:val="24"/>
          <w:sz w:val="36"/>
          <w:szCs w:val="36"/>
          <w:lang w:eastAsia="en-AU"/>
        </w:rPr>
        <w:t xml:space="preserve"> </w:t>
      </w:r>
      <w:r w:rsidR="001D7682" w:rsidRPr="00E90762">
        <w:rPr>
          <w:rFonts w:ascii="Arial" w:eastAsia="Segoe UI" w:hAnsi="Arial" w:cs="Arial"/>
          <w:noProof/>
          <w:color w:val="006699"/>
          <w:kern w:val="24"/>
          <w:sz w:val="36"/>
          <w:szCs w:val="36"/>
          <w:lang w:eastAsia="en-AU"/>
        </w:rPr>
        <w:t>Community and Human Services</w:t>
      </w:r>
      <w:r w:rsidR="00775089" w:rsidRPr="00286C95">
        <w:br/>
      </w:r>
      <w:r w:rsidR="001D7682" w:rsidRPr="00E90762">
        <w:rPr>
          <w:rFonts w:ascii="Arial" w:eastAsia="Segoe UI" w:hAnsi="Arial" w:cs="Arial"/>
          <w:b/>
          <w:noProof/>
          <w:color w:val="006699"/>
          <w:kern w:val="24"/>
          <w:sz w:val="36"/>
          <w:szCs w:val="36"/>
          <w:lang w:eastAsia="en-AU"/>
        </w:rPr>
        <w:t>Mr John Catlin</w:t>
      </w:r>
      <w:bookmarkEnd w:id="88"/>
      <w:bookmarkEnd w:id="89"/>
      <w:bookmarkEnd w:id="90"/>
      <w:bookmarkEnd w:id="91"/>
      <w:bookmarkEnd w:id="92"/>
      <w:bookmarkEnd w:id="93"/>
    </w:p>
    <w:p w:rsidR="00C57847" w:rsidRPr="00E90762" w:rsidRDefault="00E90762" w:rsidP="00E90762">
      <w:pPr>
        <w:rPr>
          <w:lang w:val="en-US"/>
        </w:rPr>
      </w:pPr>
      <w:r w:rsidRPr="00E90762">
        <w:rPr>
          <w:lang w:val="en-US"/>
        </w:rPr>
        <w:t>Mr Catlin has a lengthy background in social and economic policy, including extensive experience in Indigenous policy.  Mr Catlin returned to the Department of the Premier and Cabinet in May 2010 after a 10-year absence during which he spent six years as a Member of the National Native Title Tribunal, two years in the Victorian Department of Justice and a year in the resource industry in Queensland.  During the 1990s he worked in the Western Australian Departments of the Premier and Cabinet, the Department of Indigenous Affairs, and the Department of Mines and Petroleum.</w:t>
      </w:r>
    </w:p>
    <w:p w:rsidR="001D7682" w:rsidRPr="00E90762" w:rsidRDefault="00315834" w:rsidP="00C63A96">
      <w:pPr>
        <w:pStyle w:val="Heading3"/>
        <w:rPr>
          <w:rFonts w:asciiTheme="minorHAnsi" w:hAnsiTheme="minorHAnsi"/>
          <w:color w:val="auto"/>
          <w:sz w:val="24"/>
          <w:szCs w:val="24"/>
        </w:rPr>
      </w:pPr>
      <w:bookmarkStart w:id="94" w:name="_Toc425370259"/>
      <w:bookmarkStart w:id="95" w:name="_Toc425607530"/>
      <w:bookmarkStart w:id="96" w:name="_Toc426104481"/>
      <w:bookmarkStart w:id="97" w:name="_Toc426397332"/>
      <w:bookmarkStart w:id="98" w:name="_Toc426637304"/>
      <w:bookmarkStart w:id="99" w:name="_Toc426637549"/>
      <w:r w:rsidRPr="00286C95">
        <w:t xml:space="preserve">Assistant Director General </w:t>
      </w:r>
      <w:r w:rsidR="00E90762">
        <w:t>—</w:t>
      </w:r>
      <w:r w:rsidRPr="00286C95">
        <w:t xml:space="preserve"> </w:t>
      </w:r>
      <w:r w:rsidR="001D7682" w:rsidRPr="00286C95">
        <w:t>State Administratio</w:t>
      </w:r>
      <w:r w:rsidR="00F21B11" w:rsidRPr="00286C95">
        <w:t>n and Corporate Support</w:t>
      </w:r>
      <w:r w:rsidR="00775089" w:rsidRPr="00286C95">
        <w:t xml:space="preserve"> </w:t>
      </w:r>
      <w:r w:rsidR="00775089" w:rsidRPr="00286C95">
        <w:br/>
      </w:r>
      <w:r w:rsidR="001D7682" w:rsidRPr="00184078">
        <w:rPr>
          <w:b/>
        </w:rPr>
        <w:t>Ms Kathryn Andrews</w:t>
      </w:r>
      <w:bookmarkEnd w:id="94"/>
      <w:bookmarkEnd w:id="95"/>
      <w:bookmarkEnd w:id="96"/>
      <w:bookmarkEnd w:id="97"/>
      <w:bookmarkEnd w:id="98"/>
      <w:bookmarkEnd w:id="99"/>
    </w:p>
    <w:p w:rsidR="00E90762" w:rsidRPr="00E90762" w:rsidRDefault="00E90762" w:rsidP="00E90762">
      <w:pPr>
        <w:rPr>
          <w:lang w:val="en-US"/>
        </w:rPr>
      </w:pPr>
      <w:bookmarkStart w:id="100" w:name="_Toc425370260"/>
      <w:bookmarkStart w:id="101" w:name="_Toc425607531"/>
      <w:bookmarkStart w:id="102" w:name="_Toc426104482"/>
      <w:bookmarkStart w:id="103" w:name="_Toc426397333"/>
      <w:bookmarkStart w:id="104" w:name="_Toc426637305"/>
      <w:bookmarkStart w:id="105" w:name="_Toc426637550"/>
      <w:r w:rsidRPr="00E90762">
        <w:rPr>
          <w:lang w:val="en-US"/>
        </w:rPr>
        <w:t>Ms Andrews initially joined the Western Australian public service as part of the Graduate Programme in January 1984.  She has worked in the human resources field in a number of departments including the State Housing Commission, the Department of Conservation and Land Management and Department of Treasury and Finance before coming to work for the Department of the Premier and Cabinet in January 1994.  Ms Andrews was previously the Manager, Human Resource Services, within the Department prior to being appointed as Director, State Administration, in January 2012.</w:t>
      </w:r>
    </w:p>
    <w:p w:rsidR="001D7682" w:rsidRPr="00286C95" w:rsidRDefault="00315834" w:rsidP="00C63A96">
      <w:pPr>
        <w:pStyle w:val="Heading3"/>
      </w:pPr>
      <w:r w:rsidRPr="00286C95">
        <w:t xml:space="preserve">Assistant Director General </w:t>
      </w:r>
      <w:r w:rsidR="00E90762">
        <w:t>—</w:t>
      </w:r>
      <w:r w:rsidRPr="00286C95">
        <w:t xml:space="preserve"> </w:t>
      </w:r>
      <w:r w:rsidR="001D7682" w:rsidRPr="00286C95">
        <w:t xml:space="preserve">Office of State Security and Emergency Coordination </w:t>
      </w:r>
      <w:r w:rsidR="00775089" w:rsidRPr="00286C95">
        <w:br/>
      </w:r>
      <w:r w:rsidR="001D7682" w:rsidRPr="00286C95">
        <w:rPr>
          <w:b/>
        </w:rPr>
        <w:t>Mr Geoff Hay</w:t>
      </w:r>
      <w:bookmarkEnd w:id="100"/>
      <w:bookmarkEnd w:id="101"/>
      <w:bookmarkEnd w:id="102"/>
      <w:bookmarkEnd w:id="103"/>
      <w:bookmarkEnd w:id="104"/>
      <w:bookmarkEnd w:id="105"/>
    </w:p>
    <w:p w:rsidR="00EB25FA" w:rsidRPr="00E90762" w:rsidRDefault="00E90762" w:rsidP="00E90762">
      <w:pPr>
        <w:rPr>
          <w:lang w:val="en-US"/>
        </w:rPr>
      </w:pPr>
      <w:bookmarkStart w:id="106" w:name="_Toc425370261"/>
      <w:bookmarkStart w:id="107" w:name="_Toc425607532"/>
      <w:bookmarkStart w:id="108" w:name="_Toc426104483"/>
      <w:r w:rsidRPr="00E90762">
        <w:rPr>
          <w:lang w:val="en-US"/>
        </w:rPr>
        <w:t>Mr Hay was appointed to this position in July 2005, following periods in the positions of Assistant Director General, State Administration, and Assistant Director General, Public Sector Management.  Mr Hay previously held the position of Assistant Under Treasurer at the Treasury Department.  Mr Hay has over 30 years of experience in the public sector and, in addition to the Treasury Department, he has been employed by the Department of Corrective Services and the Fremantle Port Authority.</w:t>
      </w:r>
    </w:p>
    <w:p w:rsidR="001D7682" w:rsidRPr="00184078" w:rsidRDefault="00315834" w:rsidP="00C63A96">
      <w:pPr>
        <w:pStyle w:val="Heading3"/>
      </w:pPr>
      <w:bookmarkStart w:id="109" w:name="_Toc426397334"/>
      <w:bookmarkStart w:id="110" w:name="_Toc426637306"/>
      <w:bookmarkStart w:id="111" w:name="_Toc426637551"/>
      <w:r w:rsidRPr="00286C95">
        <w:t xml:space="preserve">Executive Director </w:t>
      </w:r>
      <w:r w:rsidR="00E90762">
        <w:t>—</w:t>
      </w:r>
      <w:r w:rsidRPr="00286C95">
        <w:t xml:space="preserve"> </w:t>
      </w:r>
      <w:r w:rsidR="001D7682" w:rsidRPr="00286C95">
        <w:t xml:space="preserve">Economic and Deregulation </w:t>
      </w:r>
      <w:r w:rsidR="00775089" w:rsidRPr="00286C95">
        <w:br/>
      </w:r>
      <w:r w:rsidR="001D7682" w:rsidRPr="00184078">
        <w:rPr>
          <w:b/>
        </w:rPr>
        <w:t>Ms Lyn Genoni</w:t>
      </w:r>
      <w:bookmarkEnd w:id="106"/>
      <w:bookmarkEnd w:id="107"/>
      <w:bookmarkEnd w:id="108"/>
      <w:bookmarkEnd w:id="109"/>
      <w:bookmarkEnd w:id="110"/>
      <w:bookmarkEnd w:id="111"/>
    </w:p>
    <w:p w:rsidR="00E90762" w:rsidRPr="00E90762" w:rsidRDefault="00E90762" w:rsidP="00E90762">
      <w:pPr>
        <w:rPr>
          <w:lang w:val="en-US"/>
        </w:rPr>
      </w:pPr>
      <w:bookmarkStart w:id="112" w:name="_Toc426104484"/>
      <w:bookmarkStart w:id="113" w:name="_Toc426397335"/>
      <w:bookmarkStart w:id="114" w:name="_Toc426637307"/>
      <w:bookmarkStart w:id="115" w:name="_Toc426637552"/>
      <w:bookmarkStart w:id="116" w:name="_Toc425370262"/>
      <w:bookmarkStart w:id="117" w:name="_Toc425607533"/>
      <w:r w:rsidRPr="00E90762">
        <w:rPr>
          <w:lang w:val="en-US"/>
        </w:rPr>
        <w:t>Ms Genoni joined the Department of the Premier and Cabinet in 1997, and was appointed an Executive Director in 2010.  She has over 30 years of public sector experience, with more than a decade working on State policy priorities with colleagues in the Commonwealth and other states and territories.  Ms Genoni commenced her career in education, and went on to a succession of policy leadership and management roles in a number of government agencies.  She has a wide interest in all areas of public sector policy, and was awarded life membership of the Institute of Public Administration Australia WA in 2007, having served as an elected member of the State Council for 10 years.</w:t>
      </w:r>
    </w:p>
    <w:p w:rsidR="001D6F74" w:rsidRPr="00184078" w:rsidRDefault="001D6F74" w:rsidP="00C63A96">
      <w:pPr>
        <w:pStyle w:val="Heading3"/>
      </w:pPr>
      <w:r w:rsidRPr="00184078">
        <w:t xml:space="preserve">Director </w:t>
      </w:r>
      <w:r w:rsidR="00F411BD">
        <w:t>—</w:t>
      </w:r>
      <w:r w:rsidRPr="00184078">
        <w:t xml:space="preserve"> Office of the Director General</w:t>
      </w:r>
      <w:r w:rsidRPr="00184078">
        <w:br/>
      </w:r>
      <w:r w:rsidRPr="00184078">
        <w:rPr>
          <w:b/>
        </w:rPr>
        <w:t>Mr Robert Kennedy</w:t>
      </w:r>
      <w:bookmarkEnd w:id="112"/>
      <w:bookmarkEnd w:id="113"/>
      <w:bookmarkEnd w:id="114"/>
      <w:bookmarkEnd w:id="115"/>
    </w:p>
    <w:p w:rsidR="00957625" w:rsidRPr="00F411BD" w:rsidRDefault="00F411BD" w:rsidP="00F411BD">
      <w:pPr>
        <w:rPr>
          <w:lang w:val="en-US"/>
        </w:rPr>
      </w:pPr>
      <w:r w:rsidRPr="00F411BD">
        <w:rPr>
          <w:lang w:val="en-US"/>
        </w:rPr>
        <w:t>Mr Kennedy has worked in public sector agencies for over 15 years in both the State and Commonwealth Governments.  Most of this time has been in central agencies in policy and administration roles.  He joined the Department in 2003 and was appointed Director, State Administration, in 2008, when he joined the Corporate Executive.  Mr Kennedy was appointed Director, Office of the Director General, in 2011 and is responsible for the Department’s corporate governance functions and supporting the Director General.</w:t>
      </w:r>
    </w:p>
    <w:p w:rsidR="001D6F74" w:rsidRPr="00184078" w:rsidRDefault="001D6F74" w:rsidP="00C63A96">
      <w:pPr>
        <w:pStyle w:val="Heading3"/>
        <w:rPr>
          <w:b/>
        </w:rPr>
      </w:pPr>
      <w:bookmarkStart w:id="118" w:name="_Toc425370263"/>
      <w:bookmarkStart w:id="119" w:name="_Toc425607534"/>
      <w:bookmarkStart w:id="120" w:name="_Toc426104485"/>
      <w:bookmarkStart w:id="121" w:name="_Toc426397336"/>
      <w:bookmarkStart w:id="122" w:name="_Toc426637308"/>
      <w:bookmarkStart w:id="123" w:name="_Toc426637553"/>
      <w:r w:rsidRPr="00184078">
        <w:t xml:space="preserve">Executive Director </w:t>
      </w:r>
      <w:r w:rsidR="00F411BD">
        <w:t>—</w:t>
      </w:r>
      <w:r w:rsidRPr="00184078">
        <w:t xml:space="preserve"> Whole of Government, Future Directions and Strategic Projects</w:t>
      </w:r>
      <w:r w:rsidRPr="00184078">
        <w:br/>
      </w:r>
      <w:r w:rsidRPr="00184078">
        <w:rPr>
          <w:b/>
        </w:rPr>
        <w:t>Mr Richard May</w:t>
      </w:r>
      <w:bookmarkEnd w:id="118"/>
      <w:bookmarkEnd w:id="119"/>
      <w:bookmarkEnd w:id="120"/>
      <w:bookmarkEnd w:id="121"/>
      <w:bookmarkEnd w:id="122"/>
      <w:bookmarkEnd w:id="123"/>
    </w:p>
    <w:p w:rsidR="001D6F74" w:rsidRPr="00F411BD" w:rsidRDefault="00F411BD" w:rsidP="00F411BD">
      <w:pPr>
        <w:rPr>
          <w:lang w:val="en-US"/>
        </w:rPr>
      </w:pPr>
      <w:r w:rsidRPr="00F411BD">
        <w:rPr>
          <w:lang w:val="en-US"/>
        </w:rPr>
        <w:t xml:space="preserve">Mr May has over 25 years of experience in the State public service in a range of policy, funding, corporate services and ministerial liaison positions in the Disability Services Commission (DSC); senior management experience in the Department of Indigenous Affairs (DIA), primarily in the delivery of services in regional locations; and senior management policy and corporate services experience in the Office of the Public Sector Standards Commissioner.  Mr May has also worked on restructures in DSC and DIA, and was seconded to work on the creation of the Department for Child Protection and Department for Communities.  He has also held a number of positions in the Department of the Premier and Cabinet and ministerial offices. </w:t>
      </w:r>
    </w:p>
    <w:p w:rsidR="005307CE" w:rsidRPr="00184078" w:rsidRDefault="005307CE" w:rsidP="00C63A96">
      <w:pPr>
        <w:pStyle w:val="Heading3"/>
        <w:rPr>
          <w:szCs w:val="32"/>
        </w:rPr>
      </w:pPr>
      <w:bookmarkStart w:id="124" w:name="_Toc425370265"/>
      <w:bookmarkStart w:id="125" w:name="_Toc425607536"/>
      <w:bookmarkStart w:id="126" w:name="_Toc426104486"/>
      <w:bookmarkStart w:id="127" w:name="_Toc426397337"/>
      <w:bookmarkStart w:id="128" w:name="_Toc426637309"/>
      <w:bookmarkStart w:id="129" w:name="_Toc426637554"/>
      <w:bookmarkEnd w:id="116"/>
      <w:bookmarkEnd w:id="117"/>
      <w:r w:rsidRPr="00184078">
        <w:t xml:space="preserve">Executive Director </w:t>
      </w:r>
      <w:r w:rsidR="00F411BD">
        <w:t>—</w:t>
      </w:r>
      <w:r w:rsidRPr="00184078">
        <w:t xml:space="preserve"> Community and Human Services </w:t>
      </w:r>
      <w:r w:rsidRPr="00184078">
        <w:br/>
      </w:r>
      <w:r w:rsidRPr="00184078">
        <w:rPr>
          <w:b/>
          <w:szCs w:val="32"/>
        </w:rPr>
        <w:t>Tom Leeming</w:t>
      </w:r>
      <w:bookmarkEnd w:id="124"/>
      <w:bookmarkEnd w:id="125"/>
      <w:bookmarkEnd w:id="126"/>
      <w:bookmarkEnd w:id="127"/>
      <w:bookmarkEnd w:id="128"/>
      <w:bookmarkEnd w:id="129"/>
    </w:p>
    <w:p w:rsidR="00F411BD" w:rsidRPr="00F411BD" w:rsidRDefault="00F411BD" w:rsidP="00F411BD">
      <w:pPr>
        <w:rPr>
          <w:lang w:val="en-US"/>
        </w:rPr>
      </w:pPr>
      <w:bookmarkStart w:id="130" w:name="_Toc426104487"/>
      <w:bookmarkStart w:id="131" w:name="_Toc426397338"/>
      <w:bookmarkStart w:id="132" w:name="_Toc426637310"/>
      <w:bookmarkStart w:id="133" w:name="_Toc426637555"/>
      <w:r w:rsidRPr="00F411BD">
        <w:rPr>
          <w:lang w:val="en-US"/>
        </w:rPr>
        <w:t>Mr Leeming has been Executive Director, Community and Human Services, since September 2011.  He was previously in the Department of Treasury for five years in a variety of positions.  Prior to moving to Western Australia in 2006, Mr Leeming worked in international development with the British and European Governments, advising southern and central African Governments on economic and social policy.</w:t>
      </w:r>
    </w:p>
    <w:p w:rsidR="007F29EA" w:rsidRPr="00184078" w:rsidRDefault="007F29EA" w:rsidP="00C63A96">
      <w:pPr>
        <w:pStyle w:val="Heading3"/>
      </w:pPr>
      <w:r w:rsidRPr="00184078">
        <w:t>Executive Director</w:t>
      </w:r>
      <w:r w:rsidRPr="00184078">
        <w:br/>
      </w:r>
      <w:r w:rsidRPr="00184078">
        <w:rPr>
          <w:b/>
        </w:rPr>
        <w:t>Mr Tony Rutherford</w:t>
      </w:r>
      <w:bookmarkEnd w:id="130"/>
      <w:bookmarkEnd w:id="131"/>
      <w:bookmarkEnd w:id="132"/>
      <w:bookmarkEnd w:id="133"/>
    </w:p>
    <w:p w:rsidR="00F411BD" w:rsidRPr="00F411BD" w:rsidRDefault="00F411BD" w:rsidP="00F411BD">
      <w:pPr>
        <w:rPr>
          <w:lang w:val="en-US"/>
        </w:rPr>
      </w:pPr>
      <w:bookmarkStart w:id="134" w:name="_Toc425370269"/>
      <w:bookmarkStart w:id="135" w:name="_Toc425607539"/>
      <w:bookmarkStart w:id="136" w:name="_Toc426104488"/>
      <w:bookmarkStart w:id="137" w:name="_Toc426397339"/>
      <w:bookmarkStart w:id="138" w:name="_Toc426637311"/>
      <w:bookmarkStart w:id="139" w:name="_Toc426637556"/>
      <w:bookmarkStart w:id="140" w:name="_Toc425370266"/>
      <w:bookmarkStart w:id="141" w:name="_Toc425607537"/>
      <w:r w:rsidRPr="00F411BD">
        <w:rPr>
          <w:lang w:val="en-US"/>
        </w:rPr>
        <w:t xml:space="preserve">Mr Rutherford was appointed to the position of Executive Director in May 2011.  Prior to this appointment, he had extensive experience in senior policy advisory roles in both State and Commonwealth Government offices and the Institute of Public Affairs, as a public affairs columnist for The West Australian newspaper, and in a private consulting practice. </w:t>
      </w:r>
    </w:p>
    <w:p w:rsidR="005307CE" w:rsidRPr="00184078" w:rsidRDefault="005307CE" w:rsidP="00C63A96">
      <w:pPr>
        <w:pStyle w:val="Heading3"/>
      </w:pPr>
      <w:r w:rsidRPr="00184078">
        <w:t xml:space="preserve">Director </w:t>
      </w:r>
      <w:r w:rsidR="00F411BD">
        <w:t>—</w:t>
      </w:r>
      <w:r w:rsidRPr="00184078">
        <w:t xml:space="preserve"> State Law Publisher </w:t>
      </w:r>
      <w:r w:rsidRPr="00184078">
        <w:br/>
      </w:r>
      <w:r w:rsidRPr="00184078">
        <w:rPr>
          <w:b/>
        </w:rPr>
        <w:t>Mr John Strijk</w:t>
      </w:r>
      <w:bookmarkEnd w:id="134"/>
      <w:bookmarkEnd w:id="135"/>
      <w:bookmarkEnd w:id="136"/>
      <w:bookmarkEnd w:id="137"/>
      <w:bookmarkEnd w:id="138"/>
      <w:bookmarkEnd w:id="139"/>
    </w:p>
    <w:p w:rsidR="00F411BD" w:rsidRPr="00F411BD" w:rsidRDefault="00F411BD" w:rsidP="00F411BD">
      <w:pPr>
        <w:rPr>
          <w:lang w:val="en-US"/>
        </w:rPr>
      </w:pPr>
      <w:bookmarkStart w:id="142" w:name="_Toc426104489"/>
      <w:bookmarkStart w:id="143" w:name="_Toc426397340"/>
      <w:bookmarkStart w:id="144" w:name="_Toc426637312"/>
      <w:bookmarkStart w:id="145" w:name="_Toc426637557"/>
      <w:r w:rsidRPr="00F411BD">
        <w:rPr>
          <w:lang w:val="en-US"/>
        </w:rPr>
        <w:t>Mr Strijk was appointed to this position, which also has the designation of ‘Government Printer’, in 1996.  He was previously in the Department of State Services and State Print in a number of roles including marketing and sales, planning and support, and has over 44 years of public sector experience.</w:t>
      </w:r>
    </w:p>
    <w:p w:rsidR="001D7682" w:rsidRPr="00184078" w:rsidRDefault="00315834" w:rsidP="00C63A96">
      <w:pPr>
        <w:pStyle w:val="Heading3"/>
      </w:pPr>
      <w:r w:rsidRPr="00184078">
        <w:t xml:space="preserve">Executive Director </w:t>
      </w:r>
      <w:r w:rsidR="00F411BD">
        <w:t>—</w:t>
      </w:r>
      <w:r w:rsidRPr="00184078">
        <w:t xml:space="preserve"> </w:t>
      </w:r>
      <w:r w:rsidR="00F21B11" w:rsidRPr="00184078">
        <w:t>Office of Science</w:t>
      </w:r>
      <w:r w:rsidR="00775089" w:rsidRPr="00184078">
        <w:br/>
      </w:r>
      <w:r w:rsidR="001D7682" w:rsidRPr="00184078">
        <w:rPr>
          <w:b/>
        </w:rPr>
        <w:t>Jennifer McGrath</w:t>
      </w:r>
      <w:bookmarkEnd w:id="140"/>
      <w:bookmarkEnd w:id="141"/>
      <w:bookmarkEnd w:id="142"/>
      <w:bookmarkEnd w:id="143"/>
      <w:bookmarkEnd w:id="144"/>
      <w:bookmarkEnd w:id="145"/>
    </w:p>
    <w:p w:rsidR="00295FEB" w:rsidRPr="00F411BD" w:rsidRDefault="00F411BD" w:rsidP="00F411BD">
      <w:pPr>
        <w:rPr>
          <w:lang w:val="en-US"/>
        </w:rPr>
      </w:pPr>
      <w:r w:rsidRPr="00F411BD">
        <w:rPr>
          <w:lang w:val="en-US"/>
        </w:rPr>
        <w:t>Ms Jennifer McGrath has worked in State Government for the past 13 years, holding senior executive positions in the Departments of Child Protection, Communities, Corrective Services and Finance-Building Management and Works.  Successfully implementing significant reform agendas across government has been a highlight of her career in recent years.  Ms McGrath’s early career consisted of accounting, finance and business analyst roles, across a number of businesses including a multinational steel manufacturing company, and then with James Cook University.  In November 2014 Ms McGrath was seconded to the Department of the Premier and Cabinet to take on the position of Executive Director Office of Science.  Ms McGrath has a Bachelor of Commerce and is a Certified Practicing Accountant.</w:t>
      </w:r>
    </w:p>
    <w:p w:rsidR="00C57847" w:rsidRDefault="00C57847">
      <w:pPr>
        <w:spacing w:line="276" w:lineRule="auto"/>
        <w:rPr>
          <w:rFonts w:ascii="Arial" w:eastAsia="Segoe UI" w:hAnsi="Arial" w:cs="Arial"/>
          <w:noProof/>
          <w:color w:val="006699"/>
          <w:kern w:val="24"/>
          <w:sz w:val="36"/>
          <w:szCs w:val="36"/>
          <w:lang w:eastAsia="en-AU"/>
        </w:rPr>
      </w:pPr>
      <w:bookmarkStart w:id="146" w:name="_Toc425370267"/>
      <w:bookmarkStart w:id="147" w:name="_Toc425607538"/>
      <w:bookmarkStart w:id="148" w:name="_Toc426104490"/>
      <w:bookmarkStart w:id="149" w:name="_Toc426397341"/>
      <w:bookmarkStart w:id="150" w:name="_Toc426637313"/>
      <w:bookmarkStart w:id="151" w:name="_Toc426637558"/>
      <w:r>
        <w:br w:type="page"/>
      </w:r>
    </w:p>
    <w:p w:rsidR="001D7682" w:rsidRPr="00184078" w:rsidRDefault="00315834" w:rsidP="00C63A96">
      <w:pPr>
        <w:pStyle w:val="Heading3"/>
        <w:rPr>
          <w:b/>
        </w:rPr>
      </w:pPr>
      <w:r w:rsidRPr="00184078">
        <w:t xml:space="preserve">Director </w:t>
      </w:r>
      <w:r w:rsidR="00F411BD">
        <w:t>—</w:t>
      </w:r>
      <w:r w:rsidRPr="00184078">
        <w:t xml:space="preserve"> </w:t>
      </w:r>
      <w:r w:rsidR="001D7682" w:rsidRPr="00184078">
        <w:t xml:space="preserve">Cabinet Secretariat </w:t>
      </w:r>
      <w:r w:rsidR="00775089" w:rsidRPr="00184078">
        <w:br/>
      </w:r>
      <w:r w:rsidR="001D7682" w:rsidRPr="00184078">
        <w:rPr>
          <w:b/>
        </w:rPr>
        <w:t>Mr Nick Hagley</w:t>
      </w:r>
      <w:bookmarkEnd w:id="146"/>
      <w:bookmarkEnd w:id="147"/>
      <w:bookmarkEnd w:id="148"/>
      <w:bookmarkEnd w:id="149"/>
      <w:bookmarkEnd w:id="150"/>
      <w:bookmarkEnd w:id="151"/>
    </w:p>
    <w:p w:rsidR="00F411BD" w:rsidRPr="00F411BD" w:rsidRDefault="00F411BD" w:rsidP="00F411BD">
      <w:pPr>
        <w:rPr>
          <w:lang w:val="en-US"/>
        </w:rPr>
      </w:pPr>
      <w:bookmarkStart w:id="152" w:name="_Toc426104491"/>
      <w:bookmarkStart w:id="153" w:name="_Toc426397342"/>
      <w:bookmarkStart w:id="154" w:name="_Toc426637314"/>
      <w:bookmarkStart w:id="155" w:name="_Toc426637559"/>
      <w:bookmarkStart w:id="156" w:name="_Toc425370270"/>
      <w:bookmarkStart w:id="157" w:name="_Toc425607541"/>
      <w:r w:rsidRPr="00F411BD">
        <w:rPr>
          <w:lang w:val="en-US"/>
        </w:rPr>
        <w:t xml:space="preserve">Mr Hagley commenced as a Senior Parliamentary Officer in 1989, before moving to the Office of the former Minister for Police as Executive Officer in 1995. Returning to the Department of the Premier and Cabinet, he was appointed Manager of the Parliamentary Services Branch and has also acted as Cabinet Secretary. In 2010, he was appointed Director of the Cabinet Secretariat and also Clerk of the Executive Council in May 2011. </w:t>
      </w:r>
    </w:p>
    <w:p w:rsidR="005307CE" w:rsidRPr="00184078" w:rsidRDefault="005307CE" w:rsidP="00C63A96">
      <w:pPr>
        <w:pStyle w:val="Heading3"/>
        <w:rPr>
          <w:b/>
        </w:rPr>
      </w:pPr>
      <w:r w:rsidRPr="00184078">
        <w:t xml:space="preserve">Executive Director </w:t>
      </w:r>
      <w:r w:rsidR="00F411BD">
        <w:t>—</w:t>
      </w:r>
      <w:r w:rsidRPr="00184078">
        <w:t xml:space="preserve"> Land, Approvals and Native Title Unit</w:t>
      </w:r>
      <w:r w:rsidRPr="00184078">
        <w:br/>
      </w:r>
      <w:r w:rsidRPr="00184078">
        <w:rPr>
          <w:b/>
        </w:rPr>
        <w:t>Mr Adrian Murphy</w:t>
      </w:r>
      <w:bookmarkEnd w:id="152"/>
      <w:bookmarkEnd w:id="153"/>
      <w:bookmarkEnd w:id="154"/>
      <w:bookmarkEnd w:id="155"/>
    </w:p>
    <w:p w:rsidR="00295FEB" w:rsidRDefault="00F411BD" w:rsidP="00F411BD">
      <w:pPr>
        <w:rPr>
          <w:lang w:val="en-US"/>
        </w:rPr>
      </w:pPr>
      <w:r w:rsidRPr="00F411BD">
        <w:rPr>
          <w:lang w:val="en-US"/>
        </w:rPr>
        <w:t xml:space="preserve">Mr Murphy has over </w:t>
      </w:r>
      <w:r w:rsidRPr="00F411BD">
        <w:rPr>
          <w:lang w:val="en-US"/>
        </w:rPr>
        <w:br/>
        <w:t xml:space="preserve">20 years of experience in the resource sector, indigenous affairs and land approvals.  He has worked for Commonwealth and State government agencies, as well as in the non-government and private sectors.  His experience has primarily been in the areas of strategic policy and systems development, and major project negotiations.  Mr Murphy joined the Department of Mines and Petroleum in 2009, transferring to the Department of the Premier and Cabinet at the beginning of 2011. </w:t>
      </w:r>
    </w:p>
    <w:p w:rsidR="001D7682" w:rsidRPr="00184078" w:rsidRDefault="00315834" w:rsidP="00C63A96">
      <w:pPr>
        <w:pStyle w:val="Heading3"/>
        <w:rPr>
          <w:b/>
        </w:rPr>
      </w:pPr>
      <w:bookmarkStart w:id="158" w:name="_Toc426104492"/>
      <w:bookmarkStart w:id="159" w:name="_Toc426397343"/>
      <w:bookmarkStart w:id="160" w:name="_Toc426637315"/>
      <w:bookmarkStart w:id="161" w:name="_Toc426637560"/>
      <w:r w:rsidRPr="00184078">
        <w:t xml:space="preserve">Director </w:t>
      </w:r>
      <w:r w:rsidR="00F411BD">
        <w:t>—</w:t>
      </w:r>
      <w:r w:rsidRPr="00184078">
        <w:t xml:space="preserve"> </w:t>
      </w:r>
      <w:r w:rsidR="001D7682" w:rsidRPr="00184078">
        <w:t>State Administration</w:t>
      </w:r>
      <w:r w:rsidR="00775089" w:rsidRPr="00184078">
        <w:br/>
      </w:r>
      <w:r w:rsidR="001D7682" w:rsidRPr="00184078">
        <w:rPr>
          <w:b/>
        </w:rPr>
        <w:t>Ms Angela Boland</w:t>
      </w:r>
      <w:bookmarkEnd w:id="156"/>
      <w:bookmarkEnd w:id="157"/>
      <w:bookmarkEnd w:id="158"/>
      <w:bookmarkEnd w:id="159"/>
      <w:bookmarkEnd w:id="160"/>
      <w:bookmarkEnd w:id="161"/>
    </w:p>
    <w:p w:rsidR="00600F96" w:rsidRDefault="007C0F58" w:rsidP="00064756">
      <w:r w:rsidRPr="007C0F58">
        <w:t>Angela Boland has been employed with the Western Australian Government for ov</w:t>
      </w:r>
      <w:r>
        <w:t xml:space="preserve">er 26 years. </w:t>
      </w:r>
      <w:r w:rsidR="007F29EA">
        <w:t xml:space="preserve"> </w:t>
      </w:r>
      <w:r>
        <w:t xml:space="preserve">She has been the acting </w:t>
      </w:r>
      <w:r w:rsidRPr="007C0F58">
        <w:t xml:space="preserve">Director of State Administration since October 2014 and employed with the Department of the Premier and Cabinet since June 2012.  Prior to this Angela was a member of the Corporate Executive at the Department of Mines and Petroleum.  She has managed </w:t>
      </w:r>
      <w:r w:rsidR="000A3FA5">
        <w:t>m</w:t>
      </w:r>
      <w:r w:rsidRPr="007C0F58">
        <w:t xml:space="preserve">inisterial </w:t>
      </w:r>
      <w:r w:rsidR="000A3FA5">
        <w:t>b</w:t>
      </w:r>
      <w:r w:rsidRPr="007C0F58">
        <w:t>usiness across several government portfolios including Agriculture and Food, Water and Environment.  Angela has also worked in the Office of the Racing, Gaming and Liquor and The Department of Planning.</w:t>
      </w:r>
    </w:p>
    <w:p w:rsidR="00D51F4B" w:rsidRDefault="00D51F4B">
      <w:pPr>
        <w:spacing w:line="276" w:lineRule="auto"/>
        <w:rPr>
          <w:rFonts w:ascii="Arial" w:eastAsia="Segoe UI" w:hAnsi="Arial" w:cs="Arial"/>
          <w:noProof/>
          <w:color w:val="365F91" w:themeColor="accent1" w:themeShade="BF"/>
          <w:kern w:val="24"/>
          <w:sz w:val="44"/>
          <w:szCs w:val="44"/>
          <w:lang w:eastAsia="en-AU"/>
        </w:rPr>
      </w:pPr>
      <w:bookmarkStart w:id="162" w:name="_Toc425370271"/>
      <w:bookmarkStart w:id="163" w:name="_Toc425607410"/>
      <w:bookmarkStart w:id="164" w:name="_Toc425607542"/>
      <w:bookmarkStart w:id="165" w:name="_Toc426104493"/>
      <w:bookmarkStart w:id="166" w:name="_Toc426637316"/>
      <w:bookmarkStart w:id="167" w:name="_Toc426637561"/>
      <w:r>
        <w:br w:type="page"/>
      </w:r>
    </w:p>
    <w:p w:rsidR="008C1B80" w:rsidRPr="00BE6156" w:rsidRDefault="008C1B80" w:rsidP="00C63A96">
      <w:pPr>
        <w:pStyle w:val="Heading2"/>
      </w:pPr>
      <w:bookmarkStart w:id="168" w:name="_Toc430547890"/>
      <w:r w:rsidRPr="00BE6156">
        <w:t>Our Workplace</w:t>
      </w:r>
      <w:bookmarkEnd w:id="162"/>
      <w:bookmarkEnd w:id="163"/>
      <w:bookmarkEnd w:id="164"/>
      <w:bookmarkEnd w:id="165"/>
      <w:bookmarkEnd w:id="166"/>
      <w:bookmarkEnd w:id="167"/>
      <w:bookmarkEnd w:id="168"/>
    </w:p>
    <w:p w:rsidR="00F411BD" w:rsidRDefault="00F411BD" w:rsidP="00F411BD">
      <w:pPr>
        <w:rPr>
          <w:rStyle w:val="NormalText"/>
        </w:rPr>
      </w:pPr>
      <w:r>
        <w:rPr>
          <w:rStyle w:val="NormalText"/>
        </w:rPr>
        <w:t>Our critical function is to provide the Premier and his Ministers, quality policy and administrative advice and support to enable the Government to serve the community well. On behalf of the President of the Legislative Council and the Speaker of the Legislative Assembly, this Department also supports the employment of parliamentary research and electorate officers to assist in the administration of 95 Member of Parliaments’ electorate offices.</w:t>
      </w:r>
    </w:p>
    <w:p w:rsidR="00F411BD" w:rsidRDefault="00F411BD" w:rsidP="00F411BD">
      <w:pPr>
        <w:rPr>
          <w:rStyle w:val="NormalText"/>
        </w:rPr>
      </w:pPr>
      <w:r>
        <w:rPr>
          <w:rStyle w:val="NormalText"/>
        </w:rPr>
        <w:t>Other functions the Department provides include direct education services to the community through the Constitutional Centre and corporate support services to the Office of the Leader of the Opposition.</w:t>
      </w:r>
    </w:p>
    <w:p w:rsidR="00874B53" w:rsidRPr="00BE6156" w:rsidRDefault="00874B53" w:rsidP="00F411BD">
      <w:pPr>
        <w:pStyle w:val="Heading3"/>
      </w:pPr>
      <w:r w:rsidRPr="00BE6156">
        <w:t>Employment Opportunities</w:t>
      </w:r>
    </w:p>
    <w:p w:rsidR="00F411BD" w:rsidRDefault="00F411BD" w:rsidP="00F411BD">
      <w:pPr>
        <w:rPr>
          <w:rStyle w:val="NormalText"/>
        </w:rPr>
      </w:pPr>
      <w:bookmarkStart w:id="169" w:name="_Toc425370276"/>
      <w:bookmarkStart w:id="170" w:name="_Toc425607545"/>
      <w:bookmarkStart w:id="171" w:name="_Toc426104496"/>
      <w:bookmarkStart w:id="172" w:name="_Toc426397346"/>
      <w:bookmarkStart w:id="173" w:name="_Toc426637318"/>
      <w:bookmarkStart w:id="174" w:name="_Toc426637563"/>
      <w:r>
        <w:rPr>
          <w:rStyle w:val="NormalText"/>
        </w:rPr>
        <w:t>The Department recruits a broad spectrum of people ranging from high level strategic policy specialists, senior project managers, experienced administrative managers and staff, graduates and school-based trainees.</w:t>
      </w:r>
    </w:p>
    <w:p w:rsidR="00F411BD" w:rsidRDefault="00F411BD" w:rsidP="00F411BD">
      <w:pPr>
        <w:rPr>
          <w:rStyle w:val="NormalText"/>
        </w:rPr>
      </w:pPr>
      <w:r>
        <w:rPr>
          <w:rStyle w:val="NormalText"/>
        </w:rPr>
        <w:t>The graduate and trainee programmes have provided excellent opportunities for successful applicants to learn about, and work in a central government agency.</w:t>
      </w:r>
    </w:p>
    <w:p w:rsidR="00F411BD" w:rsidRDefault="00F411BD" w:rsidP="00F411BD">
      <w:pPr>
        <w:rPr>
          <w:rStyle w:val="NormalText"/>
        </w:rPr>
      </w:pPr>
      <w:r>
        <w:rPr>
          <w:rStyle w:val="NormalText"/>
        </w:rPr>
        <w:t xml:space="preserve"> In 2014–15, the Department recruited two school-based trainees and five graduates.</w:t>
      </w:r>
    </w:p>
    <w:p w:rsidR="00F411BD" w:rsidRPr="00F411BD" w:rsidRDefault="00F411BD" w:rsidP="00F411BD">
      <w:pPr>
        <w:rPr>
          <w:lang w:val="en-US"/>
        </w:rPr>
      </w:pPr>
      <w:r w:rsidRPr="00F411BD">
        <w:rPr>
          <w:lang w:val="en-US"/>
        </w:rPr>
        <w:t xml:space="preserve">The Department employs permanent </w:t>
      </w:r>
      <w:r w:rsidRPr="00F411BD">
        <w:rPr>
          <w:lang w:val="en-US"/>
        </w:rPr>
        <w:br/>
        <w:t>full-time and part-time staff, short and long term contract staff and seconds officers to the Department from other government agencies.</w:t>
      </w:r>
    </w:p>
    <w:p w:rsidR="00F411BD" w:rsidRPr="00F411BD" w:rsidRDefault="00F411BD" w:rsidP="00F411BD">
      <w:pPr>
        <w:rPr>
          <w:rStyle w:val="NormalText"/>
          <w:color w:val="auto"/>
          <w:lang w:val="en-US"/>
        </w:rPr>
      </w:pPr>
      <w:r w:rsidRPr="00F411BD">
        <w:rPr>
          <w:lang w:val="en-US"/>
        </w:rPr>
        <w:t>In 2014–15 there were 1,743 applications for</w:t>
      </w:r>
      <w:r w:rsidRPr="00F411BD">
        <w:rPr>
          <w:lang w:val="en-US"/>
        </w:rPr>
        <w:br/>
        <w:t>41 advertised positions.  People who expressed interest in working for the Department were encouraged to visit our internet page to find out more about our agency and the ‘Work for Us’ page where li</w:t>
      </w:r>
      <w:r>
        <w:rPr>
          <w:lang w:val="en-US"/>
        </w:rPr>
        <w:t>nks to vacancies are published.</w:t>
      </w:r>
    </w:p>
    <w:p w:rsidR="00CE4B3B" w:rsidRPr="00BE6156" w:rsidRDefault="00E55D45" w:rsidP="00F411BD">
      <w:pPr>
        <w:pStyle w:val="Heading3"/>
      </w:pPr>
      <w:r w:rsidRPr="00BE6156">
        <w:t>E</w:t>
      </w:r>
      <w:r w:rsidR="00CE4B3B" w:rsidRPr="00BE6156">
        <w:t>mployee Health, Safety and Wellbeing</w:t>
      </w:r>
      <w:bookmarkEnd w:id="169"/>
      <w:bookmarkEnd w:id="170"/>
      <w:bookmarkEnd w:id="171"/>
      <w:bookmarkEnd w:id="172"/>
      <w:bookmarkEnd w:id="173"/>
      <w:bookmarkEnd w:id="174"/>
    </w:p>
    <w:p w:rsidR="00F411BD" w:rsidRPr="00F411BD" w:rsidRDefault="00F411BD" w:rsidP="00F411BD">
      <w:pPr>
        <w:rPr>
          <w:lang w:val="en-US"/>
        </w:rPr>
      </w:pPr>
      <w:bookmarkStart w:id="175" w:name="_Toc425370273"/>
      <w:bookmarkStart w:id="176" w:name="_Toc425607546"/>
      <w:bookmarkStart w:id="177" w:name="_Toc426104497"/>
      <w:bookmarkStart w:id="178" w:name="_Toc426397348"/>
      <w:bookmarkStart w:id="179" w:name="_Toc426637320"/>
      <w:bookmarkStart w:id="180" w:name="_Toc426637565"/>
      <w:r w:rsidRPr="00F411BD">
        <w:rPr>
          <w:lang w:val="en-US"/>
        </w:rPr>
        <w:t xml:space="preserve">The Department supports the health and wellbeing of our employees through a range of activities.  Some of these activities include </w:t>
      </w:r>
      <w:r w:rsidRPr="00F411BD">
        <w:rPr>
          <w:lang w:val="en-US"/>
        </w:rPr>
        <w:br/>
        <w:t>on-site flu vaccinations, health checks, mole scans, Mental Health First Aid training and lunch time seminars on health topics.</w:t>
      </w:r>
    </w:p>
    <w:p w:rsidR="00F411BD" w:rsidRPr="00F411BD" w:rsidRDefault="00F411BD" w:rsidP="00F411BD">
      <w:pPr>
        <w:rPr>
          <w:lang w:val="en-US"/>
        </w:rPr>
      </w:pPr>
      <w:r w:rsidRPr="00F411BD">
        <w:rPr>
          <w:lang w:val="en-US"/>
        </w:rPr>
        <w:t>Employees and their immediate family members have access to professional counselling services through the Employee Assistance Programme (EAP).  The EAP service providers also deliver critical incident response services when required.</w:t>
      </w:r>
    </w:p>
    <w:p w:rsidR="00F411BD" w:rsidRPr="00F411BD" w:rsidRDefault="00F411BD" w:rsidP="00F411BD">
      <w:pPr>
        <w:rPr>
          <w:lang w:val="en-US"/>
        </w:rPr>
      </w:pPr>
      <w:r w:rsidRPr="00F411BD">
        <w:rPr>
          <w:lang w:val="en-US"/>
        </w:rPr>
        <w:t>The Department promotes the importance of a safe workplace by ensuring all managers and supervisors complete occupational safety and health (OSH) training.  The well-established OSH Committee continues to meet regularly and OSH representatives conduct regular inspections of all Department offices.</w:t>
      </w:r>
    </w:p>
    <w:p w:rsidR="00F411BD" w:rsidRDefault="00F411BD" w:rsidP="00F411BD">
      <w:pPr>
        <w:rPr>
          <w:lang w:val="en-US"/>
        </w:rPr>
      </w:pPr>
      <w:r w:rsidRPr="00F411BD">
        <w:rPr>
          <w:lang w:val="en-US"/>
        </w:rPr>
        <w:t>The Department pledges to support the One Life Suicide Prevention Strategy and continuously aims to increase awareness of, and consequently reduce, the stigma surrounding people with mental health issues.  To maintain this pledge, the Department regularly organises activities and provides information to staff on relevant topics.</w:t>
      </w:r>
    </w:p>
    <w:p w:rsidR="008C1B80" w:rsidRDefault="00860197" w:rsidP="00F411BD">
      <w:pPr>
        <w:pStyle w:val="Heading3"/>
      </w:pPr>
      <w:r>
        <w:t xml:space="preserve">Graduate </w:t>
      </w:r>
      <w:r w:rsidR="008C1B80" w:rsidRPr="00DB3B58">
        <w:t>Program</w:t>
      </w:r>
      <w:bookmarkEnd w:id="175"/>
      <w:bookmarkEnd w:id="176"/>
      <w:bookmarkEnd w:id="177"/>
      <w:bookmarkEnd w:id="178"/>
      <w:bookmarkEnd w:id="179"/>
      <w:bookmarkEnd w:id="180"/>
      <w:r w:rsidR="00F411BD">
        <w:t>me</w:t>
      </w:r>
    </w:p>
    <w:p w:rsidR="00F411BD" w:rsidRPr="00F411BD" w:rsidRDefault="00F411BD" w:rsidP="00F411BD">
      <w:pPr>
        <w:rPr>
          <w:lang w:val="en-US"/>
        </w:rPr>
      </w:pPr>
      <w:r w:rsidRPr="00F411BD">
        <w:rPr>
          <w:lang w:val="en-US"/>
        </w:rPr>
        <w:t>The Graduate Development Programme continues to provide the Department with a pool of talented and enthusiastic individuals keen to forge a career in the Western Australian public sector.  The Department’s Programme has been operating since 2001 and has seen 62 graduates enter the Department to gain experience across a range of policy contexts through quarterly rotations in areas such as Land, Approvals and Native Title, Community and Human Services, Strategic Projects, Economic and Deregulation and the Office of State Security and Emergency Coordination.</w:t>
      </w:r>
    </w:p>
    <w:p w:rsidR="00F411BD" w:rsidRPr="00F411BD" w:rsidRDefault="00F411BD" w:rsidP="00F411BD">
      <w:pPr>
        <w:rPr>
          <w:lang w:val="en-US"/>
        </w:rPr>
      </w:pPr>
      <w:r w:rsidRPr="00F411BD">
        <w:rPr>
          <w:lang w:val="en-US"/>
        </w:rPr>
        <w:t>The Department works hard to identify the best opportunities that will develop the capability of its graduates and extends this to encouraging short term secondments out to various line agencies so they can learn the business from a different perspective, returning a more well-rounded policy officer.</w:t>
      </w:r>
    </w:p>
    <w:p w:rsidR="00F411BD" w:rsidRPr="00F411BD" w:rsidRDefault="00F411BD" w:rsidP="00F411BD">
      <w:pPr>
        <w:rPr>
          <w:lang w:val="en-US"/>
        </w:rPr>
      </w:pPr>
      <w:r w:rsidRPr="00F411BD">
        <w:rPr>
          <w:lang w:val="en-US"/>
        </w:rPr>
        <w:t>The Department is committed to continuing the Programme to ensure all participants are provided with a challenging and rewarding career in the public sector with the knowledge that the Programme benefits both the individual, the Department and the wider public sector.</w:t>
      </w:r>
    </w:p>
    <w:p w:rsidR="008C1B80" w:rsidRPr="00DB3B58" w:rsidRDefault="008C1B80" w:rsidP="00C63A96">
      <w:pPr>
        <w:pStyle w:val="Heading3"/>
      </w:pPr>
      <w:bookmarkStart w:id="181" w:name="_Toc425370275"/>
      <w:bookmarkStart w:id="182" w:name="_Toc425607547"/>
      <w:bookmarkStart w:id="183" w:name="_Toc426104498"/>
      <w:bookmarkStart w:id="184" w:name="_Toc426397349"/>
      <w:bookmarkStart w:id="185" w:name="_Toc426637321"/>
      <w:bookmarkStart w:id="186" w:name="_Toc426637566"/>
      <w:r w:rsidRPr="00DB3B58">
        <w:t>Supporting People with Disabilities</w:t>
      </w:r>
      <w:bookmarkEnd w:id="181"/>
      <w:bookmarkEnd w:id="182"/>
      <w:bookmarkEnd w:id="183"/>
      <w:bookmarkEnd w:id="184"/>
      <w:bookmarkEnd w:id="185"/>
      <w:bookmarkEnd w:id="186"/>
    </w:p>
    <w:p w:rsidR="00F411BD" w:rsidRPr="00F411BD" w:rsidRDefault="00F411BD" w:rsidP="00F411BD">
      <w:pPr>
        <w:rPr>
          <w:lang w:val="en-US"/>
        </w:rPr>
      </w:pPr>
      <w:r w:rsidRPr="00F411BD">
        <w:rPr>
          <w:lang w:val="en-US"/>
        </w:rPr>
        <w:t>The Department is committed to providing employment opportunities for people with disabilities and has successfully appointed a number of permanent staff members and continuously maintained the Supported Work Team Programme since 2007.</w:t>
      </w:r>
    </w:p>
    <w:p w:rsidR="00F411BD" w:rsidRPr="00F411BD" w:rsidRDefault="00F411BD" w:rsidP="00F411BD">
      <w:pPr>
        <w:rPr>
          <w:lang w:val="en-US"/>
        </w:rPr>
      </w:pPr>
      <w:r w:rsidRPr="00F411BD">
        <w:rPr>
          <w:lang w:val="en-US"/>
        </w:rPr>
        <w:t>The Supported Work Team consists of six employees who work part-time and carry out administrative duties under the supervision of a coordinator.  The tasks assigned to each employee are based on the level of individual capability and skills.</w:t>
      </w:r>
    </w:p>
    <w:p w:rsidR="00F411BD" w:rsidRPr="00F411BD" w:rsidRDefault="00F411BD" w:rsidP="00F411BD">
      <w:pPr>
        <w:rPr>
          <w:lang w:val="en-US"/>
        </w:rPr>
      </w:pPr>
      <w:r w:rsidRPr="00F411BD">
        <w:rPr>
          <w:lang w:val="en-US"/>
        </w:rPr>
        <w:t>The key objectives of the Programme are to provide on-the-job training and development opportunities for people with disabilities, expand possibilities for future employment and provide opportunities for participants to interact with others in an office environment.</w:t>
      </w:r>
    </w:p>
    <w:p w:rsidR="002F2F27" w:rsidRDefault="00F411BD" w:rsidP="00D50BF2">
      <w:r w:rsidRPr="00F411BD">
        <w:rPr>
          <w:lang w:val="en-US"/>
        </w:rPr>
        <w:t>Over the years, a number of employees initially engaged in this Team have successfully gained permanent employment within the Department or other public sector agencies.</w:t>
      </w:r>
    </w:p>
    <w:p w:rsidR="008C1B80" w:rsidRPr="00DB3B58" w:rsidRDefault="000516FB" w:rsidP="00C63A96">
      <w:pPr>
        <w:pStyle w:val="Heading3"/>
      </w:pPr>
      <w:bookmarkStart w:id="187" w:name="_Toc425370277"/>
      <w:bookmarkStart w:id="188" w:name="_Toc425607548"/>
      <w:bookmarkStart w:id="189" w:name="_Toc426104499"/>
      <w:bookmarkStart w:id="190" w:name="_Toc426397350"/>
      <w:bookmarkStart w:id="191" w:name="_Toc426637322"/>
      <w:bookmarkStart w:id="192" w:name="_Toc426637567"/>
      <w:r>
        <w:t>Supporting</w:t>
      </w:r>
      <w:r w:rsidR="008C1B80" w:rsidRPr="00DB3B58">
        <w:t xml:space="preserve"> the Community</w:t>
      </w:r>
      <w:bookmarkEnd w:id="187"/>
      <w:bookmarkEnd w:id="188"/>
      <w:bookmarkEnd w:id="189"/>
      <w:bookmarkEnd w:id="190"/>
      <w:bookmarkEnd w:id="191"/>
      <w:bookmarkEnd w:id="192"/>
    </w:p>
    <w:p w:rsidR="00F411BD" w:rsidRPr="00F411BD" w:rsidRDefault="00F411BD" w:rsidP="00F411BD">
      <w:pPr>
        <w:rPr>
          <w:lang w:val="en-US"/>
        </w:rPr>
      </w:pPr>
      <w:r w:rsidRPr="00F411BD">
        <w:rPr>
          <w:lang w:val="en-US"/>
        </w:rPr>
        <w:t>In April 2015, the Department pledged its support to Defence Force Reservists by joining the Supportive Employer Programme with the Defence Reserves Support Council.  Defence Force Reservists called to serve their obligations are provided immediate access to leave.</w:t>
      </w:r>
    </w:p>
    <w:p w:rsidR="00F411BD" w:rsidRPr="00F411BD" w:rsidRDefault="00F411BD" w:rsidP="00F411BD">
      <w:pPr>
        <w:rPr>
          <w:lang w:val="en-US"/>
        </w:rPr>
      </w:pPr>
      <w:r w:rsidRPr="00F411BD">
        <w:rPr>
          <w:lang w:val="en-US"/>
        </w:rPr>
        <w:t>The Department is also committed to supporting the Aboriginal community.  In May 2015, one of the Department’s employees was successful in receiving a six-week scholarship to participate in the Jawun Indigenous Corporate Partnerships programme offered by the Public Sector Commission.</w:t>
      </w:r>
    </w:p>
    <w:p w:rsidR="00F411BD" w:rsidRPr="00F411BD" w:rsidRDefault="00F411BD" w:rsidP="00F411BD">
      <w:pPr>
        <w:rPr>
          <w:lang w:val="en-US"/>
        </w:rPr>
      </w:pPr>
      <w:r w:rsidRPr="00F411BD">
        <w:rPr>
          <w:lang w:val="en-US"/>
        </w:rPr>
        <w:t>This programme offers the opportunity for individuals from both the private and public sector to participate in secondments to Aboriginal communities to support innovative programmes of change.  The selected employee will be assisting Nyamba Buru Yawuru Ltd in Broome to develop a housing policy that supports growing the housing stock in Broome for increased indigenous private home ownership and greater rental options.</w:t>
      </w:r>
    </w:p>
    <w:p w:rsidR="00D51F4B" w:rsidRDefault="00D51F4B">
      <w:pPr>
        <w:spacing w:line="276" w:lineRule="auto"/>
        <w:rPr>
          <w:rFonts w:ascii="Arial" w:eastAsia="Segoe UI" w:hAnsi="Arial" w:cs="Arial"/>
          <w:noProof/>
          <w:color w:val="365F91" w:themeColor="accent1" w:themeShade="BF"/>
          <w:kern w:val="24"/>
          <w:sz w:val="44"/>
          <w:szCs w:val="44"/>
          <w:lang w:eastAsia="en-AU"/>
        </w:rPr>
      </w:pPr>
      <w:bookmarkStart w:id="193" w:name="_Toc425370278"/>
      <w:bookmarkStart w:id="194" w:name="_Toc425607411"/>
      <w:bookmarkStart w:id="195" w:name="_Toc425607549"/>
      <w:bookmarkStart w:id="196" w:name="_Toc426104500"/>
      <w:bookmarkStart w:id="197" w:name="_Toc426637323"/>
      <w:bookmarkStart w:id="198" w:name="_Toc426637568"/>
      <w:r>
        <w:br w:type="page"/>
      </w:r>
    </w:p>
    <w:p w:rsidR="00B83B39" w:rsidRDefault="00B83B39" w:rsidP="00C63A96">
      <w:pPr>
        <w:pStyle w:val="Heading2"/>
      </w:pPr>
      <w:bookmarkStart w:id="199" w:name="_Toc430547891"/>
      <w:r w:rsidRPr="00DB3B58">
        <w:t>Our Goals</w:t>
      </w:r>
      <w:bookmarkEnd w:id="193"/>
      <w:bookmarkEnd w:id="194"/>
      <w:bookmarkEnd w:id="195"/>
      <w:bookmarkEnd w:id="196"/>
      <w:bookmarkEnd w:id="197"/>
      <w:bookmarkEnd w:id="198"/>
      <w:bookmarkEnd w:id="199"/>
    </w:p>
    <w:p w:rsidR="00D26B22" w:rsidRPr="00D26B22" w:rsidRDefault="00D26B22" w:rsidP="00AE75A9">
      <w:pPr>
        <w:pStyle w:val="ListParagraph"/>
        <w:numPr>
          <w:ilvl w:val="0"/>
          <w:numId w:val="14"/>
        </w:numPr>
        <w:rPr>
          <w:color w:val="000000"/>
          <w:lang w:val="en-US"/>
        </w:rPr>
      </w:pPr>
      <w:r w:rsidRPr="00D26B22">
        <w:rPr>
          <w:color w:val="000000"/>
          <w:lang w:val="en-US"/>
        </w:rPr>
        <w:t>Providing leadership in all facets of policy development, from the progression of key sector reforms to developing innovative solutions to complex policy issues</w:t>
      </w:r>
    </w:p>
    <w:p w:rsidR="00D26B22" w:rsidRPr="00D26B22" w:rsidRDefault="00D26B22" w:rsidP="00AE75A9">
      <w:pPr>
        <w:pStyle w:val="ListParagraph"/>
        <w:numPr>
          <w:ilvl w:val="0"/>
          <w:numId w:val="14"/>
        </w:numPr>
        <w:rPr>
          <w:color w:val="000000"/>
          <w:lang w:val="en-US"/>
        </w:rPr>
      </w:pPr>
      <w:r w:rsidRPr="00D26B22">
        <w:rPr>
          <w:color w:val="000000"/>
          <w:lang w:val="en-US"/>
        </w:rPr>
        <w:t>Leading and supporting our people through providing development opportunities and an engaging work environment to produce the best services, and leaders for today and the future</w:t>
      </w:r>
    </w:p>
    <w:p w:rsidR="00D26B22" w:rsidRPr="00D26B22" w:rsidRDefault="00D26B22" w:rsidP="00AE75A9">
      <w:pPr>
        <w:pStyle w:val="ListParagraph"/>
        <w:numPr>
          <w:ilvl w:val="0"/>
          <w:numId w:val="14"/>
        </w:numPr>
        <w:rPr>
          <w:color w:val="000000"/>
          <w:lang w:val="en-US"/>
        </w:rPr>
      </w:pPr>
      <w:r w:rsidRPr="00D26B22">
        <w:rPr>
          <w:color w:val="000000"/>
          <w:lang w:val="en-US"/>
        </w:rPr>
        <w:t>Providing implementation support through coordinating, monitoring and partnering</w:t>
      </w:r>
    </w:p>
    <w:p w:rsidR="00D26B22" w:rsidRPr="00D26B22" w:rsidRDefault="00D26B22" w:rsidP="00AE75A9">
      <w:pPr>
        <w:pStyle w:val="ListParagraph"/>
        <w:numPr>
          <w:ilvl w:val="0"/>
          <w:numId w:val="14"/>
        </w:numPr>
        <w:rPr>
          <w:color w:val="000000"/>
          <w:lang w:val="en-US"/>
        </w:rPr>
      </w:pPr>
      <w:r w:rsidRPr="00D26B22">
        <w:rPr>
          <w:color w:val="000000"/>
          <w:lang w:val="en-US"/>
        </w:rPr>
        <w:t>Providing quality and timely policy advice to support the Premier and Cabinet</w:t>
      </w:r>
    </w:p>
    <w:p w:rsidR="00D26B22" w:rsidRPr="00D26B22" w:rsidRDefault="00D26B22" w:rsidP="00AE75A9">
      <w:pPr>
        <w:pStyle w:val="ListParagraph"/>
        <w:numPr>
          <w:ilvl w:val="0"/>
          <w:numId w:val="14"/>
        </w:numPr>
        <w:rPr>
          <w:color w:val="000000"/>
          <w:lang w:val="en-US"/>
        </w:rPr>
      </w:pPr>
      <w:r w:rsidRPr="00D26B22">
        <w:rPr>
          <w:color w:val="000000"/>
          <w:lang w:val="en-US"/>
        </w:rPr>
        <w:t>Delivering quality and timely services to support the administration of Government</w:t>
      </w:r>
    </w:p>
    <w:p w:rsidR="00E01B36" w:rsidRPr="00E01B36" w:rsidRDefault="00B83B39" w:rsidP="00D26B22">
      <w:pPr>
        <w:pStyle w:val="Heading2"/>
      </w:pPr>
      <w:bookmarkStart w:id="200" w:name="_Toc425370279"/>
      <w:bookmarkStart w:id="201" w:name="_Toc425607412"/>
      <w:bookmarkStart w:id="202" w:name="_Toc425607550"/>
      <w:bookmarkStart w:id="203" w:name="_Toc426104501"/>
      <w:bookmarkStart w:id="204" w:name="_Toc426637324"/>
      <w:bookmarkStart w:id="205" w:name="_Toc426637569"/>
      <w:bookmarkStart w:id="206" w:name="_Toc430547892"/>
      <w:r w:rsidRPr="00DB3B58">
        <w:t>Key Service Areas</w:t>
      </w:r>
      <w:bookmarkEnd w:id="200"/>
      <w:bookmarkEnd w:id="201"/>
      <w:bookmarkEnd w:id="202"/>
      <w:bookmarkEnd w:id="203"/>
      <w:bookmarkEnd w:id="204"/>
      <w:bookmarkEnd w:id="205"/>
      <w:bookmarkEnd w:id="206"/>
    </w:p>
    <w:p w:rsidR="00E01B36" w:rsidRPr="003C1A28" w:rsidRDefault="00B83B39" w:rsidP="00C63A96">
      <w:pPr>
        <w:pStyle w:val="Heading3"/>
      </w:pPr>
      <w:bookmarkStart w:id="207" w:name="_Toc425370280"/>
      <w:bookmarkStart w:id="208" w:name="_Toc425607551"/>
      <w:bookmarkStart w:id="209" w:name="_Toc426104502"/>
      <w:bookmarkStart w:id="210" w:name="_Toc426397353"/>
      <w:bookmarkStart w:id="211" w:name="_Toc426637325"/>
      <w:bookmarkStart w:id="212" w:name="_Toc426637570"/>
      <w:r w:rsidRPr="00DB3B58">
        <w:t>Government Goal: Results-Based Service Delivery</w:t>
      </w:r>
      <w:bookmarkEnd w:id="207"/>
      <w:bookmarkEnd w:id="208"/>
      <w:bookmarkEnd w:id="209"/>
      <w:bookmarkEnd w:id="210"/>
      <w:bookmarkEnd w:id="211"/>
      <w:bookmarkEnd w:id="212"/>
    </w:p>
    <w:p w:rsidR="003C1A28" w:rsidRDefault="00B83B39" w:rsidP="00AE75A9">
      <w:pPr>
        <w:pStyle w:val="ListParagraph"/>
        <w:numPr>
          <w:ilvl w:val="0"/>
          <w:numId w:val="17"/>
        </w:numPr>
      </w:pPr>
      <w:r w:rsidRPr="003E4220">
        <w:t>Greater focus on achieving results in key service delivery areas for the ben</w:t>
      </w:r>
      <w:r w:rsidR="00B53F8E">
        <w:t>efit of all Western Australians</w:t>
      </w:r>
      <w:bookmarkStart w:id="213" w:name="_Toc425370281"/>
      <w:bookmarkStart w:id="214" w:name="_Toc425607552"/>
    </w:p>
    <w:p w:rsidR="00E01B36" w:rsidRPr="00E01B36" w:rsidRDefault="00B83B39" w:rsidP="00C63A96">
      <w:pPr>
        <w:pStyle w:val="Heading3"/>
      </w:pPr>
      <w:bookmarkStart w:id="215" w:name="_Toc426104503"/>
      <w:bookmarkStart w:id="216" w:name="_Toc426397354"/>
      <w:bookmarkStart w:id="217" w:name="_Toc426637326"/>
      <w:bookmarkStart w:id="218" w:name="_Toc426637571"/>
      <w:r w:rsidRPr="00DB3B58">
        <w:t>Agency-level Outcomes</w:t>
      </w:r>
      <w:bookmarkEnd w:id="213"/>
      <w:bookmarkEnd w:id="214"/>
      <w:bookmarkEnd w:id="215"/>
      <w:bookmarkEnd w:id="216"/>
      <w:bookmarkEnd w:id="217"/>
      <w:bookmarkEnd w:id="218"/>
    </w:p>
    <w:p w:rsidR="00B83B39" w:rsidRPr="003E4220" w:rsidRDefault="00B83B39" w:rsidP="00AE75A9">
      <w:pPr>
        <w:pStyle w:val="ListParagraph"/>
        <w:numPr>
          <w:ilvl w:val="0"/>
          <w:numId w:val="16"/>
        </w:numPr>
      </w:pPr>
      <w:r w:rsidRPr="003E4220">
        <w:t>Executive Governme</w:t>
      </w:r>
      <w:r w:rsidR="00B53F8E">
        <w:t>nt receives appropriate support</w:t>
      </w:r>
    </w:p>
    <w:p w:rsidR="003C1A28" w:rsidRDefault="00B83B39" w:rsidP="00AE75A9">
      <w:pPr>
        <w:pStyle w:val="ListParagraph"/>
        <w:numPr>
          <w:ilvl w:val="0"/>
          <w:numId w:val="16"/>
        </w:numPr>
      </w:pPr>
      <w:r w:rsidRPr="003E4220">
        <w:t>The Premier and Ministers receive high quality, ri</w:t>
      </w:r>
      <w:r w:rsidR="00B53F8E">
        <w:t>gorous and timely policy advice</w:t>
      </w:r>
      <w:bookmarkStart w:id="219" w:name="_Toc425370282"/>
      <w:bookmarkStart w:id="220" w:name="_Toc425607553"/>
    </w:p>
    <w:p w:rsidR="00E01B36" w:rsidRPr="00E01B36" w:rsidRDefault="00B83B39" w:rsidP="00C63A96">
      <w:pPr>
        <w:pStyle w:val="Heading3"/>
      </w:pPr>
      <w:bookmarkStart w:id="221" w:name="_Toc426104504"/>
      <w:bookmarkStart w:id="222" w:name="_Toc426397355"/>
      <w:bookmarkStart w:id="223" w:name="_Toc426637327"/>
      <w:bookmarkStart w:id="224" w:name="_Toc426637572"/>
      <w:r w:rsidRPr="00DB3B58">
        <w:t>Services</w:t>
      </w:r>
      <w:bookmarkEnd w:id="219"/>
      <w:bookmarkEnd w:id="220"/>
      <w:bookmarkEnd w:id="221"/>
      <w:bookmarkEnd w:id="222"/>
      <w:bookmarkEnd w:id="223"/>
      <w:bookmarkEnd w:id="224"/>
    </w:p>
    <w:p w:rsidR="00B83B39" w:rsidRPr="003E4220" w:rsidRDefault="00B83B39" w:rsidP="00AE75A9">
      <w:pPr>
        <w:pStyle w:val="ListParagraph"/>
        <w:numPr>
          <w:ilvl w:val="0"/>
          <w:numId w:val="15"/>
        </w:numPr>
      </w:pPr>
      <w:r w:rsidRPr="003E4220">
        <w:t>Administration o</w:t>
      </w:r>
      <w:r w:rsidR="00B53F8E">
        <w:t>f Executive Government Services</w:t>
      </w:r>
    </w:p>
    <w:p w:rsidR="00E7797D" w:rsidRDefault="00B53F8E" w:rsidP="00AE75A9">
      <w:pPr>
        <w:pStyle w:val="ListParagraph"/>
        <w:numPr>
          <w:ilvl w:val="0"/>
          <w:numId w:val="15"/>
        </w:numPr>
      </w:pPr>
      <w:r>
        <w:t>Government Policy Management</w:t>
      </w:r>
    </w:p>
    <w:p w:rsidR="00B83B39" w:rsidRDefault="00B83B39" w:rsidP="00064756">
      <w:r>
        <w:t>The Department’s two agency-level outcomes are:</w:t>
      </w:r>
    </w:p>
    <w:p w:rsidR="00B83B39" w:rsidRPr="00B53F8E" w:rsidRDefault="00B83B39" w:rsidP="00AE75A9">
      <w:pPr>
        <w:pStyle w:val="ListParagraph"/>
        <w:numPr>
          <w:ilvl w:val="0"/>
          <w:numId w:val="18"/>
        </w:numPr>
      </w:pPr>
      <w:r w:rsidRPr="00B53F8E">
        <w:t>Executive Government receives appropriate support</w:t>
      </w:r>
    </w:p>
    <w:p w:rsidR="00B83B39" w:rsidRPr="00B53F8E" w:rsidRDefault="00B83B39" w:rsidP="00AE75A9">
      <w:pPr>
        <w:pStyle w:val="ListParagraph"/>
        <w:numPr>
          <w:ilvl w:val="0"/>
          <w:numId w:val="18"/>
        </w:numPr>
      </w:pPr>
      <w:r w:rsidRPr="00B53F8E">
        <w:t>The Premier and Ministers receive high quality, rigorous and timely policy advice.</w:t>
      </w:r>
    </w:p>
    <w:p w:rsidR="00B83B39" w:rsidRDefault="00B83B39" w:rsidP="00064756">
      <w:r>
        <w:t xml:space="preserve">These outcomes directly relate to the purpose and goals set out in the Department’s </w:t>
      </w:r>
      <w:r w:rsidRPr="00B83B39">
        <w:rPr>
          <w:i/>
        </w:rPr>
        <w:t>Strategic Plan 2013–17</w:t>
      </w:r>
      <w:r>
        <w:t>, and the service structure to deliver these outcomes has been designed around the administrative and policy functions of the Department.</w:t>
      </w:r>
    </w:p>
    <w:p w:rsidR="00B83B39" w:rsidRDefault="00B83B39" w:rsidP="009A3D35">
      <w:pPr>
        <w:spacing w:after="0"/>
      </w:pPr>
      <w:r>
        <w:t>The Department’s activities also contribute to the Government Goals:</w:t>
      </w:r>
    </w:p>
    <w:p w:rsidR="00B83B39" w:rsidRPr="00B53F8E" w:rsidRDefault="00B83B39" w:rsidP="00AE75A9">
      <w:pPr>
        <w:pStyle w:val="ListParagraph"/>
        <w:numPr>
          <w:ilvl w:val="0"/>
          <w:numId w:val="19"/>
        </w:numPr>
      </w:pPr>
      <w:r w:rsidRPr="00B53F8E">
        <w:t>Financial and Economic Responsibility</w:t>
      </w:r>
    </w:p>
    <w:p w:rsidR="00B83B39" w:rsidRPr="00B53F8E" w:rsidRDefault="00B83B39" w:rsidP="00AE75A9">
      <w:pPr>
        <w:pStyle w:val="ListParagraph"/>
        <w:numPr>
          <w:ilvl w:val="0"/>
          <w:numId w:val="19"/>
        </w:numPr>
      </w:pPr>
      <w:r w:rsidRPr="00B53F8E">
        <w:t>Social and Environmental Responsibility</w:t>
      </w:r>
    </w:p>
    <w:p w:rsidR="00B83B39" w:rsidRPr="00B53F8E" w:rsidRDefault="00B83B39" w:rsidP="00AE75A9">
      <w:pPr>
        <w:pStyle w:val="ListParagraph"/>
        <w:numPr>
          <w:ilvl w:val="0"/>
          <w:numId w:val="19"/>
        </w:numPr>
      </w:pPr>
      <w:r w:rsidRPr="00B53F8E">
        <w:t>State Building – Major Projects.</w:t>
      </w:r>
    </w:p>
    <w:p w:rsidR="0086697A" w:rsidRDefault="00B83B39" w:rsidP="00AE4FD7">
      <w:pPr>
        <w:spacing w:after="0"/>
      </w:pPr>
      <w:r>
        <w:t>The key effectiveness and efficiency indicators report on the agency-level outco</w:t>
      </w:r>
      <w:bookmarkStart w:id="225" w:name="_Toc425370283"/>
      <w:bookmarkStart w:id="226" w:name="_Toc426104505"/>
      <w:r w:rsidR="00D26B22">
        <w:t>mes achieved by these services.</w:t>
      </w:r>
    </w:p>
    <w:p w:rsidR="00D51F4B" w:rsidRDefault="00D51F4B">
      <w:pPr>
        <w:spacing w:line="276" w:lineRule="auto"/>
        <w:rPr>
          <w:rFonts w:ascii="Arial" w:eastAsia="Segoe UI" w:hAnsi="Arial" w:cs="Arial"/>
          <w:noProof/>
          <w:color w:val="003366"/>
          <w:kern w:val="24"/>
          <w:sz w:val="36"/>
          <w:szCs w:val="36"/>
          <w:lang w:eastAsia="en-AU"/>
        </w:rPr>
      </w:pPr>
      <w:r>
        <w:br w:type="page"/>
      </w:r>
    </w:p>
    <w:p w:rsidR="00DB12FF" w:rsidRPr="00DB12FF" w:rsidRDefault="00B83B39" w:rsidP="00D26B22">
      <w:pPr>
        <w:pStyle w:val="Heading4"/>
      </w:pPr>
      <w:r w:rsidRPr="00DB3B58">
        <w:t>Service 1: Administration of Executive Government Services</w:t>
      </w:r>
      <w:bookmarkEnd w:id="225"/>
      <w:bookmarkEnd w:id="226"/>
    </w:p>
    <w:p w:rsidR="00E76BA1" w:rsidRDefault="00E76BA1" w:rsidP="00AE75A9">
      <w:pPr>
        <w:pStyle w:val="ListParagraph"/>
        <w:numPr>
          <w:ilvl w:val="0"/>
          <w:numId w:val="20"/>
        </w:numPr>
        <w:tabs>
          <w:tab w:val="left" w:pos="709"/>
        </w:tabs>
        <w:spacing w:after="80"/>
        <w:contextualSpacing w:val="0"/>
      </w:pPr>
      <w:r>
        <w:t>administrative support to the Premier;</w:t>
      </w:r>
    </w:p>
    <w:p w:rsidR="00E76BA1" w:rsidRDefault="00E76BA1" w:rsidP="00AE75A9">
      <w:pPr>
        <w:pStyle w:val="ListParagraph"/>
        <w:numPr>
          <w:ilvl w:val="0"/>
          <w:numId w:val="20"/>
        </w:numPr>
        <w:tabs>
          <w:tab w:val="left" w:pos="709"/>
        </w:tabs>
        <w:spacing w:after="80"/>
        <w:contextualSpacing w:val="0"/>
      </w:pPr>
      <w:r>
        <w:t>administrative policy advice and support to Ministerial offices and the Leader of the Opposition;</w:t>
      </w:r>
    </w:p>
    <w:p w:rsidR="00E76BA1" w:rsidRDefault="00E76BA1" w:rsidP="00AE75A9">
      <w:pPr>
        <w:pStyle w:val="ListParagraph"/>
        <w:numPr>
          <w:ilvl w:val="0"/>
          <w:numId w:val="20"/>
        </w:numPr>
        <w:tabs>
          <w:tab w:val="left" w:pos="709"/>
        </w:tabs>
        <w:spacing w:after="80"/>
        <w:contextualSpacing w:val="0"/>
      </w:pPr>
      <w:r>
        <w:t>promotion of Western Australia’s interests overseas;</w:t>
      </w:r>
    </w:p>
    <w:p w:rsidR="00E76BA1" w:rsidRDefault="00E76BA1" w:rsidP="00AE75A9">
      <w:pPr>
        <w:pStyle w:val="ListParagraph"/>
        <w:numPr>
          <w:ilvl w:val="0"/>
          <w:numId w:val="20"/>
        </w:numPr>
        <w:tabs>
          <w:tab w:val="left" w:pos="709"/>
        </w:tabs>
        <w:spacing w:after="80"/>
        <w:contextualSpacing w:val="0"/>
      </w:pPr>
      <w:r>
        <w:t>communication of Government policies and activities;</w:t>
      </w:r>
    </w:p>
    <w:p w:rsidR="00E76BA1" w:rsidRDefault="00E76BA1" w:rsidP="00AE75A9">
      <w:pPr>
        <w:pStyle w:val="ListParagraph"/>
        <w:numPr>
          <w:ilvl w:val="0"/>
          <w:numId w:val="20"/>
        </w:numPr>
        <w:tabs>
          <w:tab w:val="left" w:pos="709"/>
        </w:tabs>
        <w:spacing w:after="80"/>
        <w:contextualSpacing w:val="0"/>
      </w:pPr>
      <w:r>
        <w:t>support for the Executive Council;</w:t>
      </w:r>
    </w:p>
    <w:p w:rsidR="00E76BA1" w:rsidRDefault="00E76BA1" w:rsidP="00AE75A9">
      <w:pPr>
        <w:pStyle w:val="ListParagraph"/>
        <w:numPr>
          <w:ilvl w:val="0"/>
          <w:numId w:val="20"/>
        </w:numPr>
        <w:tabs>
          <w:tab w:val="left" w:pos="709"/>
        </w:tabs>
        <w:spacing w:after="80"/>
        <w:contextualSpacing w:val="0"/>
      </w:pPr>
      <w:r>
        <w:t>administration of entitlements for Members and former Members of Parliament;</w:t>
      </w:r>
    </w:p>
    <w:p w:rsidR="00E76BA1" w:rsidRDefault="00E76BA1" w:rsidP="00AE75A9">
      <w:pPr>
        <w:pStyle w:val="ListParagraph"/>
        <w:numPr>
          <w:ilvl w:val="0"/>
          <w:numId w:val="20"/>
        </w:numPr>
        <w:tabs>
          <w:tab w:val="left" w:pos="709"/>
        </w:tabs>
        <w:spacing w:after="80"/>
        <w:contextualSpacing w:val="0"/>
      </w:pPr>
      <w:r>
        <w:t>management of the State occasions and official visits program;</w:t>
      </w:r>
    </w:p>
    <w:p w:rsidR="00E76BA1" w:rsidRDefault="00E76BA1" w:rsidP="00AE75A9">
      <w:pPr>
        <w:pStyle w:val="ListParagraph"/>
        <w:numPr>
          <w:ilvl w:val="0"/>
          <w:numId w:val="20"/>
        </w:numPr>
        <w:tabs>
          <w:tab w:val="left" w:pos="709"/>
        </w:tabs>
        <w:spacing w:after="80"/>
        <w:contextualSpacing w:val="0"/>
      </w:pPr>
      <w:r>
        <w:t>a secure, confidential and time-critical printing and publishing service for Parliament and Government; and</w:t>
      </w:r>
    </w:p>
    <w:p w:rsidR="0086697A" w:rsidRDefault="00E76BA1" w:rsidP="00AE75A9">
      <w:pPr>
        <w:pStyle w:val="ListParagraph"/>
        <w:numPr>
          <w:ilvl w:val="0"/>
          <w:numId w:val="20"/>
        </w:numPr>
        <w:tabs>
          <w:tab w:val="left" w:pos="709"/>
        </w:tabs>
        <w:spacing w:after="80"/>
        <w:contextualSpacing w:val="0"/>
      </w:pPr>
      <w:r>
        <w:t>management of exhibitions and programs at the Constitutional Centre.</w:t>
      </w:r>
      <w:bookmarkStart w:id="227" w:name="_Toc425370284"/>
      <w:bookmarkStart w:id="228" w:name="_Toc426104506"/>
    </w:p>
    <w:p w:rsidR="00D26B22" w:rsidRDefault="00D26B22" w:rsidP="00D26B22">
      <w:pPr>
        <w:tabs>
          <w:tab w:val="left" w:pos="709"/>
        </w:tabs>
        <w:spacing w:after="80"/>
      </w:pPr>
    </w:p>
    <w:p w:rsidR="00DB12FF" w:rsidRPr="00DB12FF" w:rsidRDefault="00B83B39" w:rsidP="00D26B22">
      <w:pPr>
        <w:pStyle w:val="Heading4"/>
      </w:pPr>
      <w:r w:rsidRPr="00DB3B58">
        <w:t>Service 2: Government Policy Management</w:t>
      </w:r>
      <w:bookmarkEnd w:id="227"/>
      <w:bookmarkEnd w:id="228"/>
    </w:p>
    <w:p w:rsidR="00E76BA1" w:rsidRDefault="00E76BA1" w:rsidP="00AE75A9">
      <w:pPr>
        <w:pStyle w:val="ListParagraph"/>
        <w:numPr>
          <w:ilvl w:val="0"/>
          <w:numId w:val="21"/>
        </w:numPr>
        <w:spacing w:after="80"/>
        <w:contextualSpacing w:val="0"/>
      </w:pPr>
      <w:r>
        <w:t>strategic policy advice and coordination to the Premier and Cabinet;</w:t>
      </w:r>
    </w:p>
    <w:p w:rsidR="00E76BA1" w:rsidRDefault="00E76BA1" w:rsidP="00AE75A9">
      <w:pPr>
        <w:pStyle w:val="ListParagraph"/>
        <w:numPr>
          <w:ilvl w:val="0"/>
          <w:numId w:val="21"/>
        </w:numPr>
        <w:spacing w:after="80"/>
        <w:contextualSpacing w:val="0"/>
      </w:pPr>
      <w:r>
        <w:t>strategic policy advice and coordination to the Minister for Science;</w:t>
      </w:r>
    </w:p>
    <w:p w:rsidR="00E76BA1" w:rsidRDefault="00E76BA1" w:rsidP="00AE75A9">
      <w:pPr>
        <w:pStyle w:val="ListParagraph"/>
        <w:numPr>
          <w:ilvl w:val="0"/>
          <w:numId w:val="21"/>
        </w:numPr>
        <w:spacing w:after="80"/>
        <w:contextualSpacing w:val="0"/>
      </w:pPr>
      <w:r>
        <w:t>leadership and coordination of cross-agency solutions to complex issues;</w:t>
      </w:r>
    </w:p>
    <w:p w:rsidR="00E76BA1" w:rsidRDefault="00E76BA1" w:rsidP="00AE75A9">
      <w:pPr>
        <w:pStyle w:val="ListParagraph"/>
        <w:numPr>
          <w:ilvl w:val="0"/>
          <w:numId w:val="21"/>
        </w:numPr>
        <w:spacing w:after="80"/>
        <w:contextualSpacing w:val="0"/>
      </w:pPr>
      <w:r>
        <w:t>managing and coordinating Western Australian Government input into intergovernmental negotiations and advice on Government positions on federal reform, treaties, defence and other matters raised through the Council of Australian Governments and the Council for the Australian Federation;</w:t>
      </w:r>
    </w:p>
    <w:p w:rsidR="00E76BA1" w:rsidRDefault="00E76BA1" w:rsidP="00AE75A9">
      <w:pPr>
        <w:pStyle w:val="ListParagraph"/>
        <w:numPr>
          <w:ilvl w:val="0"/>
          <w:numId w:val="21"/>
        </w:numPr>
        <w:spacing w:after="80"/>
        <w:contextualSpacing w:val="0"/>
      </w:pPr>
      <w:r>
        <w:t>strategic, cross portfolio advice on land, State and Commonwealth approvals and Indigenous issues;</w:t>
      </w:r>
    </w:p>
    <w:p w:rsidR="00E76BA1" w:rsidRDefault="00E76BA1" w:rsidP="00AE75A9">
      <w:pPr>
        <w:pStyle w:val="ListParagraph"/>
        <w:numPr>
          <w:ilvl w:val="0"/>
          <w:numId w:val="21"/>
        </w:numPr>
        <w:spacing w:after="80"/>
        <w:contextualSpacing w:val="0"/>
      </w:pPr>
      <w:r>
        <w:t>support for the functions of Cabinet and Parliament; and</w:t>
      </w:r>
    </w:p>
    <w:p w:rsidR="00D26B22" w:rsidRDefault="00E76BA1" w:rsidP="00AE75A9">
      <w:pPr>
        <w:pStyle w:val="ListParagraph"/>
        <w:numPr>
          <w:ilvl w:val="0"/>
          <w:numId w:val="21"/>
        </w:numPr>
        <w:spacing w:after="80"/>
        <w:contextualSpacing w:val="0"/>
      </w:pPr>
      <w:r>
        <w:t>emergency management policy advice to the Premier, Ministers and Government agencies, and whole-of-government management and coordination of significant security incidents and emergencies.</w:t>
      </w:r>
    </w:p>
    <w:p w:rsidR="00D26B22" w:rsidRDefault="00D26B22" w:rsidP="00D26B22">
      <w:pPr>
        <w:spacing w:after="80"/>
        <w:rPr>
          <w:noProof/>
          <w:lang w:eastAsia="en-AU"/>
        </w:rPr>
      </w:pPr>
    </w:p>
    <w:p w:rsidR="00D51F4B" w:rsidRDefault="00D51F4B">
      <w:pPr>
        <w:spacing w:line="276" w:lineRule="auto"/>
        <w:rPr>
          <w:rFonts w:ascii="Arial" w:eastAsia="Segoe UI" w:hAnsi="Arial" w:cs="Arial"/>
          <w:noProof/>
          <w:color w:val="365F91" w:themeColor="accent1" w:themeShade="BF"/>
          <w:kern w:val="24"/>
          <w:sz w:val="44"/>
          <w:szCs w:val="44"/>
          <w:lang w:eastAsia="en-AU"/>
        </w:rPr>
      </w:pPr>
      <w:bookmarkStart w:id="229" w:name="_Toc425370285"/>
      <w:bookmarkStart w:id="230" w:name="_Toc425607413"/>
      <w:bookmarkStart w:id="231" w:name="_Toc425607554"/>
      <w:bookmarkStart w:id="232" w:name="_Toc426104507"/>
      <w:bookmarkStart w:id="233" w:name="_Toc426637328"/>
      <w:bookmarkStart w:id="234" w:name="_Toc426637573"/>
      <w:r>
        <w:br w:type="page"/>
      </w:r>
    </w:p>
    <w:p w:rsidR="008C2C87" w:rsidRPr="00DB3B58" w:rsidRDefault="008C2C87" w:rsidP="00C63A96">
      <w:pPr>
        <w:pStyle w:val="Heading2"/>
      </w:pPr>
      <w:bookmarkStart w:id="235" w:name="_Toc430547893"/>
      <w:r w:rsidRPr="00DB3B58">
        <w:t>Performance Management Framework</w:t>
      </w:r>
      <w:bookmarkEnd w:id="229"/>
      <w:bookmarkEnd w:id="230"/>
      <w:bookmarkEnd w:id="231"/>
      <w:bookmarkEnd w:id="232"/>
      <w:bookmarkEnd w:id="233"/>
      <w:bookmarkEnd w:id="234"/>
      <w:bookmarkEnd w:id="235"/>
    </w:p>
    <w:p w:rsidR="00D26B22" w:rsidRPr="00D26B22" w:rsidRDefault="00D26B22" w:rsidP="00D26B22">
      <w:pPr>
        <w:rPr>
          <w:lang w:val="en-US"/>
        </w:rPr>
      </w:pPr>
      <w:bookmarkStart w:id="236" w:name="_Toc425370286"/>
      <w:bookmarkStart w:id="237" w:name="_Toc425607555"/>
      <w:bookmarkStart w:id="238" w:name="_Toc426104508"/>
      <w:bookmarkStart w:id="239" w:name="_Toc426397357"/>
      <w:bookmarkStart w:id="240" w:name="_Toc426637329"/>
      <w:bookmarkStart w:id="241" w:name="_Toc426637574"/>
      <w:r w:rsidRPr="00D26B22">
        <w:rPr>
          <w:lang w:val="en-US"/>
        </w:rPr>
        <w:t>The Department operated under the guidance of its strategic vision, purpose and goals, which set the direction necessary to achieving the Government Goal of Results</w:t>
      </w:r>
      <w:r w:rsidRPr="00D26B22">
        <w:rPr>
          <w:lang w:val="en-US"/>
        </w:rPr>
        <w:noBreakHyphen/>
        <w:t>Based Service Delivery. Key performance indicators (KPIs) allow the Department to assess and monitor performance in areas identified as critical to our business. These KPIs are used to measure the Department’s performance both on a quarterly and annual basis, ensuring the delivery and achievement of the relevant services, outcomes, and Government Goal as outlined in the table below.</w:t>
      </w:r>
    </w:p>
    <w:p w:rsidR="00640723" w:rsidRPr="00DB3B58" w:rsidRDefault="00640723" w:rsidP="00C63A96">
      <w:pPr>
        <w:pStyle w:val="Heading3"/>
      </w:pPr>
      <w:r w:rsidRPr="00DB3B58">
        <w:t xml:space="preserve">Outcome Based </w:t>
      </w:r>
      <w:r w:rsidRPr="00045E12">
        <w:t>Management</w:t>
      </w:r>
      <w:r w:rsidRPr="00DB3B58">
        <w:t xml:space="preserve"> </w:t>
      </w:r>
      <w:r w:rsidRPr="00D73086">
        <w:t>Structure</w:t>
      </w:r>
      <w:bookmarkEnd w:id="236"/>
      <w:bookmarkEnd w:id="237"/>
      <w:bookmarkEnd w:id="238"/>
      <w:bookmarkEnd w:id="239"/>
      <w:bookmarkEnd w:id="240"/>
      <w:bookmarkEnd w:id="241"/>
    </w:p>
    <w:p w:rsidR="008C2C87" w:rsidRPr="00DB3B58" w:rsidRDefault="008C2C87" w:rsidP="00C63A96">
      <w:pPr>
        <w:pStyle w:val="Heading4"/>
      </w:pPr>
      <w:bookmarkStart w:id="242" w:name="_Toc425370287"/>
      <w:bookmarkStart w:id="243" w:name="_Toc426104509"/>
      <w:r w:rsidRPr="00DB3B58">
        <w:t>Relationship to Government Goals</w:t>
      </w:r>
      <w:bookmarkEnd w:id="242"/>
      <w:bookmarkEnd w:id="243"/>
    </w:p>
    <w:p w:rsidR="00D26B22" w:rsidRPr="00D26B22" w:rsidRDefault="00D26B22" w:rsidP="00D26B22">
      <w:pPr>
        <w:rPr>
          <w:lang w:val="en-US"/>
        </w:rPr>
      </w:pPr>
      <w:r w:rsidRPr="00D26B22">
        <w:rPr>
          <w:lang w:val="en-US"/>
        </w:rPr>
        <w:t>The following table demonstrates the relationship between the Department’s services and desired outcomes, and the high-level Government Goal of Results</w:t>
      </w:r>
      <w:r w:rsidRPr="00D26B22">
        <w:rPr>
          <w:lang w:val="en-US"/>
        </w:rPr>
        <w:noBreakHyphen/>
        <w:t>Based Service Delivery. Key effectiveness indicators measure the extent of impact of the delivery of services on the achievement of desired outcomes, and key efficiency indicators monitor the relationship between the service delivered and the resources used to produce the service.  Collectively, the achievement of the outcomes and services will demonstrate how the Department contributes to achieving the Government Goal.</w:t>
      </w:r>
    </w:p>
    <w:tbl>
      <w:tblPr>
        <w:tblW w:w="0" w:type="auto"/>
        <w:tblInd w:w="108" w:type="dxa"/>
        <w:tblBorders>
          <w:bottom w:val="single" w:sz="4" w:space="0" w:color="808080" w:themeColor="background1" w:themeShade="80"/>
          <w:insideH w:val="single" w:sz="4" w:space="0" w:color="808080" w:themeColor="background1" w:themeShade="80"/>
        </w:tblBorders>
        <w:tblLook w:val="04A0" w:firstRow="1" w:lastRow="0" w:firstColumn="1" w:lastColumn="0" w:noHBand="0" w:noVBand="1"/>
        <w:tblCaption w:val="Relationship to Government Goals"/>
        <w:tblDescription w:val="Links Government Goal to Desired Outcomes and DPC Services 1 and 2"/>
      </w:tblPr>
      <w:tblGrid>
        <w:gridCol w:w="3402"/>
        <w:gridCol w:w="3402"/>
        <w:gridCol w:w="2977"/>
      </w:tblGrid>
      <w:tr w:rsidR="008C2C87" w:rsidRPr="00C275AA" w:rsidTr="000115F1">
        <w:trPr>
          <w:trHeight w:val="483"/>
        </w:trPr>
        <w:tc>
          <w:tcPr>
            <w:tcW w:w="3402" w:type="dxa"/>
            <w:shd w:val="clear" w:color="auto" w:fill="auto"/>
            <w:tcMar>
              <w:top w:w="57" w:type="dxa"/>
              <w:bottom w:w="57" w:type="dxa"/>
            </w:tcMar>
            <w:vAlign w:val="center"/>
          </w:tcPr>
          <w:p w:rsidR="008C2C87" w:rsidRPr="00C275AA" w:rsidRDefault="008C2C87" w:rsidP="00C275AA">
            <w:pPr>
              <w:spacing w:after="0"/>
              <w:jc w:val="center"/>
              <w:rPr>
                <w:b/>
              </w:rPr>
            </w:pPr>
            <w:r w:rsidRPr="00C275AA">
              <w:rPr>
                <w:b/>
              </w:rPr>
              <w:t>Government Goal</w:t>
            </w:r>
          </w:p>
        </w:tc>
        <w:tc>
          <w:tcPr>
            <w:tcW w:w="3402" w:type="dxa"/>
            <w:shd w:val="clear" w:color="auto" w:fill="auto"/>
            <w:tcMar>
              <w:top w:w="57" w:type="dxa"/>
              <w:bottom w:w="57" w:type="dxa"/>
            </w:tcMar>
            <w:vAlign w:val="center"/>
          </w:tcPr>
          <w:p w:rsidR="008C2C87" w:rsidRPr="00C275AA" w:rsidRDefault="008C2C87" w:rsidP="00C275AA">
            <w:pPr>
              <w:spacing w:after="0"/>
              <w:jc w:val="center"/>
              <w:rPr>
                <w:b/>
              </w:rPr>
            </w:pPr>
            <w:r w:rsidRPr="00C275AA">
              <w:rPr>
                <w:b/>
              </w:rPr>
              <w:t>Desired Outcomes</w:t>
            </w:r>
          </w:p>
        </w:tc>
        <w:tc>
          <w:tcPr>
            <w:tcW w:w="2977" w:type="dxa"/>
            <w:shd w:val="clear" w:color="auto" w:fill="auto"/>
            <w:tcMar>
              <w:top w:w="57" w:type="dxa"/>
              <w:bottom w:w="57" w:type="dxa"/>
            </w:tcMar>
            <w:vAlign w:val="center"/>
          </w:tcPr>
          <w:p w:rsidR="008C2C87" w:rsidRPr="00C275AA" w:rsidRDefault="008C2C87" w:rsidP="00C275AA">
            <w:pPr>
              <w:spacing w:after="0"/>
              <w:jc w:val="center"/>
              <w:rPr>
                <w:b/>
              </w:rPr>
            </w:pPr>
            <w:r w:rsidRPr="00C275AA">
              <w:rPr>
                <w:b/>
              </w:rPr>
              <w:t>Services</w:t>
            </w:r>
          </w:p>
        </w:tc>
      </w:tr>
      <w:tr w:rsidR="008C2C87" w:rsidTr="000115F1">
        <w:trPr>
          <w:trHeight w:val="1072"/>
        </w:trPr>
        <w:tc>
          <w:tcPr>
            <w:tcW w:w="3402" w:type="dxa"/>
            <w:vMerge w:val="restart"/>
            <w:tcMar>
              <w:top w:w="57" w:type="dxa"/>
              <w:bottom w:w="57" w:type="dxa"/>
            </w:tcMar>
            <w:vAlign w:val="center"/>
          </w:tcPr>
          <w:p w:rsidR="008C2C87" w:rsidRDefault="008A09C9" w:rsidP="00D73086">
            <w:pPr>
              <w:spacing w:after="0"/>
            </w:pPr>
            <w:r w:rsidRPr="00B57E58">
              <w:rPr>
                <w:b/>
              </w:rPr>
              <w:t>Results-Based Service Delivery:</w:t>
            </w:r>
            <w:r>
              <w:t xml:space="preserve">  G</w:t>
            </w:r>
            <w:r w:rsidR="008C2C87">
              <w:t>reater focus on achieving results in key service delivery areas for the benefit of all Western Australians</w:t>
            </w:r>
          </w:p>
        </w:tc>
        <w:tc>
          <w:tcPr>
            <w:tcW w:w="3402" w:type="dxa"/>
            <w:tcMar>
              <w:top w:w="57" w:type="dxa"/>
              <w:bottom w:w="57" w:type="dxa"/>
            </w:tcMar>
            <w:vAlign w:val="center"/>
          </w:tcPr>
          <w:p w:rsidR="008C2C87" w:rsidRDefault="008C2C87" w:rsidP="00D73086">
            <w:pPr>
              <w:spacing w:after="0"/>
            </w:pPr>
            <w:r w:rsidRPr="008C2C87">
              <w:t>Executive Government receives appropriate support</w:t>
            </w:r>
          </w:p>
        </w:tc>
        <w:tc>
          <w:tcPr>
            <w:tcW w:w="2977" w:type="dxa"/>
            <w:tcMar>
              <w:top w:w="57" w:type="dxa"/>
              <w:bottom w:w="57" w:type="dxa"/>
            </w:tcMar>
            <w:vAlign w:val="center"/>
          </w:tcPr>
          <w:p w:rsidR="008C2C87" w:rsidRDefault="008C2C87" w:rsidP="00D73086">
            <w:pPr>
              <w:spacing w:after="0"/>
            </w:pPr>
            <w:r w:rsidRPr="008C2C87">
              <w:t>Administration of Executive Government Services</w:t>
            </w:r>
          </w:p>
        </w:tc>
      </w:tr>
      <w:tr w:rsidR="008C2C87" w:rsidTr="000115F1">
        <w:trPr>
          <w:trHeight w:val="1290"/>
        </w:trPr>
        <w:tc>
          <w:tcPr>
            <w:tcW w:w="3402" w:type="dxa"/>
            <w:vMerge/>
            <w:tcMar>
              <w:top w:w="57" w:type="dxa"/>
              <w:bottom w:w="57" w:type="dxa"/>
            </w:tcMar>
            <w:vAlign w:val="center"/>
          </w:tcPr>
          <w:p w:rsidR="008C2C87" w:rsidRDefault="008C2C87" w:rsidP="00D73086">
            <w:pPr>
              <w:spacing w:after="0"/>
            </w:pPr>
          </w:p>
        </w:tc>
        <w:tc>
          <w:tcPr>
            <w:tcW w:w="3402" w:type="dxa"/>
            <w:tcMar>
              <w:top w:w="57" w:type="dxa"/>
              <w:bottom w:w="57" w:type="dxa"/>
            </w:tcMar>
            <w:vAlign w:val="center"/>
          </w:tcPr>
          <w:p w:rsidR="008C2C87" w:rsidRDefault="008C2C87" w:rsidP="00D73086">
            <w:pPr>
              <w:spacing w:after="0"/>
            </w:pPr>
            <w:r w:rsidRPr="008C2C87">
              <w:t>The Premier and Ministers receive high quality, rigorous and timely policy advice</w:t>
            </w:r>
          </w:p>
        </w:tc>
        <w:tc>
          <w:tcPr>
            <w:tcW w:w="2977" w:type="dxa"/>
            <w:tcMar>
              <w:top w:w="57" w:type="dxa"/>
              <w:bottom w:w="57" w:type="dxa"/>
            </w:tcMar>
            <w:vAlign w:val="center"/>
          </w:tcPr>
          <w:p w:rsidR="008C2C87" w:rsidRDefault="008C2C87" w:rsidP="00D73086">
            <w:pPr>
              <w:spacing w:after="0"/>
            </w:pPr>
            <w:r w:rsidRPr="008C2C87">
              <w:t>Government Policy Management</w:t>
            </w:r>
          </w:p>
        </w:tc>
      </w:tr>
    </w:tbl>
    <w:p w:rsidR="008C2C87" w:rsidRDefault="008C2C87" w:rsidP="0064425C">
      <w:pPr>
        <w:spacing w:after="0"/>
      </w:pPr>
    </w:p>
    <w:p w:rsidR="0071509D" w:rsidRPr="00D26B22" w:rsidRDefault="00D26B22" w:rsidP="00B70751">
      <w:pPr>
        <w:rPr>
          <w:lang w:val="en-US"/>
        </w:rPr>
      </w:pPr>
      <w:r w:rsidRPr="00D26B22">
        <w:rPr>
          <w:lang w:val="en-US"/>
        </w:rPr>
        <w:t>Further detail relating to the audited KPI</w:t>
      </w:r>
      <w:r w:rsidR="00FA2954">
        <w:rPr>
          <w:lang w:val="en-US"/>
        </w:rPr>
        <w:t xml:space="preserve"> information is located on page 128</w:t>
      </w:r>
      <w:r w:rsidRPr="00D26B22">
        <w:rPr>
          <w:lang w:val="en-US"/>
        </w:rPr>
        <w:t>.  Results in this section show a comparison of key efficiency and key effectiveness targets and outcomes, forming part of the Department’s Outcome Based Management structure.</w:t>
      </w:r>
    </w:p>
    <w:p w:rsidR="00582D2D" w:rsidRPr="00DB3B58" w:rsidRDefault="00582D2D" w:rsidP="00C63A96">
      <w:pPr>
        <w:pStyle w:val="Heading4"/>
      </w:pPr>
      <w:bookmarkStart w:id="244" w:name="_Toc425370288"/>
      <w:bookmarkStart w:id="245" w:name="_Toc426104510"/>
      <w:r w:rsidRPr="00DB3B58">
        <w:t>Changes to the Outcome Based Management Structure</w:t>
      </w:r>
      <w:bookmarkEnd w:id="244"/>
      <w:bookmarkEnd w:id="245"/>
    </w:p>
    <w:p w:rsidR="00C25580" w:rsidRDefault="001F62A1" w:rsidP="00B70751">
      <w:r>
        <w:t>The Department of the Premier and Cabinet’s outcome based management structure did not change in 2014</w:t>
      </w:r>
      <w:r w:rsidR="00D26B22">
        <w:t>–15.</w:t>
      </w:r>
    </w:p>
    <w:p w:rsidR="00D51F4B" w:rsidRDefault="00D51F4B">
      <w:pPr>
        <w:spacing w:line="276" w:lineRule="auto"/>
        <w:rPr>
          <w:rFonts w:ascii="Arial" w:eastAsia="Segoe UI" w:hAnsi="Arial" w:cs="Arial"/>
          <w:noProof/>
          <w:color w:val="365F91" w:themeColor="accent1" w:themeShade="BF"/>
          <w:kern w:val="24"/>
          <w:sz w:val="44"/>
          <w:szCs w:val="44"/>
          <w:lang w:eastAsia="en-AU"/>
        </w:rPr>
      </w:pPr>
      <w:bookmarkStart w:id="246" w:name="_Toc426637330"/>
      <w:bookmarkStart w:id="247" w:name="_Toc426637575"/>
      <w:r>
        <w:br w:type="page"/>
      </w:r>
    </w:p>
    <w:p w:rsidR="00C25580" w:rsidRDefault="00CC6859" w:rsidP="00C63A96">
      <w:pPr>
        <w:pStyle w:val="Heading2"/>
      </w:pPr>
      <w:bookmarkStart w:id="248" w:name="_Toc430547894"/>
      <w:r>
        <w:t>Working with the Public Sector and Community</w:t>
      </w:r>
      <w:bookmarkEnd w:id="246"/>
      <w:bookmarkEnd w:id="247"/>
      <w:bookmarkEnd w:id="248"/>
    </w:p>
    <w:p w:rsidR="00E00E49" w:rsidRPr="00E76BA1" w:rsidRDefault="00E00E49" w:rsidP="00C63A96">
      <w:pPr>
        <w:pStyle w:val="Heading3"/>
      </w:pPr>
      <w:bookmarkStart w:id="249" w:name="_Toc425370290"/>
      <w:bookmarkStart w:id="250" w:name="_Toc425607557"/>
      <w:bookmarkStart w:id="251" w:name="_Toc426104512"/>
      <w:bookmarkStart w:id="252" w:name="_Toc426397359"/>
      <w:bookmarkStart w:id="253" w:name="_Toc426637331"/>
      <w:bookmarkStart w:id="254" w:name="_Toc426637576"/>
      <w:r w:rsidRPr="00E76BA1">
        <w:t xml:space="preserve">Building a </w:t>
      </w:r>
      <w:r w:rsidR="00E35046" w:rsidRPr="00E76BA1">
        <w:t>s</w:t>
      </w:r>
      <w:r w:rsidRPr="00E76BA1">
        <w:t xml:space="preserve">ustainable </w:t>
      </w:r>
      <w:r w:rsidR="00E35046" w:rsidRPr="00E76BA1">
        <w:t>n</w:t>
      </w:r>
      <w:r w:rsidRPr="00E76BA1">
        <w:t>ot-for-</w:t>
      </w:r>
      <w:r w:rsidR="00E35046" w:rsidRPr="00E76BA1">
        <w:t>p</w:t>
      </w:r>
      <w:r w:rsidRPr="00E76BA1">
        <w:t xml:space="preserve">rofit </w:t>
      </w:r>
      <w:r w:rsidR="00E35046" w:rsidRPr="00E76BA1">
        <w:t>s</w:t>
      </w:r>
      <w:r w:rsidRPr="00E76BA1">
        <w:t>ector</w:t>
      </w:r>
      <w:bookmarkEnd w:id="249"/>
      <w:bookmarkEnd w:id="250"/>
      <w:bookmarkEnd w:id="251"/>
      <w:bookmarkEnd w:id="252"/>
      <w:bookmarkEnd w:id="253"/>
      <w:bookmarkEnd w:id="254"/>
    </w:p>
    <w:p w:rsidR="00D26B22" w:rsidRPr="00D26B22" w:rsidRDefault="00D26B22" w:rsidP="00AE75A9">
      <w:pPr>
        <w:pStyle w:val="ListParagraph"/>
        <w:numPr>
          <w:ilvl w:val="0"/>
          <w:numId w:val="22"/>
        </w:numPr>
        <w:rPr>
          <w:lang w:val="en-US"/>
        </w:rPr>
      </w:pPr>
      <w:r w:rsidRPr="00D26B22">
        <w:rPr>
          <w:lang w:val="en-US"/>
        </w:rPr>
        <w:t>Supporting the Partnership Forum, a group of public and not-for-profit sector chief executive officers, to steer reforms to the policy, planning and delivery of community services</w:t>
      </w:r>
    </w:p>
    <w:p w:rsidR="00D26B22" w:rsidRPr="00D26B22" w:rsidRDefault="00D26B22" w:rsidP="00AE75A9">
      <w:pPr>
        <w:pStyle w:val="ListParagraph"/>
        <w:numPr>
          <w:ilvl w:val="0"/>
          <w:numId w:val="22"/>
        </w:numPr>
        <w:rPr>
          <w:lang w:val="en-US"/>
        </w:rPr>
      </w:pPr>
      <w:r w:rsidRPr="00D26B22">
        <w:rPr>
          <w:lang w:val="en-US"/>
        </w:rPr>
        <w:t>Progressing reforms to the way the public sector contracts with the not-for-profit sector, in order to improve services delivered to the community</w:t>
      </w:r>
    </w:p>
    <w:p w:rsidR="00D26B22" w:rsidRPr="00D26B22" w:rsidRDefault="00D26B22" w:rsidP="00AE75A9">
      <w:pPr>
        <w:pStyle w:val="ListParagraph"/>
        <w:numPr>
          <w:ilvl w:val="0"/>
          <w:numId w:val="22"/>
        </w:numPr>
        <w:rPr>
          <w:lang w:val="en-US"/>
        </w:rPr>
      </w:pPr>
      <w:r w:rsidRPr="00D26B22">
        <w:rPr>
          <w:lang w:val="en-US"/>
        </w:rPr>
        <w:t>Coordinating the development and implementation of Aboriginal Youth Services Investment Priorities and Principles</w:t>
      </w:r>
    </w:p>
    <w:p w:rsidR="00D26B22" w:rsidRPr="00D26B22" w:rsidRDefault="00D26B22" w:rsidP="00AE75A9">
      <w:pPr>
        <w:pStyle w:val="ListParagraph"/>
        <w:numPr>
          <w:ilvl w:val="0"/>
          <w:numId w:val="22"/>
        </w:numPr>
      </w:pPr>
      <w:r w:rsidRPr="00D26B22">
        <w:rPr>
          <w:lang w:val="en-US"/>
        </w:rPr>
        <w:t>Leading negotiations with the Commonwealth Government on the State’s participation in the National Disability Insurance Scheme, working with the Disability Services Commission, Mental Health Commission and Department of Treasury</w:t>
      </w:r>
    </w:p>
    <w:p w:rsidR="005B74DF" w:rsidRDefault="00E00E49" w:rsidP="00AE75A9">
      <w:pPr>
        <w:pStyle w:val="ListParagraph"/>
        <w:numPr>
          <w:ilvl w:val="0"/>
          <w:numId w:val="22"/>
        </w:numPr>
      </w:pPr>
      <w:r w:rsidRPr="0003292D">
        <w:t>Leading negotiations with the Commonwealth Government on the State’s participation in the National Disability Insurance Scheme, working with the Disability Services Commission</w:t>
      </w:r>
      <w:r>
        <w:t xml:space="preserve">, Mental Health Commission and Department of Treasury. </w:t>
      </w:r>
    </w:p>
    <w:p w:rsidR="00E00E49" w:rsidRPr="00943D8D" w:rsidRDefault="00E00E49" w:rsidP="00C63A96">
      <w:pPr>
        <w:pStyle w:val="Heading3"/>
      </w:pPr>
      <w:bookmarkStart w:id="255" w:name="_Toc425370291"/>
      <w:bookmarkStart w:id="256" w:name="_Toc425607558"/>
      <w:bookmarkStart w:id="257" w:name="_Toc426104513"/>
      <w:bookmarkStart w:id="258" w:name="_Toc426397360"/>
      <w:bookmarkStart w:id="259" w:name="_Toc426637332"/>
      <w:bookmarkStart w:id="260" w:name="_Toc426637577"/>
      <w:r w:rsidRPr="00943D8D">
        <w:t>Approvals</w:t>
      </w:r>
      <w:bookmarkEnd w:id="255"/>
      <w:bookmarkEnd w:id="256"/>
      <w:bookmarkEnd w:id="257"/>
      <w:bookmarkEnd w:id="258"/>
      <w:bookmarkEnd w:id="259"/>
      <w:bookmarkEnd w:id="260"/>
    </w:p>
    <w:p w:rsidR="00D26B22" w:rsidRPr="00D26B22" w:rsidRDefault="00D26B22" w:rsidP="00AE75A9">
      <w:pPr>
        <w:pStyle w:val="ListParagraph"/>
        <w:numPr>
          <w:ilvl w:val="0"/>
          <w:numId w:val="23"/>
        </w:numPr>
        <w:rPr>
          <w:lang w:val="en-US"/>
        </w:rPr>
      </w:pPr>
      <w:r w:rsidRPr="00D26B22">
        <w:rPr>
          <w:lang w:val="en-US"/>
        </w:rPr>
        <w:t>Assisting the Ministerial Taskforce on Approvals, Development and Sustainability.  Reducing excessive environmental regulation</w:t>
      </w:r>
    </w:p>
    <w:p w:rsidR="00D26B22" w:rsidRPr="00D26B22" w:rsidRDefault="00D26B22" w:rsidP="00AE75A9">
      <w:pPr>
        <w:pStyle w:val="ListParagraph"/>
        <w:numPr>
          <w:ilvl w:val="0"/>
          <w:numId w:val="23"/>
        </w:numPr>
        <w:rPr>
          <w:lang w:val="en-US"/>
        </w:rPr>
      </w:pPr>
      <w:r w:rsidRPr="00D26B22">
        <w:rPr>
          <w:lang w:val="en-US"/>
        </w:rPr>
        <w:t>Leading agency negotiations with the Commonwealth on proposed new bilateral agreements to streamline environmental approvals</w:t>
      </w:r>
    </w:p>
    <w:p w:rsidR="005B74DF" w:rsidRDefault="00D26B22" w:rsidP="00AE75A9">
      <w:pPr>
        <w:pStyle w:val="ListParagraph"/>
        <w:numPr>
          <w:ilvl w:val="0"/>
          <w:numId w:val="23"/>
        </w:numPr>
      </w:pPr>
      <w:r w:rsidRPr="00D26B22">
        <w:rPr>
          <w:lang w:val="en-US"/>
        </w:rPr>
        <w:t>Coordinating the implementation of the Kimberley Science and Conservation Strategy’s key deliverables by a number of agencies and leading the native title negotiations related to the new marine and national parks</w:t>
      </w:r>
    </w:p>
    <w:p w:rsidR="00E00E49" w:rsidRPr="00DB3B58" w:rsidRDefault="00E00E49" w:rsidP="00C63A96">
      <w:pPr>
        <w:pStyle w:val="Heading3"/>
      </w:pPr>
      <w:bookmarkStart w:id="261" w:name="_Toc425370292"/>
      <w:bookmarkStart w:id="262" w:name="_Toc425607559"/>
      <w:bookmarkStart w:id="263" w:name="_Toc426104514"/>
      <w:bookmarkStart w:id="264" w:name="_Toc426397361"/>
      <w:bookmarkStart w:id="265" w:name="_Toc426637333"/>
      <w:bookmarkStart w:id="266" w:name="_Toc426637578"/>
      <w:r w:rsidRPr="00DB3B58">
        <w:t xml:space="preserve">Strategic </w:t>
      </w:r>
      <w:r w:rsidR="00E35046">
        <w:t>a</w:t>
      </w:r>
      <w:r w:rsidRPr="00DB3B58">
        <w:t xml:space="preserve">ssessment of the Perth-Peel </w:t>
      </w:r>
      <w:r w:rsidR="00E35046">
        <w:t>r</w:t>
      </w:r>
      <w:r w:rsidRPr="00DB3B58">
        <w:t>egion</w:t>
      </w:r>
      <w:bookmarkEnd w:id="261"/>
      <w:bookmarkEnd w:id="262"/>
      <w:bookmarkEnd w:id="263"/>
      <w:bookmarkEnd w:id="264"/>
      <w:bookmarkEnd w:id="265"/>
      <w:bookmarkEnd w:id="266"/>
    </w:p>
    <w:p w:rsidR="00D26B22" w:rsidRPr="00D26B22" w:rsidRDefault="00D26B22" w:rsidP="00AE75A9">
      <w:pPr>
        <w:pStyle w:val="ListParagraph"/>
        <w:numPr>
          <w:ilvl w:val="0"/>
          <w:numId w:val="24"/>
        </w:numPr>
        <w:rPr>
          <w:lang w:val="en-US"/>
        </w:rPr>
      </w:pPr>
      <w:r w:rsidRPr="00D26B22">
        <w:rPr>
          <w:lang w:val="en-US"/>
        </w:rPr>
        <w:t>Leading the strategic assessment in close collaboration with the Departments of Planning, Parks and Wildlife, Mines and Petroleum, Water, Environment Regulation and the Office of the Environmental Protection Authority</w:t>
      </w:r>
    </w:p>
    <w:p w:rsidR="00D26B22" w:rsidRPr="00D26B22" w:rsidRDefault="00D26B22" w:rsidP="00AE75A9">
      <w:pPr>
        <w:pStyle w:val="ListParagraph"/>
        <w:numPr>
          <w:ilvl w:val="0"/>
          <w:numId w:val="24"/>
        </w:numPr>
        <w:rPr>
          <w:lang w:val="en-US"/>
        </w:rPr>
      </w:pPr>
      <w:r w:rsidRPr="00D26B22">
        <w:rPr>
          <w:lang w:val="en-US"/>
        </w:rPr>
        <w:t>Chairing the Peel Harvey Estuary Management Committee</w:t>
      </w:r>
    </w:p>
    <w:p w:rsidR="00E00E49" w:rsidRPr="00DB3B58" w:rsidRDefault="00E00E49" w:rsidP="00C63A96">
      <w:pPr>
        <w:pStyle w:val="Heading3"/>
      </w:pPr>
      <w:bookmarkStart w:id="267" w:name="_Toc425370293"/>
      <w:bookmarkStart w:id="268" w:name="_Toc425607560"/>
      <w:bookmarkStart w:id="269" w:name="_Toc426104515"/>
      <w:bookmarkStart w:id="270" w:name="_Toc426397362"/>
      <w:bookmarkStart w:id="271" w:name="_Toc426637334"/>
      <w:bookmarkStart w:id="272" w:name="_Toc426637579"/>
      <w:r w:rsidRPr="00DB3B58">
        <w:t>Infrastructure</w:t>
      </w:r>
      <w:bookmarkEnd w:id="267"/>
      <w:bookmarkEnd w:id="268"/>
      <w:bookmarkEnd w:id="269"/>
      <w:bookmarkEnd w:id="270"/>
      <w:bookmarkEnd w:id="271"/>
      <w:bookmarkEnd w:id="272"/>
    </w:p>
    <w:p w:rsidR="00D26B22" w:rsidRPr="00D26B22" w:rsidRDefault="00D26B22" w:rsidP="00AE75A9">
      <w:pPr>
        <w:pStyle w:val="ListParagraph"/>
        <w:numPr>
          <w:ilvl w:val="0"/>
          <w:numId w:val="25"/>
        </w:numPr>
        <w:rPr>
          <w:lang w:val="en-US"/>
        </w:rPr>
      </w:pPr>
      <w:r w:rsidRPr="00D26B22">
        <w:rPr>
          <w:lang w:val="en-US"/>
        </w:rPr>
        <w:t>Participates on the Commissioning and Reconfiguration Taskforces for the new Fiona Stanley and Perth Children’s Hospitals</w:t>
      </w:r>
    </w:p>
    <w:p w:rsidR="00D26B22" w:rsidRPr="00D26B22" w:rsidRDefault="00D26B22" w:rsidP="00AE75A9">
      <w:pPr>
        <w:pStyle w:val="ListParagraph"/>
        <w:numPr>
          <w:ilvl w:val="0"/>
          <w:numId w:val="25"/>
        </w:numPr>
        <w:rPr>
          <w:lang w:val="en-US"/>
        </w:rPr>
      </w:pPr>
      <w:r w:rsidRPr="00D26B22">
        <w:rPr>
          <w:lang w:val="en-US"/>
        </w:rPr>
        <w:t>Participates in the Infrastructure Coordination Committee and the related Senior Officers Group</w:t>
      </w:r>
    </w:p>
    <w:p w:rsidR="00D26B22" w:rsidRPr="00D26B22" w:rsidRDefault="00D26B22" w:rsidP="00AE75A9">
      <w:pPr>
        <w:pStyle w:val="ListParagraph"/>
        <w:numPr>
          <w:ilvl w:val="0"/>
          <w:numId w:val="25"/>
        </w:numPr>
        <w:rPr>
          <w:lang w:val="en-US"/>
        </w:rPr>
      </w:pPr>
      <w:r w:rsidRPr="00D26B22">
        <w:rPr>
          <w:lang w:val="en-US"/>
        </w:rPr>
        <w:t>Coordinated State input to Infrastructure Australia</w:t>
      </w:r>
    </w:p>
    <w:p w:rsidR="00D26B22" w:rsidRPr="00D26B22" w:rsidRDefault="00D26B22" w:rsidP="00AE75A9">
      <w:pPr>
        <w:pStyle w:val="ListParagraph"/>
        <w:numPr>
          <w:ilvl w:val="0"/>
          <w:numId w:val="25"/>
        </w:numPr>
        <w:rPr>
          <w:lang w:val="en-US"/>
        </w:rPr>
      </w:pPr>
      <w:r w:rsidRPr="00D26B22">
        <w:rPr>
          <w:lang w:val="en-US"/>
        </w:rPr>
        <w:t>Assisted the Department of Regional Development with input on the Northern Australia White Paper</w:t>
      </w:r>
    </w:p>
    <w:p w:rsidR="005B74DF" w:rsidRDefault="00D26B22" w:rsidP="00AE75A9">
      <w:pPr>
        <w:pStyle w:val="ListParagraph"/>
        <w:numPr>
          <w:ilvl w:val="0"/>
          <w:numId w:val="25"/>
        </w:numPr>
      </w:pPr>
      <w:r w:rsidRPr="00D26B22">
        <w:rPr>
          <w:lang w:val="en-US"/>
        </w:rPr>
        <w:t>Assisting the Department of Housing with the National Partnership Agreement on Remote Indigenous Housing and essential services for remote Indigenous communities including membership of the Joint Standing Committee with the Commonwealth</w:t>
      </w:r>
    </w:p>
    <w:p w:rsidR="00E00E49" w:rsidRPr="00DB3B58" w:rsidRDefault="00E00E49" w:rsidP="00C63A96">
      <w:pPr>
        <w:pStyle w:val="Heading3"/>
      </w:pPr>
      <w:bookmarkStart w:id="273" w:name="_Toc425370294"/>
      <w:bookmarkStart w:id="274" w:name="_Toc425607561"/>
      <w:bookmarkStart w:id="275" w:name="_Toc426104516"/>
      <w:bookmarkStart w:id="276" w:name="_Toc426397363"/>
      <w:bookmarkStart w:id="277" w:name="_Toc426637335"/>
      <w:bookmarkStart w:id="278" w:name="_Toc426637580"/>
      <w:r w:rsidRPr="00DB3B58">
        <w:t xml:space="preserve">Deregulation and </w:t>
      </w:r>
      <w:r w:rsidR="00E35046">
        <w:t>r</w:t>
      </w:r>
      <w:r w:rsidRPr="00DB3B58">
        <w:t>ed-</w:t>
      </w:r>
      <w:r w:rsidR="00E35046">
        <w:t>t</w:t>
      </w:r>
      <w:r w:rsidRPr="00DB3B58">
        <w:t xml:space="preserve">ape </w:t>
      </w:r>
      <w:r w:rsidR="00E35046">
        <w:t>r</w:t>
      </w:r>
      <w:r w:rsidRPr="00DB3B58">
        <w:t>eduction</w:t>
      </w:r>
      <w:bookmarkEnd w:id="273"/>
      <w:bookmarkEnd w:id="274"/>
      <w:bookmarkEnd w:id="275"/>
      <w:bookmarkEnd w:id="276"/>
      <w:bookmarkEnd w:id="277"/>
      <w:bookmarkEnd w:id="278"/>
    </w:p>
    <w:p w:rsidR="005B74DF" w:rsidRPr="00D26B22" w:rsidRDefault="00D26B22" w:rsidP="00AE75A9">
      <w:pPr>
        <w:pStyle w:val="ListParagraph"/>
        <w:numPr>
          <w:ilvl w:val="0"/>
          <w:numId w:val="26"/>
        </w:numPr>
        <w:rPr>
          <w:lang w:val="en-US"/>
        </w:rPr>
      </w:pPr>
      <w:r w:rsidRPr="00D26B22">
        <w:rPr>
          <w:lang w:val="en-US"/>
        </w:rPr>
        <w:t>The Department collaborated with Department of Finance to develop whole-of-government Regulatory Reform Policy, a new ‘Reinvigorated Regulatory Reform Plan’, and a suite of agreed regulatory reform and red-tape reduction priorities for 2015–16</w:t>
      </w:r>
    </w:p>
    <w:p w:rsidR="00E00E49" w:rsidRPr="00DB3B58" w:rsidRDefault="00E00E49" w:rsidP="00C63A96">
      <w:pPr>
        <w:pStyle w:val="Heading3"/>
      </w:pPr>
      <w:bookmarkStart w:id="279" w:name="_Toc425370295"/>
      <w:bookmarkStart w:id="280" w:name="_Toc425607562"/>
      <w:bookmarkStart w:id="281" w:name="_Toc426104517"/>
      <w:bookmarkStart w:id="282" w:name="_Toc426397364"/>
      <w:bookmarkStart w:id="283" w:name="_Toc426637336"/>
      <w:bookmarkStart w:id="284" w:name="_Toc426637581"/>
      <w:r w:rsidRPr="00DB3B58">
        <w:t xml:space="preserve">Strategic </w:t>
      </w:r>
      <w:r w:rsidR="00E35046">
        <w:t>p</w:t>
      </w:r>
      <w:r w:rsidRPr="00DB3B58">
        <w:t>rojects</w:t>
      </w:r>
      <w:bookmarkEnd w:id="279"/>
      <w:bookmarkEnd w:id="280"/>
      <w:bookmarkEnd w:id="281"/>
      <w:bookmarkEnd w:id="282"/>
      <w:bookmarkEnd w:id="283"/>
      <w:bookmarkEnd w:id="284"/>
    </w:p>
    <w:p w:rsidR="00D26B22" w:rsidRPr="00D26B22" w:rsidRDefault="00D26B22" w:rsidP="00AE75A9">
      <w:pPr>
        <w:pStyle w:val="ListParagraph"/>
        <w:numPr>
          <w:ilvl w:val="0"/>
          <w:numId w:val="27"/>
        </w:numPr>
        <w:rPr>
          <w:lang w:val="en-US"/>
        </w:rPr>
      </w:pPr>
      <w:r w:rsidRPr="00D26B22">
        <w:rPr>
          <w:lang w:val="en-US"/>
        </w:rPr>
        <w:t>Working closely with the Department of Fisheries in the development of shark hazard mitigation policy and activities</w:t>
      </w:r>
    </w:p>
    <w:p w:rsidR="00D26B22" w:rsidRPr="00D26B22" w:rsidRDefault="00D26B22" w:rsidP="00AE75A9">
      <w:pPr>
        <w:pStyle w:val="ListParagraph"/>
        <w:numPr>
          <w:ilvl w:val="0"/>
          <w:numId w:val="27"/>
        </w:numPr>
        <w:rPr>
          <w:lang w:val="en-US"/>
        </w:rPr>
      </w:pPr>
      <w:r w:rsidRPr="00D26B22">
        <w:rPr>
          <w:lang w:val="en-US"/>
        </w:rPr>
        <w:t>Working with the Department of Parks and Wildlife and the Department of Fisheries to clarify the policy on responding to whale carcass incidents along the WA coastline</w:t>
      </w:r>
    </w:p>
    <w:p w:rsidR="005B74DF" w:rsidRDefault="00D26B22" w:rsidP="00AE75A9">
      <w:pPr>
        <w:pStyle w:val="ListParagraph"/>
        <w:numPr>
          <w:ilvl w:val="0"/>
          <w:numId w:val="27"/>
        </w:numPr>
      </w:pPr>
      <w:r w:rsidRPr="00D26B22">
        <w:rPr>
          <w:lang w:val="en-US"/>
        </w:rPr>
        <w:t>Participating on the Steering Committee for the local events associated with the International Cricket Commission World Cup in February and March 2015</w:t>
      </w:r>
    </w:p>
    <w:p w:rsidR="00E00E49" w:rsidRPr="00DB3B58" w:rsidRDefault="00E00E49" w:rsidP="00C63A96">
      <w:pPr>
        <w:pStyle w:val="Heading3"/>
      </w:pPr>
      <w:bookmarkStart w:id="285" w:name="_Toc425370296"/>
      <w:bookmarkStart w:id="286" w:name="_Toc425607563"/>
      <w:bookmarkStart w:id="287" w:name="_Toc426104518"/>
      <w:bookmarkStart w:id="288" w:name="_Toc426397365"/>
      <w:bookmarkStart w:id="289" w:name="_Toc426637337"/>
      <w:bookmarkStart w:id="290" w:name="_Toc426637582"/>
      <w:r w:rsidRPr="00DB3B58">
        <w:t xml:space="preserve">Land, </w:t>
      </w:r>
      <w:r w:rsidR="00E35046">
        <w:t>a</w:t>
      </w:r>
      <w:r w:rsidRPr="00DB3B58">
        <w:t xml:space="preserve">pprovals and </w:t>
      </w:r>
      <w:r w:rsidR="00E35046">
        <w:t>n</w:t>
      </w:r>
      <w:r w:rsidRPr="00DB3B58">
        <w:t xml:space="preserve">ative </w:t>
      </w:r>
      <w:r w:rsidR="00E35046">
        <w:t>t</w:t>
      </w:r>
      <w:r w:rsidRPr="00DB3B58">
        <w:t>itle</w:t>
      </w:r>
      <w:bookmarkEnd w:id="285"/>
      <w:bookmarkEnd w:id="286"/>
      <w:bookmarkEnd w:id="287"/>
      <w:bookmarkEnd w:id="288"/>
      <w:bookmarkEnd w:id="289"/>
      <w:bookmarkEnd w:id="290"/>
    </w:p>
    <w:p w:rsidR="00D26B22" w:rsidRPr="00D26B22" w:rsidRDefault="00D26B22" w:rsidP="00AE75A9">
      <w:pPr>
        <w:pStyle w:val="ListParagraph"/>
        <w:numPr>
          <w:ilvl w:val="0"/>
          <w:numId w:val="28"/>
        </w:numPr>
        <w:rPr>
          <w:lang w:val="en-US"/>
        </w:rPr>
      </w:pPr>
      <w:r w:rsidRPr="00D26B22">
        <w:rPr>
          <w:lang w:val="en-US"/>
        </w:rPr>
        <w:t>Coordinating input by State Government agencies into native title claims negotiation and resolution (via the Government Indigenous Land Use Agreement), including the South West Native Title Settlement</w:t>
      </w:r>
    </w:p>
    <w:p w:rsidR="00D26B22" w:rsidRPr="00D26B22" w:rsidRDefault="00D26B22" w:rsidP="00AE75A9">
      <w:pPr>
        <w:pStyle w:val="ListParagraph"/>
        <w:numPr>
          <w:ilvl w:val="0"/>
          <w:numId w:val="28"/>
        </w:numPr>
        <w:rPr>
          <w:lang w:val="en-US"/>
        </w:rPr>
      </w:pPr>
      <w:r w:rsidRPr="00D26B22">
        <w:rPr>
          <w:lang w:val="en-US"/>
        </w:rPr>
        <w:t>Joint action with the Department of State Development, Department of Land, Landcorp and other agencies on town site expansion, including for Onslow and Exmouth, and Port Hedland</w:t>
      </w:r>
    </w:p>
    <w:p w:rsidR="00D26B22" w:rsidRPr="00D26B22" w:rsidRDefault="00D26B22" w:rsidP="00AE75A9">
      <w:pPr>
        <w:pStyle w:val="ListParagraph"/>
        <w:numPr>
          <w:ilvl w:val="0"/>
          <w:numId w:val="28"/>
        </w:numPr>
      </w:pPr>
      <w:r w:rsidRPr="00D26B22">
        <w:rPr>
          <w:lang w:val="en-US"/>
        </w:rPr>
        <w:t>Coordinating the Strategic Land Initiatives Group involving all key State land management agencies, and developing efficient strategies to address native title and heritage for major projects and land releases</w:t>
      </w:r>
    </w:p>
    <w:p w:rsidR="00E00E49" w:rsidRDefault="00E00E49" w:rsidP="00D51F4B">
      <w:pPr>
        <w:pStyle w:val="Heading3"/>
      </w:pPr>
      <w:r>
        <w:t>Whole-of-</w:t>
      </w:r>
      <w:r w:rsidR="00D51F4B">
        <w:t>g</w:t>
      </w:r>
      <w:r>
        <w:t xml:space="preserve">overnment </w:t>
      </w:r>
      <w:r w:rsidR="00D51F4B">
        <w:t>s</w:t>
      </w:r>
      <w:r>
        <w:t xml:space="preserve">kills </w:t>
      </w:r>
      <w:r w:rsidR="00D51F4B">
        <w:t>c</w:t>
      </w:r>
      <w:r>
        <w:t xml:space="preserve">onsultation and </w:t>
      </w:r>
      <w:r w:rsidR="00D51F4B">
        <w:t>t</w:t>
      </w:r>
      <w:r>
        <w:t>raining:</w:t>
      </w:r>
    </w:p>
    <w:p w:rsidR="00D51F4B" w:rsidRPr="00D51F4B" w:rsidRDefault="00D51F4B" w:rsidP="00AE75A9">
      <w:pPr>
        <w:pStyle w:val="ListParagraph"/>
        <w:numPr>
          <w:ilvl w:val="0"/>
          <w:numId w:val="29"/>
        </w:numPr>
        <w:rPr>
          <w:lang w:val="en-US"/>
        </w:rPr>
      </w:pPr>
      <w:r w:rsidRPr="00D51F4B">
        <w:rPr>
          <w:lang w:val="en-US"/>
        </w:rPr>
        <w:t>Interagency Reference Group on Native Title and Aboriginal Heritage comprises all WA Government department agencies involved in either native title and/or Aboriginal Heritage matters (meetings in November 2014 and April 2015)</w:t>
      </w:r>
    </w:p>
    <w:p w:rsidR="008C2C87" w:rsidRDefault="00D51F4B" w:rsidP="00AE75A9">
      <w:pPr>
        <w:pStyle w:val="ListParagraph"/>
        <w:numPr>
          <w:ilvl w:val="0"/>
          <w:numId w:val="29"/>
        </w:numPr>
      </w:pPr>
      <w:r w:rsidRPr="00D51F4B">
        <w:rPr>
          <w:lang w:val="en-US"/>
        </w:rPr>
        <w:t>Regional training workshops in the Pilbara (July 2014), Goldfields (October 2014) and Geraldton-Mid West (May 2015) regions and attended by officers from regionally-based departments and government corporations with the Department of Aboriginal Affairs and assisting implementing associated native title and related policies, including the Aboriginal Heritage Due Diligence Guidelines, Guidelines for Engagement of Aboriginal Heritage Monitors, Guide to the Government Indigenous Land Use Agreement and Government Standard Heritage Agreement</w:t>
      </w:r>
    </w:p>
    <w:p w:rsidR="002A1292" w:rsidRPr="00DB3B58" w:rsidRDefault="002A1292" w:rsidP="00C63A96">
      <w:pPr>
        <w:pStyle w:val="Heading3"/>
      </w:pPr>
      <w:bookmarkStart w:id="291" w:name="_Toc426397366"/>
      <w:bookmarkStart w:id="292" w:name="_Toc426637338"/>
      <w:bookmarkStart w:id="293" w:name="_Toc426637583"/>
      <w:r>
        <w:t>Working with other governments</w:t>
      </w:r>
      <w:bookmarkEnd w:id="291"/>
      <w:bookmarkEnd w:id="292"/>
      <w:bookmarkEnd w:id="293"/>
    </w:p>
    <w:p w:rsidR="00D51F4B" w:rsidRPr="00D51F4B" w:rsidRDefault="00D51F4B" w:rsidP="00AE75A9">
      <w:pPr>
        <w:pStyle w:val="ListParagraph"/>
        <w:numPr>
          <w:ilvl w:val="0"/>
          <w:numId w:val="30"/>
        </w:numPr>
        <w:rPr>
          <w:lang w:val="en-US"/>
        </w:rPr>
      </w:pPr>
      <w:r w:rsidRPr="00D51F4B">
        <w:rPr>
          <w:lang w:val="en-US"/>
        </w:rPr>
        <w:t>Developed and delivered the Western Australian Open Data Policy</w:t>
      </w:r>
    </w:p>
    <w:p w:rsidR="00C57847" w:rsidRPr="007A57CC" w:rsidRDefault="00D51F4B" w:rsidP="007A57CC">
      <w:pPr>
        <w:pStyle w:val="ListParagraph"/>
        <w:numPr>
          <w:ilvl w:val="0"/>
          <w:numId w:val="30"/>
        </w:numPr>
        <w:rPr>
          <w:lang w:val="en-US"/>
        </w:rPr>
      </w:pPr>
      <w:r w:rsidRPr="00D51F4B">
        <w:rPr>
          <w:lang w:val="en-US"/>
        </w:rPr>
        <w:t>Delivered ICT strategic workshops with Chief Information Officers from across the sector</w:t>
      </w:r>
      <w:bookmarkStart w:id="294" w:name="_Toc425370297"/>
      <w:bookmarkStart w:id="295" w:name="_Toc425607415"/>
      <w:bookmarkStart w:id="296" w:name="_Toc426104519"/>
      <w:bookmarkStart w:id="297" w:name="_Toc426637584"/>
    </w:p>
    <w:p w:rsidR="00FA2954" w:rsidRDefault="00FA2954">
      <w:pPr>
        <w:spacing w:line="276" w:lineRule="auto"/>
        <w:rPr>
          <w:rFonts w:ascii="Arial" w:eastAsia="Segoe UI" w:hAnsi="Arial" w:cs="Arial"/>
          <w:color w:val="193A68"/>
          <w:kern w:val="24"/>
          <w:sz w:val="56"/>
          <w:szCs w:val="56"/>
          <w:lang w:eastAsia="en-AU"/>
        </w:rPr>
      </w:pPr>
      <w:bookmarkStart w:id="298" w:name="_Toc430547895"/>
      <w:bookmarkEnd w:id="294"/>
      <w:bookmarkEnd w:id="295"/>
      <w:bookmarkEnd w:id="296"/>
      <w:bookmarkEnd w:id="297"/>
      <w:r>
        <w:br w:type="page"/>
      </w:r>
    </w:p>
    <w:p w:rsidR="00C25580" w:rsidRDefault="00D51F4B" w:rsidP="00C63A96">
      <w:pPr>
        <w:pStyle w:val="Heading1"/>
      </w:pPr>
      <w:r>
        <w:t>Agency Performance</w:t>
      </w:r>
      <w:bookmarkEnd w:id="298"/>
    </w:p>
    <w:p w:rsidR="00C25580" w:rsidRDefault="00C25580" w:rsidP="00C63A96">
      <w:pPr>
        <w:pStyle w:val="Heading2"/>
      </w:pPr>
      <w:bookmarkStart w:id="299" w:name="_Toc425370299"/>
      <w:bookmarkStart w:id="300" w:name="_Toc425607417"/>
      <w:bookmarkStart w:id="301" w:name="_Toc426104521"/>
      <w:bookmarkStart w:id="302" w:name="_Toc426637586"/>
      <w:bookmarkStart w:id="303" w:name="_Toc430547896"/>
      <w:r>
        <w:t>Service 1: Administration of Executive Government Services</w:t>
      </w:r>
      <w:bookmarkEnd w:id="299"/>
      <w:bookmarkEnd w:id="300"/>
      <w:bookmarkEnd w:id="301"/>
      <w:bookmarkEnd w:id="302"/>
      <w:bookmarkEnd w:id="303"/>
    </w:p>
    <w:p w:rsidR="00797EFE" w:rsidRPr="00797EFE" w:rsidRDefault="00797EFE" w:rsidP="00797EFE">
      <w:pPr>
        <w:pStyle w:val="Heading3"/>
        <w:rPr>
          <w:lang w:val="en-GB"/>
        </w:rPr>
      </w:pPr>
      <w:r w:rsidRPr="00797EFE">
        <w:rPr>
          <w:lang w:val="en-GB"/>
        </w:rPr>
        <w:t>Administrative support to the Premier, Ministers, the Leader of the Opposition, and Members (and former Members) of Parliament</w:t>
      </w:r>
    </w:p>
    <w:p w:rsidR="00EB57EC" w:rsidRDefault="00EB57EC" w:rsidP="00C63A96">
      <w:pPr>
        <w:pStyle w:val="Heading4"/>
      </w:pPr>
      <w:bookmarkStart w:id="304" w:name="_Toc426637343"/>
      <w:bookmarkStart w:id="305" w:name="_Toc426637588"/>
      <w:r w:rsidRPr="00EB57EC">
        <w:t>Administrative support to the Premier</w:t>
      </w:r>
      <w:bookmarkEnd w:id="304"/>
      <w:bookmarkEnd w:id="305"/>
      <w:r w:rsidR="005E6D6F">
        <w:t xml:space="preserve">;  </w:t>
      </w:r>
      <w:r w:rsidR="005E6D6F" w:rsidRPr="00EB57EC">
        <w:t>Administrative policy advice and support to Ministerial offices and the Leader of the Opposition</w:t>
      </w:r>
    </w:p>
    <w:p w:rsidR="005E6D6F" w:rsidRDefault="005E6D6F" w:rsidP="00C63A96">
      <w:pPr>
        <w:pStyle w:val="Heading5"/>
      </w:pPr>
      <w:bookmarkStart w:id="306" w:name="_Toc426637344"/>
      <w:bookmarkStart w:id="307" w:name="_Toc426637589"/>
      <w:r>
        <w:t>Premier’s Office</w:t>
      </w:r>
    </w:p>
    <w:p w:rsidR="00797EFE" w:rsidRDefault="00797EFE" w:rsidP="00797EFE">
      <w:pPr>
        <w:rPr>
          <w:rStyle w:val="NormalText"/>
        </w:rPr>
      </w:pPr>
      <w:bookmarkStart w:id="308" w:name="_Toc425370301"/>
      <w:bookmarkStart w:id="309" w:name="_Toc426104523"/>
      <w:bookmarkEnd w:id="306"/>
      <w:bookmarkEnd w:id="307"/>
      <w:r>
        <w:rPr>
          <w:rStyle w:val="NormalText"/>
        </w:rPr>
        <w:t>Administrative support is provided to the Premier’s Office which is staffed by policy and media support, secretarial, and administrative employees under the guidance of the Chief of Staff.</w:t>
      </w:r>
    </w:p>
    <w:p w:rsidR="00797EFE" w:rsidRDefault="00797EFE" w:rsidP="00797EFE">
      <w:pPr>
        <w:rPr>
          <w:rStyle w:val="NormalText"/>
        </w:rPr>
      </w:pPr>
      <w:r>
        <w:rPr>
          <w:rStyle w:val="NormalText"/>
        </w:rPr>
        <w:t>Policy officers advise the Premier on policy and related issues, and liaise with State Parliamentary Members, Ministers and staff in the Ministerial and overseas offices.</w:t>
      </w:r>
    </w:p>
    <w:p w:rsidR="00797EFE" w:rsidRDefault="00797EFE" w:rsidP="00797EFE">
      <w:pPr>
        <w:rPr>
          <w:rStyle w:val="NormalText"/>
        </w:rPr>
      </w:pPr>
      <w:r>
        <w:rPr>
          <w:rStyle w:val="NormalText"/>
        </w:rPr>
        <w:t>Premier’s Office staff are the contact and liaison points for matters directly involving the Premier, attending meetings with him or on his behalf, and following up matters arising from those meetings.</w:t>
      </w:r>
    </w:p>
    <w:p w:rsidR="00C25580" w:rsidRPr="004D2E49" w:rsidRDefault="001001A5" w:rsidP="00797EFE">
      <w:pPr>
        <w:pStyle w:val="Heading5"/>
      </w:pPr>
      <w:r w:rsidRPr="004D2E49">
        <w:t>Ministerial Support</w:t>
      </w:r>
      <w:bookmarkEnd w:id="308"/>
      <w:bookmarkEnd w:id="309"/>
    </w:p>
    <w:p w:rsidR="00797EFE" w:rsidRPr="00797EFE" w:rsidRDefault="00797EFE" w:rsidP="00797EFE">
      <w:pPr>
        <w:rPr>
          <w:lang w:val="en-US"/>
        </w:rPr>
      </w:pPr>
      <w:r w:rsidRPr="00797EFE">
        <w:rPr>
          <w:lang w:val="en-US"/>
        </w:rPr>
        <w:t>Ministerial Support, Ministerial Air Charter, Correspondence and the Community Comment Line collectively comprise the Ministerial Support Unit (MSU).  These sections provide strategic advice and services to the Office of the Premier and all Ministerial Offices regarding human resource matters and other operational issues.  The operation of the Ministerial Air Charter service is also managed by the MSU.</w:t>
      </w:r>
    </w:p>
    <w:p w:rsidR="00797EFE" w:rsidRDefault="00797EFE" w:rsidP="00797EFE">
      <w:r w:rsidRPr="00797EFE">
        <w:rPr>
          <w:lang w:val="en-US"/>
        </w:rPr>
        <w:t>Through the services provided by the Community Comment Line and Correspondence staff, community organisations, private businesses and members of the public convey their views to the Premier and Ministers via telephone, email and letters.  Throughout 2014–15, MSU staff responded to 684 telephone calls received by the Community Comment Line and actioned</w:t>
      </w:r>
      <w:r>
        <w:rPr>
          <w:lang w:val="en-US"/>
        </w:rPr>
        <w:t xml:space="preserve"> </w:t>
      </w:r>
      <w:r w:rsidRPr="00797EFE">
        <w:rPr>
          <w:lang w:val="en-US"/>
        </w:rPr>
        <w:t>7,404 items of correspondence.</w:t>
      </w:r>
    </w:p>
    <w:p w:rsidR="00797EFE" w:rsidRDefault="00797EFE">
      <w:pPr>
        <w:spacing w:line="276" w:lineRule="auto"/>
        <w:rPr>
          <w:rStyle w:val="Heading4Char"/>
        </w:rPr>
      </w:pPr>
      <w:r>
        <w:rPr>
          <w:rStyle w:val="Heading4Char"/>
        </w:rPr>
        <w:br w:type="page"/>
      </w:r>
    </w:p>
    <w:p w:rsidR="006A67AA" w:rsidRDefault="006A67AA" w:rsidP="00797EFE">
      <w:pPr>
        <w:spacing w:line="276" w:lineRule="auto"/>
      </w:pPr>
      <w:r w:rsidRPr="006A67AA">
        <w:rPr>
          <w:rStyle w:val="Heading4Char"/>
        </w:rPr>
        <w:t>Ministerial Merit Panel</w:t>
      </w:r>
    </w:p>
    <w:p w:rsidR="00797EFE" w:rsidRPr="00797EFE" w:rsidRDefault="00797EFE" w:rsidP="00797EFE">
      <w:bookmarkStart w:id="310" w:name="_Toc425370303"/>
      <w:bookmarkStart w:id="311" w:name="_Toc426104525"/>
      <w:r w:rsidRPr="00797EFE">
        <w:t>The Ministerial Merit Panel assesses the merits of all proposed staff to be seconded or appointed to a Ministerial Office.  In order to maintain a consistent approach to the appointment process across all Ministerial Offices, the Ministerial Merit Panel provides advice regarding classification and salary matters.  During 2014–15, the Ministerial Merit Panel considered 113 submissions in both formal and out-of-session meetings.</w:t>
      </w:r>
    </w:p>
    <w:p w:rsidR="00797EFE" w:rsidRDefault="00797EFE" w:rsidP="00797EFE">
      <w:r w:rsidRPr="00797EFE">
        <w:t xml:space="preserve">Merit Panel submissions include requests for appointment on contract, secondments and higher duties allowances. </w:t>
      </w:r>
    </w:p>
    <w:p w:rsidR="00C47A1F" w:rsidRDefault="00C47A1F" w:rsidP="00797EFE">
      <w:pPr>
        <w:pStyle w:val="Heading4"/>
      </w:pPr>
      <w:r>
        <w:t>Facilities Management</w:t>
      </w:r>
      <w:bookmarkEnd w:id="310"/>
      <w:bookmarkEnd w:id="311"/>
    </w:p>
    <w:p w:rsidR="00797EFE" w:rsidRDefault="00797EFE" w:rsidP="00797EFE">
      <w:r>
        <w:t>The Facilities Management Branch:</w:t>
      </w:r>
    </w:p>
    <w:p w:rsidR="00797EFE" w:rsidRDefault="00797EFE" w:rsidP="00AE75A9">
      <w:pPr>
        <w:pStyle w:val="ListParagraph"/>
        <w:numPr>
          <w:ilvl w:val="0"/>
          <w:numId w:val="31"/>
        </w:numPr>
      </w:pPr>
      <w:r>
        <w:t>completed internal moves to facilitate the construction of two Ministerial offices in Dumas House; and</w:t>
      </w:r>
    </w:p>
    <w:p w:rsidR="00F6481F" w:rsidRDefault="00797EFE" w:rsidP="00AE75A9">
      <w:pPr>
        <w:pStyle w:val="ListParagraph"/>
        <w:numPr>
          <w:ilvl w:val="0"/>
          <w:numId w:val="31"/>
        </w:numPr>
      </w:pPr>
      <w:r>
        <w:t>relocated Ministerial offices from commercial accommodation, subsequently surrendering two commercial leases to achieve a rental saving of approximately $1 million per year.</w:t>
      </w:r>
    </w:p>
    <w:p w:rsidR="00277681" w:rsidRPr="00EB57EC" w:rsidRDefault="00277681" w:rsidP="00C63A96">
      <w:pPr>
        <w:pStyle w:val="Heading3"/>
      </w:pPr>
      <w:bookmarkStart w:id="312" w:name="_Toc425370308"/>
      <w:bookmarkStart w:id="313" w:name="_Toc426104529"/>
      <w:r>
        <w:t>Promotion of Western Australia’s interests overseas</w:t>
      </w:r>
    </w:p>
    <w:bookmarkEnd w:id="312"/>
    <w:bookmarkEnd w:id="313"/>
    <w:p w:rsidR="00797EFE" w:rsidRPr="00797EFE" w:rsidRDefault="00797EFE" w:rsidP="00797EFE">
      <w:pPr>
        <w:suppressAutoHyphens/>
        <w:autoSpaceDE w:val="0"/>
        <w:autoSpaceDN w:val="0"/>
        <w:adjustRightInd w:val="0"/>
        <w:spacing w:line="288" w:lineRule="auto"/>
        <w:textAlignment w:val="center"/>
        <w:rPr>
          <w:color w:val="000000"/>
          <w:lang w:val="en-US"/>
        </w:rPr>
      </w:pPr>
      <w:r w:rsidRPr="00797EFE">
        <w:rPr>
          <w:color w:val="000000"/>
          <w:lang w:val="en-US"/>
        </w:rPr>
        <w:t>The Department has direct responsibility for overseas offices in three countries.  These offices are responsible for identifying trade and investment opportunities for Western Australia, and monitoring business developments and activities that are likely to have an impact on Western Australia’s overseas interests.</w:t>
      </w:r>
    </w:p>
    <w:p w:rsidR="00797EFE" w:rsidRPr="00797EFE" w:rsidRDefault="00797EFE" w:rsidP="00797EFE">
      <w:pPr>
        <w:suppressAutoHyphens/>
        <w:autoSpaceDE w:val="0"/>
        <w:autoSpaceDN w:val="0"/>
        <w:adjustRightInd w:val="0"/>
        <w:spacing w:line="288" w:lineRule="auto"/>
        <w:textAlignment w:val="center"/>
        <w:rPr>
          <w:color w:val="000000"/>
          <w:lang w:val="en-US"/>
        </w:rPr>
      </w:pPr>
      <w:r w:rsidRPr="00797EFE">
        <w:rPr>
          <w:color w:val="000000"/>
          <w:lang w:val="en-US"/>
        </w:rPr>
        <w:t>The overseas offices develop and implement strategies to identify, promote, and exploit opportunities in a range of areas, including inward investment, primary and secondary industry trade, skilled migration, tourism, agriculture, resources and education.  These offices are based in:</w:t>
      </w:r>
    </w:p>
    <w:p w:rsidR="00797EFE" w:rsidRPr="00797EFE" w:rsidRDefault="00797EFE" w:rsidP="00AE75A9">
      <w:pPr>
        <w:pStyle w:val="ListParagraph"/>
        <w:numPr>
          <w:ilvl w:val="0"/>
          <w:numId w:val="32"/>
        </w:numPr>
        <w:rPr>
          <w:lang w:val="en-US"/>
        </w:rPr>
      </w:pPr>
      <w:r w:rsidRPr="00797EFE">
        <w:rPr>
          <w:lang w:val="en-US"/>
        </w:rPr>
        <w:t>London, to promote interests across Europe;</w:t>
      </w:r>
    </w:p>
    <w:p w:rsidR="00797EFE" w:rsidRPr="00797EFE" w:rsidRDefault="00797EFE" w:rsidP="00AE75A9">
      <w:pPr>
        <w:pStyle w:val="ListParagraph"/>
        <w:numPr>
          <w:ilvl w:val="0"/>
          <w:numId w:val="32"/>
        </w:numPr>
        <w:rPr>
          <w:lang w:val="en-US"/>
        </w:rPr>
      </w:pPr>
      <w:r w:rsidRPr="00797EFE">
        <w:rPr>
          <w:lang w:val="en-US"/>
        </w:rPr>
        <w:t>Tokyo and Kobe, to focus on North Asia; and</w:t>
      </w:r>
    </w:p>
    <w:p w:rsidR="0071509D" w:rsidRDefault="00797EFE" w:rsidP="00AE75A9">
      <w:pPr>
        <w:pStyle w:val="ListParagraph"/>
        <w:numPr>
          <w:ilvl w:val="0"/>
          <w:numId w:val="32"/>
        </w:numPr>
      </w:pPr>
      <w:r w:rsidRPr="00797EFE">
        <w:rPr>
          <w:lang w:val="en-US"/>
        </w:rPr>
        <w:t>Dubai, to promote interests in the Middle East and Africa.</w:t>
      </w:r>
    </w:p>
    <w:p w:rsidR="00C25580" w:rsidRDefault="00D5105E" w:rsidP="00C63A96">
      <w:pPr>
        <w:pStyle w:val="Heading4"/>
      </w:pPr>
      <w:bookmarkStart w:id="314" w:name="_Toc425370309"/>
      <w:bookmarkStart w:id="315" w:name="_Toc426104530"/>
      <w:r>
        <w:t>European Office</w:t>
      </w:r>
      <w:bookmarkEnd w:id="314"/>
      <w:bookmarkEnd w:id="315"/>
    </w:p>
    <w:p w:rsidR="00797EFE" w:rsidRPr="00797EFE" w:rsidRDefault="00797EFE" w:rsidP="00797EFE">
      <w:pPr>
        <w:rPr>
          <w:lang w:val="en-US"/>
        </w:rPr>
      </w:pPr>
      <w:r w:rsidRPr="00797EFE">
        <w:rPr>
          <w:lang w:val="en-US"/>
        </w:rPr>
        <w:t xml:space="preserve">The European Office in association with the Department of State Development, the Australian Marine Complex, City of Perth and Clough WA participated and exhibited at the Offshore Northern Seas (ONS) exhibition in Stavanger, Norway, 2014, promoting the State as an investment and business development location and continuing to raise the State’s profile in the oil and gas service support sector and in particular in the LNG arena.  </w:t>
      </w:r>
    </w:p>
    <w:p w:rsidR="00797EFE" w:rsidRPr="00797EFE" w:rsidRDefault="00797EFE" w:rsidP="00797EFE">
      <w:pPr>
        <w:rPr>
          <w:lang w:val="en-US"/>
        </w:rPr>
      </w:pPr>
      <w:r w:rsidRPr="00797EFE">
        <w:rPr>
          <w:lang w:val="en-US"/>
        </w:rPr>
        <w:t>During ONS 2014, the Agent General, who chaired the INTSOK Australia session briefing with co-chair Mr Hǻkon Skretting, Regional Director INTSOK, addressed the Smart Metro and CBTC World Congress London 2014, presenting “A Western Australia Rail Opportunities Project Overview” with support from Perth’s Public Transport Authority.</w:t>
      </w:r>
    </w:p>
    <w:p w:rsidR="00797EFE" w:rsidRPr="00797EFE" w:rsidRDefault="00797EFE" w:rsidP="00797EFE">
      <w:pPr>
        <w:rPr>
          <w:lang w:val="en-US"/>
        </w:rPr>
      </w:pPr>
      <w:r w:rsidRPr="00797EFE">
        <w:rPr>
          <w:lang w:val="en-US"/>
        </w:rPr>
        <w:t xml:space="preserve">The Agent General also hosted two roundtable discussions — ‘Opportunities in Western Australia’, London at Metro Rail Europe 2015 and ‘The Future of Urban Mobility’, to promote rail infrastructure business development opportunities in WA, with support from the Public Transport Authority. </w:t>
      </w:r>
    </w:p>
    <w:p w:rsidR="00797EFE" w:rsidRPr="00797EFE" w:rsidRDefault="00797EFE" w:rsidP="00797EFE">
      <w:pPr>
        <w:rPr>
          <w:lang w:val="en-US"/>
        </w:rPr>
      </w:pPr>
      <w:r w:rsidRPr="00797EFE">
        <w:rPr>
          <w:lang w:val="en-US"/>
        </w:rPr>
        <w:t>The European Office attended the 26th World Gas Conference Paris 2015, the largest conference in the global gas industry calendar, with more than 4,000 conference delegates from 100 countries and 500 speakers discussing current and future industry developments.  The European Office promoted LNG18 at the conference and together with the Director General from the WA Department of State Development held separate meetings with ENGIE (formerly GDF Suez), Technip and Subsea 7.</w:t>
      </w:r>
    </w:p>
    <w:p w:rsidR="00797EFE" w:rsidRPr="00797EFE" w:rsidRDefault="00797EFE" w:rsidP="00797EFE">
      <w:pPr>
        <w:rPr>
          <w:lang w:val="en-US"/>
        </w:rPr>
      </w:pPr>
      <w:bookmarkStart w:id="316" w:name="_Toc425370310"/>
      <w:bookmarkStart w:id="317" w:name="_Toc426104531"/>
      <w:r w:rsidRPr="00797EFE">
        <w:rPr>
          <w:lang w:val="en-US"/>
        </w:rPr>
        <w:t>The Office also worked with Western Australian companies in the agriculture sector to develop export opportunities for their products including;</w:t>
      </w:r>
    </w:p>
    <w:p w:rsidR="00797EFE" w:rsidRPr="00797EFE" w:rsidRDefault="00797EFE" w:rsidP="00AE75A9">
      <w:pPr>
        <w:pStyle w:val="ListParagraph"/>
        <w:numPr>
          <w:ilvl w:val="0"/>
          <w:numId w:val="33"/>
        </w:numPr>
        <w:rPr>
          <w:lang w:val="en-US"/>
        </w:rPr>
      </w:pPr>
      <w:r w:rsidRPr="00797EFE">
        <w:rPr>
          <w:lang w:val="en-US"/>
        </w:rPr>
        <w:t>three WA wineries seeking European distributors (Flametree, Fraser Gallop and Talijancich);</w:t>
      </w:r>
    </w:p>
    <w:p w:rsidR="00797EFE" w:rsidRPr="00797EFE" w:rsidRDefault="00797EFE" w:rsidP="00AE75A9">
      <w:pPr>
        <w:pStyle w:val="ListParagraph"/>
        <w:numPr>
          <w:ilvl w:val="0"/>
          <w:numId w:val="33"/>
        </w:numPr>
        <w:rPr>
          <w:lang w:val="en-US"/>
        </w:rPr>
      </w:pPr>
      <w:r w:rsidRPr="00797EFE">
        <w:rPr>
          <w:lang w:val="en-US"/>
        </w:rPr>
        <w:t xml:space="preserve">The WA Chia Company; </w:t>
      </w:r>
    </w:p>
    <w:p w:rsidR="00797EFE" w:rsidRPr="00797EFE" w:rsidRDefault="00797EFE" w:rsidP="00AE75A9">
      <w:pPr>
        <w:pStyle w:val="ListParagraph"/>
        <w:numPr>
          <w:ilvl w:val="0"/>
          <w:numId w:val="33"/>
        </w:numPr>
        <w:rPr>
          <w:lang w:val="en-US"/>
        </w:rPr>
      </w:pPr>
      <w:r w:rsidRPr="00797EFE">
        <w:rPr>
          <w:lang w:val="en-US"/>
        </w:rPr>
        <w:t>WA Wine and Truffle Company; and</w:t>
      </w:r>
    </w:p>
    <w:p w:rsidR="00797EFE" w:rsidRPr="00797EFE" w:rsidRDefault="00797EFE" w:rsidP="00AE75A9">
      <w:pPr>
        <w:pStyle w:val="ListParagraph"/>
        <w:numPr>
          <w:ilvl w:val="0"/>
          <w:numId w:val="33"/>
        </w:numPr>
        <w:rPr>
          <w:lang w:val="en-US"/>
        </w:rPr>
      </w:pPr>
      <w:r w:rsidRPr="00797EFE">
        <w:rPr>
          <w:lang w:val="en-US"/>
        </w:rPr>
        <w:t>Lupin Foods Australia Pty Ltd.</w:t>
      </w:r>
    </w:p>
    <w:p w:rsidR="00797EFE" w:rsidRPr="00797EFE" w:rsidRDefault="00797EFE" w:rsidP="00797EFE">
      <w:pPr>
        <w:rPr>
          <w:lang w:val="en-US"/>
        </w:rPr>
      </w:pPr>
      <w:r w:rsidRPr="00797EFE">
        <w:rPr>
          <w:lang w:val="en-US"/>
        </w:rPr>
        <w:t>The European Office hosts two State Government departments within its office in London.  The Department of Training and Workforce Development undertakes functions associated with migration and education attraction activities.  The Department undertakes migration seminars as well as attending a number of commercial migration expos in the United Kingdom and Ireland.  The European Office’s skilled migration manager also assisted with the on-going recruitment campaign for the WA Police.  Exams were coordinated and run by the Office and facilities and support provided to WA Police when they travelled to London later in the year to interview shortlisted candidates.</w:t>
      </w:r>
    </w:p>
    <w:p w:rsidR="00797EFE" w:rsidRPr="00797EFE" w:rsidRDefault="00797EFE" w:rsidP="00797EFE">
      <w:pPr>
        <w:rPr>
          <w:lang w:val="en-US"/>
        </w:rPr>
      </w:pPr>
      <w:r w:rsidRPr="00797EFE">
        <w:rPr>
          <w:lang w:val="en-US"/>
        </w:rPr>
        <w:t>The Department of Health operates its International Workforce Supply Bureau (IWSB) from the European Office.  The Bureau is staffed by a full-time programme officer based in London and a full-time manager operating between Perth and London, who works in the UK during the peak expo periods of March/April and September/November each year.</w:t>
      </w:r>
    </w:p>
    <w:p w:rsidR="00797EFE" w:rsidRPr="00797EFE" w:rsidRDefault="00797EFE" w:rsidP="00797EFE">
      <w:pPr>
        <w:rPr>
          <w:lang w:val="en-US"/>
        </w:rPr>
      </w:pPr>
      <w:r w:rsidRPr="00797EFE">
        <w:rPr>
          <w:lang w:val="en-US"/>
        </w:rPr>
        <w:t>The role of the IWSB is to attract, advise and refer the specific skilled health professionals from the UK and Ireland needed to supplement staffing required for ‘in-demand’ roles, in public sector hospitals and health services, throughout Western Australia.</w:t>
      </w:r>
    </w:p>
    <w:p w:rsidR="00797EFE" w:rsidRDefault="00797EFE" w:rsidP="00797EFE">
      <w:pPr>
        <w:rPr>
          <w:lang w:val="en-US"/>
        </w:rPr>
      </w:pPr>
      <w:r w:rsidRPr="00797EFE">
        <w:rPr>
          <w:lang w:val="en-US"/>
        </w:rPr>
        <w:t xml:space="preserve">The Bureau’s London based operations have been effective in responding to an unprecedented number of requests to meet workforce needs across the system.  </w:t>
      </w:r>
    </w:p>
    <w:p w:rsidR="00797EFE" w:rsidRPr="00797EFE" w:rsidRDefault="00797EFE" w:rsidP="00797EFE">
      <w:pPr>
        <w:rPr>
          <w:lang w:val="en-US"/>
        </w:rPr>
      </w:pPr>
      <w:r w:rsidRPr="00797EFE">
        <w:rPr>
          <w:lang w:val="en-US"/>
        </w:rPr>
        <w:t>45 in-demand and specialty roles were targeted in 2014–15.  Of these, 23 were medical, 15 were nursing, and seven health professional roles.</w:t>
      </w:r>
    </w:p>
    <w:p w:rsidR="00797EFE" w:rsidRPr="00797EFE" w:rsidRDefault="00797EFE" w:rsidP="00797EFE">
      <w:pPr>
        <w:rPr>
          <w:lang w:val="en-US"/>
        </w:rPr>
      </w:pPr>
      <w:r w:rsidRPr="00797EFE">
        <w:rPr>
          <w:lang w:val="en-US"/>
        </w:rPr>
        <w:t>IWSB staff engaged with many hundreds of potential candidates considering moving to WA both imminently and within the next few years.  Of these, approximately 285 registered and clinical nursing and midwifery specialists, 390 medical practitioners and 53 allied health professionals were individually processed and referred to WA Hospital workforce teams for recruitment and selection into area of need and in-demand vacancies.</w:t>
      </w:r>
    </w:p>
    <w:p w:rsidR="00C25580" w:rsidRDefault="00D5105E" w:rsidP="00C63A96">
      <w:pPr>
        <w:pStyle w:val="Heading4"/>
      </w:pPr>
      <w:r>
        <w:t>North Asia Office</w:t>
      </w:r>
      <w:bookmarkEnd w:id="316"/>
      <w:bookmarkEnd w:id="317"/>
    </w:p>
    <w:p w:rsidR="00BF335C" w:rsidRPr="00BF335C" w:rsidRDefault="00BF335C" w:rsidP="00BF335C">
      <w:pPr>
        <w:rPr>
          <w:lang w:val="en-US"/>
        </w:rPr>
      </w:pPr>
      <w:bookmarkStart w:id="318" w:name="_Toc425370311"/>
      <w:bookmarkStart w:id="319" w:name="_Toc426104532"/>
      <w:r w:rsidRPr="00BF335C">
        <w:rPr>
          <w:lang w:val="en-US"/>
        </w:rPr>
        <w:t>During 2014 the North Asia Office hosted a visit by the Minister for Mines and Petroleum and delegations from the Legislative Assembly and the Legislative Council.  All of these visits met with high level executives in both the private and public sectors and reaffirmed Western Australia’s commitment to its relationship with Japan.  Energy and food security are key to the WA-Japan relationship and these visits furthered the confidence Japan has in Western Australia as a stable and long term supplier of minerals, energy and food products.</w:t>
      </w:r>
    </w:p>
    <w:p w:rsidR="00BF335C" w:rsidRPr="00BF335C" w:rsidRDefault="00BF335C" w:rsidP="00BF335C">
      <w:pPr>
        <w:rPr>
          <w:lang w:val="en-US"/>
        </w:rPr>
      </w:pPr>
      <w:r w:rsidRPr="00BF335C">
        <w:rPr>
          <w:lang w:val="en-US"/>
        </w:rPr>
        <w:t xml:space="preserve">Major achievements of the Office included a prominent role in the successful conclusion of Australia’s free trade agreement with Japan and a successful invitation to visit Western Australia by the Prime Minister of Japan, His Excellency Mr Shinzo Abe.  Mr Abe’s visit was significant in that it covered both the resources and the increasingly important agribusiness sectors.  A visit by the wife of the Prime Minister to one of WA’s noodle wheat development facilities served to focus attention on the fact that WA is Japan’s number one supplier of noodle wheat. </w:t>
      </w:r>
    </w:p>
    <w:p w:rsidR="00797EFE" w:rsidRDefault="00BF335C" w:rsidP="00BF335C">
      <w:pPr>
        <w:rPr>
          <w:lang w:val="en-US"/>
        </w:rPr>
      </w:pPr>
      <w:r w:rsidRPr="00BF335C">
        <w:rPr>
          <w:lang w:val="en-US"/>
        </w:rPr>
        <w:t>Japanese investment in the value chain that our wheat supply represents is an ongoing area of promotion for the Office and continued success is expected.</w:t>
      </w:r>
    </w:p>
    <w:p w:rsidR="00BF335C" w:rsidRPr="00BF335C" w:rsidRDefault="00BF335C" w:rsidP="00BF335C">
      <w:pPr>
        <w:rPr>
          <w:color w:val="000000"/>
          <w:lang w:val="en-US"/>
        </w:rPr>
      </w:pPr>
      <w:r w:rsidRPr="00BF335C">
        <w:rPr>
          <w:color w:val="000000"/>
          <w:lang w:val="en-US"/>
        </w:rPr>
        <w:t>The Office also hosted visits by WA Treasury Corporation and more than 30 in-market visits by WA companies.  The Office acts as an important link between the Treasury Corporation and the Japanese financial sector and produces a monthly newsletter in Japanese that has become a valuable tool in dispersing information on the WA economy and opportunities for investment.</w:t>
      </w:r>
    </w:p>
    <w:p w:rsidR="00BF335C" w:rsidRPr="00BF335C" w:rsidRDefault="00BF335C" w:rsidP="00BF335C">
      <w:pPr>
        <w:rPr>
          <w:color w:val="000000"/>
          <w:lang w:val="en-US"/>
        </w:rPr>
      </w:pPr>
      <w:r w:rsidRPr="00BF335C">
        <w:rPr>
          <w:color w:val="000000"/>
          <w:lang w:val="en-US"/>
        </w:rPr>
        <w:t>In-market visits covered a range of industry sectors including resources, finished products and agricultural produce.  The latter has benefited greatly from the conclusion of the free trade agreement and the business matching services of the Office have allowed WA companies to reach successful export contracts with Japanese buyers.</w:t>
      </w:r>
    </w:p>
    <w:p w:rsidR="00BF335C" w:rsidRPr="00BF335C" w:rsidRDefault="00BF335C" w:rsidP="00BF335C">
      <w:pPr>
        <w:rPr>
          <w:color w:val="000000"/>
          <w:lang w:val="en-US"/>
        </w:rPr>
      </w:pPr>
      <w:r w:rsidRPr="00BF335C">
        <w:rPr>
          <w:color w:val="000000"/>
          <w:lang w:val="en-US"/>
        </w:rPr>
        <w:t xml:space="preserve">The Office continued to liaise with major airlines on the re-establishment of a direct flight between Tokyo and Perth and was assisted in this effort by Tourism WA and the Lord Mayor of Perth.  Establishment of direct flights is an important goal the Office is seeking to achieve, as it will serve as a vital conduit in business, tourism and live seafood exports. </w:t>
      </w:r>
    </w:p>
    <w:p w:rsidR="00BF335C" w:rsidRDefault="00BF335C" w:rsidP="00BF335C">
      <w:pPr>
        <w:rPr>
          <w:color w:val="000000"/>
          <w:lang w:val="en-US"/>
        </w:rPr>
      </w:pPr>
      <w:r w:rsidRPr="00BF335C">
        <w:rPr>
          <w:color w:val="000000"/>
          <w:lang w:val="en-US"/>
        </w:rPr>
        <w:t xml:space="preserve">The promotion of education remains a priority for the Office and once again a successful mission to WA for Japanese agents was conducted.  This served to identify opportunities for both public and private education institutions in WA, and promoted increased links.  A rise in the number of student visas issued to Japan for study in WA was attributed to the promotional work the </w:t>
      </w:r>
      <w:r>
        <w:rPr>
          <w:color w:val="000000"/>
          <w:lang w:val="en-US"/>
        </w:rPr>
        <w:t>Office conducts in this sector.</w:t>
      </w:r>
    </w:p>
    <w:p w:rsidR="001630AB" w:rsidRDefault="001630AB">
      <w:pPr>
        <w:spacing w:line="276" w:lineRule="auto"/>
        <w:rPr>
          <w:color w:val="000000"/>
          <w:lang w:val="en-US"/>
        </w:rPr>
      </w:pPr>
      <w:r>
        <w:rPr>
          <w:color w:val="000000"/>
          <w:lang w:val="en-US"/>
        </w:rPr>
        <w:br w:type="page"/>
      </w:r>
    </w:p>
    <w:p w:rsidR="00C25580" w:rsidRDefault="00D5105E" w:rsidP="00BF335C">
      <w:pPr>
        <w:pStyle w:val="Heading4"/>
      </w:pPr>
      <w:r>
        <w:t>Middle East and Africa</w:t>
      </w:r>
      <w:bookmarkEnd w:id="318"/>
      <w:bookmarkEnd w:id="319"/>
    </w:p>
    <w:p w:rsidR="00BF335C" w:rsidRPr="00BF335C" w:rsidRDefault="00BF335C" w:rsidP="00BF335C">
      <w:pPr>
        <w:rPr>
          <w:lang w:val="en-US"/>
        </w:rPr>
      </w:pPr>
      <w:r w:rsidRPr="00BF335C">
        <w:rPr>
          <w:lang w:val="en-US"/>
        </w:rPr>
        <w:t>The WATO (Western Australia Trade Office) in Dubai is headed by a Commissioner with a team of three focusing on the Middle East market while providing support to the fourth member of the team based in Kenya.  The Africa based representative reports directly to the Commissioner and caters for all activities in the region.</w:t>
      </w:r>
    </w:p>
    <w:p w:rsidR="00CE3F50" w:rsidRPr="00BF335C" w:rsidRDefault="00BF335C" w:rsidP="00BF335C">
      <w:pPr>
        <w:rPr>
          <w:lang w:val="en-US"/>
        </w:rPr>
      </w:pPr>
      <w:r w:rsidRPr="00BF335C">
        <w:rPr>
          <w:lang w:val="en-US"/>
        </w:rPr>
        <w:t xml:space="preserve">The WATO’s focus markets are the Gulf Cooperation Council (GCC) which comprises of Saudi Arabia, the United Arab Emirates (UAE), Oman, Bahrain, Kuwait and Qatar.  The focus for the African region is the East Africa bloc.  It is the most rapidly developing region in Africa with recent discoveries of oil and gas and increased emphasis on mining provide the greatest opportunities for Western Australian companies.  Kenya, Tanzania, Uganda/Rwanda, Mozambique and Zambia are the </w:t>
      </w:r>
      <w:proofErr w:type="spellStart"/>
      <w:r w:rsidRPr="00BF335C">
        <w:rPr>
          <w:lang w:val="en-US"/>
        </w:rPr>
        <w:t>countries</w:t>
      </w:r>
      <w:proofErr w:type="spellEnd"/>
      <w:r w:rsidRPr="00BF335C">
        <w:rPr>
          <w:lang w:val="en-US"/>
        </w:rPr>
        <w:t xml:space="preserve"> most viable for Western Australian interest for their membership in COMESA and the Commonwealth and IOR-ARC.</w:t>
      </w:r>
    </w:p>
    <w:p w:rsidR="00CE3F50" w:rsidRDefault="00B01B46" w:rsidP="00C63A96">
      <w:pPr>
        <w:pStyle w:val="Heading5"/>
      </w:pPr>
      <w:bookmarkStart w:id="320" w:name="_Toc426104533"/>
      <w:r>
        <w:t xml:space="preserve">Annual </w:t>
      </w:r>
      <w:r w:rsidR="00CE3F50">
        <w:t xml:space="preserve">CBH </w:t>
      </w:r>
      <w:r>
        <w:t xml:space="preserve">Middle East </w:t>
      </w:r>
      <w:r w:rsidR="00CE3F50">
        <w:t>Growers Study Tour</w:t>
      </w:r>
      <w:bookmarkEnd w:id="320"/>
    </w:p>
    <w:p w:rsidR="00BF335C" w:rsidRPr="00BF335C" w:rsidRDefault="00BF335C" w:rsidP="00BF335C">
      <w:pPr>
        <w:rPr>
          <w:lang w:val="en-US"/>
        </w:rPr>
      </w:pPr>
      <w:r w:rsidRPr="00BF335C">
        <w:rPr>
          <w:lang w:val="en-US"/>
        </w:rPr>
        <w:t xml:space="preserve">The WATO once again had the pleasure of receiving the CBH Middle East Grower Study Tour in September 2014.  The third annual visit to the region saw the growers travel to Saudi Arabia, UAE, and Oman.  This group was the first ever delegation to have female members visit Saudi Arabia.  Among the various meetings with industry leaders in each country, the Tour visited the 33rd International Agriculture, Water &amp; Agri-Industry Show in Riyadh, Saudi Arabia. </w:t>
      </w:r>
    </w:p>
    <w:p w:rsidR="00CE3F50" w:rsidRDefault="00CE3F50" w:rsidP="00C63A96">
      <w:pPr>
        <w:pStyle w:val="Heading5"/>
      </w:pPr>
      <w:bookmarkStart w:id="321" w:name="_Toc426104534"/>
      <w:r>
        <w:t>D</w:t>
      </w:r>
      <w:r w:rsidR="00466D3A">
        <w:t>irector General</w:t>
      </w:r>
      <w:r>
        <w:t xml:space="preserve"> DAFWA visit to Saudi Arabia</w:t>
      </w:r>
      <w:bookmarkEnd w:id="321"/>
    </w:p>
    <w:p w:rsidR="00BF335C" w:rsidRDefault="00BF335C" w:rsidP="00BF335C">
      <w:pPr>
        <w:rPr>
          <w:rStyle w:val="NormalText"/>
        </w:rPr>
      </w:pPr>
      <w:bookmarkStart w:id="322" w:name="_Toc426104535"/>
      <w:r>
        <w:rPr>
          <w:rStyle w:val="NormalText"/>
        </w:rPr>
        <w:t>The 40th Session of the International Grains Council (IGC) held on 10 December 2014 in Jeddah Saudia Arabia, was a high level public forum where senior private sector representatives and government policy makers discussed topical issues affecting the global grains and oilseeds industry.  Participants can obtain and exchange first-hand information and assessments, and establish contacts with major players in the world grain markets.</w:t>
      </w:r>
    </w:p>
    <w:p w:rsidR="00BF335C" w:rsidRDefault="00BF335C" w:rsidP="00BF335C">
      <w:pPr>
        <w:rPr>
          <w:rStyle w:val="NormalText"/>
        </w:rPr>
      </w:pPr>
      <w:r>
        <w:rPr>
          <w:rStyle w:val="NormalText"/>
        </w:rPr>
        <w:t xml:space="preserve">Through the facilitation of the WATO, the Director General of the Department of Agriculture and Food, Mr Rob Delane was officially invited to speak at the forum. This was a significant achievement at this prestigious event.  The IGC featured two presentations from Western Australia, one by Mr Delane and the other by an AEGIC representative. </w:t>
      </w:r>
    </w:p>
    <w:p w:rsidR="00BF335C" w:rsidRDefault="00BF335C" w:rsidP="00BF335C">
      <w:pPr>
        <w:rPr>
          <w:rStyle w:val="NormalText"/>
        </w:rPr>
      </w:pPr>
      <w:r>
        <w:rPr>
          <w:rStyle w:val="NormalText"/>
        </w:rPr>
        <w:t>While in Saudi Arabia Mr Delane included visits to key industry and ministerial meetings in Saudi Arabia as well as a day-trip to Dubai, UAE.  Western Australia’s agricultural interests were promoted at a major grain conference and in meetings with leading agribusiness companies such as United Feed Company, Arasco, AlMarai, and Indomie as well as a site visit to the new Jeddah abattoir.  In Riyadh, an industry networking luncheon was organised with top industry contacts including Al Dahra Agriculture Company, Choithrams, Barakat Foods, Hakan Foods, Emirates Sky Cargo, MLA, Coca-Cola and others.</w:t>
      </w:r>
    </w:p>
    <w:p w:rsidR="00CE3F50" w:rsidRDefault="00C970C9" w:rsidP="00BF335C">
      <w:pPr>
        <w:pStyle w:val="Heading5"/>
      </w:pPr>
      <w:r>
        <w:t xml:space="preserve">NADEC – DAFWA </w:t>
      </w:r>
      <w:r w:rsidR="00CE3F50">
        <w:t>Australia joint project</w:t>
      </w:r>
      <w:bookmarkEnd w:id="322"/>
    </w:p>
    <w:p w:rsidR="00BF335C" w:rsidRPr="00BF335C" w:rsidRDefault="00BF335C" w:rsidP="00BF335C">
      <w:pPr>
        <w:rPr>
          <w:lang w:val="en-US"/>
        </w:rPr>
      </w:pPr>
      <w:r w:rsidRPr="00BF335C">
        <w:rPr>
          <w:lang w:val="en-US"/>
        </w:rPr>
        <w:t>The WATO Office has been working with the National Agricultural Development Company (NADEC) for the past five years and has coordinated a number of inward missions to NADEC offices and farms.  A number of meetings were held with the NADEC executives to understand company requirements.  With the support from the Department of Agriculture and Food Western Australia (DAFWA) a joint feasibility study was initiated last year.</w:t>
      </w:r>
    </w:p>
    <w:p w:rsidR="00CE3F50" w:rsidRPr="00BF335C" w:rsidRDefault="00BF335C" w:rsidP="00BF335C">
      <w:pPr>
        <w:rPr>
          <w:lang w:val="en-US"/>
        </w:rPr>
      </w:pPr>
      <w:r w:rsidRPr="00BF335C">
        <w:rPr>
          <w:lang w:val="en-US"/>
        </w:rPr>
        <w:t xml:space="preserve">A visit by a DAFWA technical representative to Saudi Arabia was conducted to obtain on site information.  The exchange of knowledge has since resulted in several reports currently under review by the technical and management department in NADEC. </w:t>
      </w:r>
    </w:p>
    <w:p w:rsidR="00CE3F50" w:rsidRDefault="00CE3F50" w:rsidP="00C63A96">
      <w:pPr>
        <w:pStyle w:val="Heading5"/>
      </w:pPr>
      <w:bookmarkStart w:id="323" w:name="_Toc426104537"/>
      <w:r>
        <w:t>Mediation Assistance (</w:t>
      </w:r>
      <w:r w:rsidR="00BF335C" w:rsidRPr="00BF335C">
        <w:t>WA Client</w:t>
      </w:r>
      <w:r w:rsidR="00BF335C">
        <w:t xml:space="preserve"> - </w:t>
      </w:r>
      <w:r w:rsidR="00BF335C" w:rsidRPr="00BF335C">
        <w:t>Middle East Customer</w:t>
      </w:r>
      <w:r>
        <w:t>)</w:t>
      </w:r>
      <w:bookmarkEnd w:id="323"/>
    </w:p>
    <w:p w:rsidR="00C970C9" w:rsidRPr="00C970C9" w:rsidRDefault="00C970C9" w:rsidP="00C970C9">
      <w:pPr>
        <w:rPr>
          <w:lang w:val="en-US"/>
        </w:rPr>
      </w:pPr>
      <w:bookmarkStart w:id="324" w:name="_Toc426104538"/>
      <w:r w:rsidRPr="00C970C9">
        <w:rPr>
          <w:lang w:val="en-US"/>
        </w:rPr>
        <w:t>The Office assisted in the introduction of a customer with the sale of 14 containers of lupins to one of the biggest grain importers in Egypt.  In first quarter of 2015, the WATO had further provided comprehensive assistance to assist a WA client in resolving an issue with a Middle East customer on demurrage charges incurred due to delays at Egyptian Port. Mediation assistance was provided on ground in Alexandria achieving a successful outcome.</w:t>
      </w:r>
    </w:p>
    <w:p w:rsidR="00CE3F50" w:rsidRDefault="00CE3F50" w:rsidP="00C63A96">
      <w:pPr>
        <w:pStyle w:val="Heading5"/>
      </w:pPr>
      <w:r>
        <w:t>Deputy Premier Visit, Dubai – UAE</w:t>
      </w:r>
      <w:bookmarkEnd w:id="324"/>
    </w:p>
    <w:p w:rsidR="00C970C9" w:rsidRDefault="00C970C9" w:rsidP="00C970C9">
      <w:pPr>
        <w:pStyle w:val="BasicParagraph"/>
        <w:rPr>
          <w:rStyle w:val="NormalText"/>
        </w:rPr>
      </w:pPr>
      <w:bookmarkStart w:id="325" w:name="_Toc425370306"/>
      <w:bookmarkStart w:id="326" w:name="_Toc426104527"/>
      <w:bookmarkStart w:id="327" w:name="_Toc425370305"/>
      <w:bookmarkStart w:id="328" w:name="_Toc426104526"/>
      <w:bookmarkStart w:id="329" w:name="_Toc425370312"/>
      <w:bookmarkStart w:id="330" w:name="_Toc426104539"/>
      <w:r>
        <w:rPr>
          <w:rStyle w:val="NormalText"/>
        </w:rPr>
        <w:t xml:space="preserve">The WATO organised and coordinated the one day stopover in Dubai, UAE by the WA Deputy Premier and Chief of Staff on 4 June 2015.  </w:t>
      </w:r>
    </w:p>
    <w:p w:rsidR="00C970C9" w:rsidRDefault="00C970C9" w:rsidP="00C970C9">
      <w:pPr>
        <w:pStyle w:val="BasicParagraph"/>
        <w:rPr>
          <w:rStyle w:val="NormalText"/>
        </w:rPr>
      </w:pPr>
      <w:r>
        <w:rPr>
          <w:rStyle w:val="NormalText"/>
        </w:rPr>
        <w:t>The visit programme included;</w:t>
      </w:r>
    </w:p>
    <w:p w:rsidR="00C970C9" w:rsidRDefault="00C970C9" w:rsidP="00AE75A9">
      <w:pPr>
        <w:pStyle w:val="ListParagraph"/>
        <w:numPr>
          <w:ilvl w:val="0"/>
          <w:numId w:val="34"/>
        </w:numPr>
        <w:rPr>
          <w:rStyle w:val="NormalText"/>
        </w:rPr>
      </w:pPr>
      <w:r>
        <w:rPr>
          <w:rStyle w:val="NormalText"/>
        </w:rPr>
        <w:t>Dubai Tourism — meeting with the Director General;</w:t>
      </w:r>
    </w:p>
    <w:p w:rsidR="00C970C9" w:rsidRDefault="00C970C9" w:rsidP="00AE75A9">
      <w:pPr>
        <w:pStyle w:val="ListParagraph"/>
        <w:numPr>
          <w:ilvl w:val="0"/>
          <w:numId w:val="34"/>
        </w:numPr>
        <w:rPr>
          <w:rStyle w:val="NormalText"/>
        </w:rPr>
      </w:pPr>
      <w:r>
        <w:rPr>
          <w:rStyle w:val="NormalText"/>
        </w:rPr>
        <w:t>site visits of world famous iconic tourism infrastructure projects in Dubai;  and</w:t>
      </w:r>
    </w:p>
    <w:p w:rsidR="00C970C9" w:rsidRDefault="00C970C9" w:rsidP="00AE75A9">
      <w:pPr>
        <w:pStyle w:val="ListParagraph"/>
        <w:numPr>
          <w:ilvl w:val="0"/>
          <w:numId w:val="34"/>
        </w:numPr>
        <w:rPr>
          <w:rStyle w:val="NormalText"/>
        </w:rPr>
      </w:pPr>
      <w:r>
        <w:rPr>
          <w:rStyle w:val="NormalText"/>
        </w:rPr>
        <w:t>a business luncheon event as hosted by the WATO.  Attendees include Australian government representatives, airline and industry representative for semi-informal tourism centred discussion.</w:t>
      </w:r>
    </w:p>
    <w:p w:rsidR="00277681" w:rsidRDefault="00277681" w:rsidP="00C970C9">
      <w:pPr>
        <w:pStyle w:val="Heading3"/>
      </w:pPr>
      <w:r w:rsidRPr="00277681">
        <w:t>Communication of Government policies and activities</w:t>
      </w:r>
    </w:p>
    <w:p w:rsidR="00775AAB" w:rsidRDefault="00775AAB" w:rsidP="00C63A96">
      <w:pPr>
        <w:pStyle w:val="Heading4"/>
      </w:pPr>
      <w:r>
        <w:t>Media Services</w:t>
      </w:r>
      <w:bookmarkEnd w:id="325"/>
      <w:bookmarkEnd w:id="326"/>
    </w:p>
    <w:p w:rsidR="00C970C9" w:rsidRPr="00C970C9" w:rsidRDefault="00C970C9" w:rsidP="00C970C9">
      <w:pPr>
        <w:rPr>
          <w:lang w:val="en-US"/>
        </w:rPr>
      </w:pPr>
      <w:r w:rsidRPr="00C970C9">
        <w:rPr>
          <w:lang w:val="en-US"/>
        </w:rPr>
        <w:t>The Department of the Premier and Cabinet’s Media Services comprises the Government Communications Unit (GCU), the Media Monitoring Unit (MMU) and the Administrative Support Unit (ASU).</w:t>
      </w:r>
    </w:p>
    <w:p w:rsidR="00C970C9" w:rsidRPr="00C970C9" w:rsidRDefault="00C970C9" w:rsidP="000B0E41">
      <w:pPr>
        <w:rPr>
          <w:lang w:val="en-US"/>
        </w:rPr>
      </w:pPr>
      <w:r w:rsidRPr="00C970C9">
        <w:rPr>
          <w:lang w:val="en-US"/>
        </w:rPr>
        <w:t>The GCU manages the advertising and communication approval process, through the Independent Communications Review Committee (ICRC).  A new Premier’s Circular regarding government advertising and communications was issued in November 2014 and the revised policy and guidelines are available on the Department’s website.</w:t>
      </w:r>
    </w:p>
    <w:p w:rsidR="00C970C9" w:rsidRPr="00C970C9" w:rsidRDefault="00C970C9" w:rsidP="000B0E41">
      <w:pPr>
        <w:rPr>
          <w:lang w:val="en-US"/>
        </w:rPr>
      </w:pPr>
      <w:r w:rsidRPr="00C970C9">
        <w:rPr>
          <w:lang w:val="en-US"/>
        </w:rPr>
        <w:t>The MMU caters for the media monitoring needs of the Premier, Ministers and a select range of government departments and agencies.</w:t>
      </w:r>
    </w:p>
    <w:p w:rsidR="00C970C9" w:rsidRPr="00C970C9" w:rsidRDefault="00C970C9" w:rsidP="000B0E41">
      <w:pPr>
        <w:rPr>
          <w:lang w:val="en-US"/>
        </w:rPr>
      </w:pPr>
      <w:r w:rsidRPr="00C970C9">
        <w:rPr>
          <w:lang w:val="en-US"/>
        </w:rPr>
        <w:t xml:space="preserve">The ASU coordinates and distributes information to media outlets, and provides support to ministerial media advisers. </w:t>
      </w:r>
    </w:p>
    <w:p w:rsidR="00C970C9" w:rsidRPr="00C970C9" w:rsidRDefault="00C970C9" w:rsidP="000B0E41">
      <w:pPr>
        <w:rPr>
          <w:lang w:val="en-US"/>
        </w:rPr>
      </w:pPr>
      <w:r w:rsidRPr="00C970C9">
        <w:rPr>
          <w:lang w:val="en-US"/>
        </w:rPr>
        <w:t xml:space="preserve">It maintains the Ministerial Media Statements website (www.mediastatements.wa.gov.au) and the Premier of Western Australia and Cabinet Ministers’ website (www.premier.wa.gov.au). </w:t>
      </w:r>
    </w:p>
    <w:p w:rsidR="00B848AB" w:rsidRPr="00C970C9" w:rsidRDefault="00C970C9" w:rsidP="000B0E41">
      <w:pPr>
        <w:rPr>
          <w:lang w:val="en-US"/>
        </w:rPr>
      </w:pPr>
      <w:r w:rsidRPr="00C970C9">
        <w:rPr>
          <w:lang w:val="en-US"/>
        </w:rPr>
        <w:t>The ASU also arranges and hosts media conferences in the Dumas Media Room to meet the need for fast and effective communications.</w:t>
      </w:r>
    </w:p>
    <w:p w:rsidR="00277681" w:rsidRPr="00EB57EC" w:rsidRDefault="00277681" w:rsidP="00C970C9">
      <w:pPr>
        <w:pStyle w:val="Heading3"/>
      </w:pPr>
      <w:r>
        <w:t>Administration of entitlements for Members and former Members of Parliament</w:t>
      </w:r>
    </w:p>
    <w:bookmarkEnd w:id="327"/>
    <w:bookmarkEnd w:id="328"/>
    <w:p w:rsidR="00C970C9" w:rsidRPr="00C970C9" w:rsidRDefault="00C970C9" w:rsidP="000B0E41">
      <w:pPr>
        <w:rPr>
          <w:lang w:val="en-US"/>
        </w:rPr>
      </w:pPr>
      <w:r w:rsidRPr="00C970C9">
        <w:rPr>
          <w:lang w:val="en-US"/>
        </w:rPr>
        <w:t>The Entitlements and Transport Branch provide support to all Members of Parliament to conduct their parliamentary and electorate duties.</w:t>
      </w:r>
    </w:p>
    <w:p w:rsidR="00C970C9" w:rsidRPr="00C970C9" w:rsidRDefault="00C970C9" w:rsidP="000B0E41">
      <w:pPr>
        <w:rPr>
          <w:lang w:val="en-US"/>
        </w:rPr>
      </w:pPr>
      <w:r w:rsidRPr="00C970C9">
        <w:rPr>
          <w:lang w:val="en-US"/>
        </w:rPr>
        <w:t>Site visits at electorate offices are regularly conducted, liaising with Members and their staff to assist with maintenance requirements, furniture and equipment and conducting occupational safety and health inspections.</w:t>
      </w:r>
    </w:p>
    <w:p w:rsidR="00C970C9" w:rsidRPr="00C970C9" w:rsidRDefault="00C970C9" w:rsidP="000B0E41">
      <w:pPr>
        <w:rPr>
          <w:lang w:val="en-US"/>
        </w:rPr>
      </w:pPr>
      <w:r w:rsidRPr="00C970C9">
        <w:rPr>
          <w:lang w:val="en-US"/>
        </w:rPr>
        <w:t>The Branch continues to administer and provide advice about travel, motor vehicle and other entitlements for Members of Parliament.</w:t>
      </w:r>
    </w:p>
    <w:p w:rsidR="0097462A" w:rsidRDefault="00C970C9" w:rsidP="000B0E41">
      <w:r w:rsidRPr="00C970C9">
        <w:rPr>
          <w:lang w:val="en-US"/>
        </w:rPr>
        <w:t>The Department’s vehicle fleet is coordinated by the Branch.</w:t>
      </w:r>
    </w:p>
    <w:p w:rsidR="00776A0E" w:rsidRDefault="00776A0E" w:rsidP="00C63A96">
      <w:pPr>
        <w:pStyle w:val="Heading3"/>
      </w:pPr>
      <w:r>
        <w:t>Man</w:t>
      </w:r>
      <w:r w:rsidR="00122953">
        <w:t xml:space="preserve">agement of the State occasions and </w:t>
      </w:r>
      <w:r>
        <w:t>official visits program</w:t>
      </w:r>
    </w:p>
    <w:p w:rsidR="000B0E41" w:rsidRPr="000B0E41" w:rsidRDefault="000B0E41" w:rsidP="000B0E41">
      <w:pPr>
        <w:rPr>
          <w:lang w:val="en-US"/>
        </w:rPr>
      </w:pPr>
      <w:r w:rsidRPr="000B0E41">
        <w:rPr>
          <w:lang w:val="en-US"/>
        </w:rPr>
        <w:t>The State Ceremonial and Events team continued its role of planning and coordinating official visits to the State, arranging and managing State hospitality functions as well as ceremonial and special events, arranging official gifts for presentation by the Premier, providing advice to the Premier/Government and the public, liaising with the WA Consular Corps, facilitating requests for diplomatic and official passports and managing the State’s flag allocation scheme.</w:t>
      </w:r>
    </w:p>
    <w:p w:rsidR="000B0E41" w:rsidRPr="000B0E41" w:rsidRDefault="000B0E41" w:rsidP="000B0E41">
      <w:pPr>
        <w:rPr>
          <w:lang w:val="en-US"/>
        </w:rPr>
      </w:pPr>
      <w:r w:rsidRPr="000B0E41">
        <w:rPr>
          <w:lang w:val="en-US"/>
        </w:rPr>
        <w:t>For the period 1 July 2014 to 30 June 2015, the State Ceremonial and Events Branch coordinated 16 ambassadorial visits to Western Australia (five of which were cancelled at late notice).  In addition, the following significant visits were managed by the Branch:</w:t>
      </w:r>
    </w:p>
    <w:p w:rsidR="000B0E41" w:rsidRPr="000B0E41" w:rsidRDefault="000B0E41" w:rsidP="00AE75A9">
      <w:pPr>
        <w:pStyle w:val="ListParagraph"/>
        <w:numPr>
          <w:ilvl w:val="0"/>
          <w:numId w:val="35"/>
        </w:numPr>
        <w:rPr>
          <w:lang w:val="en-US"/>
        </w:rPr>
      </w:pPr>
      <w:r w:rsidRPr="000B0E41">
        <w:rPr>
          <w:lang w:val="en-US"/>
        </w:rPr>
        <w:t>Commonwealth Guest of Government visit by His Excellency Mr Shinzo Abe, Prime Minister of Japan and Mrs Akie Abe, July 2014</w:t>
      </w:r>
    </w:p>
    <w:p w:rsidR="000B0E41" w:rsidRPr="000B0E41" w:rsidRDefault="000B0E41" w:rsidP="00AE75A9">
      <w:pPr>
        <w:pStyle w:val="ListParagraph"/>
        <w:numPr>
          <w:ilvl w:val="0"/>
          <w:numId w:val="35"/>
        </w:numPr>
        <w:rPr>
          <w:lang w:val="en-US"/>
        </w:rPr>
      </w:pPr>
      <w:r w:rsidRPr="000B0E41">
        <w:rPr>
          <w:lang w:val="en-US"/>
        </w:rPr>
        <w:t>His Royal Highness Prince Edward, Earl of Wessex, November 2014 (provided support)</w:t>
      </w:r>
    </w:p>
    <w:p w:rsidR="000B0E41" w:rsidRPr="000B0E41" w:rsidRDefault="000B0E41" w:rsidP="00AE75A9">
      <w:pPr>
        <w:pStyle w:val="ListParagraph"/>
        <w:numPr>
          <w:ilvl w:val="0"/>
          <w:numId w:val="35"/>
        </w:numPr>
        <w:rPr>
          <w:lang w:val="en-US"/>
        </w:rPr>
      </w:pPr>
      <w:r w:rsidRPr="000B0E41">
        <w:rPr>
          <w:lang w:val="en-US"/>
        </w:rPr>
        <w:t>Commonwealth Guest of Government visit by Their Majesties, King Harald V and Queen Sonja of Norway, February 2015</w:t>
      </w:r>
    </w:p>
    <w:bookmarkEnd w:id="329"/>
    <w:bookmarkEnd w:id="330"/>
    <w:p w:rsidR="000B0E41" w:rsidRPr="000B0E41" w:rsidRDefault="000B0E41" w:rsidP="000B0E41">
      <w:pPr>
        <w:rPr>
          <w:lang w:val="en-US"/>
        </w:rPr>
      </w:pPr>
      <w:r w:rsidRPr="000B0E41">
        <w:rPr>
          <w:lang w:val="en-US"/>
        </w:rPr>
        <w:t>Arrangements for ten State hospitality events associated with ambassadorial visits were made by the Branch (two of which were cancelled at late notice).</w:t>
      </w:r>
    </w:p>
    <w:p w:rsidR="000B0E41" w:rsidRPr="000B0E41" w:rsidRDefault="000B0E41" w:rsidP="00AE75A9">
      <w:pPr>
        <w:pStyle w:val="ListParagraph"/>
        <w:numPr>
          <w:ilvl w:val="0"/>
          <w:numId w:val="35"/>
        </w:numPr>
        <w:suppressAutoHyphens/>
        <w:autoSpaceDE w:val="0"/>
        <w:autoSpaceDN w:val="0"/>
        <w:adjustRightInd w:val="0"/>
        <w:spacing w:line="288" w:lineRule="auto"/>
        <w:textAlignment w:val="center"/>
        <w:rPr>
          <w:color w:val="000000"/>
          <w:lang w:val="en-US"/>
        </w:rPr>
      </w:pPr>
      <w:r w:rsidRPr="000B0E41">
        <w:rPr>
          <w:color w:val="000000"/>
          <w:lang w:val="en-US"/>
        </w:rPr>
        <w:t>The following six special events were also arranged during this period:</w:t>
      </w:r>
    </w:p>
    <w:p w:rsidR="000B0E41" w:rsidRPr="000B0E41" w:rsidRDefault="000B0E41" w:rsidP="00AE75A9">
      <w:pPr>
        <w:pStyle w:val="ListParagraph"/>
        <w:numPr>
          <w:ilvl w:val="0"/>
          <w:numId w:val="35"/>
        </w:numPr>
        <w:suppressAutoHyphens/>
        <w:autoSpaceDE w:val="0"/>
        <w:autoSpaceDN w:val="0"/>
        <w:adjustRightInd w:val="0"/>
        <w:spacing w:after="113" w:line="288" w:lineRule="auto"/>
        <w:textAlignment w:val="center"/>
        <w:rPr>
          <w:color w:val="000000"/>
          <w:lang w:val="en-US"/>
        </w:rPr>
      </w:pPr>
      <w:r w:rsidRPr="000B0E41">
        <w:rPr>
          <w:color w:val="000000"/>
          <w:lang w:val="en-US"/>
        </w:rPr>
        <w:t>Dinner in honour of His Excellency Mr Shinzo Abe, Prime Minister of Japan and Mrs Akie Abe (July 2014), co-hosted with the Commonwealth (approx. 250 guests)</w:t>
      </w:r>
    </w:p>
    <w:p w:rsidR="000B0E41" w:rsidRPr="000B0E41" w:rsidRDefault="000B0E41" w:rsidP="00AE75A9">
      <w:pPr>
        <w:pStyle w:val="ListParagraph"/>
        <w:numPr>
          <w:ilvl w:val="0"/>
          <w:numId w:val="35"/>
        </w:numPr>
        <w:suppressAutoHyphens/>
        <w:autoSpaceDE w:val="0"/>
        <w:autoSpaceDN w:val="0"/>
        <w:adjustRightInd w:val="0"/>
        <w:spacing w:after="113" w:line="288" w:lineRule="auto"/>
        <w:textAlignment w:val="center"/>
        <w:rPr>
          <w:color w:val="000000"/>
          <w:lang w:val="en-US"/>
        </w:rPr>
      </w:pPr>
      <w:r w:rsidRPr="000B0E41">
        <w:rPr>
          <w:color w:val="000000"/>
          <w:lang w:val="en-US"/>
        </w:rPr>
        <w:t>Welcome Reception for the 2014 Council of Ministers Meeting of the Indian Ocean Rim, October 2014 (approx. 300 guests)</w:t>
      </w:r>
    </w:p>
    <w:p w:rsidR="000B0E41" w:rsidRPr="000B0E41" w:rsidRDefault="000B0E41" w:rsidP="00AE75A9">
      <w:pPr>
        <w:pStyle w:val="ListParagraph"/>
        <w:numPr>
          <w:ilvl w:val="0"/>
          <w:numId w:val="35"/>
        </w:numPr>
        <w:suppressAutoHyphens/>
        <w:autoSpaceDE w:val="0"/>
        <w:autoSpaceDN w:val="0"/>
        <w:adjustRightInd w:val="0"/>
        <w:spacing w:after="113" w:line="288" w:lineRule="auto"/>
        <w:textAlignment w:val="center"/>
        <w:rPr>
          <w:color w:val="000000"/>
          <w:lang w:val="en-US"/>
        </w:rPr>
      </w:pPr>
      <w:r w:rsidRPr="000B0E41">
        <w:rPr>
          <w:color w:val="000000"/>
          <w:lang w:val="en-US"/>
        </w:rPr>
        <w:t>Swearing-in Ceremony of Mrs Kerry Sanderson AO, to the Office of the Governor and Reception, October 2014 (280 guests)</w:t>
      </w:r>
    </w:p>
    <w:p w:rsidR="000B0E41" w:rsidRPr="000B0E41" w:rsidRDefault="000B0E41" w:rsidP="00AE75A9">
      <w:pPr>
        <w:pStyle w:val="ListParagraph"/>
        <w:numPr>
          <w:ilvl w:val="0"/>
          <w:numId w:val="35"/>
        </w:numPr>
        <w:suppressAutoHyphens/>
        <w:autoSpaceDE w:val="0"/>
        <w:autoSpaceDN w:val="0"/>
        <w:adjustRightInd w:val="0"/>
        <w:spacing w:after="113" w:line="288" w:lineRule="auto"/>
        <w:textAlignment w:val="center"/>
        <w:rPr>
          <w:color w:val="000000"/>
          <w:lang w:val="en-US"/>
        </w:rPr>
      </w:pPr>
      <w:r w:rsidRPr="000B0E41">
        <w:rPr>
          <w:color w:val="000000"/>
          <w:lang w:val="en-US"/>
        </w:rPr>
        <w:t>Centenary of Australian Submarines Reception, November 2014 (235 guests)</w:t>
      </w:r>
    </w:p>
    <w:p w:rsidR="000B0E41" w:rsidRPr="000B0E41" w:rsidRDefault="000B0E41" w:rsidP="00AE75A9">
      <w:pPr>
        <w:pStyle w:val="ListParagraph"/>
        <w:numPr>
          <w:ilvl w:val="0"/>
          <w:numId w:val="35"/>
        </w:numPr>
        <w:suppressAutoHyphens/>
        <w:autoSpaceDE w:val="0"/>
        <w:autoSpaceDN w:val="0"/>
        <w:adjustRightInd w:val="0"/>
        <w:spacing w:after="113" w:line="288" w:lineRule="auto"/>
        <w:textAlignment w:val="center"/>
        <w:rPr>
          <w:color w:val="000000"/>
          <w:lang w:val="en-US"/>
        </w:rPr>
      </w:pPr>
      <w:r w:rsidRPr="000B0E41">
        <w:rPr>
          <w:color w:val="000000"/>
          <w:lang w:val="en-US"/>
        </w:rPr>
        <w:t>Morning Tea and Presentation of Awards for the Young People Who Care, December 2014 (70 guests)</w:t>
      </w:r>
    </w:p>
    <w:p w:rsidR="000B0E41" w:rsidRPr="000B0E41" w:rsidRDefault="000B0E41" w:rsidP="00AE75A9">
      <w:pPr>
        <w:pStyle w:val="ListParagraph"/>
        <w:numPr>
          <w:ilvl w:val="0"/>
          <w:numId w:val="35"/>
        </w:numPr>
        <w:suppressAutoHyphens/>
        <w:autoSpaceDE w:val="0"/>
        <w:autoSpaceDN w:val="0"/>
        <w:adjustRightInd w:val="0"/>
        <w:spacing w:after="113" w:line="288" w:lineRule="auto"/>
        <w:textAlignment w:val="center"/>
        <w:rPr>
          <w:color w:val="000000"/>
          <w:lang w:val="en-US"/>
        </w:rPr>
      </w:pPr>
      <w:r w:rsidRPr="000B0E41">
        <w:rPr>
          <w:color w:val="000000"/>
          <w:lang w:val="en-US"/>
        </w:rPr>
        <w:t>State Reception in Honour of Their Majesties King Harald V and Queen Sonja of Norway, February 2015 (150 guests)</w:t>
      </w:r>
    </w:p>
    <w:p w:rsidR="000B0E41" w:rsidRPr="000B0E41" w:rsidRDefault="000B0E41" w:rsidP="000B0E41">
      <w:pPr>
        <w:rPr>
          <w:lang w:val="en-US"/>
        </w:rPr>
      </w:pPr>
      <w:r w:rsidRPr="000B0E41">
        <w:rPr>
          <w:lang w:val="en-US"/>
        </w:rPr>
        <w:t>Three Regional Cabinet receptions were managed by the State Ceremonial and Events Branch with approximately 150 to 200 guests each in Manjimup (August 2014), Kununurra (October 2014) and Kalgoorlie-Boulder (June 2015).</w:t>
      </w:r>
    </w:p>
    <w:p w:rsidR="000B0E41" w:rsidRPr="000B0E41" w:rsidRDefault="000B0E41" w:rsidP="000B0E41">
      <w:r w:rsidRPr="000B0E41">
        <w:rPr>
          <w:lang w:val="en-US"/>
        </w:rPr>
        <w:t xml:space="preserve">One Community Cabinet Reception was held in Armadale, March 2015. </w:t>
      </w:r>
    </w:p>
    <w:p w:rsidR="00277681" w:rsidRPr="00EB57EC" w:rsidRDefault="00277681" w:rsidP="00C63A96">
      <w:pPr>
        <w:pStyle w:val="Heading3"/>
      </w:pPr>
      <w:bookmarkStart w:id="331" w:name="_Toc425370322"/>
      <w:bookmarkStart w:id="332" w:name="_Toc426104547"/>
      <w:r>
        <w:t>A secure, confidential and time-critical printing and publishing service for Parliament and Government</w:t>
      </w:r>
    </w:p>
    <w:p w:rsidR="000B0E41" w:rsidRPr="000B0E41" w:rsidRDefault="000B0E41" w:rsidP="000B0E41">
      <w:pPr>
        <w:rPr>
          <w:lang w:val="en-US"/>
        </w:rPr>
      </w:pPr>
      <w:bookmarkStart w:id="333" w:name="_Toc425370313"/>
      <w:bookmarkStart w:id="334" w:name="_Toc426104540"/>
      <w:bookmarkEnd w:id="331"/>
      <w:bookmarkEnd w:id="332"/>
      <w:r w:rsidRPr="000B0E41">
        <w:rPr>
          <w:lang w:val="en-US"/>
        </w:rPr>
        <w:t xml:space="preserve">As the Government’s official publisher, the State Law Publisher publishes ‘under authority’ of the Government Printer, all State legislation and legislation materials. </w:t>
      </w:r>
    </w:p>
    <w:p w:rsidR="000B0E41" w:rsidRPr="000B0E41" w:rsidRDefault="000B0E41" w:rsidP="000B0E41">
      <w:pPr>
        <w:rPr>
          <w:lang w:val="en-US"/>
        </w:rPr>
      </w:pPr>
      <w:r w:rsidRPr="000B0E41">
        <w:rPr>
          <w:lang w:val="en-US"/>
        </w:rPr>
        <w:t xml:space="preserve">State Law Publisher provides support for the Parliament of Western Australia with the printing and processing of all Chamber documents required for the operation of both Houses of Parliament.  Support and assistance is also provided with the Bills and Tabled Papers databases. </w:t>
      </w:r>
    </w:p>
    <w:p w:rsidR="000B0E41" w:rsidRPr="000B0E41" w:rsidRDefault="000B0E41" w:rsidP="000B0E41">
      <w:pPr>
        <w:rPr>
          <w:lang w:val="en-US"/>
        </w:rPr>
      </w:pPr>
      <w:r w:rsidRPr="000B0E41">
        <w:rPr>
          <w:lang w:val="en-US"/>
        </w:rPr>
        <w:t xml:space="preserve">Copies of these legislative publications can be ordered by telephone, mail, email, or an online service is available on the State Law Publisher website at www.slp.wa.gov.au. Free online access is also available on this site to databases of various current and archived legislation materials. </w:t>
      </w:r>
    </w:p>
    <w:p w:rsidR="000B0E41" w:rsidRPr="000B0E41" w:rsidRDefault="000B0E41" w:rsidP="000B0E41">
      <w:pPr>
        <w:pStyle w:val="Heading4"/>
        <w:rPr>
          <w:lang w:val="en-US"/>
        </w:rPr>
      </w:pPr>
      <w:r w:rsidRPr="000B0E41">
        <w:rPr>
          <w:lang w:val="en-US"/>
        </w:rPr>
        <w:t xml:space="preserve">Electronic Uptake of the Government Gazette </w:t>
      </w:r>
    </w:p>
    <w:p w:rsidR="000B0E41" w:rsidRPr="000B0E41" w:rsidRDefault="000B0E41" w:rsidP="000B0E41">
      <w:pPr>
        <w:rPr>
          <w:lang w:val="en-US"/>
        </w:rPr>
      </w:pPr>
      <w:r w:rsidRPr="000B0E41">
        <w:rPr>
          <w:lang w:val="en-US"/>
        </w:rPr>
        <w:t>The Government Gazette database now contains copies of published Gazettes dating back to 1847.  The database also includes text searchable indexes dating back to 1836 which is when the Gazette commenced being published in Western Australia.</w:t>
      </w:r>
    </w:p>
    <w:p w:rsidR="000B0E41" w:rsidRPr="000B0E41" w:rsidRDefault="000B0E41" w:rsidP="000B0E41">
      <w:pPr>
        <w:rPr>
          <w:lang w:val="en-US"/>
        </w:rPr>
      </w:pPr>
      <w:r w:rsidRPr="000B0E41">
        <w:rPr>
          <w:lang w:val="en-US"/>
        </w:rPr>
        <w:t xml:space="preserve">The Gazette digitisation project commenced in 2006 and was initiated due to the deterioration of old paper copies of the Government Gazette held by the State Law Publisher.  A number of organisations including State and local government, and private sector organisations also donated paper copies of Gazettes which enabled the better quality copies to be selected for scanning and achieving the best possible reproduction for the database.  Based on current processing rates, this project is anticipated to be completed within the </w:t>
      </w:r>
      <w:r w:rsidRPr="000B0E41">
        <w:rPr>
          <w:lang w:val="en-US"/>
        </w:rPr>
        <w:br/>
        <w:t>2015–16 financial year with all Gazettes published since 1836 being available.</w:t>
      </w:r>
    </w:p>
    <w:p w:rsidR="000B0E41" w:rsidRPr="000B0E41" w:rsidRDefault="000B0E41" w:rsidP="000B0E41">
      <w:pPr>
        <w:pStyle w:val="Heading4"/>
        <w:rPr>
          <w:lang w:val="en-US"/>
        </w:rPr>
      </w:pPr>
      <w:r w:rsidRPr="000B0E41">
        <w:rPr>
          <w:lang w:val="en-US"/>
        </w:rPr>
        <w:t>Reprints Programme</w:t>
      </w:r>
    </w:p>
    <w:p w:rsidR="000B0E41" w:rsidRPr="000B0E41" w:rsidRDefault="000B0E41" w:rsidP="000B0E41">
      <w:pPr>
        <w:rPr>
          <w:lang w:val="en-US"/>
        </w:rPr>
      </w:pPr>
      <w:r w:rsidRPr="000B0E41">
        <w:rPr>
          <w:lang w:val="en-US"/>
        </w:rPr>
        <w:t xml:space="preserve">The reprints programme continued during the year with resources provided by the State Law Publisher to assist the Parliamentary Counsel’s Office.  A total of 109 titles of legislation were consolidated and reprinted. </w:t>
      </w:r>
    </w:p>
    <w:p w:rsidR="000B0E41" w:rsidRPr="000B0E41" w:rsidRDefault="000B0E41" w:rsidP="000B0E41">
      <w:pPr>
        <w:rPr>
          <w:lang w:val="en-US"/>
        </w:rPr>
      </w:pPr>
      <w:r w:rsidRPr="000B0E41">
        <w:rPr>
          <w:lang w:val="en-US"/>
        </w:rPr>
        <w:t>High demand titles that have extensive amendments are fast-tracked through the reprint process.  As a result of this process titles become more user friendly with less volume and reduced purchase costs for users of these publications.</w:t>
      </w:r>
    </w:p>
    <w:p w:rsidR="00277681" w:rsidRPr="00EB57EC" w:rsidRDefault="00277681" w:rsidP="00C63A96">
      <w:pPr>
        <w:pStyle w:val="Heading3"/>
      </w:pPr>
      <w:r>
        <w:t>Management of exhibitions and programs at the Constitutional Centre</w:t>
      </w:r>
    </w:p>
    <w:p w:rsidR="000B0E41" w:rsidRPr="000B0E41" w:rsidRDefault="000B0E41" w:rsidP="000B0E41">
      <w:pPr>
        <w:rPr>
          <w:lang w:val="en-US"/>
        </w:rPr>
      </w:pPr>
      <w:bookmarkStart w:id="335" w:name="_Toc425370315"/>
      <w:bookmarkEnd w:id="333"/>
      <w:bookmarkEnd w:id="334"/>
      <w:r w:rsidRPr="000B0E41">
        <w:rPr>
          <w:lang w:val="en-US"/>
        </w:rPr>
        <w:t>The Constitutional Centre is unique in Australia.  Its role includes educating the community on the Commonwealth and Western Australian Constitutions and also the Federal system of Government.</w:t>
      </w:r>
    </w:p>
    <w:p w:rsidR="000B0E41" w:rsidRPr="000B0E41" w:rsidRDefault="000B0E41" w:rsidP="000B0E41">
      <w:pPr>
        <w:rPr>
          <w:lang w:val="en-US"/>
        </w:rPr>
      </w:pPr>
      <w:r w:rsidRPr="000B0E41">
        <w:rPr>
          <w:lang w:val="en-US"/>
        </w:rPr>
        <w:t>The Constitutional Centre provides:</w:t>
      </w:r>
    </w:p>
    <w:p w:rsidR="000B0E41" w:rsidRPr="000B0E41" w:rsidRDefault="000B0E41" w:rsidP="00AE75A9">
      <w:pPr>
        <w:pStyle w:val="ListParagraph"/>
        <w:numPr>
          <w:ilvl w:val="0"/>
          <w:numId w:val="36"/>
        </w:numPr>
        <w:rPr>
          <w:lang w:val="en-US"/>
        </w:rPr>
      </w:pPr>
      <w:r w:rsidRPr="000B0E41">
        <w:rPr>
          <w:lang w:val="en-US"/>
        </w:rPr>
        <w:t>school education programmes — metropolitan and regional; and</w:t>
      </w:r>
    </w:p>
    <w:p w:rsidR="000B0E41" w:rsidRPr="000B0E41" w:rsidRDefault="000B0E41" w:rsidP="00AE75A9">
      <w:pPr>
        <w:pStyle w:val="ListParagraph"/>
        <w:numPr>
          <w:ilvl w:val="0"/>
          <w:numId w:val="36"/>
        </w:numPr>
        <w:rPr>
          <w:lang w:val="en-US"/>
        </w:rPr>
      </w:pPr>
      <w:r w:rsidRPr="000B0E41">
        <w:rPr>
          <w:lang w:val="en-US"/>
        </w:rPr>
        <w:t>public/legal profession lectures, seminars and forums.</w:t>
      </w:r>
    </w:p>
    <w:p w:rsidR="00775AAB" w:rsidRDefault="00775AAB" w:rsidP="00C63A96">
      <w:pPr>
        <w:pStyle w:val="Heading4"/>
      </w:pPr>
      <w:bookmarkStart w:id="336" w:name="_Toc425370316"/>
      <w:bookmarkStart w:id="337" w:name="_Toc426104541"/>
      <w:bookmarkEnd w:id="335"/>
      <w:r>
        <w:t xml:space="preserve">School </w:t>
      </w:r>
      <w:r w:rsidRPr="00F234C2">
        <w:t>education programmes</w:t>
      </w:r>
      <w:bookmarkEnd w:id="336"/>
      <w:bookmarkEnd w:id="337"/>
    </w:p>
    <w:p w:rsidR="000B0E41" w:rsidRPr="000B0E41" w:rsidRDefault="000B0E41" w:rsidP="000B0E41">
      <w:pPr>
        <w:rPr>
          <w:lang w:val="en-US"/>
        </w:rPr>
      </w:pPr>
      <w:bookmarkStart w:id="338" w:name="_Toc425370317"/>
      <w:bookmarkStart w:id="339" w:name="_Toc426104542"/>
      <w:r w:rsidRPr="000B0E41">
        <w:rPr>
          <w:lang w:val="en-US"/>
        </w:rPr>
        <w:t>In addition to the programmes conducted in the metropolitan area, the Centre took programmes to regional areas of the State with education officers visiting areas not covered by current regional staffing.</w:t>
      </w:r>
    </w:p>
    <w:p w:rsidR="000B0E41" w:rsidRPr="000B0E41" w:rsidRDefault="000B0E41" w:rsidP="000B0E41">
      <w:pPr>
        <w:rPr>
          <w:lang w:val="en-US"/>
        </w:rPr>
      </w:pPr>
      <w:r w:rsidRPr="000B0E41">
        <w:rPr>
          <w:lang w:val="en-US"/>
        </w:rPr>
        <w:t>Programmes are targeted at primary and secondary students and include free civics education and teacher resources.  Since opening in 1997 in excess of 530,000 students have participated in these programmes.</w:t>
      </w:r>
    </w:p>
    <w:p w:rsidR="000B0E41" w:rsidRPr="000B0E41" w:rsidRDefault="000B0E41" w:rsidP="000B0E41">
      <w:pPr>
        <w:rPr>
          <w:lang w:val="en-US"/>
        </w:rPr>
      </w:pPr>
      <w:r w:rsidRPr="000B0E41">
        <w:rPr>
          <w:lang w:val="en-US"/>
        </w:rPr>
        <w:t>In 2014–15 education officers visited the Kalgoorlie and Geraldton regions with</w:t>
      </w:r>
      <w:r>
        <w:rPr>
          <w:lang w:val="en-US"/>
        </w:rPr>
        <w:t xml:space="preserve"> </w:t>
      </w:r>
      <w:r w:rsidRPr="000B0E41">
        <w:rPr>
          <w:lang w:val="en-US"/>
        </w:rPr>
        <w:t>1,800 students participating in programmes.  Materials and programmes for remote and regional schools continued to be distributed on a loan basis throughout the state.  575 students and their teachers accessed programmes in this format.</w:t>
      </w:r>
    </w:p>
    <w:p w:rsidR="000B0E41" w:rsidRPr="000B0E41" w:rsidRDefault="000B0E41" w:rsidP="000B0E41">
      <w:pPr>
        <w:rPr>
          <w:lang w:val="en-US"/>
        </w:rPr>
      </w:pPr>
      <w:r w:rsidRPr="000B0E41">
        <w:rPr>
          <w:lang w:val="en-US"/>
        </w:rPr>
        <w:t>Two one-day Schools Constitutional Conventions were held attended by 190 students.  Fifteen of these students were then selected to be Western Australia’s representatives at the National Schools Constitutional Convention held in Canberra in March 2015.</w:t>
      </w:r>
    </w:p>
    <w:p w:rsidR="000B0E41" w:rsidRPr="000B0E41" w:rsidRDefault="000B0E41" w:rsidP="000B0E41">
      <w:pPr>
        <w:rPr>
          <w:lang w:val="en-US"/>
        </w:rPr>
      </w:pPr>
      <w:r w:rsidRPr="000B0E41">
        <w:rPr>
          <w:lang w:val="en-US"/>
        </w:rPr>
        <w:t>A joint programme held in conjunction with Government House has seen the Governor’s residence be used by the Centre’s education officers as the venue for a week of sessions per term for upper primary students.  This programme  investigates the change in the role of the Governor from Governor Stirling to now.</w:t>
      </w:r>
    </w:p>
    <w:p w:rsidR="000B0E41" w:rsidRPr="000B0E41" w:rsidRDefault="000B0E41" w:rsidP="000B0E41">
      <w:pPr>
        <w:rPr>
          <w:lang w:val="en-US"/>
        </w:rPr>
      </w:pPr>
      <w:r w:rsidRPr="000B0E41">
        <w:rPr>
          <w:lang w:val="en-US"/>
        </w:rPr>
        <w:t>From March 2015 a puppet programme, ‘Rules are Cool’, specifically written and produced by Centre education staff for our remote and regional early years students went to air via the Westlink satellite TV channel for the first time.  Schools and Community Resource Centres can tune in to watch how a set of rules can improve life in our imaginary town.  Teacher notes and follow up activities can be accessed via our website.  Rules are Cool will continue to be broadcast on a semi regular basis, alongside other similar programmes on Westlink.</w:t>
      </w:r>
    </w:p>
    <w:p w:rsidR="00FA2954" w:rsidRDefault="00FA2954">
      <w:pPr>
        <w:spacing w:line="276" w:lineRule="auto"/>
        <w:rPr>
          <w:rFonts w:ascii="Arial" w:eastAsia="Segoe UI" w:hAnsi="Arial" w:cs="Arial"/>
          <w:noProof/>
          <w:color w:val="003366"/>
          <w:kern w:val="24"/>
          <w:sz w:val="36"/>
          <w:szCs w:val="36"/>
          <w:lang w:eastAsia="en-AU"/>
        </w:rPr>
      </w:pPr>
      <w:r>
        <w:br w:type="page"/>
      </w:r>
    </w:p>
    <w:p w:rsidR="00775AAB" w:rsidRDefault="00775AAB" w:rsidP="00C63A96">
      <w:pPr>
        <w:pStyle w:val="Heading4"/>
      </w:pPr>
      <w:r>
        <w:t>Public programmes</w:t>
      </w:r>
      <w:bookmarkEnd w:id="338"/>
      <w:bookmarkEnd w:id="339"/>
    </w:p>
    <w:p w:rsidR="000B0E41" w:rsidRPr="000B0E41" w:rsidRDefault="000B0E41" w:rsidP="000B0E41">
      <w:pPr>
        <w:rPr>
          <w:lang w:val="en-US"/>
        </w:rPr>
      </w:pPr>
      <w:bookmarkStart w:id="340" w:name="_Toc425370325"/>
      <w:bookmarkStart w:id="341" w:name="_Toc425607418"/>
      <w:bookmarkStart w:id="342" w:name="_Toc425607568"/>
      <w:bookmarkStart w:id="343" w:name="_Toc426104550"/>
      <w:bookmarkStart w:id="344" w:name="_Toc426397371"/>
      <w:bookmarkStart w:id="345" w:name="_Toc426637345"/>
      <w:bookmarkStart w:id="346" w:name="_Toc426637590"/>
      <w:r w:rsidRPr="000B0E41">
        <w:rPr>
          <w:lang w:val="en-US"/>
        </w:rPr>
        <w:t>During the year, the Centre hosted a number of public forums and seminars, which included:</w:t>
      </w:r>
    </w:p>
    <w:p w:rsidR="000B0E41" w:rsidRPr="000B0E41" w:rsidRDefault="000B0E41" w:rsidP="00AE75A9">
      <w:pPr>
        <w:pStyle w:val="ListParagraph"/>
        <w:numPr>
          <w:ilvl w:val="0"/>
          <w:numId w:val="37"/>
        </w:numPr>
        <w:rPr>
          <w:lang w:val="en-US"/>
        </w:rPr>
      </w:pPr>
      <w:r w:rsidRPr="000B0E41">
        <w:rPr>
          <w:lang w:val="en-US"/>
        </w:rPr>
        <w:t>The Sir John Forrest State of the Federation Address, by Professor Greg Craven Vice Chancellor of Australian Catholic University Sydney</w:t>
      </w:r>
    </w:p>
    <w:p w:rsidR="000B0E41" w:rsidRPr="000B0E41" w:rsidRDefault="000B0E41" w:rsidP="00AE75A9">
      <w:pPr>
        <w:pStyle w:val="ListParagraph"/>
        <w:numPr>
          <w:ilvl w:val="0"/>
          <w:numId w:val="37"/>
        </w:numPr>
        <w:rPr>
          <w:lang w:val="en-US"/>
        </w:rPr>
      </w:pPr>
      <w:r w:rsidRPr="000B0E41">
        <w:rPr>
          <w:lang w:val="en-US"/>
        </w:rPr>
        <w:t xml:space="preserve">The DisUnited Kingdom:  The Scottish Independence Referendum and the Future of the UK by Professor Matthew Flinders, University of Sheffield </w:t>
      </w:r>
    </w:p>
    <w:p w:rsidR="000B0E41" w:rsidRPr="000B0E41" w:rsidRDefault="000B0E41" w:rsidP="00AE75A9">
      <w:pPr>
        <w:pStyle w:val="ListParagraph"/>
        <w:numPr>
          <w:ilvl w:val="0"/>
          <w:numId w:val="37"/>
        </w:numPr>
        <w:rPr>
          <w:lang w:val="en-US"/>
        </w:rPr>
      </w:pPr>
      <w:r w:rsidRPr="000B0E41">
        <w:rPr>
          <w:lang w:val="en-US"/>
        </w:rPr>
        <w:t>Can Judges have legal opinions?</w:t>
      </w:r>
      <w:r w:rsidRPr="000B0E41">
        <w:rPr>
          <w:lang w:val="en-US"/>
        </w:rPr>
        <w:br/>
        <w:t xml:space="preserve">Recusal and pre-judicial legal advice by </w:t>
      </w:r>
      <w:r w:rsidRPr="000B0E41">
        <w:rPr>
          <w:lang w:val="en-US"/>
        </w:rPr>
        <w:br/>
        <w:t>Dr Gabrielle Appleby University of Adelaide</w:t>
      </w:r>
    </w:p>
    <w:p w:rsidR="000B0E41" w:rsidRPr="000B0E41" w:rsidRDefault="000B0E41" w:rsidP="00AE75A9">
      <w:pPr>
        <w:pStyle w:val="ListParagraph"/>
        <w:numPr>
          <w:ilvl w:val="0"/>
          <w:numId w:val="37"/>
        </w:numPr>
        <w:rPr>
          <w:lang w:val="en-US"/>
        </w:rPr>
      </w:pPr>
      <w:r w:rsidRPr="000B0E41">
        <w:rPr>
          <w:lang w:val="en-US"/>
        </w:rPr>
        <w:t>The First Homefront Western Australia’s War 1914–1918 by Professor Deborah Gare University of Adelaide</w:t>
      </w:r>
    </w:p>
    <w:p w:rsidR="000B0E41" w:rsidRPr="000B0E41" w:rsidRDefault="000B0E41" w:rsidP="00AE75A9">
      <w:pPr>
        <w:pStyle w:val="ListParagraph"/>
        <w:numPr>
          <w:ilvl w:val="0"/>
          <w:numId w:val="37"/>
        </w:numPr>
        <w:rPr>
          <w:lang w:val="en-US"/>
        </w:rPr>
      </w:pPr>
      <w:r w:rsidRPr="000B0E41">
        <w:rPr>
          <w:lang w:val="en-US"/>
        </w:rPr>
        <w:t xml:space="preserve">Dividing the GST Pie:  Western Australia’s slice? </w:t>
      </w:r>
    </w:p>
    <w:p w:rsidR="000B0E41" w:rsidRPr="000B0E41" w:rsidRDefault="000B0E41" w:rsidP="00AE75A9">
      <w:pPr>
        <w:pStyle w:val="ListParagraph"/>
        <w:numPr>
          <w:ilvl w:val="0"/>
          <w:numId w:val="37"/>
        </w:numPr>
        <w:rPr>
          <w:lang w:val="en-US"/>
        </w:rPr>
      </w:pPr>
      <w:r w:rsidRPr="000B0E41">
        <w:rPr>
          <w:lang w:val="en-US"/>
        </w:rPr>
        <w:t>Recent High Court cases:  CPCF and Tajjorur</w:t>
      </w:r>
    </w:p>
    <w:p w:rsidR="000B0E41" w:rsidRPr="000B0E41" w:rsidRDefault="000B0E41" w:rsidP="00AE75A9">
      <w:pPr>
        <w:pStyle w:val="ListParagraph"/>
        <w:numPr>
          <w:ilvl w:val="0"/>
          <w:numId w:val="37"/>
        </w:numPr>
        <w:rPr>
          <w:lang w:val="en-US"/>
        </w:rPr>
      </w:pPr>
      <w:r w:rsidRPr="000B0E41">
        <w:rPr>
          <w:lang w:val="en-US"/>
        </w:rPr>
        <w:t>Inside Magna Carta</w:t>
      </w:r>
    </w:p>
    <w:p w:rsidR="000B0E41" w:rsidRPr="000B0E41" w:rsidRDefault="000B0E41" w:rsidP="00AE75A9">
      <w:pPr>
        <w:pStyle w:val="ListParagraph"/>
        <w:numPr>
          <w:ilvl w:val="0"/>
          <w:numId w:val="37"/>
        </w:numPr>
        <w:rPr>
          <w:lang w:val="en-US"/>
        </w:rPr>
      </w:pPr>
      <w:r w:rsidRPr="000B0E41">
        <w:rPr>
          <w:lang w:val="en-US"/>
        </w:rPr>
        <w:t>Bikie Laws:  Constitutional questions and political consequences</w:t>
      </w:r>
    </w:p>
    <w:p w:rsidR="000B0E41" w:rsidRPr="000B0E41" w:rsidRDefault="000B0E41" w:rsidP="000B0E41">
      <w:pPr>
        <w:rPr>
          <w:lang w:val="en-US"/>
        </w:rPr>
      </w:pPr>
      <w:r w:rsidRPr="000B0E41">
        <w:rPr>
          <w:rFonts w:ascii="Arial" w:hAnsi="Arial" w:cs="Arial"/>
          <w:color w:val="193A67"/>
          <w:sz w:val="32"/>
          <w:szCs w:val="32"/>
          <w:lang w:val="en-US"/>
        </w:rPr>
        <w:t>Community programmes</w:t>
      </w:r>
    </w:p>
    <w:p w:rsidR="000B0E41" w:rsidRPr="000B0E41" w:rsidRDefault="000B0E41" w:rsidP="000B0E41">
      <w:pPr>
        <w:rPr>
          <w:lang w:val="en-US"/>
        </w:rPr>
      </w:pPr>
      <w:r w:rsidRPr="000B0E41">
        <w:rPr>
          <w:lang w:val="en-US"/>
        </w:rPr>
        <w:t>A number of civics and citizenship partnership forums were held focussing on promoting participation in a diverse democracy.  These events were conducted at the Constitutional Centre in conjunction with the WA Electoral Commission, Office of Multicultural Interests and the Department of Local Government and Communities.  The focus of the partnership was targeting culturally and linguistically diverse community leaders.  This project was very well received and is planned to continue and widen in its scope.</w:t>
      </w:r>
    </w:p>
    <w:p w:rsidR="000B0E41" w:rsidRPr="000B0E41" w:rsidRDefault="000B0E41" w:rsidP="000B0E41">
      <w:pPr>
        <w:rPr>
          <w:lang w:val="en-US"/>
        </w:rPr>
      </w:pPr>
      <w:r w:rsidRPr="000B0E41">
        <w:rPr>
          <w:rFonts w:ascii="Arial" w:hAnsi="Arial" w:cs="Arial"/>
          <w:color w:val="193A67"/>
          <w:sz w:val="32"/>
          <w:szCs w:val="32"/>
          <w:lang w:val="en-US"/>
        </w:rPr>
        <w:t>Constitutional Centre Advisory Board</w:t>
      </w:r>
    </w:p>
    <w:p w:rsidR="000B0E41" w:rsidRPr="000B0E41" w:rsidRDefault="000B0E41" w:rsidP="000B0E41">
      <w:pPr>
        <w:rPr>
          <w:lang w:val="en-US"/>
        </w:rPr>
      </w:pPr>
      <w:r w:rsidRPr="000B0E41">
        <w:rPr>
          <w:lang w:val="en-US"/>
        </w:rPr>
        <w:t>The Constitutional Centre Advisory Board is comprised of eleven members appointed for a three year term.</w:t>
      </w:r>
    </w:p>
    <w:p w:rsidR="000B0E41" w:rsidRDefault="000B0E41" w:rsidP="000B0E41">
      <w:r w:rsidRPr="000B0E41">
        <w:rPr>
          <w:lang w:val="en-US"/>
        </w:rPr>
        <w:t>The three year term for nine members expired on 31 October 2014.  Chairperson Hon Bill Hassell resigned after 18 years.  Mr Hassell was a founding member of the Board and was the Chairperson since 2011.</w:t>
      </w:r>
    </w:p>
    <w:p w:rsidR="000B0E41" w:rsidRDefault="000B0E41">
      <w:pPr>
        <w:spacing w:line="276" w:lineRule="auto"/>
        <w:rPr>
          <w:rFonts w:ascii="Arial" w:eastAsia="Segoe UI" w:hAnsi="Arial" w:cs="Arial"/>
          <w:color w:val="193A68"/>
          <w:kern w:val="24"/>
          <w:sz w:val="56"/>
          <w:szCs w:val="56"/>
          <w:lang w:eastAsia="en-AU"/>
        </w:rPr>
      </w:pPr>
      <w:r>
        <w:br w:type="page"/>
      </w:r>
    </w:p>
    <w:p w:rsidR="005425C4" w:rsidRPr="00E242BE" w:rsidRDefault="005425C4" w:rsidP="00C63A96">
      <w:pPr>
        <w:pStyle w:val="Heading2"/>
      </w:pPr>
      <w:bookmarkStart w:id="347" w:name="_Toc425370326"/>
      <w:bookmarkStart w:id="348" w:name="_Toc425607419"/>
      <w:bookmarkStart w:id="349" w:name="_Toc426104551"/>
      <w:bookmarkStart w:id="350" w:name="_Toc426637591"/>
      <w:bookmarkStart w:id="351" w:name="_Toc430547898"/>
      <w:bookmarkEnd w:id="340"/>
      <w:bookmarkEnd w:id="341"/>
      <w:bookmarkEnd w:id="342"/>
      <w:bookmarkEnd w:id="343"/>
      <w:bookmarkEnd w:id="344"/>
      <w:bookmarkEnd w:id="345"/>
      <w:bookmarkEnd w:id="346"/>
      <w:r w:rsidRPr="00E242BE">
        <w:t>Service 2: Government Policy Management</w:t>
      </w:r>
      <w:bookmarkEnd w:id="347"/>
      <w:bookmarkEnd w:id="348"/>
      <w:bookmarkEnd w:id="349"/>
      <w:bookmarkEnd w:id="350"/>
      <w:bookmarkEnd w:id="351"/>
    </w:p>
    <w:p w:rsidR="00693677" w:rsidRPr="00870B4F" w:rsidRDefault="005425C4" w:rsidP="00870B4F">
      <w:pPr>
        <w:pStyle w:val="Heading2"/>
        <w:rPr>
          <w:sz w:val="36"/>
          <w:szCs w:val="36"/>
        </w:rPr>
      </w:pPr>
      <w:bookmarkStart w:id="352" w:name="_Toc425370327"/>
      <w:bookmarkStart w:id="353" w:name="_Toc425607570"/>
      <w:bookmarkStart w:id="354" w:name="_Toc426104552"/>
      <w:bookmarkStart w:id="355" w:name="_Toc426397373"/>
      <w:bookmarkStart w:id="356" w:name="_Toc426637347"/>
      <w:bookmarkStart w:id="357" w:name="_Toc426637592"/>
      <w:bookmarkStart w:id="358" w:name="_Toc430547899"/>
      <w:r w:rsidRPr="00870B4F">
        <w:rPr>
          <w:sz w:val="36"/>
          <w:szCs w:val="36"/>
        </w:rPr>
        <w:t>Policy advice and coordination for the Premier and Cabinet</w:t>
      </w:r>
      <w:bookmarkEnd w:id="352"/>
      <w:bookmarkEnd w:id="353"/>
      <w:bookmarkEnd w:id="354"/>
      <w:bookmarkEnd w:id="355"/>
      <w:bookmarkEnd w:id="356"/>
      <w:bookmarkEnd w:id="357"/>
      <w:bookmarkEnd w:id="358"/>
    </w:p>
    <w:p w:rsidR="00FC1380" w:rsidRDefault="00870B4F" w:rsidP="00C63A96">
      <w:pPr>
        <w:pStyle w:val="Heading3"/>
      </w:pPr>
      <w:r>
        <w:t>S</w:t>
      </w:r>
      <w:r w:rsidR="00FF193B" w:rsidRPr="00FC1380">
        <w:t>trategic policy advice and coordination to the Premier and Cabinet</w:t>
      </w:r>
    </w:p>
    <w:p w:rsidR="00877BB8" w:rsidRDefault="00877BB8" w:rsidP="00C63A96">
      <w:pPr>
        <w:pStyle w:val="Heading4"/>
      </w:pPr>
      <w:bookmarkStart w:id="359" w:name="_Toc425370335"/>
      <w:bookmarkStart w:id="360" w:name="_Toc426104560"/>
      <w:r>
        <w:t>Whole of Government Strategic Projects</w:t>
      </w:r>
      <w:bookmarkEnd w:id="359"/>
      <w:bookmarkEnd w:id="360"/>
    </w:p>
    <w:p w:rsidR="000B0E41" w:rsidRPr="000B0E41" w:rsidRDefault="000B0E41" w:rsidP="006A0008">
      <w:pPr>
        <w:rPr>
          <w:lang w:val="en-US"/>
        </w:rPr>
      </w:pPr>
      <w:r w:rsidRPr="000B0E41">
        <w:rPr>
          <w:lang w:val="en-US"/>
        </w:rPr>
        <w:t xml:space="preserve">The Whole of Government Strategic Projects branch comprises State Ceremonial Events, support to the Minister for Veterans and support and advice on a diverse range of projects and initiatives across Government.  </w:t>
      </w:r>
    </w:p>
    <w:p w:rsidR="000B0E41" w:rsidRPr="00870B4F" w:rsidRDefault="000B0E41" w:rsidP="006A0008">
      <w:pPr>
        <w:rPr>
          <w:lang w:val="en-US"/>
        </w:rPr>
      </w:pPr>
      <w:r w:rsidRPr="000B0E41">
        <w:rPr>
          <w:lang w:val="en-US"/>
        </w:rPr>
        <w:t>What follows is an overview of the significant projects worked on by the Branch, of which the Anzac Centenary Commemoration was perhaps the most significant in 2014–15 (see page 58).</w:t>
      </w:r>
    </w:p>
    <w:p w:rsidR="000B0E41" w:rsidRPr="000B0E41" w:rsidRDefault="000B0E41" w:rsidP="00A12A74">
      <w:pPr>
        <w:pStyle w:val="Heading5"/>
        <w:rPr>
          <w:lang w:val="en-US"/>
        </w:rPr>
      </w:pPr>
      <w:r w:rsidRPr="000B0E41">
        <w:rPr>
          <w:lang w:val="en-US"/>
        </w:rPr>
        <w:t>WA Day</w:t>
      </w:r>
    </w:p>
    <w:p w:rsidR="000B0E41" w:rsidRPr="000B0E41" w:rsidRDefault="000B0E41" w:rsidP="000B0E41">
      <w:pPr>
        <w:rPr>
          <w:lang w:val="en-US"/>
        </w:rPr>
      </w:pPr>
      <w:r w:rsidRPr="000B0E41">
        <w:rPr>
          <w:lang w:val="en-US"/>
        </w:rPr>
        <w:t xml:space="preserve">The Department funds Celebrate WA to assist with the activities that occur over the WA Day long weekend. </w:t>
      </w:r>
    </w:p>
    <w:p w:rsidR="000B0E41" w:rsidRPr="000B0E41" w:rsidRDefault="000B0E41" w:rsidP="000B0E41">
      <w:pPr>
        <w:rPr>
          <w:lang w:val="en-US"/>
        </w:rPr>
      </w:pPr>
      <w:r w:rsidRPr="000B0E41">
        <w:rPr>
          <w:lang w:val="en-US"/>
        </w:rPr>
        <w:t xml:space="preserve">From Saturday, 30 May 2015 to Monday, 1 June 2015, the WA Day Programme featured 23 programmes of over 329 event elements. These included The Western Australian of the Year Awards, State of the Art Music Festival, WA Day – Come out &amp; Play, WA Day Plate, Long Lunch and Indigenous programmes.  Free events took place in regional sites of Albany, Geraldton, Kalgoorlie and Port Hedland.  </w:t>
      </w:r>
    </w:p>
    <w:p w:rsidR="000B0E41" w:rsidRPr="000B0E41" w:rsidRDefault="000B0E41" w:rsidP="000B0E41">
      <w:pPr>
        <w:rPr>
          <w:lang w:val="en-US"/>
        </w:rPr>
      </w:pPr>
      <w:r w:rsidRPr="000B0E41">
        <w:rPr>
          <w:lang w:val="en-US"/>
        </w:rPr>
        <w:t>The number of people reached by or participating in WA Day events increased 86.9% from 98,439 in 2014 to 184,009 in 2015.</w:t>
      </w:r>
    </w:p>
    <w:p w:rsidR="000B0E41" w:rsidRPr="000B0E41" w:rsidRDefault="000B0E41" w:rsidP="00A12A74">
      <w:pPr>
        <w:pStyle w:val="Heading5"/>
        <w:rPr>
          <w:lang w:val="en-US"/>
        </w:rPr>
      </w:pPr>
      <w:r w:rsidRPr="000B0E41">
        <w:rPr>
          <w:lang w:val="en-US"/>
        </w:rPr>
        <w:t>Duyfken Foundation</w:t>
      </w:r>
    </w:p>
    <w:p w:rsidR="000B0E41" w:rsidRPr="000B0E41" w:rsidRDefault="000B0E41" w:rsidP="000B0E41">
      <w:pPr>
        <w:rPr>
          <w:lang w:val="en-US"/>
        </w:rPr>
      </w:pPr>
      <w:r w:rsidRPr="000B0E41">
        <w:rPr>
          <w:lang w:val="en-US"/>
        </w:rPr>
        <w:t>The Department funds the Duyfken 1606 Replica Foundation to manage the Duyfken replica sailing ship as an ongoing tourist and education attraction, encompassing the early maritime history of Australia and Western Australia.</w:t>
      </w:r>
    </w:p>
    <w:p w:rsidR="000B0E41" w:rsidRPr="000B0E41" w:rsidRDefault="000B0E41" w:rsidP="000B0E41">
      <w:pPr>
        <w:rPr>
          <w:lang w:val="en-US"/>
        </w:rPr>
      </w:pPr>
      <w:r w:rsidRPr="000B0E41">
        <w:rPr>
          <w:lang w:val="en-US"/>
        </w:rPr>
        <w:t>From October 2014 to late March 2015, the Duyfken moved upriver from Fremantle to the Royal Freshwater Bay Yacht Club.  Highlights of Duyfken’s summer home on the Swan River include 51 day sails conducted on the Swan River, sailing between Mosman Bay and the Old Swan Brewery.  The season started with six volunteer crew who were experienced in sailing Duyfken, by the end of the season they had trained 30 more to a high level of competency.</w:t>
      </w:r>
    </w:p>
    <w:p w:rsidR="000B0E41" w:rsidRPr="000B0E41" w:rsidRDefault="000B0E41" w:rsidP="000B0E41">
      <w:pPr>
        <w:rPr>
          <w:lang w:val="en-US"/>
        </w:rPr>
      </w:pPr>
      <w:r w:rsidRPr="000B0E41">
        <w:rPr>
          <w:lang w:val="en-US"/>
        </w:rPr>
        <w:t>Negotiations are taking place with the Foundation for the Duyfken to be seasonally moored at Elizabeth Quay once construction is complete.  The Duyfken will also participate in the Dirk Hartog 400th anniversary in 2016.</w:t>
      </w:r>
    </w:p>
    <w:p w:rsidR="0011613C" w:rsidRDefault="0011613C">
      <w:pPr>
        <w:spacing w:line="276" w:lineRule="auto"/>
        <w:rPr>
          <w:rFonts w:ascii="Arial" w:eastAsia="Segoe UI" w:hAnsi="Arial" w:cs="Arial"/>
          <w:noProof/>
          <w:color w:val="365F91" w:themeColor="accent1" w:themeShade="BF"/>
          <w:kern w:val="24"/>
          <w:sz w:val="32"/>
          <w:szCs w:val="32"/>
          <w:lang w:val="en-US" w:eastAsia="en-AU"/>
        </w:rPr>
      </w:pPr>
      <w:r>
        <w:rPr>
          <w:lang w:val="en-US"/>
        </w:rPr>
        <w:br w:type="page"/>
      </w:r>
    </w:p>
    <w:p w:rsidR="000B0E41" w:rsidRPr="000B0E41" w:rsidRDefault="000B0E41" w:rsidP="00A12A74">
      <w:pPr>
        <w:pStyle w:val="Heading5"/>
        <w:rPr>
          <w:lang w:val="en-US"/>
        </w:rPr>
      </w:pPr>
      <w:r w:rsidRPr="000B0E41">
        <w:rPr>
          <w:lang w:val="en-US"/>
        </w:rPr>
        <w:t>Sharks</w:t>
      </w:r>
    </w:p>
    <w:p w:rsidR="000B0E41" w:rsidRPr="000B0E41" w:rsidRDefault="000B0E41" w:rsidP="000B0E41">
      <w:pPr>
        <w:rPr>
          <w:lang w:val="en-US"/>
        </w:rPr>
      </w:pPr>
      <w:r w:rsidRPr="000B0E41">
        <w:rPr>
          <w:lang w:val="en-US"/>
        </w:rPr>
        <w:t xml:space="preserve">The Department provided ongoing oversight of the Government’s Shark Hazard Mitigation Strategy, including submission of a Public Environmental Review for a three-year drum line programme to the Environmental Protection Authority (EPA) and an update to the Guidelines for Taking Sharks Posing a Serious Threat to Public Safety. </w:t>
      </w:r>
    </w:p>
    <w:p w:rsidR="000B0E41" w:rsidRPr="000B0E41" w:rsidRDefault="000B0E41" w:rsidP="000B0E41">
      <w:pPr>
        <w:rPr>
          <w:lang w:val="en-US"/>
        </w:rPr>
      </w:pPr>
      <w:r w:rsidRPr="000B0E41">
        <w:rPr>
          <w:lang w:val="en-US"/>
        </w:rPr>
        <w:t xml:space="preserve">In September 2014 the EPA recommended that the three-year drum line programme not be implemented due to a high degree of scientific uncertainty on the impacts on the south-western white shark population. </w:t>
      </w:r>
    </w:p>
    <w:p w:rsidR="000B0E41" w:rsidRPr="000B0E41" w:rsidRDefault="000B0E41" w:rsidP="000B0E41">
      <w:pPr>
        <w:rPr>
          <w:lang w:val="en-US"/>
        </w:rPr>
      </w:pPr>
      <w:r w:rsidRPr="000B0E41">
        <w:rPr>
          <w:lang w:val="en-US"/>
        </w:rPr>
        <w:t>In March 2015 the EPA found that a third party referral of the Guidelines in January 2015 was not a valid referral as the Guidelines will not have a significant environmental impact.</w:t>
      </w:r>
    </w:p>
    <w:p w:rsidR="000B0E41" w:rsidRPr="000B0E41" w:rsidRDefault="000B0E41" w:rsidP="00A12A74">
      <w:pPr>
        <w:pStyle w:val="Heading5"/>
        <w:rPr>
          <w:lang w:val="en-US"/>
        </w:rPr>
      </w:pPr>
      <w:r w:rsidRPr="000B0E41">
        <w:rPr>
          <w:lang w:val="en-US"/>
        </w:rPr>
        <w:t>Beach enclosures</w:t>
      </w:r>
    </w:p>
    <w:p w:rsidR="000B0E41" w:rsidRPr="000B0E41" w:rsidRDefault="000B0E41" w:rsidP="000B0E41">
      <w:pPr>
        <w:rPr>
          <w:lang w:val="en-US"/>
        </w:rPr>
      </w:pPr>
      <w:r w:rsidRPr="000B0E41">
        <w:rPr>
          <w:lang w:val="en-US"/>
        </w:rPr>
        <w:t>In September 2014 the Premier announced $200,000 to the City of Busselton for an additional beach enclosure.  The enclosure is anticipated to be deployed in time for the 2015–16 summer season.  The enclosure at Old Dunsborough was re-deployed for the 2014–15 summer season following a successful trial the previous year.</w:t>
      </w:r>
    </w:p>
    <w:p w:rsidR="000B0E41" w:rsidRPr="000B0E41" w:rsidRDefault="000B0E41" w:rsidP="00A12A74">
      <w:pPr>
        <w:pStyle w:val="Heading5"/>
        <w:rPr>
          <w:lang w:val="en-US"/>
        </w:rPr>
      </w:pPr>
      <w:r w:rsidRPr="000B0E41">
        <w:rPr>
          <w:lang w:val="en-US"/>
        </w:rPr>
        <w:t xml:space="preserve">Veterans </w:t>
      </w:r>
    </w:p>
    <w:p w:rsidR="000B0E41" w:rsidRPr="000B0E41" w:rsidRDefault="000B0E41" w:rsidP="000B0E41">
      <w:pPr>
        <w:rPr>
          <w:lang w:val="en-US"/>
        </w:rPr>
      </w:pPr>
      <w:r w:rsidRPr="000B0E41">
        <w:rPr>
          <w:lang w:val="en-US"/>
        </w:rPr>
        <w:t>Provided the secretariat function for the Veterans Advisory Council’s quarterly meetings.  The ten member Council serves as a panel of experts for the Minister for Veterans and as a strategic level communication channel for the veterans’ community with the State Government.</w:t>
      </w:r>
    </w:p>
    <w:p w:rsidR="00A12A74" w:rsidRDefault="000B0E41" w:rsidP="000B0E41">
      <w:pPr>
        <w:rPr>
          <w:lang w:val="en-US"/>
        </w:rPr>
      </w:pPr>
      <w:r w:rsidRPr="000B0E41">
        <w:rPr>
          <w:lang w:val="en-US"/>
        </w:rPr>
        <w:t xml:space="preserve">Progressed the development of a veterans website to ensure that information is communicated to the wider veterans community who may not be members of </w:t>
      </w:r>
      <w:r w:rsidR="00A12A74">
        <w:rPr>
          <w:lang w:val="en-US"/>
        </w:rPr>
        <w:t xml:space="preserve"> </w:t>
      </w:r>
      <w:r w:rsidRPr="000B0E41">
        <w:rPr>
          <w:lang w:val="en-US"/>
        </w:rPr>
        <w:t>ex-service organisations.</w:t>
      </w:r>
      <w:r w:rsidR="00A12A74">
        <w:rPr>
          <w:lang w:val="en-US"/>
        </w:rPr>
        <w:t xml:space="preserve"> </w:t>
      </w:r>
    </w:p>
    <w:p w:rsidR="000B0E41" w:rsidRPr="000B0E41" w:rsidRDefault="000B0E41" w:rsidP="000B0E41">
      <w:pPr>
        <w:rPr>
          <w:lang w:val="en-US"/>
        </w:rPr>
      </w:pPr>
      <w:r w:rsidRPr="000B0E41">
        <w:rPr>
          <w:lang w:val="en-US"/>
        </w:rPr>
        <w:t xml:space="preserve">In partnership with the Office of the Minister for Veterans, produced a booklet entitled </w:t>
      </w:r>
      <w:r w:rsidRPr="000B0E41">
        <w:rPr>
          <w:i/>
          <w:iCs/>
          <w:lang w:val="en-US"/>
        </w:rPr>
        <w:t>The Gallant Company of Brave Men</w:t>
      </w:r>
      <w:r w:rsidRPr="000B0E41">
        <w:rPr>
          <w:lang w:val="en-US"/>
        </w:rPr>
        <w:t xml:space="preserve">.  As an initiative to commemorate the Centenary of Anzac, the booklet serves to highlight the courageous actions of Western Australia’s Victoria Cross and George Cross recipients.  Copies of the booklet were distributed to all Western Australian schools, parliamentarians and local libraries.  The booklet is available online at the following location: </w:t>
      </w:r>
    </w:p>
    <w:p w:rsidR="000B0E41" w:rsidRPr="0011613C" w:rsidRDefault="002A26A8" w:rsidP="000B0E41">
      <w:pPr>
        <w:rPr>
          <w:lang w:val="en-US"/>
        </w:rPr>
      </w:pPr>
      <w:hyperlink r:id="rId14" w:history="1">
        <w:r w:rsidR="000B0E41" w:rsidRPr="0011613C">
          <w:rPr>
            <w:rStyle w:val="Hyperlink"/>
            <w:rFonts w:ascii="Segoe UI Semibold" w:hAnsi="Segoe UI Semibold" w:cs="Segoe UI Semibold"/>
            <w:lang w:val="en-US"/>
          </w:rPr>
          <w:t>http://www.anzac.dpc.wa.gov.au/CommemorativeActivities/Pages/VictoriaCrossandGeorgeCrossRecipients.aspx</w:t>
        </w:r>
      </w:hyperlink>
    </w:p>
    <w:p w:rsidR="00A12A74" w:rsidRPr="00A12A74" w:rsidRDefault="00A12A74" w:rsidP="00A12A74">
      <w:pPr>
        <w:pStyle w:val="Heading5"/>
        <w:rPr>
          <w:color w:val="000000"/>
          <w:lang w:val="en-US"/>
        </w:rPr>
      </w:pPr>
      <w:r w:rsidRPr="00A12A74">
        <w:rPr>
          <w:lang w:val="en-US"/>
        </w:rPr>
        <w:t>Surf Life Saving WA</w:t>
      </w:r>
    </w:p>
    <w:p w:rsidR="00A12A74" w:rsidRPr="00A12A74" w:rsidRDefault="00A12A74" w:rsidP="00A12A74">
      <w:pPr>
        <w:rPr>
          <w:color w:val="000000"/>
          <w:lang w:val="en-US"/>
        </w:rPr>
      </w:pPr>
      <w:r w:rsidRPr="00A12A74">
        <w:rPr>
          <w:color w:val="000000"/>
          <w:lang w:val="en-US"/>
        </w:rPr>
        <w:t>In September 2014 the Premier announced an additional $650,000 for extended aerial patrols in the South West for the 2014–15 summer season.</w:t>
      </w:r>
    </w:p>
    <w:p w:rsidR="00A12A74" w:rsidRPr="00A12A74" w:rsidRDefault="00A12A74" w:rsidP="00A12A74">
      <w:pPr>
        <w:rPr>
          <w:color w:val="000000"/>
          <w:lang w:val="en-US"/>
        </w:rPr>
      </w:pPr>
      <w:r w:rsidRPr="00A12A74">
        <w:rPr>
          <w:color w:val="000000"/>
          <w:lang w:val="en-US"/>
        </w:rPr>
        <w:t>In January 2015 the SLSWA installed two new life guard stations on Cottesloe Beach (funded by the Western Australian Government).  The stations give lifesavers the capacity to look out for not only sharks, but also rips, dumping swells and swimmers in distress.</w:t>
      </w:r>
    </w:p>
    <w:p w:rsidR="00A12A74" w:rsidRPr="00A12A74" w:rsidRDefault="00A12A74" w:rsidP="00A12A74">
      <w:pPr>
        <w:pStyle w:val="Heading5"/>
        <w:rPr>
          <w:color w:val="000000"/>
          <w:lang w:val="en-US"/>
        </w:rPr>
      </w:pPr>
      <w:r w:rsidRPr="00A12A74">
        <w:rPr>
          <w:lang w:val="en-US"/>
        </w:rPr>
        <w:t>Coastal Towns and Settlements Cabinet Sub-Committee</w:t>
      </w:r>
    </w:p>
    <w:p w:rsidR="00A12A74" w:rsidRPr="00A12A74" w:rsidRDefault="00A12A74" w:rsidP="00A12A74">
      <w:pPr>
        <w:rPr>
          <w:color w:val="000000"/>
          <w:lang w:val="en-US"/>
        </w:rPr>
      </w:pPr>
      <w:r w:rsidRPr="00A12A74">
        <w:rPr>
          <w:color w:val="000000"/>
          <w:lang w:val="en-US"/>
        </w:rPr>
        <w:t xml:space="preserve">The Department provided secretarial and administrative support to the Coastal Towns and Settlements Cabinet Sub-Committee between July 2014 and June 2015 and involvement in a whole-of-Government working group, coordinated by the Department of Fisheries, to provide advice on the sustainable development of the Abrolhos Islands. </w:t>
      </w:r>
    </w:p>
    <w:p w:rsidR="00A12A74" w:rsidRPr="00A12A74" w:rsidRDefault="00A12A74" w:rsidP="00A12A74">
      <w:pPr>
        <w:pStyle w:val="Heading5"/>
        <w:rPr>
          <w:color w:val="000000"/>
          <w:lang w:val="en-US"/>
        </w:rPr>
      </w:pPr>
      <w:r w:rsidRPr="00A12A74">
        <w:rPr>
          <w:lang w:val="en-US"/>
        </w:rPr>
        <w:t>Dirk Hartog</w:t>
      </w:r>
    </w:p>
    <w:p w:rsidR="00A12A74" w:rsidRPr="00A12A74" w:rsidRDefault="00A12A74" w:rsidP="00A12A74">
      <w:pPr>
        <w:rPr>
          <w:color w:val="000000"/>
          <w:lang w:val="en-US"/>
        </w:rPr>
      </w:pPr>
      <w:r w:rsidRPr="00A12A74">
        <w:rPr>
          <w:color w:val="000000"/>
          <w:lang w:val="en-US"/>
        </w:rPr>
        <w:t xml:space="preserve">Planning for the Dirk Hartog 400-year anniversary in 2016 got underway during the year with the approval of funding through Royalties for Regions for specific projects to complement those already implemented and others that have commenced.  The Department is working closely with Dutch Government representatives, the Shire of Shark Bay, the Gascoyne Regional Development Commission, Department of Parks and Wildlife and the WA Museum to deliver this significant commemorative event in October 2016. </w:t>
      </w:r>
    </w:p>
    <w:p w:rsidR="00A12A74" w:rsidRPr="00A12A74" w:rsidRDefault="00A12A74" w:rsidP="00A12A74">
      <w:pPr>
        <w:pStyle w:val="Heading5"/>
        <w:rPr>
          <w:color w:val="000000"/>
          <w:lang w:val="en-US"/>
        </w:rPr>
      </w:pPr>
      <w:r w:rsidRPr="00A12A74">
        <w:rPr>
          <w:lang w:val="en-US"/>
        </w:rPr>
        <w:t>Pregnancy and Infant Loss</w:t>
      </w:r>
      <w:r>
        <w:rPr>
          <w:lang w:val="en-US"/>
        </w:rPr>
        <w:t xml:space="preserve"> </w:t>
      </w:r>
      <w:r w:rsidRPr="00A12A74">
        <w:rPr>
          <w:lang w:val="en-US"/>
        </w:rPr>
        <w:t xml:space="preserve">Remembrance Day </w:t>
      </w:r>
    </w:p>
    <w:p w:rsidR="00A12A74" w:rsidRPr="00870B4F" w:rsidRDefault="00A12A74" w:rsidP="00DA645E">
      <w:pPr>
        <w:rPr>
          <w:color w:val="000000"/>
          <w:lang w:val="en-US"/>
        </w:rPr>
      </w:pPr>
      <w:r w:rsidRPr="00A12A74">
        <w:rPr>
          <w:color w:val="000000"/>
          <w:lang w:val="en-US"/>
        </w:rPr>
        <w:t>Support was provided to the Parliamentary Secretary to the Premier, the Hon Donna Faragher MLC who assisted the Premier in formulating a special motion for both Houses of Parliament for the establishment of 15 October as Pregnancy and Inf</w:t>
      </w:r>
      <w:r w:rsidR="00870B4F">
        <w:rPr>
          <w:color w:val="000000"/>
          <w:lang w:val="en-US"/>
        </w:rPr>
        <w:t>ant Loss Remembrance Day.</w:t>
      </w:r>
    </w:p>
    <w:p w:rsidR="00C25393" w:rsidRDefault="00C25393" w:rsidP="00C63A96">
      <w:pPr>
        <w:pStyle w:val="Heading3"/>
      </w:pPr>
      <w:bookmarkStart w:id="361" w:name="_Toc425370380"/>
      <w:bookmarkStart w:id="362" w:name="_Toc426104607"/>
      <w:r>
        <w:t>Strategic policy advice and coordination to the Minister for Science</w:t>
      </w:r>
    </w:p>
    <w:bookmarkEnd w:id="361"/>
    <w:bookmarkEnd w:id="362"/>
    <w:p w:rsidR="00870B4F" w:rsidRPr="00870B4F" w:rsidRDefault="00870B4F" w:rsidP="00870B4F">
      <w:pPr>
        <w:rPr>
          <w:lang w:val="en-US"/>
        </w:rPr>
      </w:pPr>
      <w:r w:rsidRPr="00870B4F">
        <w:rPr>
          <w:lang w:val="en-US"/>
        </w:rPr>
        <w:t>The Office of Science provides a long term strategic context for the delivery of science across Western Australia.  Key focus areas include supporting government agencies to understand their science needs and facilitating cross-government linkages across the science community.</w:t>
      </w:r>
    </w:p>
    <w:p w:rsidR="00870B4F" w:rsidRPr="00870B4F" w:rsidRDefault="00870B4F" w:rsidP="00870B4F">
      <w:pPr>
        <w:rPr>
          <w:lang w:val="en-US"/>
        </w:rPr>
      </w:pPr>
      <w:r w:rsidRPr="00870B4F">
        <w:rPr>
          <w:lang w:val="en-US"/>
        </w:rPr>
        <w:t>Throughout 2014–15 the Office of Science consulted broadly with stakeholders, including industry, universities and government, to identify significant research and innovation activities underway across Western Australia. The Office continued to lead the State Government’s involvement in the Square Kilometre Array (SKA) project, managed a total of 32 State Government science investments (totalling more than $20 million for the year), delivered initiatives that raised the profile of science in the State and supported the activities of the Chief Scientist of Western Australia.</w:t>
      </w:r>
    </w:p>
    <w:p w:rsidR="00870B4F" w:rsidRPr="00870B4F" w:rsidRDefault="00870B4F" w:rsidP="00870B4F">
      <w:pPr>
        <w:pStyle w:val="Heading4"/>
        <w:rPr>
          <w:lang w:val="en-US"/>
        </w:rPr>
      </w:pPr>
      <w:r w:rsidRPr="00870B4F">
        <w:rPr>
          <w:lang w:val="en-US"/>
        </w:rPr>
        <w:t>Major achievements</w:t>
      </w:r>
    </w:p>
    <w:p w:rsidR="00870B4F" w:rsidRPr="00870B4F" w:rsidRDefault="00870B4F" w:rsidP="00AE75A9">
      <w:pPr>
        <w:pStyle w:val="ListParagraph"/>
        <w:numPr>
          <w:ilvl w:val="0"/>
          <w:numId w:val="38"/>
        </w:numPr>
        <w:rPr>
          <w:lang w:val="en-US"/>
        </w:rPr>
      </w:pPr>
      <w:r w:rsidRPr="00870B4F">
        <w:rPr>
          <w:lang w:val="en-US"/>
        </w:rPr>
        <w:t>Developed and produced ‘A Science Statement for Western Australia’, launched by the Premier in April 2015.  The Science Statement outlines five science priority areas based on the State’s comparative advantages:  mining and energy; medicine and health; agriculture and food; biodiversity and marine science; and radio astronomy.  The Science Statement also identifies areas of opportunity that cut across each of the priorities:  education and engagement initiatives; data intensive science; water science; and effective collaboration.</w:t>
      </w:r>
    </w:p>
    <w:p w:rsidR="00870B4F" w:rsidRPr="00870B4F" w:rsidRDefault="00870B4F" w:rsidP="00AE75A9">
      <w:pPr>
        <w:pStyle w:val="ListParagraph"/>
        <w:numPr>
          <w:ilvl w:val="0"/>
          <w:numId w:val="38"/>
        </w:numPr>
        <w:rPr>
          <w:lang w:val="en-US"/>
        </w:rPr>
      </w:pPr>
      <w:r w:rsidRPr="00870B4F">
        <w:rPr>
          <w:lang w:val="en-US"/>
        </w:rPr>
        <w:t>Continued to lead the State’s involvement in the SKA project:</w:t>
      </w:r>
    </w:p>
    <w:p w:rsidR="00870B4F" w:rsidRPr="00870B4F" w:rsidRDefault="00870B4F" w:rsidP="00AE75A9">
      <w:pPr>
        <w:pStyle w:val="ListParagraph"/>
        <w:numPr>
          <w:ilvl w:val="1"/>
          <w:numId w:val="39"/>
        </w:numPr>
        <w:rPr>
          <w:lang w:val="en-US"/>
        </w:rPr>
      </w:pPr>
      <w:r w:rsidRPr="00870B4F">
        <w:rPr>
          <w:lang w:val="en-US"/>
        </w:rPr>
        <w:t>Established the State’s position on key issues including land tenure through consultation and coordination with State Government agencies</w:t>
      </w:r>
    </w:p>
    <w:p w:rsidR="00870B4F" w:rsidRPr="00870B4F" w:rsidRDefault="00870B4F" w:rsidP="00AE75A9">
      <w:pPr>
        <w:pStyle w:val="ListParagraph"/>
        <w:numPr>
          <w:ilvl w:val="1"/>
          <w:numId w:val="39"/>
        </w:numPr>
        <w:rPr>
          <w:lang w:val="en-US"/>
        </w:rPr>
      </w:pPr>
      <w:r w:rsidRPr="00870B4F">
        <w:rPr>
          <w:lang w:val="en-US"/>
        </w:rPr>
        <w:t>Influenced the ongoing development of national and international SKA policies and governance instruments to maximise the benefits and minimise the risks of the project to the State</w:t>
      </w:r>
    </w:p>
    <w:p w:rsidR="00870B4F" w:rsidRPr="00870B4F" w:rsidRDefault="00870B4F" w:rsidP="00AE75A9">
      <w:pPr>
        <w:pStyle w:val="ListParagraph"/>
        <w:numPr>
          <w:ilvl w:val="1"/>
          <w:numId w:val="39"/>
        </w:numPr>
        <w:rPr>
          <w:lang w:val="en-US"/>
        </w:rPr>
      </w:pPr>
      <w:r w:rsidRPr="00870B4F">
        <w:rPr>
          <w:lang w:val="en-US"/>
        </w:rPr>
        <w:t>Established a new funding agreement for the International Centre for Radio Astronomy Research (ICRAR) comprising $26 million over five years from 2014–15</w:t>
      </w:r>
    </w:p>
    <w:p w:rsidR="00870B4F" w:rsidRPr="00870B4F" w:rsidRDefault="00870B4F" w:rsidP="00AE75A9">
      <w:pPr>
        <w:pStyle w:val="ListParagraph"/>
        <w:numPr>
          <w:ilvl w:val="1"/>
          <w:numId w:val="39"/>
        </w:numPr>
        <w:rPr>
          <w:lang w:val="en-US"/>
        </w:rPr>
      </w:pPr>
      <w:r w:rsidRPr="00870B4F">
        <w:rPr>
          <w:lang w:val="en-US"/>
        </w:rPr>
        <w:t>Supported the Premier in welcoming 300 scientists and engineers across 15 countries to the international SKA Engineering Conference held in Fremantle in September 2014</w:t>
      </w:r>
    </w:p>
    <w:p w:rsidR="00870B4F" w:rsidRPr="00870B4F" w:rsidRDefault="00870B4F" w:rsidP="00AE75A9">
      <w:pPr>
        <w:pStyle w:val="ListParagraph"/>
        <w:numPr>
          <w:ilvl w:val="0"/>
          <w:numId w:val="38"/>
        </w:numPr>
        <w:rPr>
          <w:lang w:val="en-US"/>
        </w:rPr>
      </w:pPr>
      <w:r w:rsidRPr="00870B4F">
        <w:rPr>
          <w:lang w:val="en-US"/>
        </w:rPr>
        <w:t>Secured the continuation of State funding support for the Pawsey Supercomputing Centre, comprising $21.6 million over five years commencing in 2016–17</w:t>
      </w:r>
    </w:p>
    <w:p w:rsidR="00870B4F" w:rsidRPr="00870B4F" w:rsidRDefault="00870B4F" w:rsidP="00AE75A9">
      <w:pPr>
        <w:pStyle w:val="ListParagraph"/>
        <w:numPr>
          <w:ilvl w:val="0"/>
          <w:numId w:val="38"/>
        </w:numPr>
        <w:rPr>
          <w:lang w:val="en-US"/>
        </w:rPr>
      </w:pPr>
      <w:r w:rsidRPr="00870B4F">
        <w:rPr>
          <w:lang w:val="en-US"/>
        </w:rPr>
        <w:t>Continued to manage research activities under the $12 million Kimberley Marine Science Research Programme being delivered by the Western Australian Marine Science Institution, to support the objectives of the $81.5 million Kimberley Marine Science and Conservation Strategy</w:t>
      </w:r>
    </w:p>
    <w:p w:rsidR="00870B4F" w:rsidRPr="00870B4F" w:rsidRDefault="00870B4F" w:rsidP="00AE75A9">
      <w:pPr>
        <w:pStyle w:val="ListParagraph"/>
        <w:numPr>
          <w:ilvl w:val="0"/>
          <w:numId w:val="38"/>
        </w:numPr>
        <w:rPr>
          <w:lang w:val="en-US"/>
        </w:rPr>
      </w:pPr>
      <w:r w:rsidRPr="00870B4F">
        <w:rPr>
          <w:lang w:val="en-US"/>
        </w:rPr>
        <w:t>Participated in the Project Steering Group that oversaw the development of the Blueprint for Marine Science 2050, an independent and objective assessment of end-user priorities for future marine research in Western Australia</w:t>
      </w:r>
    </w:p>
    <w:p w:rsidR="00870B4F" w:rsidRPr="00870B4F" w:rsidRDefault="00870B4F" w:rsidP="00AE75A9">
      <w:pPr>
        <w:pStyle w:val="ListParagraph"/>
        <w:numPr>
          <w:ilvl w:val="0"/>
          <w:numId w:val="38"/>
        </w:numPr>
        <w:rPr>
          <w:lang w:val="en-US"/>
        </w:rPr>
      </w:pPr>
      <w:r w:rsidRPr="00870B4F">
        <w:rPr>
          <w:lang w:val="en-US"/>
        </w:rPr>
        <w:t>Progressed initiatives to establish a new institute that will align and coordinate Western Australia’s significant terrestrial biodiversity knowledge and research activity, to ensure that funding and research effort are prioritised towards the areas of greatest conservation need and that responsible decisions are being made around the economic development of the State</w:t>
      </w:r>
    </w:p>
    <w:p w:rsidR="00870B4F" w:rsidRPr="00870B4F" w:rsidRDefault="00870B4F" w:rsidP="00AE75A9">
      <w:pPr>
        <w:pStyle w:val="ListParagraph"/>
        <w:numPr>
          <w:ilvl w:val="0"/>
          <w:numId w:val="38"/>
        </w:numPr>
        <w:rPr>
          <w:lang w:val="en-US"/>
        </w:rPr>
      </w:pPr>
      <w:r w:rsidRPr="00870B4F">
        <w:rPr>
          <w:lang w:val="en-US"/>
        </w:rPr>
        <w:t>Continued to manage the State’s investment in Scitech, including supporting the planning for Scitech’s new home</w:t>
      </w:r>
    </w:p>
    <w:p w:rsidR="00870B4F" w:rsidRPr="00870B4F" w:rsidRDefault="00870B4F" w:rsidP="00AE75A9">
      <w:pPr>
        <w:pStyle w:val="ListParagraph"/>
        <w:numPr>
          <w:ilvl w:val="0"/>
          <w:numId w:val="38"/>
        </w:numPr>
        <w:rPr>
          <w:lang w:val="en-US"/>
        </w:rPr>
      </w:pPr>
      <w:r w:rsidRPr="00870B4F">
        <w:rPr>
          <w:lang w:val="en-US"/>
        </w:rPr>
        <w:t>Continued to manage research activities under the State Government’s Applied Research Programme – Shark Hazard Mitigation.  Three research projects under round one of the programme have been completed</w:t>
      </w:r>
    </w:p>
    <w:p w:rsidR="00870B4F" w:rsidRPr="00870B4F" w:rsidRDefault="00870B4F" w:rsidP="00AE75A9">
      <w:pPr>
        <w:pStyle w:val="ListParagraph"/>
        <w:numPr>
          <w:ilvl w:val="0"/>
          <w:numId w:val="38"/>
        </w:numPr>
        <w:rPr>
          <w:lang w:val="en-US"/>
        </w:rPr>
      </w:pPr>
      <w:r w:rsidRPr="00870B4F">
        <w:rPr>
          <w:lang w:val="en-US"/>
        </w:rPr>
        <w:t xml:space="preserve">Completed an independent review of the beach enclosure trial (to protect swimmers from sharks) at Old Dunsborough Beach </w:t>
      </w:r>
    </w:p>
    <w:p w:rsidR="00870B4F" w:rsidRPr="00870B4F" w:rsidRDefault="00870B4F" w:rsidP="00AE75A9">
      <w:pPr>
        <w:pStyle w:val="ListParagraph"/>
        <w:numPr>
          <w:ilvl w:val="0"/>
          <w:numId w:val="38"/>
        </w:numPr>
        <w:rPr>
          <w:lang w:val="en-US"/>
        </w:rPr>
      </w:pPr>
      <w:r w:rsidRPr="00870B4F">
        <w:rPr>
          <w:lang w:val="en-US"/>
        </w:rPr>
        <w:t>Contributed to the planning and delivery of key science engagement strategies, awards and events, including:</w:t>
      </w:r>
    </w:p>
    <w:p w:rsidR="00870B4F" w:rsidRPr="00870B4F" w:rsidRDefault="00870B4F" w:rsidP="00AE75A9">
      <w:pPr>
        <w:pStyle w:val="ListParagraph"/>
        <w:numPr>
          <w:ilvl w:val="1"/>
          <w:numId w:val="40"/>
        </w:numPr>
        <w:rPr>
          <w:lang w:val="en-US"/>
        </w:rPr>
      </w:pPr>
      <w:r w:rsidRPr="00870B4F">
        <w:rPr>
          <w:lang w:val="en-US"/>
        </w:rPr>
        <w:t>Premier’s Science Awards,  Perth Science Festival and other events associated with National Science Week;</w:t>
      </w:r>
    </w:p>
    <w:p w:rsidR="00870B4F" w:rsidRPr="00870B4F" w:rsidRDefault="00870B4F" w:rsidP="00AE75A9">
      <w:pPr>
        <w:pStyle w:val="ListParagraph"/>
        <w:numPr>
          <w:ilvl w:val="1"/>
          <w:numId w:val="40"/>
        </w:numPr>
        <w:rPr>
          <w:lang w:val="en-US"/>
        </w:rPr>
      </w:pPr>
      <w:r w:rsidRPr="00870B4F">
        <w:rPr>
          <w:lang w:val="en-US"/>
        </w:rPr>
        <w:t>FameLab Australia science communication competition, held at the Western Australian Maritime Museum;</w:t>
      </w:r>
    </w:p>
    <w:p w:rsidR="00870B4F" w:rsidRPr="00870B4F" w:rsidRDefault="00870B4F" w:rsidP="00AE75A9">
      <w:pPr>
        <w:pStyle w:val="ListParagraph"/>
        <w:numPr>
          <w:ilvl w:val="1"/>
          <w:numId w:val="40"/>
        </w:numPr>
        <w:rPr>
          <w:lang w:val="en-US"/>
        </w:rPr>
      </w:pPr>
      <w:r w:rsidRPr="00870B4F">
        <w:rPr>
          <w:lang w:val="en-US"/>
        </w:rPr>
        <w:t>Perth Big Data Week, which included an event for State Government employees on maximising opportunities with government data;</w:t>
      </w:r>
    </w:p>
    <w:p w:rsidR="00870B4F" w:rsidRPr="00870B4F" w:rsidRDefault="00870B4F" w:rsidP="00AE75A9">
      <w:pPr>
        <w:pStyle w:val="ListParagraph"/>
        <w:numPr>
          <w:ilvl w:val="1"/>
          <w:numId w:val="40"/>
        </w:numPr>
        <w:rPr>
          <w:lang w:val="en-US"/>
        </w:rPr>
      </w:pPr>
      <w:r w:rsidRPr="00870B4F">
        <w:rPr>
          <w:lang w:val="en-US"/>
        </w:rPr>
        <w:t>the inaugural Science on the Swan Conference (April 2015), which showcased medical science and health research in Western Australia; and</w:t>
      </w:r>
    </w:p>
    <w:p w:rsidR="007A052B" w:rsidRPr="00E91548" w:rsidRDefault="00870B4F" w:rsidP="00AE75A9">
      <w:pPr>
        <w:pStyle w:val="ListParagraph"/>
        <w:numPr>
          <w:ilvl w:val="1"/>
          <w:numId w:val="40"/>
        </w:numPr>
        <w:rPr>
          <w:lang w:val="en-US"/>
        </w:rPr>
      </w:pPr>
      <w:r w:rsidRPr="00870B4F">
        <w:rPr>
          <w:lang w:val="en-US"/>
        </w:rPr>
        <w:t xml:space="preserve">Governor’s School STEM Awards, which recognised support and leadership in development of school STEM (science, technology, engineering and mathematics) education programmes. </w:t>
      </w:r>
    </w:p>
    <w:p w:rsidR="0011613C" w:rsidRDefault="0011613C">
      <w:pPr>
        <w:spacing w:line="276" w:lineRule="auto"/>
        <w:rPr>
          <w:rFonts w:ascii="Arial" w:eastAsia="Segoe UI" w:hAnsi="Arial" w:cs="Arial"/>
          <w:noProof/>
          <w:color w:val="003366"/>
          <w:kern w:val="24"/>
          <w:sz w:val="36"/>
          <w:szCs w:val="36"/>
          <w:lang w:eastAsia="en-AU"/>
        </w:rPr>
      </w:pPr>
      <w:bookmarkStart w:id="363" w:name="_Toc425370328"/>
      <w:bookmarkStart w:id="364" w:name="_Toc426104553"/>
      <w:bookmarkStart w:id="365" w:name="_Toc425370353"/>
      <w:bookmarkStart w:id="366" w:name="_Toc426104578"/>
      <w:bookmarkStart w:id="367" w:name="_Toc426104581"/>
      <w:bookmarkStart w:id="368" w:name="_Toc425370356"/>
      <w:bookmarkStart w:id="369" w:name="_Toc426104583"/>
      <w:bookmarkStart w:id="370" w:name="_Toc425370372"/>
      <w:bookmarkStart w:id="371" w:name="_Toc426104599"/>
      <w:bookmarkStart w:id="372" w:name="_Toc425370361"/>
      <w:bookmarkStart w:id="373" w:name="_Toc426104588"/>
      <w:r>
        <w:br w:type="page"/>
      </w:r>
    </w:p>
    <w:p w:rsidR="00870B4F" w:rsidRPr="00E91548" w:rsidRDefault="00870B4F" w:rsidP="00E91548">
      <w:pPr>
        <w:pStyle w:val="Heading4"/>
      </w:pPr>
      <w:r w:rsidRPr="00E91548">
        <w:t>Future directions</w:t>
      </w:r>
    </w:p>
    <w:p w:rsidR="00870B4F" w:rsidRPr="00870B4F" w:rsidRDefault="00870B4F" w:rsidP="00870B4F">
      <w:pPr>
        <w:rPr>
          <w:color w:val="000000"/>
          <w:lang w:val="en-US"/>
        </w:rPr>
      </w:pPr>
      <w:r w:rsidRPr="00870B4F">
        <w:rPr>
          <w:color w:val="000000"/>
          <w:lang w:val="en-US"/>
        </w:rPr>
        <w:t>In 2015–16 the Office of Science will continue to work with government agencies and stakeholders across the science community to:</w:t>
      </w:r>
    </w:p>
    <w:p w:rsidR="00870B4F" w:rsidRPr="00870B4F" w:rsidRDefault="00870B4F" w:rsidP="00AE75A9">
      <w:pPr>
        <w:pStyle w:val="ListParagraph"/>
        <w:numPr>
          <w:ilvl w:val="0"/>
          <w:numId w:val="41"/>
        </w:numPr>
        <w:rPr>
          <w:color w:val="000000"/>
          <w:lang w:val="en-US"/>
        </w:rPr>
      </w:pPr>
      <w:r w:rsidRPr="00870B4F">
        <w:rPr>
          <w:color w:val="000000"/>
          <w:lang w:val="en-US"/>
        </w:rPr>
        <w:t>support the development of strategies for the State Government’s science priority areas and strengthen existing links with the Commonwealth Government, international science organisations and across the Asia-Pacific region;</w:t>
      </w:r>
    </w:p>
    <w:p w:rsidR="00870B4F" w:rsidRPr="00870B4F" w:rsidRDefault="00870B4F" w:rsidP="00AE75A9">
      <w:pPr>
        <w:pStyle w:val="ListParagraph"/>
        <w:numPr>
          <w:ilvl w:val="0"/>
          <w:numId w:val="41"/>
        </w:numPr>
        <w:rPr>
          <w:color w:val="000000"/>
          <w:lang w:val="en-US"/>
        </w:rPr>
      </w:pPr>
      <w:r w:rsidRPr="00870B4F">
        <w:rPr>
          <w:color w:val="000000"/>
          <w:lang w:val="en-US"/>
        </w:rPr>
        <w:t xml:space="preserve">coordinate the Premier’s Round Table on Marine Science to build consensus on a genuine across-sector collaboration in order to progress the strategic research priorities for the marine sector identified in the Blueprint for Marine Science 2050;  </w:t>
      </w:r>
    </w:p>
    <w:p w:rsidR="00870B4F" w:rsidRPr="00870B4F" w:rsidRDefault="00870B4F" w:rsidP="00AE75A9">
      <w:pPr>
        <w:pStyle w:val="ListParagraph"/>
        <w:numPr>
          <w:ilvl w:val="0"/>
          <w:numId w:val="41"/>
        </w:numPr>
        <w:rPr>
          <w:color w:val="000000"/>
          <w:lang w:val="en-US"/>
        </w:rPr>
      </w:pPr>
      <w:r w:rsidRPr="00870B4F">
        <w:rPr>
          <w:color w:val="000000"/>
          <w:lang w:val="en-US"/>
        </w:rPr>
        <w:t>support the establishment of a new institution to coordinate terrestrial biodiversity science;</w:t>
      </w:r>
    </w:p>
    <w:p w:rsidR="00870B4F" w:rsidRPr="00870B4F" w:rsidRDefault="00870B4F" w:rsidP="00AE75A9">
      <w:pPr>
        <w:pStyle w:val="ListParagraph"/>
        <w:numPr>
          <w:ilvl w:val="0"/>
          <w:numId w:val="41"/>
        </w:numPr>
        <w:rPr>
          <w:color w:val="000000"/>
          <w:lang w:val="en-US"/>
        </w:rPr>
      </w:pPr>
      <w:r w:rsidRPr="00870B4F">
        <w:rPr>
          <w:color w:val="000000"/>
          <w:lang w:val="en-US"/>
        </w:rPr>
        <w:t>progress the establishment of the Australian SKA site in accordance with agreed international timeframes;</w:t>
      </w:r>
    </w:p>
    <w:p w:rsidR="00870B4F" w:rsidRPr="00870B4F" w:rsidRDefault="00870B4F" w:rsidP="00AE75A9">
      <w:pPr>
        <w:pStyle w:val="ListParagraph"/>
        <w:numPr>
          <w:ilvl w:val="0"/>
          <w:numId w:val="41"/>
        </w:numPr>
        <w:rPr>
          <w:color w:val="000000"/>
          <w:lang w:val="en-US"/>
        </w:rPr>
      </w:pPr>
      <w:r w:rsidRPr="00870B4F">
        <w:rPr>
          <w:color w:val="000000"/>
          <w:lang w:val="en-US"/>
        </w:rPr>
        <w:t>develop a strategy to maximise the benefits of big data analytics for Western Australia;</w:t>
      </w:r>
    </w:p>
    <w:p w:rsidR="00870B4F" w:rsidRPr="00870B4F" w:rsidRDefault="00870B4F" w:rsidP="00AE75A9">
      <w:pPr>
        <w:pStyle w:val="ListParagraph"/>
        <w:numPr>
          <w:ilvl w:val="0"/>
          <w:numId w:val="41"/>
        </w:numPr>
        <w:rPr>
          <w:color w:val="000000"/>
          <w:lang w:val="en-US"/>
        </w:rPr>
      </w:pPr>
      <w:r w:rsidRPr="00870B4F">
        <w:rPr>
          <w:color w:val="000000"/>
          <w:lang w:val="en-US"/>
        </w:rPr>
        <w:t xml:space="preserve">develop a data linkage model that builds on the existing capability and expertise in Western Australia’s health sector; </w:t>
      </w:r>
    </w:p>
    <w:p w:rsidR="00870B4F" w:rsidRPr="00870B4F" w:rsidRDefault="00870B4F" w:rsidP="00AE75A9">
      <w:pPr>
        <w:pStyle w:val="ListParagraph"/>
        <w:numPr>
          <w:ilvl w:val="0"/>
          <w:numId w:val="41"/>
        </w:numPr>
        <w:rPr>
          <w:color w:val="000000"/>
          <w:lang w:val="en-US"/>
        </w:rPr>
      </w:pPr>
      <w:r w:rsidRPr="00870B4F">
        <w:rPr>
          <w:color w:val="000000"/>
          <w:lang w:val="en-US"/>
        </w:rPr>
        <w:t>support the identification of a new location for Scitech and strategic planning for the future of the organisation;  and</w:t>
      </w:r>
    </w:p>
    <w:p w:rsidR="00870B4F" w:rsidRPr="00870B4F" w:rsidRDefault="00870B4F" w:rsidP="00AE75A9">
      <w:pPr>
        <w:pStyle w:val="ListParagraph"/>
        <w:numPr>
          <w:ilvl w:val="0"/>
          <w:numId w:val="41"/>
        </w:numPr>
        <w:rPr>
          <w:color w:val="000000"/>
          <w:lang w:val="en-US"/>
        </w:rPr>
      </w:pPr>
      <w:r w:rsidRPr="00870B4F">
        <w:rPr>
          <w:color w:val="000000"/>
          <w:lang w:val="en-US"/>
        </w:rPr>
        <w:t>lead and facilitate collaboration across science education and engagement providers to maximise the impact of their activities in Western Australia.</w:t>
      </w:r>
    </w:p>
    <w:p w:rsidR="00870B4F" w:rsidRPr="00870B4F" w:rsidRDefault="00870B4F" w:rsidP="00E91548">
      <w:pPr>
        <w:pStyle w:val="Heading4"/>
        <w:rPr>
          <w:color w:val="000000"/>
          <w:lang w:val="en-US"/>
        </w:rPr>
      </w:pPr>
      <w:r w:rsidRPr="00870B4F">
        <w:rPr>
          <w:lang w:val="en-US"/>
        </w:rPr>
        <w:t>Chief Scientist of Western Australia</w:t>
      </w:r>
    </w:p>
    <w:p w:rsidR="00870B4F" w:rsidRPr="00870B4F" w:rsidRDefault="00870B4F" w:rsidP="00870B4F">
      <w:pPr>
        <w:rPr>
          <w:color w:val="000000"/>
          <w:lang w:val="en-US"/>
        </w:rPr>
      </w:pPr>
      <w:r w:rsidRPr="00870B4F">
        <w:rPr>
          <w:color w:val="000000"/>
          <w:lang w:val="en-US"/>
        </w:rPr>
        <w:t xml:space="preserve">Professor Peter Klinken was re-appointed to the role of Chief Scientist of Western Australia for a further two years on 8 June 2015.  The Chief Scientist provides independent, scientific advice to Government and the Premier as Minister for Science, and works closely with the Office of Science to advance Western Australian science. </w:t>
      </w:r>
    </w:p>
    <w:p w:rsidR="00870B4F" w:rsidRPr="00870B4F" w:rsidRDefault="00870B4F" w:rsidP="00870B4F">
      <w:pPr>
        <w:rPr>
          <w:color w:val="000000"/>
          <w:lang w:val="en-US"/>
        </w:rPr>
      </w:pPr>
      <w:r w:rsidRPr="00870B4F">
        <w:rPr>
          <w:color w:val="000000"/>
          <w:lang w:val="en-US"/>
        </w:rPr>
        <w:t>Throughout 2014–15 the Chief Scientist performed a range of activities including contributing to the development of A Science Statement for Western Australia — providing input on key consultations and as a member of different working groups and committees and chairing the assessment panels for the 2014 Premier’s Science Awards.</w:t>
      </w:r>
    </w:p>
    <w:p w:rsidR="00870B4F" w:rsidRPr="00870B4F" w:rsidRDefault="00870B4F" w:rsidP="00E91548">
      <w:pPr>
        <w:pStyle w:val="Heading5"/>
        <w:rPr>
          <w:color w:val="000000"/>
          <w:lang w:val="en-US"/>
        </w:rPr>
      </w:pPr>
      <w:r w:rsidRPr="00870B4F">
        <w:rPr>
          <w:lang w:val="en-US"/>
        </w:rPr>
        <w:t>Major achievements</w:t>
      </w:r>
    </w:p>
    <w:p w:rsidR="00870B4F" w:rsidRPr="00870B4F" w:rsidRDefault="00870B4F" w:rsidP="00AE75A9">
      <w:pPr>
        <w:pStyle w:val="ListParagraph"/>
        <w:numPr>
          <w:ilvl w:val="0"/>
          <w:numId w:val="42"/>
        </w:numPr>
        <w:rPr>
          <w:color w:val="000000"/>
          <w:lang w:val="en-US"/>
        </w:rPr>
      </w:pPr>
      <w:r w:rsidRPr="00870B4F">
        <w:rPr>
          <w:color w:val="000000"/>
          <w:lang w:val="en-US"/>
        </w:rPr>
        <w:t>Extensive engagement with stakeholders across the science community at the State, national and international levels from industry, research institutions and government agencies.  To date there have been over 250 briefings and meetings.</w:t>
      </w:r>
    </w:p>
    <w:p w:rsidR="00870B4F" w:rsidRPr="00870B4F" w:rsidRDefault="00870B4F" w:rsidP="00AE75A9">
      <w:pPr>
        <w:pStyle w:val="ListParagraph"/>
        <w:numPr>
          <w:ilvl w:val="0"/>
          <w:numId w:val="42"/>
        </w:numPr>
        <w:rPr>
          <w:color w:val="000000"/>
          <w:lang w:val="en-US"/>
        </w:rPr>
      </w:pPr>
      <w:r w:rsidRPr="00870B4F">
        <w:rPr>
          <w:color w:val="000000"/>
          <w:lang w:val="en-US"/>
        </w:rPr>
        <w:t>Addressed various groups on a vision for science in Western Australia and participated in engagement activities with industry, academia and the community.  To date there have been over 35 keynote and other presentations given.</w:t>
      </w:r>
    </w:p>
    <w:p w:rsidR="00870B4F" w:rsidRPr="00870B4F" w:rsidRDefault="00870B4F" w:rsidP="00AE75A9">
      <w:pPr>
        <w:pStyle w:val="ListParagraph"/>
        <w:numPr>
          <w:ilvl w:val="0"/>
          <w:numId w:val="42"/>
        </w:numPr>
        <w:rPr>
          <w:color w:val="000000"/>
          <w:lang w:val="en-US"/>
        </w:rPr>
      </w:pPr>
      <w:r w:rsidRPr="00870B4F">
        <w:rPr>
          <w:color w:val="000000"/>
          <w:lang w:val="en-US"/>
        </w:rPr>
        <w:t>Provided advice on shark research and agricultural research and input into the Strategic Assessment of the Perth and Peel Regions (SAPPR), including examination of the estuary’s conditions and providing advice to the SAPPR State Steering Committee</w:t>
      </w:r>
    </w:p>
    <w:p w:rsidR="00870B4F" w:rsidRPr="00870B4F" w:rsidRDefault="00870B4F" w:rsidP="00AE75A9">
      <w:pPr>
        <w:pStyle w:val="ListParagraph"/>
        <w:numPr>
          <w:ilvl w:val="0"/>
          <w:numId w:val="42"/>
        </w:numPr>
        <w:rPr>
          <w:color w:val="000000"/>
          <w:lang w:val="en-US"/>
        </w:rPr>
      </w:pPr>
      <w:r w:rsidRPr="00870B4F">
        <w:rPr>
          <w:color w:val="000000"/>
          <w:lang w:val="en-US"/>
        </w:rPr>
        <w:t>Represented Western Australia in the world’s first International Conference for Chief Scientists</w:t>
      </w:r>
    </w:p>
    <w:p w:rsidR="00870B4F" w:rsidRPr="00870B4F" w:rsidRDefault="00870B4F" w:rsidP="00AE75A9">
      <w:pPr>
        <w:pStyle w:val="ListParagraph"/>
        <w:numPr>
          <w:ilvl w:val="0"/>
          <w:numId w:val="42"/>
        </w:numPr>
        <w:rPr>
          <w:color w:val="000000"/>
          <w:lang w:val="en-US"/>
        </w:rPr>
      </w:pPr>
      <w:r w:rsidRPr="00870B4F">
        <w:rPr>
          <w:color w:val="000000"/>
          <w:lang w:val="en-US"/>
        </w:rPr>
        <w:t>Contributed to national thinking on science through participation in three Forums of Australian Chief Scientists as well as hosting the Forum in Perth for the first time</w:t>
      </w:r>
    </w:p>
    <w:p w:rsidR="00870B4F" w:rsidRPr="00870B4F" w:rsidRDefault="00870B4F" w:rsidP="00AE75A9">
      <w:pPr>
        <w:pStyle w:val="ListParagraph"/>
        <w:numPr>
          <w:ilvl w:val="0"/>
          <w:numId w:val="42"/>
        </w:numPr>
        <w:rPr>
          <w:color w:val="000000"/>
          <w:lang w:val="en-US"/>
        </w:rPr>
      </w:pPr>
      <w:r w:rsidRPr="00870B4F">
        <w:rPr>
          <w:color w:val="000000"/>
          <w:lang w:val="en-US"/>
        </w:rPr>
        <w:t>Contributed to the programme of activities as part of the European Union to Australia Counsellors’ visit to Perth in March 2015</w:t>
      </w:r>
    </w:p>
    <w:p w:rsidR="00870B4F" w:rsidRPr="00870B4F" w:rsidRDefault="00870B4F" w:rsidP="00AE75A9">
      <w:pPr>
        <w:pStyle w:val="ListParagraph"/>
        <w:numPr>
          <w:ilvl w:val="0"/>
          <w:numId w:val="42"/>
        </w:numPr>
        <w:rPr>
          <w:color w:val="000000"/>
          <w:lang w:val="en-US"/>
        </w:rPr>
      </w:pPr>
      <w:r w:rsidRPr="00870B4F">
        <w:rPr>
          <w:color w:val="000000"/>
          <w:lang w:val="en-US"/>
        </w:rPr>
        <w:t>Convened a series of meetings with over 100 attendees in total across industry, academia and government on ways science and innovation can be used to diversify and strengthen Australia’s economy</w:t>
      </w:r>
    </w:p>
    <w:p w:rsidR="00A12A74" w:rsidRDefault="00177215" w:rsidP="00E91548">
      <w:pPr>
        <w:pStyle w:val="Heading3"/>
      </w:pPr>
      <w:r w:rsidRPr="00177215">
        <w:t>Leadership and coordination of cross-agency solutions to complex issues</w:t>
      </w:r>
    </w:p>
    <w:bookmarkEnd w:id="363"/>
    <w:bookmarkEnd w:id="364"/>
    <w:bookmarkEnd w:id="365"/>
    <w:bookmarkEnd w:id="366"/>
    <w:bookmarkEnd w:id="367"/>
    <w:bookmarkEnd w:id="368"/>
    <w:p w:rsidR="00870B4F" w:rsidRPr="00870B4F" w:rsidRDefault="00870B4F" w:rsidP="00E91548">
      <w:pPr>
        <w:pStyle w:val="Heading4"/>
        <w:rPr>
          <w:lang w:val="en-US"/>
        </w:rPr>
      </w:pPr>
      <w:r w:rsidRPr="00870B4F">
        <w:rPr>
          <w:lang w:val="en-US"/>
        </w:rPr>
        <w:t>Economic and Deregulation</w:t>
      </w:r>
    </w:p>
    <w:p w:rsidR="00870B4F" w:rsidRPr="00870B4F" w:rsidRDefault="00870B4F" w:rsidP="00870B4F">
      <w:pPr>
        <w:rPr>
          <w:lang w:val="en-US"/>
        </w:rPr>
      </w:pPr>
      <w:r w:rsidRPr="00870B4F">
        <w:rPr>
          <w:lang w:val="en-US"/>
        </w:rPr>
        <w:t>The Economic and Deregulation (EaD) area provides a focus on key priorities and pressure points for Government and Ministers with respect to the economy, industry, infrastructure, planning and the environment. Priorities include responding to the impacts of the State’s reduced revenue, particularly declining Commonwealth contributions, and rising service demands and expenditure, including for infrastructure.</w:t>
      </w:r>
    </w:p>
    <w:p w:rsidR="00870B4F" w:rsidRPr="00870B4F" w:rsidRDefault="00870B4F" w:rsidP="00870B4F">
      <w:pPr>
        <w:rPr>
          <w:lang w:val="en-US"/>
        </w:rPr>
      </w:pPr>
      <w:r w:rsidRPr="00870B4F">
        <w:rPr>
          <w:lang w:val="en-US"/>
        </w:rPr>
        <w:t>In 2014–15, support to the Premier and Cabinet was focussed on pressures on State finances resulting from diminishing Commonwealth transfers and the lowest ever share of GST — Western Australia’s relativity was assessed by the Commonwealth Grants Commission for 2015–16 at 0.30.</w:t>
      </w:r>
    </w:p>
    <w:p w:rsidR="00870B4F" w:rsidRPr="00870B4F" w:rsidRDefault="00870B4F" w:rsidP="00870B4F">
      <w:pPr>
        <w:rPr>
          <w:lang w:val="en-US"/>
        </w:rPr>
      </w:pPr>
      <w:r w:rsidRPr="00870B4F">
        <w:rPr>
          <w:lang w:val="en-US"/>
        </w:rPr>
        <w:t xml:space="preserve">Other priorities were reducing regulatory red tape, including reforms to streamline and reduce duplication with Commonwealth environmental approvals, the Strategic Assessment of the Perth Peel Region (page </w:t>
      </w:r>
      <w:r w:rsidR="00B70751">
        <w:rPr>
          <w:lang w:val="en-US"/>
        </w:rPr>
        <w:t>43</w:t>
      </w:r>
      <w:r w:rsidRPr="00870B4F">
        <w:rPr>
          <w:lang w:val="en-US"/>
        </w:rPr>
        <w:t xml:space="preserve">), and the next phase of the Kimberley Science and Conservation Strategy (page </w:t>
      </w:r>
      <w:r w:rsidR="00B70751">
        <w:rPr>
          <w:lang w:val="en-US"/>
        </w:rPr>
        <w:t>41</w:t>
      </w:r>
      <w:r w:rsidRPr="00870B4F">
        <w:rPr>
          <w:lang w:val="en-US"/>
        </w:rPr>
        <w:t>).</w:t>
      </w:r>
    </w:p>
    <w:p w:rsidR="00870B4F" w:rsidRPr="00870B4F" w:rsidRDefault="00870B4F" w:rsidP="00E91548">
      <w:pPr>
        <w:pStyle w:val="Heading5"/>
        <w:rPr>
          <w:lang w:val="en-US"/>
        </w:rPr>
      </w:pPr>
      <w:r w:rsidRPr="00870B4F">
        <w:rPr>
          <w:lang w:val="en-US"/>
        </w:rPr>
        <w:t>Major achievements</w:t>
      </w:r>
    </w:p>
    <w:p w:rsidR="00870B4F" w:rsidRPr="00870B4F" w:rsidRDefault="00870B4F" w:rsidP="00E91548">
      <w:pPr>
        <w:pStyle w:val="Heading6"/>
        <w:rPr>
          <w:lang w:val="en-US"/>
        </w:rPr>
      </w:pPr>
      <w:r w:rsidRPr="00870B4F">
        <w:rPr>
          <w:lang w:val="en-US"/>
        </w:rPr>
        <w:t>State Budget and Finance</w:t>
      </w:r>
    </w:p>
    <w:p w:rsidR="00870B4F" w:rsidRPr="00E91548" w:rsidRDefault="00870B4F" w:rsidP="00AE75A9">
      <w:pPr>
        <w:pStyle w:val="ListParagraph"/>
        <w:numPr>
          <w:ilvl w:val="0"/>
          <w:numId w:val="43"/>
        </w:numPr>
        <w:rPr>
          <w:lang w:val="en-US"/>
        </w:rPr>
      </w:pPr>
      <w:r w:rsidRPr="00E91548">
        <w:rPr>
          <w:lang w:val="en-US"/>
        </w:rPr>
        <w:t>Support was provided to the Premier and Cabinet in the development and implementation of measures to meet pressures on the State Budget, including working with the Department of Treasury in the announced programme of asset sales</w:t>
      </w:r>
    </w:p>
    <w:p w:rsidR="00870B4F" w:rsidRPr="00870B4F" w:rsidRDefault="00870B4F" w:rsidP="00E91548">
      <w:pPr>
        <w:pStyle w:val="Heading6"/>
        <w:rPr>
          <w:lang w:val="en-US"/>
        </w:rPr>
      </w:pPr>
      <w:r w:rsidRPr="00870B4F">
        <w:rPr>
          <w:lang w:val="en-US"/>
        </w:rPr>
        <w:t>Federal influence</w:t>
      </w:r>
    </w:p>
    <w:p w:rsidR="00870B4F" w:rsidRPr="00E91548" w:rsidRDefault="00870B4F" w:rsidP="00AE75A9">
      <w:pPr>
        <w:pStyle w:val="ListParagraph"/>
        <w:numPr>
          <w:ilvl w:val="0"/>
          <w:numId w:val="44"/>
        </w:numPr>
        <w:rPr>
          <w:lang w:val="en-US"/>
        </w:rPr>
      </w:pPr>
      <w:r w:rsidRPr="00E91548">
        <w:rPr>
          <w:lang w:val="en-US"/>
        </w:rPr>
        <w:t xml:space="preserve">At the Council of Australian Governments (COAG) meeting in April 2015, secured additional Commonwealth assistance of $499 million for roads projects to effectively maintain WA’s GST share at the levels of 2014–15.  The Premier and Prime Minister signed the </w:t>
      </w:r>
      <w:r w:rsidRPr="00E91548">
        <w:rPr>
          <w:i/>
          <w:iCs/>
          <w:lang w:val="en-US"/>
        </w:rPr>
        <w:t>National Partnership Agreement on Infrastructure Projects in Western Australia</w:t>
      </w:r>
      <w:r w:rsidRPr="00E91548">
        <w:rPr>
          <w:lang w:val="en-US"/>
        </w:rPr>
        <w:t xml:space="preserve"> on 16 June 2015.</w:t>
      </w:r>
    </w:p>
    <w:p w:rsidR="00870B4F" w:rsidRPr="00E91548" w:rsidRDefault="00870B4F" w:rsidP="00AE75A9">
      <w:pPr>
        <w:pStyle w:val="ListParagraph"/>
        <w:numPr>
          <w:ilvl w:val="0"/>
          <w:numId w:val="44"/>
        </w:numPr>
        <w:rPr>
          <w:lang w:val="en-US"/>
        </w:rPr>
      </w:pPr>
      <w:r w:rsidRPr="00E91548">
        <w:rPr>
          <w:lang w:val="en-US"/>
        </w:rPr>
        <w:t>Provided support to the Premier to ensure a Western Australian perspective to the Commonwealth’s white papers including those on the Federation, Tax Reform and Developing Northern Australia.  In particular, the Department:</w:t>
      </w:r>
    </w:p>
    <w:p w:rsidR="00870B4F" w:rsidRPr="00E91548" w:rsidRDefault="00870B4F" w:rsidP="00AE75A9">
      <w:pPr>
        <w:pStyle w:val="ListParagraph"/>
        <w:numPr>
          <w:ilvl w:val="0"/>
          <w:numId w:val="45"/>
        </w:numPr>
        <w:rPr>
          <w:lang w:val="en-US"/>
        </w:rPr>
      </w:pPr>
      <w:r w:rsidRPr="00E91548">
        <w:rPr>
          <w:lang w:val="en-US"/>
        </w:rPr>
        <w:t xml:space="preserve">used Commonwealth Federation and Tax Reform processes to continue to push for reform of Horizontal Fiscal </w:t>
      </w:r>
      <w:proofErr w:type="spellStart"/>
      <w:r w:rsidRPr="00E91548">
        <w:rPr>
          <w:lang w:val="en-US"/>
        </w:rPr>
        <w:t>Equalisation</w:t>
      </w:r>
      <w:proofErr w:type="spellEnd"/>
      <w:r w:rsidRPr="00E91548">
        <w:rPr>
          <w:lang w:val="en-US"/>
        </w:rPr>
        <w:t xml:space="preserve"> and a fairer distribution of the GST; and</w:t>
      </w:r>
    </w:p>
    <w:p w:rsidR="00870B4F" w:rsidRPr="00E91548" w:rsidRDefault="00870B4F" w:rsidP="00AE75A9">
      <w:pPr>
        <w:pStyle w:val="ListParagraph"/>
        <w:numPr>
          <w:ilvl w:val="0"/>
          <w:numId w:val="45"/>
        </w:numPr>
        <w:rPr>
          <w:lang w:val="en-US"/>
        </w:rPr>
      </w:pPr>
      <w:r w:rsidRPr="00E91548">
        <w:rPr>
          <w:lang w:val="en-US"/>
        </w:rPr>
        <w:t>used Commonwealth Northern Australia processes to promote State priorities for diversified economic development and infrastructure support.</w:t>
      </w:r>
    </w:p>
    <w:p w:rsidR="00870B4F" w:rsidRPr="00E91548" w:rsidRDefault="00870B4F" w:rsidP="00AE75A9">
      <w:pPr>
        <w:pStyle w:val="ListParagraph"/>
        <w:numPr>
          <w:ilvl w:val="0"/>
          <w:numId w:val="46"/>
        </w:numPr>
        <w:rPr>
          <w:lang w:val="en-US"/>
        </w:rPr>
      </w:pPr>
      <w:r w:rsidRPr="00E91548">
        <w:rPr>
          <w:lang w:val="en-US"/>
        </w:rPr>
        <w:t xml:space="preserve">Facilitated the extension of equivalent Western Australian instruments to the Commonwealth’s Letters Patent establishing the </w:t>
      </w:r>
      <w:r w:rsidRPr="00E91548">
        <w:rPr>
          <w:i/>
          <w:iCs/>
          <w:lang w:val="en-US"/>
        </w:rPr>
        <w:t>Royal Commission into Institutional Responses to Child Sexual Abuse</w:t>
      </w:r>
      <w:r w:rsidRPr="00E91548">
        <w:rPr>
          <w:lang w:val="en-US"/>
        </w:rPr>
        <w:t xml:space="preserve"> and the issuing of equivalent instruments to the </w:t>
      </w:r>
      <w:r w:rsidRPr="00E91548">
        <w:rPr>
          <w:i/>
          <w:iCs/>
          <w:lang w:val="en-US"/>
        </w:rPr>
        <w:t>Royal Commission into Trade Union Governance and Corruption</w:t>
      </w:r>
      <w:r w:rsidRPr="00E91548">
        <w:rPr>
          <w:lang w:val="en-US"/>
        </w:rPr>
        <w:t>.  Complementary legislative instruments are intended to ensure there are no gaps between Commonwealth and State laws when the royal commissions operate in Western Australia</w:t>
      </w:r>
    </w:p>
    <w:p w:rsidR="00E91548" w:rsidRDefault="00870B4F" w:rsidP="00AE75A9">
      <w:pPr>
        <w:pStyle w:val="ListParagraph"/>
        <w:numPr>
          <w:ilvl w:val="0"/>
          <w:numId w:val="46"/>
        </w:numPr>
        <w:rPr>
          <w:lang w:val="en-US"/>
        </w:rPr>
      </w:pPr>
      <w:r w:rsidRPr="00E91548">
        <w:rPr>
          <w:lang w:val="en-US"/>
        </w:rPr>
        <w:t xml:space="preserve">Facilitated a State Bill to enact a coordinated Australian national response to the United Kingdom’s changes to the rules of Royal Succession, and coordinated the commencement of the Western Australian </w:t>
      </w:r>
      <w:r w:rsidRPr="00E91548">
        <w:rPr>
          <w:i/>
          <w:iCs/>
          <w:lang w:val="en-US"/>
        </w:rPr>
        <w:t>Succession to the Crown Act</w:t>
      </w:r>
      <w:r w:rsidRPr="00E91548">
        <w:rPr>
          <w:lang w:val="en-US"/>
        </w:rPr>
        <w:t xml:space="preserve"> to align with corresponding Australian and United Kingdom l</w:t>
      </w:r>
      <w:r w:rsidR="00E91548">
        <w:rPr>
          <w:lang w:val="en-US"/>
        </w:rPr>
        <w:t>egislation in March 2015</w:t>
      </w:r>
    </w:p>
    <w:p w:rsidR="00E91548" w:rsidRDefault="00870B4F" w:rsidP="00AE75A9">
      <w:pPr>
        <w:pStyle w:val="ListParagraph"/>
        <w:numPr>
          <w:ilvl w:val="0"/>
          <w:numId w:val="46"/>
        </w:numPr>
        <w:rPr>
          <w:lang w:val="en-US"/>
        </w:rPr>
      </w:pPr>
      <w:r w:rsidRPr="00E91548">
        <w:rPr>
          <w:lang w:val="en-US"/>
        </w:rPr>
        <w:t xml:space="preserve">Coordinated engagement with the Commonwealth on national infrastructure issues, including the </w:t>
      </w:r>
      <w:r w:rsidRPr="00E91548">
        <w:rPr>
          <w:i/>
          <w:iCs/>
          <w:lang w:val="en-US"/>
        </w:rPr>
        <w:t>National Infrastructure Audit</w:t>
      </w:r>
      <w:r w:rsidRPr="00E91548">
        <w:rPr>
          <w:lang w:val="en-US"/>
        </w:rPr>
        <w:t xml:space="preserve"> and </w:t>
      </w:r>
      <w:r w:rsidRPr="00E91548">
        <w:rPr>
          <w:i/>
          <w:iCs/>
          <w:lang w:val="en-US"/>
        </w:rPr>
        <w:t>Northern Australia Infrastructure Audit</w:t>
      </w:r>
      <w:r w:rsidRPr="00E91548">
        <w:rPr>
          <w:lang w:val="en-US"/>
        </w:rPr>
        <w:t xml:space="preserve">.  The Premier signed </w:t>
      </w:r>
      <w:r w:rsidRPr="00E91548">
        <w:rPr>
          <w:i/>
          <w:iCs/>
          <w:lang w:val="en-US"/>
        </w:rPr>
        <w:t>The National Partnership Agreement</w:t>
      </w:r>
      <w:r w:rsidRPr="00E91548">
        <w:rPr>
          <w:lang w:val="en-US"/>
        </w:rPr>
        <w:t xml:space="preserve"> on Land Transport Infrastructure under which the Commonwealth will contribute approximately $4.3 billion for transport infrastructure in Western Australia in October 2014.</w:t>
      </w:r>
    </w:p>
    <w:p w:rsidR="00870B4F" w:rsidRPr="00E91548" w:rsidRDefault="00870B4F" w:rsidP="00AE75A9">
      <w:pPr>
        <w:pStyle w:val="ListParagraph"/>
        <w:numPr>
          <w:ilvl w:val="0"/>
          <w:numId w:val="46"/>
        </w:numPr>
        <w:rPr>
          <w:lang w:val="en-US"/>
        </w:rPr>
      </w:pPr>
      <w:r w:rsidRPr="00E91548">
        <w:rPr>
          <w:lang w:val="en-US"/>
        </w:rPr>
        <w:t>Progressed new agreements with the Commonwealth for environmental assessments and approvals to reduce duplication of regulatory processes and cut costs and delays for businesses (see ‘Environmental Deregulation’)</w:t>
      </w:r>
    </w:p>
    <w:p w:rsidR="00870B4F" w:rsidRPr="00870B4F" w:rsidRDefault="00870B4F" w:rsidP="00E91548">
      <w:pPr>
        <w:pStyle w:val="Heading6"/>
        <w:rPr>
          <w:lang w:val="en-US"/>
        </w:rPr>
      </w:pPr>
      <w:r w:rsidRPr="00870B4F">
        <w:rPr>
          <w:lang w:val="en-US"/>
        </w:rPr>
        <w:t>Infrastructure</w:t>
      </w:r>
    </w:p>
    <w:p w:rsidR="00870B4F" w:rsidRPr="00E91548" w:rsidRDefault="00870B4F" w:rsidP="00AE75A9">
      <w:pPr>
        <w:pStyle w:val="ListParagraph"/>
        <w:numPr>
          <w:ilvl w:val="0"/>
          <w:numId w:val="47"/>
        </w:numPr>
        <w:rPr>
          <w:lang w:val="en-US"/>
        </w:rPr>
      </w:pPr>
      <w:r w:rsidRPr="00E91548">
        <w:rPr>
          <w:lang w:val="en-US"/>
        </w:rPr>
        <w:t>The Department continued to provide advice to the Premier on opportunities to optimise existing infrastructure, and to ensure the effective management of major new infrastructure including involvement in inter-agency oversight of the commissioning of the Perth Children’s Hospital, Fiona Stanley Hospital and the reconfiguration of Royal Perth and Fremantle Hospitals as well as completion of the new Perth Stadium</w:t>
      </w:r>
    </w:p>
    <w:p w:rsidR="00870B4F" w:rsidRPr="00870B4F" w:rsidRDefault="00870B4F" w:rsidP="00E91548">
      <w:pPr>
        <w:pStyle w:val="Heading6"/>
        <w:rPr>
          <w:lang w:val="en-US"/>
        </w:rPr>
      </w:pPr>
      <w:r w:rsidRPr="00870B4F">
        <w:rPr>
          <w:lang w:val="en-US"/>
        </w:rPr>
        <w:t>Deregulation</w:t>
      </w:r>
    </w:p>
    <w:p w:rsidR="00870B4F" w:rsidRPr="00E91548" w:rsidRDefault="00870B4F" w:rsidP="00AE75A9">
      <w:pPr>
        <w:pStyle w:val="ListParagraph"/>
        <w:numPr>
          <w:ilvl w:val="0"/>
          <w:numId w:val="48"/>
        </w:numPr>
        <w:rPr>
          <w:lang w:val="en-US"/>
        </w:rPr>
      </w:pPr>
      <w:r w:rsidRPr="00E91548">
        <w:rPr>
          <w:lang w:val="en-US"/>
        </w:rPr>
        <w:t>Worked with Department of Finance to develop a new whole-of-government plan to reinvigorate regulatory reform featuring a Cabinet endorsed policy statement and annually agreed reform priorities.  It also includes strengthened leadership and governance arrangements (including a lead Minister who reports progress six-monthly to Cabinet, Premiers’ Circular, annual Red Tape Reduction report cards for release by Ministers during Repeal Week, and new key performance indicators for Directors General).  The Plan also includes strategies for building regulatory best practice and capacity within agencies, and strategies for monitoring, reporting and recognition.</w:t>
      </w:r>
    </w:p>
    <w:p w:rsidR="00870B4F" w:rsidRPr="00E91548" w:rsidRDefault="00870B4F" w:rsidP="00AE75A9">
      <w:pPr>
        <w:pStyle w:val="ListParagraph"/>
        <w:numPr>
          <w:ilvl w:val="0"/>
          <w:numId w:val="48"/>
        </w:numPr>
        <w:rPr>
          <w:lang w:val="en-US"/>
        </w:rPr>
      </w:pPr>
      <w:r w:rsidRPr="00E91548">
        <w:rPr>
          <w:lang w:val="en-US"/>
        </w:rPr>
        <w:t>Second annual repeal week in Parliament on 18 November 2014 highlighted red tape reductions and streamlining of regulation</w:t>
      </w:r>
    </w:p>
    <w:p w:rsidR="00870B4F" w:rsidRPr="00E91548" w:rsidRDefault="00870B4F" w:rsidP="00AE75A9">
      <w:pPr>
        <w:pStyle w:val="ListParagraph"/>
        <w:numPr>
          <w:ilvl w:val="0"/>
          <w:numId w:val="48"/>
        </w:numPr>
        <w:rPr>
          <w:lang w:val="en-US"/>
        </w:rPr>
      </w:pPr>
      <w:r w:rsidRPr="00E91548">
        <w:rPr>
          <w:lang w:val="en-US"/>
        </w:rPr>
        <w:t xml:space="preserve">Continued to oversee the State’s participation in the national and </w:t>
      </w:r>
      <w:r w:rsidRPr="00E91548">
        <w:rPr>
          <w:lang w:val="en-US"/>
        </w:rPr>
        <w:br/>
        <w:t xml:space="preserve">trans-Tasman mutual recognition schemes.  The Department represents the State on the Cross-Jurisdictional Review Forum (CJRF), which comprises members from the Commonwealth, State and New Zealand Governments.  The CJRF monitors the operation of the national and trans-Tasman mutual recognition schemes.  </w:t>
      </w:r>
    </w:p>
    <w:p w:rsidR="0011613C" w:rsidRDefault="0011613C">
      <w:pPr>
        <w:spacing w:line="276" w:lineRule="auto"/>
        <w:rPr>
          <w:rFonts w:ascii="Arial" w:hAnsi="Arial" w:cs="Arial"/>
          <w:color w:val="006699"/>
          <w:sz w:val="28"/>
          <w:szCs w:val="28"/>
          <w:lang w:val="en-US"/>
        </w:rPr>
      </w:pPr>
      <w:r>
        <w:rPr>
          <w:lang w:val="en-US"/>
        </w:rPr>
        <w:br w:type="page"/>
      </w:r>
    </w:p>
    <w:p w:rsidR="00870B4F" w:rsidRPr="00870B4F" w:rsidRDefault="00870B4F" w:rsidP="00E91548">
      <w:pPr>
        <w:pStyle w:val="Heading6"/>
        <w:rPr>
          <w:lang w:val="en-US"/>
        </w:rPr>
      </w:pPr>
      <w:r w:rsidRPr="00870B4F">
        <w:rPr>
          <w:lang w:val="en-US"/>
        </w:rPr>
        <w:t>Environmental Deregulation</w:t>
      </w:r>
    </w:p>
    <w:p w:rsidR="00870B4F" w:rsidRPr="00E91548" w:rsidRDefault="00870B4F" w:rsidP="00AE75A9">
      <w:pPr>
        <w:pStyle w:val="ListParagraph"/>
        <w:numPr>
          <w:ilvl w:val="0"/>
          <w:numId w:val="49"/>
        </w:numPr>
        <w:rPr>
          <w:lang w:val="en-US"/>
        </w:rPr>
      </w:pPr>
      <w:r w:rsidRPr="00E91548">
        <w:rPr>
          <w:lang w:val="en-US"/>
        </w:rPr>
        <w:t>A new one stop shop environmental assessment bilateral with the Commonwealth was signed in October 2014 and is now operating successfully.  A draft approvals bilateral agreement was released for public comment in December 2014 and is awaiting passage of amendments to Commonwealth legislation before being finalised.</w:t>
      </w:r>
    </w:p>
    <w:p w:rsidR="00870B4F" w:rsidRPr="00E91548" w:rsidRDefault="00870B4F" w:rsidP="00AE75A9">
      <w:pPr>
        <w:pStyle w:val="ListParagraph"/>
        <w:numPr>
          <w:ilvl w:val="0"/>
          <w:numId w:val="49"/>
        </w:numPr>
        <w:rPr>
          <w:lang w:val="en-US"/>
        </w:rPr>
      </w:pPr>
      <w:r w:rsidRPr="00E91548">
        <w:rPr>
          <w:lang w:val="en-US"/>
        </w:rPr>
        <w:t xml:space="preserve">Continued to progress the Strategic Assessment of the Perth and Peel Regions and finalise the draft impact assessment report and draft strategic conservation plan for public consultation by the end of 2015 which, in concert with the Western Australian Planning Commission’s Perth and Peel@3.5 million, will deliver integrated land use planning and environmental management as the region grows.  The Commonwealth’s endorsement of the Strategic Assessment, anticipated in 2016–17 will also significantly reduce the requirement for Commonwealth environmental approvals for the next 20 years for urban, industrial, infrastructure and rural residential development as well as basic raw material extraction in the region.  See further detail of this initiative on page </w:t>
      </w:r>
      <w:r w:rsidR="00B70751">
        <w:rPr>
          <w:lang w:val="en-US"/>
        </w:rPr>
        <w:t>43</w:t>
      </w:r>
      <w:r w:rsidRPr="00E91548">
        <w:rPr>
          <w:lang w:val="en-US"/>
        </w:rPr>
        <w:t>.</w:t>
      </w:r>
    </w:p>
    <w:p w:rsidR="00870B4F" w:rsidRPr="00870B4F" w:rsidRDefault="00870B4F" w:rsidP="00E91548">
      <w:pPr>
        <w:pStyle w:val="Heading6"/>
        <w:rPr>
          <w:lang w:val="en-US"/>
        </w:rPr>
      </w:pPr>
      <w:r w:rsidRPr="00870B4F">
        <w:rPr>
          <w:lang w:val="en-US"/>
        </w:rPr>
        <w:t>Indian Ocean Territories</w:t>
      </w:r>
    </w:p>
    <w:p w:rsidR="00870B4F" w:rsidRPr="00870B4F" w:rsidRDefault="00870B4F" w:rsidP="00870B4F">
      <w:pPr>
        <w:rPr>
          <w:lang w:val="en-US"/>
        </w:rPr>
      </w:pPr>
      <w:r w:rsidRPr="00870B4F">
        <w:rPr>
          <w:lang w:val="en-US"/>
        </w:rPr>
        <w:t>The Department continued to play a key role in negotiations with the Commonwealth and relevant State public sector agencies for the provision of diverse State services to the citizens of the Indian Ocean Territories. Services include, for example, access to the justice system, public health and hospital services, family support, consumer protection, offender management and community justice services, education and training, training to emergency service volunteers, and a range of advisory and support services.  These are delivered in the Commonwealth Indian Ocean Territories under Western Australian laws applied as Commonwealth laws, by State agencies mostly under service delivery agreements and at no cost to the State Government.</w:t>
      </w:r>
    </w:p>
    <w:p w:rsidR="00870B4F" w:rsidRPr="00870B4F" w:rsidRDefault="00870B4F" w:rsidP="00870B4F">
      <w:pPr>
        <w:rPr>
          <w:lang w:val="en-US"/>
        </w:rPr>
      </w:pPr>
      <w:r w:rsidRPr="00870B4F">
        <w:rPr>
          <w:lang w:val="en-US"/>
        </w:rPr>
        <w:t>2014–15 achievements included:</w:t>
      </w:r>
    </w:p>
    <w:p w:rsidR="00870B4F" w:rsidRPr="00E91548" w:rsidRDefault="00870B4F" w:rsidP="00AE75A9">
      <w:pPr>
        <w:pStyle w:val="ListParagraph"/>
        <w:numPr>
          <w:ilvl w:val="0"/>
          <w:numId w:val="50"/>
        </w:numPr>
        <w:rPr>
          <w:lang w:val="en-US"/>
        </w:rPr>
      </w:pPr>
      <w:r w:rsidRPr="00E91548">
        <w:rPr>
          <w:lang w:val="en-US"/>
        </w:rPr>
        <w:t>agreement on a common template ‘head’ arrangement for all future Service Delivery Agreements (SDAs);  and</w:t>
      </w:r>
    </w:p>
    <w:p w:rsidR="00870B4F" w:rsidRPr="00E91548" w:rsidRDefault="00870B4F" w:rsidP="00AE75A9">
      <w:pPr>
        <w:pStyle w:val="ListParagraph"/>
        <w:numPr>
          <w:ilvl w:val="0"/>
          <w:numId w:val="50"/>
        </w:numPr>
        <w:rPr>
          <w:lang w:val="en-US"/>
        </w:rPr>
      </w:pPr>
      <w:r w:rsidRPr="00E91548">
        <w:rPr>
          <w:lang w:val="en-US"/>
        </w:rPr>
        <w:t>commencement of an intensive three-year programme to review and renegotiate all 39 existing SDAs, with the first tranche to be completed by mid-2015.</w:t>
      </w:r>
    </w:p>
    <w:p w:rsidR="00870B4F" w:rsidRPr="00870B4F" w:rsidRDefault="00870B4F" w:rsidP="0011613C">
      <w:pPr>
        <w:pStyle w:val="Heading5"/>
        <w:rPr>
          <w:lang w:val="en-US"/>
        </w:rPr>
      </w:pPr>
      <w:r w:rsidRPr="00870B4F">
        <w:rPr>
          <w:lang w:val="en-US"/>
        </w:rPr>
        <w:t>Future directions</w:t>
      </w:r>
    </w:p>
    <w:p w:rsidR="00870B4F" w:rsidRPr="00870B4F" w:rsidRDefault="00870B4F" w:rsidP="00870B4F">
      <w:pPr>
        <w:rPr>
          <w:lang w:val="en-US"/>
        </w:rPr>
      </w:pPr>
      <w:r w:rsidRPr="00870B4F">
        <w:rPr>
          <w:lang w:val="en-US"/>
        </w:rPr>
        <w:t>During 2015–16, the Department will continue to:</w:t>
      </w:r>
    </w:p>
    <w:p w:rsidR="00870B4F" w:rsidRPr="00E91548" w:rsidRDefault="00870B4F" w:rsidP="00AE75A9">
      <w:pPr>
        <w:pStyle w:val="ListParagraph"/>
        <w:numPr>
          <w:ilvl w:val="0"/>
          <w:numId w:val="51"/>
        </w:numPr>
        <w:rPr>
          <w:lang w:val="en-US"/>
        </w:rPr>
      </w:pPr>
      <w:r w:rsidRPr="00E91548">
        <w:rPr>
          <w:lang w:val="en-US"/>
        </w:rPr>
        <w:t>provide input to the Commonwealth’s White Papers on the reform of Australia’s Federation and system of tax, with a view to rebalancing State and Commonwealth revenue raising capacities and spending responsibilities, and possibly culminating in a ‘Heads of Agreement’ Federation reform package.  Reform of the distribution of the GST will remain a central focus for the State in these discussions;</w:t>
      </w:r>
    </w:p>
    <w:p w:rsidR="00870B4F" w:rsidRPr="00E91548" w:rsidRDefault="00870B4F" w:rsidP="00AE75A9">
      <w:pPr>
        <w:pStyle w:val="ListParagraph"/>
        <w:numPr>
          <w:ilvl w:val="0"/>
          <w:numId w:val="51"/>
        </w:numPr>
        <w:rPr>
          <w:lang w:val="en-US"/>
        </w:rPr>
      </w:pPr>
      <w:r w:rsidRPr="00E91548">
        <w:rPr>
          <w:lang w:val="en-US"/>
        </w:rPr>
        <w:t>focus on the streamlining of environmental reforms, without sacrificing environmental outcomes, particularly between the Commonwealth and State;</w:t>
      </w:r>
    </w:p>
    <w:p w:rsidR="00870B4F" w:rsidRPr="00E91548" w:rsidRDefault="00870B4F" w:rsidP="00AE75A9">
      <w:pPr>
        <w:pStyle w:val="ListParagraph"/>
        <w:numPr>
          <w:ilvl w:val="0"/>
          <w:numId w:val="51"/>
        </w:numPr>
        <w:rPr>
          <w:lang w:val="en-US"/>
        </w:rPr>
      </w:pPr>
      <w:r w:rsidRPr="00E91548">
        <w:rPr>
          <w:lang w:val="en-US"/>
        </w:rPr>
        <w:t xml:space="preserve">contribute advice to the Premier and Government on a wide range of policy issues, with a focus on the implementation of Government priorities, especially where this requires additional coordination effort across agencies.  This will include performance of the Western Australian economy, through better productivity and coordination of infrastructure planning and implementation; and </w:t>
      </w:r>
    </w:p>
    <w:p w:rsidR="00870B4F" w:rsidRPr="00E91548" w:rsidRDefault="00870B4F" w:rsidP="00AE75A9">
      <w:pPr>
        <w:pStyle w:val="ListParagraph"/>
        <w:numPr>
          <w:ilvl w:val="0"/>
          <w:numId w:val="51"/>
        </w:numPr>
        <w:rPr>
          <w:lang w:val="en-US"/>
        </w:rPr>
      </w:pPr>
      <w:r w:rsidRPr="00E91548">
        <w:rPr>
          <w:lang w:val="en-US"/>
        </w:rPr>
        <w:t>a continued focus on removing and reducing red tape.</w:t>
      </w:r>
    </w:p>
    <w:p w:rsidR="00870B4F" w:rsidRPr="00870B4F" w:rsidRDefault="00870B4F" w:rsidP="00E91548">
      <w:pPr>
        <w:pStyle w:val="Heading4"/>
        <w:rPr>
          <w:lang w:val="en-US"/>
        </w:rPr>
      </w:pPr>
      <w:r w:rsidRPr="00870B4F">
        <w:rPr>
          <w:lang w:val="en-US"/>
        </w:rPr>
        <w:t>Kimberley Science and Conservation Strategy</w:t>
      </w:r>
    </w:p>
    <w:p w:rsidR="00870B4F" w:rsidRPr="00870B4F" w:rsidRDefault="00870B4F" w:rsidP="00870B4F">
      <w:pPr>
        <w:rPr>
          <w:lang w:val="en-US"/>
        </w:rPr>
      </w:pPr>
      <w:r w:rsidRPr="00870B4F">
        <w:rPr>
          <w:lang w:val="en-US"/>
        </w:rPr>
        <w:t>The Kimberley Science and Conservation Strategy is designed to protect the Kimberley’s natural and cultural heritage while allowing the region to fulfil its economic potential.  It is a multi-agency programme acro</w:t>
      </w:r>
      <w:r>
        <w:rPr>
          <w:lang w:val="en-US"/>
        </w:rPr>
        <w:t>ss seven government agencies co</w:t>
      </w:r>
      <w:r w:rsidRPr="00870B4F">
        <w:rPr>
          <w:lang w:val="en-US"/>
        </w:rPr>
        <w:t xml:space="preserve">ordinated by the Department of the Premier and Cabinet.  The Department leads negotiations of related Indigenous Land Use Agreements and Joint Management Agreements with native title parties, which are central to achieving the Strategy’s initiatives. </w:t>
      </w:r>
    </w:p>
    <w:p w:rsidR="00870B4F" w:rsidRPr="00870B4F" w:rsidRDefault="00870B4F" w:rsidP="00870B4F">
      <w:pPr>
        <w:rPr>
          <w:lang w:val="en-US"/>
        </w:rPr>
      </w:pPr>
      <w:r w:rsidRPr="00870B4F">
        <w:rPr>
          <w:lang w:val="en-US"/>
        </w:rPr>
        <w:t>The main deliverables of the KSCS include:</w:t>
      </w:r>
    </w:p>
    <w:p w:rsidR="00870B4F" w:rsidRPr="00072331" w:rsidRDefault="00870B4F" w:rsidP="00AE75A9">
      <w:pPr>
        <w:pStyle w:val="ListParagraph"/>
        <w:numPr>
          <w:ilvl w:val="0"/>
          <w:numId w:val="52"/>
        </w:numPr>
        <w:rPr>
          <w:lang w:val="en-US"/>
        </w:rPr>
      </w:pPr>
      <w:r w:rsidRPr="00072331">
        <w:rPr>
          <w:lang w:val="en-US"/>
        </w:rPr>
        <w:t>Kimberley Wilderness Parks Initiative — the establishment of the State’s largest interconnected system of marine and terrestrial parks, including:</w:t>
      </w:r>
    </w:p>
    <w:p w:rsidR="00870B4F" w:rsidRPr="00072331" w:rsidRDefault="00870B4F" w:rsidP="00AE75A9">
      <w:pPr>
        <w:pStyle w:val="ListParagraph"/>
        <w:numPr>
          <w:ilvl w:val="0"/>
          <w:numId w:val="53"/>
        </w:numPr>
        <w:rPr>
          <w:lang w:val="en-US"/>
        </w:rPr>
      </w:pPr>
      <w:r w:rsidRPr="00072331">
        <w:rPr>
          <w:lang w:val="en-US"/>
        </w:rPr>
        <w:t>five new marine parks at Camden Sound, Horizontal Falls and North Kimberley (collectively referred to as the Great Kimberley Marine Park), and Roebuck Bay and Eighty Mile Beach;</w:t>
      </w:r>
    </w:p>
    <w:p w:rsidR="00870B4F" w:rsidRPr="00072331" w:rsidRDefault="00870B4F" w:rsidP="00AE75A9">
      <w:pPr>
        <w:pStyle w:val="ListParagraph"/>
        <w:numPr>
          <w:ilvl w:val="0"/>
          <w:numId w:val="53"/>
        </w:numPr>
        <w:rPr>
          <w:lang w:val="en-US"/>
        </w:rPr>
      </w:pPr>
      <w:r w:rsidRPr="00072331">
        <w:rPr>
          <w:lang w:val="en-US"/>
        </w:rPr>
        <w:t>new terrestrial parks, including the Horizontal Falls National Park and the Kimberley National Park;</w:t>
      </w:r>
    </w:p>
    <w:p w:rsidR="00870B4F" w:rsidRPr="00072331" w:rsidRDefault="00870B4F" w:rsidP="00AE75A9">
      <w:pPr>
        <w:pStyle w:val="ListParagraph"/>
        <w:numPr>
          <w:ilvl w:val="0"/>
          <w:numId w:val="53"/>
        </w:numPr>
        <w:rPr>
          <w:lang w:val="en-US"/>
        </w:rPr>
      </w:pPr>
      <w:r w:rsidRPr="00072331">
        <w:rPr>
          <w:lang w:val="en-US"/>
        </w:rPr>
        <w:t>Landscape Conservation Initiative — to manage fire, feral animals and weeds across the Kimberley landscape with traditional owners, pastoralists and other land managers;</w:t>
      </w:r>
    </w:p>
    <w:p w:rsidR="00870B4F" w:rsidRPr="00072331" w:rsidRDefault="00870B4F" w:rsidP="00AE75A9">
      <w:pPr>
        <w:pStyle w:val="ListParagraph"/>
        <w:numPr>
          <w:ilvl w:val="0"/>
          <w:numId w:val="53"/>
        </w:numPr>
        <w:rPr>
          <w:lang w:val="en-US"/>
        </w:rPr>
      </w:pPr>
      <w:r w:rsidRPr="00072331">
        <w:rPr>
          <w:lang w:val="en-US"/>
        </w:rPr>
        <w:t>training and employment for Aboriginal people as rangers to manage traditional land and sea country, and increased business and employment opportunities to service the Parks and benefit from increased visitation to the region;</w:t>
      </w:r>
    </w:p>
    <w:p w:rsidR="00870B4F" w:rsidRPr="00072331" w:rsidRDefault="00870B4F" w:rsidP="00AE75A9">
      <w:pPr>
        <w:pStyle w:val="ListParagraph"/>
        <w:numPr>
          <w:ilvl w:val="0"/>
          <w:numId w:val="53"/>
        </w:numPr>
        <w:rPr>
          <w:lang w:val="en-US"/>
        </w:rPr>
      </w:pPr>
      <w:r w:rsidRPr="00072331">
        <w:rPr>
          <w:lang w:val="en-US"/>
        </w:rPr>
        <w:t>Kimberley Marine Research Programme being undertaken by the Western Australian Marine Science Institute to improve management and help protect marine ecosystems and wildlife, both inside and outside the new marine parks; and</w:t>
      </w:r>
    </w:p>
    <w:p w:rsidR="00870B4F" w:rsidRPr="00072331" w:rsidRDefault="00870B4F" w:rsidP="00AE75A9">
      <w:pPr>
        <w:pStyle w:val="ListParagraph"/>
        <w:numPr>
          <w:ilvl w:val="0"/>
          <w:numId w:val="53"/>
        </w:numPr>
        <w:rPr>
          <w:lang w:val="en-US"/>
        </w:rPr>
      </w:pPr>
      <w:r w:rsidRPr="00072331">
        <w:rPr>
          <w:lang w:val="en-US"/>
        </w:rPr>
        <w:t>recreational fishing initiatives including the purchase of the two commercial gillnet licences in Roebuck Bay, stocking of Lake Kununurra with barramundi and promotion of nature and culture-based tourism through the development of the ‘Saltwater Tales’ app and a Marine Tourism Accreditation Programme.</w:t>
      </w:r>
    </w:p>
    <w:p w:rsidR="00870B4F" w:rsidRPr="00870B4F" w:rsidRDefault="00870B4F" w:rsidP="00E91548">
      <w:pPr>
        <w:pStyle w:val="Heading5"/>
        <w:rPr>
          <w:lang w:val="en-US"/>
        </w:rPr>
      </w:pPr>
      <w:r w:rsidRPr="00870B4F">
        <w:rPr>
          <w:lang w:val="en-US"/>
        </w:rPr>
        <w:t>Major achievements</w:t>
      </w:r>
    </w:p>
    <w:p w:rsidR="00870B4F" w:rsidRPr="00072331" w:rsidRDefault="00870B4F" w:rsidP="00AE75A9">
      <w:pPr>
        <w:pStyle w:val="ListParagraph"/>
        <w:numPr>
          <w:ilvl w:val="0"/>
          <w:numId w:val="54"/>
        </w:numPr>
        <w:rPr>
          <w:lang w:val="en-US"/>
        </w:rPr>
      </w:pPr>
      <w:r w:rsidRPr="00072331">
        <w:rPr>
          <w:lang w:val="en-US"/>
        </w:rPr>
        <w:t>Introduction of the Mitchell Plateau State Agreement Termination Bill into Parliament to protect the Mitchell Plateau’s ecological and cultural values from mining — a key milestone towards the creation of the Kimberley National Park</w:t>
      </w:r>
    </w:p>
    <w:p w:rsidR="00870B4F" w:rsidRPr="00072331" w:rsidRDefault="00870B4F" w:rsidP="00AE75A9">
      <w:pPr>
        <w:pStyle w:val="ListParagraph"/>
        <w:numPr>
          <w:ilvl w:val="0"/>
          <w:numId w:val="54"/>
        </w:numPr>
        <w:rPr>
          <w:lang w:val="en-US"/>
        </w:rPr>
      </w:pPr>
      <w:r w:rsidRPr="00072331">
        <w:rPr>
          <w:lang w:val="en-US"/>
        </w:rPr>
        <w:t xml:space="preserve">Protecting adjacent areas from mining through the creation of an exemption under section 19 of the </w:t>
      </w:r>
      <w:r w:rsidRPr="00072331">
        <w:rPr>
          <w:i/>
          <w:iCs/>
          <w:lang w:val="en-US"/>
        </w:rPr>
        <w:t>Mining Act 1978</w:t>
      </w:r>
    </w:p>
    <w:p w:rsidR="00870B4F" w:rsidRPr="00072331" w:rsidRDefault="00870B4F" w:rsidP="00AE75A9">
      <w:pPr>
        <w:pStyle w:val="ListParagraph"/>
        <w:numPr>
          <w:ilvl w:val="0"/>
          <w:numId w:val="54"/>
        </w:numPr>
        <w:rPr>
          <w:lang w:val="en-US"/>
        </w:rPr>
      </w:pPr>
      <w:r w:rsidRPr="00072331">
        <w:rPr>
          <w:lang w:val="en-US"/>
        </w:rPr>
        <w:t>Creation of Lalang-garram/Camden Sound and Eighty Mile Beach Marine Parks</w:t>
      </w:r>
    </w:p>
    <w:p w:rsidR="00870B4F" w:rsidRPr="00072331" w:rsidRDefault="00870B4F" w:rsidP="00AE75A9">
      <w:pPr>
        <w:pStyle w:val="ListParagraph"/>
        <w:numPr>
          <w:ilvl w:val="0"/>
          <w:numId w:val="54"/>
        </w:numPr>
        <w:rPr>
          <w:lang w:val="en-US"/>
        </w:rPr>
      </w:pPr>
      <w:r w:rsidRPr="00072331">
        <w:rPr>
          <w:lang w:val="en-US"/>
        </w:rPr>
        <w:t>Creation of the Class A Prince Regent National Park</w:t>
      </w:r>
    </w:p>
    <w:p w:rsidR="00870B4F" w:rsidRPr="00072331" w:rsidRDefault="00870B4F" w:rsidP="00AE75A9">
      <w:pPr>
        <w:pStyle w:val="ListParagraph"/>
        <w:numPr>
          <w:ilvl w:val="0"/>
          <w:numId w:val="54"/>
        </w:numPr>
        <w:rPr>
          <w:lang w:val="en-US"/>
        </w:rPr>
      </w:pPr>
      <w:r w:rsidRPr="00072331">
        <w:rPr>
          <w:lang w:val="en-US"/>
        </w:rPr>
        <w:t>Establishment of formal joint management arrangements with Dambimangari, Ngarla, Nyangumarta and Karajarri native title holders</w:t>
      </w:r>
    </w:p>
    <w:p w:rsidR="00870B4F" w:rsidRPr="00072331" w:rsidRDefault="00870B4F" w:rsidP="00AE75A9">
      <w:pPr>
        <w:pStyle w:val="ListParagraph"/>
        <w:numPr>
          <w:ilvl w:val="0"/>
          <w:numId w:val="54"/>
        </w:numPr>
        <w:rPr>
          <w:lang w:val="en-US"/>
        </w:rPr>
      </w:pPr>
      <w:r w:rsidRPr="00072331">
        <w:rPr>
          <w:lang w:val="en-US"/>
        </w:rPr>
        <w:t xml:space="preserve">Introduction of the </w:t>
      </w:r>
      <w:r w:rsidRPr="00072331">
        <w:rPr>
          <w:i/>
          <w:iCs/>
          <w:lang w:val="en-US"/>
        </w:rPr>
        <w:t>CALM Act Amendment Bill 2015</w:t>
      </w:r>
      <w:r w:rsidRPr="00072331">
        <w:rPr>
          <w:lang w:val="en-US"/>
        </w:rPr>
        <w:t xml:space="preserve"> into Parliament that will enable the joint vesting of new National Parks with native title groups</w:t>
      </w:r>
    </w:p>
    <w:p w:rsidR="00870B4F" w:rsidRPr="00072331" w:rsidRDefault="00870B4F" w:rsidP="00AE75A9">
      <w:pPr>
        <w:pStyle w:val="ListParagraph"/>
        <w:numPr>
          <w:ilvl w:val="0"/>
          <w:numId w:val="54"/>
        </w:numPr>
        <w:rPr>
          <w:lang w:val="en-US"/>
        </w:rPr>
      </w:pPr>
      <w:r w:rsidRPr="00072331">
        <w:rPr>
          <w:lang w:val="en-US"/>
        </w:rPr>
        <w:t xml:space="preserve">Removal of over 20,000 feral cattle and reduction in cattle numbers by up to </w:t>
      </w:r>
      <w:r w:rsidRPr="00072331">
        <w:rPr>
          <w:lang w:val="en-US"/>
        </w:rPr>
        <w:br/>
        <w:t>44% in areas of high biodiversity value</w:t>
      </w:r>
    </w:p>
    <w:p w:rsidR="00870B4F" w:rsidRPr="00072331" w:rsidRDefault="00870B4F" w:rsidP="00AE75A9">
      <w:pPr>
        <w:pStyle w:val="ListParagraph"/>
        <w:numPr>
          <w:ilvl w:val="0"/>
          <w:numId w:val="54"/>
        </w:numPr>
        <w:rPr>
          <w:lang w:val="en-US"/>
        </w:rPr>
      </w:pPr>
      <w:r w:rsidRPr="00072331">
        <w:rPr>
          <w:lang w:val="en-US"/>
        </w:rPr>
        <w:t>Halved the area of country burnt by destructive late dry season fires from 36% to 17% across more than 6.5 million hectares of the north Kimberley</w:t>
      </w:r>
    </w:p>
    <w:p w:rsidR="00870B4F" w:rsidRPr="00072331" w:rsidRDefault="00870B4F" w:rsidP="00AE75A9">
      <w:pPr>
        <w:pStyle w:val="ListParagraph"/>
        <w:numPr>
          <w:ilvl w:val="0"/>
          <w:numId w:val="54"/>
        </w:numPr>
        <w:rPr>
          <w:lang w:val="en-US"/>
        </w:rPr>
      </w:pPr>
      <w:r w:rsidRPr="00072331">
        <w:rPr>
          <w:lang w:val="en-US"/>
        </w:rPr>
        <w:t>Worked with over 200 traditional owners on the Landscape Conservation Initiative to help protect country and manage threats such as fire and weeds</w:t>
      </w:r>
    </w:p>
    <w:p w:rsidR="00870B4F" w:rsidRPr="00072331" w:rsidRDefault="00870B4F" w:rsidP="00AE75A9">
      <w:pPr>
        <w:pStyle w:val="ListParagraph"/>
        <w:numPr>
          <w:ilvl w:val="0"/>
          <w:numId w:val="54"/>
        </w:numPr>
        <w:rPr>
          <w:lang w:val="en-US"/>
        </w:rPr>
      </w:pPr>
      <w:r w:rsidRPr="00072331">
        <w:rPr>
          <w:lang w:val="en-US"/>
        </w:rPr>
        <w:t>Commencement of 25 marine research projects being delivered through the Western Australian Marine Science Institution (WAMSI) to inform management of the Kimberley marine park network, and guide future development opportunities including tourism, resource development, fisheries and aquaculture — a $12 million commitment over six years that has leveraged an additional $18 million from WAMSI partners</w:t>
      </w:r>
    </w:p>
    <w:p w:rsidR="00870B4F" w:rsidRPr="00072331" w:rsidRDefault="00870B4F" w:rsidP="00AE75A9">
      <w:pPr>
        <w:pStyle w:val="ListParagraph"/>
        <w:numPr>
          <w:ilvl w:val="0"/>
          <w:numId w:val="54"/>
        </w:numPr>
        <w:rPr>
          <w:lang w:val="en-US"/>
        </w:rPr>
      </w:pPr>
      <w:r w:rsidRPr="00072331">
        <w:rPr>
          <w:lang w:val="en-US"/>
        </w:rPr>
        <w:t>Successfully completed the Kimberley geophysical and soil and rock sampling programmes generating the first systematic soil and rock composition datasets in the Kimberley</w:t>
      </w:r>
    </w:p>
    <w:p w:rsidR="00870B4F" w:rsidRPr="00072331" w:rsidRDefault="00870B4F" w:rsidP="00AE75A9">
      <w:pPr>
        <w:pStyle w:val="ListParagraph"/>
        <w:numPr>
          <w:ilvl w:val="0"/>
          <w:numId w:val="54"/>
        </w:numPr>
        <w:rPr>
          <w:lang w:val="en-US"/>
        </w:rPr>
      </w:pPr>
      <w:r w:rsidRPr="00072331">
        <w:rPr>
          <w:lang w:val="en-US"/>
        </w:rPr>
        <w:t>Completed new visitor facilities and walk trail upgrades at Geikie Gorge, Tunnel Creek and Purnululu national parks</w:t>
      </w:r>
    </w:p>
    <w:p w:rsidR="00870B4F" w:rsidRPr="00072331" w:rsidRDefault="00870B4F" w:rsidP="00AE75A9">
      <w:pPr>
        <w:pStyle w:val="ListParagraph"/>
        <w:numPr>
          <w:ilvl w:val="0"/>
          <w:numId w:val="54"/>
        </w:numPr>
        <w:rPr>
          <w:lang w:val="en-US"/>
        </w:rPr>
      </w:pPr>
      <w:r w:rsidRPr="00072331">
        <w:rPr>
          <w:lang w:val="en-US"/>
        </w:rPr>
        <w:t>Roebuck Bay closed to commercial gillnetting to ensure a quality local fishing experience for threadfin salmon in the bay and protect threatened species that reside in the Bay</w:t>
      </w:r>
    </w:p>
    <w:p w:rsidR="00870B4F" w:rsidRPr="00072331" w:rsidRDefault="00870B4F" w:rsidP="00AE75A9">
      <w:pPr>
        <w:pStyle w:val="ListParagraph"/>
        <w:numPr>
          <w:ilvl w:val="0"/>
          <w:numId w:val="54"/>
        </w:numPr>
        <w:rPr>
          <w:lang w:val="en-US"/>
        </w:rPr>
      </w:pPr>
      <w:r w:rsidRPr="00072331">
        <w:rPr>
          <w:lang w:val="en-US"/>
        </w:rPr>
        <w:t>Commenced a $700,000 four-year project to restock Lake Kununurra with barramundi</w:t>
      </w:r>
    </w:p>
    <w:p w:rsidR="00870B4F" w:rsidRPr="00072331" w:rsidRDefault="00870B4F" w:rsidP="00AE75A9">
      <w:pPr>
        <w:pStyle w:val="ListParagraph"/>
        <w:numPr>
          <w:ilvl w:val="0"/>
          <w:numId w:val="54"/>
        </w:numPr>
        <w:rPr>
          <w:lang w:val="en-US"/>
        </w:rPr>
      </w:pPr>
      <w:r w:rsidRPr="00072331">
        <w:rPr>
          <w:lang w:val="en-US"/>
        </w:rPr>
        <w:t>Release of the ‘Saltwater Tales’ app and a Marine Tourism Accreditation Programme for Kimberley marine tour operators</w:t>
      </w:r>
    </w:p>
    <w:p w:rsidR="00870B4F" w:rsidRPr="00870B4F" w:rsidRDefault="00870B4F" w:rsidP="00072331">
      <w:pPr>
        <w:pStyle w:val="Heading5"/>
        <w:rPr>
          <w:lang w:val="en-US"/>
        </w:rPr>
      </w:pPr>
      <w:r w:rsidRPr="00870B4F">
        <w:rPr>
          <w:lang w:val="en-US"/>
        </w:rPr>
        <w:t>Future directions</w:t>
      </w:r>
    </w:p>
    <w:p w:rsidR="00870B4F" w:rsidRPr="00870B4F" w:rsidRDefault="00870B4F" w:rsidP="00870B4F">
      <w:pPr>
        <w:rPr>
          <w:lang w:val="en-US"/>
        </w:rPr>
      </w:pPr>
      <w:r w:rsidRPr="00870B4F">
        <w:rPr>
          <w:lang w:val="en-US"/>
        </w:rPr>
        <w:t>Our priorities are:</w:t>
      </w:r>
    </w:p>
    <w:p w:rsidR="00870B4F" w:rsidRPr="00072331" w:rsidRDefault="00870B4F" w:rsidP="00AE75A9">
      <w:pPr>
        <w:pStyle w:val="ListParagraph"/>
        <w:numPr>
          <w:ilvl w:val="0"/>
          <w:numId w:val="55"/>
        </w:numPr>
        <w:rPr>
          <w:lang w:val="en-US"/>
        </w:rPr>
      </w:pPr>
      <w:r w:rsidRPr="00072331">
        <w:rPr>
          <w:lang w:val="en-US"/>
        </w:rPr>
        <w:t>Finalisation of remaining Indigenous Land Use Agreements with native title parties to enable the creation and joint management of the Great Kimberley Marine Park, Horizontal Falls National Park and Kimberley National Park</w:t>
      </w:r>
    </w:p>
    <w:p w:rsidR="00870B4F" w:rsidRPr="00072331" w:rsidRDefault="00870B4F" w:rsidP="00AE75A9">
      <w:pPr>
        <w:pStyle w:val="ListParagraph"/>
        <w:numPr>
          <w:ilvl w:val="0"/>
          <w:numId w:val="55"/>
        </w:numPr>
        <w:rPr>
          <w:lang w:val="en-US"/>
        </w:rPr>
      </w:pPr>
      <w:r w:rsidRPr="00072331">
        <w:rPr>
          <w:lang w:val="en-US"/>
        </w:rPr>
        <w:t>Release of Indicative Management Plans for statutory three-month public comment period for the Roebuck Bay, Horizontal Falls and North Kimberly marine parks</w:t>
      </w:r>
    </w:p>
    <w:p w:rsidR="00870B4F" w:rsidRPr="00072331" w:rsidRDefault="00870B4F" w:rsidP="00AE75A9">
      <w:pPr>
        <w:pStyle w:val="ListParagraph"/>
        <w:numPr>
          <w:ilvl w:val="0"/>
          <w:numId w:val="55"/>
        </w:numPr>
        <w:rPr>
          <w:lang w:val="en-US"/>
        </w:rPr>
      </w:pPr>
      <w:r w:rsidRPr="00072331">
        <w:rPr>
          <w:lang w:val="en-US"/>
        </w:rPr>
        <w:t>Implementation of joint management arrangements for new parks and reserves, including establishment of Joint Management Bodies, employment of Aboriginal rangers and commencement of joint management activities on new and existing reserves</w:t>
      </w:r>
    </w:p>
    <w:p w:rsidR="00870B4F" w:rsidRPr="00072331" w:rsidRDefault="00870B4F" w:rsidP="00AE75A9">
      <w:pPr>
        <w:pStyle w:val="ListParagraph"/>
        <w:numPr>
          <w:ilvl w:val="0"/>
          <w:numId w:val="55"/>
        </w:numPr>
        <w:rPr>
          <w:lang w:val="en-US"/>
        </w:rPr>
      </w:pPr>
      <w:r w:rsidRPr="00072331">
        <w:rPr>
          <w:lang w:val="en-US"/>
        </w:rPr>
        <w:t xml:space="preserve">Passage of </w:t>
      </w:r>
      <w:r w:rsidRPr="00072331">
        <w:rPr>
          <w:i/>
          <w:iCs/>
          <w:lang w:val="en-US"/>
        </w:rPr>
        <w:t>Mitchell Plateau State Agreement Termination Bill</w:t>
      </w:r>
      <w:r w:rsidRPr="00072331">
        <w:rPr>
          <w:lang w:val="en-US"/>
        </w:rPr>
        <w:t xml:space="preserve"> and </w:t>
      </w:r>
      <w:r w:rsidRPr="00072331">
        <w:rPr>
          <w:i/>
          <w:iCs/>
          <w:lang w:val="en-US"/>
        </w:rPr>
        <w:t>CALM Act Amendment Bill</w:t>
      </w:r>
      <w:r w:rsidRPr="00072331">
        <w:rPr>
          <w:lang w:val="en-US"/>
        </w:rPr>
        <w:t xml:space="preserve"> through Parliament</w:t>
      </w:r>
    </w:p>
    <w:p w:rsidR="0011613C" w:rsidRDefault="0011613C">
      <w:pPr>
        <w:spacing w:line="276" w:lineRule="auto"/>
        <w:rPr>
          <w:rFonts w:ascii="Arial" w:eastAsia="Segoe UI" w:hAnsi="Arial" w:cs="Arial"/>
          <w:noProof/>
          <w:color w:val="003366"/>
          <w:kern w:val="24"/>
          <w:sz w:val="36"/>
          <w:szCs w:val="36"/>
          <w:lang w:val="en-US" w:eastAsia="en-AU"/>
        </w:rPr>
      </w:pPr>
      <w:r>
        <w:rPr>
          <w:lang w:val="en-US"/>
        </w:rPr>
        <w:br w:type="page"/>
      </w:r>
    </w:p>
    <w:p w:rsidR="00870B4F" w:rsidRPr="00870B4F" w:rsidRDefault="00870B4F" w:rsidP="00072331">
      <w:pPr>
        <w:pStyle w:val="Heading4"/>
        <w:rPr>
          <w:lang w:val="en-US"/>
        </w:rPr>
      </w:pPr>
      <w:r w:rsidRPr="00870B4F">
        <w:rPr>
          <w:lang w:val="en-US"/>
        </w:rPr>
        <w:t xml:space="preserve">Strategic Assessment of the Perth and Peel Region </w:t>
      </w:r>
    </w:p>
    <w:p w:rsidR="00870B4F" w:rsidRPr="00870B4F" w:rsidRDefault="00870B4F" w:rsidP="00870B4F">
      <w:pPr>
        <w:rPr>
          <w:lang w:val="en-US"/>
        </w:rPr>
      </w:pPr>
      <w:r w:rsidRPr="00870B4F">
        <w:rPr>
          <w:lang w:val="en-US"/>
        </w:rPr>
        <w:t xml:space="preserve">The Western Australian Ministers for Planning and Environment signed an agreement in July 2011 with the Commonwealth Minister for Environment to undertake the Strategic Assessment of the Perth and Peel Regions (SAPPR) under the </w:t>
      </w:r>
      <w:r w:rsidRPr="00870B4F">
        <w:rPr>
          <w:i/>
          <w:iCs/>
          <w:lang w:val="en-US"/>
        </w:rPr>
        <w:t xml:space="preserve">Environment Protection and Biodiversity Conservation Act 1999 </w:t>
      </w:r>
      <w:r w:rsidRPr="00870B4F">
        <w:rPr>
          <w:lang w:val="en-US"/>
        </w:rPr>
        <w:t xml:space="preserve">(EPBC Act). </w:t>
      </w:r>
    </w:p>
    <w:p w:rsidR="00870B4F" w:rsidRPr="00870B4F" w:rsidRDefault="00870B4F" w:rsidP="00870B4F">
      <w:pPr>
        <w:rPr>
          <w:lang w:val="en-US"/>
        </w:rPr>
      </w:pPr>
      <w:r w:rsidRPr="00870B4F">
        <w:rPr>
          <w:lang w:val="en-US"/>
        </w:rPr>
        <w:t xml:space="preserve">The SAPPR will deliver class approvals for the future development required to support the expansion of the Perth and Peel regions to </w:t>
      </w:r>
      <w:r w:rsidRPr="00870B4F">
        <w:rPr>
          <w:lang w:val="en-US"/>
        </w:rPr>
        <w:br/>
        <w:t xml:space="preserve">3.5 million people as envisaged under the Western Australian Planning Commission’s (WAPC) Perth and Peel @3.5million draft Planning Framework documents.  These class approvals will cover urban, industrial, rural-residential and infrastructure development, basic raw materials extraction as well as harvesting of the pine plantations at Pinjar, Yanchep and Gnangara. </w:t>
      </w:r>
    </w:p>
    <w:p w:rsidR="00870B4F" w:rsidRPr="00870B4F" w:rsidRDefault="00870B4F" w:rsidP="00870B4F">
      <w:pPr>
        <w:rPr>
          <w:lang w:val="en-US"/>
        </w:rPr>
      </w:pPr>
      <w:r w:rsidRPr="00870B4F">
        <w:rPr>
          <w:lang w:val="en-US"/>
        </w:rPr>
        <w:t xml:space="preserve">The SAPPR is the largest environmental approvals streamlining reform undertaken to date in WA and will significantly reduce the delays and costs that are currently commonplace in Perth and Peel as a result of ad hoc project-by-project referral to the Commonwealth under the EPBC Act. </w:t>
      </w:r>
    </w:p>
    <w:p w:rsidR="00870B4F" w:rsidRPr="00870B4F" w:rsidRDefault="00870B4F" w:rsidP="00870B4F">
      <w:pPr>
        <w:rPr>
          <w:lang w:val="en-US"/>
        </w:rPr>
      </w:pPr>
      <w:r w:rsidRPr="00870B4F">
        <w:rPr>
          <w:lang w:val="en-US"/>
        </w:rPr>
        <w:t>The SAPPR is led by the Department of the Premier and Cabinet, in collaboration with the Departments of Planning, Parks and Wildlife, Environment Regulation, Water, Mines and Petroleum, the Office of the Environment Protection Authority as well as several other agencies.</w:t>
      </w:r>
    </w:p>
    <w:p w:rsidR="00870B4F" w:rsidRPr="00870B4F" w:rsidRDefault="00870B4F" w:rsidP="00870B4F">
      <w:pPr>
        <w:rPr>
          <w:lang w:val="en-US"/>
        </w:rPr>
      </w:pPr>
      <w:r w:rsidRPr="00870B4F">
        <w:rPr>
          <w:lang w:val="en-US"/>
        </w:rPr>
        <w:t>A key part of the SAPPR is the development of a Strategic Conservation Plan that will deliver a long term and comprehensive approach for protecting the environmental values across the Perth and Peel regions, including Carnaby’s Cockatoos, the Peel-Harvey estuary and threatened flora.  The Strategic Conservation Plan will replace the inefficient and ad hoc approach to project-by-project offset conditions that is currently in place, delivering greater certainty of environmental outcomes in the region.</w:t>
      </w:r>
    </w:p>
    <w:p w:rsidR="00870B4F" w:rsidRPr="00870B4F" w:rsidRDefault="00870B4F" w:rsidP="00870B4F">
      <w:pPr>
        <w:rPr>
          <w:lang w:val="en-US"/>
        </w:rPr>
      </w:pPr>
      <w:r w:rsidRPr="00870B4F">
        <w:rPr>
          <w:lang w:val="en-US"/>
        </w:rPr>
        <w:t>It is anticipated that the package of draft SAPPR documents will be released for a three month public consultation period by the end of 2015.</w:t>
      </w:r>
    </w:p>
    <w:p w:rsidR="00870B4F" w:rsidRPr="00870B4F" w:rsidRDefault="00870B4F" w:rsidP="00072331">
      <w:pPr>
        <w:pStyle w:val="Heading5"/>
        <w:rPr>
          <w:lang w:val="en-US"/>
        </w:rPr>
      </w:pPr>
      <w:r w:rsidRPr="00870B4F">
        <w:rPr>
          <w:lang w:val="en-US"/>
        </w:rPr>
        <w:t>Major achievements</w:t>
      </w:r>
    </w:p>
    <w:p w:rsidR="00870B4F" w:rsidRPr="005514CE" w:rsidRDefault="00870B4F" w:rsidP="00AE75A9">
      <w:pPr>
        <w:pStyle w:val="ListParagraph"/>
        <w:numPr>
          <w:ilvl w:val="0"/>
          <w:numId w:val="74"/>
        </w:numPr>
        <w:rPr>
          <w:lang w:val="en-US"/>
        </w:rPr>
      </w:pPr>
      <w:r w:rsidRPr="005514CE">
        <w:rPr>
          <w:lang w:val="en-US"/>
        </w:rPr>
        <w:t>Completion of master planning for development footprints for each class of action (urban, industrial, rural-residential, infrastructure, basic raw materials and pine harvesting)</w:t>
      </w:r>
    </w:p>
    <w:p w:rsidR="00870B4F" w:rsidRPr="005514CE" w:rsidRDefault="00870B4F" w:rsidP="00AE75A9">
      <w:pPr>
        <w:pStyle w:val="ListParagraph"/>
        <w:numPr>
          <w:ilvl w:val="0"/>
          <w:numId w:val="74"/>
        </w:numPr>
        <w:rPr>
          <w:lang w:val="en-US"/>
        </w:rPr>
      </w:pPr>
      <w:r w:rsidRPr="005514CE">
        <w:rPr>
          <w:lang w:val="en-US"/>
        </w:rPr>
        <w:t xml:space="preserve">A number of long term land use conflicts have been resolved through undertaking SAPPR in conjunction with the WAPC </w:t>
      </w:r>
      <w:r w:rsidRPr="005514CE">
        <w:rPr>
          <w:lang w:val="en-US"/>
        </w:rPr>
        <w:br/>
        <w:t>sub-regional structure planning process</w:t>
      </w:r>
    </w:p>
    <w:p w:rsidR="00870B4F" w:rsidRPr="005514CE" w:rsidRDefault="00870B4F" w:rsidP="00AE75A9">
      <w:pPr>
        <w:pStyle w:val="ListParagraph"/>
        <w:numPr>
          <w:ilvl w:val="0"/>
          <w:numId w:val="74"/>
        </w:numPr>
        <w:rPr>
          <w:lang w:val="en-US"/>
        </w:rPr>
      </w:pPr>
      <w:r w:rsidRPr="005514CE">
        <w:rPr>
          <w:lang w:val="en-US"/>
        </w:rPr>
        <w:t>Whole-of-government development and refinement of strategic land use and policy options to support Ministerial and Cabinet decision making in relation to SAPPR</w:t>
      </w:r>
    </w:p>
    <w:p w:rsidR="00870B4F" w:rsidRPr="005514CE" w:rsidRDefault="00870B4F" w:rsidP="00AE75A9">
      <w:pPr>
        <w:pStyle w:val="ListParagraph"/>
        <w:numPr>
          <w:ilvl w:val="0"/>
          <w:numId w:val="74"/>
        </w:numPr>
        <w:rPr>
          <w:lang w:val="en-US"/>
        </w:rPr>
      </w:pPr>
      <w:r w:rsidRPr="005514CE">
        <w:rPr>
          <w:lang w:val="en-US"/>
        </w:rPr>
        <w:t>Identified opportunities for greater efficiency in infrastructure spending and land use through an emphasis on sharing and colocation of future infrastructure corridors:</w:t>
      </w:r>
    </w:p>
    <w:p w:rsidR="00870B4F" w:rsidRPr="00072331" w:rsidRDefault="00870B4F" w:rsidP="00AE75A9">
      <w:pPr>
        <w:pStyle w:val="ListParagraph"/>
        <w:numPr>
          <w:ilvl w:val="1"/>
          <w:numId w:val="57"/>
        </w:numPr>
        <w:rPr>
          <w:lang w:val="en-US"/>
        </w:rPr>
      </w:pPr>
      <w:r w:rsidRPr="00072331">
        <w:rPr>
          <w:lang w:val="en-US"/>
        </w:rPr>
        <w:t>Shared and collocated corridors reduce acquisition costs to the tax payer, minimise environmental impacts and reduce impacts on private property rights</w:t>
      </w:r>
    </w:p>
    <w:p w:rsidR="00870B4F" w:rsidRPr="00072331" w:rsidRDefault="00870B4F" w:rsidP="00AE75A9">
      <w:pPr>
        <w:pStyle w:val="ListParagraph"/>
        <w:numPr>
          <w:ilvl w:val="1"/>
          <w:numId w:val="57"/>
        </w:numPr>
        <w:rPr>
          <w:lang w:val="en-US"/>
        </w:rPr>
      </w:pPr>
      <w:r w:rsidRPr="00072331">
        <w:rPr>
          <w:lang w:val="en-US"/>
        </w:rPr>
        <w:t>The groundwork for an across-Government infrastructure policy is being undertaken to support implementation of colocation and sharing of infrastructure corridors</w:t>
      </w:r>
    </w:p>
    <w:p w:rsidR="00870B4F" w:rsidRPr="00072331" w:rsidRDefault="00870B4F" w:rsidP="00AE75A9">
      <w:pPr>
        <w:pStyle w:val="ListParagraph"/>
        <w:numPr>
          <w:ilvl w:val="0"/>
          <w:numId w:val="56"/>
        </w:numPr>
        <w:rPr>
          <w:lang w:val="en-US"/>
        </w:rPr>
      </w:pPr>
      <w:r w:rsidRPr="00072331">
        <w:rPr>
          <w:lang w:val="en-US"/>
        </w:rPr>
        <w:t>Extensive engagement with the key stakeholders, including the development industry, local government, environmental groups and the basic raw materials industry.  To date, there have been 51 stakeholder briefings and meetings</w:t>
      </w:r>
    </w:p>
    <w:p w:rsidR="00870B4F" w:rsidRPr="00870B4F" w:rsidRDefault="00870B4F" w:rsidP="00072331">
      <w:pPr>
        <w:pStyle w:val="Heading4"/>
        <w:rPr>
          <w:lang w:val="en-US"/>
        </w:rPr>
      </w:pPr>
      <w:r w:rsidRPr="00870B4F">
        <w:rPr>
          <w:lang w:val="en-US"/>
        </w:rPr>
        <w:t>Community and Human Services</w:t>
      </w:r>
    </w:p>
    <w:p w:rsidR="00870B4F" w:rsidRPr="00870B4F" w:rsidRDefault="00870B4F" w:rsidP="00870B4F">
      <w:pPr>
        <w:rPr>
          <w:lang w:val="en-US"/>
        </w:rPr>
      </w:pPr>
      <w:r w:rsidRPr="00870B4F">
        <w:rPr>
          <w:lang w:val="en-US"/>
        </w:rPr>
        <w:t>The Community and Human Services Unit facilitates the reform of community and human services across the Western Australian public sector.  Key policy areas include disability services, Aboriginal affairs, justice, youth, child protection and community safety.</w:t>
      </w:r>
    </w:p>
    <w:p w:rsidR="00870B4F" w:rsidRPr="00870B4F" w:rsidRDefault="00870B4F" w:rsidP="00870B4F">
      <w:pPr>
        <w:rPr>
          <w:lang w:val="en-US"/>
        </w:rPr>
      </w:pPr>
      <w:r w:rsidRPr="00870B4F">
        <w:rPr>
          <w:lang w:val="en-US"/>
        </w:rPr>
        <w:t>The Unit has developed strong relationships with other government agencies and not-for-profit service providers to drive collaboration in the policy, design and delivery of community and human services.  Common themes across the Unit’s work are enhancing coordination of services across multiple government agencies, providing choice and control for service users, devolving decision making and providing flexibility to the front-line.</w:t>
      </w:r>
    </w:p>
    <w:p w:rsidR="00870B4F" w:rsidRPr="00870B4F" w:rsidRDefault="00870B4F" w:rsidP="00072331">
      <w:pPr>
        <w:pStyle w:val="Heading5"/>
        <w:rPr>
          <w:lang w:val="en-US"/>
        </w:rPr>
      </w:pPr>
      <w:r w:rsidRPr="00870B4F">
        <w:rPr>
          <w:lang w:val="en-US"/>
        </w:rPr>
        <w:t>Major projects and achievements</w:t>
      </w:r>
    </w:p>
    <w:p w:rsidR="00870B4F" w:rsidRPr="00072331" w:rsidRDefault="00870B4F" w:rsidP="00AE75A9">
      <w:pPr>
        <w:pStyle w:val="ListParagraph"/>
        <w:numPr>
          <w:ilvl w:val="0"/>
          <w:numId w:val="73"/>
        </w:numPr>
        <w:rPr>
          <w:lang w:val="en-US"/>
        </w:rPr>
      </w:pPr>
      <w:r w:rsidRPr="00072331">
        <w:rPr>
          <w:lang w:val="en-US"/>
        </w:rPr>
        <w:t>In 2014–15 the Department developed and commenced the implementation of the Aboriginal Youth Services Investment Priorities and Principles, designed to transform the way the State Government funds Aboriginal youth services.  This policy translates the findings of the Aboriginal Youth Expenditure Review into action, based on extensive engagement with internal and external stakeholders.</w:t>
      </w:r>
    </w:p>
    <w:p w:rsidR="00870B4F" w:rsidRPr="00072331" w:rsidRDefault="00870B4F" w:rsidP="00AE75A9">
      <w:pPr>
        <w:pStyle w:val="ListParagraph"/>
        <w:numPr>
          <w:ilvl w:val="0"/>
          <w:numId w:val="73"/>
        </w:numPr>
        <w:rPr>
          <w:lang w:val="en-US"/>
        </w:rPr>
      </w:pPr>
      <w:r w:rsidRPr="00072331">
        <w:rPr>
          <w:lang w:val="en-US"/>
        </w:rPr>
        <w:t>The Department also facilitated the development of the Regional Services Reform agenda, based on the Location Based Expenditure Review of Roebourne and Martu communities</w:t>
      </w:r>
    </w:p>
    <w:p w:rsidR="00870B4F" w:rsidRPr="00072331" w:rsidRDefault="00870B4F" w:rsidP="00AE75A9">
      <w:pPr>
        <w:pStyle w:val="ListParagraph"/>
        <w:numPr>
          <w:ilvl w:val="0"/>
          <w:numId w:val="73"/>
        </w:numPr>
        <w:rPr>
          <w:lang w:val="en-US"/>
        </w:rPr>
      </w:pPr>
      <w:r w:rsidRPr="00072331">
        <w:rPr>
          <w:lang w:val="en-US"/>
        </w:rPr>
        <w:t>The Department led the formulation of an Aboriginal justice package to deliver on the Premier’s commitment to reduce Aboriginal over-representation in the justice system, resulting in a balanced package of actions</w:t>
      </w:r>
    </w:p>
    <w:p w:rsidR="00870B4F" w:rsidRPr="00072331" w:rsidRDefault="00870B4F" w:rsidP="00AE75A9">
      <w:pPr>
        <w:pStyle w:val="ListParagraph"/>
        <w:numPr>
          <w:ilvl w:val="0"/>
          <w:numId w:val="73"/>
        </w:numPr>
        <w:rPr>
          <w:lang w:val="en-US"/>
        </w:rPr>
      </w:pPr>
      <w:r w:rsidRPr="00072331">
        <w:rPr>
          <w:lang w:val="en-US"/>
        </w:rPr>
        <w:t>The Department provided oversight for the first year of the comparative trials of the National Disability Insurance Scheme in Western Australia, which will inform the future roll-out of disability reform in Western Australia and nationally</w:t>
      </w:r>
    </w:p>
    <w:p w:rsidR="00870B4F" w:rsidRPr="00072331" w:rsidRDefault="00870B4F" w:rsidP="00AE75A9">
      <w:pPr>
        <w:pStyle w:val="ListParagraph"/>
        <w:numPr>
          <w:ilvl w:val="0"/>
          <w:numId w:val="73"/>
        </w:numPr>
        <w:rPr>
          <w:lang w:val="en-US"/>
        </w:rPr>
      </w:pPr>
      <w:r w:rsidRPr="00072331">
        <w:rPr>
          <w:lang w:val="en-US"/>
        </w:rPr>
        <w:t>In 2014–15, the Department continued to support the Partnership Forum, a group of public and not-for-profit sector chief executive officers, to steer reforms to the policy, planning and delivery of community services.  This includes ongoing reforms to the way the public sector contracts with the not-for-profit sector, in order to improve services delivered to the community.</w:t>
      </w:r>
    </w:p>
    <w:p w:rsidR="0011613C" w:rsidRDefault="0011613C">
      <w:pPr>
        <w:spacing w:line="276" w:lineRule="auto"/>
        <w:rPr>
          <w:rFonts w:ascii="Arial" w:eastAsia="Segoe UI" w:hAnsi="Arial" w:cs="Arial"/>
          <w:noProof/>
          <w:color w:val="003366"/>
          <w:kern w:val="24"/>
          <w:sz w:val="36"/>
          <w:szCs w:val="36"/>
          <w:lang w:val="en-US" w:eastAsia="en-AU"/>
        </w:rPr>
      </w:pPr>
      <w:r>
        <w:rPr>
          <w:lang w:val="en-US"/>
        </w:rPr>
        <w:br w:type="page"/>
      </w:r>
    </w:p>
    <w:p w:rsidR="00870B4F" w:rsidRPr="00870B4F" w:rsidRDefault="00870B4F" w:rsidP="00072331">
      <w:pPr>
        <w:pStyle w:val="Heading4"/>
        <w:rPr>
          <w:lang w:val="en-US"/>
        </w:rPr>
      </w:pPr>
      <w:r w:rsidRPr="00870B4F">
        <w:rPr>
          <w:lang w:val="en-US"/>
        </w:rPr>
        <w:t>Partnership Forum</w:t>
      </w:r>
    </w:p>
    <w:p w:rsidR="00870B4F" w:rsidRPr="00870B4F" w:rsidRDefault="00870B4F" w:rsidP="00870B4F">
      <w:pPr>
        <w:rPr>
          <w:lang w:val="en-US"/>
        </w:rPr>
      </w:pPr>
      <w:r w:rsidRPr="00870B4F">
        <w:rPr>
          <w:lang w:val="en-US"/>
        </w:rPr>
        <w:t xml:space="preserve">The Department provides executive support to the Partnership Forum, which was established in April 2010.  The Forum’s mandate is to bring together leaders from State Government agencies and the not-for-profit (NFP) community sector to improve outcomes for all Western Australians through a genuine partnership in the policy, planning and delivery of community services.  </w:t>
      </w:r>
    </w:p>
    <w:p w:rsidR="00870B4F" w:rsidRPr="00870B4F" w:rsidRDefault="00870B4F" w:rsidP="00870B4F">
      <w:pPr>
        <w:rPr>
          <w:lang w:val="en-US"/>
        </w:rPr>
      </w:pPr>
      <w:r w:rsidRPr="00870B4F">
        <w:rPr>
          <w:lang w:val="en-US"/>
        </w:rPr>
        <w:t xml:space="preserve">The Partnership Forum has 21 members, comprising leaders from State Government agencies, the NFP community sector, and two consumer advocates.  The Forum is currently chaired by Ms Robyn Kruk AM. </w:t>
      </w:r>
    </w:p>
    <w:p w:rsidR="00870B4F" w:rsidRPr="00870B4F" w:rsidRDefault="00870B4F" w:rsidP="00870B4F">
      <w:pPr>
        <w:rPr>
          <w:lang w:val="en-US"/>
        </w:rPr>
      </w:pPr>
      <w:r w:rsidRPr="00870B4F">
        <w:rPr>
          <w:lang w:val="en-US"/>
        </w:rPr>
        <w:t xml:space="preserve">The Partnership Forum’s strategic directions for 2014–15 included a continued focus on collaboration in policy and planning, reducing the administrative burden on the NFP community sector and continued oversight of the roll-out of the $604 million Sustainable Funding and Contracting for the NFP Community Sector initiative and associated reforms.  Priorities included developing greater innovation in the delivery of community human services and to support individuals, families and communities in the design and delivery of these services.  </w:t>
      </w:r>
    </w:p>
    <w:p w:rsidR="00870B4F" w:rsidRPr="00870B4F" w:rsidRDefault="00870B4F" w:rsidP="00072331">
      <w:pPr>
        <w:pStyle w:val="Heading5"/>
        <w:rPr>
          <w:lang w:val="en-US"/>
        </w:rPr>
      </w:pPr>
      <w:r w:rsidRPr="00870B4F">
        <w:rPr>
          <w:lang w:val="en-US"/>
        </w:rPr>
        <w:t>Major achievements</w:t>
      </w:r>
    </w:p>
    <w:p w:rsidR="00870B4F" w:rsidRPr="00072331" w:rsidRDefault="00870B4F" w:rsidP="00AE75A9">
      <w:pPr>
        <w:pStyle w:val="ListParagraph"/>
        <w:numPr>
          <w:ilvl w:val="0"/>
          <w:numId w:val="58"/>
        </w:numPr>
        <w:rPr>
          <w:lang w:val="en-US"/>
        </w:rPr>
      </w:pPr>
      <w:r w:rsidRPr="00072331">
        <w:rPr>
          <w:lang w:val="en-US"/>
        </w:rPr>
        <w:t>Successful scenario planning exercise focussing on the housing and homelessness portfolio</w:t>
      </w:r>
    </w:p>
    <w:p w:rsidR="00870B4F" w:rsidRPr="00072331" w:rsidRDefault="00870B4F" w:rsidP="00AE75A9">
      <w:pPr>
        <w:pStyle w:val="ListParagraph"/>
        <w:numPr>
          <w:ilvl w:val="0"/>
          <w:numId w:val="58"/>
        </w:numPr>
        <w:rPr>
          <w:lang w:val="en-US"/>
        </w:rPr>
      </w:pPr>
      <w:r w:rsidRPr="00072331">
        <w:rPr>
          <w:lang w:val="en-US"/>
        </w:rPr>
        <w:t>Progression of four projects in the areas of housing for seniors — early years; case studies under the  Delivery Community Services in Partnership Policy, including development of Good Practice Guidelines for Engagement and Collaboration; and youth-at-risk</w:t>
      </w:r>
    </w:p>
    <w:p w:rsidR="00870B4F" w:rsidRPr="00072331" w:rsidRDefault="00870B4F" w:rsidP="00AE75A9">
      <w:pPr>
        <w:pStyle w:val="ListParagraph"/>
        <w:numPr>
          <w:ilvl w:val="0"/>
          <w:numId w:val="58"/>
        </w:numPr>
        <w:rPr>
          <w:lang w:val="en-US"/>
        </w:rPr>
      </w:pPr>
      <w:r w:rsidRPr="00072331">
        <w:rPr>
          <w:lang w:val="en-US"/>
        </w:rPr>
        <w:t>Successful third-year evaluation of the Sustainable Funding and Contracting initiative.  Findings included that the Delivering Community Services in Partnership Policy and associated funding and contracting reforms continue to be well received by both the public and NFP community services sector</w:t>
      </w:r>
    </w:p>
    <w:p w:rsidR="00870B4F" w:rsidRDefault="00870B4F" w:rsidP="00AE75A9">
      <w:pPr>
        <w:pStyle w:val="ListParagraph"/>
        <w:numPr>
          <w:ilvl w:val="0"/>
          <w:numId w:val="58"/>
        </w:numPr>
        <w:rPr>
          <w:lang w:val="en-US"/>
        </w:rPr>
      </w:pPr>
      <w:r w:rsidRPr="00072331">
        <w:rPr>
          <w:lang w:val="en-US"/>
        </w:rPr>
        <w:t>Engagement with the Commonwealth Government on the Reform of the Federation White Paper</w:t>
      </w:r>
    </w:p>
    <w:p w:rsidR="00072331" w:rsidRPr="00072331" w:rsidRDefault="00072331" w:rsidP="00072331">
      <w:pPr>
        <w:pStyle w:val="ListParagraph"/>
        <w:rPr>
          <w:lang w:val="en-US"/>
        </w:rPr>
      </w:pPr>
    </w:p>
    <w:p w:rsidR="00072331" w:rsidRDefault="00AD3812" w:rsidP="00072331">
      <w:pPr>
        <w:pStyle w:val="Heading3"/>
      </w:pPr>
      <w:r w:rsidRPr="00072331">
        <w:t>Managing and coordinating Western Australian Government input into</w:t>
      </w:r>
      <w:r w:rsidR="00072331">
        <w:t xml:space="preserve"> intergovernmental negotiations</w:t>
      </w:r>
    </w:p>
    <w:p w:rsidR="00072331" w:rsidRPr="00072331" w:rsidRDefault="00072331" w:rsidP="00072331">
      <w:pPr>
        <w:rPr>
          <w:lang w:val="en-US"/>
        </w:rPr>
      </w:pPr>
      <w:r w:rsidRPr="00072331">
        <w:rPr>
          <w:lang w:val="en-US"/>
        </w:rPr>
        <w:t>The Council of Australian Government (COAG) Secretariat works across the public sector to ensure the Premier, Cabinet and the Department’s senior officials are provided with high quality advice regarding intergovernmental matters from a whole-of-government perspective.  This includes COAG, meetings of senior officials, Council for the Australian Federation, review of government services, treaties and free trade agreements. The COAG Secretariat also designs, develops, implements and supports key initiatives and reforms aimed at building a Western Australian public sector for the future.</w:t>
      </w:r>
    </w:p>
    <w:p w:rsidR="00072331" w:rsidRPr="00072331" w:rsidRDefault="00072331" w:rsidP="00072331">
      <w:pPr>
        <w:rPr>
          <w:lang w:val="en-US"/>
        </w:rPr>
      </w:pPr>
      <w:r w:rsidRPr="00072331">
        <w:rPr>
          <w:lang w:val="en-US"/>
        </w:rPr>
        <w:t>In 2014–15, the COAG Secretariat supported two meetings of COAG and the Council for the Australian Federation, and eight meetings of COAG senior officials.  The COAG Secretariat also provided support and advice to the Premier for other significant events such as the G20 meeting held in Brisbane and the Australia-China Leaders Forum, both held November 2014.</w:t>
      </w:r>
    </w:p>
    <w:p w:rsidR="00A12A74" w:rsidRDefault="00072331" w:rsidP="00072331">
      <w:pPr>
        <w:rPr>
          <w:lang w:val="en-US"/>
        </w:rPr>
      </w:pPr>
      <w:r w:rsidRPr="00072331">
        <w:rPr>
          <w:lang w:val="en-US"/>
        </w:rPr>
        <w:t>The COAG Secretariat continued to act as the formal point of contact for Western Australia’s implementation of COAG agreements, national inquiries, and reporting and consultation requirements regarding government services, treaties and free trade agreements.  The COAG Secretariat also provides ongoing support to the Executive Coordinating Committee, ensuring high level strategic coordination in the delivery of government business.</w:t>
      </w:r>
    </w:p>
    <w:p w:rsidR="00AD3812" w:rsidRDefault="00AD3812" w:rsidP="00072331">
      <w:pPr>
        <w:spacing w:before="240"/>
        <w:rPr>
          <w:rFonts w:ascii="Arial" w:eastAsia="Segoe UI" w:hAnsi="Arial" w:cs="Arial"/>
          <w:noProof/>
          <w:color w:val="006699"/>
          <w:kern w:val="24"/>
          <w:sz w:val="36"/>
          <w:szCs w:val="36"/>
          <w:lang w:eastAsia="en-AU"/>
        </w:rPr>
      </w:pPr>
      <w:r>
        <w:rPr>
          <w:rFonts w:ascii="Arial" w:eastAsia="Segoe UI" w:hAnsi="Arial" w:cs="Arial"/>
          <w:noProof/>
          <w:color w:val="006699"/>
          <w:kern w:val="24"/>
          <w:sz w:val="36"/>
          <w:szCs w:val="36"/>
          <w:lang w:eastAsia="en-AU"/>
        </w:rPr>
        <w:t>Str</w:t>
      </w:r>
      <w:r w:rsidRPr="00AD3812">
        <w:rPr>
          <w:rFonts w:ascii="Arial" w:eastAsia="Segoe UI" w:hAnsi="Arial" w:cs="Arial"/>
          <w:noProof/>
          <w:color w:val="006699"/>
          <w:kern w:val="24"/>
          <w:sz w:val="36"/>
          <w:szCs w:val="36"/>
          <w:lang w:eastAsia="en-AU"/>
        </w:rPr>
        <w:t>ategic, cross portfolio advice on land, State and Commonwealth approvals and Indigenous issues</w:t>
      </w:r>
    </w:p>
    <w:p w:rsidR="00072331" w:rsidRPr="00072331" w:rsidRDefault="00072331" w:rsidP="00072331">
      <w:pPr>
        <w:rPr>
          <w:lang w:val="en-US"/>
        </w:rPr>
      </w:pPr>
      <w:bookmarkStart w:id="374" w:name="_Toc425370357"/>
      <w:bookmarkStart w:id="375" w:name="_Toc426104584"/>
      <w:bookmarkEnd w:id="369"/>
      <w:r w:rsidRPr="00072331">
        <w:rPr>
          <w:lang w:val="en-US"/>
        </w:rPr>
        <w:t xml:space="preserve">The Land, Approvals and Native Title Unit (LANTU) provides strategic advice on multiple land use policies and projects, and is the State’s primary manager of all Western Australian compliance with the </w:t>
      </w:r>
      <w:r w:rsidRPr="00072331">
        <w:rPr>
          <w:i/>
          <w:iCs/>
          <w:lang w:val="en-US"/>
        </w:rPr>
        <w:t>Commonwealth Native Title Act 1993</w:t>
      </w:r>
      <w:r w:rsidRPr="00072331">
        <w:rPr>
          <w:lang w:val="en-US"/>
        </w:rPr>
        <w:t xml:space="preserve"> (NTA).</w:t>
      </w:r>
    </w:p>
    <w:p w:rsidR="0020375D" w:rsidRDefault="0020375D" w:rsidP="00C63A96">
      <w:pPr>
        <w:pStyle w:val="Heading5"/>
      </w:pPr>
      <w:r>
        <w:t>Major achievements</w:t>
      </w:r>
      <w:bookmarkEnd w:id="374"/>
      <w:bookmarkEnd w:id="375"/>
    </w:p>
    <w:p w:rsidR="00072331" w:rsidRPr="00072331" w:rsidRDefault="00072331" w:rsidP="00AE75A9">
      <w:pPr>
        <w:pStyle w:val="ListParagraph"/>
        <w:numPr>
          <w:ilvl w:val="0"/>
          <w:numId w:val="59"/>
        </w:numPr>
        <w:rPr>
          <w:lang w:val="en-US"/>
        </w:rPr>
      </w:pPr>
      <w:r w:rsidRPr="00072331">
        <w:rPr>
          <w:lang w:val="en-US"/>
        </w:rPr>
        <w:t>Three native title claims resolved over a total area of 138,748 square kilometres. There are now 92 outstanding claims in Western Australia</w:t>
      </w:r>
    </w:p>
    <w:p w:rsidR="00072331" w:rsidRPr="00072331" w:rsidRDefault="00072331" w:rsidP="00AE75A9">
      <w:pPr>
        <w:pStyle w:val="ListParagraph"/>
        <w:numPr>
          <w:ilvl w:val="0"/>
          <w:numId w:val="59"/>
        </w:numPr>
        <w:rPr>
          <w:lang w:val="en-US"/>
        </w:rPr>
      </w:pPr>
      <w:r w:rsidRPr="00072331">
        <w:rPr>
          <w:lang w:val="en-US"/>
        </w:rPr>
        <w:t>Ongoing case management of 51 native title claims across WA</w:t>
      </w:r>
    </w:p>
    <w:p w:rsidR="00072331" w:rsidRPr="00072331" w:rsidRDefault="00072331" w:rsidP="00AE75A9">
      <w:pPr>
        <w:pStyle w:val="ListParagraph"/>
        <w:numPr>
          <w:ilvl w:val="0"/>
          <w:numId w:val="59"/>
        </w:numPr>
        <w:rPr>
          <w:lang w:val="en-US"/>
        </w:rPr>
      </w:pPr>
      <w:r w:rsidRPr="00072331">
        <w:rPr>
          <w:lang w:val="en-US"/>
        </w:rPr>
        <w:t>Completion of six South West Settlement Indigenous Land Use Agreements (ILUA). Subject to the completion of all legal procedures, the implementation of all agreements could commence in July 2016</w:t>
      </w:r>
    </w:p>
    <w:p w:rsidR="00072331" w:rsidRPr="00072331" w:rsidRDefault="00072331" w:rsidP="00AE75A9">
      <w:pPr>
        <w:pStyle w:val="ListParagraph"/>
        <w:numPr>
          <w:ilvl w:val="0"/>
          <w:numId w:val="59"/>
        </w:numPr>
        <w:rPr>
          <w:lang w:val="en-US"/>
        </w:rPr>
      </w:pPr>
      <w:r w:rsidRPr="00072331">
        <w:rPr>
          <w:lang w:val="en-US"/>
        </w:rPr>
        <w:t>Completion of the Esperance Nyungar-State Government ILUA in November 2014</w:t>
      </w:r>
    </w:p>
    <w:p w:rsidR="00072331" w:rsidRPr="00072331" w:rsidRDefault="00072331" w:rsidP="00AE75A9">
      <w:pPr>
        <w:pStyle w:val="ListParagraph"/>
        <w:numPr>
          <w:ilvl w:val="0"/>
          <w:numId w:val="59"/>
        </w:numPr>
        <w:rPr>
          <w:lang w:val="en-US"/>
        </w:rPr>
      </w:pPr>
      <w:r w:rsidRPr="00072331">
        <w:rPr>
          <w:lang w:val="en-US"/>
        </w:rPr>
        <w:t>Ongoing direct consultation with native title groups about Government agreements designed to increase their economic independence</w:t>
      </w:r>
    </w:p>
    <w:p w:rsidR="00072331" w:rsidRPr="00072331" w:rsidRDefault="00072331" w:rsidP="00AE75A9">
      <w:pPr>
        <w:pStyle w:val="ListParagraph"/>
        <w:numPr>
          <w:ilvl w:val="0"/>
          <w:numId w:val="59"/>
        </w:numPr>
        <w:rPr>
          <w:lang w:val="en-US"/>
        </w:rPr>
      </w:pPr>
      <w:r w:rsidRPr="00072331">
        <w:rPr>
          <w:lang w:val="en-US"/>
        </w:rPr>
        <w:t>Joint action with the Department of State Development, Department of Land, Landcorp and other agencies on:</w:t>
      </w:r>
    </w:p>
    <w:p w:rsidR="00072331" w:rsidRPr="00072331" w:rsidRDefault="00072331" w:rsidP="00AE75A9">
      <w:pPr>
        <w:pStyle w:val="ListParagraph"/>
        <w:numPr>
          <w:ilvl w:val="1"/>
          <w:numId w:val="60"/>
        </w:numPr>
        <w:rPr>
          <w:lang w:val="en-US"/>
        </w:rPr>
      </w:pPr>
      <w:r w:rsidRPr="00072331">
        <w:rPr>
          <w:lang w:val="en-US"/>
        </w:rPr>
        <w:t>town site expansion in Onslow and the Ashburton North Strategic Industrial Area; and</w:t>
      </w:r>
    </w:p>
    <w:p w:rsidR="00072331" w:rsidRPr="00072331" w:rsidRDefault="00072331" w:rsidP="00AE75A9">
      <w:pPr>
        <w:pStyle w:val="ListParagraph"/>
        <w:numPr>
          <w:ilvl w:val="1"/>
          <w:numId w:val="60"/>
        </w:numPr>
        <w:rPr>
          <w:lang w:val="en-US"/>
        </w:rPr>
      </w:pPr>
      <w:r w:rsidRPr="00072331">
        <w:rPr>
          <w:lang w:val="en-US"/>
        </w:rPr>
        <w:t>tenure reform over the Fitzroy Crossing town site including Aboriginal Lands Trust divestment and the offset of the State’s native title compensation liabilities.</w:t>
      </w:r>
    </w:p>
    <w:p w:rsidR="00072331" w:rsidRPr="00072331" w:rsidRDefault="00072331" w:rsidP="00AE75A9">
      <w:pPr>
        <w:pStyle w:val="ListParagraph"/>
        <w:numPr>
          <w:ilvl w:val="0"/>
          <w:numId w:val="59"/>
        </w:numPr>
        <w:rPr>
          <w:lang w:val="en-US"/>
        </w:rPr>
      </w:pPr>
      <w:r w:rsidRPr="00072331">
        <w:rPr>
          <w:lang w:val="en-US"/>
        </w:rPr>
        <w:t>A leading role with other States and the Northern Territory in the development of native title policy reforms for the Native Title Ministers’ Meetings (August and December 2014)</w:t>
      </w:r>
    </w:p>
    <w:p w:rsidR="00072331" w:rsidRPr="00072331" w:rsidRDefault="00072331" w:rsidP="00AE75A9">
      <w:pPr>
        <w:pStyle w:val="ListParagraph"/>
        <w:numPr>
          <w:ilvl w:val="0"/>
          <w:numId w:val="61"/>
        </w:numPr>
        <w:rPr>
          <w:lang w:val="en-US"/>
        </w:rPr>
      </w:pPr>
      <w:r w:rsidRPr="00072331">
        <w:rPr>
          <w:lang w:val="en-US"/>
        </w:rPr>
        <w:t xml:space="preserve">Submissions to the Commonwealth Government, including: </w:t>
      </w:r>
    </w:p>
    <w:p w:rsidR="00072331" w:rsidRPr="00072331" w:rsidRDefault="00072331" w:rsidP="00AE75A9">
      <w:pPr>
        <w:pStyle w:val="ListParagraph"/>
        <w:numPr>
          <w:ilvl w:val="1"/>
          <w:numId w:val="62"/>
        </w:numPr>
        <w:rPr>
          <w:lang w:val="en-US"/>
        </w:rPr>
      </w:pPr>
      <w:r w:rsidRPr="00072331">
        <w:rPr>
          <w:lang w:val="en-US"/>
        </w:rPr>
        <w:t>The Australian Law Reform Commission’s Native Title Inquiry;</w:t>
      </w:r>
    </w:p>
    <w:p w:rsidR="00072331" w:rsidRPr="00072331" w:rsidRDefault="00072331" w:rsidP="00AE75A9">
      <w:pPr>
        <w:pStyle w:val="ListParagraph"/>
        <w:numPr>
          <w:ilvl w:val="1"/>
          <w:numId w:val="62"/>
        </w:numPr>
        <w:rPr>
          <w:lang w:val="en-US"/>
        </w:rPr>
      </w:pPr>
      <w:r w:rsidRPr="00072331">
        <w:rPr>
          <w:lang w:val="en-US"/>
        </w:rPr>
        <w:t>The COAG Investigation into Indigenous Land Administration and Use;</w:t>
      </w:r>
    </w:p>
    <w:p w:rsidR="00072331" w:rsidRPr="00072331" w:rsidRDefault="00072331" w:rsidP="00AE75A9">
      <w:pPr>
        <w:pStyle w:val="ListParagraph"/>
        <w:numPr>
          <w:ilvl w:val="1"/>
          <w:numId w:val="62"/>
        </w:numPr>
        <w:rPr>
          <w:lang w:val="en-US"/>
        </w:rPr>
      </w:pPr>
      <w:r w:rsidRPr="00072331">
        <w:rPr>
          <w:lang w:val="en-US"/>
        </w:rPr>
        <w:t>The Commonwealth-State native title compensation agreement;</w:t>
      </w:r>
    </w:p>
    <w:p w:rsidR="00072331" w:rsidRPr="00072331" w:rsidRDefault="00072331" w:rsidP="00AE75A9">
      <w:pPr>
        <w:pStyle w:val="ListParagraph"/>
        <w:numPr>
          <w:ilvl w:val="1"/>
          <w:numId w:val="62"/>
        </w:numPr>
        <w:rPr>
          <w:lang w:val="en-US"/>
        </w:rPr>
      </w:pPr>
      <w:r w:rsidRPr="00072331">
        <w:rPr>
          <w:lang w:val="en-US"/>
        </w:rPr>
        <w:t>Commonwealth input to the South West Settlement of native title claims;</w:t>
      </w:r>
    </w:p>
    <w:p w:rsidR="00072331" w:rsidRPr="00072331" w:rsidRDefault="00072331" w:rsidP="00AE75A9">
      <w:pPr>
        <w:pStyle w:val="ListParagraph"/>
        <w:numPr>
          <w:ilvl w:val="1"/>
          <w:numId w:val="62"/>
        </w:numPr>
        <w:rPr>
          <w:lang w:val="en-US"/>
        </w:rPr>
      </w:pPr>
      <w:r w:rsidRPr="00072331">
        <w:rPr>
          <w:lang w:val="en-US"/>
        </w:rPr>
        <w:t>Commonwealth positions on Indigenous Leaders’ Roundtable in Broome (19 to 20 May 2015);  and</w:t>
      </w:r>
    </w:p>
    <w:p w:rsidR="00072331" w:rsidRPr="00072331" w:rsidRDefault="00072331" w:rsidP="00AE75A9">
      <w:pPr>
        <w:pStyle w:val="ListParagraph"/>
        <w:numPr>
          <w:ilvl w:val="1"/>
          <w:numId w:val="62"/>
        </w:numPr>
        <w:rPr>
          <w:lang w:val="en-US"/>
        </w:rPr>
      </w:pPr>
      <w:r w:rsidRPr="00072331">
        <w:rPr>
          <w:lang w:val="en-US"/>
        </w:rPr>
        <w:t xml:space="preserve">The impact of the Commonwealth’s </w:t>
      </w:r>
      <w:r w:rsidRPr="00072331">
        <w:rPr>
          <w:i/>
          <w:iCs/>
          <w:lang w:val="en-US"/>
        </w:rPr>
        <w:t>Carbon Credits (Carbon Farming Initiative) Act 2011</w:t>
      </w:r>
      <w:r w:rsidRPr="00072331">
        <w:rPr>
          <w:lang w:val="en-US"/>
        </w:rPr>
        <w:t xml:space="preserve"> on WA land management, notably with respect to addressing public safety risks arising from savanna burning practices in northern WA.</w:t>
      </w:r>
    </w:p>
    <w:p w:rsidR="00072331" w:rsidRPr="00072331" w:rsidRDefault="00072331" w:rsidP="00AE75A9">
      <w:pPr>
        <w:pStyle w:val="ListParagraph"/>
        <w:numPr>
          <w:ilvl w:val="0"/>
          <w:numId w:val="61"/>
        </w:numPr>
        <w:rPr>
          <w:lang w:val="en-US"/>
        </w:rPr>
      </w:pPr>
      <w:r w:rsidRPr="00072331">
        <w:rPr>
          <w:lang w:val="en-US"/>
        </w:rPr>
        <w:t>Whole-of–government skills consultation and training:</w:t>
      </w:r>
    </w:p>
    <w:p w:rsidR="00072331" w:rsidRPr="00072331" w:rsidRDefault="00072331" w:rsidP="00AE75A9">
      <w:pPr>
        <w:pStyle w:val="ListParagraph"/>
        <w:numPr>
          <w:ilvl w:val="1"/>
          <w:numId w:val="63"/>
        </w:numPr>
        <w:rPr>
          <w:lang w:val="en-US"/>
        </w:rPr>
      </w:pPr>
      <w:r w:rsidRPr="00072331">
        <w:rPr>
          <w:lang w:val="en-US"/>
        </w:rPr>
        <w:t>Interagency Reference Group on Native Title and Aboriginal Heritage comprises all WA government department agencies involved in either native title and/or Aboriginal heritage matters (meetings in November 2014 and April 2015)</w:t>
      </w:r>
    </w:p>
    <w:p w:rsidR="00072331" w:rsidRPr="00072331" w:rsidRDefault="00072331" w:rsidP="00AE75A9">
      <w:pPr>
        <w:pStyle w:val="ListParagraph"/>
        <w:numPr>
          <w:ilvl w:val="1"/>
          <w:numId w:val="63"/>
        </w:numPr>
        <w:rPr>
          <w:lang w:val="en-US"/>
        </w:rPr>
      </w:pPr>
      <w:r w:rsidRPr="00072331">
        <w:rPr>
          <w:lang w:val="en-US"/>
        </w:rPr>
        <w:t>Regional training workshops in the Pilbara (July 2014) , Goldfields (October 2014), and Geraldton-Mid West (May 2015) regions and attended by officers from regionally based departments and Government corporations</w:t>
      </w:r>
    </w:p>
    <w:p w:rsidR="0019740F" w:rsidRPr="00072331" w:rsidRDefault="00072331" w:rsidP="00AE75A9">
      <w:pPr>
        <w:pStyle w:val="ListParagraph"/>
        <w:numPr>
          <w:ilvl w:val="1"/>
          <w:numId w:val="63"/>
        </w:numPr>
        <w:rPr>
          <w:i/>
          <w:sz w:val="22"/>
        </w:rPr>
      </w:pPr>
      <w:r w:rsidRPr="00072331">
        <w:rPr>
          <w:lang w:val="en-US"/>
        </w:rPr>
        <w:t>The Aboriginal Heritage and Native Title Industry Liaison Committee comprising peak mining and petroleum bodies and relevant government agencies, meets quarterly</w:t>
      </w:r>
    </w:p>
    <w:p w:rsidR="00AD3812" w:rsidRDefault="00AD3812" w:rsidP="00F1371C">
      <w:pPr>
        <w:spacing w:after="0"/>
        <w:rPr>
          <w:rFonts w:ascii="Arial" w:eastAsia="Segoe UI" w:hAnsi="Arial" w:cs="Arial"/>
          <w:color w:val="006699"/>
          <w:kern w:val="24"/>
          <w:sz w:val="36"/>
          <w:szCs w:val="36"/>
          <w:lang w:eastAsia="en-AU"/>
        </w:rPr>
      </w:pPr>
      <w:r>
        <w:rPr>
          <w:rFonts w:ascii="Arial" w:eastAsia="Segoe UI" w:hAnsi="Arial" w:cs="Arial"/>
          <w:color w:val="006699"/>
          <w:kern w:val="24"/>
          <w:sz w:val="36"/>
          <w:szCs w:val="36"/>
          <w:lang w:eastAsia="en-AU"/>
        </w:rPr>
        <w:t>Support for the functions of the Premier and Cabinet</w:t>
      </w:r>
    </w:p>
    <w:p w:rsidR="0020375D" w:rsidRDefault="0020375D" w:rsidP="00C63A96">
      <w:pPr>
        <w:pStyle w:val="Heading4"/>
      </w:pPr>
      <w:r>
        <w:t>Cabinet Secretariat</w:t>
      </w:r>
      <w:bookmarkEnd w:id="370"/>
      <w:bookmarkEnd w:id="371"/>
    </w:p>
    <w:p w:rsidR="00072331" w:rsidRPr="00072331" w:rsidRDefault="00072331" w:rsidP="00063101">
      <w:pPr>
        <w:rPr>
          <w:lang w:val="en-US"/>
        </w:rPr>
      </w:pPr>
      <w:r w:rsidRPr="00072331">
        <w:rPr>
          <w:lang w:val="en-US"/>
        </w:rPr>
        <w:t>Cabinet Secretariat staff continued to provide procedural, operational and other services to the Cabinet, including:</w:t>
      </w:r>
    </w:p>
    <w:p w:rsidR="00072331" w:rsidRPr="00063101" w:rsidRDefault="00072331" w:rsidP="00AE75A9">
      <w:pPr>
        <w:pStyle w:val="ListParagraph"/>
        <w:numPr>
          <w:ilvl w:val="0"/>
          <w:numId w:val="64"/>
        </w:numPr>
        <w:rPr>
          <w:lang w:val="en-US"/>
        </w:rPr>
      </w:pPr>
      <w:r w:rsidRPr="00063101">
        <w:rPr>
          <w:lang w:val="en-US"/>
        </w:rPr>
        <w:t>programming Cabinet business and setting agendas;</w:t>
      </w:r>
    </w:p>
    <w:p w:rsidR="00072331" w:rsidRPr="00063101" w:rsidRDefault="00072331" w:rsidP="00AE75A9">
      <w:pPr>
        <w:pStyle w:val="ListParagraph"/>
        <w:numPr>
          <w:ilvl w:val="0"/>
          <w:numId w:val="64"/>
        </w:numPr>
        <w:rPr>
          <w:lang w:val="en-US"/>
        </w:rPr>
      </w:pPr>
      <w:r w:rsidRPr="00063101">
        <w:rPr>
          <w:lang w:val="en-US"/>
        </w:rPr>
        <w:t>supporting the operation of the Executive Council;</w:t>
      </w:r>
    </w:p>
    <w:p w:rsidR="00072331" w:rsidRPr="00063101" w:rsidRDefault="00072331" w:rsidP="00AE75A9">
      <w:pPr>
        <w:pStyle w:val="ListParagraph"/>
        <w:numPr>
          <w:ilvl w:val="0"/>
          <w:numId w:val="64"/>
        </w:numPr>
        <w:rPr>
          <w:lang w:val="en-US"/>
        </w:rPr>
      </w:pPr>
      <w:r w:rsidRPr="00063101">
        <w:rPr>
          <w:lang w:val="en-US"/>
        </w:rPr>
        <w:t>supporting the management of parliamentary business and the legislative programme of the Government; and</w:t>
      </w:r>
    </w:p>
    <w:p w:rsidR="0020375D" w:rsidRPr="00063101" w:rsidRDefault="00072331" w:rsidP="00AE75A9">
      <w:pPr>
        <w:pStyle w:val="ListParagraph"/>
        <w:numPr>
          <w:ilvl w:val="0"/>
          <w:numId w:val="64"/>
        </w:numPr>
        <w:rPr>
          <w:lang w:val="en-US"/>
        </w:rPr>
      </w:pPr>
      <w:r w:rsidRPr="00063101">
        <w:rPr>
          <w:lang w:val="en-US"/>
        </w:rPr>
        <w:t>adm</w:t>
      </w:r>
      <w:r w:rsidR="00063101" w:rsidRPr="00063101">
        <w:rPr>
          <w:lang w:val="en-US"/>
        </w:rPr>
        <w:t xml:space="preserve">inistrative support to Cabinet </w:t>
      </w:r>
      <w:r w:rsidRPr="00063101">
        <w:rPr>
          <w:lang w:val="en-US"/>
        </w:rPr>
        <w:t xml:space="preserve">Sub-Committees, including the Economic and Expenditure Reform Committee (EERC). </w:t>
      </w:r>
    </w:p>
    <w:p w:rsidR="0020375D" w:rsidRDefault="0020375D" w:rsidP="00C63A96">
      <w:pPr>
        <w:pStyle w:val="Heading5"/>
      </w:pPr>
      <w:bookmarkStart w:id="376" w:name="_Toc425370373"/>
      <w:bookmarkStart w:id="377" w:name="_Toc426104600"/>
      <w:r>
        <w:t>Cabinet Services</w:t>
      </w:r>
      <w:bookmarkEnd w:id="376"/>
      <w:bookmarkEnd w:id="377"/>
    </w:p>
    <w:p w:rsidR="00063101" w:rsidRDefault="00063101" w:rsidP="00063101">
      <w:pPr>
        <w:rPr>
          <w:rStyle w:val="NormalText"/>
        </w:rPr>
      </w:pPr>
      <w:bookmarkStart w:id="378" w:name="_Toc425370374"/>
      <w:bookmarkStart w:id="379" w:name="_Toc426104601"/>
      <w:r>
        <w:rPr>
          <w:rStyle w:val="NormalText"/>
        </w:rPr>
        <w:t xml:space="preserve">The Cabinet Services area continued to: </w:t>
      </w:r>
    </w:p>
    <w:p w:rsidR="00063101" w:rsidRDefault="00063101" w:rsidP="00AE75A9">
      <w:pPr>
        <w:pStyle w:val="ListParagraph"/>
        <w:numPr>
          <w:ilvl w:val="0"/>
          <w:numId w:val="65"/>
        </w:numPr>
        <w:rPr>
          <w:rStyle w:val="NormalText"/>
        </w:rPr>
      </w:pPr>
      <w:r>
        <w:rPr>
          <w:rStyle w:val="NormalText"/>
        </w:rPr>
        <w:t>monitor submissions presented to Cabinet to ensure that they conform with the guidelines set down in the Cabinet Handbook;</w:t>
      </w:r>
    </w:p>
    <w:p w:rsidR="00063101" w:rsidRDefault="00063101" w:rsidP="00AE75A9">
      <w:pPr>
        <w:pStyle w:val="ListParagraph"/>
        <w:numPr>
          <w:ilvl w:val="0"/>
          <w:numId w:val="65"/>
        </w:numPr>
        <w:rPr>
          <w:rStyle w:val="NormalText"/>
        </w:rPr>
      </w:pPr>
      <w:r>
        <w:rPr>
          <w:rStyle w:val="NormalText"/>
        </w:rPr>
        <w:t xml:space="preserve">ensure that Cabinet members have information relating to issues that may impact on one or more of their agencies through the Cabinet referral process; </w:t>
      </w:r>
    </w:p>
    <w:p w:rsidR="00063101" w:rsidRDefault="00063101" w:rsidP="00AE75A9">
      <w:pPr>
        <w:pStyle w:val="ListParagraph"/>
        <w:numPr>
          <w:ilvl w:val="0"/>
          <w:numId w:val="65"/>
        </w:numPr>
        <w:rPr>
          <w:rStyle w:val="NormalText"/>
        </w:rPr>
      </w:pPr>
      <w:r>
        <w:rPr>
          <w:rStyle w:val="NormalText"/>
        </w:rPr>
        <w:t xml:space="preserve">provide advice to Ministers, departments and agencies on Cabinet operations and requirements; </w:t>
      </w:r>
    </w:p>
    <w:p w:rsidR="00063101" w:rsidRDefault="00063101" w:rsidP="00AE75A9">
      <w:pPr>
        <w:pStyle w:val="ListParagraph"/>
        <w:numPr>
          <w:ilvl w:val="0"/>
          <w:numId w:val="65"/>
        </w:numPr>
        <w:rPr>
          <w:rStyle w:val="NormalText"/>
        </w:rPr>
      </w:pPr>
      <w:r>
        <w:rPr>
          <w:rStyle w:val="NormalText"/>
        </w:rPr>
        <w:t>record and distribute Cabinet submissions and decisions in a secure manner; and</w:t>
      </w:r>
    </w:p>
    <w:p w:rsidR="00063101" w:rsidRDefault="00063101" w:rsidP="00AE75A9">
      <w:pPr>
        <w:pStyle w:val="ListParagraph"/>
        <w:numPr>
          <w:ilvl w:val="0"/>
          <w:numId w:val="65"/>
        </w:numPr>
        <w:rPr>
          <w:rStyle w:val="NormalText"/>
        </w:rPr>
      </w:pPr>
      <w:r>
        <w:rPr>
          <w:rStyle w:val="NormalText"/>
        </w:rPr>
        <w:t xml:space="preserve">monitor and record appointments to government boards and committees and maintain a register of people who have expressed an interest in being appointed to a government board or committee. </w:t>
      </w:r>
    </w:p>
    <w:p w:rsidR="00063101" w:rsidRDefault="00063101" w:rsidP="00063101">
      <w:pPr>
        <w:suppressAutoHyphens/>
        <w:autoSpaceDE w:val="0"/>
        <w:autoSpaceDN w:val="0"/>
        <w:adjustRightInd w:val="0"/>
        <w:spacing w:line="288" w:lineRule="auto"/>
        <w:textAlignment w:val="center"/>
        <w:rPr>
          <w:rStyle w:val="NormalText"/>
        </w:rPr>
      </w:pPr>
      <w:r w:rsidRPr="00063101">
        <w:rPr>
          <w:color w:val="000000"/>
          <w:lang w:val="en-US"/>
        </w:rPr>
        <w:t>Support was provided for 44 Cabinet meetings, including regional and community Cabinet meetings in Manjimup, Kununurra, Armadale and Kalgoorlie.  Cabinet considered a total of 768 submissions.</w:t>
      </w:r>
    </w:p>
    <w:p w:rsidR="0011613C" w:rsidRDefault="0011613C">
      <w:pPr>
        <w:spacing w:line="276" w:lineRule="auto"/>
        <w:rPr>
          <w:rFonts w:ascii="Arial" w:eastAsia="Segoe UI" w:hAnsi="Arial" w:cs="Arial"/>
          <w:noProof/>
          <w:color w:val="365F91" w:themeColor="accent1" w:themeShade="BF"/>
          <w:kern w:val="24"/>
          <w:sz w:val="32"/>
          <w:szCs w:val="32"/>
          <w:lang w:eastAsia="en-AU"/>
        </w:rPr>
      </w:pPr>
      <w:r>
        <w:br w:type="page"/>
      </w:r>
    </w:p>
    <w:p w:rsidR="0020375D" w:rsidRDefault="0020375D" w:rsidP="00063101">
      <w:pPr>
        <w:pStyle w:val="Heading5"/>
      </w:pPr>
      <w:r>
        <w:t>Parliamentary Services</w:t>
      </w:r>
      <w:bookmarkEnd w:id="378"/>
      <w:bookmarkEnd w:id="379"/>
    </w:p>
    <w:p w:rsidR="00063101" w:rsidRPr="00063101" w:rsidRDefault="00063101" w:rsidP="005514CE">
      <w:pPr>
        <w:rPr>
          <w:lang w:val="en-US"/>
        </w:rPr>
      </w:pPr>
      <w:r w:rsidRPr="00063101">
        <w:rPr>
          <w:lang w:val="en-US"/>
        </w:rPr>
        <w:t>Assistance in managing the Government’s legislative programme, including administrative support for the Legislation Standing Committee of Cabinet was provided.</w:t>
      </w:r>
    </w:p>
    <w:p w:rsidR="00063101" w:rsidRPr="00063101" w:rsidRDefault="00063101" w:rsidP="005514CE">
      <w:pPr>
        <w:rPr>
          <w:lang w:val="en-US"/>
        </w:rPr>
      </w:pPr>
      <w:r w:rsidRPr="00063101">
        <w:rPr>
          <w:lang w:val="en-US"/>
        </w:rPr>
        <w:t xml:space="preserve">A total of 34 Bills were passed by the Western Australian Parliament in 2014–15. </w:t>
      </w:r>
    </w:p>
    <w:p w:rsidR="00063101" w:rsidRPr="00063101" w:rsidRDefault="00063101" w:rsidP="005514CE">
      <w:pPr>
        <w:rPr>
          <w:lang w:val="en-US"/>
        </w:rPr>
      </w:pPr>
      <w:r w:rsidRPr="00063101">
        <w:rPr>
          <w:lang w:val="en-US"/>
        </w:rPr>
        <w:t>The 2014 Spring Sittings commenced on 12 August 2014 and concluded on 3 December 2014.  Seventeen Government Bills were passed in this period.  The 2015 Autumn Sittings commenced on 17 February 2015.  Seventeen Government Bills were passed to</w:t>
      </w:r>
      <w:r w:rsidR="005514CE">
        <w:rPr>
          <w:lang w:val="en-US"/>
        </w:rPr>
        <w:t xml:space="preserve"> </w:t>
      </w:r>
      <w:r w:rsidRPr="00063101">
        <w:rPr>
          <w:lang w:val="en-US"/>
        </w:rPr>
        <w:t xml:space="preserve">30 June 2015. </w:t>
      </w:r>
    </w:p>
    <w:p w:rsidR="00063101" w:rsidRPr="00063101" w:rsidRDefault="00063101" w:rsidP="005514CE">
      <w:pPr>
        <w:rPr>
          <w:lang w:val="en-US"/>
        </w:rPr>
      </w:pPr>
      <w:r w:rsidRPr="00063101">
        <w:rPr>
          <w:lang w:val="en-US"/>
        </w:rPr>
        <w:t>Staff also managed the Parliamentary Questions database and coordinated the responses.</w:t>
      </w:r>
    </w:p>
    <w:p w:rsidR="0020375D" w:rsidRDefault="00063101" w:rsidP="00AE75A9">
      <w:pPr>
        <w:pStyle w:val="ListParagraph"/>
        <w:numPr>
          <w:ilvl w:val="0"/>
          <w:numId w:val="66"/>
        </w:numPr>
        <w:spacing w:after="0"/>
      </w:pPr>
      <w:r>
        <w:t>3,684 Parliamentary Questions on notice</w:t>
      </w:r>
    </w:p>
    <w:p w:rsidR="00063101" w:rsidRDefault="00063101" w:rsidP="00AE75A9">
      <w:pPr>
        <w:pStyle w:val="ListParagraph"/>
        <w:numPr>
          <w:ilvl w:val="0"/>
          <w:numId w:val="66"/>
        </w:numPr>
        <w:spacing w:after="0"/>
      </w:pPr>
      <w:r>
        <w:t>2,489 Parliamentary Questions without notice</w:t>
      </w:r>
    </w:p>
    <w:p w:rsidR="0020375D" w:rsidRDefault="0020375D" w:rsidP="00C63A96">
      <w:pPr>
        <w:pStyle w:val="Heading5"/>
      </w:pPr>
      <w:bookmarkStart w:id="380" w:name="_Toc425370375"/>
      <w:bookmarkStart w:id="381" w:name="_Toc426104602"/>
      <w:r>
        <w:t>Executive Council</w:t>
      </w:r>
      <w:bookmarkEnd w:id="380"/>
      <w:bookmarkEnd w:id="381"/>
    </w:p>
    <w:p w:rsidR="00063101" w:rsidRPr="00063101" w:rsidRDefault="00063101" w:rsidP="00063101">
      <w:pPr>
        <w:rPr>
          <w:lang w:val="en-US"/>
        </w:rPr>
      </w:pPr>
      <w:r w:rsidRPr="00063101">
        <w:rPr>
          <w:lang w:val="en-US"/>
        </w:rPr>
        <w:t>26 regular Executive Council meetings and 13 extraordinary meetings were held, with 794 submissions approved.  Staff assisted in formalities for the appointment in September 2014, of Her Excellency the Honourable Kerry Sanderson AO, Governor of Western Australia.  Assistance was also provided for one reconstitution of the Ministry on 8 December 2014.</w:t>
      </w:r>
    </w:p>
    <w:p w:rsidR="00A85089" w:rsidRDefault="00A85089" w:rsidP="00A85089">
      <w:pPr>
        <w:spacing w:after="0"/>
      </w:pPr>
    </w:p>
    <w:tbl>
      <w:tblPr>
        <w:tblW w:w="9654" w:type="dxa"/>
        <w:tblInd w:w="93" w:type="dxa"/>
        <w:tblLook w:val="04A0" w:firstRow="1" w:lastRow="0" w:firstColumn="1" w:lastColumn="0" w:noHBand="0" w:noVBand="1"/>
      </w:tblPr>
      <w:tblGrid>
        <w:gridCol w:w="6536"/>
        <w:gridCol w:w="1417"/>
        <w:gridCol w:w="1701"/>
      </w:tblGrid>
      <w:tr w:rsidR="004404AD" w:rsidRPr="004404AD" w:rsidTr="005514CE">
        <w:trPr>
          <w:trHeight w:val="285"/>
        </w:trPr>
        <w:tc>
          <w:tcPr>
            <w:tcW w:w="6536" w:type="dxa"/>
            <w:tcBorders>
              <w:top w:val="nil"/>
              <w:left w:val="nil"/>
              <w:bottom w:val="single" w:sz="4" w:space="0" w:color="808080" w:themeColor="background1" w:themeShade="80"/>
              <w:right w:val="nil"/>
            </w:tcBorders>
            <w:shd w:val="clear" w:color="auto" w:fill="auto"/>
            <w:noWrap/>
            <w:vAlign w:val="bottom"/>
            <w:hideMark/>
          </w:tcPr>
          <w:p w:rsidR="004404AD" w:rsidRPr="004404AD" w:rsidRDefault="004404AD" w:rsidP="00063101">
            <w:pPr>
              <w:spacing w:after="0"/>
              <w:jc w:val="center"/>
              <w:rPr>
                <w:b/>
                <w:lang w:eastAsia="en-AU"/>
              </w:rPr>
            </w:pPr>
            <w:r w:rsidRPr="004404AD">
              <w:rPr>
                <w:b/>
                <w:lang w:eastAsia="en-AU"/>
              </w:rPr>
              <w:t>Committee</w:t>
            </w:r>
          </w:p>
        </w:tc>
        <w:tc>
          <w:tcPr>
            <w:tcW w:w="1417" w:type="dxa"/>
            <w:tcBorders>
              <w:top w:val="nil"/>
              <w:left w:val="nil"/>
              <w:bottom w:val="single" w:sz="4" w:space="0" w:color="808080" w:themeColor="background1" w:themeShade="80"/>
              <w:right w:val="nil"/>
            </w:tcBorders>
            <w:shd w:val="clear" w:color="auto" w:fill="auto"/>
            <w:noWrap/>
            <w:vAlign w:val="bottom"/>
            <w:hideMark/>
          </w:tcPr>
          <w:p w:rsidR="004404AD" w:rsidRPr="004404AD" w:rsidRDefault="004404AD" w:rsidP="00063101">
            <w:pPr>
              <w:spacing w:after="0"/>
              <w:jc w:val="center"/>
              <w:rPr>
                <w:b/>
                <w:lang w:eastAsia="en-AU"/>
              </w:rPr>
            </w:pPr>
            <w:r w:rsidRPr="004404AD">
              <w:rPr>
                <w:b/>
                <w:lang w:eastAsia="en-AU"/>
              </w:rPr>
              <w:t>Meetings</w:t>
            </w:r>
          </w:p>
        </w:tc>
        <w:tc>
          <w:tcPr>
            <w:tcW w:w="1701" w:type="dxa"/>
            <w:tcBorders>
              <w:top w:val="nil"/>
              <w:left w:val="nil"/>
              <w:bottom w:val="single" w:sz="4" w:space="0" w:color="808080" w:themeColor="background1" w:themeShade="80"/>
              <w:right w:val="nil"/>
            </w:tcBorders>
            <w:shd w:val="clear" w:color="auto" w:fill="auto"/>
            <w:noWrap/>
            <w:vAlign w:val="bottom"/>
            <w:hideMark/>
          </w:tcPr>
          <w:p w:rsidR="004404AD" w:rsidRPr="004404AD" w:rsidRDefault="004404AD" w:rsidP="00063101">
            <w:pPr>
              <w:spacing w:after="0"/>
              <w:jc w:val="center"/>
              <w:rPr>
                <w:b/>
                <w:lang w:eastAsia="en-AU"/>
              </w:rPr>
            </w:pPr>
            <w:r w:rsidRPr="004404AD">
              <w:rPr>
                <w:b/>
                <w:lang w:eastAsia="en-AU"/>
              </w:rPr>
              <w:t>Reports Considered</w:t>
            </w:r>
          </w:p>
        </w:tc>
      </w:tr>
      <w:tr w:rsidR="004404AD" w:rsidRPr="004404AD" w:rsidTr="005514CE">
        <w:trPr>
          <w:trHeight w:val="500"/>
        </w:trPr>
        <w:tc>
          <w:tcPr>
            <w:tcW w:w="6536"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rsidR="004404AD" w:rsidRPr="004404AD" w:rsidRDefault="004404AD" w:rsidP="004404AD">
            <w:pPr>
              <w:spacing w:after="0"/>
              <w:rPr>
                <w:lang w:eastAsia="en-AU"/>
              </w:rPr>
            </w:pPr>
            <w:r w:rsidRPr="004404AD">
              <w:rPr>
                <w:lang w:eastAsia="en-AU"/>
              </w:rPr>
              <w:t>Economic and Expenditure Reform Committee</w:t>
            </w:r>
          </w:p>
        </w:tc>
        <w:tc>
          <w:tcPr>
            <w:tcW w:w="1417"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23</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369</w:t>
            </w:r>
          </w:p>
        </w:tc>
      </w:tr>
      <w:tr w:rsidR="004404AD" w:rsidRPr="004404AD" w:rsidTr="005514CE">
        <w:trPr>
          <w:trHeight w:val="500"/>
        </w:trPr>
        <w:tc>
          <w:tcPr>
            <w:tcW w:w="6536"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rsidR="004404AD" w:rsidRPr="004404AD" w:rsidRDefault="004404AD" w:rsidP="004404AD">
            <w:pPr>
              <w:spacing w:after="0"/>
              <w:rPr>
                <w:lang w:eastAsia="en-AU"/>
              </w:rPr>
            </w:pPr>
            <w:r w:rsidRPr="004404AD">
              <w:rPr>
                <w:lang w:eastAsia="en-AU"/>
              </w:rPr>
              <w:t>Aboriginal Affairs Cabinet Subcommittee</w:t>
            </w:r>
          </w:p>
        </w:tc>
        <w:tc>
          <w:tcPr>
            <w:tcW w:w="1417"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9</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41</w:t>
            </w:r>
          </w:p>
        </w:tc>
      </w:tr>
      <w:tr w:rsidR="004404AD" w:rsidRPr="004404AD" w:rsidTr="005514CE">
        <w:trPr>
          <w:trHeight w:val="500"/>
        </w:trPr>
        <w:tc>
          <w:tcPr>
            <w:tcW w:w="6536"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rsidR="004404AD" w:rsidRPr="004404AD" w:rsidRDefault="004404AD" w:rsidP="004404AD">
            <w:pPr>
              <w:spacing w:after="0"/>
              <w:rPr>
                <w:lang w:eastAsia="en-AU"/>
              </w:rPr>
            </w:pPr>
            <w:r w:rsidRPr="004404AD">
              <w:rPr>
                <w:lang w:eastAsia="en-AU"/>
              </w:rPr>
              <w:t>Ministerial Committee on Approvals</w:t>
            </w:r>
          </w:p>
        </w:tc>
        <w:tc>
          <w:tcPr>
            <w:tcW w:w="1417"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1</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11</w:t>
            </w:r>
          </w:p>
        </w:tc>
      </w:tr>
      <w:tr w:rsidR="004404AD" w:rsidRPr="004404AD" w:rsidTr="005514CE">
        <w:trPr>
          <w:trHeight w:val="500"/>
        </w:trPr>
        <w:tc>
          <w:tcPr>
            <w:tcW w:w="6536"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rsidR="004404AD" w:rsidRPr="004404AD" w:rsidRDefault="004404AD" w:rsidP="004404AD">
            <w:pPr>
              <w:spacing w:after="0"/>
              <w:rPr>
                <w:lang w:eastAsia="en-AU"/>
              </w:rPr>
            </w:pPr>
            <w:r w:rsidRPr="004404AD">
              <w:rPr>
                <w:lang w:eastAsia="en-AU"/>
              </w:rPr>
              <w:t>Coastal Towns and Settlements Cabinet Subcommittee</w:t>
            </w:r>
          </w:p>
        </w:tc>
        <w:tc>
          <w:tcPr>
            <w:tcW w:w="1417"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8</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4404AD" w:rsidRPr="004404AD" w:rsidRDefault="004404AD" w:rsidP="004404AD">
            <w:pPr>
              <w:spacing w:after="0"/>
              <w:jc w:val="right"/>
              <w:rPr>
                <w:lang w:eastAsia="en-AU"/>
              </w:rPr>
            </w:pPr>
            <w:r w:rsidRPr="004404AD">
              <w:rPr>
                <w:lang w:eastAsia="en-AU"/>
              </w:rPr>
              <w:t>36</w:t>
            </w:r>
          </w:p>
        </w:tc>
      </w:tr>
    </w:tbl>
    <w:p w:rsidR="004404AD" w:rsidRDefault="004404AD" w:rsidP="0020375D"/>
    <w:p w:rsidR="0011613C" w:rsidRDefault="0011613C">
      <w:pPr>
        <w:spacing w:line="276" w:lineRule="auto"/>
        <w:rPr>
          <w:rFonts w:ascii="Arial" w:eastAsia="Segoe UI" w:hAnsi="Arial" w:cs="Arial"/>
          <w:noProof/>
          <w:color w:val="006699"/>
          <w:kern w:val="24"/>
          <w:sz w:val="36"/>
          <w:szCs w:val="36"/>
          <w:lang w:eastAsia="en-AU"/>
        </w:rPr>
      </w:pPr>
      <w:r>
        <w:br w:type="page"/>
      </w:r>
    </w:p>
    <w:p w:rsidR="002C287A" w:rsidRDefault="002C287A" w:rsidP="00C63A96">
      <w:pPr>
        <w:pStyle w:val="Heading3"/>
      </w:pPr>
      <w:r>
        <w:t>E</w:t>
      </w:r>
      <w:r w:rsidRPr="00FC1380">
        <w:t>me</w:t>
      </w:r>
      <w:r w:rsidR="00063101">
        <w:t>rgency management policy advice</w:t>
      </w:r>
    </w:p>
    <w:p w:rsidR="00063101" w:rsidRPr="00063101" w:rsidRDefault="00063101" w:rsidP="00063101">
      <w:pPr>
        <w:rPr>
          <w:lang w:val="en-US"/>
        </w:rPr>
      </w:pPr>
      <w:bookmarkStart w:id="382" w:name="_Toc425370362"/>
      <w:bookmarkStart w:id="383" w:name="_Toc426104589"/>
      <w:bookmarkEnd w:id="372"/>
      <w:bookmarkEnd w:id="373"/>
      <w:r w:rsidRPr="00063101">
        <w:rPr>
          <w:lang w:val="en-US"/>
        </w:rPr>
        <w:t>The Office of State Security and Emergency Coordination provides advice and support to the Premier on matters associated with security policy and planning and emergency management policy in Western Australia.</w:t>
      </w:r>
    </w:p>
    <w:p w:rsidR="0020375D" w:rsidRDefault="0020375D" w:rsidP="00C63A96">
      <w:pPr>
        <w:pStyle w:val="Heading4"/>
      </w:pPr>
      <w:r>
        <w:t>Management and Coordination of Security Incidents and Emergencies</w:t>
      </w:r>
      <w:bookmarkEnd w:id="382"/>
      <w:bookmarkEnd w:id="383"/>
    </w:p>
    <w:p w:rsidR="00063101" w:rsidRPr="00063101" w:rsidRDefault="00063101" w:rsidP="00063101">
      <w:pPr>
        <w:rPr>
          <w:lang w:val="en-US"/>
        </w:rPr>
      </w:pPr>
      <w:r w:rsidRPr="00063101">
        <w:rPr>
          <w:lang w:val="en-US"/>
        </w:rPr>
        <w:t>The Department works in partnership with Western Australia Police and other agencies to ensure that the State meets its obligations under national counter-terrorism arrangements.</w:t>
      </w:r>
    </w:p>
    <w:p w:rsidR="00063101" w:rsidRPr="00063101" w:rsidRDefault="00063101" w:rsidP="00063101">
      <w:pPr>
        <w:rPr>
          <w:lang w:val="en-US"/>
        </w:rPr>
      </w:pPr>
      <w:r w:rsidRPr="00063101">
        <w:rPr>
          <w:lang w:val="en-US"/>
        </w:rPr>
        <w:t>In addition, the Department provides representation on:</w:t>
      </w:r>
    </w:p>
    <w:p w:rsidR="00063101" w:rsidRPr="00063101" w:rsidRDefault="00063101" w:rsidP="00AE75A9">
      <w:pPr>
        <w:pStyle w:val="ListParagraph"/>
        <w:numPr>
          <w:ilvl w:val="0"/>
          <w:numId w:val="67"/>
        </w:numPr>
        <w:rPr>
          <w:lang w:val="en-US"/>
        </w:rPr>
      </w:pPr>
      <w:r w:rsidRPr="00063101">
        <w:rPr>
          <w:lang w:val="en-US"/>
        </w:rPr>
        <w:t>the Australia-New Zealand Counter-Terrorism Committee;</w:t>
      </w:r>
    </w:p>
    <w:p w:rsidR="00063101" w:rsidRPr="00063101" w:rsidRDefault="00063101" w:rsidP="00AE75A9">
      <w:pPr>
        <w:pStyle w:val="ListParagraph"/>
        <w:numPr>
          <w:ilvl w:val="0"/>
          <w:numId w:val="67"/>
        </w:numPr>
        <w:rPr>
          <w:lang w:val="en-US"/>
        </w:rPr>
      </w:pPr>
      <w:r w:rsidRPr="00063101">
        <w:rPr>
          <w:lang w:val="en-US"/>
        </w:rPr>
        <w:t>the Australia-New Zealand Emergency Management Committee (ANZEMC);</w:t>
      </w:r>
    </w:p>
    <w:p w:rsidR="00063101" w:rsidRPr="00063101" w:rsidRDefault="00063101" w:rsidP="00AE75A9">
      <w:pPr>
        <w:pStyle w:val="ListParagraph"/>
        <w:numPr>
          <w:ilvl w:val="0"/>
          <w:numId w:val="67"/>
        </w:numPr>
        <w:rPr>
          <w:lang w:val="en-US"/>
        </w:rPr>
      </w:pPr>
      <w:r w:rsidRPr="00063101">
        <w:rPr>
          <w:lang w:val="en-US"/>
        </w:rPr>
        <w:t>the State Emergency Management Committee (SEMC); and</w:t>
      </w:r>
    </w:p>
    <w:p w:rsidR="0020375D" w:rsidRDefault="00063101" w:rsidP="00AE75A9">
      <w:pPr>
        <w:pStyle w:val="ListParagraph"/>
        <w:numPr>
          <w:ilvl w:val="0"/>
          <w:numId w:val="67"/>
        </w:numPr>
      </w:pPr>
      <w:r w:rsidRPr="00063101">
        <w:rPr>
          <w:lang w:val="en-US"/>
        </w:rPr>
        <w:t>a number of related working groups.</w:t>
      </w:r>
    </w:p>
    <w:p w:rsidR="0020375D" w:rsidRPr="00063101" w:rsidRDefault="0020375D" w:rsidP="00063101">
      <w:pPr>
        <w:pStyle w:val="Heading5"/>
      </w:pPr>
      <w:bookmarkStart w:id="384" w:name="_Toc425370364"/>
      <w:bookmarkStart w:id="385" w:name="_Toc426104591"/>
      <w:r w:rsidRPr="00063101">
        <w:t>Counter-Terrorism Arrangements</w:t>
      </w:r>
      <w:bookmarkEnd w:id="384"/>
      <w:bookmarkEnd w:id="385"/>
    </w:p>
    <w:p w:rsidR="00063101" w:rsidRPr="00063101" w:rsidRDefault="00063101" w:rsidP="00063101">
      <w:pPr>
        <w:rPr>
          <w:lang w:val="en-US"/>
        </w:rPr>
      </w:pPr>
      <w:bookmarkStart w:id="386" w:name="_Toc425370365"/>
      <w:bookmarkStart w:id="387" w:name="_Toc426104592"/>
      <w:r w:rsidRPr="00063101">
        <w:rPr>
          <w:lang w:val="en-US"/>
        </w:rPr>
        <w:t>Through the Australia New Zealand Counter-Terrorism Committee the Department has participated in the development of a National Counter-Terrorism Strategy.  It has also facilitated policy work associated with approaches to countering violent extremism in Western Australia.</w:t>
      </w:r>
    </w:p>
    <w:p w:rsidR="00063101" w:rsidRPr="00063101" w:rsidRDefault="00063101" w:rsidP="00063101">
      <w:pPr>
        <w:rPr>
          <w:lang w:val="en-US"/>
        </w:rPr>
      </w:pPr>
      <w:r w:rsidRPr="00063101">
        <w:rPr>
          <w:lang w:val="en-US"/>
        </w:rPr>
        <w:t>The Department has also provided the Premier with advice in relation to Commonwealth Government consultations on amendments to the Criminal Code as part of packages of national security legislation.  In this context the Department has chaired the Australia New Zealand Counter-Terrorism Committee’s Legal Issues Working Group which was tasked with developing a draft response to the COAG Review of Counter-Terrorism Laws and reviewing the operation of preventative detention orders and control orders.</w:t>
      </w:r>
    </w:p>
    <w:p w:rsidR="00063101" w:rsidRPr="00063101" w:rsidRDefault="00063101" w:rsidP="00063101">
      <w:pPr>
        <w:rPr>
          <w:lang w:val="en-US"/>
        </w:rPr>
      </w:pPr>
      <w:r w:rsidRPr="00063101">
        <w:rPr>
          <w:lang w:val="en-US"/>
        </w:rPr>
        <w:t>The Department also facilitated counter-terrorism discussion exercises involving senior Government officials and the owners and operators of critical infrastructure.</w:t>
      </w:r>
    </w:p>
    <w:p w:rsidR="0020375D" w:rsidRDefault="0020375D" w:rsidP="00C63A96">
      <w:pPr>
        <w:pStyle w:val="Heading5"/>
      </w:pPr>
      <w:r>
        <w:t>Emergency Management Arrangements</w:t>
      </w:r>
      <w:bookmarkEnd w:id="386"/>
      <w:bookmarkEnd w:id="387"/>
    </w:p>
    <w:p w:rsidR="00063101" w:rsidRDefault="00063101" w:rsidP="00063101">
      <w:pPr>
        <w:pStyle w:val="BasicParagraph"/>
        <w:rPr>
          <w:rStyle w:val="NormalText"/>
        </w:rPr>
      </w:pPr>
      <w:bookmarkStart w:id="388" w:name="_Toc425370366"/>
      <w:bookmarkStart w:id="389" w:name="_Toc426104593"/>
      <w:r>
        <w:rPr>
          <w:rStyle w:val="NormalText"/>
        </w:rPr>
        <w:t>The Department represented Western Australia on the ANZEMC, together with a representative of the SEMC.</w:t>
      </w:r>
    </w:p>
    <w:p w:rsidR="00063101" w:rsidRDefault="00063101" w:rsidP="00063101">
      <w:pPr>
        <w:pStyle w:val="BasicParagraph"/>
        <w:rPr>
          <w:rStyle w:val="NormalText"/>
        </w:rPr>
      </w:pPr>
      <w:r>
        <w:rPr>
          <w:rStyle w:val="NormalText"/>
        </w:rPr>
        <w:t>It also contributed to the annual preparedness report produced by the SEMC.</w:t>
      </w:r>
    </w:p>
    <w:p w:rsidR="00063101" w:rsidRDefault="00063101" w:rsidP="00063101">
      <w:pPr>
        <w:pStyle w:val="Heading5"/>
        <w:rPr>
          <w:rStyle w:val="NormalText"/>
        </w:rPr>
      </w:pPr>
      <w:r>
        <w:rPr>
          <w:rStyle w:val="NormalText"/>
        </w:rPr>
        <w:t>Support was provided to the Director General in his role as the Department’s representative on the SEMC and the Department also participated in SEMC’s Risk Sub-Committee, policy review groups and workshops as required.</w:t>
      </w:r>
    </w:p>
    <w:p w:rsidR="0011613C" w:rsidRDefault="0011613C">
      <w:pPr>
        <w:spacing w:line="276" w:lineRule="auto"/>
        <w:rPr>
          <w:rFonts w:ascii="Arial" w:eastAsia="Segoe UI" w:hAnsi="Arial" w:cs="Arial"/>
          <w:noProof/>
          <w:color w:val="003366"/>
          <w:kern w:val="24"/>
          <w:sz w:val="36"/>
          <w:szCs w:val="36"/>
          <w:lang w:eastAsia="en-AU"/>
        </w:rPr>
      </w:pPr>
      <w:bookmarkStart w:id="390" w:name="_Toc425370367"/>
      <w:bookmarkStart w:id="391" w:name="_Toc426104594"/>
      <w:bookmarkEnd w:id="388"/>
      <w:bookmarkEnd w:id="389"/>
      <w:r>
        <w:br w:type="page"/>
      </w:r>
    </w:p>
    <w:p w:rsidR="0020375D" w:rsidRDefault="0020375D" w:rsidP="00C63A96">
      <w:pPr>
        <w:pStyle w:val="Heading4"/>
      </w:pPr>
      <w:r>
        <w:t xml:space="preserve">State Recovery </w:t>
      </w:r>
      <w:bookmarkEnd w:id="390"/>
      <w:bookmarkEnd w:id="391"/>
      <w:r>
        <w:t>Coordinator</w:t>
      </w:r>
    </w:p>
    <w:p w:rsidR="00063101" w:rsidRPr="00063101" w:rsidRDefault="00063101" w:rsidP="00063101">
      <w:pPr>
        <w:rPr>
          <w:lang w:val="en-US"/>
        </w:rPr>
      </w:pPr>
      <w:bookmarkStart w:id="392" w:name="_Toc425370371"/>
      <w:r w:rsidRPr="00063101">
        <w:rPr>
          <w:lang w:val="en-US"/>
        </w:rPr>
        <w:t>The State Recovery Coordinator (SRC) supports a whole-of-government approach to recovery coordination.  Since establishing the position within the Department, the SRC has been involved in the commencement of recovery activities following several emergencies.  The main functions include:</w:t>
      </w:r>
    </w:p>
    <w:p w:rsidR="00063101" w:rsidRPr="00063101" w:rsidRDefault="00063101" w:rsidP="00063101">
      <w:pPr>
        <w:rPr>
          <w:lang w:val="en-US"/>
        </w:rPr>
      </w:pPr>
      <w:r w:rsidRPr="00063101">
        <w:rPr>
          <w:b/>
          <w:bCs/>
          <w:lang w:val="en-US"/>
        </w:rPr>
        <w:t>Preparedness</w:t>
      </w:r>
    </w:p>
    <w:p w:rsidR="00063101" w:rsidRPr="00063101" w:rsidRDefault="00063101" w:rsidP="00063101">
      <w:pPr>
        <w:rPr>
          <w:lang w:val="en-US"/>
        </w:rPr>
      </w:pPr>
      <w:r w:rsidRPr="00063101">
        <w:rPr>
          <w:lang w:val="en-US"/>
        </w:rPr>
        <w:t>Coordinating the maintenance of State recovery plans, reviewing local government arrangements, maintaining the contact details of local government recovery coordinators and representing the State on national and other recovery committees.</w:t>
      </w:r>
    </w:p>
    <w:p w:rsidR="00063101" w:rsidRPr="00063101" w:rsidRDefault="00063101" w:rsidP="00063101">
      <w:pPr>
        <w:rPr>
          <w:lang w:val="en-US"/>
        </w:rPr>
      </w:pPr>
      <w:r w:rsidRPr="00063101">
        <w:rPr>
          <w:b/>
          <w:bCs/>
          <w:lang w:val="en-US"/>
        </w:rPr>
        <w:t>Response/Recovery Transition</w:t>
      </w:r>
    </w:p>
    <w:p w:rsidR="00063101" w:rsidRPr="00063101" w:rsidRDefault="00063101" w:rsidP="00063101">
      <w:pPr>
        <w:rPr>
          <w:lang w:val="en-US"/>
        </w:rPr>
      </w:pPr>
      <w:r w:rsidRPr="00063101">
        <w:rPr>
          <w:lang w:val="en-US"/>
        </w:rPr>
        <w:t>Participating in the State Emergency Coordination Group, and ensuring that local recovery arrangements were established.</w:t>
      </w:r>
    </w:p>
    <w:p w:rsidR="00063101" w:rsidRPr="00063101" w:rsidRDefault="00063101" w:rsidP="00063101">
      <w:pPr>
        <w:rPr>
          <w:color w:val="000000"/>
          <w:lang w:val="en-US"/>
        </w:rPr>
      </w:pPr>
      <w:bookmarkStart w:id="393" w:name="_Toc426104598"/>
      <w:r w:rsidRPr="00063101">
        <w:rPr>
          <w:color w:val="000000"/>
          <w:lang w:val="en-US"/>
        </w:rPr>
        <w:t>Overseeing the collection, collation and distribution of impact/damage assessments for recovery purposes, reporting to the Minister for Emergency Services, and supervising the handover of recovery from controlling agencies to the relevant local governments.</w:t>
      </w:r>
    </w:p>
    <w:p w:rsidR="00063101" w:rsidRPr="00063101" w:rsidRDefault="00063101" w:rsidP="00063101">
      <w:pPr>
        <w:rPr>
          <w:color w:val="000000"/>
          <w:lang w:val="en-US"/>
        </w:rPr>
      </w:pPr>
      <w:r w:rsidRPr="00063101">
        <w:rPr>
          <w:color w:val="000000"/>
          <w:lang w:val="en-US"/>
        </w:rPr>
        <w:t>Liaising with controlling agencies during the response phase of emergencies, and considering the requirement for the establishment of a State Recovery Coordination Group.</w:t>
      </w:r>
    </w:p>
    <w:p w:rsidR="00063101" w:rsidRPr="00063101" w:rsidRDefault="00063101" w:rsidP="00063101">
      <w:pPr>
        <w:rPr>
          <w:color w:val="000000"/>
          <w:lang w:val="en-US"/>
        </w:rPr>
      </w:pPr>
      <w:r w:rsidRPr="00063101">
        <w:rPr>
          <w:b/>
          <w:bCs/>
          <w:color w:val="000000"/>
          <w:lang w:val="en-US"/>
        </w:rPr>
        <w:t>Recovery</w:t>
      </w:r>
    </w:p>
    <w:p w:rsidR="00063101" w:rsidRPr="00063101" w:rsidRDefault="00063101" w:rsidP="00063101">
      <w:pPr>
        <w:rPr>
          <w:color w:val="000000"/>
          <w:lang w:val="en-US"/>
        </w:rPr>
      </w:pPr>
      <w:r w:rsidRPr="00063101">
        <w:rPr>
          <w:color w:val="000000"/>
          <w:lang w:val="en-US"/>
        </w:rPr>
        <w:t>Supporting the local recovery coordinators, and providing reports and advice on the recovery process.</w:t>
      </w:r>
    </w:p>
    <w:p w:rsidR="00063101" w:rsidRPr="00063101" w:rsidRDefault="00063101" w:rsidP="00063101">
      <w:pPr>
        <w:rPr>
          <w:color w:val="000000"/>
          <w:lang w:val="en-US"/>
        </w:rPr>
      </w:pPr>
      <w:r w:rsidRPr="00063101">
        <w:rPr>
          <w:color w:val="000000"/>
          <w:lang w:val="en-US"/>
        </w:rPr>
        <w:t>Contributing to controlling agencies’ post operational reports for consideration by the SEMC.  Monitoring and reporting on recovery activities including preparedness.</w:t>
      </w:r>
    </w:p>
    <w:p w:rsidR="00063101" w:rsidRPr="00063101" w:rsidRDefault="00063101" w:rsidP="00063101">
      <w:pPr>
        <w:rPr>
          <w:color w:val="000000"/>
          <w:lang w:val="en-US"/>
        </w:rPr>
      </w:pPr>
      <w:r w:rsidRPr="00063101">
        <w:rPr>
          <w:color w:val="000000"/>
          <w:lang w:val="en-US"/>
        </w:rPr>
        <w:t>Events requiring the attention of the SRC included:</w:t>
      </w:r>
    </w:p>
    <w:p w:rsidR="00063101" w:rsidRPr="00063101" w:rsidRDefault="00063101" w:rsidP="00AE75A9">
      <w:pPr>
        <w:pStyle w:val="ListParagraph"/>
        <w:numPr>
          <w:ilvl w:val="0"/>
          <w:numId w:val="68"/>
        </w:numPr>
        <w:rPr>
          <w:color w:val="000000"/>
          <w:lang w:val="en-US"/>
        </w:rPr>
      </w:pPr>
      <w:r w:rsidRPr="00063101">
        <w:rPr>
          <w:color w:val="000000"/>
          <w:lang w:val="en-US"/>
        </w:rPr>
        <w:t>Bushfires in the Shires of Manjimup and Boddington – 30 January 2015</w:t>
      </w:r>
    </w:p>
    <w:p w:rsidR="00063101" w:rsidRPr="00063101" w:rsidRDefault="00063101" w:rsidP="00AE75A9">
      <w:pPr>
        <w:pStyle w:val="ListParagraph"/>
        <w:numPr>
          <w:ilvl w:val="0"/>
          <w:numId w:val="68"/>
        </w:numPr>
        <w:rPr>
          <w:color w:val="000000"/>
          <w:lang w:val="en-US"/>
        </w:rPr>
      </w:pPr>
      <w:r w:rsidRPr="00063101">
        <w:rPr>
          <w:color w:val="000000"/>
          <w:lang w:val="en-US"/>
        </w:rPr>
        <w:t xml:space="preserve">Trough and flooding in the north and central parts of the State – 28 February to </w:t>
      </w:r>
      <w:r w:rsidRPr="00063101">
        <w:rPr>
          <w:color w:val="000000"/>
          <w:lang w:val="en-US"/>
        </w:rPr>
        <w:br/>
        <w:t>8 March 2015</w:t>
      </w:r>
    </w:p>
    <w:p w:rsidR="00A85089" w:rsidRPr="00063101" w:rsidRDefault="00063101" w:rsidP="00AE75A9">
      <w:pPr>
        <w:pStyle w:val="ListParagraph"/>
        <w:numPr>
          <w:ilvl w:val="0"/>
          <w:numId w:val="68"/>
        </w:numPr>
        <w:rPr>
          <w:rFonts w:ascii="Arial" w:eastAsia="Segoe UI" w:hAnsi="Arial" w:cs="Arial"/>
          <w:color w:val="003366"/>
          <w:kern w:val="24"/>
          <w:sz w:val="36"/>
          <w:szCs w:val="36"/>
          <w:lang w:eastAsia="en-AU"/>
        </w:rPr>
      </w:pPr>
      <w:r w:rsidRPr="00063101">
        <w:rPr>
          <w:color w:val="000000"/>
          <w:lang w:val="en-US"/>
        </w:rPr>
        <w:t>Tropical Cyclone Olwyn and associated flooding – 12 March 2015</w:t>
      </w:r>
    </w:p>
    <w:p w:rsidR="00063101" w:rsidRPr="00063101" w:rsidRDefault="00063101" w:rsidP="00063101">
      <w:pPr>
        <w:rPr>
          <w:lang w:eastAsia="en-AU"/>
        </w:rPr>
      </w:pPr>
    </w:p>
    <w:p w:rsidR="0011613C" w:rsidRDefault="0011613C">
      <w:pPr>
        <w:spacing w:line="276" w:lineRule="auto"/>
        <w:rPr>
          <w:rFonts w:ascii="Arial" w:eastAsia="Segoe UI" w:hAnsi="Arial" w:cs="Arial"/>
          <w:noProof/>
          <w:color w:val="003366"/>
          <w:kern w:val="24"/>
          <w:sz w:val="36"/>
          <w:szCs w:val="36"/>
          <w:lang w:eastAsia="en-AU"/>
        </w:rPr>
      </w:pPr>
      <w:r>
        <w:br w:type="page"/>
      </w:r>
    </w:p>
    <w:p w:rsidR="0020375D" w:rsidRDefault="0020375D" w:rsidP="00C63A96">
      <w:pPr>
        <w:pStyle w:val="Heading4"/>
      </w:pPr>
      <w:r>
        <w:t>Western Australia Natural Disaster Relief and Recovery Arrangements</w:t>
      </w:r>
      <w:bookmarkEnd w:id="392"/>
      <w:bookmarkEnd w:id="393"/>
    </w:p>
    <w:p w:rsidR="00063101" w:rsidRPr="00063101" w:rsidRDefault="00063101" w:rsidP="00063101">
      <w:pPr>
        <w:rPr>
          <w:lang w:val="en-US"/>
        </w:rPr>
      </w:pPr>
      <w:bookmarkStart w:id="394" w:name="_Toc425370336"/>
      <w:bookmarkStart w:id="395" w:name="_Toc426104561"/>
      <w:bookmarkStart w:id="396" w:name="_Toc426104613"/>
      <w:r w:rsidRPr="00063101">
        <w:rPr>
          <w:lang w:val="en-US"/>
        </w:rPr>
        <w:t xml:space="preserve">Western Australia Natural Disaster Relief and Recovery Arrangements (WANDRRA) are the State’s measures to assist communities to recover from the effects of a natural disaster.  The measures mirror the national arrangements and ensure the maximum possible contribution by the Commonwealth Government. </w:t>
      </w:r>
    </w:p>
    <w:p w:rsidR="00063101" w:rsidRPr="00063101" w:rsidRDefault="00063101" w:rsidP="00063101">
      <w:pPr>
        <w:rPr>
          <w:lang w:val="en-US"/>
        </w:rPr>
      </w:pPr>
      <w:r w:rsidRPr="00063101">
        <w:rPr>
          <w:lang w:val="en-US"/>
        </w:rPr>
        <w:t>The measures are designed to address the following community impacts:  individuals, families, small businesses, primary producers, local government and State infrastructure.</w:t>
      </w:r>
    </w:p>
    <w:p w:rsidR="00063101" w:rsidRPr="00063101" w:rsidRDefault="00063101" w:rsidP="00063101">
      <w:pPr>
        <w:rPr>
          <w:lang w:val="en-US"/>
        </w:rPr>
      </w:pPr>
      <w:r w:rsidRPr="00063101">
        <w:rPr>
          <w:lang w:val="en-US"/>
        </w:rPr>
        <w:t>The Department’s role is to assess whether these measures should be activated in line with agreed criteria and then to provide the eligible assistance through its stakeholder bodies.</w:t>
      </w:r>
    </w:p>
    <w:p w:rsidR="00063101" w:rsidRPr="00063101" w:rsidRDefault="00063101" w:rsidP="00063101">
      <w:pPr>
        <w:rPr>
          <w:lang w:val="en-US"/>
        </w:rPr>
      </w:pPr>
      <w:r w:rsidRPr="00063101">
        <w:rPr>
          <w:lang w:val="en-US"/>
        </w:rPr>
        <w:t>Stakeholder bodies include:</w:t>
      </w:r>
    </w:p>
    <w:p w:rsidR="00063101" w:rsidRPr="00063101" w:rsidRDefault="00063101" w:rsidP="00AE75A9">
      <w:pPr>
        <w:pStyle w:val="ListParagraph"/>
        <w:numPr>
          <w:ilvl w:val="0"/>
          <w:numId w:val="70"/>
        </w:numPr>
        <w:rPr>
          <w:lang w:val="en-US"/>
        </w:rPr>
      </w:pPr>
      <w:r w:rsidRPr="00063101">
        <w:rPr>
          <w:lang w:val="en-US"/>
        </w:rPr>
        <w:t>Main Roads WA</w:t>
      </w:r>
    </w:p>
    <w:p w:rsidR="00063101" w:rsidRPr="00063101" w:rsidRDefault="00063101" w:rsidP="00AE75A9">
      <w:pPr>
        <w:pStyle w:val="ListParagraph"/>
        <w:numPr>
          <w:ilvl w:val="0"/>
          <w:numId w:val="70"/>
        </w:numPr>
        <w:rPr>
          <w:lang w:val="en-US"/>
        </w:rPr>
      </w:pPr>
      <w:r w:rsidRPr="00063101">
        <w:rPr>
          <w:lang w:val="en-US"/>
        </w:rPr>
        <w:t>Department for Child Protection and Family Support</w:t>
      </w:r>
    </w:p>
    <w:p w:rsidR="00063101" w:rsidRPr="00063101" w:rsidRDefault="00063101" w:rsidP="00AE75A9">
      <w:pPr>
        <w:pStyle w:val="ListParagraph"/>
        <w:numPr>
          <w:ilvl w:val="0"/>
          <w:numId w:val="70"/>
        </w:numPr>
        <w:rPr>
          <w:lang w:val="en-US"/>
        </w:rPr>
      </w:pPr>
      <w:r w:rsidRPr="00063101">
        <w:rPr>
          <w:lang w:val="en-US"/>
        </w:rPr>
        <w:t>Department of Agriculture and Food</w:t>
      </w:r>
    </w:p>
    <w:p w:rsidR="00063101" w:rsidRPr="00063101" w:rsidRDefault="00063101" w:rsidP="00063101">
      <w:pPr>
        <w:rPr>
          <w:lang w:val="en-US"/>
        </w:rPr>
      </w:pPr>
      <w:r w:rsidRPr="00063101">
        <w:rPr>
          <w:lang w:val="en-US"/>
        </w:rPr>
        <w:t>Eligible costs must exceed $240,000 and eligible events include bushfire, earthquake, flood, storm, cyclone, tornado, storm surge, landslide, tsunami and meteor strike.</w:t>
      </w:r>
    </w:p>
    <w:p w:rsidR="00063101" w:rsidRPr="00063101" w:rsidRDefault="00063101" w:rsidP="00063101">
      <w:pPr>
        <w:rPr>
          <w:lang w:val="en-US"/>
        </w:rPr>
      </w:pPr>
      <w:r w:rsidRPr="00063101">
        <w:rPr>
          <w:lang w:val="en-US"/>
        </w:rPr>
        <w:t>In this financial year, the measures available under WANDRRA have been activated for the following six events:</w:t>
      </w:r>
    </w:p>
    <w:p w:rsidR="00063101" w:rsidRPr="00063101" w:rsidRDefault="00063101" w:rsidP="00AE75A9">
      <w:pPr>
        <w:pStyle w:val="ListParagraph"/>
        <w:numPr>
          <w:ilvl w:val="0"/>
          <w:numId w:val="69"/>
        </w:numPr>
        <w:rPr>
          <w:lang w:val="en-US"/>
        </w:rPr>
      </w:pPr>
      <w:r w:rsidRPr="00063101">
        <w:rPr>
          <w:lang w:val="en-US"/>
        </w:rPr>
        <w:t>Bushfires — Shires of Manjimup and Boddington (30 January 2015)</w:t>
      </w:r>
    </w:p>
    <w:p w:rsidR="00063101" w:rsidRPr="00063101" w:rsidRDefault="00063101" w:rsidP="00AE75A9">
      <w:pPr>
        <w:pStyle w:val="ListParagraph"/>
        <w:numPr>
          <w:ilvl w:val="0"/>
          <w:numId w:val="69"/>
        </w:numPr>
        <w:rPr>
          <w:lang w:val="en-US"/>
        </w:rPr>
      </w:pPr>
      <w:r w:rsidRPr="00063101">
        <w:rPr>
          <w:lang w:val="en-US"/>
        </w:rPr>
        <w:t>Tropical Low and Associated Flooding (2–10 January 2015)</w:t>
      </w:r>
    </w:p>
    <w:p w:rsidR="00063101" w:rsidRPr="00063101" w:rsidRDefault="00063101" w:rsidP="00AE75A9">
      <w:pPr>
        <w:pStyle w:val="ListParagraph"/>
        <w:numPr>
          <w:ilvl w:val="0"/>
          <w:numId w:val="69"/>
        </w:numPr>
        <w:rPr>
          <w:lang w:val="en-US"/>
        </w:rPr>
      </w:pPr>
      <w:r w:rsidRPr="00063101">
        <w:rPr>
          <w:lang w:val="en-US"/>
        </w:rPr>
        <w:t>Thunderstorms and Associated Flooding — Shires of Gnowangerup and Kent (27 November 2014)</w:t>
      </w:r>
    </w:p>
    <w:p w:rsidR="00063101" w:rsidRPr="00063101" w:rsidRDefault="00063101" w:rsidP="00AE75A9">
      <w:pPr>
        <w:pStyle w:val="ListParagraph"/>
        <w:numPr>
          <w:ilvl w:val="0"/>
          <w:numId w:val="69"/>
        </w:numPr>
        <w:rPr>
          <w:lang w:val="en-US"/>
        </w:rPr>
      </w:pPr>
      <w:r w:rsidRPr="00063101">
        <w:rPr>
          <w:lang w:val="en-US"/>
        </w:rPr>
        <w:t>Surface Trough and Associated Flooding (28 February–8 March 2015)</w:t>
      </w:r>
    </w:p>
    <w:p w:rsidR="00063101" w:rsidRPr="00063101" w:rsidRDefault="00063101" w:rsidP="00AE75A9">
      <w:pPr>
        <w:pStyle w:val="ListParagraph"/>
        <w:numPr>
          <w:ilvl w:val="0"/>
          <w:numId w:val="69"/>
        </w:numPr>
        <w:rPr>
          <w:lang w:val="en-US"/>
        </w:rPr>
      </w:pPr>
      <w:r w:rsidRPr="00063101">
        <w:rPr>
          <w:lang w:val="en-US"/>
        </w:rPr>
        <w:t>Severe Tropical Cyclone Olwyn and Associated Flooding (12 March 2015)</w:t>
      </w:r>
    </w:p>
    <w:p w:rsidR="00063101" w:rsidRPr="00063101" w:rsidRDefault="00063101" w:rsidP="00AE75A9">
      <w:pPr>
        <w:pStyle w:val="ListParagraph"/>
        <w:numPr>
          <w:ilvl w:val="0"/>
          <w:numId w:val="69"/>
        </w:numPr>
        <w:rPr>
          <w:lang w:val="en-US"/>
        </w:rPr>
      </w:pPr>
      <w:r w:rsidRPr="00063101">
        <w:rPr>
          <w:lang w:val="en-US"/>
        </w:rPr>
        <w:t>Surface Trough and Associated Flooding (1–3 February 2015)</w:t>
      </w:r>
    </w:p>
    <w:p w:rsidR="00063101" w:rsidRPr="00063101" w:rsidRDefault="00063101" w:rsidP="00063101">
      <w:pPr>
        <w:rPr>
          <w:lang w:val="en-US"/>
        </w:rPr>
      </w:pPr>
      <w:r w:rsidRPr="00063101">
        <w:rPr>
          <w:lang w:val="en-US"/>
        </w:rPr>
        <w:t>A total of 27 local government authorities have been affected by the above events and the expenditure for this year is $64,192,800.</w:t>
      </w:r>
    </w:p>
    <w:bookmarkEnd w:id="394"/>
    <w:bookmarkEnd w:id="395"/>
    <w:p w:rsidR="00A12A74" w:rsidRDefault="00A12A74" w:rsidP="00063101">
      <w:pPr>
        <w:rPr>
          <w:noProof/>
          <w:lang w:eastAsia="en-AU"/>
        </w:rPr>
      </w:pPr>
    </w:p>
    <w:p w:rsidR="00FA2954" w:rsidRDefault="00FA2954">
      <w:pPr>
        <w:spacing w:line="276" w:lineRule="auto"/>
        <w:rPr>
          <w:rFonts w:ascii="Arial" w:eastAsia="Segoe UI" w:hAnsi="Arial" w:cs="Arial"/>
          <w:noProof/>
          <w:color w:val="365F91" w:themeColor="accent1" w:themeShade="BF"/>
          <w:kern w:val="24"/>
          <w:sz w:val="44"/>
          <w:szCs w:val="44"/>
          <w:lang w:eastAsia="en-AU"/>
        </w:rPr>
      </w:pPr>
      <w:bookmarkStart w:id="397" w:name="_Toc430547900"/>
      <w:r>
        <w:br w:type="page"/>
      </w:r>
    </w:p>
    <w:p w:rsidR="007A052B" w:rsidRDefault="007A052B" w:rsidP="005D57E0">
      <w:pPr>
        <w:pStyle w:val="Heading2"/>
      </w:pPr>
      <w:r>
        <w:t xml:space="preserve">Actual </w:t>
      </w:r>
      <w:r w:rsidR="00063101">
        <w:t>r</w:t>
      </w:r>
      <w:r>
        <w:t xml:space="preserve">esults versus </w:t>
      </w:r>
      <w:r w:rsidR="00063101">
        <w:t>b</w:t>
      </w:r>
      <w:r>
        <w:t xml:space="preserve">udget </w:t>
      </w:r>
      <w:r w:rsidR="00063101">
        <w:t>t</w:t>
      </w:r>
      <w:r>
        <w:t>argets</w:t>
      </w:r>
      <w:bookmarkEnd w:id="396"/>
      <w:bookmarkEnd w:id="397"/>
      <w:r>
        <w:t xml:space="preserve"> </w:t>
      </w:r>
    </w:p>
    <w:tbl>
      <w:tblPr>
        <w:tblW w:w="0" w:type="auto"/>
        <w:tblInd w:w="8" w:type="dxa"/>
        <w:tblLayout w:type="fixed"/>
        <w:tblCellMar>
          <w:left w:w="0" w:type="dxa"/>
          <w:right w:w="0" w:type="dxa"/>
        </w:tblCellMar>
        <w:tblLook w:val="0000" w:firstRow="0" w:lastRow="0" w:firstColumn="0" w:lastColumn="0" w:noHBand="0" w:noVBand="0"/>
        <w:tblCaption w:val="Actual results versus budget targets"/>
      </w:tblPr>
      <w:tblGrid>
        <w:gridCol w:w="5769"/>
        <w:gridCol w:w="1351"/>
        <w:gridCol w:w="1351"/>
        <w:gridCol w:w="1352"/>
      </w:tblGrid>
      <w:tr w:rsidR="00063101" w:rsidRPr="00063101" w:rsidTr="005514CE">
        <w:trPr>
          <w:trHeight w:val="594"/>
        </w:trPr>
        <w:tc>
          <w:tcPr>
            <w:tcW w:w="5769" w:type="dxa"/>
            <w:tcBorders>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autoSpaceDE w:val="0"/>
              <w:autoSpaceDN w:val="0"/>
              <w:adjustRightInd w:val="0"/>
              <w:spacing w:after="0"/>
              <w:jc w:val="right"/>
            </w:pPr>
          </w:p>
        </w:tc>
        <w:tc>
          <w:tcPr>
            <w:tcW w:w="1351" w:type="dxa"/>
            <w:tcBorders>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b/>
                <w:bCs/>
                <w:color w:val="000000"/>
                <w:lang w:val="en-US"/>
              </w:rPr>
            </w:pPr>
            <w:r w:rsidRPr="00063101">
              <w:rPr>
                <w:b/>
                <w:bCs/>
                <w:color w:val="000000"/>
                <w:lang w:val="en-US"/>
              </w:rPr>
              <w:t>2014–15 Target</w:t>
            </w:r>
          </w:p>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b/>
                <w:bCs/>
                <w:color w:val="000000"/>
                <w:lang w:val="en-US"/>
              </w:rPr>
              <w:t>$000</w:t>
            </w:r>
          </w:p>
        </w:tc>
        <w:tc>
          <w:tcPr>
            <w:tcW w:w="1351" w:type="dxa"/>
            <w:tcBorders>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b/>
                <w:bCs/>
                <w:color w:val="000000"/>
                <w:lang w:val="en-US"/>
              </w:rPr>
            </w:pPr>
            <w:r w:rsidRPr="00063101">
              <w:rPr>
                <w:b/>
                <w:bCs/>
                <w:color w:val="000000"/>
                <w:lang w:val="en-US"/>
              </w:rPr>
              <w:t>2014–15 Actual</w:t>
            </w:r>
          </w:p>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b/>
                <w:bCs/>
                <w:color w:val="000000"/>
                <w:lang w:val="en-US"/>
              </w:rPr>
              <w:t>$000</w:t>
            </w:r>
          </w:p>
        </w:tc>
        <w:tc>
          <w:tcPr>
            <w:tcW w:w="1352" w:type="dxa"/>
            <w:tcBorders>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b/>
                <w:bCs/>
                <w:color w:val="000000"/>
                <w:lang w:val="en-US"/>
              </w:rPr>
            </w:pPr>
            <w:r w:rsidRPr="00063101">
              <w:rPr>
                <w:b/>
                <w:bCs/>
                <w:color w:val="000000"/>
                <w:lang w:val="en-US"/>
              </w:rPr>
              <w:t>Variance</w:t>
            </w:r>
          </w:p>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b/>
                <w:bCs/>
                <w:color w:val="000000"/>
                <w:lang w:val="en-US"/>
              </w:rPr>
              <w:t>$000</w:t>
            </w:r>
          </w:p>
        </w:tc>
      </w:tr>
      <w:tr w:rsidR="00063101" w:rsidRPr="00063101" w:rsidTr="005514CE">
        <w:trPr>
          <w:trHeight w:val="464"/>
        </w:trPr>
        <w:tc>
          <w:tcPr>
            <w:tcW w:w="5769" w:type="dxa"/>
            <w:tcBorders>
              <w:top w:val="single" w:sz="4" w:space="0" w:color="808080" w:themeColor="background1" w:themeShade="80"/>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suppressAutoHyphens/>
              <w:autoSpaceDE w:val="0"/>
              <w:autoSpaceDN w:val="0"/>
              <w:adjustRightInd w:val="0"/>
              <w:spacing w:after="0" w:line="288" w:lineRule="auto"/>
              <w:textAlignment w:val="center"/>
              <w:rPr>
                <w:color w:val="000000"/>
                <w:lang w:val="en-US"/>
              </w:rPr>
            </w:pPr>
            <w:r w:rsidRPr="00063101">
              <w:rPr>
                <w:color w:val="000000"/>
                <w:lang w:val="en-US"/>
              </w:rPr>
              <w:t>Total cost of services</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180,368 </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169,728 </w:t>
            </w:r>
          </w:p>
        </w:tc>
        <w:tc>
          <w:tcPr>
            <w:tcW w:w="1352"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10,640 </w:t>
            </w:r>
          </w:p>
        </w:tc>
      </w:tr>
      <w:tr w:rsidR="00063101" w:rsidRPr="00063101" w:rsidTr="005514CE">
        <w:trPr>
          <w:trHeight w:val="464"/>
        </w:trPr>
        <w:tc>
          <w:tcPr>
            <w:tcW w:w="5769" w:type="dxa"/>
            <w:tcBorders>
              <w:top w:val="single" w:sz="4" w:space="0" w:color="808080" w:themeColor="background1" w:themeShade="80"/>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suppressAutoHyphens/>
              <w:autoSpaceDE w:val="0"/>
              <w:autoSpaceDN w:val="0"/>
              <w:adjustRightInd w:val="0"/>
              <w:spacing w:after="0" w:line="288" w:lineRule="auto"/>
              <w:textAlignment w:val="center"/>
              <w:rPr>
                <w:color w:val="000000"/>
                <w:lang w:val="en-US"/>
              </w:rPr>
            </w:pPr>
            <w:r w:rsidRPr="00063101">
              <w:rPr>
                <w:color w:val="000000"/>
                <w:lang w:val="en-US"/>
              </w:rPr>
              <w:t>Net cost of services</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176,745 </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165,893 </w:t>
            </w:r>
          </w:p>
        </w:tc>
        <w:tc>
          <w:tcPr>
            <w:tcW w:w="1352"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10,852 </w:t>
            </w:r>
          </w:p>
        </w:tc>
      </w:tr>
      <w:tr w:rsidR="00063101" w:rsidRPr="00063101" w:rsidTr="005514CE">
        <w:trPr>
          <w:trHeight w:val="464"/>
        </w:trPr>
        <w:tc>
          <w:tcPr>
            <w:tcW w:w="5769" w:type="dxa"/>
            <w:tcBorders>
              <w:top w:val="single" w:sz="4" w:space="0" w:color="808080" w:themeColor="background1" w:themeShade="80"/>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suppressAutoHyphens/>
              <w:autoSpaceDE w:val="0"/>
              <w:autoSpaceDN w:val="0"/>
              <w:adjustRightInd w:val="0"/>
              <w:spacing w:after="0" w:line="288" w:lineRule="auto"/>
              <w:textAlignment w:val="center"/>
              <w:rPr>
                <w:color w:val="000000"/>
                <w:lang w:val="en-US"/>
              </w:rPr>
            </w:pPr>
            <w:r w:rsidRPr="00063101">
              <w:rPr>
                <w:color w:val="000000"/>
                <w:lang w:val="en-US"/>
              </w:rPr>
              <w:t>Total equity</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71,329 </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75,639 </w:t>
            </w:r>
          </w:p>
        </w:tc>
        <w:tc>
          <w:tcPr>
            <w:tcW w:w="1352"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4,310 </w:t>
            </w:r>
          </w:p>
        </w:tc>
      </w:tr>
      <w:tr w:rsidR="00063101" w:rsidRPr="00063101" w:rsidTr="005514CE">
        <w:trPr>
          <w:trHeight w:val="464"/>
        </w:trPr>
        <w:tc>
          <w:tcPr>
            <w:tcW w:w="5769" w:type="dxa"/>
            <w:tcBorders>
              <w:top w:val="single" w:sz="4" w:space="0" w:color="808080" w:themeColor="background1" w:themeShade="80"/>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suppressAutoHyphens/>
              <w:autoSpaceDE w:val="0"/>
              <w:autoSpaceDN w:val="0"/>
              <w:adjustRightInd w:val="0"/>
              <w:spacing w:after="0" w:line="288" w:lineRule="auto"/>
              <w:textAlignment w:val="center"/>
              <w:rPr>
                <w:color w:val="000000"/>
                <w:lang w:val="en-US"/>
              </w:rPr>
            </w:pPr>
            <w:r w:rsidRPr="00063101">
              <w:rPr>
                <w:color w:val="000000"/>
                <w:lang w:val="en-US"/>
              </w:rPr>
              <w:t>Net increase/(decrease) in cash held</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(4,589)</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795 </w:t>
            </w:r>
          </w:p>
        </w:tc>
        <w:tc>
          <w:tcPr>
            <w:tcW w:w="1352"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 xml:space="preserve"> 5,384 </w:t>
            </w:r>
          </w:p>
        </w:tc>
      </w:tr>
      <w:tr w:rsidR="00063101" w:rsidRPr="00063101" w:rsidTr="005514CE">
        <w:trPr>
          <w:trHeight w:hRule="exact" w:val="195"/>
        </w:trPr>
        <w:tc>
          <w:tcPr>
            <w:tcW w:w="5769" w:type="dxa"/>
            <w:tcBorders>
              <w:top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autoSpaceDE w:val="0"/>
              <w:autoSpaceDN w:val="0"/>
              <w:adjustRightInd w:val="0"/>
              <w:spacing w:after="0"/>
            </w:pPr>
          </w:p>
        </w:tc>
        <w:tc>
          <w:tcPr>
            <w:tcW w:w="1351" w:type="dxa"/>
            <w:tcBorders>
              <w:top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063101">
            <w:pPr>
              <w:autoSpaceDE w:val="0"/>
              <w:autoSpaceDN w:val="0"/>
              <w:adjustRightInd w:val="0"/>
              <w:spacing w:after="0"/>
            </w:pPr>
          </w:p>
        </w:tc>
        <w:tc>
          <w:tcPr>
            <w:tcW w:w="1351" w:type="dxa"/>
            <w:tcBorders>
              <w:top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063101">
            <w:pPr>
              <w:autoSpaceDE w:val="0"/>
              <w:autoSpaceDN w:val="0"/>
              <w:adjustRightInd w:val="0"/>
              <w:spacing w:after="0"/>
            </w:pPr>
          </w:p>
        </w:tc>
        <w:tc>
          <w:tcPr>
            <w:tcW w:w="1352" w:type="dxa"/>
            <w:tcBorders>
              <w:top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063101">
            <w:pPr>
              <w:autoSpaceDE w:val="0"/>
              <w:autoSpaceDN w:val="0"/>
              <w:adjustRightInd w:val="0"/>
              <w:spacing w:after="0"/>
            </w:pPr>
          </w:p>
        </w:tc>
      </w:tr>
      <w:tr w:rsidR="00063101" w:rsidRPr="00063101" w:rsidTr="005514CE">
        <w:trPr>
          <w:trHeight w:val="344"/>
        </w:trPr>
        <w:tc>
          <w:tcPr>
            <w:tcW w:w="5769" w:type="dxa"/>
            <w:tcBorders>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autoSpaceDE w:val="0"/>
              <w:autoSpaceDN w:val="0"/>
              <w:adjustRightInd w:val="0"/>
              <w:spacing w:after="0"/>
            </w:pPr>
          </w:p>
        </w:tc>
        <w:tc>
          <w:tcPr>
            <w:tcW w:w="1351" w:type="dxa"/>
            <w:tcBorders>
              <w:bottom w:val="single" w:sz="4" w:space="0" w:color="808080" w:themeColor="background1" w:themeShade="80"/>
            </w:tcBorders>
            <w:shd w:val="clear" w:color="auto" w:fill="auto"/>
            <w:tcMar>
              <w:top w:w="85" w:type="dxa"/>
              <w:left w:w="80" w:type="dxa"/>
              <w:bottom w:w="85" w:type="dxa"/>
              <w:right w:w="80" w:type="dxa"/>
            </w:tcMar>
            <w:vAlign w:val="bottom"/>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b/>
                <w:bCs/>
                <w:color w:val="000000"/>
                <w:lang w:val="en-US"/>
              </w:rPr>
              <w:t>2014–15 Target</w:t>
            </w:r>
          </w:p>
        </w:tc>
        <w:tc>
          <w:tcPr>
            <w:tcW w:w="1351" w:type="dxa"/>
            <w:tcBorders>
              <w:bottom w:val="single" w:sz="4" w:space="0" w:color="808080" w:themeColor="background1" w:themeShade="80"/>
            </w:tcBorders>
            <w:shd w:val="clear" w:color="auto" w:fill="auto"/>
            <w:tcMar>
              <w:top w:w="85" w:type="dxa"/>
              <w:left w:w="80" w:type="dxa"/>
              <w:bottom w:w="85" w:type="dxa"/>
              <w:right w:w="80" w:type="dxa"/>
            </w:tcMar>
            <w:vAlign w:val="bottom"/>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b/>
                <w:bCs/>
                <w:color w:val="000000"/>
                <w:lang w:val="en-US"/>
              </w:rPr>
              <w:t>2014–15 Actual</w:t>
            </w:r>
          </w:p>
        </w:tc>
        <w:tc>
          <w:tcPr>
            <w:tcW w:w="1352" w:type="dxa"/>
            <w:tcBorders>
              <w:bottom w:val="single" w:sz="4" w:space="0" w:color="808080" w:themeColor="background1" w:themeShade="80"/>
            </w:tcBorders>
            <w:shd w:val="clear" w:color="auto" w:fill="auto"/>
            <w:tcMar>
              <w:top w:w="85" w:type="dxa"/>
              <w:left w:w="80" w:type="dxa"/>
              <w:bottom w:w="85" w:type="dxa"/>
              <w:right w:w="80" w:type="dxa"/>
            </w:tcMar>
            <w:vAlign w:val="bottom"/>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b/>
                <w:bCs/>
                <w:color w:val="000000"/>
                <w:lang w:val="en-US"/>
              </w:rPr>
              <w:t>Variance</w:t>
            </w:r>
          </w:p>
        </w:tc>
      </w:tr>
      <w:tr w:rsidR="00063101" w:rsidRPr="00063101" w:rsidTr="005514CE">
        <w:trPr>
          <w:trHeight w:val="426"/>
        </w:trPr>
        <w:tc>
          <w:tcPr>
            <w:tcW w:w="5769" w:type="dxa"/>
            <w:tcBorders>
              <w:top w:val="single" w:sz="4" w:space="0" w:color="808080" w:themeColor="background1" w:themeShade="80"/>
              <w:bottom w:val="single" w:sz="4" w:space="0" w:color="808080" w:themeColor="background1" w:themeShade="80"/>
            </w:tcBorders>
            <w:shd w:val="clear" w:color="auto" w:fill="auto"/>
            <w:tcMar>
              <w:top w:w="85" w:type="dxa"/>
              <w:left w:w="0" w:type="dxa"/>
              <w:bottom w:w="85" w:type="dxa"/>
              <w:right w:w="0" w:type="dxa"/>
            </w:tcMar>
            <w:vAlign w:val="center"/>
          </w:tcPr>
          <w:p w:rsidR="00063101" w:rsidRPr="00063101" w:rsidRDefault="00063101" w:rsidP="005D57E0">
            <w:pPr>
              <w:suppressAutoHyphens/>
              <w:autoSpaceDE w:val="0"/>
              <w:autoSpaceDN w:val="0"/>
              <w:adjustRightInd w:val="0"/>
              <w:spacing w:after="0" w:line="288" w:lineRule="auto"/>
              <w:textAlignment w:val="center"/>
              <w:rPr>
                <w:color w:val="000000"/>
                <w:lang w:val="en-US"/>
              </w:rPr>
            </w:pPr>
            <w:r w:rsidRPr="00063101">
              <w:rPr>
                <w:color w:val="000000"/>
                <w:lang w:val="en-US"/>
              </w:rPr>
              <w:t>Approved FTE</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722</w:t>
            </w:r>
          </w:p>
        </w:tc>
        <w:tc>
          <w:tcPr>
            <w:tcW w:w="1351"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658</w:t>
            </w:r>
          </w:p>
        </w:tc>
        <w:tc>
          <w:tcPr>
            <w:tcW w:w="1352" w:type="dxa"/>
            <w:tcBorders>
              <w:top w:val="single" w:sz="4" w:space="0" w:color="808080" w:themeColor="background1" w:themeShade="80"/>
              <w:bottom w:val="single" w:sz="4" w:space="0" w:color="808080" w:themeColor="background1" w:themeShade="80"/>
            </w:tcBorders>
            <w:shd w:val="clear" w:color="auto" w:fill="auto"/>
            <w:tcMar>
              <w:top w:w="85" w:type="dxa"/>
              <w:left w:w="80" w:type="dxa"/>
              <w:bottom w:w="85" w:type="dxa"/>
              <w:right w:w="80" w:type="dxa"/>
            </w:tcMar>
            <w:vAlign w:val="center"/>
          </w:tcPr>
          <w:p w:rsidR="00063101" w:rsidRPr="00063101" w:rsidRDefault="00063101" w:rsidP="005D57E0">
            <w:pPr>
              <w:suppressAutoHyphens/>
              <w:autoSpaceDE w:val="0"/>
              <w:autoSpaceDN w:val="0"/>
              <w:adjustRightInd w:val="0"/>
              <w:spacing w:after="0" w:line="288" w:lineRule="auto"/>
              <w:jc w:val="right"/>
              <w:textAlignment w:val="center"/>
              <w:rPr>
                <w:color w:val="000000"/>
                <w:lang w:val="en-US"/>
              </w:rPr>
            </w:pPr>
            <w:r w:rsidRPr="00063101">
              <w:rPr>
                <w:color w:val="000000"/>
                <w:lang w:val="en-US"/>
              </w:rPr>
              <w:t>64</w:t>
            </w:r>
          </w:p>
        </w:tc>
      </w:tr>
    </w:tbl>
    <w:p w:rsidR="00063101" w:rsidRDefault="00063101" w:rsidP="00063101"/>
    <w:p w:rsidR="005D57E0" w:rsidRPr="005D57E0" w:rsidRDefault="005D57E0" w:rsidP="005D57E0">
      <w:pPr>
        <w:pStyle w:val="Heading6"/>
        <w:rPr>
          <w:color w:val="000000"/>
          <w:lang w:val="en-US"/>
        </w:rPr>
      </w:pPr>
      <w:r w:rsidRPr="005D57E0">
        <w:rPr>
          <w:lang w:val="en-US"/>
        </w:rPr>
        <w:t>Explanation of Significant Variances</w:t>
      </w:r>
    </w:p>
    <w:p w:rsidR="005D57E0" w:rsidRPr="005D57E0" w:rsidRDefault="005D57E0" w:rsidP="005D57E0">
      <w:pPr>
        <w:pStyle w:val="Heading7"/>
        <w:rPr>
          <w:color w:val="000000"/>
          <w:lang w:val="en-US"/>
        </w:rPr>
      </w:pPr>
      <w:r w:rsidRPr="005D57E0">
        <w:rPr>
          <w:lang w:val="en-GB"/>
        </w:rPr>
        <w:t>Total cost of services</w:t>
      </w:r>
    </w:p>
    <w:p w:rsidR="005D57E0" w:rsidRPr="005D57E0" w:rsidRDefault="005D57E0" w:rsidP="005D57E0">
      <w:pPr>
        <w:rPr>
          <w:color w:val="000000"/>
          <w:lang w:val="en-US"/>
        </w:rPr>
      </w:pPr>
      <w:r w:rsidRPr="005D57E0">
        <w:rPr>
          <w:color w:val="000000"/>
          <w:lang w:val="en-US"/>
        </w:rPr>
        <w:t>The total cost of services is lower than the 2014–15 target predominately due to the delay in Native Title and Office of Science grant settlements.  Where possible, unspent grants were repositioned to later years.</w:t>
      </w:r>
    </w:p>
    <w:p w:rsidR="005D57E0" w:rsidRPr="005D57E0" w:rsidRDefault="005D57E0" w:rsidP="005D57E0">
      <w:pPr>
        <w:pStyle w:val="Heading7"/>
        <w:rPr>
          <w:color w:val="000000"/>
          <w:lang w:val="en-US"/>
        </w:rPr>
      </w:pPr>
      <w:r w:rsidRPr="005D57E0">
        <w:rPr>
          <w:lang w:val="en-GB"/>
        </w:rPr>
        <w:t>Net cost of services</w:t>
      </w:r>
    </w:p>
    <w:p w:rsidR="005D57E0" w:rsidRPr="005D57E0" w:rsidRDefault="005D57E0" w:rsidP="005D57E0">
      <w:pPr>
        <w:rPr>
          <w:color w:val="000000"/>
          <w:lang w:val="en-US"/>
        </w:rPr>
      </w:pPr>
      <w:r w:rsidRPr="005D57E0">
        <w:rPr>
          <w:color w:val="000000"/>
          <w:lang w:val="en-US"/>
        </w:rPr>
        <w:t>Delays in Native Title and Office of Science grant settlements resulted in lower than target expenditure for 2014–15.</w:t>
      </w:r>
    </w:p>
    <w:p w:rsidR="005D57E0" w:rsidRPr="005D57E0" w:rsidRDefault="005D57E0" w:rsidP="005D57E0">
      <w:pPr>
        <w:pStyle w:val="Heading7"/>
        <w:rPr>
          <w:color w:val="000000"/>
          <w:lang w:val="en-US"/>
        </w:rPr>
      </w:pPr>
      <w:r w:rsidRPr="005D57E0">
        <w:rPr>
          <w:lang w:val="en-GB"/>
        </w:rPr>
        <w:t>Total equity</w:t>
      </w:r>
    </w:p>
    <w:p w:rsidR="005D57E0" w:rsidRPr="005D57E0" w:rsidRDefault="005D57E0" w:rsidP="005D57E0">
      <w:pPr>
        <w:rPr>
          <w:color w:val="000000"/>
          <w:lang w:val="en-US"/>
        </w:rPr>
      </w:pPr>
      <w:r w:rsidRPr="005D57E0">
        <w:rPr>
          <w:color w:val="000000"/>
          <w:lang w:val="en-US"/>
        </w:rPr>
        <w:t>Total equity is higher than the 2014–15 target due to the surplus generated through the funding of a non-disbursement of Native Title and Office of Science grants that were funded and not repositioned.</w:t>
      </w:r>
    </w:p>
    <w:p w:rsidR="005D57E0" w:rsidRPr="005D57E0" w:rsidRDefault="005D57E0" w:rsidP="005D57E0">
      <w:pPr>
        <w:pStyle w:val="Heading7"/>
        <w:rPr>
          <w:color w:val="000000"/>
          <w:lang w:val="en-US"/>
        </w:rPr>
      </w:pPr>
      <w:r w:rsidRPr="005D57E0">
        <w:rPr>
          <w:lang w:val="en-GB"/>
        </w:rPr>
        <w:t>Net increase/(decrease) in cash held</w:t>
      </w:r>
    </w:p>
    <w:p w:rsidR="005D57E0" w:rsidRPr="005D57E0" w:rsidRDefault="005D57E0" w:rsidP="005D57E0">
      <w:pPr>
        <w:rPr>
          <w:color w:val="000000"/>
          <w:lang w:val="en-US"/>
        </w:rPr>
      </w:pPr>
      <w:r w:rsidRPr="005D57E0">
        <w:rPr>
          <w:color w:val="000000"/>
          <w:lang w:val="en-US"/>
        </w:rPr>
        <w:t>The increase in cash held is mainly a result of the delayed disbursement of Native Title and Office of Science grants compared to the target for 2014–15.</w:t>
      </w:r>
    </w:p>
    <w:p w:rsidR="005D57E0" w:rsidRPr="005D57E0" w:rsidRDefault="005D57E0" w:rsidP="005D57E0">
      <w:pPr>
        <w:pStyle w:val="Heading7"/>
        <w:rPr>
          <w:color w:val="000000"/>
          <w:lang w:val="en-US"/>
        </w:rPr>
      </w:pPr>
      <w:r w:rsidRPr="005D57E0">
        <w:rPr>
          <w:lang w:val="en-GB"/>
        </w:rPr>
        <w:t>Approved FTE (full-time equivalent)</w:t>
      </w:r>
    </w:p>
    <w:p w:rsidR="005D57E0" w:rsidRDefault="005D57E0" w:rsidP="005D57E0">
      <w:pPr>
        <w:rPr>
          <w:color w:val="000000"/>
          <w:lang w:val="en-US"/>
        </w:rPr>
      </w:pPr>
      <w:r w:rsidRPr="005D57E0">
        <w:rPr>
          <w:color w:val="000000"/>
          <w:lang w:val="en-US"/>
        </w:rPr>
        <w:t>The FTE level for 2014–15 was lower than the target resulting from severances offered during the year and delayed recruitment processes.</w:t>
      </w:r>
    </w:p>
    <w:p w:rsidR="00063101" w:rsidRPr="005D57E0" w:rsidRDefault="00063101" w:rsidP="005D57E0">
      <w:pPr>
        <w:pStyle w:val="Heading2"/>
        <w:rPr>
          <w:color w:val="C00000"/>
        </w:rPr>
      </w:pPr>
      <w:bookmarkStart w:id="398" w:name="_Toc430547901"/>
      <w:r w:rsidRPr="005D57E0">
        <w:rPr>
          <w:color w:val="C00000"/>
        </w:rPr>
        <w:t>Anzac Centenary Commemoration</w:t>
      </w:r>
      <w:bookmarkEnd w:id="398"/>
    </w:p>
    <w:p w:rsidR="005D57E0" w:rsidRDefault="005D57E0" w:rsidP="005D57E0">
      <w:pPr>
        <w:rPr>
          <w:rStyle w:val="NormalText"/>
        </w:rPr>
      </w:pPr>
      <w:bookmarkStart w:id="399" w:name="_Toc425370337"/>
      <w:bookmarkStart w:id="400" w:name="_Toc426104562"/>
      <w:r>
        <w:rPr>
          <w:rStyle w:val="NormalText"/>
        </w:rPr>
        <w:t xml:space="preserve">From 2014 to 2018 Australia is commemorating 100 years since the First World War started and finished for Australian servicemen and women.  This is one of the most significant commemorations in our State’s and nation’s history and Western Australia has marked this important moment in history with public events as well as private remembrance.  </w:t>
      </w:r>
    </w:p>
    <w:p w:rsidR="005D57E0" w:rsidRDefault="005D57E0" w:rsidP="005D57E0">
      <w:pPr>
        <w:rPr>
          <w:rStyle w:val="NormalText"/>
        </w:rPr>
      </w:pPr>
      <w:r>
        <w:rPr>
          <w:rStyle w:val="NormalText"/>
        </w:rPr>
        <w:t xml:space="preserve">Australian commemorations commenced on 1 November 2014 in Albany and Fremantle to mark the departure of troops for the First World War and will conclude on 11 November 2018, the 100th Anniversary of Armistice Day. </w:t>
      </w:r>
    </w:p>
    <w:p w:rsidR="005D57E0" w:rsidRDefault="005D57E0" w:rsidP="005D57E0">
      <w:pPr>
        <w:rPr>
          <w:rStyle w:val="NormalText"/>
        </w:rPr>
      </w:pPr>
      <w:r>
        <w:rPr>
          <w:rStyle w:val="NormalText"/>
        </w:rPr>
        <w:t>It was from Albany that almost all Australian and New Zealand troops departed for Egypt and then Turkey in 1914.  Most of the Western Australian troops left from Fremantle after training at Blackboy Hill near Midland.</w:t>
      </w:r>
    </w:p>
    <w:p w:rsidR="005D57E0" w:rsidRDefault="005D57E0" w:rsidP="005D57E0">
      <w:pPr>
        <w:rPr>
          <w:rStyle w:val="NormalText"/>
        </w:rPr>
      </w:pPr>
      <w:r>
        <w:rPr>
          <w:rStyle w:val="NormalText"/>
        </w:rPr>
        <w:t>The Department worked closely with the Returned and Services League WA Branch, Federal Government, Cities of Albany and Fremantle and Shire of Mundaring on a programme of events to mark the departures.</w:t>
      </w:r>
    </w:p>
    <w:p w:rsidR="005D57E0" w:rsidRDefault="005D57E0" w:rsidP="005D57E0">
      <w:pPr>
        <w:rPr>
          <w:rStyle w:val="NormalText"/>
        </w:rPr>
      </w:pPr>
      <w:r>
        <w:rPr>
          <w:rStyle w:val="NormalText"/>
        </w:rPr>
        <w:t>The Department facilitated and coordinated major commemorative events across the period of 30 October to 2 November in Blackboy Hill, Fremantle and Albany.</w:t>
      </w:r>
    </w:p>
    <w:p w:rsidR="005D57E0" w:rsidRDefault="005D57E0" w:rsidP="005D57E0">
      <w:pPr>
        <w:rPr>
          <w:rStyle w:val="NormalText"/>
        </w:rPr>
      </w:pPr>
      <w:r>
        <w:rPr>
          <w:rStyle w:val="NormalText"/>
        </w:rPr>
        <w:t xml:space="preserve">More than 1,000 Western Australians died during the Gallipoli campaign and another 6,000 would die before the war’s end.  Almost one in 25 Western Australian men were killed or died of wounds or disease in the Great War. </w:t>
      </w:r>
    </w:p>
    <w:p w:rsidR="00063101" w:rsidRPr="005D57E0" w:rsidRDefault="00063101" w:rsidP="005D57E0">
      <w:pPr>
        <w:pStyle w:val="Heading3"/>
        <w:rPr>
          <w:color w:val="984806" w:themeColor="accent6" w:themeShade="80"/>
        </w:rPr>
      </w:pPr>
      <w:r w:rsidRPr="005D57E0">
        <w:rPr>
          <w:color w:val="984806" w:themeColor="accent6" w:themeShade="80"/>
        </w:rPr>
        <w:t>Albany</w:t>
      </w:r>
      <w:bookmarkEnd w:id="399"/>
      <w:bookmarkEnd w:id="400"/>
    </w:p>
    <w:p w:rsidR="005D57E0" w:rsidRPr="005D57E0" w:rsidRDefault="005D57E0" w:rsidP="005D57E0">
      <w:pPr>
        <w:rPr>
          <w:lang w:val="en-US"/>
        </w:rPr>
      </w:pPr>
      <w:r w:rsidRPr="005D57E0">
        <w:rPr>
          <w:lang w:val="en-US"/>
        </w:rPr>
        <w:t>The events programme included:</w:t>
      </w:r>
    </w:p>
    <w:p w:rsidR="005D57E0" w:rsidRPr="005D57E0" w:rsidRDefault="005D57E0" w:rsidP="00AE75A9">
      <w:pPr>
        <w:pStyle w:val="ListParagraph"/>
        <w:numPr>
          <w:ilvl w:val="0"/>
          <w:numId w:val="71"/>
        </w:numPr>
        <w:rPr>
          <w:lang w:val="en-US"/>
        </w:rPr>
      </w:pPr>
      <w:r w:rsidRPr="005D57E0">
        <w:rPr>
          <w:lang w:val="en-US"/>
        </w:rPr>
        <w:t>31 October – Royal Australian Navy Ceremonial Sunset; Princess Royal Harbour Lights show</w:t>
      </w:r>
    </w:p>
    <w:p w:rsidR="005D57E0" w:rsidRPr="005D57E0" w:rsidRDefault="005D57E0" w:rsidP="00AE75A9">
      <w:pPr>
        <w:pStyle w:val="ListParagraph"/>
        <w:numPr>
          <w:ilvl w:val="0"/>
          <w:numId w:val="71"/>
        </w:numPr>
        <w:rPr>
          <w:lang w:val="en-US"/>
        </w:rPr>
      </w:pPr>
      <w:r w:rsidRPr="005D57E0">
        <w:rPr>
          <w:lang w:val="en-US"/>
        </w:rPr>
        <w:t>1 November – troop march; commemorative service; opening of the National ANZAC Centre; a symbolic ship departure; and a large Community Concert</w:t>
      </w:r>
    </w:p>
    <w:p w:rsidR="005D57E0" w:rsidRPr="005D57E0" w:rsidRDefault="005D57E0" w:rsidP="00AE75A9">
      <w:pPr>
        <w:pStyle w:val="ListParagraph"/>
        <w:numPr>
          <w:ilvl w:val="0"/>
          <w:numId w:val="71"/>
        </w:numPr>
        <w:rPr>
          <w:lang w:val="en-US"/>
        </w:rPr>
      </w:pPr>
      <w:r w:rsidRPr="005D57E0">
        <w:rPr>
          <w:lang w:val="en-US"/>
        </w:rPr>
        <w:t>2 November – Royal Australian Navy ship open day</w:t>
      </w:r>
    </w:p>
    <w:p w:rsidR="005D57E0" w:rsidRPr="005D57E0" w:rsidRDefault="005D57E0" w:rsidP="00AE75A9">
      <w:pPr>
        <w:pStyle w:val="ListParagraph"/>
        <w:numPr>
          <w:ilvl w:val="0"/>
          <w:numId w:val="71"/>
        </w:numPr>
        <w:rPr>
          <w:lang w:val="en-US"/>
        </w:rPr>
      </w:pPr>
      <w:r w:rsidRPr="005D57E0">
        <w:rPr>
          <w:lang w:val="en-US"/>
        </w:rPr>
        <w:t>Stirling Terrace Mess Hall and Projections and Storytelling — all weekend, moving stories were projected onto several buildings in Albany</w:t>
      </w:r>
    </w:p>
    <w:p w:rsidR="005D57E0" w:rsidRPr="005D57E0" w:rsidRDefault="005D57E0" w:rsidP="005D57E0">
      <w:pPr>
        <w:rPr>
          <w:lang w:val="en-US"/>
        </w:rPr>
      </w:pPr>
      <w:r w:rsidRPr="005D57E0">
        <w:rPr>
          <w:lang w:val="en-US"/>
        </w:rPr>
        <w:t>These events were well attended and received widespread praise from attending dignitaries, participants and media.  Many dignitaries attended including the Governor General, the Governor of Western Australia, Prime Minister of Australia, Prime Minister of New Zealand, Premier of Western Australia and representatives from the French and Japanese Governments and other consular representatives.</w:t>
      </w:r>
    </w:p>
    <w:p w:rsidR="00063101" w:rsidRDefault="00063101" w:rsidP="00063101">
      <w:r>
        <w:t>It was estimated that 40,000 people participated in the range of events across the weekend in Albany.</w:t>
      </w:r>
    </w:p>
    <w:p w:rsidR="001630AB" w:rsidRDefault="001630AB">
      <w:pPr>
        <w:spacing w:line="276" w:lineRule="auto"/>
        <w:rPr>
          <w:rFonts w:ascii="Arial" w:eastAsia="Segoe UI" w:hAnsi="Arial" w:cs="Arial"/>
          <w:noProof/>
          <w:color w:val="984806" w:themeColor="accent6" w:themeShade="80"/>
          <w:kern w:val="24"/>
          <w:sz w:val="36"/>
          <w:szCs w:val="36"/>
          <w:lang w:eastAsia="en-AU"/>
        </w:rPr>
      </w:pPr>
      <w:bookmarkStart w:id="401" w:name="_Toc425370338"/>
      <w:bookmarkStart w:id="402" w:name="_Toc426104563"/>
      <w:r>
        <w:rPr>
          <w:color w:val="984806" w:themeColor="accent6" w:themeShade="80"/>
        </w:rPr>
        <w:br w:type="page"/>
      </w:r>
    </w:p>
    <w:p w:rsidR="00063101" w:rsidRPr="005D57E0" w:rsidRDefault="00063101" w:rsidP="005D57E0">
      <w:pPr>
        <w:pStyle w:val="Heading3"/>
        <w:rPr>
          <w:color w:val="984806" w:themeColor="accent6" w:themeShade="80"/>
        </w:rPr>
      </w:pPr>
      <w:r w:rsidRPr="005D57E0">
        <w:rPr>
          <w:color w:val="984806" w:themeColor="accent6" w:themeShade="80"/>
        </w:rPr>
        <w:t>National Anzac Centre</w:t>
      </w:r>
      <w:bookmarkEnd w:id="401"/>
      <w:bookmarkEnd w:id="402"/>
    </w:p>
    <w:p w:rsidR="005D57E0" w:rsidRPr="005D57E0" w:rsidRDefault="005D57E0" w:rsidP="005D57E0">
      <w:pPr>
        <w:rPr>
          <w:lang w:val="en-US"/>
        </w:rPr>
      </w:pPr>
      <w:bookmarkStart w:id="403" w:name="_Toc425370339"/>
      <w:bookmarkStart w:id="404" w:name="_Toc426104564"/>
      <w:r w:rsidRPr="005D57E0">
        <w:rPr>
          <w:lang w:val="en-US"/>
        </w:rPr>
        <w:t>On 1 November 2014 the Premier joined the Australian and New Zealand Prime Ministers to officially open the National Anzac Centre.</w:t>
      </w:r>
    </w:p>
    <w:p w:rsidR="00063101" w:rsidRPr="005D57E0" w:rsidRDefault="005D57E0" w:rsidP="005D57E0">
      <w:pPr>
        <w:rPr>
          <w:lang w:val="en-US"/>
        </w:rPr>
      </w:pPr>
      <w:r w:rsidRPr="005D57E0">
        <w:rPr>
          <w:lang w:val="en-US"/>
        </w:rPr>
        <w:t>The National Anzac Centre has surpassed all expectations.  It was nominated by Lonely Planet as one of the top 26 places to visit worldwide in 2015 and has been visited by more than 50,000 people since it opened — more than double the number anticipated over that period.  All end of financial year financial targets have already been reached and exceeded.</w:t>
      </w:r>
    </w:p>
    <w:p w:rsidR="00063101" w:rsidRPr="005D57E0" w:rsidRDefault="00063101" w:rsidP="005D57E0">
      <w:pPr>
        <w:pStyle w:val="Heading3"/>
        <w:rPr>
          <w:color w:val="984806" w:themeColor="accent6" w:themeShade="80"/>
        </w:rPr>
      </w:pPr>
      <w:r w:rsidRPr="005D57E0">
        <w:rPr>
          <w:color w:val="984806" w:themeColor="accent6" w:themeShade="80"/>
        </w:rPr>
        <w:t>Blackboy Hill and Fremantle</w:t>
      </w:r>
      <w:bookmarkEnd w:id="403"/>
      <w:bookmarkEnd w:id="404"/>
    </w:p>
    <w:p w:rsidR="005D57E0" w:rsidRPr="005D57E0" w:rsidRDefault="005D57E0" w:rsidP="00287BCF">
      <w:pPr>
        <w:rPr>
          <w:lang w:val="en-US"/>
        </w:rPr>
      </w:pPr>
      <w:r w:rsidRPr="005D57E0">
        <w:rPr>
          <w:lang w:val="en-US"/>
        </w:rPr>
        <w:t xml:space="preserve">From 30 to 31 October 2014, Western Australia commemorated the two ships that departed Fremantle with most of Western Australia’s troops, escorted by the Japanese naval vessel the Ibuki (and later met up with the Albany convoy at sea). </w:t>
      </w:r>
    </w:p>
    <w:p w:rsidR="005D57E0" w:rsidRPr="005D57E0" w:rsidRDefault="005D57E0" w:rsidP="00287BCF">
      <w:pPr>
        <w:rPr>
          <w:lang w:val="en-US"/>
        </w:rPr>
      </w:pPr>
      <w:r w:rsidRPr="005D57E0">
        <w:rPr>
          <w:lang w:val="en-US"/>
        </w:rPr>
        <w:t>The events programme included:</w:t>
      </w:r>
    </w:p>
    <w:p w:rsidR="005D57E0" w:rsidRPr="00287BCF" w:rsidRDefault="005D57E0" w:rsidP="00AE75A9">
      <w:pPr>
        <w:pStyle w:val="ListParagraph"/>
        <w:numPr>
          <w:ilvl w:val="0"/>
          <w:numId w:val="72"/>
        </w:numPr>
        <w:rPr>
          <w:lang w:val="en-US"/>
        </w:rPr>
      </w:pPr>
      <w:r w:rsidRPr="00287BCF">
        <w:rPr>
          <w:lang w:val="en-US"/>
        </w:rPr>
        <w:t>30 October – Overnight cadet bivouac with 75 Army cadets at Greenmount Primary School (the site of the Blackboy Hill training ground) and a large community event in the evening with activities and storytelling</w:t>
      </w:r>
    </w:p>
    <w:p w:rsidR="00287BCF" w:rsidRPr="00287BCF" w:rsidRDefault="005D57E0" w:rsidP="00AE75A9">
      <w:pPr>
        <w:pStyle w:val="ListParagraph"/>
        <w:numPr>
          <w:ilvl w:val="0"/>
          <w:numId w:val="72"/>
        </w:numPr>
        <w:rPr>
          <w:lang w:val="en-US"/>
        </w:rPr>
      </w:pPr>
      <w:r w:rsidRPr="00287BCF">
        <w:rPr>
          <w:lang w:val="en-US"/>
        </w:rPr>
        <w:t>31 October – Departure service at Blackboy Hill;  cadet marches at Blackboy Hill and Fremantle;  a heritage train journey from Blackboy Hill to Fremantle;  and a commemorative service in Fremantle</w:t>
      </w:r>
    </w:p>
    <w:p w:rsidR="00063101" w:rsidRDefault="00063101" w:rsidP="00287BCF">
      <w:r>
        <w:t>It was estimated that 2,000 people attended the commemorative service at Fremantle Port on 31 October 2014.</w:t>
      </w:r>
    </w:p>
    <w:p w:rsidR="00063101" w:rsidRPr="005D57E0" w:rsidRDefault="00063101" w:rsidP="005D57E0">
      <w:pPr>
        <w:pStyle w:val="Heading3"/>
        <w:rPr>
          <w:color w:val="984806" w:themeColor="accent6" w:themeShade="80"/>
        </w:rPr>
      </w:pPr>
      <w:r w:rsidRPr="005D57E0">
        <w:rPr>
          <w:color w:val="984806" w:themeColor="accent6" w:themeShade="80"/>
        </w:rPr>
        <w:t>Events in 2015</w:t>
      </w:r>
    </w:p>
    <w:p w:rsidR="00287BCF" w:rsidRPr="00287BCF" w:rsidRDefault="00287BCF" w:rsidP="00287BCF">
      <w:pPr>
        <w:rPr>
          <w:lang w:val="en-US"/>
        </w:rPr>
      </w:pPr>
      <w:r w:rsidRPr="00287BCF">
        <w:rPr>
          <w:lang w:val="en-US"/>
        </w:rPr>
        <w:t xml:space="preserve">In February this year more than 1.4 million people watched The Giants enact a tale across the Perth CBD inspired by the Anzac story of the young girl in the Breaksea Island lighthouse who became the last human contact in Australia for troops leaving for Gallipoli.  It was a </w:t>
      </w:r>
      <w:r>
        <w:rPr>
          <w:lang w:val="en-US"/>
        </w:rPr>
        <w:t>s</w:t>
      </w:r>
      <w:r w:rsidRPr="00287BCF">
        <w:rPr>
          <w:lang w:val="en-US"/>
        </w:rPr>
        <w:t>pectacular way to remind us all of the sacrifices of the ANZACs and tell an Anzac story to the children of today.</w:t>
      </w:r>
    </w:p>
    <w:p w:rsidR="00287BCF" w:rsidRPr="00287BCF" w:rsidRDefault="00287BCF" w:rsidP="00287BCF">
      <w:pPr>
        <w:rPr>
          <w:lang w:val="en-US"/>
        </w:rPr>
      </w:pPr>
      <w:r w:rsidRPr="00287BCF">
        <w:rPr>
          <w:lang w:val="en-US"/>
        </w:rPr>
        <w:t>The Western Australian Government, through Lotterywest, provided funding to the Returned &amp; Services League of Australia WA Branch to support Anzac Day 2015 commemorations across Western Australia.  Crowds estimated at between 70,000 and 80,000 people attended the Kings Park Dawn Service and CBD march aided by free public transport provided by the State Government.</w:t>
      </w:r>
    </w:p>
    <w:p w:rsidR="00287BCF" w:rsidRPr="00287BCF" w:rsidRDefault="00287BCF" w:rsidP="00287BCF">
      <w:pPr>
        <w:rPr>
          <w:lang w:val="en-US"/>
        </w:rPr>
      </w:pPr>
      <w:r w:rsidRPr="00287BCF">
        <w:rPr>
          <w:lang w:val="en-US"/>
        </w:rPr>
        <w:t>In 100 metropolitan and regional communities throughout the State larger than normal numbers of people paused to remember Australia’s servicemen and women — those who were lost, as well as those who served and suffered.</w:t>
      </w:r>
    </w:p>
    <w:p w:rsidR="00287BCF" w:rsidRPr="00287BCF" w:rsidRDefault="00287BCF" w:rsidP="00287BCF">
      <w:pPr>
        <w:rPr>
          <w:lang w:val="en-US"/>
        </w:rPr>
      </w:pPr>
      <w:r w:rsidRPr="00287BCF">
        <w:rPr>
          <w:lang w:val="en-US"/>
        </w:rPr>
        <w:t>Lotterywest funding also enabled “100 Years of Anzac”, a three day, day-time community event to occur in the Perth Cultural Centre between 25 and 27 April.</w:t>
      </w:r>
    </w:p>
    <w:p w:rsidR="007A052B" w:rsidRDefault="00287BCF" w:rsidP="00287BCF">
      <w:r w:rsidRPr="00287BCF">
        <w:rPr>
          <w:lang w:val="en-US"/>
        </w:rPr>
        <w:t>Meanwhile 32 students from Years 8 to 11 from Western Australia were among 8,000 Australians and 2,000 New Zealanders to attend the 2015 dawn service in Turkey as part of the Premier’s Anzac Student Tour.</w:t>
      </w:r>
    </w:p>
    <w:p w:rsidR="00287BCF" w:rsidRDefault="00287BCF" w:rsidP="00287BCF">
      <w:pPr>
        <w:pStyle w:val="Heading2"/>
      </w:pPr>
      <w:bookmarkStart w:id="405" w:name="_Toc430547902"/>
      <w:bookmarkStart w:id="406" w:name="_Toc425370387"/>
      <w:bookmarkStart w:id="407" w:name="_Toc425607421"/>
      <w:bookmarkStart w:id="408" w:name="_Toc425607572"/>
      <w:bookmarkStart w:id="409" w:name="_Toc426104615"/>
      <w:bookmarkStart w:id="410" w:name="_Toc426397375"/>
      <w:bookmarkStart w:id="411" w:name="_Toc426637349"/>
      <w:bookmarkStart w:id="412" w:name="_Toc426637594"/>
      <w:r>
        <w:t>Significant I</w:t>
      </w:r>
      <w:r w:rsidR="001426A4" w:rsidRPr="00F864E3">
        <w:t>ssues</w:t>
      </w:r>
      <w:bookmarkEnd w:id="405"/>
    </w:p>
    <w:bookmarkEnd w:id="406"/>
    <w:bookmarkEnd w:id="407"/>
    <w:bookmarkEnd w:id="408"/>
    <w:bookmarkEnd w:id="409"/>
    <w:bookmarkEnd w:id="410"/>
    <w:bookmarkEnd w:id="411"/>
    <w:bookmarkEnd w:id="412"/>
    <w:p w:rsidR="00287BCF" w:rsidRPr="00287BCF" w:rsidRDefault="00287BCF" w:rsidP="00287BCF">
      <w:pPr>
        <w:rPr>
          <w:lang w:val="en-US"/>
        </w:rPr>
      </w:pPr>
      <w:r w:rsidRPr="00287BCF">
        <w:rPr>
          <w:lang w:val="en-US"/>
        </w:rPr>
        <w:t xml:space="preserve">The Department coordinated the Aboriginal Youth Expenditure Review during the year which is now being translated into the implementation of the </w:t>
      </w:r>
      <w:r w:rsidRPr="00287BCF">
        <w:rPr>
          <w:b/>
          <w:bCs/>
          <w:lang w:val="en-US"/>
        </w:rPr>
        <w:t>Aboriginal Youth Services Investment Priorities and Principles</w:t>
      </w:r>
      <w:r w:rsidRPr="00287BCF">
        <w:rPr>
          <w:lang w:val="en-US"/>
        </w:rPr>
        <w:t xml:space="preserve">.  This work will continue into 2015–16 as the State Government seeks to transform the way Aboriginal Youth services are delivered. </w:t>
      </w:r>
    </w:p>
    <w:p w:rsidR="00287BCF" w:rsidRPr="00287BCF" w:rsidRDefault="00287BCF" w:rsidP="00287BCF">
      <w:pPr>
        <w:rPr>
          <w:lang w:val="en-US"/>
        </w:rPr>
      </w:pPr>
      <w:r w:rsidRPr="00287BCF">
        <w:rPr>
          <w:lang w:val="en-US"/>
        </w:rPr>
        <w:t xml:space="preserve">The </w:t>
      </w:r>
      <w:r w:rsidRPr="00287BCF">
        <w:rPr>
          <w:b/>
          <w:bCs/>
          <w:lang w:val="en-US"/>
        </w:rPr>
        <w:t>Kimberley Science and Conservation Strategy</w:t>
      </w:r>
      <w:r w:rsidRPr="00287BCF">
        <w:rPr>
          <w:lang w:val="en-US"/>
        </w:rPr>
        <w:t xml:space="preserve"> will continue to be a focus of the Department’s work as implementation of the joint management arrangements for new parks and reserves progresses and legislative changes are achieved to create a series of new national parks in this very special part of the State. </w:t>
      </w:r>
    </w:p>
    <w:p w:rsidR="00287BCF" w:rsidRPr="00287BCF" w:rsidRDefault="00287BCF" w:rsidP="00287BCF">
      <w:pPr>
        <w:rPr>
          <w:lang w:val="en-US"/>
        </w:rPr>
      </w:pPr>
      <w:r w:rsidRPr="00287BCF">
        <w:rPr>
          <w:lang w:val="en-US"/>
        </w:rPr>
        <w:t xml:space="preserve">The extensive work completed so far for the </w:t>
      </w:r>
      <w:r w:rsidRPr="00287BCF">
        <w:rPr>
          <w:b/>
          <w:bCs/>
          <w:lang w:val="en-US"/>
        </w:rPr>
        <w:t>Strategic Assessment of the Perth and Peel Region</w:t>
      </w:r>
      <w:r w:rsidRPr="00287BCF">
        <w:rPr>
          <w:lang w:val="en-US"/>
        </w:rPr>
        <w:t xml:space="preserve"> will start to be seen in late 2015 and into 2016 with the release of draft documents for public consultation.  These documents will help set the development and conservation environment for the Perth and Peel regions for the immediate and long term future.</w:t>
      </w:r>
    </w:p>
    <w:p w:rsidR="00287BCF" w:rsidRPr="00287BCF" w:rsidRDefault="00287BCF" w:rsidP="00287BCF">
      <w:pPr>
        <w:rPr>
          <w:lang w:val="en-US"/>
        </w:rPr>
      </w:pPr>
      <w:r w:rsidRPr="00287BCF">
        <w:rPr>
          <w:lang w:val="en-US"/>
        </w:rPr>
        <w:t xml:space="preserve">The Department’s three overseas trade and investment offices have worked hard in 2014–15 to diversify and support the State’s economy whether by </w:t>
      </w:r>
      <w:r w:rsidRPr="00287BCF">
        <w:rPr>
          <w:b/>
          <w:bCs/>
          <w:lang w:val="en-US"/>
        </w:rPr>
        <w:t xml:space="preserve">attracting foreign investment </w:t>
      </w:r>
      <w:r w:rsidRPr="00287BCF">
        <w:rPr>
          <w:lang w:val="en-US"/>
        </w:rPr>
        <w:t xml:space="preserve">or allowing </w:t>
      </w:r>
      <w:r w:rsidRPr="00287BCF">
        <w:rPr>
          <w:b/>
          <w:bCs/>
          <w:lang w:val="en-US"/>
        </w:rPr>
        <w:t>Western Australian companies to expand into foreign markets</w:t>
      </w:r>
      <w:r w:rsidRPr="00287BCF">
        <w:rPr>
          <w:lang w:val="en-US"/>
        </w:rPr>
        <w:t xml:space="preserve">.  This work will continue with a priority focus on agribusiness, mining support services, education and tourism. </w:t>
      </w:r>
    </w:p>
    <w:p w:rsidR="00287BCF" w:rsidRPr="00287BCF" w:rsidRDefault="00287BCF" w:rsidP="00287BCF">
      <w:pPr>
        <w:rPr>
          <w:lang w:val="en-US"/>
        </w:rPr>
      </w:pPr>
      <w:r w:rsidRPr="00287BCF">
        <w:rPr>
          <w:lang w:val="en-US"/>
        </w:rPr>
        <w:t xml:space="preserve">The Department’s strong track record in </w:t>
      </w:r>
      <w:r w:rsidRPr="00287BCF">
        <w:rPr>
          <w:b/>
          <w:bCs/>
          <w:lang w:val="en-US"/>
        </w:rPr>
        <w:t>delivering events of great significance to the State</w:t>
      </w:r>
      <w:r w:rsidRPr="00287BCF">
        <w:rPr>
          <w:lang w:val="en-US"/>
        </w:rPr>
        <w:t xml:space="preserve"> was continued with the Anzac commemorations.  Work will continue on the celebrations for the 400th anniversary of the landing at Dirk Hartog Island.  </w:t>
      </w:r>
    </w:p>
    <w:p w:rsidR="001426A4" w:rsidRDefault="00287BCF" w:rsidP="00287BCF">
      <w:r w:rsidRPr="00287BCF">
        <w:rPr>
          <w:lang w:val="en-US"/>
        </w:rPr>
        <w:t xml:space="preserve">With the launch of the </w:t>
      </w:r>
      <w:r w:rsidRPr="00287BCF">
        <w:rPr>
          <w:b/>
          <w:bCs/>
          <w:lang w:val="en-US"/>
        </w:rPr>
        <w:t>‘A Science Statement for Western Australia’</w:t>
      </w:r>
      <w:r w:rsidRPr="00287BCF">
        <w:rPr>
          <w:lang w:val="en-US"/>
        </w:rPr>
        <w:t xml:space="preserve"> in 2015, the Department is now engaged in building on the priorities identified in the document.  This will occur in a number of ways including coordinating the Premier’s Round Table on Marine Science and the establishment of a new institution to coordinate terrestrial biodiversity science.  The Square Kilometre Array project comes closer to finalisation as Western Australia takes its important place in this global scientific achievement.</w:t>
      </w:r>
    </w:p>
    <w:p w:rsidR="00287BCF" w:rsidRDefault="00287BCF">
      <w:pPr>
        <w:spacing w:line="276" w:lineRule="auto"/>
      </w:pPr>
      <w:r>
        <w:br w:type="page"/>
      </w:r>
    </w:p>
    <w:p w:rsidR="001426A4" w:rsidRPr="00C724A8" w:rsidRDefault="00C724A8" w:rsidP="00C63A96">
      <w:pPr>
        <w:pStyle w:val="Heading1"/>
      </w:pPr>
      <w:bookmarkStart w:id="413" w:name="_Toc425607422"/>
      <w:bookmarkStart w:id="414" w:name="_Toc426104616"/>
      <w:bookmarkStart w:id="415" w:name="_Toc426637595"/>
      <w:bookmarkStart w:id="416" w:name="_Toc425370388"/>
      <w:bookmarkStart w:id="417" w:name="_Toc430547903"/>
      <w:r w:rsidRPr="00C724A8">
        <w:t>Disclosures and Legal</w:t>
      </w:r>
      <w:bookmarkEnd w:id="413"/>
      <w:bookmarkEnd w:id="414"/>
      <w:bookmarkEnd w:id="415"/>
      <w:r w:rsidR="00A12A74">
        <w:t xml:space="preserve"> </w:t>
      </w:r>
      <w:bookmarkStart w:id="418" w:name="_Toc425607423"/>
      <w:bookmarkStart w:id="419" w:name="_Toc425607574"/>
      <w:bookmarkStart w:id="420" w:name="_Toc426104617"/>
      <w:bookmarkStart w:id="421" w:name="_Toc426397377"/>
      <w:bookmarkStart w:id="422" w:name="_Toc426637351"/>
      <w:bookmarkStart w:id="423" w:name="_Toc426637596"/>
      <w:r w:rsidR="001426A4" w:rsidRPr="00C724A8">
        <w:t>Compliance</w:t>
      </w:r>
      <w:bookmarkEnd w:id="416"/>
      <w:bookmarkEnd w:id="418"/>
      <w:bookmarkEnd w:id="419"/>
      <w:bookmarkEnd w:id="420"/>
      <w:bookmarkEnd w:id="421"/>
      <w:bookmarkEnd w:id="422"/>
      <w:bookmarkEnd w:id="423"/>
      <w:bookmarkEnd w:id="417"/>
    </w:p>
    <w:p w:rsidR="001426A4" w:rsidRDefault="007E2861" w:rsidP="00C63A96">
      <w:pPr>
        <w:pStyle w:val="Heading2"/>
      </w:pPr>
      <w:bookmarkStart w:id="424" w:name="_Toc425370389"/>
      <w:bookmarkStart w:id="425" w:name="_Toc425607424"/>
      <w:bookmarkStart w:id="426" w:name="_Toc426104618"/>
      <w:bookmarkStart w:id="427" w:name="_Toc426397378"/>
      <w:bookmarkStart w:id="428" w:name="_Toc426637352"/>
      <w:bookmarkStart w:id="429" w:name="_Toc426637597"/>
      <w:bookmarkStart w:id="430" w:name="_Toc430547904"/>
      <w:r w:rsidRPr="00C724A8">
        <w:t>Opinion of the Auditor General</w:t>
      </w:r>
      <w:bookmarkEnd w:id="424"/>
      <w:bookmarkEnd w:id="425"/>
      <w:bookmarkEnd w:id="426"/>
      <w:bookmarkEnd w:id="427"/>
      <w:bookmarkEnd w:id="428"/>
      <w:bookmarkEnd w:id="429"/>
      <w:bookmarkEnd w:id="430"/>
    </w:p>
    <w:p w:rsidR="009C5417" w:rsidRPr="009C5417" w:rsidRDefault="009C5417" w:rsidP="009C5417">
      <w:pPr>
        <w:pStyle w:val="NoSpacing"/>
        <w:rPr>
          <w:lang w:eastAsia="en-AU"/>
        </w:rPr>
      </w:pPr>
    </w:p>
    <w:p w:rsidR="005514CE" w:rsidRDefault="005514CE" w:rsidP="009C5417">
      <w:pPr>
        <w:suppressAutoHyphens/>
        <w:autoSpaceDE w:val="0"/>
        <w:autoSpaceDN w:val="0"/>
        <w:adjustRightInd w:val="0"/>
        <w:spacing w:line="288" w:lineRule="auto"/>
        <w:jc w:val="center"/>
        <w:textAlignment w:val="center"/>
        <w:rPr>
          <w:rFonts w:ascii="Arial" w:hAnsi="Arial" w:cs="Arial"/>
          <w:b/>
          <w:bCs/>
          <w:color w:val="000000"/>
          <w:sz w:val="22"/>
          <w:szCs w:val="22"/>
          <w:lang w:val="en-US"/>
        </w:rPr>
      </w:pPr>
      <w:r>
        <w:rPr>
          <w:rFonts w:ascii="Arial" w:hAnsi="Arial" w:cs="Arial"/>
          <w:b/>
          <w:bCs/>
          <w:noProof/>
          <w:color w:val="000000"/>
          <w:sz w:val="22"/>
          <w:szCs w:val="22"/>
          <w:lang w:eastAsia="en-AU"/>
        </w:rPr>
        <w:drawing>
          <wp:inline distT="0" distB="0" distL="0" distR="0" wp14:anchorId="138FB9B8" wp14:editId="0BD49027">
            <wp:extent cx="643754" cy="484254"/>
            <wp:effectExtent l="0" t="0" r="4445" b="0"/>
            <wp:docPr id="1" name="Picture 1" descr="State Crest image" title="Stat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state crest monotone darkest te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480" cy="484048"/>
                    </a:xfrm>
                    <a:prstGeom prst="rect">
                      <a:avLst/>
                    </a:prstGeom>
                  </pic:spPr>
                </pic:pic>
              </a:graphicData>
            </a:graphic>
          </wp:inline>
        </w:drawing>
      </w:r>
    </w:p>
    <w:p w:rsidR="005514CE" w:rsidRDefault="005514CE" w:rsidP="005514CE">
      <w:pPr>
        <w:suppressAutoHyphens/>
        <w:autoSpaceDE w:val="0"/>
        <w:autoSpaceDN w:val="0"/>
        <w:adjustRightInd w:val="0"/>
        <w:spacing w:after="0" w:line="288" w:lineRule="auto"/>
        <w:jc w:val="center"/>
        <w:textAlignment w:val="center"/>
        <w:rPr>
          <w:rFonts w:ascii="Arial" w:hAnsi="Arial" w:cs="Arial"/>
          <w:color w:val="193A67"/>
          <w:sz w:val="32"/>
          <w:szCs w:val="32"/>
          <w:lang w:val="en-US"/>
        </w:rPr>
      </w:pPr>
      <w:r w:rsidRPr="005514CE">
        <w:rPr>
          <w:rFonts w:ascii="Arial" w:hAnsi="Arial" w:cs="Arial"/>
          <w:color w:val="193A67"/>
          <w:sz w:val="32"/>
          <w:szCs w:val="32"/>
          <w:lang w:val="en-US"/>
        </w:rPr>
        <w:t>Auditor General</w:t>
      </w:r>
    </w:p>
    <w:p w:rsidR="009C5417" w:rsidRPr="005514CE" w:rsidRDefault="009C5417" w:rsidP="005514CE">
      <w:pPr>
        <w:suppressAutoHyphens/>
        <w:autoSpaceDE w:val="0"/>
        <w:autoSpaceDN w:val="0"/>
        <w:adjustRightInd w:val="0"/>
        <w:spacing w:after="0" w:line="288" w:lineRule="auto"/>
        <w:jc w:val="center"/>
        <w:textAlignment w:val="center"/>
        <w:rPr>
          <w:rFonts w:ascii="Arial" w:hAnsi="Arial" w:cs="Arial"/>
          <w:color w:val="193A67"/>
          <w:sz w:val="32"/>
          <w:szCs w:val="32"/>
          <w:lang w:val="en-US"/>
        </w:rPr>
      </w:pP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INDEPENDENT AUDITOR’S REPORT</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To the Parliament of Western Australia</w:t>
      </w:r>
    </w:p>
    <w:p w:rsidR="00287BCF" w:rsidRPr="00287BCF" w:rsidRDefault="00287BCF" w:rsidP="00287BCF">
      <w:pPr>
        <w:suppressAutoHyphens/>
        <w:autoSpaceDE w:val="0"/>
        <w:autoSpaceDN w:val="0"/>
        <w:adjustRightInd w:val="0"/>
        <w:spacing w:line="288" w:lineRule="auto"/>
        <w:textAlignment w:val="center"/>
        <w:rPr>
          <w:rFonts w:ascii="Arial" w:hAnsi="Arial" w:cs="Arial"/>
          <w:b/>
          <w:bCs/>
          <w:color w:val="000000"/>
          <w:sz w:val="22"/>
          <w:szCs w:val="22"/>
          <w:lang w:val="en-US"/>
        </w:rPr>
      </w:pPr>
      <w:r w:rsidRPr="00287BCF">
        <w:rPr>
          <w:rFonts w:ascii="Arial" w:hAnsi="Arial" w:cs="Arial"/>
          <w:b/>
          <w:bCs/>
          <w:color w:val="000000"/>
          <w:sz w:val="22"/>
          <w:szCs w:val="22"/>
          <w:lang w:val="en-US"/>
        </w:rPr>
        <w:t>DEPARTMENT OF THE PREMIER AND CABINET</w:t>
      </w:r>
    </w:p>
    <w:p w:rsidR="00287BCF" w:rsidRPr="00287BCF" w:rsidRDefault="00287BCF" w:rsidP="00287BCF">
      <w:pPr>
        <w:suppressAutoHyphens/>
        <w:autoSpaceDE w:val="0"/>
        <w:autoSpaceDN w:val="0"/>
        <w:adjustRightInd w:val="0"/>
        <w:spacing w:after="0"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Report on the Financial Statements</w:t>
      </w:r>
      <w:r w:rsidRPr="00287BCF">
        <w:rPr>
          <w:rFonts w:ascii="Arial" w:hAnsi="Arial" w:cs="Arial"/>
          <w:color w:val="000000"/>
          <w:sz w:val="22"/>
          <w:szCs w:val="22"/>
          <w:lang w:val="en-US"/>
        </w:rPr>
        <w:br/>
        <w:t>I have audited the accounts and financial statements of the Department of the Premier and Cabinet.  The financial statements comprise the Statement of Financial Position as at 30 June 2015, the Statement of Comprehensive Income, Statement of Changes in Equity, Statement of Cash Flows, Schedule of Income and Expenses by Service, Schedule of Assets and Liabilities by Service and Summary of Consolidated Account Appropriations and Income Estimates for the year then ended, and Notes comprising a summary of signi</w:t>
      </w:r>
      <w:r w:rsidR="0011613C">
        <w:rPr>
          <w:rFonts w:ascii="Arial" w:hAnsi="Arial" w:cs="Arial"/>
          <w:color w:val="000000"/>
          <w:sz w:val="22"/>
          <w:szCs w:val="22"/>
          <w:lang w:val="en-US"/>
        </w:rPr>
        <w:t xml:space="preserve">ficant accounting policies and </w:t>
      </w:r>
      <w:r w:rsidRPr="00287BCF">
        <w:rPr>
          <w:rFonts w:ascii="Arial" w:hAnsi="Arial" w:cs="Arial"/>
          <w:color w:val="000000"/>
          <w:sz w:val="22"/>
          <w:szCs w:val="22"/>
          <w:lang w:val="en-US"/>
        </w:rPr>
        <w:t>other explanatory information, including Administered transactions and balances.</w:t>
      </w:r>
    </w:p>
    <w:p w:rsidR="00287BCF" w:rsidRPr="00287BCF" w:rsidRDefault="00287BCF" w:rsidP="00287BCF">
      <w:pPr>
        <w:suppressAutoHyphens/>
        <w:autoSpaceDE w:val="0"/>
        <w:autoSpaceDN w:val="0"/>
        <w:adjustRightInd w:val="0"/>
        <w:spacing w:after="0" w:line="288" w:lineRule="auto"/>
        <w:textAlignment w:val="center"/>
        <w:rPr>
          <w:rFonts w:ascii="Arial" w:hAnsi="Arial" w:cs="Arial"/>
          <w:color w:val="000000"/>
          <w:sz w:val="22"/>
          <w:szCs w:val="22"/>
          <w:lang w:val="en-US"/>
        </w:rPr>
      </w:pPr>
    </w:p>
    <w:p w:rsidR="00287BCF" w:rsidRPr="00287BCF" w:rsidRDefault="00287BCF" w:rsidP="00287BCF">
      <w:pPr>
        <w:suppressAutoHyphens/>
        <w:autoSpaceDE w:val="0"/>
        <w:autoSpaceDN w:val="0"/>
        <w:adjustRightInd w:val="0"/>
        <w:spacing w:after="0" w:line="288" w:lineRule="auto"/>
        <w:textAlignment w:val="center"/>
        <w:rPr>
          <w:rFonts w:ascii="Arial" w:hAnsi="Arial" w:cs="Arial"/>
          <w:color w:val="000000"/>
          <w:sz w:val="22"/>
          <w:szCs w:val="22"/>
          <w:lang w:val="en-US"/>
        </w:rPr>
      </w:pPr>
      <w:r w:rsidRPr="00287BCF">
        <w:rPr>
          <w:rFonts w:ascii="Arial" w:hAnsi="Arial" w:cs="Arial"/>
          <w:i/>
          <w:iCs/>
          <w:color w:val="000000"/>
          <w:sz w:val="22"/>
          <w:szCs w:val="22"/>
          <w:lang w:val="en-US"/>
        </w:rPr>
        <w:t>Director General’s Responsibility for the Financial Statements</w:t>
      </w:r>
    </w:p>
    <w:p w:rsidR="00287BCF" w:rsidRPr="00287BCF" w:rsidRDefault="00287BCF" w:rsidP="00287BCF">
      <w:pPr>
        <w:suppressAutoHyphens/>
        <w:autoSpaceDE w:val="0"/>
        <w:autoSpaceDN w:val="0"/>
        <w:adjustRightInd w:val="0"/>
        <w:spacing w:after="0"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The Director General is responsible for keeping proper accounts, and the preparation and fair presentation of the financial statements in accordance with Australian Accounting Standards and the Treasurer’s Instructions, and for such internal control as the Director General determines is necessary to enable the preparation of financial statements that are free from material misstatement, whether due to fraud or error.</w:t>
      </w:r>
    </w:p>
    <w:p w:rsidR="00287BCF" w:rsidRPr="00287BCF" w:rsidRDefault="00287BCF" w:rsidP="00287BCF">
      <w:pPr>
        <w:suppressAutoHyphens/>
        <w:autoSpaceDE w:val="0"/>
        <w:autoSpaceDN w:val="0"/>
        <w:adjustRightInd w:val="0"/>
        <w:spacing w:after="0" w:line="288" w:lineRule="auto"/>
        <w:textAlignment w:val="center"/>
        <w:rPr>
          <w:rFonts w:ascii="Arial" w:hAnsi="Arial" w:cs="Arial"/>
          <w:color w:val="000000"/>
          <w:sz w:val="22"/>
          <w:szCs w:val="22"/>
          <w:lang w:val="en-US"/>
        </w:rPr>
      </w:pP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i/>
          <w:iCs/>
          <w:color w:val="000000"/>
          <w:sz w:val="22"/>
          <w:szCs w:val="22"/>
          <w:lang w:val="en-US"/>
        </w:rPr>
        <w:t>Auditor’s Responsibility</w:t>
      </w:r>
      <w:r w:rsidRPr="00287BCF">
        <w:rPr>
          <w:rFonts w:ascii="Arial" w:hAnsi="Arial" w:cs="Arial"/>
          <w:i/>
          <w:iCs/>
          <w:color w:val="000000"/>
          <w:sz w:val="22"/>
          <w:szCs w:val="22"/>
          <w:lang w:val="en-US"/>
        </w:rPr>
        <w:br/>
      </w:r>
      <w:r w:rsidRPr="00287BCF">
        <w:rPr>
          <w:rFonts w:ascii="Arial" w:hAnsi="Arial" w:cs="Arial"/>
          <w:color w:val="000000"/>
          <w:sz w:val="22"/>
          <w:szCs w:val="22"/>
          <w:lang w:val="en-US"/>
        </w:rPr>
        <w:t xml:space="preserve">As required by the </w:t>
      </w:r>
      <w:r w:rsidRPr="00287BCF">
        <w:rPr>
          <w:rFonts w:ascii="Arial" w:hAnsi="Arial" w:cs="Arial"/>
          <w:i/>
          <w:iCs/>
          <w:color w:val="000000"/>
          <w:sz w:val="22"/>
          <w:szCs w:val="22"/>
          <w:lang w:val="en-US"/>
        </w:rPr>
        <w:t>Auditor General Act 2006</w:t>
      </w:r>
      <w:r w:rsidRPr="00287BCF">
        <w:rPr>
          <w:rFonts w:ascii="Arial" w:hAnsi="Arial" w:cs="Arial"/>
          <w:color w:val="000000"/>
          <w:sz w:val="22"/>
          <w:szCs w:val="22"/>
          <w:lang w:val="en-US"/>
        </w:rPr>
        <w:t>, my responsibility is to express an opinion on the financial statements based on my audit.  The audit was conducted in accordance with Australian Auditing Standards.  Those Standards require compliance with relevant ethical requirements relating to audit engagements and that the audit be planned and pe</w:t>
      </w:r>
      <w:r w:rsidR="0011613C">
        <w:rPr>
          <w:rFonts w:ascii="Arial" w:hAnsi="Arial" w:cs="Arial"/>
          <w:color w:val="000000"/>
          <w:sz w:val="22"/>
          <w:szCs w:val="22"/>
          <w:lang w:val="en-US"/>
        </w:rPr>
        <w:t>r</w:t>
      </w:r>
      <w:r w:rsidRPr="00287BCF">
        <w:rPr>
          <w:rFonts w:ascii="Arial" w:hAnsi="Arial" w:cs="Arial"/>
          <w:color w:val="000000"/>
          <w:sz w:val="22"/>
          <w:szCs w:val="22"/>
          <w:lang w:val="en-US"/>
        </w:rPr>
        <w:t>formed to obtain reasonable assurance about whether the financial statements are free from material misstatement.</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 xml:space="preserve">An audit involves performing procedures to obtain audit evidence about the amounts and disclosures in the financial statements.  The procedures selected depend on the auditor’s </w:t>
      </w:r>
      <w:proofErr w:type="spellStart"/>
      <w:r w:rsidRPr="00287BCF">
        <w:rPr>
          <w:rFonts w:ascii="Arial" w:hAnsi="Arial" w:cs="Arial"/>
          <w:color w:val="000000"/>
          <w:sz w:val="22"/>
          <w:szCs w:val="22"/>
          <w:lang w:val="en-US"/>
        </w:rPr>
        <w:t>judgement</w:t>
      </w:r>
      <w:proofErr w:type="spellEnd"/>
      <w:r w:rsidRPr="00287BCF">
        <w:rPr>
          <w:rFonts w:ascii="Arial" w:hAnsi="Arial" w:cs="Arial"/>
          <w:color w:val="000000"/>
          <w:sz w:val="22"/>
          <w:szCs w:val="22"/>
          <w:lang w:val="en-US"/>
        </w:rPr>
        <w:t>, including the assessment of the risks of material misstatement of the financial statements whether due to fraud or error.  In making those risk assessments, the auditor considers internal control relevant to the Department’s preparation and fair presentation of the financial statements in order to design audit procedures that are appropriate in the circumstances.  An audit also includes evaluating the appropriateness of the accounting policies used and the reasonableness of accounting estimates made by the Director General, as well as evaluating the overall presentation of the financial statements.</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I believe that the audit evidence obtained is suffic</w:t>
      </w:r>
      <w:r w:rsidR="0011613C">
        <w:rPr>
          <w:rFonts w:ascii="Arial" w:hAnsi="Arial" w:cs="Arial"/>
          <w:color w:val="000000"/>
          <w:sz w:val="22"/>
          <w:szCs w:val="22"/>
          <w:lang w:val="en-US"/>
        </w:rPr>
        <w:t>i</w:t>
      </w:r>
      <w:r w:rsidRPr="00287BCF">
        <w:rPr>
          <w:rFonts w:ascii="Arial" w:hAnsi="Arial" w:cs="Arial"/>
          <w:color w:val="000000"/>
          <w:sz w:val="22"/>
          <w:szCs w:val="22"/>
          <w:lang w:val="en-US"/>
        </w:rPr>
        <w:t>ent and appropriate to provide a basis for my audit opinion.</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i/>
          <w:iCs/>
          <w:color w:val="000000"/>
          <w:sz w:val="22"/>
          <w:szCs w:val="22"/>
          <w:lang w:val="en-US"/>
        </w:rPr>
        <w:t>Opinion</w:t>
      </w:r>
      <w:r w:rsidRPr="00287BCF">
        <w:rPr>
          <w:rFonts w:ascii="Arial" w:hAnsi="Arial" w:cs="Arial"/>
          <w:b/>
          <w:bCs/>
          <w:i/>
          <w:iCs/>
          <w:color w:val="000000"/>
          <w:sz w:val="22"/>
          <w:szCs w:val="22"/>
          <w:lang w:val="en-US"/>
        </w:rPr>
        <w:br/>
      </w:r>
      <w:r w:rsidRPr="00287BCF">
        <w:rPr>
          <w:rFonts w:ascii="Arial" w:hAnsi="Arial" w:cs="Arial"/>
          <w:color w:val="000000"/>
          <w:sz w:val="22"/>
          <w:szCs w:val="22"/>
          <w:lang w:val="en-US"/>
        </w:rPr>
        <w:t>In my opinion, the financial statements are based on proper accounts and present fairly, in all material respects, the financial position of the Department of the Premier and Cabinet at 30 June 2015 and its financial performance and cash flows for the year then ended.  They are in accordance with Australian Accounting Standards and the Treasurer’s Instructions.</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Report on Controls</w:t>
      </w:r>
      <w:r w:rsidRPr="00287BCF">
        <w:rPr>
          <w:rFonts w:ascii="Arial" w:hAnsi="Arial" w:cs="Arial"/>
          <w:b/>
          <w:bCs/>
          <w:color w:val="000000"/>
          <w:sz w:val="22"/>
          <w:szCs w:val="22"/>
          <w:lang w:val="en-US"/>
        </w:rPr>
        <w:br/>
      </w:r>
      <w:r w:rsidRPr="00287BCF">
        <w:rPr>
          <w:rFonts w:ascii="Arial" w:hAnsi="Arial" w:cs="Arial"/>
          <w:color w:val="000000"/>
          <w:sz w:val="22"/>
          <w:szCs w:val="22"/>
          <w:lang w:val="en-US"/>
        </w:rPr>
        <w:t>I have audited the controls exercised by the Department of the Premier and Cabinet during the year ended 30 June 2015.</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Controls exercised by the Department of the Premier and Cabinet are those policies and procedures established by the Director General to ensure that the receipt, expenditure and investment of money, the acquisition and disposal of property, and the incurring of liabilities have been in accordance with legislative provisions.</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i/>
          <w:iCs/>
          <w:color w:val="000000"/>
          <w:sz w:val="22"/>
          <w:szCs w:val="22"/>
          <w:lang w:val="en-US"/>
        </w:rPr>
        <w:t>Director General’s Responsibility for Controls</w:t>
      </w:r>
      <w:r w:rsidRPr="00287BCF">
        <w:rPr>
          <w:rFonts w:ascii="Arial" w:hAnsi="Arial" w:cs="Arial"/>
          <w:i/>
          <w:iCs/>
          <w:color w:val="000000"/>
          <w:sz w:val="22"/>
          <w:szCs w:val="22"/>
          <w:lang w:val="en-US"/>
        </w:rPr>
        <w:br/>
      </w:r>
      <w:r w:rsidRPr="00287BCF">
        <w:rPr>
          <w:rFonts w:ascii="Arial" w:hAnsi="Arial" w:cs="Arial"/>
          <w:color w:val="000000"/>
          <w:sz w:val="22"/>
          <w:szCs w:val="22"/>
          <w:lang w:val="en-US"/>
        </w:rPr>
        <w:t xml:space="preserve">The Director General is responsible for maintaining an adequate system of internal control to ensure that the receipt, expenditure and investment of money, the acquisition and disposal of public and other property, and the incurring of liabilities are in accordance with the </w:t>
      </w:r>
      <w:r w:rsidRPr="00287BCF">
        <w:rPr>
          <w:rFonts w:ascii="Arial" w:hAnsi="Arial" w:cs="Arial"/>
          <w:i/>
          <w:iCs/>
          <w:color w:val="000000"/>
          <w:sz w:val="22"/>
          <w:szCs w:val="22"/>
          <w:lang w:val="en-US"/>
        </w:rPr>
        <w:t>Financial Management Act 2006</w:t>
      </w:r>
      <w:r w:rsidRPr="00287BCF">
        <w:rPr>
          <w:rFonts w:ascii="Arial" w:hAnsi="Arial" w:cs="Arial"/>
          <w:color w:val="000000"/>
          <w:sz w:val="22"/>
          <w:szCs w:val="22"/>
          <w:lang w:val="en-US"/>
        </w:rPr>
        <w:t xml:space="preserve"> and the Treasurer’s Instructions, and other relevant written law.</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i/>
          <w:iCs/>
          <w:color w:val="000000"/>
          <w:sz w:val="22"/>
          <w:szCs w:val="22"/>
          <w:lang w:val="en-US"/>
        </w:rPr>
        <w:t>Auditor’s Responsibility</w:t>
      </w:r>
      <w:r w:rsidRPr="00287BCF">
        <w:rPr>
          <w:rFonts w:ascii="Arial" w:hAnsi="Arial" w:cs="Arial"/>
          <w:i/>
          <w:iCs/>
          <w:color w:val="000000"/>
          <w:sz w:val="22"/>
          <w:szCs w:val="22"/>
          <w:lang w:val="en-US"/>
        </w:rPr>
        <w:br/>
      </w:r>
      <w:r w:rsidRPr="00287BCF">
        <w:rPr>
          <w:rFonts w:ascii="Arial" w:hAnsi="Arial" w:cs="Arial"/>
          <w:color w:val="000000"/>
          <w:sz w:val="22"/>
          <w:szCs w:val="22"/>
          <w:lang w:val="en-US"/>
        </w:rPr>
        <w:t xml:space="preserve">As required by the </w:t>
      </w:r>
      <w:r w:rsidRPr="00287BCF">
        <w:rPr>
          <w:rFonts w:ascii="Arial" w:hAnsi="Arial" w:cs="Arial"/>
          <w:i/>
          <w:iCs/>
          <w:color w:val="000000"/>
          <w:sz w:val="22"/>
          <w:szCs w:val="22"/>
          <w:lang w:val="en-US"/>
        </w:rPr>
        <w:t>Auditor General Act 2006</w:t>
      </w:r>
      <w:r w:rsidRPr="00287BCF">
        <w:rPr>
          <w:rFonts w:ascii="Arial" w:hAnsi="Arial" w:cs="Arial"/>
          <w:color w:val="000000"/>
          <w:sz w:val="22"/>
          <w:szCs w:val="22"/>
          <w:lang w:val="en-US"/>
        </w:rPr>
        <w:t>, my responsibility is to express an opinion on the controls exercised by the Department of the Premier and Cabinet based on my audit conducted in accordance with Australian Auditing and Assurance Standards.</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 xml:space="preserve">An audit performing procedures to obtain audit evidence about the adequacy of controls to ensure that the Department complies with the legislative provisions.  The procedures selected depend on the auditor’s </w:t>
      </w:r>
      <w:proofErr w:type="spellStart"/>
      <w:r w:rsidRPr="00287BCF">
        <w:rPr>
          <w:rFonts w:ascii="Arial" w:hAnsi="Arial" w:cs="Arial"/>
          <w:color w:val="000000"/>
          <w:sz w:val="22"/>
          <w:szCs w:val="22"/>
          <w:lang w:val="en-US"/>
        </w:rPr>
        <w:t>judgement</w:t>
      </w:r>
      <w:proofErr w:type="spellEnd"/>
      <w:r w:rsidRPr="00287BCF">
        <w:rPr>
          <w:rFonts w:ascii="Arial" w:hAnsi="Arial" w:cs="Arial"/>
          <w:color w:val="000000"/>
          <w:sz w:val="22"/>
          <w:szCs w:val="22"/>
          <w:lang w:val="en-US"/>
        </w:rPr>
        <w:t xml:space="preserve"> and include an evaluation of the design and implementation of relevant controls.</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I believe that the audit evidence obtained is sufficient and appropriate to provide a basis for my audit opinion.</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i/>
          <w:iCs/>
          <w:color w:val="000000"/>
          <w:sz w:val="22"/>
          <w:szCs w:val="22"/>
          <w:lang w:val="en-US"/>
        </w:rPr>
        <w:t>Opinion</w:t>
      </w:r>
      <w:r w:rsidRPr="00287BCF">
        <w:rPr>
          <w:rFonts w:ascii="Arial" w:hAnsi="Arial" w:cs="Arial"/>
          <w:b/>
          <w:bCs/>
          <w:i/>
          <w:iCs/>
          <w:color w:val="000000"/>
          <w:sz w:val="22"/>
          <w:szCs w:val="22"/>
          <w:lang w:val="en-US"/>
        </w:rPr>
        <w:br/>
      </w:r>
      <w:r w:rsidRPr="00287BCF">
        <w:rPr>
          <w:rFonts w:ascii="Arial" w:hAnsi="Arial" w:cs="Arial"/>
          <w:color w:val="000000"/>
          <w:sz w:val="22"/>
          <w:szCs w:val="22"/>
          <w:lang w:val="en-US"/>
        </w:rPr>
        <w:t>In my opinion, the controls exercised by the Department of the Premier and Cabinet are sufficiently adequate to provide reasonable assurance that the receipt, expenditure and investment of money, the acquisition and disposal of property, and the incurring of liabilities have been in accordance with the legislative provisions during the year ended 30 June 2015.</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Report on the Key Performance Indicators</w:t>
      </w:r>
      <w:r w:rsidRPr="00287BCF">
        <w:rPr>
          <w:rFonts w:ascii="Arial" w:hAnsi="Arial" w:cs="Arial"/>
          <w:b/>
          <w:bCs/>
          <w:color w:val="000000"/>
          <w:sz w:val="22"/>
          <w:szCs w:val="22"/>
          <w:lang w:val="en-US"/>
        </w:rPr>
        <w:br/>
      </w:r>
      <w:r w:rsidRPr="00287BCF">
        <w:rPr>
          <w:rFonts w:ascii="Arial" w:hAnsi="Arial" w:cs="Arial"/>
          <w:color w:val="000000"/>
          <w:sz w:val="22"/>
          <w:szCs w:val="22"/>
          <w:lang w:val="en-US"/>
        </w:rPr>
        <w:t>I have audited the key performance indicators of the Department of the Premier and Cabinet for the year ended 30 June 2015.</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The key performance indicators are the key effectiveness indicators and the key efficiency indicators that provide information on outcome achievement and service provision.</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i/>
          <w:iCs/>
          <w:color w:val="000000"/>
          <w:sz w:val="22"/>
          <w:szCs w:val="22"/>
          <w:lang w:val="en-US"/>
        </w:rPr>
        <w:t>Director General’s Responsibility for the Key Performance Indicators</w:t>
      </w:r>
      <w:r w:rsidRPr="00287BCF">
        <w:rPr>
          <w:rFonts w:ascii="Arial" w:hAnsi="Arial" w:cs="Arial"/>
          <w:i/>
          <w:iCs/>
          <w:color w:val="000000"/>
          <w:sz w:val="22"/>
          <w:szCs w:val="22"/>
          <w:lang w:val="en-US"/>
        </w:rPr>
        <w:br/>
      </w:r>
      <w:r w:rsidRPr="00287BCF">
        <w:rPr>
          <w:rFonts w:ascii="Arial" w:hAnsi="Arial" w:cs="Arial"/>
          <w:color w:val="000000"/>
          <w:sz w:val="22"/>
          <w:szCs w:val="22"/>
          <w:lang w:val="en-US"/>
        </w:rPr>
        <w:t xml:space="preserve">The Director General is responsible for the preparation and fair presentation of the key performance indicators in accordance with the </w:t>
      </w:r>
      <w:r w:rsidRPr="00287BCF">
        <w:rPr>
          <w:rFonts w:ascii="Arial" w:hAnsi="Arial" w:cs="Arial"/>
          <w:i/>
          <w:iCs/>
          <w:color w:val="000000"/>
          <w:sz w:val="22"/>
          <w:szCs w:val="22"/>
          <w:lang w:val="en-US"/>
        </w:rPr>
        <w:t>Financial Management Act 2006</w:t>
      </w:r>
      <w:r w:rsidRPr="00287BCF">
        <w:rPr>
          <w:rFonts w:ascii="Arial" w:hAnsi="Arial" w:cs="Arial"/>
          <w:color w:val="000000"/>
          <w:sz w:val="22"/>
          <w:szCs w:val="22"/>
          <w:lang w:val="en-US"/>
        </w:rPr>
        <w:t xml:space="preserve"> and the Treasurer’s Instructions and for such controls as the Director General determines necessary to ensure that the key performance indicators fairly represent indicated performance.</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i/>
          <w:iCs/>
          <w:color w:val="000000"/>
          <w:sz w:val="22"/>
          <w:szCs w:val="22"/>
          <w:lang w:val="en-US"/>
        </w:rPr>
        <w:t>Auditor’s Responsibility</w:t>
      </w:r>
      <w:r w:rsidRPr="00287BCF">
        <w:rPr>
          <w:rFonts w:ascii="Arial" w:hAnsi="Arial" w:cs="Arial"/>
          <w:i/>
          <w:iCs/>
          <w:color w:val="000000"/>
          <w:sz w:val="22"/>
          <w:szCs w:val="22"/>
          <w:lang w:val="en-US"/>
        </w:rPr>
        <w:br/>
      </w:r>
      <w:r w:rsidRPr="00287BCF">
        <w:rPr>
          <w:rFonts w:ascii="Arial" w:hAnsi="Arial" w:cs="Arial"/>
          <w:color w:val="000000"/>
          <w:sz w:val="22"/>
          <w:szCs w:val="22"/>
          <w:lang w:val="en-US"/>
        </w:rPr>
        <w:t xml:space="preserve">As required by the </w:t>
      </w:r>
      <w:r w:rsidRPr="00287BCF">
        <w:rPr>
          <w:rFonts w:ascii="Arial" w:hAnsi="Arial" w:cs="Arial"/>
          <w:i/>
          <w:iCs/>
          <w:color w:val="000000"/>
          <w:sz w:val="22"/>
          <w:szCs w:val="22"/>
          <w:lang w:val="en-US"/>
        </w:rPr>
        <w:t>Auditor General Act 2006</w:t>
      </w:r>
      <w:r w:rsidRPr="00287BCF">
        <w:rPr>
          <w:rFonts w:ascii="Arial" w:hAnsi="Arial" w:cs="Arial"/>
          <w:color w:val="000000"/>
          <w:sz w:val="22"/>
          <w:szCs w:val="22"/>
          <w:lang w:val="en-US"/>
        </w:rPr>
        <w:t>, my responsibility is to express an opinion on the key performance indicators based on my audit conducted in accordance with Australian Auditing and Assurance Standards.</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 xml:space="preserve">An audit involves performing procedures to obtain audit evidence about the key performance indicators.  The procedures selected depend on the auditor’s </w:t>
      </w:r>
      <w:proofErr w:type="spellStart"/>
      <w:r w:rsidRPr="00287BCF">
        <w:rPr>
          <w:rFonts w:ascii="Arial" w:hAnsi="Arial" w:cs="Arial"/>
          <w:color w:val="000000"/>
          <w:sz w:val="22"/>
          <w:szCs w:val="22"/>
          <w:lang w:val="en-US"/>
        </w:rPr>
        <w:t>judgement</w:t>
      </w:r>
      <w:proofErr w:type="spellEnd"/>
      <w:r w:rsidRPr="00287BCF">
        <w:rPr>
          <w:rFonts w:ascii="Arial" w:hAnsi="Arial" w:cs="Arial"/>
          <w:color w:val="000000"/>
          <w:sz w:val="22"/>
          <w:szCs w:val="22"/>
          <w:lang w:val="en-US"/>
        </w:rPr>
        <w:t>, including the assessment of the risks of material misstatement of the key performance indicators.  In making these risk assessments the auditor considers internal control relevant to the Director General’s preparation and fair presentation of the key performance indicators in order to design audit procedures that are appropriate in the circumstances.  An audit also includes evaluating the relevance and appropriateness of the key performance indicators for measuring the extent of outcome achievement and service provision.</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color w:val="000000"/>
          <w:sz w:val="22"/>
          <w:szCs w:val="22"/>
          <w:lang w:val="en-US"/>
        </w:rPr>
        <w:t>I believe that the audit evidence obtained is sufficient and appropriate to provide a basis for my audit opinion.</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i/>
          <w:iCs/>
          <w:color w:val="000000"/>
          <w:sz w:val="22"/>
          <w:szCs w:val="22"/>
          <w:lang w:val="en-US"/>
        </w:rPr>
        <w:t>Opinion</w:t>
      </w:r>
      <w:r w:rsidRPr="00287BCF">
        <w:rPr>
          <w:rFonts w:ascii="Arial" w:hAnsi="Arial" w:cs="Arial"/>
          <w:b/>
          <w:bCs/>
          <w:i/>
          <w:iCs/>
          <w:color w:val="000000"/>
          <w:sz w:val="22"/>
          <w:szCs w:val="22"/>
          <w:lang w:val="en-US"/>
        </w:rPr>
        <w:br/>
      </w:r>
      <w:r w:rsidRPr="00287BCF">
        <w:rPr>
          <w:rFonts w:ascii="Arial" w:hAnsi="Arial" w:cs="Arial"/>
          <w:color w:val="000000"/>
          <w:sz w:val="22"/>
          <w:szCs w:val="22"/>
          <w:lang w:val="en-US"/>
        </w:rPr>
        <w:t>In my opinion, the key performance indicators of the Department of the Premier and Cabinet are relevant and appropriate to assist users to assess the Department’s performance and fairly represent indicated performance for the year ended 30 June 2015.</w:t>
      </w:r>
    </w:p>
    <w:p w:rsidR="00287BCF" w:rsidRP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Independence</w:t>
      </w:r>
      <w:r w:rsidRPr="00287BCF">
        <w:rPr>
          <w:rFonts w:ascii="Arial" w:hAnsi="Arial" w:cs="Arial"/>
          <w:b/>
          <w:bCs/>
          <w:color w:val="000000"/>
          <w:sz w:val="22"/>
          <w:szCs w:val="22"/>
          <w:lang w:val="en-US"/>
        </w:rPr>
        <w:br/>
      </w:r>
      <w:r w:rsidRPr="00287BCF">
        <w:rPr>
          <w:rFonts w:ascii="Arial" w:hAnsi="Arial" w:cs="Arial"/>
          <w:color w:val="000000"/>
          <w:sz w:val="22"/>
          <w:szCs w:val="22"/>
          <w:lang w:val="en-US"/>
        </w:rPr>
        <w:t xml:space="preserve">In conducting this audit, I have complied with the independence requirements of the </w:t>
      </w:r>
      <w:r w:rsidRPr="00287BCF">
        <w:rPr>
          <w:rFonts w:ascii="Arial" w:hAnsi="Arial" w:cs="Arial"/>
          <w:i/>
          <w:iCs/>
          <w:color w:val="000000"/>
          <w:sz w:val="22"/>
          <w:szCs w:val="22"/>
          <w:lang w:val="en-US"/>
        </w:rPr>
        <w:t>Auditor General Act 2006</w:t>
      </w:r>
      <w:r w:rsidRPr="00287BCF">
        <w:rPr>
          <w:rFonts w:ascii="Arial" w:hAnsi="Arial" w:cs="Arial"/>
          <w:color w:val="000000"/>
          <w:sz w:val="22"/>
          <w:szCs w:val="22"/>
          <w:lang w:val="en-US"/>
        </w:rPr>
        <w:t xml:space="preserve"> and Australian and Assurance Standards, and other relevant ethical requirements.</w:t>
      </w:r>
    </w:p>
    <w:p w:rsidR="00287BCF" w:rsidRDefault="00287BCF" w:rsidP="00287BCF">
      <w:pPr>
        <w:suppressAutoHyphens/>
        <w:autoSpaceDE w:val="0"/>
        <w:autoSpaceDN w:val="0"/>
        <w:adjustRightInd w:val="0"/>
        <w:spacing w:line="288" w:lineRule="auto"/>
        <w:textAlignment w:val="center"/>
        <w:rPr>
          <w:rFonts w:ascii="Arial" w:hAnsi="Arial" w:cs="Arial"/>
          <w:color w:val="000000"/>
          <w:sz w:val="22"/>
          <w:szCs w:val="22"/>
          <w:lang w:val="en-US"/>
        </w:rPr>
      </w:pPr>
      <w:r w:rsidRPr="00287BCF">
        <w:rPr>
          <w:rFonts w:ascii="Arial" w:hAnsi="Arial" w:cs="Arial"/>
          <w:b/>
          <w:bCs/>
          <w:color w:val="000000"/>
          <w:sz w:val="22"/>
          <w:szCs w:val="22"/>
          <w:lang w:val="en-US"/>
        </w:rPr>
        <w:t>Matters Relating to the Electronic Publication of the Audited Financial Statements and Key Performance Indicators</w:t>
      </w:r>
      <w:r w:rsidRPr="00287BCF">
        <w:rPr>
          <w:rFonts w:ascii="Arial" w:hAnsi="Arial" w:cs="Arial"/>
          <w:b/>
          <w:bCs/>
          <w:color w:val="000000"/>
          <w:sz w:val="22"/>
          <w:szCs w:val="22"/>
          <w:lang w:val="en-US"/>
        </w:rPr>
        <w:br/>
      </w:r>
      <w:r w:rsidRPr="00287BCF">
        <w:rPr>
          <w:rFonts w:ascii="Arial" w:hAnsi="Arial" w:cs="Arial"/>
          <w:color w:val="000000"/>
          <w:sz w:val="22"/>
          <w:szCs w:val="22"/>
          <w:lang w:val="en-US"/>
        </w:rPr>
        <w:t>This auditor’s report relates to the financial statements and key performance indicators of the Department of the Premier and Cabinet for the year ended 30 June 2015 included on the Department’s website.  The Department’s management is responsible for the integrity of the Department website.  This audit does not provide assurance on the integrity of the Department’s website.  The auditor’s report refers only to the financial statements and key performance indicators described above.  It does not provide an opinion on any other information which may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rsidR="009C5417" w:rsidRPr="00287BCF" w:rsidRDefault="009C5417" w:rsidP="00287BCF">
      <w:pPr>
        <w:suppressAutoHyphens/>
        <w:autoSpaceDE w:val="0"/>
        <w:autoSpaceDN w:val="0"/>
        <w:adjustRightInd w:val="0"/>
        <w:spacing w:line="288" w:lineRule="auto"/>
        <w:textAlignment w:val="center"/>
        <w:rPr>
          <w:rFonts w:ascii="Arial" w:hAnsi="Arial" w:cs="Arial"/>
          <w:color w:val="000000"/>
          <w:sz w:val="22"/>
          <w:szCs w:val="22"/>
          <w:lang w:val="en-US"/>
        </w:rPr>
      </w:pPr>
      <w:r>
        <w:rPr>
          <w:rFonts w:ascii="Arial" w:hAnsi="Arial" w:cs="Arial"/>
          <w:color w:val="000000"/>
          <w:sz w:val="22"/>
          <w:szCs w:val="22"/>
          <w:lang w:val="en-US"/>
        </w:rPr>
        <w:t>COLIN MURPHY</w:t>
      </w:r>
      <w:r>
        <w:rPr>
          <w:rFonts w:ascii="Arial" w:hAnsi="Arial" w:cs="Arial"/>
          <w:color w:val="000000"/>
          <w:sz w:val="22"/>
          <w:szCs w:val="22"/>
          <w:lang w:val="en-US"/>
        </w:rPr>
        <w:br/>
        <w:t>AUDITOR GENERAL</w:t>
      </w:r>
      <w:r>
        <w:rPr>
          <w:rFonts w:ascii="Arial" w:hAnsi="Arial" w:cs="Arial"/>
          <w:color w:val="000000"/>
          <w:sz w:val="22"/>
          <w:szCs w:val="22"/>
          <w:lang w:val="en-US"/>
        </w:rPr>
        <w:br/>
        <w:t>FOR WESTERN AUSTRALIA</w:t>
      </w:r>
      <w:r>
        <w:rPr>
          <w:rFonts w:ascii="Arial" w:hAnsi="Arial" w:cs="Arial"/>
          <w:color w:val="000000"/>
          <w:sz w:val="22"/>
          <w:szCs w:val="22"/>
          <w:lang w:val="en-US"/>
        </w:rPr>
        <w:br/>
        <w:t>Perth, Western Australia</w:t>
      </w:r>
      <w:r>
        <w:rPr>
          <w:rFonts w:ascii="Arial" w:hAnsi="Arial" w:cs="Arial"/>
          <w:color w:val="000000"/>
          <w:sz w:val="22"/>
          <w:szCs w:val="22"/>
          <w:lang w:val="en-US"/>
        </w:rPr>
        <w:br/>
        <w:t>31 July 2015</w:t>
      </w:r>
    </w:p>
    <w:p w:rsidR="001426A4" w:rsidRDefault="001426A4" w:rsidP="00064756"/>
    <w:p w:rsidR="009C5417" w:rsidRDefault="009C5417" w:rsidP="001630AB">
      <w:pPr>
        <w:rPr>
          <w:lang w:eastAsia="en-AU"/>
        </w:rPr>
      </w:pPr>
      <w:bookmarkStart w:id="431" w:name="_Toc425370390"/>
      <w:bookmarkStart w:id="432" w:name="_Toc425607425"/>
      <w:bookmarkStart w:id="433" w:name="_Toc426104619"/>
      <w:bookmarkStart w:id="434" w:name="_Toc426637598"/>
    </w:p>
    <w:p w:rsidR="007E2861" w:rsidRPr="00C724A8" w:rsidRDefault="007E2861" w:rsidP="009C5417">
      <w:pPr>
        <w:pStyle w:val="Heading1"/>
      </w:pPr>
      <w:bookmarkStart w:id="435" w:name="_Toc430547905"/>
      <w:r w:rsidRPr="00C724A8">
        <w:t>Financial Statements</w:t>
      </w:r>
      <w:bookmarkEnd w:id="431"/>
      <w:bookmarkEnd w:id="432"/>
      <w:bookmarkEnd w:id="433"/>
      <w:bookmarkEnd w:id="434"/>
      <w:bookmarkEnd w:id="435"/>
    </w:p>
    <w:p w:rsidR="007E2861" w:rsidRPr="009C5417" w:rsidRDefault="007E2861" w:rsidP="009C5417">
      <w:pPr>
        <w:pStyle w:val="Heading1"/>
        <w:rPr>
          <w:color w:val="17365D" w:themeColor="text2" w:themeShade="BF"/>
          <w:sz w:val="32"/>
          <w:szCs w:val="32"/>
        </w:rPr>
      </w:pPr>
      <w:bookmarkStart w:id="436" w:name="_Toc430547906"/>
      <w:r w:rsidRPr="009C5417">
        <w:rPr>
          <w:color w:val="17365D" w:themeColor="text2" w:themeShade="BF"/>
          <w:sz w:val="36"/>
          <w:szCs w:val="36"/>
        </w:rPr>
        <w:t>Department of the Premier and Cabinet</w:t>
      </w:r>
      <w:r w:rsidRPr="009C5417">
        <w:rPr>
          <w:color w:val="17365D" w:themeColor="text2" w:themeShade="BF"/>
          <w:sz w:val="36"/>
          <w:szCs w:val="36"/>
        </w:rPr>
        <w:br/>
      </w:r>
      <w:r w:rsidRPr="009C5417">
        <w:rPr>
          <w:color w:val="17365D" w:themeColor="text2" w:themeShade="BF"/>
          <w:sz w:val="32"/>
          <w:szCs w:val="32"/>
        </w:rPr>
        <w:t>for the year ending 30 June 2015</w:t>
      </w:r>
      <w:bookmarkEnd w:id="436"/>
    </w:p>
    <w:p w:rsidR="007E2861" w:rsidRDefault="007E2861" w:rsidP="009C5417"/>
    <w:p w:rsidR="00D31C4E" w:rsidRDefault="009C5417" w:rsidP="00D31C4E">
      <w:pPr>
        <w:pStyle w:val="Heading2"/>
        <w:spacing w:before="0" w:after="60"/>
        <w:rPr>
          <w:lang w:val="en-GB"/>
        </w:rPr>
      </w:pPr>
      <w:bookmarkStart w:id="437" w:name="_Toc430547907"/>
      <w:r w:rsidRPr="00D31C4E">
        <w:rPr>
          <w:lang w:val="en-GB"/>
        </w:rPr>
        <w:t>Certification of Financial Statements</w:t>
      </w:r>
      <w:bookmarkEnd w:id="437"/>
    </w:p>
    <w:p w:rsidR="009C5417" w:rsidRPr="00D31C4E" w:rsidRDefault="00D31C4E" w:rsidP="00D31C4E">
      <w:pPr>
        <w:pStyle w:val="Heading2"/>
        <w:spacing w:before="0" w:after="60"/>
        <w:rPr>
          <w:sz w:val="32"/>
          <w:szCs w:val="32"/>
          <w:lang w:val="en-US"/>
        </w:rPr>
      </w:pPr>
      <w:bookmarkStart w:id="438" w:name="_Toc430547908"/>
      <w:r w:rsidRPr="00D31C4E">
        <w:rPr>
          <w:sz w:val="32"/>
          <w:szCs w:val="32"/>
          <w:lang w:val="en-US"/>
        </w:rPr>
        <w:t>f</w:t>
      </w:r>
      <w:r w:rsidR="009C5417" w:rsidRPr="00D31C4E">
        <w:rPr>
          <w:sz w:val="32"/>
          <w:szCs w:val="32"/>
          <w:lang w:val="en-US"/>
        </w:rPr>
        <w:t>or the year ending 30 June 2015</w:t>
      </w:r>
      <w:bookmarkEnd w:id="438"/>
    </w:p>
    <w:p w:rsidR="007E2861" w:rsidRDefault="007E2861" w:rsidP="00D31C4E"/>
    <w:p w:rsidR="00D31C4E" w:rsidRPr="00D31C4E" w:rsidRDefault="00D31C4E" w:rsidP="00D31C4E">
      <w:pPr>
        <w:rPr>
          <w:color w:val="000000"/>
          <w:lang w:val="en-US"/>
        </w:rPr>
      </w:pPr>
      <w:r w:rsidRPr="00D31C4E">
        <w:rPr>
          <w:color w:val="000000"/>
          <w:lang w:val="en-US"/>
        </w:rPr>
        <w:t xml:space="preserve">The accompanying financial statements of the Department of the Premier and Cabinet have been prepared in compliance with the provisions of the </w:t>
      </w:r>
      <w:r w:rsidRPr="00D31C4E">
        <w:rPr>
          <w:i/>
          <w:iCs/>
          <w:color w:val="000000"/>
          <w:lang w:val="en-US"/>
        </w:rPr>
        <w:t>Financial Management Act 2006</w:t>
      </w:r>
      <w:r w:rsidRPr="00D31C4E">
        <w:rPr>
          <w:color w:val="000000"/>
          <w:lang w:val="en-US"/>
        </w:rPr>
        <w:t xml:space="preserve"> from proper accounts and records to present fairly the financial transactions for the financial year ended</w:t>
      </w:r>
      <w:r>
        <w:rPr>
          <w:color w:val="000000"/>
          <w:lang w:val="en-US"/>
        </w:rPr>
        <w:t xml:space="preserve"> </w:t>
      </w:r>
      <w:r w:rsidRPr="00D31C4E">
        <w:rPr>
          <w:color w:val="000000"/>
          <w:lang w:val="en-US"/>
        </w:rPr>
        <w:t>30 June 2015 and the financi</w:t>
      </w:r>
      <w:r>
        <w:rPr>
          <w:color w:val="000000"/>
          <w:lang w:val="en-US"/>
        </w:rPr>
        <w:t>al position as at 30 June 2015.</w:t>
      </w:r>
    </w:p>
    <w:p w:rsidR="00D31C4E" w:rsidRPr="00D31C4E" w:rsidRDefault="00D31C4E" w:rsidP="00D31C4E">
      <w:pPr>
        <w:rPr>
          <w:color w:val="000000"/>
          <w:lang w:val="en-US"/>
        </w:rPr>
      </w:pPr>
      <w:r w:rsidRPr="00D31C4E">
        <w:rPr>
          <w:color w:val="000000"/>
          <w:lang w:val="en-US"/>
        </w:rPr>
        <w:t>At the date of signing we are not aware of any circumstances which would render any particulars included in the financial statements misleading or inaccurate.</w:t>
      </w:r>
    </w:p>
    <w:p w:rsidR="007E2861" w:rsidRDefault="007E2861" w:rsidP="00D31C4E"/>
    <w:p w:rsidR="00D31C4E" w:rsidRDefault="00D31C4E" w:rsidP="00D31C4E">
      <w:pPr>
        <w:rPr>
          <w:b/>
        </w:rPr>
      </w:pPr>
      <w:r>
        <w:t>P E PRIDE</w:t>
      </w:r>
      <w:r>
        <w:br/>
      </w:r>
      <w:r>
        <w:rPr>
          <w:b/>
        </w:rPr>
        <w:t>CHIEF FINANCIAL OFFICER</w:t>
      </w:r>
    </w:p>
    <w:p w:rsidR="00D31C4E" w:rsidRDefault="00D31C4E" w:rsidP="00D31C4E">
      <w:r>
        <w:t>30 July 2015</w:t>
      </w:r>
    </w:p>
    <w:p w:rsidR="007E2861" w:rsidRDefault="007E2861" w:rsidP="00064756"/>
    <w:p w:rsidR="00D31C4E" w:rsidRDefault="00D31C4E" w:rsidP="00064756">
      <w:pPr>
        <w:rPr>
          <w:b/>
        </w:rPr>
      </w:pPr>
      <w:r>
        <w:t>PETER CONRAN</w:t>
      </w:r>
      <w:r>
        <w:br/>
      </w:r>
      <w:r>
        <w:rPr>
          <w:b/>
        </w:rPr>
        <w:t>DIRECTOR GENERAL</w:t>
      </w:r>
    </w:p>
    <w:p w:rsidR="00D31C4E" w:rsidRDefault="00D31C4E" w:rsidP="00064756">
      <w:r>
        <w:t>30 July 2015</w:t>
      </w:r>
    </w:p>
    <w:p w:rsidR="008730DB" w:rsidRDefault="008730DB">
      <w:pPr>
        <w:spacing w:line="276" w:lineRule="auto"/>
      </w:pPr>
      <w:r>
        <w:br w:type="page"/>
      </w:r>
    </w:p>
    <w:p w:rsidR="008730DB" w:rsidRDefault="008730DB" w:rsidP="00064756"/>
    <w:p w:rsidR="007E2861" w:rsidRDefault="00312A41" w:rsidP="008730DB">
      <w:pPr>
        <w:rPr>
          <w:rFonts w:ascii="Arial" w:hAnsi="Arial" w:cs="Arial"/>
          <w:color w:val="006699"/>
          <w:sz w:val="28"/>
        </w:rPr>
      </w:pPr>
      <w:bookmarkStart w:id="439" w:name="_Toc425370392"/>
      <w:bookmarkStart w:id="440" w:name="_Toc425607578"/>
      <w:bookmarkStart w:id="441" w:name="_Toc426104621"/>
      <w:bookmarkStart w:id="442" w:name="_Toc426397381"/>
      <w:bookmarkStart w:id="443" w:name="_Toc426637355"/>
      <w:bookmarkStart w:id="444" w:name="_Toc426637600"/>
      <w:r w:rsidRPr="00D145C4">
        <w:rPr>
          <w:rStyle w:val="Heading3Char"/>
        </w:rPr>
        <w:t>Statement of Comprehensive Income</w:t>
      </w:r>
      <w:bookmarkEnd w:id="439"/>
      <w:bookmarkEnd w:id="440"/>
      <w:bookmarkEnd w:id="441"/>
      <w:bookmarkEnd w:id="442"/>
      <w:bookmarkEnd w:id="443"/>
      <w:bookmarkEnd w:id="444"/>
      <w:r w:rsidRPr="00D145C4">
        <w:rPr>
          <w:rStyle w:val="Heading3Char"/>
        </w:rPr>
        <w:br/>
      </w:r>
      <w:r w:rsidRPr="00D145C4">
        <w:rPr>
          <w:rFonts w:ascii="Arial" w:hAnsi="Arial" w:cs="Arial"/>
          <w:color w:val="006699"/>
          <w:sz w:val="28"/>
        </w:rPr>
        <w:t>for the year ended 30 June 2015</w:t>
      </w:r>
    </w:p>
    <w:tbl>
      <w:tblPr>
        <w:tblW w:w="10065" w:type="dxa"/>
        <w:tblInd w:w="-34" w:type="dxa"/>
        <w:tblLook w:val="04A0" w:firstRow="1" w:lastRow="0" w:firstColumn="1" w:lastColumn="0" w:noHBand="0" w:noVBand="1"/>
        <w:tblCaption w:val="Statement of Comprehensive Income"/>
        <w:tblDescription w:val="Statement of Comprehensive Income table"/>
      </w:tblPr>
      <w:tblGrid>
        <w:gridCol w:w="6521"/>
        <w:gridCol w:w="851"/>
        <w:gridCol w:w="1346"/>
        <w:gridCol w:w="1347"/>
      </w:tblGrid>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p>
        </w:tc>
        <w:tc>
          <w:tcPr>
            <w:tcW w:w="851" w:type="dxa"/>
            <w:noWrap/>
            <w:vAlign w:val="bottom"/>
            <w:hideMark/>
          </w:tcPr>
          <w:p w:rsidR="00967FE1" w:rsidRPr="00336BF5" w:rsidRDefault="00967FE1" w:rsidP="001630AB">
            <w:pPr>
              <w:spacing w:after="0"/>
              <w:jc w:val="center"/>
              <w:rPr>
                <w:rFonts w:eastAsia="Times New Roman"/>
                <w:b/>
                <w:color w:val="000000"/>
                <w:lang w:eastAsia="en-AU"/>
              </w:rPr>
            </w:pPr>
            <w:r w:rsidRPr="00336BF5">
              <w:rPr>
                <w:rFonts w:eastAsia="Times New Roman"/>
                <w:b/>
                <w:color w:val="000000"/>
                <w:lang w:eastAsia="en-AU"/>
              </w:rPr>
              <w:t>Note</w:t>
            </w:r>
          </w:p>
        </w:tc>
        <w:tc>
          <w:tcPr>
            <w:tcW w:w="1346" w:type="dxa"/>
            <w:noWrap/>
            <w:vAlign w:val="bottom"/>
            <w:hideMark/>
          </w:tcPr>
          <w:p w:rsidR="00967FE1" w:rsidRPr="00336BF5" w:rsidRDefault="00967FE1" w:rsidP="001630AB">
            <w:pPr>
              <w:spacing w:after="0"/>
              <w:jc w:val="right"/>
              <w:rPr>
                <w:rFonts w:eastAsia="Times New Roman"/>
                <w:b/>
                <w:color w:val="000000"/>
                <w:lang w:eastAsia="en-AU"/>
              </w:rPr>
            </w:pPr>
            <w:r w:rsidRPr="00336BF5">
              <w:rPr>
                <w:rFonts w:eastAsia="Times New Roman"/>
                <w:b/>
                <w:color w:val="000000"/>
                <w:lang w:eastAsia="en-AU"/>
              </w:rPr>
              <w:t>2014</w:t>
            </w:r>
            <w:r>
              <w:rPr>
                <w:rFonts w:eastAsia="Times New Roman"/>
                <w:b/>
                <w:color w:val="000000"/>
                <w:lang w:eastAsia="en-AU"/>
              </w:rPr>
              <w:br/>
            </w:r>
            <w:r w:rsidRPr="00336BF5">
              <w:rPr>
                <w:rFonts w:eastAsia="Times New Roman"/>
                <w:b/>
                <w:color w:val="000000"/>
                <w:lang w:eastAsia="en-AU"/>
              </w:rPr>
              <w:t>$000</w:t>
            </w:r>
          </w:p>
        </w:tc>
        <w:tc>
          <w:tcPr>
            <w:tcW w:w="1347" w:type="dxa"/>
            <w:noWrap/>
            <w:vAlign w:val="bottom"/>
            <w:hideMark/>
          </w:tcPr>
          <w:p w:rsidR="00967FE1" w:rsidRPr="00336BF5" w:rsidRDefault="00967FE1" w:rsidP="001630AB">
            <w:pPr>
              <w:spacing w:after="0"/>
              <w:jc w:val="right"/>
              <w:rPr>
                <w:rFonts w:eastAsia="Times New Roman"/>
                <w:b/>
                <w:color w:val="000000"/>
                <w:lang w:eastAsia="en-AU"/>
              </w:rPr>
            </w:pPr>
            <w:r w:rsidRPr="00336BF5">
              <w:rPr>
                <w:rFonts w:eastAsia="Times New Roman"/>
                <w:b/>
                <w:color w:val="000000"/>
                <w:lang w:eastAsia="en-AU"/>
              </w:rPr>
              <w:t>2015</w:t>
            </w:r>
            <w:r>
              <w:rPr>
                <w:rFonts w:eastAsia="Times New Roman"/>
                <w:b/>
                <w:color w:val="000000"/>
                <w:lang w:eastAsia="en-AU"/>
              </w:rPr>
              <w:br/>
            </w:r>
            <w:r w:rsidRPr="00336BF5">
              <w:rPr>
                <w:rFonts w:eastAsia="Times New Roman"/>
                <w:b/>
                <w:color w:val="000000"/>
                <w:lang w:eastAsia="en-AU"/>
              </w:rPr>
              <w:t>$000</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COST OF SERVICES</w:t>
            </w:r>
          </w:p>
        </w:tc>
        <w:tc>
          <w:tcPr>
            <w:tcW w:w="851" w:type="dxa"/>
            <w:noWrap/>
            <w:vAlign w:val="bottom"/>
            <w:hideMark/>
          </w:tcPr>
          <w:p w:rsidR="00967FE1" w:rsidRPr="00336BF5" w:rsidRDefault="00967FE1" w:rsidP="001630AB">
            <w:pPr>
              <w:spacing w:after="0"/>
              <w:jc w:val="center"/>
              <w:rPr>
                <w:rFonts w:eastAsia="Times New Roman"/>
                <w:b/>
                <w:color w:val="000000"/>
                <w:lang w:eastAsia="en-AU"/>
              </w:rPr>
            </w:pPr>
          </w:p>
        </w:tc>
        <w:tc>
          <w:tcPr>
            <w:tcW w:w="1346" w:type="dxa"/>
            <w:noWrap/>
            <w:vAlign w:val="bottom"/>
            <w:hideMark/>
          </w:tcPr>
          <w:p w:rsidR="00967FE1" w:rsidRPr="00336BF5" w:rsidRDefault="00967FE1" w:rsidP="001630AB">
            <w:pPr>
              <w:spacing w:after="0"/>
              <w:jc w:val="right"/>
              <w:rPr>
                <w:rFonts w:eastAsia="Times New Roman"/>
                <w:b/>
                <w:color w:val="000000"/>
                <w:lang w:eastAsia="en-AU"/>
              </w:rPr>
            </w:pPr>
          </w:p>
        </w:tc>
        <w:tc>
          <w:tcPr>
            <w:tcW w:w="1347" w:type="dxa"/>
            <w:noWrap/>
            <w:vAlign w:val="bottom"/>
            <w:hideMark/>
          </w:tcPr>
          <w:p w:rsidR="00967FE1" w:rsidRPr="00336BF5" w:rsidRDefault="00967FE1" w:rsidP="001630AB">
            <w:pPr>
              <w:spacing w:after="0"/>
              <w:jc w:val="right"/>
              <w:rPr>
                <w:rFonts w:eastAsia="Times New Roman"/>
                <w:b/>
                <w:color w:val="000000"/>
                <w:lang w:eastAsia="en-AU"/>
              </w:rPr>
            </w:pPr>
          </w:p>
        </w:tc>
      </w:tr>
      <w:tr w:rsidR="00967FE1" w:rsidRPr="00967FE1"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Expenses</w:t>
            </w:r>
          </w:p>
        </w:tc>
        <w:tc>
          <w:tcPr>
            <w:tcW w:w="851" w:type="dxa"/>
            <w:noWrap/>
            <w:vAlign w:val="bottom"/>
            <w:hideMark/>
          </w:tcPr>
          <w:p w:rsidR="00967FE1" w:rsidRPr="00336BF5" w:rsidRDefault="00967FE1" w:rsidP="001630AB">
            <w:pPr>
              <w:spacing w:after="0"/>
              <w:jc w:val="center"/>
              <w:rPr>
                <w:rFonts w:eastAsia="Times New Roman"/>
                <w:b/>
                <w:color w:val="000000"/>
                <w:lang w:eastAsia="en-AU"/>
              </w:rPr>
            </w:pPr>
          </w:p>
        </w:tc>
        <w:tc>
          <w:tcPr>
            <w:tcW w:w="1346" w:type="dxa"/>
            <w:noWrap/>
            <w:vAlign w:val="bottom"/>
            <w:hideMark/>
          </w:tcPr>
          <w:p w:rsidR="00967FE1" w:rsidRPr="00336BF5" w:rsidRDefault="00967FE1" w:rsidP="001630AB">
            <w:pPr>
              <w:spacing w:after="0"/>
              <w:jc w:val="right"/>
              <w:rPr>
                <w:rFonts w:eastAsia="Times New Roman"/>
                <w:b/>
                <w:color w:val="000000"/>
                <w:lang w:eastAsia="en-AU"/>
              </w:rPr>
            </w:pPr>
          </w:p>
        </w:tc>
        <w:tc>
          <w:tcPr>
            <w:tcW w:w="1347" w:type="dxa"/>
            <w:noWrap/>
            <w:vAlign w:val="bottom"/>
            <w:hideMark/>
          </w:tcPr>
          <w:p w:rsidR="00967FE1" w:rsidRPr="00336BF5" w:rsidRDefault="00967FE1" w:rsidP="001630AB">
            <w:pPr>
              <w:spacing w:after="0"/>
              <w:jc w:val="right"/>
              <w:rPr>
                <w:rFonts w:eastAsia="Times New Roman"/>
                <w:b/>
                <w:color w:val="000000"/>
                <w:lang w:eastAsia="en-AU"/>
              </w:rPr>
            </w:pP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Employee benefits expense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6</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78,441</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81,316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Supplies and services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7</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33,422</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34,065</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Depreciation and amortisation expense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8</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2,009</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1,766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Accommodation expenses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9</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21,175</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21,666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Grants and subsidies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10</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31,957</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54,706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Loss on disposal of non-current assets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14</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17</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20</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Losses on Foreign operation translation</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20</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Losses on Hedging</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112</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362</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Loss on Other Financial Assets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42</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1,990</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886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Other expenses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11</w:t>
            </w:r>
          </w:p>
        </w:tc>
        <w:tc>
          <w:tcPr>
            <w:tcW w:w="1346"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605</w:t>
            </w:r>
          </w:p>
        </w:tc>
        <w:tc>
          <w:tcPr>
            <w:tcW w:w="1347"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415</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b/>
                <w:color w:val="000000"/>
                <w:lang w:eastAsia="en-AU"/>
              </w:rPr>
              <w:t>Total cost of services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169,728</w:t>
            </w:r>
          </w:p>
        </w:tc>
        <w:tc>
          <w:tcPr>
            <w:tcW w:w="1347"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195,222</w:t>
            </w:r>
          </w:p>
        </w:tc>
      </w:tr>
      <w:tr w:rsidR="00967FE1" w:rsidRPr="00967FE1"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Income</w:t>
            </w:r>
          </w:p>
        </w:tc>
        <w:tc>
          <w:tcPr>
            <w:tcW w:w="851" w:type="dxa"/>
            <w:noWrap/>
            <w:vAlign w:val="bottom"/>
            <w:hideMark/>
          </w:tcPr>
          <w:p w:rsidR="00967FE1" w:rsidRPr="00336BF5" w:rsidRDefault="00967FE1" w:rsidP="001630AB">
            <w:pPr>
              <w:spacing w:after="0"/>
              <w:jc w:val="center"/>
              <w:rPr>
                <w:rFonts w:eastAsia="Times New Roman"/>
                <w:b/>
                <w:color w:val="000000"/>
                <w:lang w:eastAsia="en-AU"/>
              </w:rPr>
            </w:pPr>
          </w:p>
        </w:tc>
        <w:tc>
          <w:tcPr>
            <w:tcW w:w="1346" w:type="dxa"/>
            <w:tcBorders>
              <w:top w:val="single" w:sz="4" w:space="0" w:color="auto"/>
            </w:tcBorders>
            <w:noWrap/>
            <w:vAlign w:val="bottom"/>
            <w:hideMark/>
          </w:tcPr>
          <w:p w:rsidR="00967FE1" w:rsidRPr="00336BF5" w:rsidRDefault="00967FE1" w:rsidP="001630AB">
            <w:pPr>
              <w:spacing w:after="0"/>
              <w:jc w:val="right"/>
              <w:rPr>
                <w:rFonts w:eastAsia="Times New Roman"/>
                <w:b/>
                <w:color w:val="000000"/>
                <w:lang w:eastAsia="en-AU"/>
              </w:rPr>
            </w:pPr>
          </w:p>
        </w:tc>
        <w:tc>
          <w:tcPr>
            <w:tcW w:w="1347" w:type="dxa"/>
            <w:tcBorders>
              <w:top w:val="single" w:sz="4" w:space="0" w:color="auto"/>
            </w:tcBorders>
            <w:noWrap/>
            <w:vAlign w:val="bottom"/>
            <w:hideMark/>
          </w:tcPr>
          <w:p w:rsidR="00967FE1" w:rsidRPr="00336BF5" w:rsidRDefault="00967FE1" w:rsidP="001630AB">
            <w:pPr>
              <w:spacing w:after="0"/>
              <w:jc w:val="right"/>
              <w:rPr>
                <w:rFonts w:eastAsia="Times New Roman"/>
                <w:b/>
                <w:color w:val="000000"/>
                <w:lang w:eastAsia="en-AU"/>
              </w:rPr>
            </w:pPr>
          </w:p>
        </w:tc>
      </w:tr>
      <w:tr w:rsidR="00967FE1" w:rsidRPr="00967FE1" w:rsidTr="00967FE1">
        <w:trPr>
          <w:trHeight w:val="285"/>
        </w:trPr>
        <w:tc>
          <w:tcPr>
            <w:tcW w:w="6521" w:type="dxa"/>
            <w:noWrap/>
            <w:vAlign w:val="bottom"/>
            <w:hideMark/>
          </w:tcPr>
          <w:p w:rsidR="00967FE1" w:rsidRPr="00336BF5" w:rsidRDefault="00967FE1" w:rsidP="001630AB">
            <w:pPr>
              <w:spacing w:after="0"/>
              <w:rPr>
                <w:rFonts w:eastAsia="Times New Roman"/>
                <w:i/>
                <w:color w:val="000000"/>
                <w:lang w:eastAsia="en-AU"/>
              </w:rPr>
            </w:pPr>
            <w:r w:rsidRPr="00336BF5">
              <w:rPr>
                <w:rFonts w:eastAsia="Times New Roman"/>
                <w:i/>
                <w:color w:val="000000"/>
                <w:lang w:eastAsia="en-AU"/>
              </w:rPr>
              <w:t>Revenue</w:t>
            </w:r>
          </w:p>
        </w:tc>
        <w:tc>
          <w:tcPr>
            <w:tcW w:w="851" w:type="dxa"/>
            <w:noWrap/>
            <w:vAlign w:val="bottom"/>
            <w:hideMark/>
          </w:tcPr>
          <w:p w:rsidR="00967FE1" w:rsidRPr="00336BF5" w:rsidRDefault="00967FE1" w:rsidP="001630AB">
            <w:pPr>
              <w:spacing w:after="0"/>
              <w:jc w:val="center"/>
              <w:rPr>
                <w:rFonts w:eastAsia="Times New Roman"/>
                <w:i/>
                <w:color w:val="000000"/>
                <w:lang w:eastAsia="en-AU"/>
              </w:rPr>
            </w:pPr>
          </w:p>
        </w:tc>
        <w:tc>
          <w:tcPr>
            <w:tcW w:w="1346" w:type="dxa"/>
            <w:noWrap/>
            <w:vAlign w:val="bottom"/>
            <w:hideMark/>
          </w:tcPr>
          <w:p w:rsidR="00967FE1" w:rsidRPr="00336BF5" w:rsidRDefault="00967FE1" w:rsidP="001630AB">
            <w:pPr>
              <w:spacing w:after="0"/>
              <w:jc w:val="right"/>
              <w:rPr>
                <w:rFonts w:eastAsia="Times New Roman"/>
                <w:i/>
                <w:color w:val="000000"/>
                <w:lang w:eastAsia="en-AU"/>
              </w:rPr>
            </w:pPr>
          </w:p>
        </w:tc>
        <w:tc>
          <w:tcPr>
            <w:tcW w:w="1347" w:type="dxa"/>
            <w:noWrap/>
            <w:vAlign w:val="bottom"/>
            <w:hideMark/>
          </w:tcPr>
          <w:p w:rsidR="00967FE1" w:rsidRPr="00336BF5" w:rsidRDefault="00967FE1" w:rsidP="001630AB">
            <w:pPr>
              <w:spacing w:after="0"/>
              <w:jc w:val="right"/>
              <w:rPr>
                <w:rFonts w:eastAsia="Times New Roman"/>
                <w:i/>
                <w:color w:val="000000"/>
                <w:lang w:eastAsia="en-AU"/>
              </w:rPr>
            </w:pP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User charges and fees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12</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891</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859</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Sales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1,573</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1,726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Commonwealth grants and contributions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13</w:t>
            </w: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452</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420</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Interest revenue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854</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486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Gains on Foreign operation translation</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66</w:t>
            </w:r>
          </w:p>
        </w:tc>
        <w:tc>
          <w:tcPr>
            <w:tcW w:w="1347"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b/>
                <w:color w:val="000000"/>
                <w:lang w:eastAsia="en-AU"/>
              </w:rPr>
              <w:t>Total Revenue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3,836</w:t>
            </w:r>
          </w:p>
        </w:tc>
        <w:tc>
          <w:tcPr>
            <w:tcW w:w="1347"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3,491</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Total income other than from the State Government</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3,836</w:t>
            </w:r>
          </w:p>
        </w:tc>
        <w:tc>
          <w:tcPr>
            <w:tcW w:w="1347"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3,491</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NET COST OF SERVICES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165,892</w:t>
            </w:r>
          </w:p>
        </w:tc>
        <w:tc>
          <w:tcPr>
            <w:tcW w:w="1347"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191,730</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INCOME FROM STATE GOVERNMENT</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p>
        </w:tc>
        <w:tc>
          <w:tcPr>
            <w:tcW w:w="1347" w:type="dxa"/>
            <w:tcBorders>
              <w:top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color w:val="000000"/>
                <w:lang w:eastAsia="en-AU"/>
              </w:rPr>
              <w:t>Service appropriation</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155,903</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211,286</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Services received free of charge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7,040</w:t>
            </w:r>
          </w:p>
        </w:tc>
        <w:tc>
          <w:tcPr>
            <w:tcW w:w="1347" w:type="dxa"/>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7,298</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color w:val="000000"/>
                <w:lang w:eastAsia="en-AU"/>
              </w:rPr>
              <w:t>Royalties for Regions Fund</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85</w:t>
            </w:r>
          </w:p>
        </w:tc>
        <w:tc>
          <w:tcPr>
            <w:tcW w:w="1347"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121</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b/>
                <w:color w:val="000000"/>
                <w:lang w:eastAsia="en-AU"/>
              </w:rPr>
              <w:t>Total Income from State Government</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r w:rsidRPr="00336BF5">
              <w:rPr>
                <w:rFonts w:eastAsia="Times New Roman"/>
                <w:color w:val="000000"/>
                <w:lang w:eastAsia="en-AU"/>
              </w:rPr>
              <w:t>15</w:t>
            </w:r>
          </w:p>
        </w:tc>
        <w:tc>
          <w:tcPr>
            <w:tcW w:w="1346"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163,028</w:t>
            </w:r>
          </w:p>
        </w:tc>
        <w:tc>
          <w:tcPr>
            <w:tcW w:w="1347"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218,705</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(DEFICIT)/SURPLUS FOR THE PERIOD</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doub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-2,864</w:t>
            </w:r>
          </w:p>
        </w:tc>
        <w:tc>
          <w:tcPr>
            <w:tcW w:w="1347" w:type="dxa"/>
            <w:tcBorders>
              <w:top w:val="single" w:sz="4" w:space="0" w:color="auto"/>
              <w:bottom w:val="doub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26,975</w:t>
            </w:r>
          </w:p>
        </w:tc>
      </w:tr>
      <w:tr w:rsidR="00967FE1" w:rsidRPr="00336BF5" w:rsidTr="00967FE1">
        <w:trPr>
          <w:trHeight w:val="446"/>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OTHER COMPREHENSIVE INCOME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double" w:sz="4" w:space="0" w:color="auto"/>
            </w:tcBorders>
            <w:noWrap/>
            <w:vAlign w:val="bottom"/>
            <w:hideMark/>
          </w:tcPr>
          <w:p w:rsidR="00967FE1" w:rsidRPr="00336BF5" w:rsidRDefault="00967FE1" w:rsidP="001630AB">
            <w:pPr>
              <w:spacing w:after="0"/>
              <w:jc w:val="right"/>
              <w:rPr>
                <w:rFonts w:eastAsia="Times New Roman"/>
                <w:color w:val="000000"/>
                <w:lang w:eastAsia="en-AU"/>
              </w:rPr>
            </w:pPr>
          </w:p>
        </w:tc>
        <w:tc>
          <w:tcPr>
            <w:tcW w:w="1347" w:type="dxa"/>
            <w:tcBorders>
              <w:top w:val="double" w:sz="4" w:space="0" w:color="auto"/>
            </w:tcBorders>
            <w:noWrap/>
            <w:vAlign w:val="bottom"/>
            <w:hideMark/>
          </w:tcPr>
          <w:p w:rsidR="00967FE1" w:rsidRPr="00336BF5" w:rsidRDefault="00967FE1" w:rsidP="001630AB">
            <w:pPr>
              <w:spacing w:after="0"/>
              <w:jc w:val="right"/>
              <w:rPr>
                <w:rFonts w:eastAsia="Times New Roman"/>
                <w:color w:val="000000"/>
                <w:lang w:eastAsia="en-AU"/>
              </w:rPr>
            </w:pP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Items not reclassified subsequently to profit or loss</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noWrap/>
            <w:vAlign w:val="bottom"/>
            <w:hideMark/>
          </w:tcPr>
          <w:p w:rsidR="00967FE1" w:rsidRPr="00336BF5" w:rsidRDefault="00967FE1" w:rsidP="001630AB">
            <w:pPr>
              <w:spacing w:after="0"/>
              <w:jc w:val="right"/>
              <w:rPr>
                <w:rFonts w:eastAsia="Times New Roman"/>
                <w:color w:val="000000"/>
                <w:lang w:eastAsia="en-AU"/>
              </w:rPr>
            </w:pPr>
          </w:p>
        </w:tc>
        <w:tc>
          <w:tcPr>
            <w:tcW w:w="1347" w:type="dxa"/>
            <w:noWrap/>
            <w:vAlign w:val="bottom"/>
            <w:hideMark/>
          </w:tcPr>
          <w:p w:rsidR="00967FE1" w:rsidRPr="00336BF5" w:rsidRDefault="00967FE1" w:rsidP="001630AB">
            <w:pPr>
              <w:spacing w:after="0"/>
              <w:jc w:val="right"/>
              <w:rPr>
                <w:rFonts w:eastAsia="Times New Roman"/>
                <w:color w:val="000000"/>
                <w:lang w:eastAsia="en-AU"/>
              </w:rPr>
            </w:pP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color w:val="000000"/>
                <w:lang w:eastAsia="en-AU"/>
              </w:rPr>
              <w:t>Gains/(Losses) on Foreign exchange recognised directly in equity</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1,529</w:t>
            </w:r>
          </w:p>
        </w:tc>
        <w:tc>
          <w:tcPr>
            <w:tcW w:w="1347" w:type="dxa"/>
            <w:tcBorders>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495</w:t>
            </w:r>
          </w:p>
        </w:tc>
      </w:tr>
      <w:tr w:rsidR="00967FE1" w:rsidRPr="00336BF5" w:rsidTr="00967FE1">
        <w:trPr>
          <w:trHeight w:val="285"/>
        </w:trPr>
        <w:tc>
          <w:tcPr>
            <w:tcW w:w="6521" w:type="dxa"/>
            <w:noWrap/>
            <w:vAlign w:val="bottom"/>
            <w:hideMark/>
          </w:tcPr>
          <w:p w:rsidR="00967FE1" w:rsidRPr="00336BF5" w:rsidRDefault="00967FE1" w:rsidP="001630AB">
            <w:pPr>
              <w:spacing w:after="0"/>
              <w:rPr>
                <w:rFonts w:eastAsia="Times New Roman"/>
                <w:color w:val="000000"/>
                <w:lang w:eastAsia="en-AU"/>
              </w:rPr>
            </w:pPr>
            <w:r w:rsidRPr="00336BF5">
              <w:rPr>
                <w:rFonts w:eastAsia="Times New Roman"/>
                <w:b/>
                <w:color w:val="000000"/>
                <w:lang w:eastAsia="en-AU"/>
              </w:rPr>
              <w:t>Total other comprehensive income</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1,529</w:t>
            </w:r>
          </w:p>
        </w:tc>
        <w:tc>
          <w:tcPr>
            <w:tcW w:w="1347" w:type="dxa"/>
            <w:tcBorders>
              <w:top w:val="single" w:sz="4" w:space="0" w:color="auto"/>
              <w:bottom w:val="sing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495</w:t>
            </w:r>
          </w:p>
        </w:tc>
      </w:tr>
      <w:tr w:rsidR="00967FE1" w:rsidRPr="00336BF5" w:rsidTr="00967FE1">
        <w:trPr>
          <w:trHeight w:val="391"/>
        </w:trPr>
        <w:tc>
          <w:tcPr>
            <w:tcW w:w="6521" w:type="dxa"/>
            <w:noWrap/>
            <w:vAlign w:val="bottom"/>
            <w:hideMark/>
          </w:tcPr>
          <w:p w:rsidR="00967FE1" w:rsidRPr="00336BF5" w:rsidRDefault="00967FE1" w:rsidP="001630AB">
            <w:pPr>
              <w:spacing w:after="0"/>
              <w:rPr>
                <w:rFonts w:eastAsia="Times New Roman"/>
                <w:b/>
                <w:color w:val="000000"/>
                <w:lang w:eastAsia="en-AU"/>
              </w:rPr>
            </w:pPr>
            <w:r w:rsidRPr="00336BF5">
              <w:rPr>
                <w:rFonts w:eastAsia="Times New Roman"/>
                <w:b/>
                <w:color w:val="000000"/>
                <w:lang w:eastAsia="en-AU"/>
              </w:rPr>
              <w:t>TOTAL COMPREHENSIVE INCOME FOR THE PERIOD</w:t>
            </w:r>
          </w:p>
        </w:tc>
        <w:tc>
          <w:tcPr>
            <w:tcW w:w="851" w:type="dxa"/>
            <w:noWrap/>
            <w:vAlign w:val="bottom"/>
            <w:hideMark/>
          </w:tcPr>
          <w:p w:rsidR="00967FE1" w:rsidRPr="00336BF5" w:rsidRDefault="00967FE1" w:rsidP="001630AB">
            <w:pPr>
              <w:spacing w:after="0"/>
              <w:jc w:val="center"/>
              <w:rPr>
                <w:rFonts w:eastAsia="Times New Roman"/>
                <w:color w:val="000000"/>
                <w:lang w:eastAsia="en-AU"/>
              </w:rPr>
            </w:pPr>
          </w:p>
        </w:tc>
        <w:tc>
          <w:tcPr>
            <w:tcW w:w="1346" w:type="dxa"/>
            <w:tcBorders>
              <w:top w:val="single" w:sz="4" w:space="0" w:color="auto"/>
              <w:bottom w:val="doub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-1,335</w:t>
            </w:r>
          </w:p>
        </w:tc>
        <w:tc>
          <w:tcPr>
            <w:tcW w:w="1347" w:type="dxa"/>
            <w:tcBorders>
              <w:top w:val="single" w:sz="4" w:space="0" w:color="auto"/>
              <w:bottom w:val="double" w:sz="4" w:space="0" w:color="auto"/>
            </w:tcBorders>
            <w:noWrap/>
            <w:vAlign w:val="bottom"/>
            <w:hideMark/>
          </w:tcPr>
          <w:p w:rsidR="00967FE1" w:rsidRPr="00336BF5" w:rsidRDefault="00967FE1" w:rsidP="001630AB">
            <w:pPr>
              <w:spacing w:after="0"/>
              <w:jc w:val="right"/>
              <w:rPr>
                <w:rFonts w:eastAsia="Times New Roman"/>
                <w:color w:val="000000"/>
                <w:lang w:eastAsia="en-AU"/>
              </w:rPr>
            </w:pPr>
            <w:r w:rsidRPr="00336BF5">
              <w:rPr>
                <w:rFonts w:eastAsia="Times New Roman"/>
                <w:color w:val="000000"/>
                <w:lang w:eastAsia="en-AU"/>
              </w:rPr>
              <w:t>27,470</w:t>
            </w:r>
          </w:p>
        </w:tc>
      </w:tr>
    </w:tbl>
    <w:p w:rsidR="00336BF5" w:rsidRDefault="00336BF5" w:rsidP="00336BF5"/>
    <w:p w:rsidR="00336BF5" w:rsidRPr="00336BF5" w:rsidRDefault="0001511D" w:rsidP="00336BF5">
      <w:pPr>
        <w:rPr>
          <w:rStyle w:val="Heading3Char"/>
          <w:rFonts w:ascii="Segoe UI" w:eastAsiaTheme="minorHAnsi" w:hAnsi="Segoe UI" w:cs="Segoe UI"/>
          <w:color w:val="auto"/>
          <w:kern w:val="0"/>
          <w:sz w:val="24"/>
          <w:szCs w:val="24"/>
          <w:lang w:eastAsia="en-US"/>
        </w:rPr>
      </w:pPr>
      <w:r w:rsidRPr="0001511D">
        <w:t xml:space="preserve">Refer to the </w:t>
      </w:r>
      <w:r w:rsidRPr="00336BF5">
        <w:rPr>
          <w:i/>
        </w:rPr>
        <w:t>‘Schedule of Income and Expenses by Service’</w:t>
      </w:r>
      <w:r w:rsidRPr="0001511D">
        <w:t>.</w:t>
      </w:r>
      <w:r w:rsidR="001630AB">
        <w:t xml:space="preserve">  </w:t>
      </w:r>
      <w:r w:rsidRPr="0001511D">
        <w:t xml:space="preserve">The </w:t>
      </w:r>
      <w:r w:rsidRPr="00336BF5">
        <w:rPr>
          <w:i/>
        </w:rPr>
        <w:t>Statement of Comprehensive Income</w:t>
      </w:r>
      <w:r w:rsidRPr="0001511D">
        <w:t xml:space="preserve"> should be read in conjunction with the </w:t>
      </w:r>
      <w:r w:rsidR="00967FE1">
        <w:t>a</w:t>
      </w:r>
      <w:r w:rsidRPr="0001511D">
        <w:t>ccompanying notes.</w:t>
      </w:r>
      <w:bookmarkStart w:id="445" w:name="_Toc425370393"/>
      <w:bookmarkStart w:id="446" w:name="_Toc425607579"/>
      <w:bookmarkStart w:id="447" w:name="_Toc426104622"/>
      <w:bookmarkStart w:id="448" w:name="_Toc426397382"/>
      <w:bookmarkStart w:id="449" w:name="_Toc426637356"/>
      <w:bookmarkStart w:id="450" w:name="_Toc426637601"/>
    </w:p>
    <w:p w:rsidR="00312A41" w:rsidRDefault="00312A41" w:rsidP="00064756">
      <w:pPr>
        <w:rPr>
          <w:rFonts w:ascii="Arial" w:hAnsi="Arial" w:cs="Arial"/>
          <w:color w:val="006699"/>
          <w:sz w:val="28"/>
        </w:rPr>
      </w:pPr>
      <w:r w:rsidRPr="00D145C4">
        <w:rPr>
          <w:rStyle w:val="Heading3Char"/>
        </w:rPr>
        <w:t>Statement of Financial Position</w:t>
      </w:r>
      <w:bookmarkEnd w:id="445"/>
      <w:bookmarkEnd w:id="446"/>
      <w:bookmarkEnd w:id="447"/>
      <w:bookmarkEnd w:id="448"/>
      <w:bookmarkEnd w:id="449"/>
      <w:bookmarkEnd w:id="450"/>
      <w:r w:rsidRPr="00D145C4">
        <w:rPr>
          <w:rFonts w:ascii="Arial" w:hAnsi="Arial" w:cs="Arial"/>
          <w:color w:val="006699"/>
        </w:rPr>
        <w:br/>
      </w:r>
      <w:r w:rsidRPr="00D145C4">
        <w:rPr>
          <w:rFonts w:ascii="Arial" w:hAnsi="Arial" w:cs="Arial"/>
          <w:color w:val="006699"/>
          <w:sz w:val="28"/>
        </w:rPr>
        <w:t>at 30 June 2015</w:t>
      </w:r>
    </w:p>
    <w:tbl>
      <w:tblPr>
        <w:tblW w:w="10065" w:type="dxa"/>
        <w:tblInd w:w="-34" w:type="dxa"/>
        <w:tblLook w:val="04A0" w:firstRow="1" w:lastRow="0" w:firstColumn="1" w:lastColumn="0" w:noHBand="0" w:noVBand="1"/>
        <w:tblCaption w:val="Statement of Comprehensive Income"/>
        <w:tblDescription w:val="Statement of Comprehensive Income table"/>
      </w:tblPr>
      <w:tblGrid>
        <w:gridCol w:w="142"/>
        <w:gridCol w:w="6237"/>
        <w:gridCol w:w="142"/>
        <w:gridCol w:w="851"/>
        <w:gridCol w:w="1346"/>
        <w:gridCol w:w="1347"/>
      </w:tblGrid>
      <w:tr w:rsidR="00967FE1" w:rsidRPr="00967FE1" w:rsidTr="00967FE1">
        <w:trPr>
          <w:trHeight w:val="285"/>
        </w:trPr>
        <w:tc>
          <w:tcPr>
            <w:tcW w:w="6521" w:type="dxa"/>
            <w:gridSpan w:val="3"/>
            <w:noWrap/>
            <w:vAlign w:val="bottom"/>
            <w:hideMark/>
          </w:tcPr>
          <w:p w:rsidR="00967FE1" w:rsidRPr="00336BF5" w:rsidRDefault="00967FE1" w:rsidP="001630AB">
            <w:pPr>
              <w:spacing w:after="0"/>
              <w:rPr>
                <w:rFonts w:eastAsia="Times New Roman"/>
                <w:b/>
                <w:color w:val="000000"/>
                <w:lang w:eastAsia="en-AU"/>
              </w:rPr>
            </w:pPr>
          </w:p>
        </w:tc>
        <w:tc>
          <w:tcPr>
            <w:tcW w:w="851" w:type="dxa"/>
            <w:noWrap/>
            <w:vAlign w:val="bottom"/>
            <w:hideMark/>
          </w:tcPr>
          <w:p w:rsidR="00967FE1" w:rsidRPr="00336BF5" w:rsidRDefault="00967FE1" w:rsidP="001630AB">
            <w:pPr>
              <w:spacing w:after="0"/>
              <w:jc w:val="center"/>
              <w:rPr>
                <w:rFonts w:eastAsia="Times New Roman"/>
                <w:b/>
                <w:color w:val="000000"/>
                <w:lang w:eastAsia="en-AU"/>
              </w:rPr>
            </w:pPr>
            <w:r w:rsidRPr="00336BF5">
              <w:rPr>
                <w:rFonts w:eastAsia="Times New Roman"/>
                <w:b/>
                <w:color w:val="000000"/>
                <w:lang w:eastAsia="en-AU"/>
              </w:rPr>
              <w:t>Note</w:t>
            </w:r>
          </w:p>
        </w:tc>
        <w:tc>
          <w:tcPr>
            <w:tcW w:w="1346" w:type="dxa"/>
            <w:noWrap/>
            <w:vAlign w:val="bottom"/>
            <w:hideMark/>
          </w:tcPr>
          <w:p w:rsidR="00967FE1" w:rsidRPr="00336BF5" w:rsidRDefault="00967FE1" w:rsidP="001630AB">
            <w:pPr>
              <w:spacing w:after="0"/>
              <w:jc w:val="right"/>
              <w:rPr>
                <w:rFonts w:eastAsia="Times New Roman"/>
                <w:b/>
                <w:color w:val="000000"/>
                <w:lang w:eastAsia="en-AU"/>
              </w:rPr>
            </w:pPr>
            <w:r w:rsidRPr="00336BF5">
              <w:rPr>
                <w:rFonts w:eastAsia="Times New Roman"/>
                <w:b/>
                <w:color w:val="000000"/>
                <w:lang w:eastAsia="en-AU"/>
              </w:rPr>
              <w:t>2014</w:t>
            </w:r>
            <w:r w:rsidRPr="00967FE1">
              <w:rPr>
                <w:rFonts w:eastAsia="Times New Roman"/>
                <w:b/>
                <w:color w:val="000000"/>
                <w:lang w:eastAsia="en-AU"/>
              </w:rPr>
              <w:br/>
            </w:r>
            <w:r w:rsidRPr="00336BF5">
              <w:rPr>
                <w:rFonts w:eastAsia="Times New Roman"/>
                <w:b/>
                <w:color w:val="000000"/>
                <w:lang w:eastAsia="en-AU"/>
              </w:rPr>
              <w:t>$000</w:t>
            </w:r>
          </w:p>
        </w:tc>
        <w:tc>
          <w:tcPr>
            <w:tcW w:w="1347" w:type="dxa"/>
            <w:noWrap/>
            <w:vAlign w:val="bottom"/>
            <w:hideMark/>
          </w:tcPr>
          <w:p w:rsidR="00967FE1" w:rsidRPr="00336BF5" w:rsidRDefault="00967FE1" w:rsidP="001630AB">
            <w:pPr>
              <w:spacing w:after="0"/>
              <w:jc w:val="right"/>
              <w:rPr>
                <w:rFonts w:eastAsia="Times New Roman"/>
                <w:b/>
                <w:color w:val="000000"/>
                <w:lang w:eastAsia="en-AU"/>
              </w:rPr>
            </w:pPr>
            <w:r w:rsidRPr="00336BF5">
              <w:rPr>
                <w:rFonts w:eastAsia="Times New Roman"/>
                <w:b/>
                <w:color w:val="000000"/>
                <w:lang w:eastAsia="en-AU"/>
              </w:rPr>
              <w:t>2015</w:t>
            </w:r>
            <w:r w:rsidRPr="00967FE1">
              <w:rPr>
                <w:rFonts w:eastAsia="Times New Roman"/>
                <w:b/>
                <w:color w:val="000000"/>
                <w:lang w:eastAsia="en-AU"/>
              </w:rPr>
              <w:br/>
            </w:r>
            <w:r w:rsidRPr="00336BF5">
              <w:rPr>
                <w:rFonts w:eastAsia="Times New Roman"/>
                <w:b/>
                <w:color w:val="000000"/>
                <w:lang w:eastAsia="en-AU"/>
              </w:rPr>
              <w:t>$000</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noWrap/>
            <w:vAlign w:val="bottom"/>
            <w:hideMark/>
          </w:tcPr>
          <w:p w:rsidR="00967FE1" w:rsidRPr="00821D2F" w:rsidRDefault="00967FE1" w:rsidP="001630AB">
            <w:pPr>
              <w:spacing w:after="0"/>
              <w:jc w:val="right"/>
              <w:rPr>
                <w:rFonts w:eastAsia="Times New Roman"/>
                <w:color w:val="000000"/>
                <w:lang w:eastAsia="en-AU"/>
              </w:rPr>
            </w:pPr>
          </w:p>
        </w:tc>
        <w:tc>
          <w:tcPr>
            <w:tcW w:w="1347" w:type="dxa"/>
            <w:noWrap/>
            <w:vAlign w:val="bottom"/>
            <w:hideMark/>
          </w:tcPr>
          <w:p w:rsidR="00967FE1" w:rsidRPr="00821D2F" w:rsidRDefault="00967FE1" w:rsidP="001630AB">
            <w:pPr>
              <w:spacing w:after="0"/>
              <w:jc w:val="right"/>
              <w:rPr>
                <w:rFonts w:eastAsia="Times New Roman"/>
                <w:color w:val="000000"/>
                <w:lang w:eastAsia="en-AU"/>
              </w:rPr>
            </w:pP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Current Assets</w:t>
            </w:r>
          </w:p>
        </w:tc>
        <w:tc>
          <w:tcPr>
            <w:tcW w:w="993" w:type="dxa"/>
            <w:gridSpan w:val="2"/>
            <w:noWrap/>
            <w:vAlign w:val="bottom"/>
            <w:hideMark/>
          </w:tcPr>
          <w:p w:rsidR="00967FE1" w:rsidRPr="00336BF5" w:rsidRDefault="00967FE1" w:rsidP="001630AB">
            <w:pPr>
              <w:spacing w:after="0"/>
              <w:jc w:val="center"/>
              <w:rPr>
                <w:rFonts w:eastAsia="Times New Roman"/>
                <w:b/>
                <w:color w:val="000000"/>
                <w:lang w:eastAsia="en-AU"/>
              </w:rPr>
            </w:pPr>
          </w:p>
        </w:tc>
        <w:tc>
          <w:tcPr>
            <w:tcW w:w="1346" w:type="dxa"/>
            <w:noWrap/>
            <w:vAlign w:val="bottom"/>
            <w:hideMark/>
          </w:tcPr>
          <w:p w:rsidR="00967FE1" w:rsidRPr="00336BF5" w:rsidRDefault="00967FE1" w:rsidP="001630AB">
            <w:pPr>
              <w:spacing w:after="0"/>
              <w:jc w:val="right"/>
              <w:rPr>
                <w:rFonts w:eastAsia="Times New Roman"/>
                <w:b/>
                <w:color w:val="000000"/>
                <w:lang w:eastAsia="en-AU"/>
              </w:rPr>
            </w:pPr>
          </w:p>
        </w:tc>
        <w:tc>
          <w:tcPr>
            <w:tcW w:w="1347" w:type="dxa"/>
            <w:noWrap/>
            <w:vAlign w:val="bottom"/>
            <w:hideMark/>
          </w:tcPr>
          <w:p w:rsidR="00967FE1" w:rsidRPr="00336BF5" w:rsidRDefault="00967FE1" w:rsidP="001630AB">
            <w:pPr>
              <w:spacing w:after="0"/>
              <w:jc w:val="right"/>
              <w:rPr>
                <w:rFonts w:eastAsia="Times New Roman"/>
                <w:b/>
                <w:color w:val="000000"/>
                <w:lang w:eastAsia="en-AU"/>
              </w:rPr>
            </w:pP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Cash and cash equivalents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27</w:t>
            </w: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30,162</w:t>
            </w: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30,729</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Inventories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17</w:t>
            </w: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39</w:t>
            </w: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58</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Receivables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18</w:t>
            </w:r>
          </w:p>
        </w:tc>
        <w:tc>
          <w:tcPr>
            <w:tcW w:w="1346"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1,497</w:t>
            </w:r>
          </w:p>
        </w:tc>
        <w:tc>
          <w:tcPr>
            <w:tcW w:w="1347"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2,436</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Amounts receivable for services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19</w:t>
            </w:r>
          </w:p>
        </w:tc>
        <w:tc>
          <w:tcPr>
            <w:tcW w:w="1346"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3,422</w:t>
            </w:r>
          </w:p>
        </w:tc>
        <w:tc>
          <w:tcPr>
            <w:tcW w:w="1347"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2,124</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Other current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29</w:t>
            </w:r>
          </w:p>
        </w:tc>
        <w:tc>
          <w:tcPr>
            <w:tcW w:w="1346"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528</w:t>
            </w:r>
          </w:p>
        </w:tc>
        <w:tc>
          <w:tcPr>
            <w:tcW w:w="1347"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916</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Total Current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35,648</w:t>
            </w:r>
          </w:p>
        </w:tc>
        <w:tc>
          <w:tcPr>
            <w:tcW w:w="1347"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36,263</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Non-current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p>
        </w:tc>
        <w:tc>
          <w:tcPr>
            <w:tcW w:w="1347" w:type="dxa"/>
            <w:tcBorders>
              <w:top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Restricted cash and cash equivalents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16, 27</w:t>
            </w: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34,651</w:t>
            </w: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33,261</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Amounts receivable for services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19</w:t>
            </w: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24,342</w:t>
            </w: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24,936</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Other financial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42</w:t>
            </w:r>
          </w:p>
        </w:tc>
        <w:tc>
          <w:tcPr>
            <w:tcW w:w="1346"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124</w:t>
            </w:r>
          </w:p>
        </w:tc>
        <w:tc>
          <w:tcPr>
            <w:tcW w:w="1347"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114</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Property, plant and equipment</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20</w:t>
            </w:r>
          </w:p>
        </w:tc>
        <w:tc>
          <w:tcPr>
            <w:tcW w:w="1346"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4,528</w:t>
            </w:r>
          </w:p>
        </w:tc>
        <w:tc>
          <w:tcPr>
            <w:tcW w:w="1347"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3,431</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Intangible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21</w:t>
            </w:r>
          </w:p>
        </w:tc>
        <w:tc>
          <w:tcPr>
            <w:tcW w:w="1346"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776</w:t>
            </w:r>
          </w:p>
        </w:tc>
        <w:tc>
          <w:tcPr>
            <w:tcW w:w="1347"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790</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Total Non-current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64,421</w:t>
            </w:r>
          </w:p>
        </w:tc>
        <w:tc>
          <w:tcPr>
            <w:tcW w:w="1347"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62,532</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TOTAL ASSETS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bottom w:val="doub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100,069</w:t>
            </w:r>
          </w:p>
        </w:tc>
        <w:tc>
          <w:tcPr>
            <w:tcW w:w="1347" w:type="dxa"/>
            <w:tcBorders>
              <w:top w:val="single" w:sz="4" w:space="0" w:color="auto"/>
              <w:bottom w:val="doub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98,795</w:t>
            </w:r>
          </w:p>
        </w:tc>
      </w:tr>
      <w:tr w:rsidR="00967FE1" w:rsidRPr="00821D2F" w:rsidTr="005C7CBA">
        <w:trPr>
          <w:gridBefore w:val="1"/>
          <w:wBefore w:w="142" w:type="dxa"/>
          <w:trHeight w:val="479"/>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LIABILITIES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double" w:sz="4" w:space="0" w:color="auto"/>
            </w:tcBorders>
            <w:noWrap/>
            <w:vAlign w:val="bottom"/>
            <w:hideMark/>
          </w:tcPr>
          <w:p w:rsidR="00967FE1" w:rsidRPr="00821D2F" w:rsidRDefault="00967FE1" w:rsidP="001630AB">
            <w:pPr>
              <w:spacing w:after="0"/>
              <w:jc w:val="right"/>
              <w:rPr>
                <w:rFonts w:eastAsia="Times New Roman"/>
                <w:color w:val="000000"/>
                <w:lang w:eastAsia="en-AU"/>
              </w:rPr>
            </w:pPr>
          </w:p>
        </w:tc>
        <w:tc>
          <w:tcPr>
            <w:tcW w:w="1347" w:type="dxa"/>
            <w:tcBorders>
              <w:top w:val="double" w:sz="4" w:space="0" w:color="auto"/>
            </w:tcBorders>
            <w:noWrap/>
            <w:vAlign w:val="bottom"/>
            <w:hideMark/>
          </w:tcPr>
          <w:p w:rsidR="00967FE1" w:rsidRPr="00821D2F" w:rsidRDefault="00967FE1" w:rsidP="001630AB">
            <w:pPr>
              <w:spacing w:after="0"/>
              <w:jc w:val="right"/>
              <w:rPr>
                <w:rFonts w:eastAsia="Times New Roman"/>
                <w:color w:val="000000"/>
                <w:lang w:eastAsia="en-AU"/>
              </w:rPr>
            </w:pP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b/>
                <w:color w:val="000000"/>
                <w:lang w:eastAsia="en-AU"/>
              </w:rPr>
              <w:t>Current liabilities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Payables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23</w:t>
            </w: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3,815</w:t>
            </w: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4,624</w:t>
            </w:r>
          </w:p>
        </w:tc>
      </w:tr>
      <w:tr w:rsidR="00967FE1" w:rsidRPr="00821D2F" w:rsidTr="00967FE1">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Provisions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24</w:t>
            </w:r>
          </w:p>
        </w:tc>
        <w:tc>
          <w:tcPr>
            <w:tcW w:w="1346"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17,542</w:t>
            </w:r>
          </w:p>
        </w:tc>
        <w:tc>
          <w:tcPr>
            <w:tcW w:w="1347" w:type="dxa"/>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15,430</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Other current liabilities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r w:rsidRPr="00821D2F">
              <w:rPr>
                <w:rFonts w:eastAsia="Times New Roman"/>
                <w:color w:val="000000"/>
                <w:lang w:eastAsia="en-AU"/>
              </w:rPr>
              <w:t>25</w:t>
            </w:r>
          </w:p>
        </w:tc>
        <w:tc>
          <w:tcPr>
            <w:tcW w:w="1346"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w:t>
            </w:r>
          </w:p>
        </w:tc>
        <w:tc>
          <w:tcPr>
            <w:tcW w:w="1347"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1,420</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Total Current Liabilities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21,360</w:t>
            </w:r>
          </w:p>
        </w:tc>
        <w:tc>
          <w:tcPr>
            <w:tcW w:w="1347"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21,474</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Non-current Liabilities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p>
        </w:tc>
        <w:tc>
          <w:tcPr>
            <w:tcW w:w="1347" w:type="dxa"/>
            <w:tcBorders>
              <w:top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color w:val="000000"/>
                <w:lang w:eastAsia="en-AU"/>
              </w:rPr>
              <w:t>Provisions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r w:rsidRPr="00821D2F">
              <w:rPr>
                <w:rFonts w:eastAsia="Times New Roman"/>
                <w:color w:val="000000"/>
                <w:lang w:eastAsia="en-AU"/>
              </w:rPr>
              <w:t>24</w:t>
            </w:r>
          </w:p>
        </w:tc>
        <w:tc>
          <w:tcPr>
            <w:tcW w:w="1346" w:type="dxa"/>
            <w:tcBorders>
              <w:bottom w:val="single" w:sz="4" w:space="0" w:color="auto"/>
            </w:tcBorders>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3,070</w:t>
            </w:r>
          </w:p>
        </w:tc>
        <w:tc>
          <w:tcPr>
            <w:tcW w:w="1347" w:type="dxa"/>
            <w:tcBorders>
              <w:bottom w:val="single" w:sz="4" w:space="0" w:color="auto"/>
            </w:tcBorders>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3,347</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b/>
                <w:color w:val="000000"/>
                <w:lang w:eastAsia="en-AU"/>
              </w:rPr>
              <w:t>Total Non-current Liabilities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p>
        </w:tc>
        <w:tc>
          <w:tcPr>
            <w:tcW w:w="1346"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b/>
                <w:color w:val="000000"/>
                <w:lang w:eastAsia="en-AU"/>
              </w:rPr>
              <w:t>3,070</w:t>
            </w:r>
          </w:p>
        </w:tc>
        <w:tc>
          <w:tcPr>
            <w:tcW w:w="1347"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b/>
                <w:color w:val="000000"/>
                <w:lang w:eastAsia="en-AU"/>
              </w:rPr>
              <w:t>3,347</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TOTAL LIABILITIES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bottom w:val="doub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24,430</w:t>
            </w:r>
          </w:p>
        </w:tc>
        <w:tc>
          <w:tcPr>
            <w:tcW w:w="1347" w:type="dxa"/>
            <w:tcBorders>
              <w:top w:val="single" w:sz="4" w:space="0" w:color="auto"/>
              <w:bottom w:val="doub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24,821</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sz w:val="16"/>
                <w:szCs w:val="16"/>
                <w:lang w:eastAsia="en-AU"/>
              </w:rPr>
            </w:pPr>
          </w:p>
        </w:tc>
        <w:tc>
          <w:tcPr>
            <w:tcW w:w="993" w:type="dxa"/>
            <w:gridSpan w:val="2"/>
            <w:noWrap/>
            <w:vAlign w:val="bottom"/>
            <w:hideMark/>
          </w:tcPr>
          <w:p w:rsidR="00967FE1" w:rsidRPr="00821D2F" w:rsidRDefault="00967FE1" w:rsidP="001630AB">
            <w:pPr>
              <w:spacing w:after="0"/>
              <w:jc w:val="center"/>
              <w:rPr>
                <w:rFonts w:eastAsia="Times New Roman"/>
                <w:b/>
                <w:color w:val="000000"/>
                <w:sz w:val="16"/>
                <w:szCs w:val="16"/>
                <w:lang w:eastAsia="en-AU"/>
              </w:rPr>
            </w:pPr>
          </w:p>
        </w:tc>
        <w:tc>
          <w:tcPr>
            <w:tcW w:w="1346" w:type="dxa"/>
            <w:tcBorders>
              <w:top w:val="double" w:sz="4" w:space="0" w:color="auto"/>
              <w:bottom w:val="single" w:sz="4" w:space="0" w:color="auto"/>
            </w:tcBorders>
            <w:noWrap/>
            <w:vAlign w:val="bottom"/>
            <w:hideMark/>
          </w:tcPr>
          <w:p w:rsidR="00967FE1" w:rsidRPr="00821D2F" w:rsidRDefault="00967FE1" w:rsidP="001630AB">
            <w:pPr>
              <w:spacing w:after="0"/>
              <w:jc w:val="right"/>
              <w:rPr>
                <w:rFonts w:eastAsia="Times New Roman"/>
                <w:b/>
                <w:color w:val="000000"/>
                <w:sz w:val="16"/>
                <w:szCs w:val="16"/>
                <w:lang w:eastAsia="en-AU"/>
              </w:rPr>
            </w:pPr>
          </w:p>
        </w:tc>
        <w:tc>
          <w:tcPr>
            <w:tcW w:w="1347" w:type="dxa"/>
            <w:tcBorders>
              <w:top w:val="double" w:sz="4" w:space="0" w:color="auto"/>
              <w:bottom w:val="single" w:sz="4" w:space="0" w:color="auto"/>
            </w:tcBorders>
            <w:noWrap/>
            <w:vAlign w:val="bottom"/>
            <w:hideMark/>
          </w:tcPr>
          <w:p w:rsidR="00967FE1" w:rsidRPr="00821D2F" w:rsidRDefault="00967FE1" w:rsidP="001630AB">
            <w:pPr>
              <w:spacing w:after="0"/>
              <w:jc w:val="right"/>
              <w:rPr>
                <w:rFonts w:eastAsia="Times New Roman"/>
                <w:b/>
                <w:color w:val="000000"/>
                <w:sz w:val="16"/>
                <w:szCs w:val="16"/>
                <w:lang w:eastAsia="en-AU"/>
              </w:rPr>
            </w:pP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b/>
                <w:color w:val="000000"/>
                <w:lang w:eastAsia="en-AU"/>
              </w:rPr>
            </w:pPr>
            <w:r w:rsidRPr="00821D2F">
              <w:rPr>
                <w:rFonts w:eastAsia="Times New Roman"/>
                <w:b/>
                <w:color w:val="000000"/>
                <w:lang w:eastAsia="en-AU"/>
              </w:rPr>
              <w:t>Net Assets</w:t>
            </w:r>
          </w:p>
        </w:tc>
        <w:tc>
          <w:tcPr>
            <w:tcW w:w="993" w:type="dxa"/>
            <w:gridSpan w:val="2"/>
            <w:noWrap/>
            <w:vAlign w:val="bottom"/>
            <w:hideMark/>
          </w:tcPr>
          <w:p w:rsidR="00967FE1" w:rsidRPr="00821D2F" w:rsidRDefault="00967FE1" w:rsidP="001630AB">
            <w:pPr>
              <w:spacing w:after="0"/>
              <w:jc w:val="center"/>
              <w:rPr>
                <w:rFonts w:eastAsia="Times New Roman"/>
                <w:b/>
                <w:color w:val="000000"/>
                <w:lang w:eastAsia="en-AU"/>
              </w:rPr>
            </w:pPr>
          </w:p>
        </w:tc>
        <w:tc>
          <w:tcPr>
            <w:tcW w:w="1346"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75,639</w:t>
            </w:r>
          </w:p>
        </w:tc>
        <w:tc>
          <w:tcPr>
            <w:tcW w:w="1347"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b/>
                <w:color w:val="000000"/>
                <w:lang w:eastAsia="en-AU"/>
              </w:rPr>
            </w:pPr>
            <w:r w:rsidRPr="00821D2F">
              <w:rPr>
                <w:rFonts w:eastAsia="Times New Roman"/>
                <w:color w:val="000000"/>
                <w:lang w:eastAsia="en-AU"/>
              </w:rPr>
              <w:t>73,974</w:t>
            </w:r>
          </w:p>
        </w:tc>
      </w:tr>
      <w:tr w:rsidR="00967FE1" w:rsidRPr="00967FE1" w:rsidTr="00E7558B">
        <w:trPr>
          <w:gridBefore w:val="1"/>
          <w:wBefore w:w="142" w:type="dxa"/>
          <w:trHeight w:val="285"/>
        </w:trPr>
        <w:tc>
          <w:tcPr>
            <w:tcW w:w="6237" w:type="dxa"/>
            <w:noWrap/>
            <w:vAlign w:val="bottom"/>
          </w:tcPr>
          <w:p w:rsidR="00967FE1" w:rsidRPr="00967FE1" w:rsidRDefault="00967FE1" w:rsidP="001630AB">
            <w:pPr>
              <w:spacing w:after="0"/>
              <w:rPr>
                <w:rFonts w:eastAsia="Times New Roman"/>
                <w:color w:val="000000"/>
                <w:lang w:eastAsia="en-AU"/>
              </w:rPr>
            </w:pPr>
            <w:r w:rsidRPr="00821D2F">
              <w:rPr>
                <w:rFonts w:eastAsia="Times New Roman"/>
                <w:b/>
                <w:color w:val="000000"/>
                <w:lang w:eastAsia="en-AU"/>
              </w:rPr>
              <w:t>Equity</w:t>
            </w:r>
          </w:p>
        </w:tc>
        <w:tc>
          <w:tcPr>
            <w:tcW w:w="993" w:type="dxa"/>
            <w:gridSpan w:val="2"/>
            <w:noWrap/>
            <w:vAlign w:val="bottom"/>
          </w:tcPr>
          <w:p w:rsidR="00967FE1" w:rsidRPr="00967FE1" w:rsidRDefault="00967FE1" w:rsidP="001630AB">
            <w:pPr>
              <w:spacing w:after="0"/>
              <w:jc w:val="center"/>
              <w:rPr>
                <w:rFonts w:eastAsia="Times New Roman"/>
                <w:color w:val="000000"/>
                <w:lang w:eastAsia="en-AU"/>
              </w:rPr>
            </w:pPr>
            <w:r w:rsidRPr="00821D2F">
              <w:rPr>
                <w:rFonts w:eastAsia="Times New Roman"/>
                <w:color w:val="000000"/>
                <w:lang w:eastAsia="en-AU"/>
              </w:rPr>
              <w:t>26</w:t>
            </w:r>
          </w:p>
        </w:tc>
        <w:tc>
          <w:tcPr>
            <w:tcW w:w="1346" w:type="dxa"/>
            <w:tcBorders>
              <w:top w:val="single" w:sz="4" w:space="0" w:color="auto"/>
            </w:tcBorders>
            <w:noWrap/>
            <w:vAlign w:val="bottom"/>
          </w:tcPr>
          <w:p w:rsidR="00967FE1" w:rsidRPr="00967FE1" w:rsidRDefault="00967FE1" w:rsidP="001630AB">
            <w:pPr>
              <w:spacing w:after="0"/>
              <w:jc w:val="right"/>
              <w:rPr>
                <w:rFonts w:eastAsia="Times New Roman"/>
                <w:color w:val="000000"/>
                <w:lang w:eastAsia="en-AU"/>
              </w:rPr>
            </w:pPr>
          </w:p>
        </w:tc>
        <w:tc>
          <w:tcPr>
            <w:tcW w:w="1347" w:type="dxa"/>
            <w:tcBorders>
              <w:top w:val="single" w:sz="4" w:space="0" w:color="auto"/>
            </w:tcBorders>
            <w:noWrap/>
            <w:vAlign w:val="bottom"/>
          </w:tcPr>
          <w:p w:rsidR="00967FE1" w:rsidRPr="00967FE1" w:rsidRDefault="00967FE1" w:rsidP="001630AB">
            <w:pPr>
              <w:spacing w:after="0"/>
              <w:jc w:val="right"/>
              <w:rPr>
                <w:rFonts w:eastAsia="Times New Roman"/>
                <w:color w:val="000000"/>
                <w:lang w:eastAsia="en-AU"/>
              </w:rPr>
            </w:pP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tabs>
                <w:tab w:val="left" w:pos="1617"/>
              </w:tabs>
              <w:spacing w:after="0"/>
              <w:rPr>
                <w:rFonts w:eastAsia="Times New Roman"/>
                <w:b/>
                <w:color w:val="000000"/>
                <w:lang w:eastAsia="en-AU"/>
              </w:rPr>
            </w:pPr>
            <w:r w:rsidRPr="00821D2F">
              <w:rPr>
                <w:rFonts w:eastAsia="Times New Roman"/>
                <w:color w:val="000000"/>
                <w:lang w:eastAsia="en-AU"/>
              </w:rPr>
              <w:t>Contributed Equity</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39,117</w:t>
            </w:r>
          </w:p>
        </w:tc>
        <w:tc>
          <w:tcPr>
            <w:tcW w:w="1347"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36,117</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tabs>
                <w:tab w:val="left" w:pos="1617"/>
              </w:tabs>
              <w:spacing w:after="0"/>
              <w:rPr>
                <w:rFonts w:eastAsia="Times New Roman"/>
                <w:b/>
                <w:color w:val="000000"/>
                <w:lang w:eastAsia="en-AU"/>
              </w:rPr>
            </w:pPr>
            <w:r w:rsidRPr="00821D2F">
              <w:rPr>
                <w:rFonts w:eastAsia="Times New Roman"/>
                <w:color w:val="000000"/>
                <w:lang w:eastAsia="en-AU"/>
              </w:rPr>
              <w:t>Hedging reserves</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-434</w:t>
            </w:r>
          </w:p>
        </w:tc>
        <w:tc>
          <w:tcPr>
            <w:tcW w:w="1347" w:type="dxa"/>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-1,963</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color w:val="000000"/>
                <w:lang w:eastAsia="en-AU"/>
              </w:rPr>
              <w:t>Accumulated surplus/(deficiency)</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36,956</w:t>
            </w:r>
          </w:p>
        </w:tc>
        <w:tc>
          <w:tcPr>
            <w:tcW w:w="1347" w:type="dxa"/>
            <w:tcBorders>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color w:val="000000"/>
                <w:lang w:eastAsia="en-AU"/>
              </w:rPr>
              <w:t>39,820</w:t>
            </w:r>
          </w:p>
        </w:tc>
      </w:tr>
      <w:tr w:rsidR="00967FE1" w:rsidRPr="00821D2F" w:rsidTr="00E7558B">
        <w:trPr>
          <w:gridBefore w:val="1"/>
          <w:wBefore w:w="142" w:type="dxa"/>
          <w:trHeight w:val="285"/>
        </w:trPr>
        <w:tc>
          <w:tcPr>
            <w:tcW w:w="6237" w:type="dxa"/>
            <w:noWrap/>
            <w:vAlign w:val="bottom"/>
            <w:hideMark/>
          </w:tcPr>
          <w:p w:rsidR="00967FE1" w:rsidRPr="00821D2F" w:rsidRDefault="00967FE1" w:rsidP="001630AB">
            <w:pPr>
              <w:spacing w:after="0"/>
              <w:rPr>
                <w:rFonts w:eastAsia="Times New Roman"/>
                <w:color w:val="000000"/>
                <w:lang w:eastAsia="en-AU"/>
              </w:rPr>
            </w:pPr>
            <w:r w:rsidRPr="00821D2F">
              <w:rPr>
                <w:rFonts w:eastAsia="Times New Roman"/>
                <w:b/>
                <w:color w:val="000000"/>
                <w:lang w:eastAsia="en-AU"/>
              </w:rPr>
              <w:t>Total Equity</w:t>
            </w:r>
          </w:p>
        </w:tc>
        <w:tc>
          <w:tcPr>
            <w:tcW w:w="993" w:type="dxa"/>
            <w:gridSpan w:val="2"/>
            <w:noWrap/>
            <w:vAlign w:val="bottom"/>
            <w:hideMark/>
          </w:tcPr>
          <w:p w:rsidR="00967FE1" w:rsidRPr="00821D2F" w:rsidRDefault="00967FE1" w:rsidP="001630AB">
            <w:pPr>
              <w:spacing w:after="0"/>
              <w:jc w:val="center"/>
              <w:rPr>
                <w:rFonts w:eastAsia="Times New Roman"/>
                <w:color w:val="000000"/>
                <w:lang w:eastAsia="en-AU"/>
              </w:rPr>
            </w:pPr>
          </w:p>
        </w:tc>
        <w:tc>
          <w:tcPr>
            <w:tcW w:w="1346"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75,639</w:t>
            </w:r>
          </w:p>
        </w:tc>
        <w:tc>
          <w:tcPr>
            <w:tcW w:w="1347" w:type="dxa"/>
            <w:tcBorders>
              <w:top w:val="single" w:sz="4" w:space="0" w:color="auto"/>
              <w:bottom w:val="single" w:sz="4" w:space="0" w:color="auto"/>
            </w:tcBorders>
            <w:noWrap/>
            <w:vAlign w:val="bottom"/>
            <w:hideMark/>
          </w:tcPr>
          <w:p w:rsidR="00967FE1" w:rsidRPr="00821D2F" w:rsidRDefault="00967FE1" w:rsidP="001630AB">
            <w:pPr>
              <w:spacing w:after="0"/>
              <w:jc w:val="right"/>
              <w:rPr>
                <w:rFonts w:eastAsia="Times New Roman"/>
                <w:color w:val="000000"/>
                <w:lang w:eastAsia="en-AU"/>
              </w:rPr>
            </w:pPr>
            <w:r w:rsidRPr="00821D2F">
              <w:rPr>
                <w:rFonts w:eastAsia="Times New Roman"/>
                <w:b/>
                <w:color w:val="000000"/>
                <w:lang w:eastAsia="en-AU"/>
              </w:rPr>
              <w:t>73,974</w:t>
            </w:r>
          </w:p>
        </w:tc>
      </w:tr>
    </w:tbl>
    <w:p w:rsidR="00967FE1" w:rsidRDefault="00967FE1" w:rsidP="008B5D3E">
      <w:pPr>
        <w:spacing w:before="120" w:after="0"/>
        <w:rPr>
          <w:sz w:val="22"/>
        </w:rPr>
      </w:pPr>
    </w:p>
    <w:p w:rsidR="008B5D3E" w:rsidRPr="0001511D" w:rsidRDefault="008B5D3E" w:rsidP="008B5D3E">
      <w:pPr>
        <w:spacing w:before="120" w:after="0"/>
        <w:rPr>
          <w:sz w:val="22"/>
        </w:rPr>
      </w:pPr>
      <w:r>
        <w:rPr>
          <w:sz w:val="22"/>
        </w:rPr>
        <w:t>See also the</w:t>
      </w:r>
      <w:r w:rsidRPr="0001511D">
        <w:rPr>
          <w:sz w:val="22"/>
        </w:rPr>
        <w:t xml:space="preserve"> ‘</w:t>
      </w:r>
      <w:r w:rsidRPr="008A2099">
        <w:rPr>
          <w:i/>
          <w:sz w:val="22"/>
        </w:rPr>
        <w:t xml:space="preserve">Schedule of </w:t>
      </w:r>
      <w:r>
        <w:rPr>
          <w:i/>
          <w:sz w:val="22"/>
        </w:rPr>
        <w:t>Assets and Liabilities</w:t>
      </w:r>
      <w:r w:rsidRPr="008A2099">
        <w:rPr>
          <w:i/>
          <w:sz w:val="22"/>
        </w:rPr>
        <w:t xml:space="preserve"> by Service</w:t>
      </w:r>
      <w:r w:rsidRPr="0001511D">
        <w:rPr>
          <w:sz w:val="22"/>
        </w:rPr>
        <w:t>’.</w:t>
      </w:r>
    </w:p>
    <w:p w:rsidR="008B5D3E" w:rsidRPr="0001511D" w:rsidRDefault="008B5D3E" w:rsidP="008B5D3E">
      <w:pPr>
        <w:spacing w:before="80" w:after="0"/>
        <w:rPr>
          <w:sz w:val="22"/>
        </w:rPr>
      </w:pPr>
      <w:r w:rsidRPr="0001511D">
        <w:rPr>
          <w:sz w:val="22"/>
        </w:rPr>
        <w:t xml:space="preserve">The </w:t>
      </w:r>
      <w:r w:rsidRPr="008A2099">
        <w:rPr>
          <w:i/>
          <w:sz w:val="22"/>
        </w:rPr>
        <w:t xml:space="preserve">Statement of </w:t>
      </w:r>
      <w:r>
        <w:rPr>
          <w:i/>
          <w:sz w:val="22"/>
        </w:rPr>
        <w:t>Financial Position</w:t>
      </w:r>
      <w:r w:rsidRPr="0001511D">
        <w:rPr>
          <w:sz w:val="22"/>
        </w:rPr>
        <w:t xml:space="preserve"> should be read in conjunction with the accompanying notes.</w:t>
      </w:r>
    </w:p>
    <w:p w:rsidR="00312A41" w:rsidRDefault="00312A41" w:rsidP="00064756">
      <w:r>
        <w:br w:type="page"/>
      </w:r>
    </w:p>
    <w:p w:rsidR="00312A41" w:rsidRDefault="00312A41" w:rsidP="00064756">
      <w:pPr>
        <w:rPr>
          <w:rFonts w:ascii="Arial" w:hAnsi="Arial" w:cs="Arial"/>
          <w:color w:val="006699"/>
          <w:sz w:val="28"/>
          <w:szCs w:val="28"/>
        </w:rPr>
      </w:pPr>
      <w:bookmarkStart w:id="451" w:name="_Toc425370394"/>
      <w:bookmarkStart w:id="452" w:name="_Toc425607580"/>
      <w:bookmarkStart w:id="453" w:name="_Toc426104623"/>
      <w:bookmarkStart w:id="454" w:name="_Toc426397383"/>
      <w:bookmarkStart w:id="455" w:name="_Toc426637357"/>
      <w:bookmarkStart w:id="456" w:name="_Toc426637602"/>
      <w:r w:rsidRPr="00D145C4">
        <w:rPr>
          <w:rStyle w:val="Heading3Char"/>
        </w:rPr>
        <w:t>Statement of Changes in Equity</w:t>
      </w:r>
      <w:bookmarkEnd w:id="451"/>
      <w:bookmarkEnd w:id="452"/>
      <w:bookmarkEnd w:id="453"/>
      <w:bookmarkEnd w:id="454"/>
      <w:bookmarkEnd w:id="455"/>
      <w:bookmarkEnd w:id="456"/>
      <w:r w:rsidRPr="00D145C4">
        <w:rPr>
          <w:rFonts w:ascii="Arial" w:hAnsi="Arial" w:cs="Arial"/>
          <w:color w:val="006699"/>
        </w:rPr>
        <w:br/>
      </w:r>
      <w:r w:rsidRPr="00D145C4">
        <w:rPr>
          <w:rFonts w:ascii="Arial" w:hAnsi="Arial" w:cs="Arial"/>
          <w:color w:val="006699"/>
          <w:sz w:val="28"/>
          <w:szCs w:val="28"/>
        </w:rPr>
        <w:t>for the year ended 30 June 2015</w:t>
      </w:r>
    </w:p>
    <w:tbl>
      <w:tblPr>
        <w:tblW w:w="10151" w:type="dxa"/>
        <w:tblInd w:w="-34" w:type="dxa"/>
        <w:tblLook w:val="04A0" w:firstRow="1" w:lastRow="0" w:firstColumn="1" w:lastColumn="0" w:noHBand="0" w:noVBand="1"/>
      </w:tblPr>
      <w:tblGrid>
        <w:gridCol w:w="3828"/>
        <w:gridCol w:w="850"/>
        <w:gridCol w:w="1581"/>
        <w:gridCol w:w="1199"/>
        <w:gridCol w:w="1701"/>
        <w:gridCol w:w="992"/>
      </w:tblGrid>
      <w:tr w:rsidR="005C7CBA" w:rsidRPr="005C7CBA" w:rsidTr="00E7558B">
        <w:trPr>
          <w:trHeight w:val="1192"/>
        </w:trPr>
        <w:tc>
          <w:tcPr>
            <w:tcW w:w="3828" w:type="dxa"/>
            <w:tcBorders>
              <w:top w:val="nil"/>
              <w:left w:val="nil"/>
              <w:bottom w:val="nil"/>
              <w:right w:val="nil"/>
            </w:tcBorders>
            <w:vAlign w:val="center"/>
            <w:hideMark/>
          </w:tcPr>
          <w:p w:rsidR="005C7CBA" w:rsidRPr="005C7CBA" w:rsidRDefault="005C7CBA" w:rsidP="001630AB">
            <w:pPr>
              <w:spacing w:after="0"/>
              <w:jc w:val="center"/>
              <w:rPr>
                <w:rFonts w:eastAsia="Times New Roman"/>
                <w:b/>
                <w:color w:val="000000"/>
                <w:lang w:eastAsia="en-AU"/>
              </w:rPr>
            </w:pPr>
          </w:p>
        </w:tc>
        <w:tc>
          <w:tcPr>
            <w:tcW w:w="850" w:type="dxa"/>
            <w:tcBorders>
              <w:top w:val="nil"/>
              <w:left w:val="nil"/>
              <w:bottom w:val="nil"/>
              <w:right w:val="nil"/>
            </w:tcBorders>
            <w:vAlign w:val="center"/>
            <w:hideMark/>
          </w:tcPr>
          <w:p w:rsidR="005C7CBA" w:rsidRPr="005C7CBA" w:rsidRDefault="005C7CBA" w:rsidP="001630AB">
            <w:pPr>
              <w:spacing w:after="0"/>
              <w:jc w:val="center"/>
              <w:rPr>
                <w:rFonts w:eastAsia="Times New Roman"/>
                <w:b/>
                <w:color w:val="000000"/>
                <w:lang w:eastAsia="en-AU"/>
              </w:rPr>
            </w:pPr>
            <w:r w:rsidRPr="005C7CBA">
              <w:rPr>
                <w:rFonts w:eastAsia="Times New Roman"/>
                <w:b/>
                <w:color w:val="000000"/>
                <w:lang w:eastAsia="en-AU"/>
              </w:rPr>
              <w:t>Note</w:t>
            </w:r>
          </w:p>
        </w:tc>
        <w:tc>
          <w:tcPr>
            <w:tcW w:w="1581" w:type="dxa"/>
            <w:tcBorders>
              <w:top w:val="nil"/>
              <w:left w:val="nil"/>
              <w:bottom w:val="single" w:sz="4" w:space="0" w:color="auto"/>
              <w:right w:val="nil"/>
            </w:tcBorders>
            <w:vAlign w:val="center"/>
            <w:hideMark/>
          </w:tcPr>
          <w:p w:rsidR="005C7CBA" w:rsidRPr="005C7CBA" w:rsidRDefault="005C7CBA" w:rsidP="001630AB">
            <w:pPr>
              <w:spacing w:after="0"/>
              <w:jc w:val="center"/>
              <w:rPr>
                <w:rFonts w:eastAsia="Times New Roman"/>
                <w:b/>
                <w:color w:val="000000"/>
                <w:lang w:eastAsia="en-AU"/>
              </w:rPr>
            </w:pPr>
            <w:r w:rsidRPr="005C7CBA">
              <w:rPr>
                <w:rFonts w:eastAsia="Times New Roman"/>
                <w:b/>
                <w:color w:val="000000"/>
                <w:lang w:eastAsia="en-AU"/>
              </w:rPr>
              <w:t>Contributed Equity</w:t>
            </w:r>
          </w:p>
        </w:tc>
        <w:tc>
          <w:tcPr>
            <w:tcW w:w="1199" w:type="dxa"/>
            <w:tcBorders>
              <w:top w:val="nil"/>
              <w:left w:val="nil"/>
              <w:bottom w:val="single" w:sz="4" w:space="0" w:color="auto"/>
              <w:right w:val="nil"/>
            </w:tcBorders>
            <w:vAlign w:val="center"/>
            <w:hideMark/>
          </w:tcPr>
          <w:p w:rsidR="005C7CBA" w:rsidRPr="005C7CBA" w:rsidRDefault="005C7CBA" w:rsidP="001630AB">
            <w:pPr>
              <w:spacing w:after="0"/>
              <w:jc w:val="center"/>
              <w:rPr>
                <w:rFonts w:eastAsia="Times New Roman"/>
                <w:b/>
                <w:color w:val="000000"/>
                <w:lang w:eastAsia="en-AU"/>
              </w:rPr>
            </w:pPr>
            <w:r w:rsidRPr="005C7CBA">
              <w:rPr>
                <w:rFonts w:eastAsia="Times New Roman"/>
                <w:b/>
                <w:color w:val="000000"/>
                <w:lang w:eastAsia="en-AU"/>
              </w:rPr>
              <w:t>Reserves</w:t>
            </w:r>
          </w:p>
        </w:tc>
        <w:tc>
          <w:tcPr>
            <w:tcW w:w="1701" w:type="dxa"/>
            <w:tcBorders>
              <w:top w:val="nil"/>
              <w:left w:val="nil"/>
              <w:bottom w:val="single" w:sz="4" w:space="0" w:color="auto"/>
              <w:right w:val="nil"/>
            </w:tcBorders>
            <w:vAlign w:val="center"/>
            <w:hideMark/>
          </w:tcPr>
          <w:p w:rsidR="005C7CBA" w:rsidRPr="005C7CBA" w:rsidRDefault="005C7CBA" w:rsidP="001630AB">
            <w:pPr>
              <w:spacing w:after="0"/>
              <w:jc w:val="center"/>
              <w:rPr>
                <w:rFonts w:eastAsia="Times New Roman"/>
                <w:b/>
                <w:color w:val="000000"/>
                <w:lang w:eastAsia="en-AU"/>
              </w:rPr>
            </w:pPr>
            <w:r w:rsidRPr="005C7CBA">
              <w:rPr>
                <w:rFonts w:eastAsia="Times New Roman"/>
                <w:b/>
                <w:color w:val="000000"/>
                <w:lang w:eastAsia="en-AU"/>
              </w:rPr>
              <w:t>Accumulated Surplus/ (Deficit)</w:t>
            </w:r>
          </w:p>
        </w:tc>
        <w:tc>
          <w:tcPr>
            <w:tcW w:w="992" w:type="dxa"/>
            <w:tcBorders>
              <w:top w:val="nil"/>
              <w:left w:val="nil"/>
              <w:bottom w:val="single" w:sz="4" w:space="0" w:color="auto"/>
              <w:right w:val="nil"/>
            </w:tcBorders>
            <w:vAlign w:val="center"/>
            <w:hideMark/>
          </w:tcPr>
          <w:p w:rsidR="005C7CBA" w:rsidRPr="005C7CBA" w:rsidRDefault="005C7CBA" w:rsidP="001630AB">
            <w:pPr>
              <w:spacing w:after="0"/>
              <w:jc w:val="center"/>
              <w:rPr>
                <w:rFonts w:eastAsia="Times New Roman"/>
                <w:b/>
                <w:color w:val="000000"/>
                <w:lang w:eastAsia="en-AU"/>
              </w:rPr>
            </w:pPr>
            <w:r w:rsidRPr="005C7CBA">
              <w:rPr>
                <w:rFonts w:eastAsia="Times New Roman"/>
                <w:b/>
                <w:color w:val="000000"/>
                <w:lang w:eastAsia="en-AU"/>
              </w:rPr>
              <w:t>Total Equity</w:t>
            </w:r>
          </w:p>
        </w:tc>
      </w:tr>
      <w:tr w:rsidR="005C7CBA" w:rsidRPr="005C7CBA" w:rsidTr="00E7558B">
        <w:trPr>
          <w:trHeight w:val="382"/>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b/>
                <w:color w:val="000000"/>
                <w:lang w:eastAsia="en-AU"/>
              </w:rPr>
            </w:pPr>
            <w:r w:rsidRPr="005C7CBA">
              <w:rPr>
                <w:rFonts w:eastAsia="Times New Roman"/>
                <w:b/>
                <w:color w:val="000000"/>
                <w:lang w:eastAsia="en-AU"/>
              </w:rPr>
              <w:t>Balance at 1 July 2013</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r w:rsidRPr="005C7CBA">
              <w:rPr>
                <w:rFonts w:eastAsia="Times New Roman"/>
                <w:color w:val="000000"/>
                <w:lang w:eastAsia="en-AU"/>
              </w:rPr>
              <w:t>26</w:t>
            </w:r>
          </w:p>
        </w:tc>
        <w:tc>
          <w:tcPr>
            <w:tcW w:w="158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36,479</w:t>
            </w:r>
          </w:p>
        </w:tc>
        <w:tc>
          <w:tcPr>
            <w:tcW w:w="1199"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-2,458</w:t>
            </w:r>
          </w:p>
        </w:tc>
        <w:tc>
          <w:tcPr>
            <w:tcW w:w="170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12,844</w:t>
            </w:r>
          </w:p>
        </w:tc>
        <w:tc>
          <w:tcPr>
            <w:tcW w:w="992"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46,865</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Surplus/(deficit)</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199"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701"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26,976</w:t>
            </w:r>
          </w:p>
        </w:tc>
        <w:tc>
          <w:tcPr>
            <w:tcW w:w="992"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26,976</w:t>
            </w:r>
          </w:p>
        </w:tc>
      </w:tr>
      <w:tr w:rsidR="005C7CBA" w:rsidRPr="005C7CBA" w:rsidTr="00E7558B">
        <w:trPr>
          <w:trHeight w:val="570"/>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Other comprehensive income for the year</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495</w:t>
            </w:r>
          </w:p>
        </w:tc>
        <w:tc>
          <w:tcPr>
            <w:tcW w:w="1701"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495</w:t>
            </w:r>
          </w:p>
        </w:tc>
      </w:tr>
      <w:tr w:rsidR="005C7CBA" w:rsidRPr="005C7CBA" w:rsidTr="00E7558B">
        <w:trPr>
          <w:trHeight w:val="570"/>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r w:rsidRPr="005C7CBA">
              <w:rPr>
                <w:rFonts w:eastAsia="Times New Roman"/>
                <w:color w:val="000000"/>
                <w:lang w:eastAsia="en-AU"/>
              </w:rPr>
              <w:t>Total comprehensive income for the year</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single" w:sz="4" w:space="0" w:color="auto"/>
              <w:right w:val="nil"/>
            </w:tcBorders>
            <w:noWrap/>
            <w:vAlign w:val="center"/>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single" w:sz="4" w:space="0" w:color="auto"/>
              <w:left w:val="nil"/>
              <w:bottom w:val="single" w:sz="4" w:space="0" w:color="auto"/>
              <w:right w:val="nil"/>
            </w:tcBorders>
            <w:noWrap/>
            <w:vAlign w:val="center"/>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495</w:t>
            </w:r>
          </w:p>
        </w:tc>
        <w:tc>
          <w:tcPr>
            <w:tcW w:w="1701" w:type="dxa"/>
            <w:tcBorders>
              <w:top w:val="single" w:sz="4" w:space="0" w:color="auto"/>
              <w:left w:val="nil"/>
              <w:bottom w:val="single" w:sz="4" w:space="0" w:color="auto"/>
              <w:right w:val="nil"/>
            </w:tcBorders>
            <w:noWrap/>
            <w:vAlign w:val="center"/>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26,976</w:t>
            </w:r>
          </w:p>
        </w:tc>
        <w:tc>
          <w:tcPr>
            <w:tcW w:w="992" w:type="dxa"/>
            <w:tcBorders>
              <w:top w:val="single" w:sz="4" w:space="0" w:color="auto"/>
              <w:left w:val="nil"/>
              <w:bottom w:val="single" w:sz="4" w:space="0" w:color="auto"/>
              <w:right w:val="nil"/>
            </w:tcBorders>
            <w:noWrap/>
            <w:vAlign w:val="center"/>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27,471</w:t>
            </w:r>
          </w:p>
        </w:tc>
      </w:tr>
      <w:tr w:rsidR="005C7CBA" w:rsidRPr="005C7CBA" w:rsidTr="00E7558B">
        <w:trPr>
          <w:trHeight w:val="570"/>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r w:rsidRPr="005C7CBA">
              <w:rPr>
                <w:rFonts w:eastAsia="Times New Roman"/>
                <w:color w:val="000000"/>
                <w:lang w:eastAsia="en-AU"/>
              </w:rPr>
              <w:t>Transactions with owners in their capacity as owners:</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199"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701"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992"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Capital appropriations</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Other contributions by owners</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-362</w:t>
            </w:r>
          </w:p>
        </w:tc>
        <w:tc>
          <w:tcPr>
            <w:tcW w:w="1199"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-362</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Distribution to owners</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r w:rsidRPr="005C7CBA">
              <w:rPr>
                <w:rFonts w:eastAsia="Times New Roman"/>
                <w:color w:val="000000"/>
                <w:lang w:eastAsia="en-AU"/>
              </w:rPr>
              <w:t>Total</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-362</w:t>
            </w:r>
          </w:p>
        </w:tc>
        <w:tc>
          <w:tcPr>
            <w:tcW w:w="1199"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-362</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b/>
                <w:color w:val="000000"/>
                <w:lang w:eastAsia="en-AU"/>
              </w:rPr>
            </w:pPr>
            <w:r w:rsidRPr="005C7CBA">
              <w:rPr>
                <w:rFonts w:eastAsia="Times New Roman"/>
                <w:b/>
                <w:color w:val="000000"/>
                <w:lang w:eastAsia="en-AU"/>
              </w:rPr>
              <w:t>Balance at 30 June 2014</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36,117</w:t>
            </w:r>
          </w:p>
        </w:tc>
        <w:tc>
          <w:tcPr>
            <w:tcW w:w="1199"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-1,963</w:t>
            </w:r>
          </w:p>
        </w:tc>
        <w:tc>
          <w:tcPr>
            <w:tcW w:w="1701"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39,820</w:t>
            </w:r>
          </w:p>
        </w:tc>
        <w:tc>
          <w:tcPr>
            <w:tcW w:w="992"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73,974</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doub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199" w:type="dxa"/>
            <w:tcBorders>
              <w:top w:val="doub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701" w:type="dxa"/>
            <w:tcBorders>
              <w:top w:val="doub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992" w:type="dxa"/>
            <w:tcBorders>
              <w:top w:val="doub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b/>
                <w:color w:val="000000"/>
                <w:lang w:eastAsia="en-AU"/>
              </w:rPr>
            </w:pPr>
            <w:r w:rsidRPr="005C7CBA">
              <w:rPr>
                <w:rFonts w:eastAsia="Times New Roman"/>
                <w:b/>
                <w:color w:val="000000"/>
                <w:lang w:eastAsia="en-AU"/>
              </w:rPr>
              <w:t>Balance at 1 July 2014</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36,117</w:t>
            </w:r>
          </w:p>
        </w:tc>
        <w:tc>
          <w:tcPr>
            <w:tcW w:w="1199"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-1,963</w:t>
            </w:r>
          </w:p>
        </w:tc>
        <w:tc>
          <w:tcPr>
            <w:tcW w:w="170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39,820</w:t>
            </w:r>
          </w:p>
        </w:tc>
        <w:tc>
          <w:tcPr>
            <w:tcW w:w="992"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73,974</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Surplus/(deficit)</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-2,864</w:t>
            </w:r>
          </w:p>
        </w:tc>
        <w:tc>
          <w:tcPr>
            <w:tcW w:w="992" w:type="dxa"/>
            <w:tcBorders>
              <w:top w:val="single" w:sz="4" w:space="0" w:color="auto"/>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-2,864</w:t>
            </w:r>
          </w:p>
        </w:tc>
      </w:tr>
      <w:tr w:rsidR="005C7CBA" w:rsidRPr="005C7CBA" w:rsidTr="00E7558B">
        <w:trPr>
          <w:trHeight w:val="570"/>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Other comprehensive income for the year</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1,529</w:t>
            </w:r>
          </w:p>
        </w:tc>
        <w:tc>
          <w:tcPr>
            <w:tcW w:w="170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1,529</w:t>
            </w:r>
          </w:p>
        </w:tc>
      </w:tr>
      <w:tr w:rsidR="005C7CBA" w:rsidRPr="005C7CBA" w:rsidTr="00E7558B">
        <w:trPr>
          <w:trHeight w:val="570"/>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r w:rsidRPr="005C7CBA">
              <w:rPr>
                <w:rFonts w:eastAsia="Times New Roman"/>
                <w:color w:val="000000"/>
                <w:lang w:eastAsia="en-AU"/>
              </w:rPr>
              <w:t>Total comprehensive income for the year</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199"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1,529</w:t>
            </w:r>
          </w:p>
        </w:tc>
        <w:tc>
          <w:tcPr>
            <w:tcW w:w="170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-2,864</w:t>
            </w:r>
          </w:p>
        </w:tc>
        <w:tc>
          <w:tcPr>
            <w:tcW w:w="992"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-1,335</w:t>
            </w:r>
          </w:p>
        </w:tc>
      </w:tr>
      <w:tr w:rsidR="005C7CBA" w:rsidRPr="005C7CBA" w:rsidTr="00E7558B">
        <w:trPr>
          <w:trHeight w:val="570"/>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r w:rsidRPr="005C7CBA">
              <w:rPr>
                <w:rFonts w:eastAsia="Times New Roman"/>
                <w:color w:val="000000"/>
                <w:lang w:eastAsia="en-AU"/>
              </w:rPr>
              <w:t>Transactions with owners in their capacity as owners:</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199"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1701"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c>
          <w:tcPr>
            <w:tcW w:w="992" w:type="dxa"/>
            <w:tcBorders>
              <w:top w:val="nil"/>
              <w:left w:val="nil"/>
              <w:bottom w:val="nil"/>
              <w:right w:val="nil"/>
            </w:tcBorders>
            <w:noWrap/>
            <w:vAlign w:val="bottom"/>
            <w:hideMark/>
          </w:tcPr>
          <w:p w:rsidR="005C7CBA" w:rsidRPr="005C7CBA" w:rsidRDefault="005C7CBA" w:rsidP="001630AB">
            <w:pPr>
              <w:spacing w:after="0"/>
              <w:jc w:val="right"/>
              <w:rPr>
                <w:rFonts w:eastAsia="Times New Roman"/>
                <w:color w:val="000000"/>
                <w:lang w:eastAsia="en-AU"/>
              </w:rPr>
            </w:pP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ind w:left="460"/>
              <w:rPr>
                <w:rFonts w:eastAsia="Times New Roman"/>
                <w:color w:val="000000"/>
                <w:lang w:eastAsia="en-AU"/>
              </w:rPr>
            </w:pPr>
            <w:r w:rsidRPr="005C7CBA">
              <w:rPr>
                <w:rFonts w:eastAsia="Times New Roman"/>
                <w:color w:val="000000"/>
                <w:lang w:eastAsia="en-AU"/>
              </w:rPr>
              <w:t>Capital appropriations</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3,000</w:t>
            </w:r>
          </w:p>
        </w:tc>
        <w:tc>
          <w:tcPr>
            <w:tcW w:w="1199"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nil"/>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3,000</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color w:val="000000"/>
                <w:lang w:eastAsia="en-AU"/>
              </w:rPr>
            </w:pPr>
            <w:r w:rsidRPr="005C7CBA">
              <w:rPr>
                <w:rFonts w:eastAsia="Times New Roman"/>
                <w:color w:val="000000"/>
                <w:lang w:eastAsia="en-AU"/>
              </w:rPr>
              <w:t>Total</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3,000</w:t>
            </w:r>
          </w:p>
        </w:tc>
        <w:tc>
          <w:tcPr>
            <w:tcW w:w="1199"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1701"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w:t>
            </w:r>
          </w:p>
        </w:tc>
        <w:tc>
          <w:tcPr>
            <w:tcW w:w="992" w:type="dxa"/>
            <w:tcBorders>
              <w:top w:val="single" w:sz="4" w:space="0" w:color="auto"/>
              <w:left w:val="nil"/>
              <w:bottom w:val="sing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3,000</w:t>
            </w:r>
          </w:p>
        </w:tc>
      </w:tr>
      <w:tr w:rsidR="005C7CBA" w:rsidRPr="005C7CBA" w:rsidTr="00E7558B">
        <w:trPr>
          <w:trHeight w:val="285"/>
        </w:trPr>
        <w:tc>
          <w:tcPr>
            <w:tcW w:w="3828" w:type="dxa"/>
            <w:tcBorders>
              <w:top w:val="nil"/>
              <w:left w:val="nil"/>
              <w:bottom w:val="nil"/>
              <w:right w:val="nil"/>
            </w:tcBorders>
            <w:vAlign w:val="bottom"/>
            <w:hideMark/>
          </w:tcPr>
          <w:p w:rsidR="005C7CBA" w:rsidRPr="005C7CBA" w:rsidRDefault="005C7CBA" w:rsidP="001630AB">
            <w:pPr>
              <w:spacing w:after="0"/>
              <w:rPr>
                <w:rFonts w:eastAsia="Times New Roman"/>
                <w:b/>
                <w:color w:val="000000"/>
                <w:lang w:eastAsia="en-AU"/>
              </w:rPr>
            </w:pPr>
            <w:r w:rsidRPr="005C7CBA">
              <w:rPr>
                <w:rFonts w:eastAsia="Times New Roman"/>
                <w:b/>
                <w:color w:val="000000"/>
                <w:lang w:eastAsia="en-AU"/>
              </w:rPr>
              <w:t>Balance at 30 June 2015</w:t>
            </w:r>
          </w:p>
        </w:tc>
        <w:tc>
          <w:tcPr>
            <w:tcW w:w="850" w:type="dxa"/>
            <w:tcBorders>
              <w:top w:val="nil"/>
              <w:left w:val="nil"/>
              <w:bottom w:val="nil"/>
              <w:right w:val="nil"/>
            </w:tcBorders>
            <w:noWrap/>
            <w:vAlign w:val="bottom"/>
            <w:hideMark/>
          </w:tcPr>
          <w:p w:rsidR="005C7CBA" w:rsidRPr="005C7CBA" w:rsidRDefault="005C7CBA" w:rsidP="001630AB">
            <w:pPr>
              <w:spacing w:after="0"/>
              <w:jc w:val="center"/>
              <w:rPr>
                <w:rFonts w:eastAsia="Times New Roman"/>
                <w:color w:val="000000"/>
                <w:lang w:eastAsia="en-AU"/>
              </w:rPr>
            </w:pPr>
          </w:p>
        </w:tc>
        <w:tc>
          <w:tcPr>
            <w:tcW w:w="1581"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39,117</w:t>
            </w:r>
          </w:p>
        </w:tc>
        <w:tc>
          <w:tcPr>
            <w:tcW w:w="1199"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-434</w:t>
            </w:r>
          </w:p>
        </w:tc>
        <w:tc>
          <w:tcPr>
            <w:tcW w:w="1701"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36,956</w:t>
            </w:r>
          </w:p>
        </w:tc>
        <w:tc>
          <w:tcPr>
            <w:tcW w:w="992" w:type="dxa"/>
            <w:tcBorders>
              <w:top w:val="single" w:sz="4" w:space="0" w:color="auto"/>
              <w:left w:val="nil"/>
              <w:bottom w:val="double" w:sz="4" w:space="0" w:color="auto"/>
              <w:right w:val="nil"/>
            </w:tcBorders>
            <w:noWrap/>
            <w:vAlign w:val="bottom"/>
            <w:hideMark/>
          </w:tcPr>
          <w:p w:rsidR="005C7CBA" w:rsidRPr="005C7CBA" w:rsidRDefault="005C7CBA" w:rsidP="001630AB">
            <w:pPr>
              <w:spacing w:after="0"/>
              <w:jc w:val="right"/>
              <w:rPr>
                <w:rFonts w:eastAsia="Times New Roman"/>
                <w:color w:val="000000"/>
                <w:lang w:eastAsia="en-AU"/>
              </w:rPr>
            </w:pPr>
            <w:r w:rsidRPr="005C7CBA">
              <w:rPr>
                <w:rFonts w:eastAsia="Times New Roman"/>
                <w:color w:val="000000"/>
                <w:lang w:eastAsia="en-AU"/>
              </w:rPr>
              <w:t>75,639</w:t>
            </w:r>
          </w:p>
        </w:tc>
      </w:tr>
      <w:tr w:rsidR="005C7CBA" w:rsidRPr="00E7558B" w:rsidTr="00E7558B">
        <w:trPr>
          <w:trHeight w:val="285"/>
        </w:trPr>
        <w:tc>
          <w:tcPr>
            <w:tcW w:w="3828" w:type="dxa"/>
            <w:tcBorders>
              <w:top w:val="nil"/>
              <w:left w:val="nil"/>
              <w:bottom w:val="nil"/>
              <w:right w:val="nil"/>
            </w:tcBorders>
            <w:vAlign w:val="bottom"/>
          </w:tcPr>
          <w:p w:rsidR="005C7CBA" w:rsidRPr="00E7558B" w:rsidRDefault="005C7CBA" w:rsidP="001630AB">
            <w:pPr>
              <w:spacing w:after="0"/>
              <w:rPr>
                <w:rFonts w:eastAsia="Times New Roman"/>
                <w:color w:val="000000"/>
                <w:lang w:eastAsia="en-AU"/>
              </w:rPr>
            </w:pPr>
          </w:p>
        </w:tc>
        <w:tc>
          <w:tcPr>
            <w:tcW w:w="850" w:type="dxa"/>
            <w:tcBorders>
              <w:top w:val="nil"/>
              <w:left w:val="nil"/>
              <w:bottom w:val="nil"/>
              <w:right w:val="nil"/>
            </w:tcBorders>
            <w:noWrap/>
            <w:vAlign w:val="bottom"/>
          </w:tcPr>
          <w:p w:rsidR="005C7CBA" w:rsidRPr="00E7558B" w:rsidRDefault="005C7CBA" w:rsidP="001630AB">
            <w:pPr>
              <w:spacing w:after="0"/>
              <w:jc w:val="center"/>
              <w:rPr>
                <w:rFonts w:eastAsia="Times New Roman"/>
                <w:color w:val="000000"/>
                <w:lang w:eastAsia="en-AU"/>
              </w:rPr>
            </w:pPr>
          </w:p>
        </w:tc>
        <w:tc>
          <w:tcPr>
            <w:tcW w:w="1581" w:type="dxa"/>
            <w:tcBorders>
              <w:top w:val="double" w:sz="4" w:space="0" w:color="auto"/>
              <w:left w:val="nil"/>
              <w:bottom w:val="nil"/>
              <w:right w:val="nil"/>
            </w:tcBorders>
            <w:noWrap/>
            <w:vAlign w:val="bottom"/>
          </w:tcPr>
          <w:p w:rsidR="005C7CBA" w:rsidRPr="00E7558B" w:rsidRDefault="005C7CBA" w:rsidP="001630AB">
            <w:pPr>
              <w:spacing w:after="0"/>
              <w:jc w:val="right"/>
              <w:rPr>
                <w:rFonts w:eastAsia="Times New Roman"/>
                <w:color w:val="000000"/>
                <w:lang w:eastAsia="en-AU"/>
              </w:rPr>
            </w:pPr>
          </w:p>
        </w:tc>
        <w:tc>
          <w:tcPr>
            <w:tcW w:w="1199" w:type="dxa"/>
            <w:tcBorders>
              <w:top w:val="double" w:sz="4" w:space="0" w:color="auto"/>
              <w:left w:val="nil"/>
              <w:bottom w:val="nil"/>
              <w:right w:val="nil"/>
            </w:tcBorders>
            <w:noWrap/>
            <w:vAlign w:val="bottom"/>
          </w:tcPr>
          <w:p w:rsidR="005C7CBA" w:rsidRPr="00E7558B" w:rsidRDefault="005C7CBA" w:rsidP="001630AB">
            <w:pPr>
              <w:spacing w:after="0"/>
              <w:jc w:val="right"/>
              <w:rPr>
                <w:rFonts w:eastAsia="Times New Roman"/>
                <w:color w:val="000000"/>
                <w:lang w:eastAsia="en-AU"/>
              </w:rPr>
            </w:pPr>
          </w:p>
        </w:tc>
        <w:tc>
          <w:tcPr>
            <w:tcW w:w="1701" w:type="dxa"/>
            <w:tcBorders>
              <w:top w:val="double" w:sz="4" w:space="0" w:color="auto"/>
              <w:left w:val="nil"/>
              <w:bottom w:val="nil"/>
              <w:right w:val="nil"/>
            </w:tcBorders>
            <w:noWrap/>
            <w:vAlign w:val="bottom"/>
          </w:tcPr>
          <w:p w:rsidR="005C7CBA" w:rsidRPr="00E7558B" w:rsidRDefault="005C7CBA" w:rsidP="001630AB">
            <w:pPr>
              <w:spacing w:after="0"/>
              <w:jc w:val="right"/>
              <w:rPr>
                <w:rFonts w:eastAsia="Times New Roman"/>
                <w:color w:val="000000"/>
                <w:lang w:eastAsia="en-AU"/>
              </w:rPr>
            </w:pPr>
          </w:p>
        </w:tc>
        <w:tc>
          <w:tcPr>
            <w:tcW w:w="992" w:type="dxa"/>
            <w:tcBorders>
              <w:top w:val="double" w:sz="4" w:space="0" w:color="auto"/>
              <w:left w:val="nil"/>
              <w:bottom w:val="nil"/>
              <w:right w:val="nil"/>
            </w:tcBorders>
            <w:noWrap/>
            <w:vAlign w:val="bottom"/>
          </w:tcPr>
          <w:p w:rsidR="005C7CBA" w:rsidRPr="00E7558B" w:rsidRDefault="005C7CBA" w:rsidP="001630AB">
            <w:pPr>
              <w:spacing w:after="0"/>
              <w:jc w:val="right"/>
              <w:rPr>
                <w:rFonts w:eastAsia="Times New Roman"/>
                <w:color w:val="000000"/>
                <w:lang w:eastAsia="en-AU"/>
              </w:rPr>
            </w:pPr>
          </w:p>
        </w:tc>
      </w:tr>
    </w:tbl>
    <w:p w:rsidR="00312A41" w:rsidRPr="006164A2" w:rsidRDefault="006164A2" w:rsidP="006164A2">
      <w:pPr>
        <w:spacing w:before="80" w:after="0"/>
        <w:rPr>
          <w:sz w:val="22"/>
        </w:rPr>
      </w:pPr>
      <w:r w:rsidRPr="0001511D">
        <w:rPr>
          <w:sz w:val="22"/>
        </w:rPr>
        <w:t xml:space="preserve">The </w:t>
      </w:r>
      <w:r w:rsidRPr="008A2099">
        <w:rPr>
          <w:i/>
          <w:sz w:val="22"/>
        </w:rPr>
        <w:t xml:space="preserve">Statement of </w:t>
      </w:r>
      <w:r>
        <w:rPr>
          <w:i/>
          <w:sz w:val="22"/>
        </w:rPr>
        <w:t>Changes in Equity</w:t>
      </w:r>
      <w:r w:rsidRPr="0001511D">
        <w:rPr>
          <w:sz w:val="22"/>
        </w:rPr>
        <w:t xml:space="preserve"> should be read in conjuncti</w:t>
      </w:r>
      <w:r>
        <w:rPr>
          <w:sz w:val="22"/>
        </w:rPr>
        <w:t>on with the accompanying notes.</w:t>
      </w:r>
    </w:p>
    <w:p w:rsidR="00312A41" w:rsidRDefault="00312A41" w:rsidP="00064756"/>
    <w:p w:rsidR="00312A41" w:rsidRDefault="00312A41" w:rsidP="00064756">
      <w:r>
        <w:br w:type="page"/>
      </w:r>
    </w:p>
    <w:p w:rsidR="00312A41" w:rsidRDefault="00312A41" w:rsidP="00064756">
      <w:pPr>
        <w:rPr>
          <w:rFonts w:ascii="Arial" w:hAnsi="Arial" w:cs="Arial"/>
          <w:color w:val="006699"/>
          <w:sz w:val="28"/>
        </w:rPr>
      </w:pPr>
      <w:bookmarkStart w:id="457" w:name="_Toc425370395"/>
      <w:bookmarkStart w:id="458" w:name="_Toc425607581"/>
      <w:bookmarkStart w:id="459" w:name="_Toc426104624"/>
      <w:bookmarkStart w:id="460" w:name="_Toc426397384"/>
      <w:bookmarkStart w:id="461" w:name="_Toc426637358"/>
      <w:bookmarkStart w:id="462" w:name="_Toc426637603"/>
      <w:r w:rsidRPr="00D145C4">
        <w:rPr>
          <w:rStyle w:val="Heading3Char"/>
        </w:rPr>
        <w:t>Statement of Cash Flows</w:t>
      </w:r>
      <w:bookmarkEnd w:id="457"/>
      <w:bookmarkEnd w:id="458"/>
      <w:bookmarkEnd w:id="459"/>
      <w:bookmarkEnd w:id="460"/>
      <w:bookmarkEnd w:id="461"/>
      <w:bookmarkEnd w:id="462"/>
      <w:r w:rsidRPr="00D145C4">
        <w:rPr>
          <w:rFonts w:ascii="Arial" w:hAnsi="Arial" w:cs="Arial"/>
          <w:color w:val="006699"/>
        </w:rPr>
        <w:br/>
      </w:r>
      <w:r w:rsidRPr="00D145C4">
        <w:rPr>
          <w:rFonts w:ascii="Arial" w:hAnsi="Arial" w:cs="Arial"/>
          <w:color w:val="006699"/>
          <w:sz w:val="28"/>
        </w:rPr>
        <w:t>for the year ended 30 June 2015</w:t>
      </w:r>
    </w:p>
    <w:tbl>
      <w:tblPr>
        <w:tblW w:w="9938" w:type="dxa"/>
        <w:tblInd w:w="93" w:type="dxa"/>
        <w:tblLook w:val="04A0" w:firstRow="1" w:lastRow="0" w:firstColumn="1" w:lastColumn="0" w:noHBand="0" w:noVBand="1"/>
      </w:tblPr>
      <w:tblGrid>
        <w:gridCol w:w="6678"/>
        <w:gridCol w:w="817"/>
        <w:gridCol w:w="1167"/>
        <w:gridCol w:w="1276"/>
      </w:tblGrid>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b/>
                <w:color w:val="000000"/>
                <w:lang w:eastAsia="en-AU"/>
              </w:rPr>
            </w:pPr>
            <w:r w:rsidRPr="006D7347">
              <w:rPr>
                <w:rFonts w:eastAsia="Times New Roman"/>
                <w:b/>
                <w:color w:val="000000"/>
                <w:lang w:eastAsia="en-AU"/>
              </w:rPr>
              <w:t>Note</w:t>
            </w: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b/>
                <w:color w:val="000000"/>
                <w:lang w:eastAsia="en-AU"/>
              </w:rPr>
            </w:pPr>
            <w:r w:rsidRPr="006D7347">
              <w:rPr>
                <w:rFonts w:eastAsia="Times New Roman"/>
                <w:b/>
                <w:color w:val="000000"/>
                <w:lang w:eastAsia="en-AU"/>
              </w:rPr>
              <w:t>2014 $000</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b/>
                <w:color w:val="000000"/>
                <w:lang w:eastAsia="en-AU"/>
              </w:rPr>
            </w:pPr>
            <w:r w:rsidRPr="006D7347">
              <w:rPr>
                <w:rFonts w:eastAsia="Times New Roman"/>
                <w:b/>
                <w:color w:val="000000"/>
                <w:lang w:eastAsia="en-AU"/>
              </w:rPr>
              <w:t>2015 $000</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CASH FLOWS FROM STATE GOVERNMENT</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b/>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b/>
                <w:color w:val="000000"/>
                <w:lang w:eastAsia="en-AU"/>
              </w:rPr>
            </w:pP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b/>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Service appropriation</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153,075</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208,936</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Holding accounts drawdowns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2,124</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619</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Capital contributions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3,000</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Royalties for Regions Fund</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85</w:t>
            </w:r>
          </w:p>
        </w:tc>
        <w:tc>
          <w:tcPr>
            <w:tcW w:w="1276"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121</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Net cash provided by State Government</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single" w:sz="4" w:space="0" w:color="auto"/>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158,284</w:t>
            </w:r>
          </w:p>
        </w:tc>
        <w:tc>
          <w:tcPr>
            <w:tcW w:w="1276" w:type="dxa"/>
            <w:tcBorders>
              <w:top w:val="single" w:sz="4" w:space="0" w:color="auto"/>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209,676</w:t>
            </w:r>
          </w:p>
        </w:tc>
      </w:tr>
      <w:tr w:rsidR="00E7558B" w:rsidRPr="006D7347" w:rsidTr="006D7347">
        <w:trPr>
          <w:trHeight w:val="467"/>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Utilised as follows: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single" w:sz="4" w:space="0" w:color="auto"/>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single" w:sz="4" w:space="0" w:color="auto"/>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CASH FLOWS FROM OPERATING ACTIVITIES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Payments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Employee benefits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-77,655</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-80,504</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Supplies and services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-26,859</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-26,896</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Accommodation</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-20,700</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-22,112</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Grants and subsidies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-31,866</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-54,645</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GST payments on purchases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-7,583</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-9,120</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GST payments to taxation authority</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-182</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-227</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Other payments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-165</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-138</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Receipts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User charges and fees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967</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1,174</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Sales of goods and services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1,555</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1,702</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Commonwealth grants and contributions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452</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633</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Interest received</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879</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266</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GST receipts on sales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178</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264</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GST receipts from taxation authority</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8,226</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8,909</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Other receipts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163</w:t>
            </w:r>
          </w:p>
        </w:tc>
        <w:tc>
          <w:tcPr>
            <w:tcW w:w="1276"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154</w:t>
            </w:r>
          </w:p>
        </w:tc>
      </w:tr>
      <w:tr w:rsidR="00E7558B" w:rsidRPr="006D7347" w:rsidTr="006D7347">
        <w:trPr>
          <w:trHeight w:val="367"/>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Net cash provided by/(used in) operating activities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single" w:sz="4" w:space="0" w:color="auto"/>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-152,590</w:t>
            </w:r>
          </w:p>
        </w:tc>
        <w:tc>
          <w:tcPr>
            <w:tcW w:w="1276" w:type="dxa"/>
            <w:tcBorders>
              <w:top w:val="single" w:sz="4" w:space="0" w:color="auto"/>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-180,539</w:t>
            </w:r>
          </w:p>
        </w:tc>
      </w:tr>
      <w:tr w:rsidR="00E7558B" w:rsidRPr="006D7347" w:rsidTr="006D7347">
        <w:trPr>
          <w:trHeight w:val="457"/>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CASH FLOWS FROM INVESTING ACTIVITIES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single" w:sz="4" w:space="0" w:color="auto"/>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single" w:sz="4" w:space="0" w:color="auto"/>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Payments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Proceeds from the sale of non-current physical assets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27</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Receipts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Purchase of non-current physical assets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-2,899</w:t>
            </w:r>
          </w:p>
        </w:tc>
        <w:tc>
          <w:tcPr>
            <w:tcW w:w="1276" w:type="dxa"/>
            <w:tcBorders>
              <w:top w:val="nil"/>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-2,427</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Investment in Other financial assets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-2,000</w:t>
            </w:r>
          </w:p>
        </w:tc>
        <w:tc>
          <w:tcPr>
            <w:tcW w:w="1276"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-1,000</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Net cash provided by/(used in) investing activities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single" w:sz="4" w:space="0" w:color="auto"/>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-4,899</w:t>
            </w:r>
          </w:p>
        </w:tc>
        <w:tc>
          <w:tcPr>
            <w:tcW w:w="1276" w:type="dxa"/>
            <w:tcBorders>
              <w:top w:val="single" w:sz="4" w:space="0" w:color="auto"/>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-3,400</w:t>
            </w:r>
          </w:p>
        </w:tc>
      </w:tr>
      <w:tr w:rsidR="00E7558B" w:rsidRPr="006D7347" w:rsidTr="006D7347">
        <w:trPr>
          <w:trHeight w:val="490"/>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Net increase/(decrease) in cash and cash equivalents</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single" w:sz="4" w:space="0" w:color="auto"/>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795</w:t>
            </w:r>
          </w:p>
        </w:tc>
        <w:tc>
          <w:tcPr>
            <w:tcW w:w="1276" w:type="dxa"/>
            <w:tcBorders>
              <w:top w:val="single" w:sz="4" w:space="0" w:color="auto"/>
              <w:left w:val="nil"/>
              <w:bottom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25,737</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Cash and cash equivalents at the beginning of the period</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63,990</w:t>
            </w:r>
          </w:p>
        </w:tc>
        <w:tc>
          <w:tcPr>
            <w:tcW w:w="1276" w:type="dxa"/>
            <w:tcBorders>
              <w:top w:val="nil"/>
              <w:left w:val="nil"/>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38,273</w:t>
            </w:r>
          </w:p>
        </w:tc>
      </w:tr>
      <w:tr w:rsidR="00E7558B" w:rsidRPr="006D7347" w:rsidTr="006D7347">
        <w:trPr>
          <w:trHeight w:val="570"/>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color w:val="000000"/>
                <w:lang w:eastAsia="en-AU"/>
              </w:rPr>
            </w:pPr>
            <w:r w:rsidRPr="006D7347">
              <w:rPr>
                <w:rFonts w:eastAsia="Times New Roman"/>
                <w:color w:val="000000"/>
                <w:lang w:eastAsia="en-AU"/>
              </w:rPr>
              <w:t xml:space="preserve">Effects of exchange rate changes on cash balances held in foreign currency </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p>
        </w:tc>
        <w:tc>
          <w:tcPr>
            <w:tcW w:w="1167"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28</w:t>
            </w:r>
          </w:p>
        </w:tc>
        <w:tc>
          <w:tcPr>
            <w:tcW w:w="1276" w:type="dxa"/>
            <w:tcBorders>
              <w:top w:val="nil"/>
              <w:left w:val="nil"/>
              <w:bottom w:val="sing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-20</w:t>
            </w:r>
          </w:p>
        </w:tc>
      </w:tr>
      <w:tr w:rsidR="00E7558B" w:rsidRPr="006D7347" w:rsidTr="006D7347">
        <w:trPr>
          <w:trHeight w:val="285"/>
        </w:trPr>
        <w:tc>
          <w:tcPr>
            <w:tcW w:w="6678" w:type="dxa"/>
            <w:tcBorders>
              <w:top w:val="nil"/>
              <w:left w:val="nil"/>
              <w:bottom w:val="nil"/>
              <w:right w:val="nil"/>
            </w:tcBorders>
            <w:shd w:val="clear" w:color="auto" w:fill="auto"/>
            <w:vAlign w:val="bottom"/>
            <w:hideMark/>
          </w:tcPr>
          <w:p w:rsidR="00E7558B" w:rsidRPr="006D7347" w:rsidRDefault="00E7558B" w:rsidP="006D7347">
            <w:pPr>
              <w:spacing w:after="0"/>
              <w:rPr>
                <w:rFonts w:eastAsia="Times New Roman"/>
                <w:b/>
                <w:color w:val="000000"/>
                <w:lang w:eastAsia="en-AU"/>
              </w:rPr>
            </w:pPr>
            <w:r w:rsidRPr="006D7347">
              <w:rPr>
                <w:rFonts w:eastAsia="Times New Roman"/>
                <w:b/>
                <w:color w:val="000000"/>
                <w:lang w:eastAsia="en-AU"/>
              </w:rPr>
              <w:t>CASH AND CASH EQUIVALENTS AT END OF THE PERIOD</w:t>
            </w:r>
          </w:p>
        </w:tc>
        <w:tc>
          <w:tcPr>
            <w:tcW w:w="817" w:type="dxa"/>
            <w:tcBorders>
              <w:top w:val="nil"/>
              <w:left w:val="nil"/>
              <w:bottom w:val="nil"/>
              <w:right w:val="nil"/>
            </w:tcBorders>
            <w:shd w:val="clear" w:color="auto" w:fill="auto"/>
            <w:noWrap/>
            <w:vAlign w:val="bottom"/>
            <w:hideMark/>
          </w:tcPr>
          <w:p w:rsidR="00E7558B" w:rsidRPr="006D7347" w:rsidRDefault="00E7558B" w:rsidP="006D7347">
            <w:pPr>
              <w:spacing w:after="0"/>
              <w:jc w:val="center"/>
              <w:rPr>
                <w:rFonts w:eastAsia="Times New Roman"/>
                <w:color w:val="000000"/>
                <w:lang w:eastAsia="en-AU"/>
              </w:rPr>
            </w:pPr>
            <w:r w:rsidRPr="006D7347">
              <w:rPr>
                <w:rFonts w:eastAsia="Times New Roman"/>
                <w:color w:val="000000"/>
                <w:lang w:eastAsia="en-AU"/>
              </w:rPr>
              <w:t>27</w:t>
            </w:r>
          </w:p>
        </w:tc>
        <w:tc>
          <w:tcPr>
            <w:tcW w:w="1167" w:type="dxa"/>
            <w:tcBorders>
              <w:top w:val="single" w:sz="4" w:space="0" w:color="auto"/>
              <w:left w:val="nil"/>
              <w:bottom w:val="doub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64,813</w:t>
            </w:r>
          </w:p>
        </w:tc>
        <w:tc>
          <w:tcPr>
            <w:tcW w:w="1276" w:type="dxa"/>
            <w:tcBorders>
              <w:top w:val="single" w:sz="4" w:space="0" w:color="auto"/>
              <w:left w:val="nil"/>
              <w:bottom w:val="double" w:sz="4" w:space="0" w:color="auto"/>
              <w:right w:val="nil"/>
            </w:tcBorders>
            <w:shd w:val="clear" w:color="auto" w:fill="auto"/>
            <w:noWrap/>
            <w:vAlign w:val="bottom"/>
            <w:hideMark/>
          </w:tcPr>
          <w:p w:rsidR="00E7558B" w:rsidRPr="006D7347" w:rsidRDefault="00E7558B" w:rsidP="006D7347">
            <w:pPr>
              <w:spacing w:after="0"/>
              <w:jc w:val="right"/>
              <w:rPr>
                <w:rFonts w:eastAsia="Times New Roman"/>
                <w:color w:val="000000"/>
                <w:lang w:eastAsia="en-AU"/>
              </w:rPr>
            </w:pPr>
            <w:r w:rsidRPr="006D7347">
              <w:rPr>
                <w:rFonts w:eastAsia="Times New Roman"/>
                <w:color w:val="000000"/>
                <w:lang w:eastAsia="en-AU"/>
              </w:rPr>
              <w:t>63,990</w:t>
            </w:r>
          </w:p>
        </w:tc>
      </w:tr>
    </w:tbl>
    <w:p w:rsidR="00C20E53" w:rsidRPr="0001511D" w:rsidRDefault="00C20E53" w:rsidP="00C20E53">
      <w:pPr>
        <w:spacing w:before="80" w:after="0"/>
        <w:rPr>
          <w:sz w:val="22"/>
        </w:rPr>
      </w:pPr>
      <w:r w:rsidRPr="0001511D">
        <w:rPr>
          <w:sz w:val="22"/>
        </w:rPr>
        <w:t xml:space="preserve">The </w:t>
      </w:r>
      <w:r w:rsidRPr="008A2099">
        <w:rPr>
          <w:i/>
          <w:sz w:val="22"/>
        </w:rPr>
        <w:t xml:space="preserve">Statement of </w:t>
      </w:r>
      <w:r>
        <w:rPr>
          <w:i/>
          <w:sz w:val="22"/>
        </w:rPr>
        <w:t>Cash Flows</w:t>
      </w:r>
      <w:r w:rsidRPr="0001511D">
        <w:rPr>
          <w:sz w:val="22"/>
        </w:rPr>
        <w:t xml:space="preserve"> should be read in conjunction with the accompanying notes.</w:t>
      </w:r>
    </w:p>
    <w:p w:rsidR="00FA2954" w:rsidRDefault="00FA2954">
      <w:pPr>
        <w:spacing w:line="276" w:lineRule="auto"/>
        <w:rPr>
          <w:rStyle w:val="Heading3Char"/>
        </w:rPr>
      </w:pPr>
      <w:bookmarkStart w:id="463" w:name="_Toc425370396"/>
      <w:bookmarkStart w:id="464" w:name="_Toc425607582"/>
      <w:bookmarkStart w:id="465" w:name="_Toc426104625"/>
      <w:bookmarkStart w:id="466" w:name="_Toc426397385"/>
      <w:bookmarkStart w:id="467" w:name="_Toc426637359"/>
      <w:bookmarkStart w:id="468" w:name="_Toc426637604"/>
      <w:r>
        <w:rPr>
          <w:rStyle w:val="Heading3Char"/>
        </w:rPr>
        <w:br w:type="page"/>
      </w:r>
    </w:p>
    <w:p w:rsidR="009677EA" w:rsidRPr="006A0AF0" w:rsidRDefault="00312A41" w:rsidP="006D7347">
      <w:pPr>
        <w:rPr>
          <w:rFonts w:ascii="Arial" w:hAnsi="Arial" w:cs="Arial"/>
          <w:color w:val="006699"/>
          <w:sz w:val="28"/>
        </w:rPr>
      </w:pPr>
      <w:r w:rsidRPr="00D145C4">
        <w:rPr>
          <w:rStyle w:val="Heading3Char"/>
        </w:rPr>
        <w:t>Schedule of Income and Expenses by Service</w:t>
      </w:r>
      <w:bookmarkEnd w:id="463"/>
      <w:bookmarkEnd w:id="464"/>
      <w:bookmarkEnd w:id="465"/>
      <w:bookmarkEnd w:id="466"/>
      <w:bookmarkEnd w:id="467"/>
      <w:bookmarkEnd w:id="468"/>
      <w:r w:rsidRPr="00D145C4">
        <w:rPr>
          <w:rFonts w:ascii="Arial" w:hAnsi="Arial" w:cs="Arial"/>
          <w:color w:val="006699"/>
        </w:rPr>
        <w:br/>
      </w:r>
      <w:r w:rsidRPr="00D145C4">
        <w:rPr>
          <w:rFonts w:ascii="Arial" w:hAnsi="Arial" w:cs="Arial"/>
          <w:color w:val="006699"/>
          <w:sz w:val="28"/>
        </w:rPr>
        <w:t>for the year ended 30 June 2015</w:t>
      </w:r>
    </w:p>
    <w:tbl>
      <w:tblPr>
        <w:tblW w:w="10221" w:type="dxa"/>
        <w:tblInd w:w="93" w:type="dxa"/>
        <w:tblLayout w:type="fixed"/>
        <w:tblLook w:val="04A0" w:firstRow="1" w:lastRow="0" w:firstColumn="1" w:lastColumn="0" w:noHBand="0" w:noVBand="1"/>
      </w:tblPr>
      <w:tblGrid>
        <w:gridCol w:w="3701"/>
        <w:gridCol w:w="1086"/>
        <w:gridCol w:w="1087"/>
        <w:gridCol w:w="1087"/>
        <w:gridCol w:w="1086"/>
        <w:gridCol w:w="1087"/>
        <w:gridCol w:w="1087"/>
      </w:tblGrid>
      <w:tr w:rsidR="006A0AF0" w:rsidRPr="006A0AF0" w:rsidTr="006A0AF0">
        <w:trPr>
          <w:trHeight w:val="1323"/>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p>
        </w:tc>
        <w:tc>
          <w:tcPr>
            <w:tcW w:w="2173" w:type="dxa"/>
            <w:gridSpan w:val="2"/>
            <w:shd w:val="clear" w:color="auto" w:fill="auto"/>
            <w:vAlign w:val="bottom"/>
            <w:hideMark/>
          </w:tcPr>
          <w:p w:rsidR="006A0AF0" w:rsidRPr="006A0AF0" w:rsidRDefault="006A0AF0" w:rsidP="006A0AF0">
            <w:pPr>
              <w:spacing w:after="0"/>
              <w:jc w:val="center"/>
              <w:rPr>
                <w:rFonts w:eastAsia="Times New Roman"/>
                <w:b/>
                <w:bCs/>
                <w:color w:val="000000"/>
                <w:sz w:val="22"/>
                <w:szCs w:val="22"/>
                <w:lang w:eastAsia="en-AU"/>
              </w:rPr>
            </w:pPr>
            <w:r w:rsidRPr="006A0AF0">
              <w:rPr>
                <w:rFonts w:eastAsia="Times New Roman"/>
                <w:b/>
                <w:bCs/>
                <w:color w:val="000000"/>
                <w:sz w:val="22"/>
                <w:szCs w:val="22"/>
                <w:lang w:eastAsia="en-AU"/>
              </w:rPr>
              <w:t>Administration of Executive Government Services</w:t>
            </w:r>
          </w:p>
        </w:tc>
        <w:tc>
          <w:tcPr>
            <w:tcW w:w="2173" w:type="dxa"/>
            <w:gridSpan w:val="2"/>
            <w:shd w:val="clear" w:color="auto" w:fill="auto"/>
            <w:vAlign w:val="bottom"/>
            <w:hideMark/>
          </w:tcPr>
          <w:p w:rsidR="006A0AF0" w:rsidRPr="006A0AF0" w:rsidRDefault="006A0AF0" w:rsidP="006A0AF0">
            <w:pPr>
              <w:spacing w:after="0"/>
              <w:jc w:val="center"/>
              <w:rPr>
                <w:rFonts w:eastAsia="Times New Roman"/>
                <w:b/>
                <w:bCs/>
                <w:color w:val="000000"/>
                <w:sz w:val="22"/>
                <w:szCs w:val="22"/>
                <w:lang w:eastAsia="en-AU"/>
              </w:rPr>
            </w:pPr>
            <w:r w:rsidRPr="006A0AF0">
              <w:rPr>
                <w:rFonts w:eastAsia="Times New Roman"/>
                <w:b/>
                <w:bCs/>
                <w:color w:val="000000"/>
                <w:sz w:val="22"/>
                <w:szCs w:val="22"/>
                <w:lang w:eastAsia="en-AU"/>
              </w:rPr>
              <w:t>Government Policy Management</w:t>
            </w:r>
          </w:p>
        </w:tc>
        <w:tc>
          <w:tcPr>
            <w:tcW w:w="2174" w:type="dxa"/>
            <w:gridSpan w:val="2"/>
            <w:shd w:val="clear" w:color="auto" w:fill="auto"/>
            <w:vAlign w:val="bottom"/>
            <w:hideMark/>
          </w:tcPr>
          <w:p w:rsidR="006A0AF0" w:rsidRPr="006A0AF0" w:rsidRDefault="006A0AF0" w:rsidP="006A0AF0">
            <w:pPr>
              <w:spacing w:after="0"/>
              <w:jc w:val="center"/>
              <w:rPr>
                <w:rFonts w:eastAsia="Times New Roman"/>
                <w:b/>
                <w:bCs/>
                <w:color w:val="000000"/>
                <w:sz w:val="22"/>
                <w:szCs w:val="22"/>
                <w:lang w:eastAsia="en-AU"/>
              </w:rPr>
            </w:pPr>
            <w:r w:rsidRPr="006A0AF0">
              <w:rPr>
                <w:rFonts w:eastAsia="Times New Roman"/>
                <w:b/>
                <w:bCs/>
                <w:color w:val="000000"/>
                <w:sz w:val="22"/>
                <w:szCs w:val="22"/>
                <w:lang w:eastAsia="en-AU"/>
              </w:rPr>
              <w:t>Total</w:t>
            </w:r>
          </w:p>
        </w:tc>
      </w:tr>
      <w:tr w:rsidR="006A0AF0" w:rsidRPr="006A0AF0" w:rsidTr="006A0AF0">
        <w:trPr>
          <w:trHeight w:val="660"/>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p>
        </w:tc>
        <w:tc>
          <w:tcPr>
            <w:tcW w:w="1086" w:type="dxa"/>
            <w:shd w:val="clear" w:color="auto" w:fill="auto"/>
            <w:vAlign w:val="bottom"/>
            <w:hideMark/>
          </w:tcPr>
          <w:p w:rsidR="006A0AF0" w:rsidRPr="006A0AF0" w:rsidRDefault="006A0AF0" w:rsidP="006A0AF0">
            <w:pPr>
              <w:spacing w:after="0"/>
              <w:jc w:val="right"/>
              <w:rPr>
                <w:rFonts w:eastAsia="Times New Roman"/>
                <w:b/>
                <w:bCs/>
                <w:color w:val="000000"/>
                <w:lang w:eastAsia="en-AU"/>
              </w:rPr>
            </w:pPr>
            <w:r w:rsidRPr="006A0AF0">
              <w:rPr>
                <w:rFonts w:eastAsia="Times New Roman"/>
                <w:b/>
                <w:bCs/>
                <w:color w:val="000000"/>
                <w:lang w:eastAsia="en-AU"/>
              </w:rPr>
              <w:t>2015 $000</w:t>
            </w:r>
          </w:p>
        </w:tc>
        <w:tc>
          <w:tcPr>
            <w:tcW w:w="1087" w:type="dxa"/>
            <w:shd w:val="clear" w:color="auto" w:fill="auto"/>
            <w:vAlign w:val="bottom"/>
            <w:hideMark/>
          </w:tcPr>
          <w:p w:rsidR="006A0AF0" w:rsidRPr="006A0AF0" w:rsidRDefault="006A0AF0" w:rsidP="006A0AF0">
            <w:pPr>
              <w:spacing w:after="0"/>
              <w:jc w:val="right"/>
              <w:rPr>
                <w:rFonts w:eastAsia="Times New Roman"/>
                <w:b/>
                <w:bCs/>
                <w:color w:val="000000"/>
                <w:lang w:eastAsia="en-AU"/>
              </w:rPr>
            </w:pPr>
            <w:r w:rsidRPr="006A0AF0">
              <w:rPr>
                <w:rFonts w:eastAsia="Times New Roman"/>
                <w:b/>
                <w:bCs/>
                <w:color w:val="000000"/>
                <w:lang w:eastAsia="en-AU"/>
              </w:rPr>
              <w:t>2014 $000</w:t>
            </w:r>
          </w:p>
        </w:tc>
        <w:tc>
          <w:tcPr>
            <w:tcW w:w="1087" w:type="dxa"/>
            <w:shd w:val="clear" w:color="auto" w:fill="auto"/>
            <w:vAlign w:val="bottom"/>
            <w:hideMark/>
          </w:tcPr>
          <w:p w:rsidR="006A0AF0" w:rsidRPr="006A0AF0" w:rsidRDefault="006A0AF0" w:rsidP="006A0AF0">
            <w:pPr>
              <w:spacing w:after="0"/>
              <w:jc w:val="right"/>
              <w:rPr>
                <w:rFonts w:eastAsia="Times New Roman"/>
                <w:b/>
                <w:bCs/>
                <w:color w:val="000000"/>
                <w:lang w:eastAsia="en-AU"/>
              </w:rPr>
            </w:pPr>
            <w:r w:rsidRPr="006A0AF0">
              <w:rPr>
                <w:rFonts w:eastAsia="Times New Roman"/>
                <w:b/>
                <w:bCs/>
                <w:color w:val="000000"/>
                <w:lang w:eastAsia="en-AU"/>
              </w:rPr>
              <w:t>2015 $000</w:t>
            </w:r>
          </w:p>
        </w:tc>
        <w:tc>
          <w:tcPr>
            <w:tcW w:w="1086" w:type="dxa"/>
            <w:shd w:val="clear" w:color="auto" w:fill="auto"/>
            <w:vAlign w:val="bottom"/>
            <w:hideMark/>
          </w:tcPr>
          <w:p w:rsidR="006A0AF0" w:rsidRPr="006A0AF0" w:rsidRDefault="006A0AF0" w:rsidP="006A0AF0">
            <w:pPr>
              <w:spacing w:after="0"/>
              <w:jc w:val="right"/>
              <w:rPr>
                <w:rFonts w:eastAsia="Times New Roman"/>
                <w:b/>
                <w:bCs/>
                <w:color w:val="000000"/>
                <w:lang w:eastAsia="en-AU"/>
              </w:rPr>
            </w:pPr>
            <w:r w:rsidRPr="006A0AF0">
              <w:rPr>
                <w:rFonts w:eastAsia="Times New Roman"/>
                <w:b/>
                <w:bCs/>
                <w:color w:val="000000"/>
                <w:lang w:eastAsia="en-AU"/>
              </w:rPr>
              <w:t>2014 $000</w:t>
            </w:r>
          </w:p>
        </w:tc>
        <w:tc>
          <w:tcPr>
            <w:tcW w:w="1087" w:type="dxa"/>
            <w:shd w:val="clear" w:color="auto" w:fill="auto"/>
            <w:vAlign w:val="bottom"/>
            <w:hideMark/>
          </w:tcPr>
          <w:p w:rsidR="006A0AF0" w:rsidRPr="006A0AF0" w:rsidRDefault="006A0AF0" w:rsidP="006A0AF0">
            <w:pPr>
              <w:spacing w:after="0"/>
              <w:jc w:val="right"/>
              <w:rPr>
                <w:rFonts w:eastAsia="Times New Roman"/>
                <w:b/>
                <w:bCs/>
                <w:color w:val="000000"/>
                <w:lang w:eastAsia="en-AU"/>
              </w:rPr>
            </w:pPr>
            <w:r w:rsidRPr="006A0AF0">
              <w:rPr>
                <w:rFonts w:eastAsia="Times New Roman"/>
                <w:b/>
                <w:bCs/>
                <w:color w:val="000000"/>
                <w:lang w:eastAsia="en-AU"/>
              </w:rPr>
              <w:t>2015 $000</w:t>
            </w:r>
          </w:p>
        </w:tc>
        <w:tc>
          <w:tcPr>
            <w:tcW w:w="1087" w:type="dxa"/>
            <w:shd w:val="clear" w:color="auto" w:fill="auto"/>
            <w:vAlign w:val="bottom"/>
            <w:hideMark/>
          </w:tcPr>
          <w:p w:rsidR="006A0AF0" w:rsidRPr="006A0AF0" w:rsidRDefault="006A0AF0" w:rsidP="006A0AF0">
            <w:pPr>
              <w:spacing w:after="0"/>
              <w:jc w:val="right"/>
              <w:rPr>
                <w:rFonts w:eastAsia="Times New Roman"/>
                <w:b/>
                <w:bCs/>
                <w:color w:val="000000"/>
                <w:lang w:eastAsia="en-AU"/>
              </w:rPr>
            </w:pPr>
            <w:r w:rsidRPr="006A0AF0">
              <w:rPr>
                <w:rFonts w:eastAsia="Times New Roman"/>
                <w:b/>
                <w:bCs/>
                <w:color w:val="000000"/>
                <w:lang w:eastAsia="en-AU"/>
              </w:rPr>
              <w:t>2014 $000</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COST OF SERVICES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Expenses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Employee benefits expense</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72,093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74,498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6,348</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6,818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78,441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81,316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Supplies and services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26,834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26,781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6,588</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7,285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33,422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34,066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Depreciation and amortisation expense</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1,955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1,711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54</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2,009</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1,765</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Accommodation expenses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20,366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20,809</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809</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857</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21,175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21,666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Grants and subsidies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6,823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14,017</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25,134</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40,689</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31,957</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54,706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Loss on disposal of non-current assets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20</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Loss on foreign exchange and hedging</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112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382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112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382</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Loss on other financial assets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1,990</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886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1,990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886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Other expenses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546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355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59</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605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415</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Total cost of services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128,746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138,573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40,982</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56,649</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169,728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195,222</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Income</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User charges and fees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634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604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257</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255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891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859</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Sales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1,573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1,726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1,573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1,726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 xml:space="preserve">Commonwealth grants and </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contributions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452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420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452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420</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Interest revenue</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854</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486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854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486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 xml:space="preserve">Gains on foreign operation </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translation</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66</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w:t>
            </w:r>
          </w:p>
        </w:tc>
      </w:tr>
      <w:tr w:rsidR="006A0AF0" w:rsidRPr="006A0AF0" w:rsidTr="006A0AF0">
        <w:trPr>
          <w:trHeight w:val="570"/>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Total income other than income from State Government</w:t>
            </w:r>
          </w:p>
        </w:tc>
        <w:tc>
          <w:tcPr>
            <w:tcW w:w="1086" w:type="dxa"/>
            <w:shd w:val="clear" w:color="auto" w:fill="auto"/>
            <w:noWrap/>
            <w:vAlign w:val="center"/>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2,725</w:t>
            </w:r>
          </w:p>
        </w:tc>
        <w:tc>
          <w:tcPr>
            <w:tcW w:w="1087" w:type="dxa"/>
            <w:shd w:val="clear" w:color="auto" w:fill="auto"/>
            <w:noWrap/>
            <w:vAlign w:val="center"/>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2,750</w:t>
            </w:r>
          </w:p>
        </w:tc>
        <w:tc>
          <w:tcPr>
            <w:tcW w:w="1087" w:type="dxa"/>
            <w:shd w:val="clear" w:color="auto" w:fill="auto"/>
            <w:noWrap/>
            <w:vAlign w:val="center"/>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1,111</w:t>
            </w:r>
          </w:p>
        </w:tc>
        <w:tc>
          <w:tcPr>
            <w:tcW w:w="1086" w:type="dxa"/>
            <w:shd w:val="clear" w:color="auto" w:fill="auto"/>
            <w:noWrap/>
            <w:vAlign w:val="center"/>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741</w:t>
            </w:r>
          </w:p>
        </w:tc>
        <w:tc>
          <w:tcPr>
            <w:tcW w:w="1087" w:type="dxa"/>
            <w:shd w:val="clear" w:color="auto" w:fill="auto"/>
            <w:noWrap/>
            <w:vAlign w:val="center"/>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3,836</w:t>
            </w:r>
          </w:p>
        </w:tc>
        <w:tc>
          <w:tcPr>
            <w:tcW w:w="1087" w:type="dxa"/>
            <w:shd w:val="clear" w:color="auto" w:fill="auto"/>
            <w:noWrap/>
            <w:vAlign w:val="center"/>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3,491</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NET COST OF SERVICES</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126,021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135,823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39,871</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55,908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165,892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191,731</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 xml:space="preserve">INCOME FROM STATE </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GOVERNMENT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Service appropriation</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118,258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129,481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37,645</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81,805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155,903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211,286</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Resources received free of charge</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4,852</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4,524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2,188</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2,774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7,040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7,298</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Royalties for Regions Fund</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113</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5</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121</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 xml:space="preserve">Total income from State </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color w:val="000000"/>
                <w:sz w:val="22"/>
                <w:szCs w:val="22"/>
                <w:lang w:eastAsia="en-AU"/>
              </w:rPr>
            </w:pPr>
            <w:r w:rsidRPr="006A0AF0">
              <w:rPr>
                <w:rFonts w:eastAsia="Times New Roman"/>
                <w:color w:val="000000"/>
                <w:sz w:val="22"/>
                <w:szCs w:val="22"/>
                <w:lang w:eastAsia="en-AU"/>
              </w:rPr>
              <w:t>Government</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123,190</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134,118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39,838</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84,587</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163,028</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218,705</w:t>
            </w:r>
          </w:p>
        </w:tc>
      </w:tr>
      <w:tr w:rsidR="006A0AF0" w:rsidRPr="006A0AF0" w:rsidTr="006A0AF0">
        <w:trPr>
          <w:trHeight w:val="285"/>
        </w:trPr>
        <w:tc>
          <w:tcPr>
            <w:tcW w:w="3701" w:type="dxa"/>
            <w:shd w:val="clear" w:color="auto" w:fill="auto"/>
            <w:vAlign w:val="bottom"/>
            <w:hideMark/>
          </w:tcPr>
          <w:p w:rsidR="006A0AF0" w:rsidRPr="006A0AF0" w:rsidRDefault="006A0AF0" w:rsidP="006A0AF0">
            <w:pPr>
              <w:spacing w:after="0"/>
              <w:rPr>
                <w:rFonts w:eastAsia="Times New Roman"/>
                <w:b/>
                <w:color w:val="000000"/>
                <w:sz w:val="22"/>
                <w:szCs w:val="22"/>
                <w:lang w:eastAsia="en-AU"/>
              </w:rPr>
            </w:pPr>
            <w:r w:rsidRPr="006A0AF0">
              <w:rPr>
                <w:rFonts w:eastAsia="Times New Roman"/>
                <w:b/>
                <w:color w:val="000000"/>
                <w:sz w:val="22"/>
                <w:szCs w:val="22"/>
                <w:lang w:eastAsia="en-AU"/>
              </w:rPr>
              <w:t>SURPLUS/(DEFICIT) FOR THE PERIOD</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-2,831</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-1,705</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-33</w:t>
            </w:r>
          </w:p>
        </w:tc>
        <w:tc>
          <w:tcPr>
            <w:tcW w:w="1086"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28,679</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-2,864</w:t>
            </w:r>
          </w:p>
        </w:tc>
        <w:tc>
          <w:tcPr>
            <w:tcW w:w="1087" w:type="dxa"/>
            <w:shd w:val="clear" w:color="auto" w:fill="auto"/>
            <w:noWrap/>
            <w:vAlign w:val="bottom"/>
            <w:hideMark/>
          </w:tcPr>
          <w:p w:rsidR="006A0AF0" w:rsidRPr="006A0AF0" w:rsidRDefault="006A0AF0" w:rsidP="006A0AF0">
            <w:pPr>
              <w:spacing w:after="0"/>
              <w:jc w:val="right"/>
              <w:rPr>
                <w:rFonts w:eastAsia="Times New Roman"/>
                <w:color w:val="000000"/>
                <w:lang w:eastAsia="en-AU"/>
              </w:rPr>
            </w:pPr>
            <w:r w:rsidRPr="006A0AF0">
              <w:rPr>
                <w:rFonts w:eastAsia="Times New Roman"/>
                <w:color w:val="000000"/>
                <w:lang w:eastAsia="en-AU"/>
              </w:rPr>
              <w:t>26,974</w:t>
            </w:r>
          </w:p>
        </w:tc>
      </w:tr>
    </w:tbl>
    <w:p w:rsidR="00312A41" w:rsidRPr="009677EA" w:rsidRDefault="00E27D04" w:rsidP="001630AB">
      <w:pPr>
        <w:spacing w:before="240" w:after="60"/>
      </w:pPr>
      <w:r w:rsidRPr="009677EA">
        <w:t xml:space="preserve">The </w:t>
      </w:r>
      <w:r w:rsidRPr="009677EA">
        <w:rPr>
          <w:i/>
        </w:rPr>
        <w:t xml:space="preserve">Statement of </w:t>
      </w:r>
      <w:r w:rsidR="00276A2F" w:rsidRPr="009677EA">
        <w:rPr>
          <w:i/>
        </w:rPr>
        <w:t>Income and Expenses by Service</w:t>
      </w:r>
      <w:r w:rsidRPr="009677EA">
        <w:t xml:space="preserve"> should be read in conjunction with the accompanying notes.</w:t>
      </w:r>
    </w:p>
    <w:p w:rsidR="009677EA" w:rsidRPr="009677EA" w:rsidRDefault="00312A41" w:rsidP="009677EA">
      <w:pPr>
        <w:rPr>
          <w:rFonts w:ascii="Arial" w:hAnsi="Arial" w:cs="Arial"/>
          <w:color w:val="006699"/>
          <w:sz w:val="28"/>
        </w:rPr>
      </w:pPr>
      <w:bookmarkStart w:id="469" w:name="_Toc425370397"/>
      <w:bookmarkStart w:id="470" w:name="_Toc425607583"/>
      <w:bookmarkStart w:id="471" w:name="_Toc426104626"/>
      <w:bookmarkStart w:id="472" w:name="_Toc426397386"/>
      <w:bookmarkStart w:id="473" w:name="_Toc426637360"/>
      <w:bookmarkStart w:id="474" w:name="_Toc426637605"/>
      <w:r w:rsidRPr="00D145C4">
        <w:rPr>
          <w:rStyle w:val="Heading3Char"/>
        </w:rPr>
        <w:t>Schedule of Assets and Liabilities by Service</w:t>
      </w:r>
      <w:bookmarkEnd w:id="469"/>
      <w:bookmarkEnd w:id="470"/>
      <w:bookmarkEnd w:id="471"/>
      <w:bookmarkEnd w:id="472"/>
      <w:bookmarkEnd w:id="473"/>
      <w:bookmarkEnd w:id="474"/>
      <w:r w:rsidRPr="00D145C4">
        <w:rPr>
          <w:rFonts w:ascii="Arial" w:hAnsi="Arial" w:cs="Arial"/>
          <w:color w:val="006699"/>
        </w:rPr>
        <w:br/>
      </w:r>
      <w:r w:rsidRPr="00D145C4">
        <w:rPr>
          <w:rFonts w:ascii="Arial" w:hAnsi="Arial" w:cs="Arial"/>
          <w:color w:val="006699"/>
          <w:sz w:val="28"/>
        </w:rPr>
        <w:t>at 30 June 2015</w:t>
      </w:r>
    </w:p>
    <w:tbl>
      <w:tblPr>
        <w:tblW w:w="9580" w:type="dxa"/>
        <w:tblInd w:w="93" w:type="dxa"/>
        <w:tblLook w:val="04A0" w:firstRow="1" w:lastRow="0" w:firstColumn="1" w:lastColumn="0" w:noHBand="0" w:noVBand="1"/>
      </w:tblPr>
      <w:tblGrid>
        <w:gridCol w:w="2740"/>
        <w:gridCol w:w="1140"/>
        <w:gridCol w:w="1140"/>
        <w:gridCol w:w="1140"/>
        <w:gridCol w:w="1140"/>
        <w:gridCol w:w="1140"/>
        <w:gridCol w:w="1140"/>
      </w:tblGrid>
      <w:tr w:rsidR="009677EA" w:rsidRPr="009677EA" w:rsidTr="009677EA">
        <w:trPr>
          <w:trHeight w:val="1410"/>
        </w:trPr>
        <w:tc>
          <w:tcPr>
            <w:tcW w:w="2740" w:type="dxa"/>
            <w:tcBorders>
              <w:top w:val="nil"/>
              <w:left w:val="nil"/>
              <w:bottom w:val="nil"/>
              <w:right w:val="nil"/>
            </w:tcBorders>
            <w:shd w:val="clear" w:color="auto" w:fill="auto"/>
            <w:vAlign w:val="bottom"/>
            <w:hideMark/>
          </w:tcPr>
          <w:p w:rsidR="009677EA" w:rsidRPr="009677EA" w:rsidRDefault="009677EA" w:rsidP="009677EA">
            <w:pPr>
              <w:rPr>
                <w:lang w:eastAsia="en-AU"/>
              </w:rPr>
            </w:pPr>
          </w:p>
        </w:tc>
        <w:tc>
          <w:tcPr>
            <w:tcW w:w="2280" w:type="dxa"/>
            <w:gridSpan w:val="2"/>
            <w:tcBorders>
              <w:top w:val="nil"/>
              <w:left w:val="nil"/>
              <w:bottom w:val="nil"/>
              <w:right w:val="nil"/>
            </w:tcBorders>
            <w:shd w:val="clear" w:color="auto" w:fill="auto"/>
            <w:vAlign w:val="bottom"/>
            <w:hideMark/>
          </w:tcPr>
          <w:p w:rsidR="009677EA" w:rsidRPr="009677EA" w:rsidRDefault="009677EA" w:rsidP="009677EA">
            <w:pPr>
              <w:jc w:val="center"/>
              <w:rPr>
                <w:b/>
                <w:bCs/>
                <w:lang w:eastAsia="en-AU"/>
              </w:rPr>
            </w:pPr>
            <w:r w:rsidRPr="009677EA">
              <w:rPr>
                <w:b/>
                <w:bCs/>
                <w:lang w:eastAsia="en-AU"/>
              </w:rPr>
              <w:t>Administration of Executive Government Services</w:t>
            </w:r>
          </w:p>
        </w:tc>
        <w:tc>
          <w:tcPr>
            <w:tcW w:w="2280" w:type="dxa"/>
            <w:gridSpan w:val="2"/>
            <w:tcBorders>
              <w:top w:val="nil"/>
              <w:left w:val="nil"/>
              <w:bottom w:val="nil"/>
              <w:right w:val="nil"/>
            </w:tcBorders>
            <w:shd w:val="clear" w:color="auto" w:fill="auto"/>
            <w:vAlign w:val="bottom"/>
            <w:hideMark/>
          </w:tcPr>
          <w:p w:rsidR="009677EA" w:rsidRPr="009677EA" w:rsidRDefault="009677EA" w:rsidP="009677EA">
            <w:pPr>
              <w:jc w:val="center"/>
              <w:rPr>
                <w:b/>
                <w:bCs/>
                <w:lang w:eastAsia="en-AU"/>
              </w:rPr>
            </w:pPr>
            <w:r w:rsidRPr="009677EA">
              <w:rPr>
                <w:b/>
                <w:bCs/>
                <w:lang w:eastAsia="en-AU"/>
              </w:rPr>
              <w:t>Government Policy Management</w:t>
            </w:r>
          </w:p>
        </w:tc>
        <w:tc>
          <w:tcPr>
            <w:tcW w:w="2280" w:type="dxa"/>
            <w:gridSpan w:val="2"/>
            <w:tcBorders>
              <w:top w:val="nil"/>
              <w:left w:val="nil"/>
              <w:bottom w:val="nil"/>
              <w:right w:val="nil"/>
            </w:tcBorders>
            <w:shd w:val="clear" w:color="auto" w:fill="auto"/>
            <w:vAlign w:val="bottom"/>
            <w:hideMark/>
          </w:tcPr>
          <w:p w:rsidR="009677EA" w:rsidRPr="009677EA" w:rsidRDefault="009677EA" w:rsidP="009677EA">
            <w:pPr>
              <w:jc w:val="center"/>
              <w:rPr>
                <w:b/>
                <w:bCs/>
                <w:lang w:eastAsia="en-AU"/>
              </w:rPr>
            </w:pPr>
            <w:r w:rsidRPr="009677EA">
              <w:rPr>
                <w:b/>
                <w:bCs/>
                <w:lang w:eastAsia="en-AU"/>
              </w:rPr>
              <w:t>Total</w:t>
            </w:r>
          </w:p>
        </w:tc>
      </w:tr>
      <w:tr w:rsidR="009677EA" w:rsidRPr="009677EA" w:rsidTr="009677EA">
        <w:trPr>
          <w:trHeight w:val="660"/>
        </w:trPr>
        <w:tc>
          <w:tcPr>
            <w:tcW w:w="2740" w:type="dxa"/>
            <w:tcBorders>
              <w:top w:val="nil"/>
              <w:left w:val="nil"/>
              <w:bottom w:val="nil"/>
              <w:right w:val="nil"/>
            </w:tcBorders>
            <w:shd w:val="clear" w:color="auto" w:fill="auto"/>
            <w:vAlign w:val="bottom"/>
            <w:hideMark/>
          </w:tcPr>
          <w:p w:rsidR="009677EA" w:rsidRPr="009677EA" w:rsidRDefault="009677EA" w:rsidP="009677EA">
            <w:pPr>
              <w:rPr>
                <w:lang w:eastAsia="en-AU"/>
              </w:rPr>
            </w:pPr>
          </w:p>
        </w:tc>
        <w:tc>
          <w:tcPr>
            <w:tcW w:w="1140" w:type="dxa"/>
            <w:tcBorders>
              <w:top w:val="nil"/>
              <w:left w:val="nil"/>
              <w:bottom w:val="nil"/>
              <w:right w:val="nil"/>
            </w:tcBorders>
            <w:shd w:val="clear" w:color="auto" w:fill="auto"/>
            <w:vAlign w:val="bottom"/>
            <w:hideMark/>
          </w:tcPr>
          <w:p w:rsidR="009677EA" w:rsidRPr="009677EA" w:rsidRDefault="009677EA" w:rsidP="009677EA">
            <w:pPr>
              <w:jc w:val="right"/>
              <w:rPr>
                <w:b/>
                <w:bCs/>
                <w:lang w:eastAsia="en-AU"/>
              </w:rPr>
            </w:pPr>
            <w:r w:rsidRPr="009677EA">
              <w:rPr>
                <w:b/>
                <w:bCs/>
                <w:lang w:eastAsia="en-AU"/>
              </w:rPr>
              <w:t>2015 $000</w:t>
            </w:r>
          </w:p>
        </w:tc>
        <w:tc>
          <w:tcPr>
            <w:tcW w:w="1140" w:type="dxa"/>
            <w:tcBorders>
              <w:top w:val="nil"/>
              <w:left w:val="nil"/>
              <w:bottom w:val="nil"/>
              <w:right w:val="nil"/>
            </w:tcBorders>
            <w:shd w:val="clear" w:color="auto" w:fill="auto"/>
            <w:vAlign w:val="bottom"/>
            <w:hideMark/>
          </w:tcPr>
          <w:p w:rsidR="009677EA" w:rsidRPr="009677EA" w:rsidRDefault="009677EA" w:rsidP="009677EA">
            <w:pPr>
              <w:jc w:val="right"/>
              <w:rPr>
                <w:b/>
                <w:bCs/>
                <w:lang w:eastAsia="en-AU"/>
              </w:rPr>
            </w:pPr>
            <w:r w:rsidRPr="009677EA">
              <w:rPr>
                <w:b/>
                <w:bCs/>
                <w:lang w:eastAsia="en-AU"/>
              </w:rPr>
              <w:t>2014 $000</w:t>
            </w:r>
          </w:p>
        </w:tc>
        <w:tc>
          <w:tcPr>
            <w:tcW w:w="1140" w:type="dxa"/>
            <w:tcBorders>
              <w:top w:val="nil"/>
              <w:left w:val="nil"/>
              <w:bottom w:val="nil"/>
              <w:right w:val="nil"/>
            </w:tcBorders>
            <w:shd w:val="clear" w:color="auto" w:fill="auto"/>
            <w:vAlign w:val="bottom"/>
            <w:hideMark/>
          </w:tcPr>
          <w:p w:rsidR="009677EA" w:rsidRPr="009677EA" w:rsidRDefault="009677EA" w:rsidP="009677EA">
            <w:pPr>
              <w:jc w:val="right"/>
              <w:rPr>
                <w:b/>
                <w:bCs/>
                <w:lang w:eastAsia="en-AU"/>
              </w:rPr>
            </w:pPr>
            <w:r w:rsidRPr="009677EA">
              <w:rPr>
                <w:b/>
                <w:bCs/>
                <w:lang w:eastAsia="en-AU"/>
              </w:rPr>
              <w:t>2015 $000</w:t>
            </w:r>
          </w:p>
        </w:tc>
        <w:tc>
          <w:tcPr>
            <w:tcW w:w="1140" w:type="dxa"/>
            <w:tcBorders>
              <w:top w:val="nil"/>
              <w:left w:val="nil"/>
              <w:bottom w:val="nil"/>
              <w:right w:val="nil"/>
            </w:tcBorders>
            <w:shd w:val="clear" w:color="auto" w:fill="auto"/>
            <w:vAlign w:val="bottom"/>
            <w:hideMark/>
          </w:tcPr>
          <w:p w:rsidR="009677EA" w:rsidRPr="009677EA" w:rsidRDefault="009677EA" w:rsidP="009677EA">
            <w:pPr>
              <w:jc w:val="right"/>
              <w:rPr>
                <w:b/>
                <w:bCs/>
                <w:lang w:eastAsia="en-AU"/>
              </w:rPr>
            </w:pPr>
            <w:r w:rsidRPr="009677EA">
              <w:rPr>
                <w:b/>
                <w:bCs/>
                <w:lang w:eastAsia="en-AU"/>
              </w:rPr>
              <w:t>2014 $000</w:t>
            </w:r>
          </w:p>
        </w:tc>
        <w:tc>
          <w:tcPr>
            <w:tcW w:w="1140" w:type="dxa"/>
            <w:tcBorders>
              <w:top w:val="nil"/>
              <w:left w:val="nil"/>
              <w:bottom w:val="nil"/>
              <w:right w:val="nil"/>
            </w:tcBorders>
            <w:shd w:val="clear" w:color="auto" w:fill="auto"/>
            <w:vAlign w:val="bottom"/>
            <w:hideMark/>
          </w:tcPr>
          <w:p w:rsidR="009677EA" w:rsidRPr="009677EA" w:rsidRDefault="009677EA" w:rsidP="009677EA">
            <w:pPr>
              <w:jc w:val="right"/>
              <w:rPr>
                <w:b/>
                <w:bCs/>
                <w:lang w:eastAsia="en-AU"/>
              </w:rPr>
            </w:pPr>
            <w:r w:rsidRPr="009677EA">
              <w:rPr>
                <w:b/>
                <w:bCs/>
                <w:lang w:eastAsia="en-AU"/>
              </w:rPr>
              <w:t>2015 $000</w:t>
            </w:r>
          </w:p>
        </w:tc>
        <w:tc>
          <w:tcPr>
            <w:tcW w:w="1140" w:type="dxa"/>
            <w:tcBorders>
              <w:top w:val="nil"/>
              <w:left w:val="nil"/>
              <w:bottom w:val="nil"/>
              <w:right w:val="nil"/>
            </w:tcBorders>
            <w:shd w:val="clear" w:color="auto" w:fill="auto"/>
            <w:vAlign w:val="bottom"/>
            <w:hideMark/>
          </w:tcPr>
          <w:p w:rsidR="009677EA" w:rsidRPr="009677EA" w:rsidRDefault="009677EA" w:rsidP="009677EA">
            <w:pPr>
              <w:jc w:val="right"/>
              <w:rPr>
                <w:b/>
                <w:bCs/>
                <w:lang w:eastAsia="en-AU"/>
              </w:rPr>
            </w:pPr>
            <w:r w:rsidRPr="009677EA">
              <w:rPr>
                <w:b/>
                <w:bCs/>
                <w:lang w:eastAsia="en-AU"/>
              </w:rPr>
              <w:t>2014 $000</w:t>
            </w: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b/>
                <w:lang w:eastAsia="en-AU"/>
              </w:rPr>
            </w:pPr>
            <w:r w:rsidRPr="009677EA">
              <w:rPr>
                <w:b/>
                <w:lang w:eastAsia="en-AU"/>
              </w:rPr>
              <w:t>ASSETS</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r>
      <w:tr w:rsidR="009677EA" w:rsidRPr="009677EA" w:rsidTr="009677EA">
        <w:trPr>
          <w:trHeight w:val="80"/>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lang w:eastAsia="en-AU"/>
              </w:rPr>
            </w:pPr>
            <w:r w:rsidRPr="009677EA">
              <w:rPr>
                <w:lang w:eastAsia="en-AU"/>
              </w:rPr>
              <w:t>Current assets</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12,917</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11,860</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22,731</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24,402</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35,648</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36,262</w:t>
            </w: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lang w:eastAsia="en-AU"/>
              </w:rPr>
            </w:pPr>
            <w:r w:rsidRPr="009677EA">
              <w:rPr>
                <w:lang w:eastAsia="en-AU"/>
              </w:rPr>
              <w:t>Non-current assets</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29,410</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24,218</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35,011</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38,315</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64,421</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62,533</w:t>
            </w: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lang w:eastAsia="en-AU"/>
              </w:rPr>
            </w:pPr>
            <w:r w:rsidRPr="009677EA">
              <w:rPr>
                <w:lang w:eastAsia="en-AU"/>
              </w:rPr>
              <w:t>Total assets</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42,327</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36,078</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57,742</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62,717</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100,069</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98,795</w:t>
            </w:r>
          </w:p>
        </w:tc>
      </w:tr>
      <w:tr w:rsidR="003761FC" w:rsidRPr="003761FC" w:rsidTr="003761FC">
        <w:trPr>
          <w:trHeight w:val="70"/>
        </w:trPr>
        <w:tc>
          <w:tcPr>
            <w:tcW w:w="2740" w:type="dxa"/>
            <w:tcBorders>
              <w:top w:val="nil"/>
              <w:left w:val="nil"/>
              <w:bottom w:val="nil"/>
              <w:right w:val="nil"/>
            </w:tcBorders>
            <w:shd w:val="clear" w:color="auto" w:fill="auto"/>
            <w:noWrap/>
            <w:vAlign w:val="bottom"/>
            <w:hideMark/>
          </w:tcPr>
          <w:p w:rsidR="003761FC" w:rsidRPr="003761FC" w:rsidRDefault="003761FC" w:rsidP="003761FC">
            <w:pPr>
              <w:spacing w:after="0"/>
              <w:rPr>
                <w:sz w:val="14"/>
                <w:lang w:eastAsia="en-AU"/>
              </w:rPr>
            </w:pPr>
          </w:p>
        </w:tc>
        <w:tc>
          <w:tcPr>
            <w:tcW w:w="1140" w:type="dxa"/>
            <w:tcBorders>
              <w:top w:val="single" w:sz="4" w:space="0" w:color="auto"/>
              <w:left w:val="nil"/>
              <w:bottom w:val="nil"/>
              <w:right w:val="nil"/>
            </w:tcBorders>
            <w:shd w:val="clear" w:color="auto" w:fill="auto"/>
            <w:noWrap/>
            <w:vAlign w:val="bottom"/>
            <w:hideMark/>
          </w:tcPr>
          <w:p w:rsidR="003761FC" w:rsidRPr="003761FC" w:rsidRDefault="003761FC" w:rsidP="003761FC">
            <w:pPr>
              <w:spacing w:after="0"/>
              <w:jc w:val="right"/>
              <w:rPr>
                <w:sz w:val="14"/>
                <w:lang w:eastAsia="en-AU"/>
              </w:rPr>
            </w:pPr>
          </w:p>
        </w:tc>
        <w:tc>
          <w:tcPr>
            <w:tcW w:w="1140" w:type="dxa"/>
            <w:tcBorders>
              <w:top w:val="single" w:sz="4" w:space="0" w:color="auto"/>
              <w:left w:val="nil"/>
              <w:bottom w:val="nil"/>
              <w:right w:val="nil"/>
            </w:tcBorders>
            <w:shd w:val="clear" w:color="auto" w:fill="auto"/>
            <w:noWrap/>
            <w:vAlign w:val="bottom"/>
            <w:hideMark/>
          </w:tcPr>
          <w:p w:rsidR="003761FC" w:rsidRPr="003761FC" w:rsidRDefault="003761FC" w:rsidP="003761FC">
            <w:pPr>
              <w:spacing w:after="0"/>
              <w:jc w:val="right"/>
              <w:rPr>
                <w:sz w:val="14"/>
                <w:lang w:eastAsia="en-AU"/>
              </w:rPr>
            </w:pPr>
          </w:p>
        </w:tc>
        <w:tc>
          <w:tcPr>
            <w:tcW w:w="1140" w:type="dxa"/>
            <w:tcBorders>
              <w:top w:val="single" w:sz="4" w:space="0" w:color="auto"/>
              <w:left w:val="nil"/>
              <w:bottom w:val="nil"/>
              <w:right w:val="nil"/>
            </w:tcBorders>
            <w:shd w:val="clear" w:color="auto" w:fill="auto"/>
            <w:noWrap/>
            <w:vAlign w:val="bottom"/>
            <w:hideMark/>
          </w:tcPr>
          <w:p w:rsidR="003761FC" w:rsidRPr="003761FC" w:rsidRDefault="003761FC" w:rsidP="003761FC">
            <w:pPr>
              <w:spacing w:after="0"/>
              <w:jc w:val="right"/>
              <w:rPr>
                <w:sz w:val="14"/>
                <w:lang w:eastAsia="en-AU"/>
              </w:rPr>
            </w:pPr>
          </w:p>
        </w:tc>
        <w:tc>
          <w:tcPr>
            <w:tcW w:w="1140" w:type="dxa"/>
            <w:tcBorders>
              <w:top w:val="single" w:sz="4" w:space="0" w:color="auto"/>
              <w:left w:val="nil"/>
              <w:bottom w:val="nil"/>
              <w:right w:val="nil"/>
            </w:tcBorders>
            <w:shd w:val="clear" w:color="auto" w:fill="auto"/>
            <w:noWrap/>
            <w:vAlign w:val="bottom"/>
            <w:hideMark/>
          </w:tcPr>
          <w:p w:rsidR="003761FC" w:rsidRPr="003761FC" w:rsidRDefault="003761FC" w:rsidP="003761FC">
            <w:pPr>
              <w:spacing w:after="0"/>
              <w:jc w:val="right"/>
              <w:rPr>
                <w:sz w:val="14"/>
                <w:lang w:eastAsia="en-AU"/>
              </w:rPr>
            </w:pPr>
          </w:p>
        </w:tc>
        <w:tc>
          <w:tcPr>
            <w:tcW w:w="1140" w:type="dxa"/>
            <w:tcBorders>
              <w:top w:val="single" w:sz="4" w:space="0" w:color="auto"/>
              <w:left w:val="nil"/>
              <w:bottom w:val="nil"/>
              <w:right w:val="nil"/>
            </w:tcBorders>
            <w:shd w:val="clear" w:color="auto" w:fill="auto"/>
            <w:noWrap/>
            <w:vAlign w:val="bottom"/>
            <w:hideMark/>
          </w:tcPr>
          <w:p w:rsidR="003761FC" w:rsidRPr="003761FC" w:rsidRDefault="003761FC" w:rsidP="003761FC">
            <w:pPr>
              <w:spacing w:after="0"/>
              <w:jc w:val="right"/>
              <w:rPr>
                <w:sz w:val="14"/>
                <w:lang w:eastAsia="en-AU"/>
              </w:rPr>
            </w:pPr>
          </w:p>
        </w:tc>
        <w:tc>
          <w:tcPr>
            <w:tcW w:w="1140" w:type="dxa"/>
            <w:tcBorders>
              <w:top w:val="single" w:sz="4" w:space="0" w:color="auto"/>
              <w:left w:val="nil"/>
              <w:bottom w:val="nil"/>
              <w:right w:val="nil"/>
            </w:tcBorders>
            <w:shd w:val="clear" w:color="auto" w:fill="auto"/>
            <w:noWrap/>
            <w:vAlign w:val="bottom"/>
            <w:hideMark/>
          </w:tcPr>
          <w:p w:rsidR="003761FC" w:rsidRPr="003761FC" w:rsidRDefault="003761FC" w:rsidP="003761FC">
            <w:pPr>
              <w:spacing w:after="0"/>
              <w:jc w:val="right"/>
              <w:rPr>
                <w:sz w:val="14"/>
                <w:lang w:eastAsia="en-AU"/>
              </w:rPr>
            </w:pP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b/>
                <w:lang w:eastAsia="en-AU"/>
              </w:rPr>
            </w:pPr>
            <w:r w:rsidRPr="009677EA">
              <w:rPr>
                <w:b/>
                <w:lang w:eastAsia="en-AU"/>
              </w:rPr>
              <w:t>LIABILITIES</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b/>
                <w:lang w:eastAsia="en-AU"/>
              </w:rPr>
            </w:pP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lang w:eastAsia="en-AU"/>
              </w:rPr>
            </w:pPr>
            <w:r w:rsidRPr="009677EA">
              <w:rPr>
                <w:lang w:eastAsia="en-AU"/>
              </w:rPr>
              <w:t>Current liabilities</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19,862</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14,659</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1,498</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6,815</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21,360</w:t>
            </w:r>
          </w:p>
        </w:tc>
        <w:tc>
          <w:tcPr>
            <w:tcW w:w="1140" w:type="dxa"/>
            <w:tcBorders>
              <w:top w:val="nil"/>
              <w:left w:val="nil"/>
              <w:bottom w:val="nil"/>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21,474</w:t>
            </w: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b/>
                <w:lang w:eastAsia="en-AU"/>
              </w:rPr>
            </w:pPr>
            <w:r w:rsidRPr="009677EA">
              <w:rPr>
                <w:b/>
                <w:lang w:eastAsia="en-AU"/>
              </w:rPr>
              <w:t>Total non-current liabilities</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2,708</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2,344</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362</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1,003</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3,070</w:t>
            </w:r>
          </w:p>
        </w:tc>
        <w:tc>
          <w:tcPr>
            <w:tcW w:w="1140" w:type="dxa"/>
            <w:tcBorders>
              <w:top w:val="nil"/>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3,347</w:t>
            </w:r>
          </w:p>
        </w:tc>
      </w:tr>
      <w:tr w:rsidR="009677EA" w:rsidRPr="009677EA" w:rsidTr="009677EA">
        <w:trPr>
          <w:trHeight w:val="285"/>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lang w:eastAsia="en-AU"/>
              </w:rPr>
            </w:pPr>
            <w:r w:rsidRPr="009677EA">
              <w:rPr>
                <w:lang w:eastAsia="en-AU"/>
              </w:rPr>
              <w:t>Total liabilities</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22,570</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17,003</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1,860</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7,818</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24,430</w:t>
            </w: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24,821</w:t>
            </w:r>
          </w:p>
        </w:tc>
      </w:tr>
      <w:tr w:rsidR="009677EA" w:rsidRPr="003761FC" w:rsidTr="003761FC">
        <w:trPr>
          <w:trHeight w:val="70"/>
        </w:trPr>
        <w:tc>
          <w:tcPr>
            <w:tcW w:w="2740" w:type="dxa"/>
            <w:tcBorders>
              <w:top w:val="nil"/>
              <w:left w:val="nil"/>
              <w:bottom w:val="nil"/>
              <w:right w:val="nil"/>
            </w:tcBorders>
            <w:shd w:val="clear" w:color="auto" w:fill="auto"/>
            <w:noWrap/>
            <w:vAlign w:val="bottom"/>
            <w:hideMark/>
          </w:tcPr>
          <w:p w:rsidR="009677EA" w:rsidRPr="003761FC" w:rsidRDefault="009677EA" w:rsidP="003761FC">
            <w:pPr>
              <w:spacing w:after="0"/>
              <w:rPr>
                <w:sz w:val="14"/>
                <w:lang w:eastAsia="en-AU"/>
              </w:rPr>
            </w:pP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3761FC" w:rsidRDefault="009677EA" w:rsidP="003761FC">
            <w:pPr>
              <w:spacing w:after="0"/>
              <w:jc w:val="right"/>
              <w:rPr>
                <w:sz w:val="14"/>
                <w:lang w:eastAsia="en-AU"/>
              </w:rPr>
            </w:pP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3761FC" w:rsidRDefault="009677EA" w:rsidP="003761FC">
            <w:pPr>
              <w:spacing w:after="0"/>
              <w:jc w:val="right"/>
              <w:rPr>
                <w:sz w:val="14"/>
                <w:lang w:eastAsia="en-AU"/>
              </w:rPr>
            </w:pP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3761FC" w:rsidRDefault="009677EA" w:rsidP="003761FC">
            <w:pPr>
              <w:spacing w:after="0"/>
              <w:jc w:val="right"/>
              <w:rPr>
                <w:sz w:val="14"/>
                <w:lang w:eastAsia="en-AU"/>
              </w:rPr>
            </w:pP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3761FC" w:rsidRDefault="009677EA" w:rsidP="003761FC">
            <w:pPr>
              <w:spacing w:after="0"/>
              <w:jc w:val="right"/>
              <w:rPr>
                <w:sz w:val="14"/>
                <w:lang w:eastAsia="en-AU"/>
              </w:rPr>
            </w:pP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3761FC" w:rsidRDefault="009677EA" w:rsidP="003761FC">
            <w:pPr>
              <w:spacing w:after="0"/>
              <w:jc w:val="right"/>
              <w:rPr>
                <w:sz w:val="14"/>
                <w:lang w:eastAsia="en-AU"/>
              </w:rPr>
            </w:pPr>
          </w:p>
        </w:tc>
        <w:tc>
          <w:tcPr>
            <w:tcW w:w="1140" w:type="dxa"/>
            <w:tcBorders>
              <w:top w:val="single" w:sz="4" w:space="0" w:color="auto"/>
              <w:left w:val="nil"/>
              <w:bottom w:val="single" w:sz="4" w:space="0" w:color="auto"/>
              <w:right w:val="nil"/>
            </w:tcBorders>
            <w:shd w:val="clear" w:color="auto" w:fill="auto"/>
            <w:noWrap/>
            <w:vAlign w:val="bottom"/>
            <w:hideMark/>
          </w:tcPr>
          <w:p w:rsidR="009677EA" w:rsidRPr="003761FC" w:rsidRDefault="009677EA" w:rsidP="003761FC">
            <w:pPr>
              <w:spacing w:after="0"/>
              <w:jc w:val="right"/>
              <w:rPr>
                <w:sz w:val="14"/>
                <w:lang w:eastAsia="en-AU"/>
              </w:rPr>
            </w:pPr>
          </w:p>
        </w:tc>
      </w:tr>
      <w:tr w:rsidR="009677EA" w:rsidRPr="009677EA" w:rsidTr="003761FC">
        <w:trPr>
          <w:trHeight w:val="70"/>
        </w:trPr>
        <w:tc>
          <w:tcPr>
            <w:tcW w:w="2740" w:type="dxa"/>
            <w:tcBorders>
              <w:top w:val="nil"/>
              <w:left w:val="nil"/>
              <w:bottom w:val="nil"/>
              <w:right w:val="nil"/>
            </w:tcBorders>
            <w:shd w:val="clear" w:color="auto" w:fill="auto"/>
            <w:noWrap/>
            <w:vAlign w:val="bottom"/>
            <w:hideMark/>
          </w:tcPr>
          <w:p w:rsidR="009677EA" w:rsidRPr="009677EA" w:rsidRDefault="009677EA" w:rsidP="009677EA">
            <w:pPr>
              <w:spacing w:after="0"/>
              <w:rPr>
                <w:b/>
                <w:lang w:eastAsia="en-AU"/>
              </w:rPr>
            </w:pPr>
            <w:r w:rsidRPr="009677EA">
              <w:rPr>
                <w:b/>
                <w:lang w:eastAsia="en-AU"/>
              </w:rPr>
              <w:t>NET ASSETS</w:t>
            </w:r>
          </w:p>
        </w:tc>
        <w:tc>
          <w:tcPr>
            <w:tcW w:w="1140" w:type="dxa"/>
            <w:tcBorders>
              <w:top w:val="single" w:sz="4" w:space="0" w:color="auto"/>
              <w:left w:val="nil"/>
              <w:bottom w:val="doub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19,757</w:t>
            </w:r>
          </w:p>
        </w:tc>
        <w:tc>
          <w:tcPr>
            <w:tcW w:w="1140" w:type="dxa"/>
            <w:tcBorders>
              <w:top w:val="single" w:sz="4" w:space="0" w:color="auto"/>
              <w:left w:val="nil"/>
              <w:bottom w:val="doub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19,075</w:t>
            </w:r>
          </w:p>
        </w:tc>
        <w:tc>
          <w:tcPr>
            <w:tcW w:w="1140" w:type="dxa"/>
            <w:tcBorders>
              <w:top w:val="single" w:sz="4" w:space="0" w:color="auto"/>
              <w:left w:val="nil"/>
              <w:bottom w:val="doub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55,882</w:t>
            </w:r>
          </w:p>
        </w:tc>
        <w:tc>
          <w:tcPr>
            <w:tcW w:w="1140" w:type="dxa"/>
            <w:tcBorders>
              <w:top w:val="single" w:sz="4" w:space="0" w:color="auto"/>
              <w:left w:val="nil"/>
              <w:bottom w:val="doub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54,899</w:t>
            </w:r>
          </w:p>
        </w:tc>
        <w:tc>
          <w:tcPr>
            <w:tcW w:w="1140" w:type="dxa"/>
            <w:tcBorders>
              <w:top w:val="single" w:sz="4" w:space="0" w:color="auto"/>
              <w:left w:val="nil"/>
              <w:bottom w:val="doub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75,639</w:t>
            </w:r>
          </w:p>
        </w:tc>
        <w:tc>
          <w:tcPr>
            <w:tcW w:w="1140" w:type="dxa"/>
            <w:tcBorders>
              <w:top w:val="single" w:sz="4" w:space="0" w:color="auto"/>
              <w:left w:val="nil"/>
              <w:bottom w:val="double" w:sz="4" w:space="0" w:color="auto"/>
              <w:right w:val="nil"/>
            </w:tcBorders>
            <w:shd w:val="clear" w:color="auto" w:fill="auto"/>
            <w:noWrap/>
            <w:vAlign w:val="bottom"/>
            <w:hideMark/>
          </w:tcPr>
          <w:p w:rsidR="009677EA" w:rsidRPr="009677EA" w:rsidRDefault="009677EA" w:rsidP="009677EA">
            <w:pPr>
              <w:spacing w:after="0"/>
              <w:jc w:val="right"/>
              <w:rPr>
                <w:lang w:eastAsia="en-AU"/>
              </w:rPr>
            </w:pPr>
            <w:r w:rsidRPr="009677EA">
              <w:rPr>
                <w:lang w:eastAsia="en-AU"/>
              </w:rPr>
              <w:t>73,974</w:t>
            </w:r>
          </w:p>
        </w:tc>
      </w:tr>
    </w:tbl>
    <w:p w:rsidR="00E07EDA" w:rsidRDefault="00E07EDA" w:rsidP="00E07EDA"/>
    <w:p w:rsidR="001F6CBD" w:rsidRPr="0001511D" w:rsidRDefault="001F6CBD" w:rsidP="001F6CBD">
      <w:pPr>
        <w:spacing w:before="80" w:after="0"/>
        <w:rPr>
          <w:sz w:val="22"/>
        </w:rPr>
      </w:pPr>
      <w:r w:rsidRPr="0001511D">
        <w:rPr>
          <w:sz w:val="22"/>
        </w:rPr>
        <w:t xml:space="preserve">The </w:t>
      </w:r>
      <w:r w:rsidRPr="008A2099">
        <w:rPr>
          <w:i/>
          <w:sz w:val="22"/>
        </w:rPr>
        <w:t xml:space="preserve">Statement of </w:t>
      </w:r>
      <w:r>
        <w:rPr>
          <w:i/>
          <w:sz w:val="22"/>
        </w:rPr>
        <w:t>Assets and Liabilitie</w:t>
      </w:r>
      <w:r w:rsidR="00E07EDA">
        <w:rPr>
          <w:i/>
          <w:sz w:val="22"/>
        </w:rPr>
        <w:t>s by Service</w:t>
      </w:r>
      <w:r w:rsidRPr="0001511D">
        <w:rPr>
          <w:sz w:val="22"/>
        </w:rPr>
        <w:t xml:space="preserve"> should be read in conjunction with the accompanying notes.</w:t>
      </w:r>
    </w:p>
    <w:p w:rsidR="00312A41" w:rsidRDefault="00312A41" w:rsidP="00064756">
      <w:r>
        <w:br w:type="page"/>
      </w:r>
    </w:p>
    <w:p w:rsidR="00312A41" w:rsidRDefault="001506DD" w:rsidP="00064756">
      <w:pPr>
        <w:rPr>
          <w:rFonts w:ascii="Arial" w:hAnsi="Arial" w:cs="Arial"/>
          <w:color w:val="006699"/>
          <w:sz w:val="28"/>
        </w:rPr>
      </w:pPr>
      <w:bookmarkStart w:id="475" w:name="_Toc425370398"/>
      <w:bookmarkStart w:id="476" w:name="_Toc425607584"/>
      <w:bookmarkStart w:id="477" w:name="_Toc426104627"/>
      <w:bookmarkStart w:id="478" w:name="_Toc426397387"/>
      <w:bookmarkStart w:id="479" w:name="_Toc426637361"/>
      <w:bookmarkStart w:id="480" w:name="_Toc426637606"/>
      <w:r w:rsidRPr="00D145C4">
        <w:rPr>
          <w:rStyle w:val="Heading3Char"/>
        </w:rPr>
        <w:t>Summary of Consolidated Account Appropriations and Income Estimates</w:t>
      </w:r>
      <w:bookmarkEnd w:id="475"/>
      <w:bookmarkEnd w:id="476"/>
      <w:bookmarkEnd w:id="477"/>
      <w:bookmarkEnd w:id="478"/>
      <w:bookmarkEnd w:id="479"/>
      <w:bookmarkEnd w:id="480"/>
      <w:r w:rsidR="00312A41" w:rsidRPr="00D145C4">
        <w:rPr>
          <w:rFonts w:ascii="Arial" w:hAnsi="Arial" w:cs="Arial"/>
          <w:color w:val="006699"/>
        </w:rPr>
        <w:br/>
      </w:r>
      <w:r w:rsidR="00312A41" w:rsidRPr="00D145C4">
        <w:rPr>
          <w:rFonts w:ascii="Arial" w:hAnsi="Arial" w:cs="Arial"/>
          <w:color w:val="006699"/>
          <w:sz w:val="28"/>
        </w:rPr>
        <w:t>for the year ended 30 June 2015</w:t>
      </w:r>
    </w:p>
    <w:tbl>
      <w:tblPr>
        <w:tblW w:w="10632" w:type="dxa"/>
        <w:tblInd w:w="-176" w:type="dxa"/>
        <w:tblLayout w:type="fixed"/>
        <w:tblLook w:val="04A0" w:firstRow="1" w:lastRow="0" w:firstColumn="1" w:lastColumn="0" w:noHBand="0" w:noVBand="1"/>
      </w:tblPr>
      <w:tblGrid>
        <w:gridCol w:w="3828"/>
        <w:gridCol w:w="1134"/>
        <w:gridCol w:w="1134"/>
        <w:gridCol w:w="1134"/>
        <w:gridCol w:w="1134"/>
        <w:gridCol w:w="1134"/>
        <w:gridCol w:w="1134"/>
      </w:tblGrid>
      <w:tr w:rsidR="00097FB4" w:rsidRPr="003761FC" w:rsidTr="00097FB4">
        <w:trPr>
          <w:trHeight w:val="1045"/>
        </w:trPr>
        <w:tc>
          <w:tcPr>
            <w:tcW w:w="3828" w:type="dxa"/>
            <w:vAlign w:val="bottom"/>
            <w:hideMark/>
          </w:tcPr>
          <w:p w:rsidR="003761FC" w:rsidRPr="00097FB4" w:rsidRDefault="003761FC" w:rsidP="001630AB">
            <w:pPr>
              <w:spacing w:after="0"/>
              <w:rPr>
                <w:rFonts w:eastAsia="Times New Roman"/>
                <w:color w:val="000000"/>
                <w:lang w:eastAsia="en-AU"/>
              </w:rPr>
            </w:pPr>
          </w:p>
        </w:tc>
        <w:tc>
          <w:tcPr>
            <w:tcW w:w="1134" w:type="dxa"/>
            <w:vAlign w:val="bottom"/>
            <w:hideMark/>
          </w:tcPr>
          <w:p w:rsidR="003761FC" w:rsidRPr="00097FB4" w:rsidRDefault="003761FC" w:rsidP="001630AB">
            <w:pPr>
              <w:spacing w:after="0"/>
              <w:jc w:val="right"/>
              <w:rPr>
                <w:rFonts w:eastAsia="Times New Roman"/>
                <w:b/>
                <w:bCs/>
                <w:color w:val="000000"/>
                <w:sz w:val="22"/>
                <w:lang w:eastAsia="en-AU"/>
              </w:rPr>
            </w:pPr>
            <w:r w:rsidRPr="00097FB4">
              <w:rPr>
                <w:rFonts w:eastAsia="Times New Roman"/>
                <w:b/>
                <w:bCs/>
                <w:color w:val="000000"/>
                <w:sz w:val="22"/>
                <w:lang w:eastAsia="en-AU"/>
              </w:rPr>
              <w:t>2015 Estimate $000</w:t>
            </w:r>
          </w:p>
        </w:tc>
        <w:tc>
          <w:tcPr>
            <w:tcW w:w="1134" w:type="dxa"/>
            <w:vAlign w:val="bottom"/>
            <w:hideMark/>
          </w:tcPr>
          <w:p w:rsidR="003761FC" w:rsidRPr="00097FB4" w:rsidRDefault="003761FC" w:rsidP="001630AB">
            <w:pPr>
              <w:spacing w:after="0"/>
              <w:jc w:val="right"/>
              <w:rPr>
                <w:rFonts w:eastAsia="Times New Roman"/>
                <w:b/>
                <w:bCs/>
                <w:color w:val="000000"/>
                <w:sz w:val="22"/>
                <w:lang w:eastAsia="en-AU"/>
              </w:rPr>
            </w:pPr>
            <w:r w:rsidRPr="00097FB4">
              <w:rPr>
                <w:rFonts w:eastAsia="Times New Roman"/>
                <w:b/>
                <w:bCs/>
                <w:color w:val="000000"/>
                <w:sz w:val="22"/>
                <w:lang w:eastAsia="en-AU"/>
              </w:rPr>
              <w:t>2015 Actual $000</w:t>
            </w:r>
          </w:p>
        </w:tc>
        <w:tc>
          <w:tcPr>
            <w:tcW w:w="1134" w:type="dxa"/>
            <w:vAlign w:val="bottom"/>
            <w:hideMark/>
          </w:tcPr>
          <w:p w:rsidR="003761FC" w:rsidRPr="00097FB4" w:rsidRDefault="003761FC" w:rsidP="001630AB">
            <w:pPr>
              <w:spacing w:after="0"/>
              <w:jc w:val="right"/>
              <w:rPr>
                <w:rFonts w:eastAsia="Times New Roman"/>
                <w:b/>
                <w:bCs/>
                <w:color w:val="000000"/>
                <w:sz w:val="22"/>
                <w:lang w:eastAsia="en-AU"/>
              </w:rPr>
            </w:pPr>
            <w:r w:rsidRPr="00097FB4">
              <w:rPr>
                <w:rFonts w:eastAsia="Times New Roman"/>
                <w:b/>
                <w:bCs/>
                <w:color w:val="000000"/>
                <w:sz w:val="22"/>
                <w:lang w:eastAsia="en-AU"/>
              </w:rPr>
              <w:t>Variance $000</w:t>
            </w:r>
          </w:p>
        </w:tc>
        <w:tc>
          <w:tcPr>
            <w:tcW w:w="1134" w:type="dxa"/>
            <w:vAlign w:val="bottom"/>
            <w:hideMark/>
          </w:tcPr>
          <w:p w:rsidR="003761FC" w:rsidRPr="00097FB4" w:rsidRDefault="003761FC" w:rsidP="001630AB">
            <w:pPr>
              <w:spacing w:after="0"/>
              <w:jc w:val="right"/>
              <w:rPr>
                <w:rFonts w:eastAsia="Times New Roman"/>
                <w:b/>
                <w:bCs/>
                <w:color w:val="000000"/>
                <w:sz w:val="22"/>
                <w:lang w:eastAsia="en-AU"/>
              </w:rPr>
            </w:pPr>
            <w:r w:rsidRPr="00097FB4">
              <w:rPr>
                <w:rFonts w:eastAsia="Times New Roman"/>
                <w:b/>
                <w:bCs/>
                <w:color w:val="000000"/>
                <w:sz w:val="22"/>
                <w:lang w:eastAsia="en-AU"/>
              </w:rPr>
              <w:t>2015 Actual $000</w:t>
            </w:r>
          </w:p>
        </w:tc>
        <w:tc>
          <w:tcPr>
            <w:tcW w:w="1134" w:type="dxa"/>
            <w:vAlign w:val="bottom"/>
            <w:hideMark/>
          </w:tcPr>
          <w:p w:rsidR="003761FC" w:rsidRPr="00097FB4" w:rsidRDefault="003761FC" w:rsidP="001630AB">
            <w:pPr>
              <w:spacing w:after="0"/>
              <w:jc w:val="right"/>
              <w:rPr>
                <w:rFonts w:eastAsia="Times New Roman"/>
                <w:b/>
                <w:bCs/>
                <w:color w:val="000000"/>
                <w:sz w:val="22"/>
                <w:lang w:eastAsia="en-AU"/>
              </w:rPr>
            </w:pPr>
            <w:r w:rsidRPr="00097FB4">
              <w:rPr>
                <w:rFonts w:eastAsia="Times New Roman"/>
                <w:b/>
                <w:bCs/>
                <w:color w:val="000000"/>
                <w:sz w:val="22"/>
                <w:lang w:eastAsia="en-AU"/>
              </w:rPr>
              <w:t>2014 Actual $000</w:t>
            </w:r>
          </w:p>
        </w:tc>
        <w:tc>
          <w:tcPr>
            <w:tcW w:w="1134" w:type="dxa"/>
            <w:vAlign w:val="bottom"/>
            <w:hideMark/>
          </w:tcPr>
          <w:p w:rsidR="003761FC" w:rsidRPr="00097FB4" w:rsidRDefault="003761FC" w:rsidP="001630AB">
            <w:pPr>
              <w:spacing w:after="0"/>
              <w:jc w:val="right"/>
              <w:rPr>
                <w:rFonts w:eastAsia="Times New Roman"/>
                <w:b/>
                <w:bCs/>
                <w:color w:val="000000"/>
                <w:sz w:val="22"/>
                <w:lang w:eastAsia="en-AU"/>
              </w:rPr>
            </w:pPr>
            <w:r w:rsidRPr="00097FB4">
              <w:rPr>
                <w:rFonts w:eastAsia="Times New Roman"/>
                <w:b/>
                <w:bCs/>
                <w:color w:val="000000"/>
                <w:sz w:val="22"/>
                <w:lang w:eastAsia="en-AU"/>
              </w:rPr>
              <w:t>Variance $000</w:t>
            </w:r>
          </w:p>
        </w:tc>
      </w:tr>
      <w:tr w:rsidR="00097FB4" w:rsidRPr="003761FC" w:rsidTr="00097FB4">
        <w:trPr>
          <w:trHeight w:val="281"/>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Delivery of Services</w:t>
            </w: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r>
      <w:tr w:rsidR="00097FB4" w:rsidRPr="003761FC" w:rsidTr="00097FB4">
        <w:trPr>
          <w:trHeight w:val="555"/>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Item 5 Net amount appropriated to deliver services</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163,099</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153,615</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-9,484</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153,615</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181,800</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-28,185</w:t>
            </w:r>
          </w:p>
        </w:tc>
      </w:tr>
      <w:tr w:rsidR="00097FB4" w:rsidRPr="003761FC" w:rsidTr="00097FB4">
        <w:trPr>
          <w:trHeight w:val="704"/>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 xml:space="preserve">Section 25 Transfer of service appropriation </w:t>
            </w:r>
            <w:r w:rsidRPr="00097FB4">
              <w:rPr>
                <w:rFonts w:eastAsia="Times New Roman"/>
                <w:b/>
                <w:color w:val="000000"/>
                <w:vertAlign w:val="superscript"/>
                <w:lang w:eastAsia="en-AU"/>
              </w:rPr>
              <w:t>(a)</w:t>
            </w: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r>
      <w:tr w:rsidR="00097FB4" w:rsidRPr="003761FC" w:rsidTr="009B7E00">
        <w:trPr>
          <w:trHeight w:val="1051"/>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Office of Science transferred from the Department of Commerce at 1 July 2013</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27,656</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-27,656</w:t>
            </w:r>
          </w:p>
        </w:tc>
      </w:tr>
      <w:tr w:rsidR="00097FB4" w:rsidRPr="003761FC" w:rsidTr="009B7E00">
        <w:trPr>
          <w:trHeight w:val="1988"/>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Western Australia Natural Disaster Relief and Recovery Arrangements (WANDRRA) transferred from the Department of Fire and Emergency Services at 1 April 2014</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65</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-65</w:t>
            </w:r>
          </w:p>
        </w:tc>
      </w:tr>
      <w:tr w:rsidR="00097FB4" w:rsidRPr="003761FC" w:rsidTr="009B7E00">
        <w:trPr>
          <w:trHeight w:val="1691"/>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Office of State Security transfer of accommodation to State Emergency Management Committee Secretariat at 29 November 2013</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-455</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455</w:t>
            </w:r>
          </w:p>
        </w:tc>
      </w:tr>
      <w:tr w:rsidR="00097FB4" w:rsidRPr="003761FC" w:rsidTr="00097FB4">
        <w:trPr>
          <w:trHeight w:val="700"/>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Amount Authorised by Other Statutes</w:t>
            </w: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r>
      <w:tr w:rsidR="00097FB4" w:rsidRPr="003761FC" w:rsidTr="00097FB4">
        <w:trPr>
          <w:trHeight w:val="387"/>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Salaries and Allowances Act 1975</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2,288</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2,288</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2,288</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2,220</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68</w:t>
            </w:r>
          </w:p>
        </w:tc>
      </w:tr>
      <w:tr w:rsidR="00097FB4" w:rsidRPr="003761FC" w:rsidTr="00097FB4">
        <w:trPr>
          <w:trHeight w:val="676"/>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Total appropriations provided to deliver services</w:t>
            </w:r>
          </w:p>
        </w:tc>
        <w:tc>
          <w:tcPr>
            <w:tcW w:w="1134" w:type="dxa"/>
            <w:tcBorders>
              <w:top w:val="single" w:sz="4" w:space="0" w:color="auto"/>
              <w:bottom w:val="single" w:sz="4" w:space="0" w:color="auto"/>
            </w:tcBorders>
            <w:noWrap/>
            <w:vAlign w:val="bottom"/>
            <w:hideMark/>
          </w:tcPr>
          <w:p w:rsidR="003761FC" w:rsidRPr="009B7E00" w:rsidRDefault="003761FC" w:rsidP="001630AB">
            <w:pPr>
              <w:spacing w:after="0"/>
              <w:jc w:val="right"/>
              <w:rPr>
                <w:rFonts w:eastAsia="Times New Roman"/>
                <w:color w:val="000000"/>
                <w:lang w:eastAsia="en-AU"/>
              </w:rPr>
            </w:pPr>
            <w:r w:rsidRPr="009B7E00">
              <w:rPr>
                <w:rFonts w:eastAsia="Times New Roman"/>
                <w:color w:val="000000"/>
                <w:lang w:eastAsia="en-AU"/>
              </w:rPr>
              <w:t>165,387</w:t>
            </w:r>
          </w:p>
        </w:tc>
        <w:tc>
          <w:tcPr>
            <w:tcW w:w="1134" w:type="dxa"/>
            <w:tcBorders>
              <w:top w:val="single" w:sz="4" w:space="0" w:color="auto"/>
              <w:bottom w:val="single" w:sz="4" w:space="0" w:color="auto"/>
            </w:tcBorders>
            <w:noWrap/>
            <w:vAlign w:val="bottom"/>
            <w:hideMark/>
          </w:tcPr>
          <w:p w:rsidR="003761FC" w:rsidRPr="009B7E00" w:rsidRDefault="003761FC" w:rsidP="001630AB">
            <w:pPr>
              <w:spacing w:after="0"/>
              <w:jc w:val="right"/>
              <w:rPr>
                <w:rFonts w:eastAsia="Times New Roman"/>
                <w:color w:val="000000"/>
                <w:lang w:eastAsia="en-AU"/>
              </w:rPr>
            </w:pPr>
            <w:r w:rsidRPr="009B7E00">
              <w:rPr>
                <w:rFonts w:eastAsia="Times New Roman"/>
                <w:color w:val="000000"/>
                <w:lang w:eastAsia="en-AU"/>
              </w:rPr>
              <w:t>155,903</w:t>
            </w:r>
          </w:p>
        </w:tc>
        <w:tc>
          <w:tcPr>
            <w:tcW w:w="1134" w:type="dxa"/>
            <w:tcBorders>
              <w:top w:val="single" w:sz="4" w:space="0" w:color="auto"/>
              <w:bottom w:val="single" w:sz="4" w:space="0" w:color="auto"/>
            </w:tcBorders>
            <w:noWrap/>
            <w:vAlign w:val="bottom"/>
            <w:hideMark/>
          </w:tcPr>
          <w:p w:rsidR="003761FC" w:rsidRPr="009B7E00" w:rsidRDefault="003761FC" w:rsidP="001630AB">
            <w:pPr>
              <w:spacing w:after="0"/>
              <w:jc w:val="right"/>
              <w:rPr>
                <w:rFonts w:eastAsia="Times New Roman"/>
                <w:color w:val="000000"/>
                <w:lang w:eastAsia="en-AU"/>
              </w:rPr>
            </w:pPr>
            <w:r w:rsidRPr="009B7E00">
              <w:rPr>
                <w:rFonts w:eastAsia="Times New Roman"/>
                <w:color w:val="000000"/>
                <w:lang w:eastAsia="en-AU"/>
              </w:rPr>
              <w:t>-9,484</w:t>
            </w:r>
          </w:p>
        </w:tc>
        <w:tc>
          <w:tcPr>
            <w:tcW w:w="1134" w:type="dxa"/>
            <w:tcBorders>
              <w:top w:val="single" w:sz="4" w:space="0" w:color="auto"/>
              <w:bottom w:val="single" w:sz="4" w:space="0" w:color="auto"/>
            </w:tcBorders>
            <w:noWrap/>
            <w:vAlign w:val="bottom"/>
            <w:hideMark/>
          </w:tcPr>
          <w:p w:rsidR="003761FC" w:rsidRPr="009B7E00" w:rsidRDefault="003761FC" w:rsidP="001630AB">
            <w:pPr>
              <w:spacing w:after="0"/>
              <w:jc w:val="right"/>
              <w:rPr>
                <w:rFonts w:eastAsia="Times New Roman"/>
                <w:color w:val="000000"/>
                <w:lang w:eastAsia="en-AU"/>
              </w:rPr>
            </w:pPr>
            <w:r w:rsidRPr="009B7E00">
              <w:rPr>
                <w:rFonts w:eastAsia="Times New Roman"/>
                <w:color w:val="000000"/>
                <w:lang w:eastAsia="en-AU"/>
              </w:rPr>
              <w:t>155,903</w:t>
            </w:r>
          </w:p>
        </w:tc>
        <w:tc>
          <w:tcPr>
            <w:tcW w:w="1134" w:type="dxa"/>
            <w:tcBorders>
              <w:top w:val="single" w:sz="4" w:space="0" w:color="auto"/>
              <w:bottom w:val="single" w:sz="4" w:space="0" w:color="auto"/>
            </w:tcBorders>
            <w:noWrap/>
            <w:vAlign w:val="bottom"/>
            <w:hideMark/>
          </w:tcPr>
          <w:p w:rsidR="003761FC" w:rsidRPr="009B7E00" w:rsidRDefault="003761FC" w:rsidP="001630AB">
            <w:pPr>
              <w:spacing w:after="0"/>
              <w:jc w:val="right"/>
              <w:rPr>
                <w:rFonts w:eastAsia="Times New Roman"/>
                <w:color w:val="000000"/>
                <w:lang w:eastAsia="en-AU"/>
              </w:rPr>
            </w:pPr>
            <w:r w:rsidRPr="009B7E00">
              <w:rPr>
                <w:rFonts w:eastAsia="Times New Roman"/>
                <w:color w:val="000000"/>
                <w:lang w:eastAsia="en-AU"/>
              </w:rPr>
              <w:t>211,286</w:t>
            </w:r>
          </w:p>
        </w:tc>
        <w:tc>
          <w:tcPr>
            <w:tcW w:w="1134" w:type="dxa"/>
            <w:tcBorders>
              <w:top w:val="single" w:sz="4" w:space="0" w:color="auto"/>
              <w:bottom w:val="single" w:sz="4" w:space="0" w:color="auto"/>
            </w:tcBorders>
            <w:noWrap/>
            <w:vAlign w:val="bottom"/>
            <w:hideMark/>
          </w:tcPr>
          <w:p w:rsidR="003761FC" w:rsidRPr="009B7E00" w:rsidRDefault="003761FC" w:rsidP="001630AB">
            <w:pPr>
              <w:spacing w:after="0"/>
              <w:jc w:val="right"/>
              <w:rPr>
                <w:rFonts w:eastAsia="Times New Roman"/>
                <w:color w:val="000000"/>
                <w:lang w:eastAsia="en-AU"/>
              </w:rPr>
            </w:pPr>
            <w:r w:rsidRPr="009B7E00">
              <w:rPr>
                <w:rFonts w:eastAsia="Times New Roman"/>
                <w:color w:val="000000"/>
                <w:lang w:eastAsia="en-AU"/>
              </w:rPr>
              <w:t>-53,383</w:t>
            </w:r>
          </w:p>
        </w:tc>
      </w:tr>
      <w:tr w:rsidR="00097FB4" w:rsidRPr="003761FC" w:rsidTr="00097FB4">
        <w:trPr>
          <w:trHeight w:val="464"/>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Capital</w:t>
            </w:r>
          </w:p>
        </w:tc>
        <w:tc>
          <w:tcPr>
            <w:tcW w:w="1134" w:type="dxa"/>
            <w:tcBorders>
              <w:top w:val="single" w:sz="4" w:space="0" w:color="auto"/>
            </w:tcBorders>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tcBorders>
              <w:top w:val="single" w:sz="4" w:space="0" w:color="auto"/>
            </w:tcBorders>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tcBorders>
              <w:top w:val="single" w:sz="4" w:space="0" w:color="auto"/>
            </w:tcBorders>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tcBorders>
              <w:top w:val="single" w:sz="4" w:space="0" w:color="auto"/>
            </w:tcBorders>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tcBorders>
              <w:top w:val="single" w:sz="4" w:space="0" w:color="auto"/>
            </w:tcBorders>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tcBorders>
              <w:top w:val="single" w:sz="4" w:space="0" w:color="auto"/>
            </w:tcBorders>
            <w:noWrap/>
            <w:vAlign w:val="bottom"/>
            <w:hideMark/>
          </w:tcPr>
          <w:p w:rsidR="003761FC" w:rsidRPr="00097FB4" w:rsidRDefault="003761FC" w:rsidP="001630AB">
            <w:pPr>
              <w:spacing w:after="0"/>
              <w:jc w:val="right"/>
              <w:rPr>
                <w:rFonts w:eastAsia="Times New Roman"/>
                <w:b/>
                <w:color w:val="000000"/>
                <w:lang w:eastAsia="en-AU"/>
              </w:rPr>
            </w:pPr>
          </w:p>
        </w:tc>
      </w:tr>
      <w:tr w:rsidR="00097FB4" w:rsidRPr="003761FC" w:rsidTr="00097FB4">
        <w:trPr>
          <w:trHeight w:val="363"/>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Item 116 Capital Appropriation</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3,000</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3,000</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3,000</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w:t>
            </w:r>
          </w:p>
        </w:tc>
        <w:tc>
          <w:tcPr>
            <w:tcW w:w="1134" w:type="dxa"/>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3,000</w:t>
            </w:r>
          </w:p>
        </w:tc>
      </w:tr>
      <w:tr w:rsidR="00097FB4" w:rsidRPr="003761FC" w:rsidTr="00097FB4">
        <w:trPr>
          <w:trHeight w:val="493"/>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Administered transactions</w:t>
            </w: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c>
          <w:tcPr>
            <w:tcW w:w="1134" w:type="dxa"/>
            <w:noWrap/>
            <w:vAlign w:val="bottom"/>
            <w:hideMark/>
          </w:tcPr>
          <w:p w:rsidR="003761FC" w:rsidRPr="00097FB4" w:rsidRDefault="003761FC" w:rsidP="001630AB">
            <w:pPr>
              <w:spacing w:after="0"/>
              <w:jc w:val="right"/>
              <w:rPr>
                <w:rFonts w:eastAsia="Times New Roman"/>
                <w:b/>
                <w:color w:val="000000"/>
                <w:lang w:eastAsia="en-AU"/>
              </w:rPr>
            </w:pPr>
          </w:p>
        </w:tc>
      </w:tr>
      <w:tr w:rsidR="00097FB4" w:rsidRPr="003761FC" w:rsidTr="00097FB4">
        <w:trPr>
          <w:trHeight w:val="898"/>
        </w:trPr>
        <w:tc>
          <w:tcPr>
            <w:tcW w:w="3828" w:type="dxa"/>
            <w:vAlign w:val="bottom"/>
            <w:hideMark/>
          </w:tcPr>
          <w:p w:rsidR="003761FC" w:rsidRPr="00097FB4" w:rsidRDefault="003761FC" w:rsidP="001630AB">
            <w:pPr>
              <w:spacing w:after="0"/>
              <w:rPr>
                <w:rFonts w:eastAsia="Times New Roman"/>
                <w:color w:val="000000"/>
                <w:lang w:eastAsia="en-AU"/>
              </w:rPr>
            </w:pPr>
            <w:r w:rsidRPr="00097FB4">
              <w:rPr>
                <w:rFonts w:eastAsia="Times New Roman"/>
                <w:color w:val="000000"/>
                <w:lang w:eastAsia="en-AU"/>
              </w:rPr>
              <w:t>Item 6 Administered grants, subsidies and other transfer payments</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15,000</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45,000</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30,000</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45,000</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46,105</w:t>
            </w:r>
          </w:p>
        </w:tc>
        <w:tc>
          <w:tcPr>
            <w:tcW w:w="1134" w:type="dxa"/>
            <w:tcBorders>
              <w:bottom w:val="sing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-1,105</w:t>
            </w:r>
          </w:p>
        </w:tc>
      </w:tr>
      <w:tr w:rsidR="00097FB4" w:rsidRPr="003761FC" w:rsidTr="009B7E00">
        <w:trPr>
          <w:trHeight w:val="331"/>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Total Administered transactions</w:t>
            </w:r>
          </w:p>
        </w:tc>
        <w:tc>
          <w:tcPr>
            <w:tcW w:w="1134" w:type="dxa"/>
            <w:tcBorders>
              <w:top w:val="sing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15,000</w:t>
            </w:r>
          </w:p>
        </w:tc>
        <w:tc>
          <w:tcPr>
            <w:tcW w:w="1134" w:type="dxa"/>
            <w:tcBorders>
              <w:top w:val="sing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45,000</w:t>
            </w:r>
          </w:p>
        </w:tc>
        <w:tc>
          <w:tcPr>
            <w:tcW w:w="1134" w:type="dxa"/>
            <w:tcBorders>
              <w:top w:val="sing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30,000</w:t>
            </w:r>
          </w:p>
        </w:tc>
        <w:tc>
          <w:tcPr>
            <w:tcW w:w="1134" w:type="dxa"/>
            <w:tcBorders>
              <w:top w:val="sing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45,000</w:t>
            </w:r>
          </w:p>
        </w:tc>
        <w:tc>
          <w:tcPr>
            <w:tcW w:w="1134" w:type="dxa"/>
            <w:tcBorders>
              <w:top w:val="sing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-46,105</w:t>
            </w:r>
          </w:p>
        </w:tc>
        <w:tc>
          <w:tcPr>
            <w:tcW w:w="1134" w:type="dxa"/>
            <w:tcBorders>
              <w:top w:val="sing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-1,105</w:t>
            </w:r>
          </w:p>
        </w:tc>
      </w:tr>
      <w:tr w:rsidR="00097FB4" w:rsidRPr="003761FC" w:rsidTr="00097FB4">
        <w:trPr>
          <w:trHeight w:val="437"/>
        </w:trPr>
        <w:tc>
          <w:tcPr>
            <w:tcW w:w="3828" w:type="dxa"/>
            <w:vAlign w:val="bottom"/>
            <w:hideMark/>
          </w:tcPr>
          <w:p w:rsidR="003761FC" w:rsidRPr="00097FB4" w:rsidRDefault="003761FC" w:rsidP="001630AB">
            <w:pPr>
              <w:spacing w:after="0"/>
              <w:rPr>
                <w:rFonts w:eastAsia="Times New Roman"/>
                <w:b/>
                <w:color w:val="000000"/>
                <w:lang w:eastAsia="en-AU"/>
              </w:rPr>
            </w:pPr>
            <w:r w:rsidRPr="00097FB4">
              <w:rPr>
                <w:rFonts w:eastAsia="Times New Roman"/>
                <w:b/>
                <w:color w:val="000000"/>
                <w:lang w:eastAsia="en-AU"/>
              </w:rPr>
              <w:t>GRAND TOTAL</w:t>
            </w:r>
          </w:p>
        </w:tc>
        <w:tc>
          <w:tcPr>
            <w:tcW w:w="1134" w:type="dxa"/>
            <w:tcBorders>
              <w:top w:val="doub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183,387</w:t>
            </w:r>
          </w:p>
        </w:tc>
        <w:tc>
          <w:tcPr>
            <w:tcW w:w="1134" w:type="dxa"/>
            <w:tcBorders>
              <w:top w:val="doub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203,903</w:t>
            </w:r>
          </w:p>
        </w:tc>
        <w:tc>
          <w:tcPr>
            <w:tcW w:w="1134" w:type="dxa"/>
            <w:tcBorders>
              <w:top w:val="doub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20,516</w:t>
            </w:r>
          </w:p>
        </w:tc>
        <w:tc>
          <w:tcPr>
            <w:tcW w:w="1134" w:type="dxa"/>
            <w:tcBorders>
              <w:top w:val="doub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203,903</w:t>
            </w:r>
          </w:p>
        </w:tc>
        <w:tc>
          <w:tcPr>
            <w:tcW w:w="1134" w:type="dxa"/>
            <w:tcBorders>
              <w:top w:val="doub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257,391</w:t>
            </w:r>
          </w:p>
        </w:tc>
        <w:tc>
          <w:tcPr>
            <w:tcW w:w="1134" w:type="dxa"/>
            <w:tcBorders>
              <w:top w:val="double" w:sz="4" w:space="0" w:color="auto"/>
              <w:bottom w:val="double" w:sz="4" w:space="0" w:color="auto"/>
            </w:tcBorders>
            <w:noWrap/>
            <w:vAlign w:val="bottom"/>
            <w:hideMark/>
          </w:tcPr>
          <w:p w:rsidR="003761FC" w:rsidRPr="00097FB4" w:rsidRDefault="003761FC" w:rsidP="001630AB">
            <w:pPr>
              <w:spacing w:after="0"/>
              <w:jc w:val="right"/>
              <w:rPr>
                <w:rFonts w:eastAsia="Times New Roman"/>
                <w:color w:val="000000"/>
                <w:lang w:eastAsia="en-AU"/>
              </w:rPr>
            </w:pPr>
            <w:r w:rsidRPr="00097FB4">
              <w:rPr>
                <w:rFonts w:eastAsia="Times New Roman"/>
                <w:color w:val="000000"/>
                <w:lang w:eastAsia="en-AU"/>
              </w:rPr>
              <w:t>-53,488</w:t>
            </w:r>
          </w:p>
        </w:tc>
      </w:tr>
    </w:tbl>
    <w:p w:rsidR="00097FB4" w:rsidRDefault="00097FB4" w:rsidP="00097FB4"/>
    <w:p w:rsidR="00817A88" w:rsidRDefault="00817A88">
      <w:pPr>
        <w:rPr>
          <w:rFonts w:ascii="Arial" w:hAnsi="Arial" w:cs="Arial"/>
          <w:color w:val="006699"/>
          <w:sz w:val="28"/>
        </w:rPr>
      </w:pPr>
      <w:r w:rsidRPr="00817A88">
        <w:rPr>
          <w:rFonts w:ascii="Arial" w:hAnsi="Arial" w:cs="Arial"/>
          <w:color w:val="006699"/>
          <w:sz w:val="36"/>
          <w:szCs w:val="36"/>
        </w:rPr>
        <w:t>Summary of Consolidated Account Appropriations and Income Estimates</w:t>
      </w:r>
      <w:r w:rsidRPr="00D145C4">
        <w:rPr>
          <w:rFonts w:ascii="Arial" w:hAnsi="Arial" w:cs="Arial"/>
          <w:color w:val="006699"/>
        </w:rPr>
        <w:br/>
      </w:r>
      <w:r w:rsidRPr="00D145C4">
        <w:rPr>
          <w:rFonts w:ascii="Arial" w:hAnsi="Arial" w:cs="Arial"/>
          <w:color w:val="006699"/>
          <w:sz w:val="28"/>
        </w:rPr>
        <w:t>for the year ended 30 June 2015</w:t>
      </w:r>
      <w:r w:rsidRPr="00817A88">
        <w:rPr>
          <w:rFonts w:ascii="Arial" w:hAnsi="Arial" w:cs="Arial"/>
          <w:color w:val="006699"/>
          <w:sz w:val="28"/>
        </w:rPr>
        <w:t xml:space="preserve"> (continued)</w:t>
      </w:r>
    </w:p>
    <w:tbl>
      <w:tblPr>
        <w:tblW w:w="10632" w:type="dxa"/>
        <w:tblInd w:w="-176" w:type="dxa"/>
        <w:tblLayout w:type="fixed"/>
        <w:tblLook w:val="04A0" w:firstRow="1" w:lastRow="0" w:firstColumn="1" w:lastColumn="0" w:noHBand="0" w:noVBand="1"/>
      </w:tblPr>
      <w:tblGrid>
        <w:gridCol w:w="3828"/>
        <w:gridCol w:w="1134"/>
        <w:gridCol w:w="1134"/>
        <w:gridCol w:w="1134"/>
        <w:gridCol w:w="1134"/>
        <w:gridCol w:w="1134"/>
        <w:gridCol w:w="1134"/>
      </w:tblGrid>
      <w:tr w:rsidR="009B7E00" w:rsidRPr="009B7E00" w:rsidTr="009B7E00">
        <w:trPr>
          <w:trHeight w:val="934"/>
        </w:trPr>
        <w:tc>
          <w:tcPr>
            <w:tcW w:w="3828" w:type="dxa"/>
            <w:tcBorders>
              <w:top w:val="nil"/>
              <w:left w:val="nil"/>
              <w:bottom w:val="nil"/>
              <w:right w:val="nil"/>
            </w:tcBorders>
            <w:vAlign w:val="bottom"/>
            <w:hideMark/>
          </w:tcPr>
          <w:p w:rsidR="009B7E00" w:rsidRPr="009B7E00" w:rsidRDefault="009B7E00" w:rsidP="001630AB">
            <w:pPr>
              <w:spacing w:after="0"/>
              <w:rPr>
                <w:sz w:val="22"/>
                <w:lang w:eastAsia="en-AU"/>
              </w:rPr>
            </w:pPr>
          </w:p>
        </w:tc>
        <w:tc>
          <w:tcPr>
            <w:tcW w:w="1134" w:type="dxa"/>
            <w:tcBorders>
              <w:top w:val="nil"/>
              <w:left w:val="nil"/>
              <w:bottom w:val="nil"/>
              <w:right w:val="nil"/>
            </w:tcBorders>
            <w:vAlign w:val="bottom"/>
            <w:hideMark/>
          </w:tcPr>
          <w:p w:rsidR="009B7E00" w:rsidRPr="009B7E00" w:rsidRDefault="009B7E00" w:rsidP="001630AB">
            <w:pPr>
              <w:spacing w:after="0"/>
              <w:jc w:val="center"/>
              <w:rPr>
                <w:b/>
                <w:bCs/>
                <w:sz w:val="22"/>
                <w:lang w:eastAsia="en-AU"/>
              </w:rPr>
            </w:pPr>
            <w:r w:rsidRPr="009B7E00">
              <w:rPr>
                <w:b/>
                <w:bCs/>
                <w:sz w:val="22"/>
                <w:lang w:eastAsia="en-AU"/>
              </w:rPr>
              <w:t>2015 Estimate $000</w:t>
            </w:r>
          </w:p>
        </w:tc>
        <w:tc>
          <w:tcPr>
            <w:tcW w:w="1134" w:type="dxa"/>
            <w:tcBorders>
              <w:top w:val="nil"/>
              <w:left w:val="nil"/>
              <w:bottom w:val="nil"/>
              <w:right w:val="nil"/>
            </w:tcBorders>
            <w:vAlign w:val="bottom"/>
            <w:hideMark/>
          </w:tcPr>
          <w:p w:rsidR="009B7E00" w:rsidRPr="009B7E00" w:rsidRDefault="009B7E00" w:rsidP="001630AB">
            <w:pPr>
              <w:spacing w:after="0"/>
              <w:jc w:val="center"/>
              <w:rPr>
                <w:b/>
                <w:bCs/>
                <w:sz w:val="22"/>
                <w:lang w:eastAsia="en-AU"/>
              </w:rPr>
            </w:pPr>
            <w:r w:rsidRPr="009B7E00">
              <w:rPr>
                <w:b/>
                <w:bCs/>
                <w:sz w:val="22"/>
                <w:lang w:eastAsia="en-AU"/>
              </w:rPr>
              <w:t>2015 Actual $000</w:t>
            </w:r>
          </w:p>
        </w:tc>
        <w:tc>
          <w:tcPr>
            <w:tcW w:w="1134" w:type="dxa"/>
            <w:tcBorders>
              <w:top w:val="nil"/>
              <w:left w:val="nil"/>
              <w:bottom w:val="nil"/>
              <w:right w:val="nil"/>
            </w:tcBorders>
            <w:vAlign w:val="bottom"/>
            <w:hideMark/>
          </w:tcPr>
          <w:p w:rsidR="009B7E00" w:rsidRPr="009B7E00" w:rsidRDefault="009B7E00" w:rsidP="001630AB">
            <w:pPr>
              <w:spacing w:after="0"/>
              <w:jc w:val="center"/>
              <w:rPr>
                <w:b/>
                <w:bCs/>
                <w:sz w:val="22"/>
                <w:lang w:eastAsia="en-AU"/>
              </w:rPr>
            </w:pPr>
            <w:r w:rsidRPr="009B7E00">
              <w:rPr>
                <w:b/>
                <w:bCs/>
                <w:sz w:val="22"/>
                <w:lang w:eastAsia="en-AU"/>
              </w:rPr>
              <w:t>Variance $000</w:t>
            </w:r>
          </w:p>
        </w:tc>
        <w:tc>
          <w:tcPr>
            <w:tcW w:w="1134" w:type="dxa"/>
            <w:tcBorders>
              <w:top w:val="nil"/>
              <w:left w:val="nil"/>
              <w:bottom w:val="nil"/>
              <w:right w:val="nil"/>
            </w:tcBorders>
            <w:vAlign w:val="bottom"/>
            <w:hideMark/>
          </w:tcPr>
          <w:p w:rsidR="009B7E00" w:rsidRPr="009B7E00" w:rsidRDefault="009B7E00" w:rsidP="001630AB">
            <w:pPr>
              <w:spacing w:after="0"/>
              <w:jc w:val="center"/>
              <w:rPr>
                <w:b/>
                <w:bCs/>
                <w:sz w:val="22"/>
                <w:lang w:eastAsia="en-AU"/>
              </w:rPr>
            </w:pPr>
            <w:r w:rsidRPr="009B7E00">
              <w:rPr>
                <w:b/>
                <w:bCs/>
                <w:sz w:val="22"/>
                <w:lang w:eastAsia="en-AU"/>
              </w:rPr>
              <w:t>2015 Actual $000</w:t>
            </w:r>
          </w:p>
        </w:tc>
        <w:tc>
          <w:tcPr>
            <w:tcW w:w="1134" w:type="dxa"/>
            <w:tcBorders>
              <w:top w:val="nil"/>
              <w:left w:val="nil"/>
              <w:bottom w:val="nil"/>
              <w:right w:val="nil"/>
            </w:tcBorders>
            <w:vAlign w:val="bottom"/>
            <w:hideMark/>
          </w:tcPr>
          <w:p w:rsidR="009B7E00" w:rsidRPr="009B7E00" w:rsidRDefault="009B7E00" w:rsidP="001630AB">
            <w:pPr>
              <w:spacing w:after="0"/>
              <w:jc w:val="center"/>
              <w:rPr>
                <w:b/>
                <w:bCs/>
                <w:sz w:val="22"/>
                <w:lang w:eastAsia="en-AU"/>
              </w:rPr>
            </w:pPr>
            <w:r w:rsidRPr="009B7E00">
              <w:rPr>
                <w:b/>
                <w:bCs/>
                <w:sz w:val="22"/>
                <w:lang w:eastAsia="en-AU"/>
              </w:rPr>
              <w:t>2014 Actual $000</w:t>
            </w:r>
          </w:p>
        </w:tc>
        <w:tc>
          <w:tcPr>
            <w:tcW w:w="1134" w:type="dxa"/>
            <w:tcBorders>
              <w:top w:val="nil"/>
              <w:left w:val="nil"/>
              <w:bottom w:val="nil"/>
              <w:right w:val="nil"/>
            </w:tcBorders>
            <w:vAlign w:val="bottom"/>
            <w:hideMark/>
          </w:tcPr>
          <w:p w:rsidR="009B7E00" w:rsidRPr="009B7E00" w:rsidRDefault="009B7E00" w:rsidP="001630AB">
            <w:pPr>
              <w:spacing w:after="0"/>
              <w:jc w:val="center"/>
              <w:rPr>
                <w:b/>
                <w:bCs/>
                <w:sz w:val="22"/>
                <w:lang w:eastAsia="en-AU"/>
              </w:rPr>
            </w:pPr>
            <w:r w:rsidRPr="009B7E00">
              <w:rPr>
                <w:b/>
                <w:bCs/>
                <w:sz w:val="22"/>
                <w:lang w:eastAsia="en-AU"/>
              </w:rPr>
              <w:t>Variance $000</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b/>
                <w:lang w:eastAsia="en-AU"/>
              </w:rPr>
            </w:pPr>
            <w:r w:rsidRPr="009B7E00">
              <w:rPr>
                <w:b/>
                <w:lang w:eastAsia="en-AU"/>
              </w:rPr>
              <w:t>Details of Expenses by Service</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b/>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b/>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b/>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b/>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b/>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b/>
                <w:lang w:eastAsia="en-AU"/>
              </w:rPr>
            </w:pP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Administration of Executive Government Services</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106,614</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128,746</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22,132</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128,746</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138,573</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-9,827</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Government Policy Management</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73,754</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40,982</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-32,772</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40,982</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56,649</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-15,667</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Total Cost of Services</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180,368</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169,728</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-10,640</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169,728</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195,222</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-25,494</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Less total income</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-3,623</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-3,836</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-213</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-3,836</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-3,491</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-345</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Net Cost of Services</w:t>
            </w: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176,745</w:t>
            </w: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165,892</w:t>
            </w: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-10,853</w:t>
            </w: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165,892</w:t>
            </w: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191,731</w:t>
            </w: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-25,839</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Adjustments</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-11,358</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-9,989</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1,369</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-9,989</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19,555</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-29,544</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b/>
                <w:lang w:eastAsia="en-AU"/>
              </w:rPr>
            </w:pPr>
            <w:r w:rsidRPr="009B7E00">
              <w:rPr>
                <w:b/>
                <w:lang w:eastAsia="en-AU"/>
              </w:rPr>
              <w:t>Total appropriations provided to deliver services</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165,387</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155,903</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-9,484</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155,903</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211,286</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-55,383</w:t>
            </w:r>
          </w:p>
        </w:tc>
      </w:tr>
      <w:tr w:rsidR="009B7E00" w:rsidRPr="009B7E00" w:rsidTr="009B7E00">
        <w:trPr>
          <w:trHeight w:val="99"/>
        </w:trPr>
        <w:tc>
          <w:tcPr>
            <w:tcW w:w="3828" w:type="dxa"/>
            <w:tcBorders>
              <w:top w:val="nil"/>
              <w:left w:val="nil"/>
              <w:bottom w:val="nil"/>
              <w:right w:val="nil"/>
            </w:tcBorders>
            <w:vAlign w:val="bottom"/>
            <w:hideMark/>
          </w:tcPr>
          <w:p w:rsidR="009B7E00" w:rsidRPr="009B7E00" w:rsidRDefault="009B7E00" w:rsidP="001630AB">
            <w:pPr>
              <w:spacing w:after="0"/>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Capital Expenditure</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Purchase of non-current physical assets</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5,124</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2,899</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-2,225</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2,899</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2,427</w:t>
            </w:r>
          </w:p>
        </w:tc>
        <w:tc>
          <w:tcPr>
            <w:tcW w:w="1134" w:type="dxa"/>
            <w:tcBorders>
              <w:top w:val="nil"/>
              <w:left w:val="nil"/>
              <w:bottom w:val="nil"/>
              <w:right w:val="nil"/>
            </w:tcBorders>
            <w:noWrap/>
            <w:vAlign w:val="bottom"/>
            <w:hideMark/>
          </w:tcPr>
          <w:p w:rsidR="009B7E00" w:rsidRPr="009B7E00" w:rsidRDefault="009B7E00" w:rsidP="001630AB">
            <w:pPr>
              <w:spacing w:after="0"/>
              <w:jc w:val="right"/>
              <w:rPr>
                <w:lang w:eastAsia="en-AU"/>
              </w:rPr>
            </w:pPr>
            <w:r w:rsidRPr="009B7E00">
              <w:rPr>
                <w:lang w:eastAsia="en-AU"/>
              </w:rPr>
              <w:t>472</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Adjustment for other funding sources</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-2,124</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101</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2,225</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101</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-2,427</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2,528</w:t>
            </w:r>
          </w:p>
        </w:tc>
      </w:tr>
      <w:tr w:rsidR="009B7E00" w:rsidRPr="009B7E00" w:rsidTr="009B7E00">
        <w:trPr>
          <w:trHeight w:val="285"/>
        </w:trPr>
        <w:tc>
          <w:tcPr>
            <w:tcW w:w="3828" w:type="dxa"/>
            <w:tcBorders>
              <w:top w:val="nil"/>
              <w:left w:val="nil"/>
              <w:bottom w:val="nil"/>
              <w:right w:val="nil"/>
            </w:tcBorders>
            <w:vAlign w:val="bottom"/>
            <w:hideMark/>
          </w:tcPr>
          <w:p w:rsidR="009B7E00" w:rsidRPr="009B7E00" w:rsidRDefault="009B7E00" w:rsidP="001630AB">
            <w:pPr>
              <w:spacing w:after="0"/>
              <w:rPr>
                <w:b/>
                <w:lang w:eastAsia="en-AU"/>
              </w:rPr>
            </w:pPr>
            <w:r w:rsidRPr="009B7E00">
              <w:rPr>
                <w:b/>
                <w:lang w:eastAsia="en-AU"/>
              </w:rPr>
              <w:t>Capital Contribution (appropriation)</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3,000</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3,000</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3,000</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w:t>
            </w:r>
          </w:p>
        </w:tc>
        <w:tc>
          <w:tcPr>
            <w:tcW w:w="1134" w:type="dxa"/>
            <w:tcBorders>
              <w:top w:val="single" w:sz="4" w:space="0" w:color="auto"/>
              <w:left w:val="nil"/>
              <w:bottom w:val="single" w:sz="4" w:space="0" w:color="auto"/>
              <w:right w:val="nil"/>
            </w:tcBorders>
            <w:noWrap/>
            <w:vAlign w:val="bottom"/>
            <w:hideMark/>
          </w:tcPr>
          <w:p w:rsidR="009B7E00" w:rsidRPr="009B7E00" w:rsidRDefault="009B7E00" w:rsidP="001630AB">
            <w:pPr>
              <w:spacing w:after="0"/>
              <w:jc w:val="right"/>
              <w:rPr>
                <w:lang w:eastAsia="en-AU"/>
              </w:rPr>
            </w:pPr>
            <w:r w:rsidRPr="009B7E00">
              <w:rPr>
                <w:lang w:eastAsia="en-AU"/>
              </w:rPr>
              <w:t>3,000</w:t>
            </w:r>
          </w:p>
        </w:tc>
      </w:tr>
      <w:tr w:rsidR="009B7E00" w:rsidRPr="009B7E00" w:rsidTr="009B7E00">
        <w:trPr>
          <w:trHeight w:val="149"/>
        </w:trPr>
        <w:tc>
          <w:tcPr>
            <w:tcW w:w="3828" w:type="dxa"/>
            <w:tcBorders>
              <w:top w:val="nil"/>
              <w:left w:val="nil"/>
              <w:bottom w:val="nil"/>
              <w:right w:val="nil"/>
            </w:tcBorders>
            <w:vAlign w:val="bottom"/>
            <w:hideMark/>
          </w:tcPr>
          <w:p w:rsidR="009B7E00" w:rsidRPr="009B7E00" w:rsidRDefault="009B7E00" w:rsidP="001630AB">
            <w:pPr>
              <w:spacing w:after="0"/>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c>
          <w:tcPr>
            <w:tcW w:w="1134" w:type="dxa"/>
            <w:tcBorders>
              <w:top w:val="single" w:sz="4" w:space="0" w:color="auto"/>
              <w:left w:val="nil"/>
              <w:bottom w:val="nil"/>
              <w:right w:val="nil"/>
            </w:tcBorders>
            <w:noWrap/>
            <w:vAlign w:val="bottom"/>
            <w:hideMark/>
          </w:tcPr>
          <w:p w:rsidR="009B7E00" w:rsidRPr="009B7E00" w:rsidRDefault="009B7E00" w:rsidP="001630AB">
            <w:pPr>
              <w:spacing w:after="0"/>
              <w:jc w:val="right"/>
              <w:rPr>
                <w:sz w:val="16"/>
                <w:lang w:eastAsia="en-AU"/>
              </w:rPr>
            </w:pPr>
          </w:p>
        </w:tc>
      </w:tr>
      <w:tr w:rsidR="009B7E00" w:rsidRPr="009B7E00" w:rsidTr="008569E4">
        <w:trPr>
          <w:trHeight w:val="317"/>
        </w:trPr>
        <w:tc>
          <w:tcPr>
            <w:tcW w:w="3828" w:type="dxa"/>
            <w:tcBorders>
              <w:top w:val="nil"/>
              <w:left w:val="nil"/>
              <w:bottom w:val="nil"/>
              <w:right w:val="nil"/>
            </w:tcBorders>
            <w:vAlign w:val="bottom"/>
            <w:hideMark/>
          </w:tcPr>
          <w:p w:rsidR="009B7E00" w:rsidRPr="009B7E00" w:rsidRDefault="009B7E00" w:rsidP="001630AB">
            <w:pPr>
              <w:spacing w:after="0"/>
              <w:rPr>
                <w:lang w:eastAsia="en-AU"/>
              </w:rPr>
            </w:pPr>
            <w:r w:rsidRPr="009B7E00">
              <w:rPr>
                <w:lang w:eastAsia="en-AU"/>
              </w:rPr>
              <w:t>Details of Income Estimates</w:t>
            </w: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p>
        </w:tc>
        <w:tc>
          <w:tcPr>
            <w:tcW w:w="1134" w:type="dxa"/>
            <w:tcBorders>
              <w:top w:val="nil"/>
              <w:left w:val="nil"/>
              <w:bottom w:val="single" w:sz="4" w:space="0" w:color="auto"/>
              <w:right w:val="nil"/>
            </w:tcBorders>
            <w:noWrap/>
            <w:vAlign w:val="bottom"/>
            <w:hideMark/>
          </w:tcPr>
          <w:p w:rsidR="009B7E00" w:rsidRPr="009B7E00" w:rsidRDefault="009B7E00" w:rsidP="001630AB">
            <w:pPr>
              <w:spacing w:after="0"/>
              <w:jc w:val="right"/>
              <w:rPr>
                <w:lang w:eastAsia="en-AU"/>
              </w:rPr>
            </w:pPr>
          </w:p>
        </w:tc>
      </w:tr>
      <w:tr w:rsidR="009B7E00" w:rsidRPr="009B7E00" w:rsidTr="008569E4">
        <w:trPr>
          <w:trHeight w:val="694"/>
        </w:trPr>
        <w:tc>
          <w:tcPr>
            <w:tcW w:w="3828" w:type="dxa"/>
            <w:tcBorders>
              <w:top w:val="nil"/>
              <w:left w:val="nil"/>
              <w:bottom w:val="nil"/>
              <w:right w:val="nil"/>
            </w:tcBorders>
            <w:vAlign w:val="bottom"/>
            <w:hideMark/>
          </w:tcPr>
          <w:p w:rsidR="009B7E00" w:rsidRPr="008569E4" w:rsidRDefault="009B7E00" w:rsidP="001630AB">
            <w:pPr>
              <w:spacing w:after="0"/>
              <w:rPr>
                <w:b/>
                <w:lang w:eastAsia="en-AU"/>
              </w:rPr>
            </w:pPr>
            <w:r w:rsidRPr="008569E4">
              <w:rPr>
                <w:b/>
                <w:lang w:eastAsia="en-AU"/>
              </w:rPr>
              <w:t>Income disclosed as Administered Income</w:t>
            </w:r>
          </w:p>
        </w:tc>
        <w:tc>
          <w:tcPr>
            <w:tcW w:w="1134" w:type="dxa"/>
            <w:tcBorders>
              <w:top w:val="single" w:sz="4" w:space="0" w:color="auto"/>
              <w:left w:val="nil"/>
              <w:bottom w:val="single" w:sz="4" w:space="0" w:color="auto"/>
              <w:right w:val="nil"/>
            </w:tcBorders>
            <w:noWrap/>
            <w:vAlign w:val="center"/>
            <w:hideMark/>
          </w:tcPr>
          <w:p w:rsidR="009B7E00" w:rsidRPr="009B7E00" w:rsidRDefault="009B7E00" w:rsidP="001630AB">
            <w:pPr>
              <w:spacing w:after="0"/>
              <w:jc w:val="right"/>
              <w:rPr>
                <w:lang w:eastAsia="en-AU"/>
              </w:rPr>
            </w:pPr>
            <w:r w:rsidRPr="009B7E00">
              <w:rPr>
                <w:lang w:eastAsia="en-AU"/>
              </w:rPr>
              <w:t>15,000</w:t>
            </w:r>
          </w:p>
        </w:tc>
        <w:tc>
          <w:tcPr>
            <w:tcW w:w="1134" w:type="dxa"/>
            <w:tcBorders>
              <w:top w:val="single" w:sz="4" w:space="0" w:color="auto"/>
              <w:left w:val="nil"/>
              <w:bottom w:val="single" w:sz="4" w:space="0" w:color="auto"/>
              <w:right w:val="nil"/>
            </w:tcBorders>
            <w:noWrap/>
            <w:vAlign w:val="center"/>
            <w:hideMark/>
          </w:tcPr>
          <w:p w:rsidR="009B7E00" w:rsidRPr="009B7E00" w:rsidRDefault="009B7E00" w:rsidP="001630AB">
            <w:pPr>
              <w:spacing w:after="0"/>
              <w:jc w:val="right"/>
              <w:rPr>
                <w:lang w:eastAsia="en-AU"/>
              </w:rPr>
            </w:pPr>
            <w:r w:rsidRPr="009B7E00">
              <w:rPr>
                <w:lang w:eastAsia="en-AU"/>
              </w:rPr>
              <w:t>45,000</w:t>
            </w:r>
          </w:p>
        </w:tc>
        <w:tc>
          <w:tcPr>
            <w:tcW w:w="1134" w:type="dxa"/>
            <w:tcBorders>
              <w:top w:val="single" w:sz="4" w:space="0" w:color="auto"/>
              <w:left w:val="nil"/>
              <w:bottom w:val="single" w:sz="4" w:space="0" w:color="auto"/>
              <w:right w:val="nil"/>
            </w:tcBorders>
            <w:noWrap/>
            <w:vAlign w:val="center"/>
            <w:hideMark/>
          </w:tcPr>
          <w:p w:rsidR="009B7E00" w:rsidRPr="009B7E00" w:rsidRDefault="009B7E00" w:rsidP="001630AB">
            <w:pPr>
              <w:spacing w:after="0"/>
              <w:jc w:val="right"/>
              <w:rPr>
                <w:lang w:eastAsia="en-AU"/>
              </w:rPr>
            </w:pPr>
            <w:r w:rsidRPr="009B7E00">
              <w:rPr>
                <w:lang w:eastAsia="en-AU"/>
              </w:rPr>
              <w:t>30,000</w:t>
            </w:r>
          </w:p>
        </w:tc>
        <w:tc>
          <w:tcPr>
            <w:tcW w:w="1134" w:type="dxa"/>
            <w:tcBorders>
              <w:top w:val="single" w:sz="4" w:space="0" w:color="auto"/>
              <w:left w:val="nil"/>
              <w:bottom w:val="single" w:sz="4" w:space="0" w:color="auto"/>
              <w:right w:val="nil"/>
            </w:tcBorders>
            <w:noWrap/>
            <w:vAlign w:val="center"/>
            <w:hideMark/>
          </w:tcPr>
          <w:p w:rsidR="009B7E00" w:rsidRPr="009B7E00" w:rsidRDefault="009B7E00" w:rsidP="001630AB">
            <w:pPr>
              <w:spacing w:after="0"/>
              <w:jc w:val="right"/>
              <w:rPr>
                <w:lang w:eastAsia="en-AU"/>
              </w:rPr>
            </w:pPr>
            <w:r w:rsidRPr="009B7E00">
              <w:rPr>
                <w:lang w:eastAsia="en-AU"/>
              </w:rPr>
              <w:t>45,000</w:t>
            </w:r>
          </w:p>
        </w:tc>
        <w:tc>
          <w:tcPr>
            <w:tcW w:w="1134" w:type="dxa"/>
            <w:tcBorders>
              <w:top w:val="single" w:sz="4" w:space="0" w:color="auto"/>
              <w:left w:val="nil"/>
              <w:bottom w:val="single" w:sz="4" w:space="0" w:color="auto"/>
              <w:right w:val="nil"/>
            </w:tcBorders>
            <w:noWrap/>
            <w:vAlign w:val="center"/>
            <w:hideMark/>
          </w:tcPr>
          <w:p w:rsidR="009B7E00" w:rsidRPr="009B7E00" w:rsidRDefault="009B7E00" w:rsidP="001630AB">
            <w:pPr>
              <w:spacing w:after="0"/>
              <w:jc w:val="right"/>
              <w:rPr>
                <w:lang w:eastAsia="en-AU"/>
              </w:rPr>
            </w:pPr>
            <w:r w:rsidRPr="009B7E00">
              <w:rPr>
                <w:lang w:eastAsia="en-AU"/>
              </w:rPr>
              <w:t>46,105</w:t>
            </w:r>
          </w:p>
        </w:tc>
        <w:tc>
          <w:tcPr>
            <w:tcW w:w="1134" w:type="dxa"/>
            <w:tcBorders>
              <w:top w:val="single" w:sz="4" w:space="0" w:color="auto"/>
              <w:left w:val="nil"/>
              <w:bottom w:val="single" w:sz="4" w:space="0" w:color="auto"/>
              <w:right w:val="nil"/>
            </w:tcBorders>
            <w:noWrap/>
            <w:vAlign w:val="center"/>
            <w:hideMark/>
          </w:tcPr>
          <w:p w:rsidR="009B7E00" w:rsidRPr="009B7E00" w:rsidRDefault="009B7E00" w:rsidP="001630AB">
            <w:pPr>
              <w:spacing w:after="0"/>
              <w:jc w:val="right"/>
              <w:rPr>
                <w:lang w:eastAsia="en-AU"/>
              </w:rPr>
            </w:pPr>
            <w:r w:rsidRPr="009B7E00">
              <w:rPr>
                <w:lang w:eastAsia="en-AU"/>
              </w:rPr>
              <w:t>-1,105</w:t>
            </w:r>
          </w:p>
        </w:tc>
      </w:tr>
    </w:tbl>
    <w:p w:rsidR="00312A41" w:rsidRDefault="00312A41" w:rsidP="002B39D7">
      <w:pPr>
        <w:spacing w:after="0"/>
      </w:pPr>
    </w:p>
    <w:p w:rsidR="008569E4" w:rsidRPr="008569E4" w:rsidRDefault="008569E4" w:rsidP="008569E4">
      <w:pPr>
        <w:rPr>
          <w:lang w:val="en-US"/>
        </w:rPr>
      </w:pPr>
      <w:r w:rsidRPr="008569E4">
        <w:rPr>
          <w:lang w:val="en-US"/>
        </w:rPr>
        <w:t>Adjustments comprise movements in cash balances and other accrual items such as receivables, payables and superannuation.</w:t>
      </w:r>
    </w:p>
    <w:p w:rsidR="008569E4" w:rsidRPr="008569E4" w:rsidRDefault="008569E4" w:rsidP="008569E4">
      <w:pPr>
        <w:rPr>
          <w:lang w:val="en-US"/>
        </w:rPr>
      </w:pPr>
      <w:r w:rsidRPr="008569E4">
        <w:rPr>
          <w:lang w:val="en-US"/>
        </w:rPr>
        <w:t>Note 34 ‘Explanatory statement’ provides details of any significant variations between estimates and actual results for 2015 and between the actual results for 2014 and 2015.</w:t>
      </w:r>
      <w:r w:rsidRPr="008569E4">
        <w:rPr>
          <w:lang w:val="en-US"/>
        </w:rPr>
        <w:tab/>
      </w:r>
    </w:p>
    <w:p w:rsidR="008569E4" w:rsidRPr="008569E4" w:rsidRDefault="008569E4" w:rsidP="00AE75A9">
      <w:pPr>
        <w:pStyle w:val="ListParagraph"/>
        <w:numPr>
          <w:ilvl w:val="0"/>
          <w:numId w:val="75"/>
        </w:numPr>
        <w:rPr>
          <w:lang w:val="en-US"/>
        </w:rPr>
      </w:pPr>
      <w:r w:rsidRPr="008569E4">
        <w:rPr>
          <w:lang w:val="en-US"/>
        </w:rPr>
        <w:t>AASB 1004.57 requires that where activities are transferred from one government agency to another government agency as a result of a restructure of administrative arrangements, the transferee government agency must disclose in the notes to the financial statements the expenses and revenues attributable to the transferred activities for the reporting period, showing separately those expenses and revenues recognised by the transferor government agency during the reporting period.</w:t>
      </w:r>
    </w:p>
    <w:p w:rsidR="00CD271F" w:rsidRPr="00C724A8" w:rsidRDefault="001506DD" w:rsidP="008569E4">
      <w:pPr>
        <w:pStyle w:val="Heading1"/>
      </w:pPr>
      <w:r>
        <w:br w:type="page"/>
      </w:r>
      <w:bookmarkStart w:id="481" w:name="_Toc426637607"/>
      <w:bookmarkStart w:id="482" w:name="_Toc430547909"/>
      <w:bookmarkStart w:id="483" w:name="_Toc425370400"/>
      <w:bookmarkStart w:id="484" w:name="_Toc425607427"/>
      <w:bookmarkStart w:id="485" w:name="_Toc426104629"/>
      <w:r w:rsidR="00CD271F">
        <w:t xml:space="preserve">Notes to the </w:t>
      </w:r>
      <w:r w:rsidR="00CD271F" w:rsidRPr="00C724A8">
        <w:t>Financial Statements</w:t>
      </w:r>
      <w:bookmarkEnd w:id="481"/>
      <w:bookmarkEnd w:id="482"/>
    </w:p>
    <w:p w:rsidR="008569E4" w:rsidRPr="008569E4" w:rsidRDefault="008569E4" w:rsidP="008569E4">
      <w:pPr>
        <w:suppressAutoHyphens/>
        <w:autoSpaceDE w:val="0"/>
        <w:autoSpaceDN w:val="0"/>
        <w:adjustRightInd w:val="0"/>
        <w:spacing w:line="288" w:lineRule="auto"/>
        <w:textAlignment w:val="center"/>
        <w:rPr>
          <w:rFonts w:ascii="Arial" w:hAnsi="Arial" w:cs="Arial"/>
          <w:color w:val="193A67"/>
          <w:sz w:val="36"/>
          <w:szCs w:val="36"/>
          <w:lang w:val="en-US"/>
        </w:rPr>
      </w:pPr>
      <w:r w:rsidRPr="008569E4">
        <w:rPr>
          <w:rFonts w:ascii="Arial" w:hAnsi="Arial" w:cs="Arial"/>
          <w:color w:val="193A67"/>
          <w:sz w:val="36"/>
          <w:szCs w:val="36"/>
          <w:lang w:val="en-US"/>
        </w:rPr>
        <w:t>for the year ending 30 June 2015</w:t>
      </w:r>
    </w:p>
    <w:p w:rsidR="008569E4" w:rsidRPr="008569E4" w:rsidRDefault="008569E4" w:rsidP="00AE75A9">
      <w:pPr>
        <w:pStyle w:val="Heading4"/>
        <w:numPr>
          <w:ilvl w:val="0"/>
          <w:numId w:val="76"/>
        </w:numPr>
        <w:ind w:left="709" w:hanging="709"/>
        <w:rPr>
          <w:lang w:val="en-US"/>
        </w:rPr>
      </w:pPr>
      <w:r w:rsidRPr="008569E4">
        <w:rPr>
          <w:lang w:val="en-US"/>
        </w:rPr>
        <w:t>Australian Accounting Standards</w:t>
      </w:r>
    </w:p>
    <w:p w:rsidR="008569E4" w:rsidRPr="008569E4" w:rsidRDefault="008569E4" w:rsidP="008569E4">
      <w:pPr>
        <w:pStyle w:val="Heading5"/>
        <w:rPr>
          <w:lang w:val="en-US"/>
        </w:rPr>
      </w:pPr>
      <w:r w:rsidRPr="008569E4">
        <w:rPr>
          <w:lang w:val="en-US"/>
        </w:rPr>
        <w:t>General</w:t>
      </w:r>
    </w:p>
    <w:p w:rsidR="008569E4" w:rsidRPr="008569E4" w:rsidRDefault="008569E4" w:rsidP="008569E4">
      <w:pPr>
        <w:rPr>
          <w:lang w:val="en-US"/>
        </w:rPr>
      </w:pPr>
      <w:r w:rsidRPr="008569E4">
        <w:rPr>
          <w:lang w:val="en-US"/>
        </w:rPr>
        <w:t>The Department’s financial statements for the year ended 30 June 2015 have been prepared in accordance with Australian Accounting Standards.  The term ‘Australian Accounting Standards’ includes Standards and Interpretations issued by the Australian Accounting Standard Board (AASB).</w:t>
      </w:r>
    </w:p>
    <w:p w:rsidR="008569E4" w:rsidRPr="008569E4" w:rsidRDefault="008569E4" w:rsidP="008569E4">
      <w:pPr>
        <w:rPr>
          <w:lang w:val="en-US"/>
        </w:rPr>
      </w:pPr>
      <w:r w:rsidRPr="008569E4">
        <w:rPr>
          <w:lang w:val="en-US"/>
        </w:rPr>
        <w:t>The Department has adopted any applicable, new and revised Australian Accounting Standards from their operative dates.</w:t>
      </w:r>
    </w:p>
    <w:p w:rsidR="008569E4" w:rsidRPr="008569E4" w:rsidRDefault="008569E4" w:rsidP="008569E4">
      <w:pPr>
        <w:pStyle w:val="Heading5"/>
        <w:rPr>
          <w:lang w:val="en-US"/>
        </w:rPr>
      </w:pPr>
      <w:r w:rsidRPr="008569E4">
        <w:rPr>
          <w:lang w:val="en-US"/>
        </w:rPr>
        <w:t>Early adoption of standards</w:t>
      </w:r>
    </w:p>
    <w:p w:rsidR="008569E4" w:rsidRPr="008569E4" w:rsidRDefault="008569E4" w:rsidP="008569E4">
      <w:pPr>
        <w:rPr>
          <w:lang w:val="en-US"/>
        </w:rPr>
      </w:pPr>
      <w:r w:rsidRPr="008569E4">
        <w:rPr>
          <w:lang w:val="en-US"/>
        </w:rPr>
        <w:t>The Department cannot early adopt an Australian Accounting Standard unless specifically permitted by TI 1101 Application of Australian Accounting Standards and Other Pronouncements.  There has been no early adoption of Australian Accounting Standards that have been issued or amended (but not operative) by the Department for the annual reporting period ended 30 June 2015.</w:t>
      </w:r>
    </w:p>
    <w:p w:rsidR="008569E4" w:rsidRPr="008569E4" w:rsidRDefault="008569E4" w:rsidP="00AE75A9">
      <w:pPr>
        <w:pStyle w:val="Heading4"/>
        <w:numPr>
          <w:ilvl w:val="0"/>
          <w:numId w:val="76"/>
        </w:numPr>
        <w:ind w:left="709" w:hanging="709"/>
        <w:rPr>
          <w:lang w:val="en-US"/>
        </w:rPr>
      </w:pPr>
      <w:r w:rsidRPr="008569E4">
        <w:rPr>
          <w:lang w:val="en-US"/>
        </w:rPr>
        <w:t>Summary of significant accounting policies</w:t>
      </w:r>
    </w:p>
    <w:p w:rsidR="008569E4" w:rsidRPr="008569E4" w:rsidRDefault="008569E4" w:rsidP="00AE75A9">
      <w:pPr>
        <w:pStyle w:val="Heading5"/>
        <w:numPr>
          <w:ilvl w:val="0"/>
          <w:numId w:val="77"/>
        </w:numPr>
        <w:rPr>
          <w:lang w:val="en-US"/>
        </w:rPr>
      </w:pPr>
      <w:r w:rsidRPr="008569E4">
        <w:rPr>
          <w:lang w:val="en-US"/>
        </w:rPr>
        <w:t>General Statement</w:t>
      </w:r>
    </w:p>
    <w:p w:rsidR="008569E4" w:rsidRDefault="008569E4" w:rsidP="008569E4">
      <w:pPr>
        <w:rPr>
          <w:lang w:val="en-US"/>
        </w:rPr>
      </w:pPr>
      <w:r w:rsidRPr="008569E4">
        <w:rPr>
          <w:lang w:val="en-US"/>
        </w:rPr>
        <w:t>The Department is a not-for-profit reporting entity that prepares general purpose financial statements in accordance with Australian Accounting Standards, the Framework, Statements of Accounting Concepts and other authoritative pronouncements of the AASB as applied by the Treasurer’s Instructions.  Several of these are modified by the Treasurer’s Instructions to vary application, d</w:t>
      </w:r>
      <w:r>
        <w:rPr>
          <w:lang w:val="en-US"/>
        </w:rPr>
        <w:t>isclosure, format and wording.</w:t>
      </w:r>
    </w:p>
    <w:p w:rsidR="008569E4" w:rsidRPr="008569E4" w:rsidRDefault="008569E4" w:rsidP="008569E4">
      <w:pPr>
        <w:rPr>
          <w:lang w:val="en-US"/>
        </w:rPr>
      </w:pPr>
      <w:r w:rsidRPr="008569E4">
        <w:rPr>
          <w:lang w:val="en-US"/>
        </w:rPr>
        <w:t xml:space="preserve">The </w:t>
      </w:r>
      <w:r w:rsidRPr="008569E4">
        <w:rPr>
          <w:i/>
          <w:iCs/>
          <w:lang w:val="en-US"/>
        </w:rPr>
        <w:t>Financial Management Act 2006</w:t>
      </w:r>
      <w:r w:rsidRPr="008569E4">
        <w:rPr>
          <w:lang w:val="en-US"/>
        </w:rPr>
        <w:t xml:space="preserve"> and the Treasurer’s Instructions impose legislative provisions governing the preparation of financial statements and take precedence over Australian Accounting Standards, the Framework, Statements of Accounting Concepts and other authoritative pronouncements of the Australian Accounting Standards Board.</w:t>
      </w:r>
    </w:p>
    <w:p w:rsidR="008569E4" w:rsidRPr="008569E4" w:rsidRDefault="008569E4" w:rsidP="008569E4">
      <w:pPr>
        <w:rPr>
          <w:lang w:val="en-US"/>
        </w:rPr>
      </w:pPr>
      <w:r w:rsidRPr="008569E4">
        <w:rPr>
          <w:lang w:val="en-US"/>
        </w:rPr>
        <w:t>Where modification is required and has a material or significant financial effect upon the reported results, details of that modification and the resulting financial effect are disclosed in the notes to the financial statements.</w:t>
      </w:r>
    </w:p>
    <w:p w:rsidR="008569E4" w:rsidRPr="008569E4" w:rsidRDefault="008569E4" w:rsidP="00AE75A9">
      <w:pPr>
        <w:pStyle w:val="Heading5"/>
        <w:numPr>
          <w:ilvl w:val="0"/>
          <w:numId w:val="77"/>
        </w:numPr>
        <w:rPr>
          <w:lang w:val="en-US"/>
        </w:rPr>
      </w:pPr>
      <w:r>
        <w:rPr>
          <w:lang w:val="en-US"/>
        </w:rPr>
        <w:t>B</w:t>
      </w:r>
      <w:r w:rsidRPr="008569E4">
        <w:rPr>
          <w:lang w:val="en-US"/>
        </w:rPr>
        <w:t>asis of preparation</w:t>
      </w:r>
    </w:p>
    <w:p w:rsidR="008569E4" w:rsidRPr="008569E4" w:rsidRDefault="008569E4" w:rsidP="008569E4">
      <w:pPr>
        <w:rPr>
          <w:lang w:val="en-US"/>
        </w:rPr>
      </w:pPr>
      <w:r w:rsidRPr="008569E4">
        <w:rPr>
          <w:lang w:val="en-US"/>
        </w:rPr>
        <w:t>The financial statements have been prepared on the accrual basis of accounting using the historical cost convention.</w:t>
      </w:r>
      <w:r w:rsidRPr="008569E4">
        <w:rPr>
          <w:lang w:val="en-US"/>
        </w:rPr>
        <w:t> </w:t>
      </w:r>
    </w:p>
    <w:p w:rsidR="008569E4" w:rsidRPr="008569E4" w:rsidRDefault="008569E4" w:rsidP="008569E4">
      <w:pPr>
        <w:rPr>
          <w:lang w:val="en-US"/>
        </w:rPr>
      </w:pPr>
      <w:r w:rsidRPr="008569E4">
        <w:rPr>
          <w:lang w:val="en-US"/>
        </w:rPr>
        <w:t>The accounting policies adopted in the preparation of the financial statements have been consistently applied throughout all periods presented unless otherwise stated.</w:t>
      </w:r>
    </w:p>
    <w:p w:rsidR="008569E4" w:rsidRPr="008569E4" w:rsidRDefault="008569E4" w:rsidP="008569E4">
      <w:pPr>
        <w:rPr>
          <w:lang w:val="en-US"/>
        </w:rPr>
      </w:pPr>
      <w:r w:rsidRPr="008569E4">
        <w:rPr>
          <w:lang w:val="en-US"/>
        </w:rPr>
        <w:t>The financial statements are presented in Australian dollars and all values are rounded to the nearest thousand dollars ($000).</w:t>
      </w:r>
    </w:p>
    <w:p w:rsidR="008569E4" w:rsidRPr="008569E4" w:rsidRDefault="008569E4" w:rsidP="008569E4">
      <w:pPr>
        <w:rPr>
          <w:lang w:val="en-US"/>
        </w:rPr>
      </w:pPr>
      <w:r w:rsidRPr="008569E4">
        <w:rPr>
          <w:lang w:val="en-US"/>
        </w:rPr>
        <w:t>Note 3 ‘Judgements made by management in applying accounting policies’ discloses judgements that have been made in the process of applying the Department’s accounting policies that have the most significant effect on the amounts recognised in the financial statements.</w:t>
      </w:r>
    </w:p>
    <w:p w:rsidR="0052244C" w:rsidRPr="0052244C" w:rsidRDefault="008569E4" w:rsidP="0052244C">
      <w:pPr>
        <w:rPr>
          <w:lang w:val="en-US"/>
        </w:rPr>
      </w:pPr>
      <w:r w:rsidRPr="008569E4">
        <w:rPr>
          <w:lang w:val="en-US"/>
        </w:rPr>
        <w:t xml:space="preserve">Note 4 ‘Key sources of estimation uncertainty’ discloses key assumption made concerning the future, and other key sources of estimation uncertainty at the end of the reporting period, that have a significant risk of causing a material adjustment to the carrying amounts of assets and liabilities </w:t>
      </w:r>
      <w:r w:rsidR="0052244C">
        <w:rPr>
          <w:lang w:val="en-US"/>
        </w:rPr>
        <w:t>within the next financial year.</w:t>
      </w:r>
    </w:p>
    <w:p w:rsidR="005629B9" w:rsidRDefault="005629B9" w:rsidP="00AE75A9">
      <w:pPr>
        <w:pStyle w:val="Heading5"/>
        <w:numPr>
          <w:ilvl w:val="0"/>
          <w:numId w:val="77"/>
        </w:numPr>
      </w:pPr>
      <w:r w:rsidRPr="0052244C">
        <w:t>Reporting entity</w:t>
      </w:r>
    </w:p>
    <w:p w:rsidR="005629B9" w:rsidRPr="005629B9" w:rsidRDefault="005629B9" w:rsidP="0052244C">
      <w:pPr>
        <w:pStyle w:val="Heading6"/>
        <w:rPr>
          <w:color w:val="000000"/>
          <w:lang w:val="en-US"/>
        </w:rPr>
      </w:pPr>
      <w:r w:rsidRPr="005629B9">
        <w:rPr>
          <w:lang w:val="en-GB"/>
        </w:rPr>
        <w:t>Purpose</w:t>
      </w:r>
    </w:p>
    <w:p w:rsidR="005629B9" w:rsidRPr="005629B9" w:rsidRDefault="005629B9" w:rsidP="005629B9">
      <w:pPr>
        <w:rPr>
          <w:color w:val="000000"/>
          <w:lang w:val="en-US"/>
        </w:rPr>
      </w:pPr>
      <w:r w:rsidRPr="005629B9">
        <w:rPr>
          <w:color w:val="000000"/>
          <w:lang w:val="en-US"/>
        </w:rPr>
        <w:t>The Department’s purpose is to provide quality policy and administrative advice and support to enable the Premier and Government to serve the Western Australian community well.</w:t>
      </w:r>
    </w:p>
    <w:p w:rsidR="005629B9" w:rsidRPr="005629B9" w:rsidRDefault="005629B9" w:rsidP="005629B9">
      <w:pPr>
        <w:rPr>
          <w:color w:val="000000"/>
          <w:lang w:val="en-US"/>
        </w:rPr>
      </w:pPr>
      <w:r w:rsidRPr="005629B9">
        <w:rPr>
          <w:color w:val="000000"/>
          <w:lang w:val="en-US"/>
        </w:rPr>
        <w:t>The Department is predominantly funded by Parliamentary appropriations.  The financial statements encompass all funds through which the Department controls resources to carry on its functions.</w:t>
      </w:r>
    </w:p>
    <w:p w:rsidR="005629B9" w:rsidRPr="005629B9" w:rsidRDefault="005629B9" w:rsidP="0052244C">
      <w:pPr>
        <w:pStyle w:val="Heading6"/>
        <w:rPr>
          <w:color w:val="000000"/>
          <w:lang w:val="en-US"/>
        </w:rPr>
      </w:pPr>
      <w:r w:rsidRPr="005629B9">
        <w:rPr>
          <w:lang w:val="en-GB"/>
        </w:rPr>
        <w:t>Services</w:t>
      </w:r>
    </w:p>
    <w:p w:rsidR="005629B9" w:rsidRPr="005629B9" w:rsidRDefault="005629B9" w:rsidP="005629B9">
      <w:pPr>
        <w:rPr>
          <w:color w:val="000000"/>
          <w:lang w:val="en-US"/>
        </w:rPr>
      </w:pPr>
      <w:r w:rsidRPr="005629B9">
        <w:rPr>
          <w:color w:val="000000"/>
          <w:lang w:val="en-US"/>
        </w:rPr>
        <w:t>The Department provides the following services:</w:t>
      </w:r>
    </w:p>
    <w:p w:rsidR="005629B9" w:rsidRPr="0052244C" w:rsidRDefault="005629B9" w:rsidP="00AE75A9">
      <w:pPr>
        <w:pStyle w:val="ListParagraph"/>
        <w:numPr>
          <w:ilvl w:val="0"/>
          <w:numId w:val="78"/>
        </w:numPr>
        <w:rPr>
          <w:color w:val="000000"/>
          <w:lang w:val="en-US"/>
        </w:rPr>
      </w:pPr>
      <w:r w:rsidRPr="0052244C">
        <w:rPr>
          <w:color w:val="000000"/>
          <w:lang w:val="en-US"/>
        </w:rPr>
        <w:t>Service 1:  Administration of Executive Government Services - The Department provides administrative support to the Premier and Cabinet, Leader of the Opposition, Members of Parliament and Executive Council</w:t>
      </w:r>
    </w:p>
    <w:p w:rsidR="005629B9" w:rsidRPr="0052244C" w:rsidRDefault="005629B9" w:rsidP="00AE75A9">
      <w:pPr>
        <w:pStyle w:val="ListParagraph"/>
        <w:numPr>
          <w:ilvl w:val="0"/>
          <w:numId w:val="78"/>
        </w:numPr>
        <w:rPr>
          <w:color w:val="000000"/>
          <w:lang w:val="en-US"/>
        </w:rPr>
      </w:pPr>
      <w:r w:rsidRPr="0052244C">
        <w:rPr>
          <w:color w:val="000000"/>
          <w:lang w:val="en-US"/>
        </w:rPr>
        <w:t>Service 2:  Government Policy Management - The Department provides Strategic policy advice and Coordination to the Premier and Cabinet</w:t>
      </w:r>
    </w:p>
    <w:p w:rsidR="005629B9" w:rsidRPr="005629B9" w:rsidRDefault="005629B9" w:rsidP="005629B9">
      <w:pPr>
        <w:rPr>
          <w:color w:val="000000"/>
          <w:lang w:val="en-US"/>
        </w:rPr>
      </w:pPr>
      <w:r w:rsidRPr="005629B9">
        <w:rPr>
          <w:color w:val="000000"/>
          <w:lang w:val="en-US"/>
        </w:rPr>
        <w:t>The Department administers assets, liabilities, income and expenses on behalf of Government which are not controlled by, nor integral, to the function of the Department.  These administered balances and transactions are not recognised in the principal financial statements of the Department but schedules are prepared using the same basis as the financial statements and are presented at note 41 ‘Disclosure of administered expenses and income’ and note 39 ‘Administered assets and liabilities’.</w:t>
      </w:r>
    </w:p>
    <w:p w:rsidR="005629B9" w:rsidRPr="0052244C" w:rsidRDefault="005629B9" w:rsidP="00AE75A9">
      <w:pPr>
        <w:pStyle w:val="Heading5"/>
        <w:numPr>
          <w:ilvl w:val="0"/>
          <w:numId w:val="77"/>
        </w:numPr>
      </w:pPr>
      <w:r w:rsidRPr="0052244C">
        <w:t>Contributed equity</w:t>
      </w:r>
    </w:p>
    <w:p w:rsidR="005629B9" w:rsidRPr="005629B9" w:rsidRDefault="005629B9" w:rsidP="005629B9">
      <w:pPr>
        <w:rPr>
          <w:color w:val="000000"/>
          <w:lang w:val="en-US"/>
        </w:rPr>
      </w:pPr>
      <w:r w:rsidRPr="005629B9">
        <w:rPr>
          <w:color w:val="000000"/>
          <w:lang w:val="en-US"/>
        </w:rPr>
        <w:t>AASB Interpretations 1038 ‘Contributions by Owners Made to Wholly-Owned Public Sector Entities’ requires transfers, other than as a result of a restructure of administrative arrangements,  in the nature of equity contributions to be designated by the Government (the owner) as contributions by owners (at the time of, or prior to transfer) before such transfers can be recognised as equity contributions.  Capital contributions (appropriations) have been designated as contributions by owners by Treasurer’s Instruction (TI) 955 ‘Contributions by Owners made to Wholly Owned Public Sector Entities’ and have been credited directly to Contributed Equity.</w:t>
      </w:r>
    </w:p>
    <w:p w:rsidR="005629B9" w:rsidRPr="005629B9" w:rsidRDefault="005629B9" w:rsidP="005629B9">
      <w:pPr>
        <w:rPr>
          <w:color w:val="000000"/>
          <w:lang w:val="en-US"/>
        </w:rPr>
      </w:pPr>
      <w:r w:rsidRPr="005629B9">
        <w:rPr>
          <w:color w:val="000000"/>
          <w:lang w:val="en-US"/>
        </w:rPr>
        <w:t xml:space="preserve">The transfer of net assets to/from other agencies, other than as a result of a restructure of administrative arrangements, are designated as contributions by owners where the transfers are non-discretionary and non-reciprocal. </w:t>
      </w:r>
    </w:p>
    <w:p w:rsidR="005629B9" w:rsidRPr="005629B9" w:rsidRDefault="005629B9" w:rsidP="005629B9">
      <w:pPr>
        <w:rPr>
          <w:color w:val="000000"/>
          <w:lang w:val="en-US"/>
        </w:rPr>
      </w:pPr>
      <w:r w:rsidRPr="005629B9">
        <w:rPr>
          <w:color w:val="000000"/>
          <w:lang w:val="en-US"/>
        </w:rPr>
        <w:t>See note 26 ‘Equity’.</w:t>
      </w:r>
    </w:p>
    <w:p w:rsidR="005629B9" w:rsidRPr="0052244C" w:rsidRDefault="005629B9" w:rsidP="00AE75A9">
      <w:pPr>
        <w:pStyle w:val="Heading5"/>
        <w:numPr>
          <w:ilvl w:val="0"/>
          <w:numId w:val="77"/>
        </w:numPr>
      </w:pPr>
      <w:r w:rsidRPr="0052244C">
        <w:t>Income</w:t>
      </w:r>
    </w:p>
    <w:p w:rsidR="005629B9" w:rsidRPr="0052244C" w:rsidRDefault="005629B9" w:rsidP="0052244C">
      <w:pPr>
        <w:pStyle w:val="Heading7"/>
        <w:rPr>
          <w:b/>
          <w:i/>
          <w:iCs/>
          <w:color w:val="000000"/>
          <w:lang w:val="en-US"/>
        </w:rPr>
      </w:pPr>
      <w:r w:rsidRPr="0052244C">
        <w:rPr>
          <w:b/>
          <w:lang w:val="en-GB"/>
        </w:rPr>
        <w:t>Revenue recognition</w:t>
      </w:r>
    </w:p>
    <w:p w:rsidR="005629B9" w:rsidRPr="005629B9" w:rsidRDefault="005629B9" w:rsidP="005629B9">
      <w:pPr>
        <w:rPr>
          <w:color w:val="000000"/>
          <w:lang w:val="en-US"/>
        </w:rPr>
      </w:pPr>
      <w:r w:rsidRPr="005629B9">
        <w:rPr>
          <w:color w:val="000000"/>
          <w:lang w:val="en-US"/>
        </w:rPr>
        <w:t>Revenue is recognised and measured at the fair value of consideration received or receivable.  Revenue is recognised for the major business activities as follows:</w:t>
      </w:r>
    </w:p>
    <w:p w:rsidR="005629B9" w:rsidRPr="005629B9" w:rsidRDefault="005629B9" w:rsidP="0052244C">
      <w:pPr>
        <w:pStyle w:val="Heading7"/>
        <w:rPr>
          <w:color w:val="000000"/>
          <w:lang w:val="en-US"/>
        </w:rPr>
      </w:pPr>
      <w:r w:rsidRPr="005629B9">
        <w:rPr>
          <w:lang w:val="en-GB"/>
        </w:rPr>
        <w:t>Sale of goods</w:t>
      </w:r>
    </w:p>
    <w:p w:rsidR="005629B9" w:rsidRPr="005629B9" w:rsidRDefault="005629B9" w:rsidP="005629B9">
      <w:pPr>
        <w:rPr>
          <w:color w:val="000000"/>
          <w:lang w:val="en-US"/>
        </w:rPr>
      </w:pPr>
      <w:r w:rsidRPr="005629B9">
        <w:rPr>
          <w:color w:val="000000"/>
          <w:lang w:val="en-US"/>
        </w:rPr>
        <w:t>Revenue is recognised from the sale of goods and disposal of other assets when the significant risks and rewards of ownership control transfer to the purchaser and can be measured reliably.</w:t>
      </w:r>
    </w:p>
    <w:p w:rsidR="005629B9" w:rsidRPr="005629B9" w:rsidRDefault="005629B9" w:rsidP="0052244C">
      <w:pPr>
        <w:pStyle w:val="Heading7"/>
        <w:rPr>
          <w:color w:val="000000"/>
          <w:lang w:val="en-US"/>
        </w:rPr>
      </w:pPr>
      <w:r w:rsidRPr="005629B9">
        <w:rPr>
          <w:lang w:val="en-GB"/>
        </w:rPr>
        <w:t>Provision of services</w:t>
      </w:r>
    </w:p>
    <w:p w:rsidR="005629B9" w:rsidRPr="005629B9" w:rsidRDefault="005629B9" w:rsidP="005629B9">
      <w:pPr>
        <w:rPr>
          <w:color w:val="000000"/>
          <w:lang w:val="en-US"/>
        </w:rPr>
      </w:pPr>
      <w:r w:rsidRPr="005629B9">
        <w:rPr>
          <w:color w:val="000000"/>
          <w:lang w:val="en-US"/>
        </w:rPr>
        <w:t>Revenue is recognised upon the delivery of the service to the client or by reference to the stage of completion of the transaction.</w:t>
      </w:r>
    </w:p>
    <w:p w:rsidR="005629B9" w:rsidRPr="005629B9" w:rsidRDefault="005629B9" w:rsidP="0052244C">
      <w:pPr>
        <w:pStyle w:val="Heading7"/>
        <w:rPr>
          <w:color w:val="000000"/>
          <w:lang w:val="en-US"/>
        </w:rPr>
      </w:pPr>
      <w:r w:rsidRPr="005629B9">
        <w:rPr>
          <w:lang w:val="en-GB"/>
        </w:rPr>
        <w:t>Interest</w:t>
      </w:r>
    </w:p>
    <w:p w:rsidR="005629B9" w:rsidRPr="005629B9" w:rsidRDefault="005629B9" w:rsidP="005629B9">
      <w:pPr>
        <w:rPr>
          <w:color w:val="000000"/>
          <w:lang w:val="en-US"/>
        </w:rPr>
      </w:pPr>
      <w:r w:rsidRPr="005629B9">
        <w:rPr>
          <w:color w:val="000000"/>
          <w:lang w:val="en-US"/>
        </w:rPr>
        <w:t>Revenue is recognised as the interest accrues.</w:t>
      </w:r>
    </w:p>
    <w:p w:rsidR="005629B9" w:rsidRPr="005629B9" w:rsidRDefault="005629B9" w:rsidP="0052244C">
      <w:pPr>
        <w:pStyle w:val="Heading7"/>
        <w:rPr>
          <w:color w:val="000000"/>
          <w:lang w:val="en-US"/>
        </w:rPr>
      </w:pPr>
      <w:r w:rsidRPr="005629B9">
        <w:rPr>
          <w:lang w:val="en-GB"/>
        </w:rPr>
        <w:t>Service appropriations</w:t>
      </w:r>
    </w:p>
    <w:p w:rsidR="005629B9" w:rsidRPr="005629B9" w:rsidRDefault="005629B9" w:rsidP="005629B9">
      <w:pPr>
        <w:rPr>
          <w:color w:val="000000"/>
          <w:lang w:val="en-US"/>
        </w:rPr>
      </w:pPr>
      <w:r w:rsidRPr="005629B9">
        <w:rPr>
          <w:color w:val="000000"/>
          <w:lang w:val="en-US"/>
        </w:rPr>
        <w:t xml:space="preserve">Service Appropriations are recognised as revenues in the period in which the Department gains control of the appropriated funds. The Department gains control of appropriated funds at the time those funds are deposited into the Department’s bank account or credited to the amounts receivable for services held at Treasury.  </w:t>
      </w:r>
    </w:p>
    <w:p w:rsidR="005629B9" w:rsidRPr="005629B9" w:rsidRDefault="005629B9" w:rsidP="005629B9">
      <w:pPr>
        <w:rPr>
          <w:color w:val="000000"/>
          <w:lang w:val="en-US"/>
        </w:rPr>
      </w:pPr>
      <w:r w:rsidRPr="005629B9">
        <w:rPr>
          <w:color w:val="000000"/>
          <w:lang w:val="en-US"/>
        </w:rPr>
        <w:t>See note 15 ‘Income from State Government’ for further detail.</w:t>
      </w:r>
    </w:p>
    <w:p w:rsidR="005629B9" w:rsidRPr="005629B9" w:rsidRDefault="005629B9" w:rsidP="0052244C">
      <w:pPr>
        <w:pStyle w:val="Heading7"/>
        <w:rPr>
          <w:color w:val="000000"/>
          <w:lang w:val="en-US"/>
        </w:rPr>
      </w:pPr>
      <w:r w:rsidRPr="005629B9">
        <w:rPr>
          <w:lang w:val="en-GB"/>
        </w:rPr>
        <w:t>Net appropriation determination</w:t>
      </w:r>
    </w:p>
    <w:p w:rsidR="005629B9" w:rsidRPr="005629B9" w:rsidRDefault="005629B9" w:rsidP="005629B9">
      <w:pPr>
        <w:rPr>
          <w:color w:val="000000"/>
          <w:lang w:val="en-US"/>
        </w:rPr>
      </w:pPr>
      <w:r w:rsidRPr="005629B9">
        <w:rPr>
          <w:color w:val="000000"/>
          <w:lang w:val="en-US"/>
        </w:rPr>
        <w:t>The Treasurer may make a determination providing for prescribed receipts to be retained for services under the control of the Department.  In accordance with the determination specified in the 2014–2015 Budget Statements, the Department retained $12,419 million in 2015 ($13,102 million in 2014) from the following:</w:t>
      </w:r>
    </w:p>
    <w:p w:rsidR="005629B9" w:rsidRPr="0052244C" w:rsidRDefault="005629B9" w:rsidP="00AE75A9">
      <w:pPr>
        <w:pStyle w:val="ListParagraph"/>
        <w:numPr>
          <w:ilvl w:val="0"/>
          <w:numId w:val="79"/>
        </w:numPr>
        <w:rPr>
          <w:color w:val="000000"/>
          <w:lang w:val="en-US"/>
        </w:rPr>
      </w:pPr>
      <w:r w:rsidRPr="0052244C">
        <w:rPr>
          <w:color w:val="000000"/>
          <w:lang w:val="en-US"/>
        </w:rPr>
        <w:t>Proceeds from fees and charges;</w:t>
      </w:r>
    </w:p>
    <w:p w:rsidR="005629B9" w:rsidRPr="0052244C" w:rsidRDefault="005629B9" w:rsidP="00AE75A9">
      <w:pPr>
        <w:pStyle w:val="ListParagraph"/>
        <w:numPr>
          <w:ilvl w:val="0"/>
          <w:numId w:val="79"/>
        </w:numPr>
        <w:rPr>
          <w:color w:val="000000"/>
          <w:lang w:val="en-US"/>
        </w:rPr>
      </w:pPr>
      <w:r w:rsidRPr="0052244C">
        <w:rPr>
          <w:color w:val="000000"/>
          <w:lang w:val="en-US"/>
        </w:rPr>
        <w:t>Other departmental revenue.</w:t>
      </w:r>
    </w:p>
    <w:p w:rsidR="005629B9" w:rsidRPr="0052244C" w:rsidRDefault="005629B9" w:rsidP="00AE75A9">
      <w:pPr>
        <w:pStyle w:val="ListParagraph"/>
        <w:numPr>
          <w:ilvl w:val="0"/>
          <w:numId w:val="79"/>
        </w:numPr>
        <w:rPr>
          <w:color w:val="000000"/>
          <w:lang w:val="en-US"/>
        </w:rPr>
      </w:pPr>
      <w:r w:rsidRPr="0052244C">
        <w:rPr>
          <w:color w:val="000000"/>
          <w:lang w:val="en-US"/>
        </w:rPr>
        <w:t>GST input credits</w:t>
      </w:r>
    </w:p>
    <w:p w:rsidR="005629B9" w:rsidRPr="0052244C" w:rsidRDefault="005629B9" w:rsidP="00AE75A9">
      <w:pPr>
        <w:pStyle w:val="ListParagraph"/>
        <w:numPr>
          <w:ilvl w:val="0"/>
          <w:numId w:val="79"/>
        </w:numPr>
        <w:rPr>
          <w:color w:val="000000"/>
          <w:lang w:val="en-US"/>
        </w:rPr>
      </w:pPr>
      <w:r w:rsidRPr="0052244C">
        <w:rPr>
          <w:color w:val="000000"/>
          <w:lang w:val="en-US"/>
        </w:rPr>
        <w:t>GST receipts on sales</w:t>
      </w:r>
    </w:p>
    <w:p w:rsidR="001630AB" w:rsidRDefault="001630AB">
      <w:pPr>
        <w:spacing w:line="276" w:lineRule="auto"/>
        <w:rPr>
          <w:rFonts w:ascii="Arial" w:hAnsi="Arial" w:cs="Arial"/>
          <w:color w:val="193A68"/>
          <w:lang w:val="en-GB"/>
        </w:rPr>
      </w:pPr>
      <w:r>
        <w:rPr>
          <w:lang w:val="en-GB"/>
        </w:rPr>
        <w:br w:type="page"/>
      </w:r>
    </w:p>
    <w:p w:rsidR="005629B9" w:rsidRPr="005629B9" w:rsidRDefault="005629B9" w:rsidP="0052244C">
      <w:pPr>
        <w:pStyle w:val="Heading7"/>
        <w:rPr>
          <w:color w:val="000000"/>
          <w:lang w:val="en-US"/>
        </w:rPr>
      </w:pPr>
      <w:r w:rsidRPr="005629B9">
        <w:rPr>
          <w:lang w:val="en-GB"/>
        </w:rPr>
        <w:t>Grants, donations, gifts and other non-reciprocal contributions</w:t>
      </w:r>
    </w:p>
    <w:p w:rsidR="005629B9" w:rsidRPr="005629B9" w:rsidRDefault="005629B9" w:rsidP="005629B9">
      <w:pPr>
        <w:rPr>
          <w:color w:val="000000"/>
          <w:lang w:val="en-US"/>
        </w:rPr>
      </w:pPr>
      <w:r w:rsidRPr="005629B9">
        <w:rPr>
          <w:color w:val="000000"/>
          <w:lang w:val="en-US"/>
        </w:rPr>
        <w:t>Revenue is recognised at fair value when the Department obtains control over the assets comprising the contributions which is usually when cash is received.</w:t>
      </w:r>
    </w:p>
    <w:p w:rsidR="005629B9" w:rsidRPr="005629B9" w:rsidRDefault="005629B9" w:rsidP="005629B9">
      <w:pPr>
        <w:rPr>
          <w:color w:val="000000"/>
          <w:lang w:val="en-US"/>
        </w:rPr>
      </w:pPr>
      <w:r w:rsidRPr="005629B9">
        <w:rPr>
          <w:color w:val="000000"/>
          <w:lang w:val="en-US"/>
        </w:rPr>
        <w:t>Other non-reciprocal contributions that are not contributions by owners are recognised at their fair value.  Contributions of services are only recognised when a fair value can be reliably determined and the services would be purchased if not donated.</w:t>
      </w:r>
    </w:p>
    <w:p w:rsidR="005629B9" w:rsidRPr="005629B9" w:rsidRDefault="005629B9" w:rsidP="005629B9">
      <w:pPr>
        <w:rPr>
          <w:color w:val="000000"/>
          <w:lang w:val="en-US"/>
        </w:rPr>
      </w:pPr>
      <w:r w:rsidRPr="005629B9">
        <w:rPr>
          <w:color w:val="000000"/>
          <w:lang w:val="en-US"/>
        </w:rPr>
        <w:t>Royalties for Regions funds are recognised as revenue at fair value in the period in which the Department obtains control over the funds.  The Department obtains control of the funds at the time the funds are deposited into the Department’s bank account.</w:t>
      </w:r>
    </w:p>
    <w:p w:rsidR="005629B9" w:rsidRPr="005629B9" w:rsidRDefault="005629B9" w:rsidP="0052244C">
      <w:pPr>
        <w:pStyle w:val="Heading7"/>
        <w:rPr>
          <w:color w:val="000000"/>
          <w:lang w:val="en-US"/>
        </w:rPr>
      </w:pPr>
      <w:r w:rsidRPr="005629B9">
        <w:rPr>
          <w:lang w:val="en-GB"/>
        </w:rPr>
        <w:t>Revenue</w:t>
      </w:r>
    </w:p>
    <w:p w:rsidR="005629B9" w:rsidRPr="005629B9" w:rsidRDefault="005629B9" w:rsidP="005629B9">
      <w:pPr>
        <w:rPr>
          <w:color w:val="000000"/>
          <w:lang w:val="en-US"/>
        </w:rPr>
      </w:pPr>
      <w:r w:rsidRPr="005629B9">
        <w:rPr>
          <w:color w:val="000000"/>
          <w:lang w:val="en-US"/>
        </w:rPr>
        <w:t>Gains may be realised or unrealised and are usually recognised on a net basis.  These include gains arising on the disposal of non-current assets and foreign exchange.</w:t>
      </w:r>
    </w:p>
    <w:p w:rsidR="005629B9" w:rsidRPr="0052244C" w:rsidRDefault="005629B9" w:rsidP="00AE75A9">
      <w:pPr>
        <w:pStyle w:val="Heading5"/>
        <w:numPr>
          <w:ilvl w:val="0"/>
          <w:numId w:val="77"/>
        </w:numPr>
      </w:pPr>
      <w:r w:rsidRPr="0052244C">
        <w:t>Property, plant and equipment</w:t>
      </w:r>
    </w:p>
    <w:p w:rsidR="005629B9" w:rsidRPr="005629B9" w:rsidRDefault="005629B9" w:rsidP="0052244C">
      <w:pPr>
        <w:pStyle w:val="Heading7"/>
        <w:rPr>
          <w:color w:val="000000"/>
          <w:lang w:val="en-US"/>
        </w:rPr>
      </w:pPr>
      <w:r w:rsidRPr="005629B9">
        <w:rPr>
          <w:lang w:val="en-GB"/>
        </w:rPr>
        <w:t>Capitalisation/Expensing of assets</w:t>
      </w:r>
    </w:p>
    <w:p w:rsidR="005629B9" w:rsidRPr="005629B9" w:rsidRDefault="005629B9" w:rsidP="005629B9">
      <w:pPr>
        <w:rPr>
          <w:color w:val="000000"/>
          <w:lang w:val="en-US"/>
        </w:rPr>
      </w:pPr>
      <w:r w:rsidRPr="005629B9">
        <w:rPr>
          <w:color w:val="000000"/>
          <w:lang w:val="en-US"/>
        </w:rPr>
        <w:t>Items of property, plant and equipment costing $5,000 or more are recognised as assets and the cost of utilising assets is expensed (depreciated) over their useful lives.  Items of property, plant and equipment costing less than $5,000 are immediately expensed direct to the statement of comprehensive income (other than where they form part of a group of similar items which are significant in total).</w:t>
      </w:r>
    </w:p>
    <w:p w:rsidR="005629B9" w:rsidRPr="005629B9" w:rsidRDefault="005629B9" w:rsidP="0052244C">
      <w:pPr>
        <w:pStyle w:val="Heading7"/>
        <w:rPr>
          <w:color w:val="000000"/>
          <w:lang w:val="en-US"/>
        </w:rPr>
      </w:pPr>
      <w:r w:rsidRPr="005629B9">
        <w:rPr>
          <w:lang w:val="en-GB"/>
        </w:rPr>
        <w:t>Initial recognition and measurement</w:t>
      </w:r>
    </w:p>
    <w:p w:rsidR="005629B9" w:rsidRPr="005629B9" w:rsidRDefault="005629B9" w:rsidP="005629B9">
      <w:pPr>
        <w:rPr>
          <w:color w:val="000000"/>
          <w:lang w:val="en-US"/>
        </w:rPr>
      </w:pPr>
      <w:r w:rsidRPr="005629B9">
        <w:rPr>
          <w:color w:val="000000"/>
          <w:lang w:val="en-US"/>
        </w:rPr>
        <w:t>All items of property, plant and equipment are initially recognised at cost.</w:t>
      </w:r>
    </w:p>
    <w:p w:rsidR="005629B9" w:rsidRPr="005629B9" w:rsidRDefault="005629B9" w:rsidP="005629B9">
      <w:pPr>
        <w:rPr>
          <w:color w:val="000000"/>
          <w:lang w:val="en-US"/>
        </w:rPr>
      </w:pPr>
      <w:r w:rsidRPr="005629B9">
        <w:rPr>
          <w:color w:val="000000"/>
          <w:lang w:val="en-US"/>
        </w:rPr>
        <w:t>For items of property, plant and equipment acquired at no cost or for nominal consideration, the cost is their fair value at the date of acquisition.</w:t>
      </w:r>
    </w:p>
    <w:p w:rsidR="005629B9" w:rsidRPr="005629B9" w:rsidRDefault="005629B9" w:rsidP="005629B9">
      <w:pPr>
        <w:rPr>
          <w:color w:val="000000"/>
          <w:lang w:val="en-US"/>
        </w:rPr>
      </w:pPr>
      <w:r w:rsidRPr="005629B9">
        <w:rPr>
          <w:color w:val="000075"/>
          <w:lang w:val="en-GB"/>
        </w:rPr>
        <w:t>Subsequent measurement</w:t>
      </w:r>
    </w:p>
    <w:p w:rsidR="005629B9" w:rsidRPr="005629B9" w:rsidRDefault="005629B9" w:rsidP="005629B9">
      <w:pPr>
        <w:rPr>
          <w:color w:val="000000"/>
          <w:lang w:val="en-US"/>
        </w:rPr>
      </w:pPr>
      <w:r w:rsidRPr="005629B9">
        <w:rPr>
          <w:color w:val="000000"/>
          <w:lang w:val="en-US"/>
        </w:rPr>
        <w:t>The Department does not hold land, buildings or infrastructure assets.  As such, items of property, plant and equipment are carried at historical cost less accumulated depreciation and accumulated impairment losses.</w:t>
      </w:r>
    </w:p>
    <w:p w:rsidR="005629B9" w:rsidRPr="005629B9" w:rsidRDefault="005629B9" w:rsidP="0052244C">
      <w:pPr>
        <w:pStyle w:val="Heading7"/>
        <w:rPr>
          <w:color w:val="000000"/>
          <w:lang w:val="en-US"/>
        </w:rPr>
      </w:pPr>
      <w:r w:rsidRPr="005629B9">
        <w:rPr>
          <w:lang w:val="en-GB"/>
        </w:rPr>
        <w:t>Depreciation</w:t>
      </w:r>
    </w:p>
    <w:p w:rsidR="005629B9" w:rsidRPr="005629B9" w:rsidRDefault="005629B9" w:rsidP="005629B9">
      <w:pPr>
        <w:rPr>
          <w:color w:val="000000"/>
          <w:lang w:val="en-US"/>
        </w:rPr>
      </w:pPr>
      <w:r w:rsidRPr="005629B9">
        <w:rPr>
          <w:color w:val="000000"/>
          <w:lang w:val="en-US"/>
        </w:rPr>
        <w:t>All non-current assets having a limited useful life are systematically depreciated over their estimated useful lives in a manner that reflects the consumption of their future economic benefits.</w:t>
      </w:r>
    </w:p>
    <w:p w:rsidR="005629B9" w:rsidRPr="005629B9" w:rsidRDefault="005629B9" w:rsidP="005629B9">
      <w:pPr>
        <w:rPr>
          <w:color w:val="000000"/>
          <w:lang w:val="en-US"/>
        </w:rPr>
      </w:pPr>
      <w:r w:rsidRPr="005629B9">
        <w:rPr>
          <w:color w:val="000000"/>
          <w:lang w:val="en-US"/>
        </w:rPr>
        <w:t>Depreciation is calculated using the straight line method, using rates which are reviewed annually.  Estimated useful lives for each class of depreciable asset are:</w:t>
      </w:r>
    </w:p>
    <w:p w:rsidR="005629B9" w:rsidRPr="0052244C" w:rsidRDefault="005629B9" w:rsidP="00AE75A9">
      <w:pPr>
        <w:pStyle w:val="ListParagraph"/>
        <w:numPr>
          <w:ilvl w:val="0"/>
          <w:numId w:val="80"/>
        </w:numPr>
        <w:rPr>
          <w:color w:val="000000"/>
          <w:lang w:val="en-US"/>
        </w:rPr>
      </w:pPr>
      <w:r w:rsidRPr="0052244C">
        <w:rPr>
          <w:color w:val="000000"/>
          <w:lang w:val="en-US"/>
        </w:rPr>
        <w:t>Furniture and fittings</w:t>
      </w:r>
      <w:r w:rsidRPr="0052244C">
        <w:rPr>
          <w:color w:val="000000"/>
          <w:lang w:val="en-US"/>
        </w:rPr>
        <w:tab/>
        <w:t>5 years</w:t>
      </w:r>
    </w:p>
    <w:p w:rsidR="005629B9" w:rsidRPr="0052244C" w:rsidRDefault="005629B9" w:rsidP="00AE75A9">
      <w:pPr>
        <w:pStyle w:val="ListParagraph"/>
        <w:numPr>
          <w:ilvl w:val="0"/>
          <w:numId w:val="80"/>
        </w:numPr>
        <w:rPr>
          <w:color w:val="000000"/>
          <w:lang w:val="en-US"/>
        </w:rPr>
      </w:pPr>
      <w:r w:rsidRPr="0052244C">
        <w:rPr>
          <w:color w:val="000000"/>
          <w:lang w:val="en-US"/>
        </w:rPr>
        <w:t>Plant and equipment</w:t>
      </w:r>
      <w:r w:rsidRPr="0052244C">
        <w:rPr>
          <w:color w:val="000000"/>
          <w:lang w:val="en-US"/>
        </w:rPr>
        <w:tab/>
        <w:t>5 - 10 years</w:t>
      </w:r>
    </w:p>
    <w:p w:rsidR="005629B9" w:rsidRPr="0052244C" w:rsidRDefault="005629B9" w:rsidP="00AE75A9">
      <w:pPr>
        <w:pStyle w:val="ListParagraph"/>
        <w:numPr>
          <w:ilvl w:val="0"/>
          <w:numId w:val="80"/>
        </w:numPr>
        <w:rPr>
          <w:color w:val="000000"/>
          <w:lang w:val="en-US"/>
        </w:rPr>
      </w:pPr>
      <w:r w:rsidRPr="0052244C">
        <w:rPr>
          <w:color w:val="000000"/>
          <w:lang w:val="en-US"/>
        </w:rPr>
        <w:t>Computer hardware</w:t>
      </w:r>
      <w:r w:rsidRPr="0052244C">
        <w:rPr>
          <w:color w:val="000000"/>
          <w:lang w:val="en-US"/>
        </w:rPr>
        <w:tab/>
      </w:r>
      <w:r w:rsidR="0052244C">
        <w:rPr>
          <w:color w:val="000000"/>
          <w:lang w:val="en-US"/>
        </w:rPr>
        <w:t>`</w:t>
      </w:r>
      <w:r w:rsidR="0052244C">
        <w:rPr>
          <w:color w:val="000000"/>
          <w:lang w:val="en-US"/>
        </w:rPr>
        <w:tab/>
      </w:r>
      <w:r w:rsidRPr="0052244C">
        <w:rPr>
          <w:color w:val="000000"/>
          <w:lang w:val="en-US"/>
        </w:rPr>
        <w:t>3 years</w:t>
      </w:r>
    </w:p>
    <w:p w:rsidR="005629B9" w:rsidRPr="0052244C" w:rsidRDefault="005629B9" w:rsidP="00AE75A9">
      <w:pPr>
        <w:pStyle w:val="ListParagraph"/>
        <w:numPr>
          <w:ilvl w:val="0"/>
          <w:numId w:val="80"/>
        </w:numPr>
        <w:rPr>
          <w:color w:val="000000"/>
          <w:lang w:val="en-US"/>
        </w:rPr>
      </w:pPr>
      <w:r w:rsidRPr="0052244C">
        <w:rPr>
          <w:color w:val="000000"/>
          <w:lang w:val="en-US"/>
        </w:rPr>
        <w:t xml:space="preserve">Office establishment </w:t>
      </w:r>
      <w:r w:rsidRPr="0052244C">
        <w:rPr>
          <w:color w:val="000000"/>
          <w:lang w:val="en-US"/>
        </w:rPr>
        <w:tab/>
        <w:t>4 to 10 years</w:t>
      </w:r>
    </w:p>
    <w:p w:rsidR="005629B9" w:rsidRPr="00B43DE2" w:rsidRDefault="005629B9" w:rsidP="00AE75A9">
      <w:pPr>
        <w:pStyle w:val="Heading5"/>
        <w:numPr>
          <w:ilvl w:val="0"/>
          <w:numId w:val="77"/>
        </w:numPr>
      </w:pPr>
      <w:r w:rsidRPr="00B43DE2">
        <w:t>Intangible assets</w:t>
      </w:r>
    </w:p>
    <w:p w:rsidR="005629B9" w:rsidRPr="005629B9" w:rsidRDefault="005629B9" w:rsidP="00B43DE2">
      <w:pPr>
        <w:pStyle w:val="Heading7"/>
        <w:rPr>
          <w:color w:val="000000"/>
          <w:lang w:val="en-US"/>
        </w:rPr>
      </w:pPr>
      <w:r w:rsidRPr="005629B9">
        <w:rPr>
          <w:lang w:val="en-GB"/>
        </w:rPr>
        <w:t>Capitalisation/Expensing of assets</w:t>
      </w:r>
    </w:p>
    <w:p w:rsidR="005629B9" w:rsidRPr="005629B9" w:rsidRDefault="005629B9" w:rsidP="005629B9">
      <w:pPr>
        <w:rPr>
          <w:color w:val="000000"/>
          <w:lang w:val="en-US"/>
        </w:rPr>
      </w:pPr>
      <w:r w:rsidRPr="005629B9">
        <w:rPr>
          <w:color w:val="000000"/>
          <w:lang w:val="en-US"/>
        </w:rPr>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the statement of comprehensive income.</w:t>
      </w:r>
    </w:p>
    <w:p w:rsidR="005629B9" w:rsidRPr="005629B9" w:rsidRDefault="005629B9" w:rsidP="005629B9">
      <w:pPr>
        <w:rPr>
          <w:color w:val="000000"/>
          <w:lang w:val="en-US"/>
        </w:rPr>
      </w:pPr>
      <w:r w:rsidRPr="005629B9">
        <w:rPr>
          <w:color w:val="000000"/>
          <w:lang w:val="en-US"/>
        </w:rPr>
        <w:t>Intangible assets are initially recognised at cost.  For assets acquired at no cost or for nominal cost, the cost is their fair value at the date of acquisition.</w:t>
      </w:r>
    </w:p>
    <w:p w:rsidR="005629B9" w:rsidRPr="005629B9" w:rsidRDefault="005629B9" w:rsidP="005629B9">
      <w:pPr>
        <w:rPr>
          <w:color w:val="000000"/>
          <w:lang w:val="en-US"/>
        </w:rPr>
      </w:pPr>
      <w:r w:rsidRPr="005629B9">
        <w:rPr>
          <w:color w:val="000000"/>
          <w:lang w:val="en-US"/>
        </w:rPr>
        <w:t>The cost model is applied for subsequent measurement requiring the asset to be carried at cost less any accumulated amortisation and accumulated impairment losses.</w:t>
      </w:r>
    </w:p>
    <w:p w:rsidR="005629B9" w:rsidRPr="005629B9" w:rsidRDefault="005629B9" w:rsidP="005629B9">
      <w:pPr>
        <w:rPr>
          <w:color w:val="000000"/>
          <w:lang w:val="en-US"/>
        </w:rPr>
      </w:pPr>
      <w:r w:rsidRPr="005629B9">
        <w:rPr>
          <w:color w:val="000000"/>
          <w:lang w:val="en-US"/>
        </w:rPr>
        <w:t>Amortisation for intangible assets with finite useful lives is calculated for the period of the expected benefit (estimated useful life) on the straight line basis using rates which are reviewed annually.  All intangible assets controlled by the Department have a finite useful life and zero residual value.  The expected useful lives for each class of intangible asset are:</w:t>
      </w:r>
    </w:p>
    <w:p w:rsidR="005629B9" w:rsidRPr="00B43DE2" w:rsidRDefault="005629B9" w:rsidP="00AE75A9">
      <w:pPr>
        <w:pStyle w:val="ListParagraph"/>
        <w:numPr>
          <w:ilvl w:val="0"/>
          <w:numId w:val="81"/>
        </w:numPr>
        <w:rPr>
          <w:color w:val="000000"/>
          <w:lang w:val="en-US"/>
        </w:rPr>
      </w:pPr>
      <w:r w:rsidRPr="00B43DE2">
        <w:rPr>
          <w:color w:val="000000"/>
          <w:lang w:val="en-US"/>
        </w:rPr>
        <w:t>Software</w:t>
      </w:r>
      <w:r w:rsidRPr="00B43DE2">
        <w:rPr>
          <w:color w:val="000000"/>
          <w:lang w:val="en-US"/>
        </w:rPr>
        <w:tab/>
        <w:t xml:space="preserve"> </w:t>
      </w:r>
      <w:r w:rsidRPr="00B43DE2">
        <w:rPr>
          <w:color w:val="000000"/>
          <w:lang w:val="en-US"/>
        </w:rPr>
        <w:tab/>
        <w:t>3 years</w:t>
      </w:r>
    </w:p>
    <w:p w:rsidR="005629B9" w:rsidRPr="005629B9" w:rsidRDefault="005629B9" w:rsidP="00B43DE2">
      <w:pPr>
        <w:pStyle w:val="Heading7"/>
        <w:rPr>
          <w:color w:val="000000"/>
          <w:lang w:val="en-US"/>
        </w:rPr>
      </w:pPr>
      <w:r w:rsidRPr="005629B9">
        <w:rPr>
          <w:lang w:val="en-GB"/>
        </w:rPr>
        <w:t>Computer software</w:t>
      </w:r>
    </w:p>
    <w:p w:rsidR="005629B9" w:rsidRPr="005629B9" w:rsidRDefault="005629B9" w:rsidP="005629B9">
      <w:pPr>
        <w:rPr>
          <w:color w:val="000000"/>
          <w:lang w:val="en-US"/>
        </w:rPr>
      </w:pPr>
      <w:r w:rsidRPr="005629B9">
        <w:rPr>
          <w:color w:val="000000"/>
          <w:lang w:val="en-US"/>
        </w:rPr>
        <w:t>Software that is an integral part of the related hardware is treated as property, plant and equipment.  Software that is not an integral part of the related hardware is treated as an intangible asset.  Software costing less than $5,000 is expensed in the year of acquisition.</w:t>
      </w:r>
    </w:p>
    <w:p w:rsidR="005629B9" w:rsidRPr="005629B9" w:rsidRDefault="005629B9" w:rsidP="00B43DE2">
      <w:pPr>
        <w:pStyle w:val="Heading7"/>
        <w:rPr>
          <w:color w:val="000000"/>
          <w:lang w:val="en-US"/>
        </w:rPr>
      </w:pPr>
      <w:r w:rsidRPr="005629B9">
        <w:rPr>
          <w:lang w:val="en-GB"/>
        </w:rPr>
        <w:t>Website costs</w:t>
      </w:r>
    </w:p>
    <w:p w:rsidR="005629B9" w:rsidRPr="005629B9" w:rsidRDefault="005629B9" w:rsidP="005629B9">
      <w:pPr>
        <w:rPr>
          <w:color w:val="000000"/>
          <w:lang w:val="en-US"/>
        </w:rPr>
      </w:pPr>
      <w:r w:rsidRPr="005629B9">
        <w:rPr>
          <w:color w:val="000000"/>
          <w:lang w:val="en-US"/>
        </w:rPr>
        <w:t>Web site costs are charged as expenses when they are incurred unless they relate to the acquisition or development of an asset when they may be capitalised and amortised.  Generally, costs in relation to feasibility studies during the planning phase of a web site, and ongoing costs of maintenance during the operating phase are expensed.  Costs incurred in building or enhancing a website that can be reliably measured, are capitalised to the extent that they represent probable future economic benefits.</w:t>
      </w:r>
    </w:p>
    <w:p w:rsidR="005629B9" w:rsidRPr="00B43DE2" w:rsidRDefault="005629B9" w:rsidP="00AE75A9">
      <w:pPr>
        <w:pStyle w:val="Heading5"/>
        <w:numPr>
          <w:ilvl w:val="0"/>
          <w:numId w:val="77"/>
        </w:numPr>
      </w:pPr>
      <w:r w:rsidRPr="00B43DE2">
        <w:t>Impairment of assets</w:t>
      </w:r>
    </w:p>
    <w:p w:rsidR="005629B9" w:rsidRPr="005629B9" w:rsidRDefault="005629B9" w:rsidP="005629B9">
      <w:pPr>
        <w:rPr>
          <w:color w:val="000000"/>
          <w:lang w:val="en-US"/>
        </w:rPr>
      </w:pPr>
      <w:r w:rsidRPr="005629B9">
        <w:rPr>
          <w:color w:val="000000"/>
          <w:lang w:val="en-US"/>
        </w:rPr>
        <w:t>Property, plant and equipment and intangible assets are tested for any indication of impairment at each balance sheet date.  Where there is an indication of impairment, the recoverable amount is estimated.  Where the recoverable amount is less than the carrying amount, the asset is considered impaired and is written down to the recoverable amount and an impairment loss is recognised.  Where an asset measured at cost is written down to recoverable amount, an impairment loss is recognised in profit or loss.  Where a previously revalued asset is written down to recoverable amount, the loss is recognised as a revaluation decrement in other comprehensive income.  As the Department is a not-for-profit entity, unless an asset has been identified as a surplus asset, the recoverable amount is the higher of an asset’s fair value less costs to sell and depreciated replacement cost.</w:t>
      </w:r>
    </w:p>
    <w:p w:rsidR="005629B9" w:rsidRPr="005629B9" w:rsidRDefault="005629B9" w:rsidP="005629B9">
      <w:pPr>
        <w:rPr>
          <w:color w:val="000000"/>
          <w:lang w:val="en-US"/>
        </w:rPr>
      </w:pPr>
      <w:r w:rsidRPr="005629B9">
        <w:rPr>
          <w:color w:val="000000"/>
          <w:lang w:val="en-US"/>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asset’s future economic benefits and to evaluate any impairment risk from falling replacement costs.</w:t>
      </w:r>
    </w:p>
    <w:p w:rsidR="005629B9" w:rsidRPr="005629B9" w:rsidRDefault="005629B9" w:rsidP="005629B9">
      <w:pPr>
        <w:rPr>
          <w:color w:val="000000"/>
          <w:lang w:val="en-US"/>
        </w:rPr>
      </w:pPr>
      <w:r w:rsidRPr="005629B9">
        <w:rPr>
          <w:color w:val="000000"/>
          <w:lang w:val="en-US"/>
        </w:rPr>
        <w:t>Intangible assets with an indefinite useful life and intangible assets not yet available for use are tested for impairment at the end of each reporting period irrespective of whether there is any indication of impairment.</w:t>
      </w:r>
    </w:p>
    <w:p w:rsidR="005629B9" w:rsidRPr="005629B9" w:rsidRDefault="005629B9" w:rsidP="005629B9">
      <w:pPr>
        <w:rPr>
          <w:color w:val="000000"/>
          <w:lang w:val="en-US"/>
        </w:rPr>
      </w:pPr>
      <w:r w:rsidRPr="005629B9">
        <w:rPr>
          <w:color w:val="000000"/>
          <w:lang w:val="en-US"/>
        </w:rPr>
        <w:t>The Department does not have any intangible assets with an indefinite life.</w:t>
      </w:r>
    </w:p>
    <w:p w:rsidR="005629B9" w:rsidRPr="005629B9" w:rsidRDefault="005629B9" w:rsidP="005629B9">
      <w:pPr>
        <w:rPr>
          <w:color w:val="000000"/>
          <w:lang w:val="en-US"/>
        </w:rPr>
      </w:pPr>
      <w:r w:rsidRPr="005629B9">
        <w:rPr>
          <w:color w:val="000000"/>
          <w:lang w:val="en-US"/>
        </w:rPr>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Where fair value is determined by reference to depreciated replacement cost, surplus assets are at risk of impairment and the recoverable amount is measured.  Surplus assets at cost are tested for indications of impairment at the end of each reporting period.</w:t>
      </w:r>
    </w:p>
    <w:p w:rsidR="005629B9" w:rsidRPr="005629B9" w:rsidRDefault="005629B9" w:rsidP="005629B9">
      <w:pPr>
        <w:rPr>
          <w:color w:val="000000"/>
          <w:lang w:val="en-US"/>
        </w:rPr>
      </w:pPr>
      <w:r w:rsidRPr="005629B9">
        <w:rPr>
          <w:color w:val="000000"/>
          <w:lang w:val="en-US"/>
        </w:rPr>
        <w:t>See note 22 ‘Impairment of assets’ for the outcome of impairment reviews and testing.</w:t>
      </w:r>
    </w:p>
    <w:p w:rsidR="005629B9" w:rsidRPr="005629B9" w:rsidRDefault="005629B9" w:rsidP="005629B9">
      <w:pPr>
        <w:rPr>
          <w:color w:val="000000"/>
          <w:lang w:val="en-US"/>
        </w:rPr>
      </w:pPr>
      <w:r w:rsidRPr="005629B9">
        <w:rPr>
          <w:color w:val="000000"/>
          <w:lang w:val="en-US"/>
        </w:rPr>
        <w:t>See note 2(o) ‘Receivables’ and note 18 ‘Receivables’ for impairment of receivables.</w:t>
      </w:r>
    </w:p>
    <w:p w:rsidR="005629B9" w:rsidRPr="00B43DE2" w:rsidRDefault="005629B9" w:rsidP="00AE75A9">
      <w:pPr>
        <w:pStyle w:val="Heading5"/>
        <w:numPr>
          <w:ilvl w:val="0"/>
          <w:numId w:val="77"/>
        </w:numPr>
      </w:pPr>
      <w:r w:rsidRPr="00B43DE2">
        <w:t>Leases</w:t>
      </w:r>
    </w:p>
    <w:p w:rsidR="005629B9" w:rsidRPr="005629B9" w:rsidRDefault="005629B9" w:rsidP="005629B9">
      <w:pPr>
        <w:rPr>
          <w:color w:val="000000"/>
          <w:lang w:val="en-US"/>
        </w:rPr>
      </w:pPr>
      <w:r w:rsidRPr="005629B9">
        <w:rPr>
          <w:color w:val="000000"/>
          <w:lang w:val="en-US"/>
        </w:rPr>
        <w:t>The Department has entered into a number of operating lease arrangements for the rent of the aircraft, office buildings and motor vehicles where the lessor effectively retains all of the risks and benefits incidental to ownership of the items held under the operating leases.  Equal instalments of the lease payments are charged to the Income Statement over the lease term as this is representative of the pattern of benefits to be derived from the leased property.</w:t>
      </w:r>
    </w:p>
    <w:p w:rsidR="005629B9" w:rsidRPr="00B43DE2" w:rsidRDefault="005629B9" w:rsidP="00AE75A9">
      <w:pPr>
        <w:pStyle w:val="Heading5"/>
        <w:numPr>
          <w:ilvl w:val="0"/>
          <w:numId w:val="77"/>
        </w:numPr>
      </w:pPr>
      <w:r w:rsidRPr="00B43DE2">
        <w:t>Financial instruments</w:t>
      </w:r>
    </w:p>
    <w:p w:rsidR="005629B9" w:rsidRPr="005629B9" w:rsidRDefault="005629B9" w:rsidP="005629B9">
      <w:pPr>
        <w:rPr>
          <w:color w:val="000000"/>
          <w:lang w:val="en-US"/>
        </w:rPr>
      </w:pPr>
      <w:r w:rsidRPr="005629B9">
        <w:rPr>
          <w:color w:val="000000"/>
          <w:lang w:val="en-US"/>
        </w:rPr>
        <w:t>In addition to cash, the Department has two categories of financial instrument:</w:t>
      </w:r>
    </w:p>
    <w:p w:rsidR="005629B9" w:rsidRPr="00B43DE2" w:rsidRDefault="005629B9" w:rsidP="00AE75A9">
      <w:pPr>
        <w:pStyle w:val="ListParagraph"/>
        <w:numPr>
          <w:ilvl w:val="0"/>
          <w:numId w:val="82"/>
        </w:numPr>
        <w:rPr>
          <w:color w:val="000000"/>
          <w:lang w:val="en-US"/>
        </w:rPr>
      </w:pPr>
      <w:r w:rsidRPr="00B43DE2">
        <w:rPr>
          <w:color w:val="000000"/>
          <w:lang w:val="en-US"/>
        </w:rPr>
        <w:t>Receivables;  and</w:t>
      </w:r>
    </w:p>
    <w:p w:rsidR="005629B9" w:rsidRPr="00B43DE2" w:rsidRDefault="005629B9" w:rsidP="00AE75A9">
      <w:pPr>
        <w:pStyle w:val="ListParagraph"/>
        <w:numPr>
          <w:ilvl w:val="0"/>
          <w:numId w:val="82"/>
        </w:numPr>
        <w:rPr>
          <w:color w:val="000000"/>
          <w:lang w:val="en-US"/>
        </w:rPr>
      </w:pPr>
      <w:r w:rsidRPr="00B43DE2">
        <w:rPr>
          <w:color w:val="000000"/>
          <w:lang w:val="en-US"/>
        </w:rPr>
        <w:t>Financial Liabilities measured at amortised cost</w:t>
      </w:r>
    </w:p>
    <w:p w:rsidR="005629B9" w:rsidRPr="005629B9" w:rsidRDefault="005629B9" w:rsidP="005629B9">
      <w:pPr>
        <w:rPr>
          <w:color w:val="000000"/>
          <w:lang w:val="en-US"/>
        </w:rPr>
      </w:pPr>
      <w:r w:rsidRPr="005629B9">
        <w:rPr>
          <w:color w:val="000000"/>
          <w:lang w:val="en-US"/>
        </w:rPr>
        <w:t>Financial Instruments have been disaggregated into the following classes:</w:t>
      </w:r>
    </w:p>
    <w:p w:rsidR="005629B9" w:rsidRPr="00B43DE2" w:rsidRDefault="005629B9" w:rsidP="00AE75A9">
      <w:pPr>
        <w:pStyle w:val="ListParagraph"/>
        <w:numPr>
          <w:ilvl w:val="0"/>
          <w:numId w:val="83"/>
        </w:numPr>
        <w:rPr>
          <w:color w:val="000000"/>
          <w:lang w:val="en-US"/>
        </w:rPr>
      </w:pPr>
      <w:r w:rsidRPr="00B43DE2">
        <w:rPr>
          <w:color w:val="000000"/>
          <w:lang w:val="en-US"/>
        </w:rPr>
        <w:t>Financial Assets</w:t>
      </w:r>
    </w:p>
    <w:p w:rsidR="005629B9" w:rsidRPr="00B43DE2" w:rsidRDefault="005629B9" w:rsidP="00AE75A9">
      <w:pPr>
        <w:pStyle w:val="ListParagraph"/>
        <w:numPr>
          <w:ilvl w:val="0"/>
          <w:numId w:val="86"/>
        </w:numPr>
        <w:rPr>
          <w:color w:val="000000"/>
          <w:lang w:val="en-US"/>
        </w:rPr>
      </w:pPr>
      <w:r w:rsidRPr="00B43DE2">
        <w:rPr>
          <w:color w:val="000000"/>
          <w:lang w:val="en-US"/>
        </w:rPr>
        <w:t>Cash and cash equivalents</w:t>
      </w:r>
    </w:p>
    <w:p w:rsidR="005629B9" w:rsidRPr="00B43DE2" w:rsidRDefault="005629B9" w:rsidP="00AE75A9">
      <w:pPr>
        <w:pStyle w:val="ListParagraph"/>
        <w:numPr>
          <w:ilvl w:val="0"/>
          <w:numId w:val="86"/>
        </w:numPr>
        <w:rPr>
          <w:color w:val="000000"/>
          <w:lang w:val="en-US"/>
        </w:rPr>
      </w:pPr>
      <w:r w:rsidRPr="00B43DE2">
        <w:rPr>
          <w:color w:val="000000"/>
          <w:lang w:val="en-US"/>
        </w:rPr>
        <w:t>Restricted cash and cash equivalents</w:t>
      </w:r>
    </w:p>
    <w:p w:rsidR="005629B9" w:rsidRPr="00B43DE2" w:rsidRDefault="005629B9" w:rsidP="00AE75A9">
      <w:pPr>
        <w:pStyle w:val="ListParagraph"/>
        <w:numPr>
          <w:ilvl w:val="0"/>
          <w:numId w:val="86"/>
        </w:numPr>
        <w:rPr>
          <w:color w:val="000000"/>
          <w:lang w:val="en-US"/>
        </w:rPr>
      </w:pPr>
      <w:r w:rsidRPr="00B43DE2">
        <w:rPr>
          <w:color w:val="000000"/>
          <w:lang w:val="en-US"/>
        </w:rPr>
        <w:t>Receivables</w:t>
      </w:r>
    </w:p>
    <w:p w:rsidR="005629B9" w:rsidRPr="00B43DE2" w:rsidRDefault="005629B9" w:rsidP="00AE75A9">
      <w:pPr>
        <w:pStyle w:val="ListParagraph"/>
        <w:numPr>
          <w:ilvl w:val="0"/>
          <w:numId w:val="86"/>
        </w:numPr>
        <w:rPr>
          <w:color w:val="000000"/>
          <w:lang w:val="en-US"/>
        </w:rPr>
      </w:pPr>
      <w:r w:rsidRPr="00B43DE2">
        <w:rPr>
          <w:color w:val="000000"/>
          <w:lang w:val="en-US"/>
        </w:rPr>
        <w:t>Amount Receivable for services</w:t>
      </w:r>
    </w:p>
    <w:p w:rsidR="005629B9" w:rsidRPr="00B43DE2" w:rsidRDefault="005629B9" w:rsidP="00AE75A9">
      <w:pPr>
        <w:pStyle w:val="ListParagraph"/>
        <w:numPr>
          <w:ilvl w:val="0"/>
          <w:numId w:val="83"/>
        </w:numPr>
        <w:rPr>
          <w:color w:val="000000"/>
          <w:lang w:val="en-US"/>
        </w:rPr>
      </w:pPr>
      <w:r w:rsidRPr="00B43DE2">
        <w:rPr>
          <w:color w:val="000000"/>
          <w:lang w:val="en-US"/>
        </w:rPr>
        <w:t>Financial Liabilities</w:t>
      </w:r>
    </w:p>
    <w:p w:rsidR="005629B9" w:rsidRPr="00B43DE2" w:rsidRDefault="005629B9" w:rsidP="00AE75A9">
      <w:pPr>
        <w:pStyle w:val="ListParagraph"/>
        <w:numPr>
          <w:ilvl w:val="0"/>
          <w:numId w:val="85"/>
        </w:numPr>
        <w:rPr>
          <w:color w:val="000000"/>
          <w:lang w:val="en-US"/>
        </w:rPr>
      </w:pPr>
      <w:r w:rsidRPr="00B43DE2">
        <w:rPr>
          <w:color w:val="000000"/>
          <w:lang w:val="en-US"/>
        </w:rPr>
        <w:t>Payables</w:t>
      </w:r>
    </w:p>
    <w:p w:rsidR="005629B9" w:rsidRPr="00B43DE2" w:rsidRDefault="005629B9" w:rsidP="00AE75A9">
      <w:pPr>
        <w:pStyle w:val="ListParagraph"/>
        <w:numPr>
          <w:ilvl w:val="0"/>
          <w:numId w:val="84"/>
        </w:numPr>
        <w:rPr>
          <w:color w:val="000000"/>
          <w:lang w:val="en-US"/>
        </w:rPr>
      </w:pPr>
      <w:r w:rsidRPr="00B43DE2">
        <w:rPr>
          <w:color w:val="000000"/>
          <w:lang w:val="en-US"/>
        </w:rPr>
        <w:t>Other liabilities</w:t>
      </w:r>
    </w:p>
    <w:p w:rsidR="005629B9" w:rsidRPr="00B43DE2" w:rsidRDefault="005629B9" w:rsidP="00AE75A9">
      <w:pPr>
        <w:pStyle w:val="ListParagraph"/>
        <w:numPr>
          <w:ilvl w:val="0"/>
          <w:numId w:val="84"/>
        </w:numPr>
        <w:rPr>
          <w:color w:val="000000"/>
          <w:lang w:val="en-US"/>
        </w:rPr>
      </w:pPr>
      <w:r w:rsidRPr="00B43DE2">
        <w:rPr>
          <w:color w:val="000000"/>
          <w:lang w:val="en-US"/>
        </w:rPr>
        <w:t>Other liabilities – Derivatives</w:t>
      </w:r>
    </w:p>
    <w:p w:rsidR="005629B9" w:rsidRPr="005629B9" w:rsidRDefault="005629B9" w:rsidP="005629B9">
      <w:pPr>
        <w:rPr>
          <w:color w:val="000000"/>
          <w:lang w:val="en-US"/>
        </w:rPr>
      </w:pPr>
      <w:r w:rsidRPr="005629B9">
        <w:rPr>
          <w:color w:val="000000"/>
          <w:lang w:val="en-US"/>
        </w:rPr>
        <w:t>Initial recognition and measurement of financial instrument is at fair value which normally equates to the transaction cost or the face value.  Subsequent measurement is at amortised cost using the effective interest method.</w:t>
      </w:r>
    </w:p>
    <w:p w:rsidR="005629B9" w:rsidRPr="005629B9" w:rsidRDefault="005629B9" w:rsidP="005629B9">
      <w:pPr>
        <w:rPr>
          <w:color w:val="000000"/>
          <w:lang w:val="en-US"/>
        </w:rPr>
      </w:pPr>
      <w:r w:rsidRPr="005629B9">
        <w:rPr>
          <w:color w:val="000000"/>
          <w:lang w:val="en-US"/>
        </w:rPr>
        <w:t>The fair value of short-term receivables and payables is the transaction cost or the face value because there is no interest applicable and subsequent measure is not required as the effect of discounting is not material.</w:t>
      </w:r>
    </w:p>
    <w:p w:rsidR="005629B9" w:rsidRPr="005629B9" w:rsidRDefault="005629B9" w:rsidP="005629B9">
      <w:pPr>
        <w:rPr>
          <w:color w:val="000000"/>
          <w:lang w:val="en-US"/>
        </w:rPr>
      </w:pPr>
      <w:r w:rsidRPr="005629B9">
        <w:rPr>
          <w:color w:val="000000"/>
          <w:lang w:val="en-US"/>
        </w:rPr>
        <w:t>The Department enters into derivative financial instruments to manage its exposure to foreign exchange rate risk, by way of foreign exchange forward contracts.  Further details of derivative financial instruments are disclosed in note 36 to the financial statements.</w:t>
      </w:r>
    </w:p>
    <w:p w:rsidR="005629B9" w:rsidRPr="005629B9" w:rsidRDefault="005629B9" w:rsidP="005629B9">
      <w:pPr>
        <w:rPr>
          <w:color w:val="000000"/>
          <w:lang w:val="en-US"/>
        </w:rPr>
      </w:pPr>
      <w:r w:rsidRPr="005629B9">
        <w:rPr>
          <w:color w:val="000000"/>
          <w:lang w:val="en-US"/>
        </w:rPr>
        <w:t>Derivatives are initially recognised at fair value at the date a derivative contract is entered into and are subsequently remeasured to their fair value at each reporting date.  The resulting gain or loss is recognised in profit or loss immediately unless the derivative is designated and effective as a hedging instrument, in which event, the timing of the recognition in profit or loss depends on the nature of the hedge relationship.  The Department designates certain derivatives as either hedges of the fair value of recognised assets or liabilities or firm commitments (fair value hedges), hedges of highly probable forecast transactions or hedges of foreign currency risk of firm commitments (cash flow hedges), or hedges of net investments in foreign operations.</w:t>
      </w:r>
    </w:p>
    <w:p w:rsidR="005629B9" w:rsidRPr="005629B9" w:rsidRDefault="005629B9" w:rsidP="005629B9">
      <w:pPr>
        <w:rPr>
          <w:color w:val="000000"/>
          <w:lang w:val="en-US"/>
        </w:rPr>
      </w:pPr>
      <w:r w:rsidRPr="005629B9">
        <w:rPr>
          <w:color w:val="000000"/>
          <w:lang w:val="en-US"/>
        </w:rPr>
        <w:t xml:space="preserve">The fair value of hedging derivatives is classified as a non-current asset or a non-current liability if the remaining maturity </w:t>
      </w:r>
      <w:r w:rsidRPr="005629B9">
        <w:rPr>
          <w:color w:val="000000"/>
          <w:lang w:val="en-US"/>
        </w:rPr>
        <w:br/>
        <w:t xml:space="preserve">of the hedge relationship is more than </w:t>
      </w:r>
      <w:r w:rsidRPr="005629B9">
        <w:rPr>
          <w:color w:val="000000"/>
          <w:lang w:val="en-US"/>
        </w:rPr>
        <w:br/>
        <w:t>12 months and as a current asset or a current liability if the remaining maturity of the hedge relationship is less than 12 months.</w:t>
      </w:r>
    </w:p>
    <w:p w:rsidR="005629B9" w:rsidRPr="005629B9" w:rsidRDefault="005629B9" w:rsidP="005629B9">
      <w:pPr>
        <w:rPr>
          <w:color w:val="000000"/>
          <w:lang w:val="en-US"/>
        </w:rPr>
      </w:pPr>
      <w:r w:rsidRPr="005629B9">
        <w:rPr>
          <w:color w:val="000000"/>
          <w:lang w:val="en-US"/>
        </w:rPr>
        <w:t>Derivatives not designated into an effective hedge relationship are classified as a current asset or a current liability.</w:t>
      </w:r>
    </w:p>
    <w:p w:rsidR="005629B9" w:rsidRPr="005629B9" w:rsidRDefault="005629B9" w:rsidP="00B43DE2">
      <w:pPr>
        <w:pStyle w:val="Heading7"/>
        <w:rPr>
          <w:color w:val="000000"/>
          <w:lang w:val="en-US"/>
        </w:rPr>
      </w:pPr>
      <w:r w:rsidRPr="005629B9">
        <w:rPr>
          <w:lang w:val="en-GB"/>
        </w:rPr>
        <w:t>Hedge accounting</w:t>
      </w:r>
    </w:p>
    <w:p w:rsidR="005629B9" w:rsidRPr="005629B9" w:rsidRDefault="005629B9" w:rsidP="005629B9">
      <w:pPr>
        <w:rPr>
          <w:color w:val="000000"/>
          <w:lang w:val="en-US"/>
        </w:rPr>
      </w:pPr>
      <w:r w:rsidRPr="005629B9">
        <w:rPr>
          <w:color w:val="000000"/>
          <w:lang w:val="en-US"/>
        </w:rPr>
        <w:t>The Department designates certain hedging instruments, which include derivatives, embedded derivatives and non-derivatives in respect of foreign currency risk, as either fair value hedges, cash flow hedges, or hedges of net investments in foreign operations.</w:t>
      </w:r>
    </w:p>
    <w:p w:rsidR="005629B9" w:rsidRPr="005629B9" w:rsidRDefault="005629B9" w:rsidP="005629B9">
      <w:pPr>
        <w:rPr>
          <w:color w:val="000000"/>
          <w:lang w:val="en-US"/>
        </w:rPr>
      </w:pPr>
      <w:r w:rsidRPr="005629B9">
        <w:rPr>
          <w:color w:val="000000"/>
          <w:lang w:val="en-US"/>
        </w:rPr>
        <w:t>Hedges of foreign exchange risk on firm commitments and highly probable forecast transactions are accounted for as cash flow hedges.  At the inception of the hedge relationship the Department documents the relationship between the hedging instrument and hedged item, along with its risk management objectives and its strategy for undertaking various hedge transactions. Furthermore, at the inception of the hedge and on an ongoing basis, the Department documents whether the hedging instrument that is used in a hedging relationship is highly effective in offsetting changes in fair values or cash flows of the hedged item.</w:t>
      </w:r>
    </w:p>
    <w:p w:rsidR="005629B9" w:rsidRPr="005629B9" w:rsidRDefault="005629B9" w:rsidP="005629B9">
      <w:pPr>
        <w:rPr>
          <w:color w:val="000000"/>
          <w:lang w:val="en-US"/>
        </w:rPr>
      </w:pPr>
      <w:r w:rsidRPr="005629B9">
        <w:rPr>
          <w:color w:val="000000"/>
          <w:lang w:val="en-US"/>
        </w:rPr>
        <w:t>Hedge accounting is discontinued when the Department revokes the hedging relationship, the hedging instrument expires or is sold, terminated, or exercised, or no longer qualifies for hedge accounting.  Any cumulative gain or loss deferred in equity at that time remains in equity and is recognised when the forecast transaction is ultimately recognised in profit or loss.  When a forecast transaction is no longer expected to occur, the cumulative gain or loss that was deferred in equity is recognised immediately in profit or loss.</w:t>
      </w:r>
    </w:p>
    <w:p w:rsidR="005629B9" w:rsidRPr="005629B9" w:rsidRDefault="005629B9" w:rsidP="005629B9">
      <w:pPr>
        <w:rPr>
          <w:color w:val="000000"/>
          <w:lang w:val="en-US"/>
        </w:rPr>
      </w:pPr>
      <w:r w:rsidRPr="005629B9">
        <w:rPr>
          <w:color w:val="000000"/>
          <w:lang w:val="en-US"/>
        </w:rPr>
        <w:t>Note 36 contains details of the fair values of the derivative instruments used for hedging purposes.  Movements in the hedging reserve in equity are also detailed in note 26.</w:t>
      </w:r>
    </w:p>
    <w:p w:rsidR="005629B9" w:rsidRPr="00B43DE2" w:rsidRDefault="005629B9" w:rsidP="00AE75A9">
      <w:pPr>
        <w:pStyle w:val="Heading5"/>
        <w:numPr>
          <w:ilvl w:val="0"/>
          <w:numId w:val="77"/>
        </w:numPr>
      </w:pPr>
      <w:r w:rsidRPr="00B43DE2">
        <w:t>Cash and cash equivalents</w:t>
      </w:r>
    </w:p>
    <w:p w:rsidR="005629B9" w:rsidRPr="005629B9" w:rsidRDefault="005629B9" w:rsidP="005629B9">
      <w:pPr>
        <w:rPr>
          <w:color w:val="000000"/>
          <w:lang w:val="en-US"/>
        </w:rPr>
      </w:pPr>
      <w:r w:rsidRPr="005629B9">
        <w:rPr>
          <w:color w:val="000000"/>
          <w:lang w:val="en-US"/>
        </w:rPr>
        <w:t>For the purpose of the Cash Flow Statement, cash and cash equivalent includes restricted cash and cash equivalents. These are comprised of cash on hand and short-term deposits with original maturities of three months or less that are readily convertible to a known amount of cash and which are subject to insignificant risk of changes in value.</w:t>
      </w:r>
    </w:p>
    <w:p w:rsidR="005629B9" w:rsidRPr="00B43DE2" w:rsidRDefault="005629B9" w:rsidP="00AE75A9">
      <w:pPr>
        <w:pStyle w:val="ListParagraph"/>
        <w:numPr>
          <w:ilvl w:val="0"/>
          <w:numId w:val="77"/>
        </w:numPr>
        <w:rPr>
          <w:rFonts w:ascii="Arial" w:eastAsia="Segoe UI" w:hAnsi="Arial" w:cs="Arial"/>
          <w:noProof/>
          <w:color w:val="365F91" w:themeColor="accent1" w:themeShade="BF"/>
          <w:kern w:val="24"/>
          <w:sz w:val="32"/>
          <w:szCs w:val="32"/>
          <w:lang w:eastAsia="en-AU"/>
        </w:rPr>
      </w:pPr>
      <w:r w:rsidRPr="00B43DE2">
        <w:rPr>
          <w:rFonts w:ascii="Arial" w:eastAsia="Segoe UI" w:hAnsi="Arial" w:cs="Arial"/>
          <w:noProof/>
          <w:color w:val="365F91" w:themeColor="accent1" w:themeShade="BF"/>
          <w:kern w:val="24"/>
          <w:sz w:val="32"/>
          <w:szCs w:val="32"/>
          <w:lang w:eastAsia="en-AU"/>
        </w:rPr>
        <w:t>Accrued salaries</w:t>
      </w:r>
    </w:p>
    <w:p w:rsidR="005629B9" w:rsidRPr="005629B9" w:rsidRDefault="005629B9" w:rsidP="005629B9">
      <w:pPr>
        <w:rPr>
          <w:color w:val="000000"/>
          <w:lang w:val="en-US"/>
        </w:rPr>
      </w:pPr>
      <w:r w:rsidRPr="005629B9">
        <w:rPr>
          <w:color w:val="000000"/>
          <w:lang w:val="en-US"/>
        </w:rPr>
        <w:t>The accrued salaries suspense account (see note 16 ‘Restricted cash and cash equivalents’) consists of amounts paid annually into a suspense account over a period of 10 financial years to largely meet the additional cash outflow in each eleventh year when 27 pay days occur instead of the normal 26.  No interest is received on this account.</w:t>
      </w:r>
    </w:p>
    <w:p w:rsidR="005629B9" w:rsidRPr="005629B9" w:rsidRDefault="005629B9" w:rsidP="005629B9">
      <w:pPr>
        <w:rPr>
          <w:color w:val="000000"/>
          <w:lang w:val="en-US"/>
        </w:rPr>
      </w:pPr>
      <w:r w:rsidRPr="005629B9">
        <w:rPr>
          <w:color w:val="000000"/>
          <w:lang w:val="en-US"/>
        </w:rPr>
        <w:t>Accrued salaries (refer to note 23 ‘Payables’) represent the amount due to staff but unpaid at the end of the financial year, as the pay date for the last pay period for that financial year does not coincide with the end of the financial year.  Accrued salaries are settled within a fortnight of the financial year end.  The Department considers the carrying amount of accrued salaries to be equivalent to its net fair value.</w:t>
      </w:r>
    </w:p>
    <w:p w:rsidR="005629B9" w:rsidRPr="00B43DE2" w:rsidRDefault="00B43DE2" w:rsidP="00AE75A9">
      <w:pPr>
        <w:pStyle w:val="ListParagraph"/>
        <w:numPr>
          <w:ilvl w:val="0"/>
          <w:numId w:val="77"/>
        </w:numPr>
        <w:rPr>
          <w:rFonts w:ascii="Arial" w:eastAsia="Segoe UI" w:hAnsi="Arial" w:cs="Arial"/>
          <w:noProof/>
          <w:color w:val="365F91" w:themeColor="accent1" w:themeShade="BF"/>
          <w:kern w:val="24"/>
          <w:sz w:val="32"/>
          <w:szCs w:val="32"/>
          <w:lang w:eastAsia="en-AU"/>
        </w:rPr>
      </w:pPr>
      <w:r>
        <w:rPr>
          <w:rFonts w:ascii="Arial" w:eastAsia="Segoe UI" w:hAnsi="Arial" w:cs="Arial"/>
          <w:noProof/>
          <w:color w:val="365F91" w:themeColor="accent1" w:themeShade="BF"/>
          <w:kern w:val="24"/>
          <w:sz w:val="32"/>
          <w:szCs w:val="32"/>
          <w:lang w:eastAsia="en-AU"/>
        </w:rPr>
        <w:t xml:space="preserve"> </w:t>
      </w:r>
      <w:r w:rsidR="005629B9" w:rsidRPr="00B43DE2">
        <w:rPr>
          <w:rFonts w:ascii="Arial" w:eastAsia="Segoe UI" w:hAnsi="Arial" w:cs="Arial"/>
          <w:noProof/>
          <w:color w:val="365F91" w:themeColor="accent1" w:themeShade="BF"/>
          <w:kern w:val="24"/>
          <w:sz w:val="32"/>
          <w:szCs w:val="32"/>
          <w:lang w:eastAsia="en-AU"/>
        </w:rPr>
        <w:t>Amounts receivable for Services (holding account)</w:t>
      </w:r>
    </w:p>
    <w:p w:rsidR="005629B9" w:rsidRPr="005629B9" w:rsidRDefault="005629B9" w:rsidP="005629B9">
      <w:pPr>
        <w:rPr>
          <w:color w:val="000000"/>
          <w:lang w:val="en-US"/>
        </w:rPr>
      </w:pPr>
      <w:r w:rsidRPr="005629B9">
        <w:rPr>
          <w:color w:val="000000"/>
          <w:lang w:val="en-US"/>
        </w:rPr>
        <w:t>The Department receives income from the State Government partly in cash and partly as an asset (holding account receivable). The holding account receivable balance, resulting from service appropriation funding, is accessible on the emergence of the cash funding requirement to cover leave entitlements and asset replacement.</w:t>
      </w:r>
    </w:p>
    <w:p w:rsidR="005629B9" w:rsidRPr="005629B9" w:rsidRDefault="005629B9" w:rsidP="005629B9">
      <w:pPr>
        <w:rPr>
          <w:color w:val="000000"/>
          <w:lang w:val="en-US"/>
        </w:rPr>
      </w:pPr>
      <w:r w:rsidRPr="005629B9">
        <w:rPr>
          <w:color w:val="000000"/>
          <w:lang w:val="en-US"/>
        </w:rPr>
        <w:t>See also note 15 ‘Income from State Government’ and note 19 ‘Amounts receivable for services’.</w:t>
      </w:r>
    </w:p>
    <w:p w:rsidR="005629B9" w:rsidRPr="00B43DE2" w:rsidRDefault="005629B9" w:rsidP="00AE75A9">
      <w:pPr>
        <w:pStyle w:val="ListParagraph"/>
        <w:numPr>
          <w:ilvl w:val="0"/>
          <w:numId w:val="77"/>
        </w:numPr>
        <w:rPr>
          <w:rFonts w:ascii="Arial" w:eastAsia="Segoe UI" w:hAnsi="Arial" w:cs="Arial"/>
          <w:noProof/>
          <w:color w:val="365F91" w:themeColor="accent1" w:themeShade="BF"/>
          <w:kern w:val="24"/>
          <w:sz w:val="32"/>
          <w:szCs w:val="32"/>
          <w:lang w:eastAsia="en-AU"/>
        </w:rPr>
      </w:pPr>
      <w:r w:rsidRPr="00B43DE2">
        <w:rPr>
          <w:rFonts w:ascii="Arial" w:eastAsia="Segoe UI" w:hAnsi="Arial" w:cs="Arial"/>
          <w:noProof/>
          <w:color w:val="365F91" w:themeColor="accent1" w:themeShade="BF"/>
          <w:kern w:val="24"/>
          <w:sz w:val="32"/>
          <w:szCs w:val="32"/>
          <w:lang w:eastAsia="en-AU"/>
        </w:rPr>
        <w:t xml:space="preserve"> Inventories</w:t>
      </w:r>
    </w:p>
    <w:p w:rsidR="005629B9" w:rsidRPr="005629B9" w:rsidRDefault="005629B9" w:rsidP="005629B9">
      <w:pPr>
        <w:rPr>
          <w:color w:val="000000"/>
          <w:lang w:val="en-US"/>
        </w:rPr>
      </w:pPr>
      <w:r w:rsidRPr="005629B9">
        <w:rPr>
          <w:color w:val="000000"/>
          <w:lang w:val="en-US"/>
        </w:rPr>
        <w:t>Inventories are measured at the lower of cost and net realisable value.  Costs are assigned by the method most appropriate to each particular class of inventory, with the majority being valued on a first in first out basis.</w:t>
      </w:r>
    </w:p>
    <w:p w:rsidR="005629B9" w:rsidRPr="005629B9" w:rsidRDefault="005629B9" w:rsidP="005629B9">
      <w:pPr>
        <w:rPr>
          <w:color w:val="000000"/>
          <w:lang w:val="en-US"/>
        </w:rPr>
      </w:pPr>
      <w:r w:rsidRPr="005629B9">
        <w:rPr>
          <w:color w:val="000000"/>
          <w:lang w:val="en-US"/>
        </w:rPr>
        <w:t>Inventories not held for resale are valued at cost unless they are no longer required, in which case they are valued at net realisable value.</w:t>
      </w:r>
    </w:p>
    <w:p w:rsidR="001630AB" w:rsidRDefault="005629B9" w:rsidP="005629B9">
      <w:pPr>
        <w:rPr>
          <w:color w:val="000000"/>
          <w:lang w:val="en-US"/>
        </w:rPr>
      </w:pPr>
      <w:r w:rsidRPr="005629B9">
        <w:rPr>
          <w:color w:val="000000"/>
          <w:lang w:val="en-US"/>
        </w:rPr>
        <w:t>See note 17 ‘Inventories’.</w:t>
      </w:r>
    </w:p>
    <w:p w:rsidR="001630AB" w:rsidRDefault="001630AB">
      <w:pPr>
        <w:spacing w:line="276" w:lineRule="auto"/>
        <w:rPr>
          <w:color w:val="000000"/>
          <w:lang w:val="en-US"/>
        </w:rPr>
      </w:pPr>
      <w:r>
        <w:rPr>
          <w:color w:val="000000"/>
          <w:lang w:val="en-US"/>
        </w:rPr>
        <w:br w:type="page"/>
      </w:r>
    </w:p>
    <w:p w:rsidR="005629B9" w:rsidRPr="00B43DE2" w:rsidRDefault="005629B9" w:rsidP="00AE75A9">
      <w:pPr>
        <w:pStyle w:val="ListParagraph"/>
        <w:numPr>
          <w:ilvl w:val="0"/>
          <w:numId w:val="77"/>
        </w:numPr>
        <w:rPr>
          <w:rFonts w:ascii="Arial" w:eastAsia="Segoe UI" w:hAnsi="Arial" w:cs="Arial"/>
          <w:noProof/>
          <w:color w:val="365F91" w:themeColor="accent1" w:themeShade="BF"/>
          <w:kern w:val="24"/>
          <w:sz w:val="32"/>
          <w:szCs w:val="32"/>
          <w:lang w:eastAsia="en-AU"/>
        </w:rPr>
      </w:pPr>
      <w:r w:rsidRPr="005629B9">
        <w:rPr>
          <w:lang w:val="en-US"/>
        </w:rPr>
        <w:t xml:space="preserve"> </w:t>
      </w:r>
      <w:r w:rsidRPr="00B43DE2">
        <w:rPr>
          <w:rFonts w:ascii="Arial" w:eastAsia="Segoe UI" w:hAnsi="Arial" w:cs="Arial"/>
          <w:noProof/>
          <w:color w:val="365F91" w:themeColor="accent1" w:themeShade="BF"/>
          <w:kern w:val="24"/>
          <w:sz w:val="32"/>
          <w:szCs w:val="32"/>
          <w:lang w:eastAsia="en-AU"/>
        </w:rPr>
        <w:t>Receivables</w:t>
      </w:r>
    </w:p>
    <w:p w:rsidR="005629B9" w:rsidRPr="005629B9" w:rsidRDefault="005629B9" w:rsidP="005629B9">
      <w:pPr>
        <w:rPr>
          <w:color w:val="000000"/>
          <w:lang w:val="en-US"/>
        </w:rPr>
      </w:pPr>
      <w:r w:rsidRPr="005629B9">
        <w:rPr>
          <w:color w:val="000000"/>
          <w:lang w:val="en-US"/>
        </w:rPr>
        <w:t xml:space="preserve">Receivables are recognised and carried at original invoice amount less an allowance for uncollectible amounts (i.e. impairment).  The collectability of receivables is reviewed on an ongoing basis and any receivables identified as uncollectible are written-off against the allowable amount.  The allowance for uncollectible amounts (doubtful debts) is raised when there is objective evidence that the Department will not be able to collect the debts.  The carrying amount is equivalent to fair value as it is due for settlement within </w:t>
      </w:r>
      <w:r w:rsidRPr="005629B9">
        <w:rPr>
          <w:color w:val="000000"/>
          <w:lang w:val="en-US"/>
        </w:rPr>
        <w:br/>
        <w:t>30 days.</w:t>
      </w:r>
      <w:r w:rsidRPr="005629B9">
        <w:rPr>
          <w:color w:val="000000"/>
          <w:lang w:val="en-US"/>
        </w:rPr>
        <w:tab/>
      </w:r>
    </w:p>
    <w:p w:rsidR="005629B9" w:rsidRPr="005629B9" w:rsidRDefault="005629B9" w:rsidP="005629B9">
      <w:pPr>
        <w:rPr>
          <w:color w:val="000000"/>
          <w:lang w:val="en-US"/>
        </w:rPr>
      </w:pPr>
      <w:r w:rsidRPr="005629B9">
        <w:rPr>
          <w:color w:val="000000"/>
          <w:lang w:val="en-US"/>
        </w:rPr>
        <w:t xml:space="preserve">See note 2(j) ‘Financial Instruments’ and </w:t>
      </w:r>
      <w:r w:rsidRPr="005629B9">
        <w:rPr>
          <w:color w:val="000000"/>
          <w:lang w:val="en-US"/>
        </w:rPr>
        <w:br/>
        <w:t>note 18 ‘Receivables’.</w:t>
      </w:r>
    </w:p>
    <w:p w:rsidR="005629B9" w:rsidRPr="00B43DE2" w:rsidRDefault="005629B9" w:rsidP="00AE75A9">
      <w:pPr>
        <w:pStyle w:val="Heading5"/>
        <w:numPr>
          <w:ilvl w:val="0"/>
          <w:numId w:val="77"/>
        </w:numPr>
      </w:pPr>
      <w:r w:rsidRPr="00B43DE2">
        <w:t>Payables</w:t>
      </w:r>
    </w:p>
    <w:p w:rsidR="005629B9" w:rsidRPr="005629B9" w:rsidRDefault="005629B9" w:rsidP="005629B9">
      <w:pPr>
        <w:rPr>
          <w:color w:val="000000"/>
          <w:lang w:val="en-US"/>
        </w:rPr>
      </w:pPr>
      <w:r w:rsidRPr="005629B9">
        <w:rPr>
          <w:color w:val="000000"/>
          <w:lang w:val="en-US"/>
        </w:rPr>
        <w:t xml:space="preserve">Payables are recognised when the Department becomes obliged to make future payments as a result of a purchase of assets or services.  The carrying amount is equivalent to fair value, as they are generally settled within 30 days. </w:t>
      </w:r>
    </w:p>
    <w:p w:rsidR="005629B9" w:rsidRPr="005629B9" w:rsidRDefault="005629B9" w:rsidP="005629B9">
      <w:pPr>
        <w:rPr>
          <w:color w:val="000000"/>
          <w:lang w:val="en-US"/>
        </w:rPr>
      </w:pPr>
      <w:r w:rsidRPr="005629B9">
        <w:rPr>
          <w:color w:val="000000"/>
          <w:lang w:val="en-US"/>
        </w:rPr>
        <w:t xml:space="preserve">See note 2(j) ‘Financial Instruments’ and </w:t>
      </w:r>
      <w:r w:rsidRPr="005629B9">
        <w:rPr>
          <w:color w:val="000000"/>
          <w:lang w:val="en-US"/>
        </w:rPr>
        <w:br/>
        <w:t>note 23 ‘Payables’.</w:t>
      </w:r>
    </w:p>
    <w:p w:rsidR="005629B9" w:rsidRPr="00B43DE2" w:rsidRDefault="005629B9" w:rsidP="00AE75A9">
      <w:pPr>
        <w:pStyle w:val="Heading5"/>
        <w:numPr>
          <w:ilvl w:val="0"/>
          <w:numId w:val="77"/>
        </w:numPr>
      </w:pPr>
      <w:r w:rsidRPr="00B43DE2">
        <w:t xml:space="preserve"> Provisions</w:t>
      </w:r>
    </w:p>
    <w:p w:rsidR="005629B9" w:rsidRPr="005629B9" w:rsidRDefault="005629B9" w:rsidP="005629B9">
      <w:pPr>
        <w:rPr>
          <w:color w:val="000000"/>
          <w:lang w:val="en-US"/>
        </w:rPr>
      </w:pPr>
      <w:r w:rsidRPr="005629B9">
        <w:rPr>
          <w:color w:val="000000"/>
          <w:lang w:val="en-US"/>
        </w:rPr>
        <w:t xml:space="preserve">Provisions are liabilities of uncertain timing and amount and are recognised where there is a present legal, equitable or constructive obligation as a result of a past event and when the outflow of resources embodying economic benefits is probable and a reliable estimate can be made of the amount of the obligation.  Provisions are reviewed at the end of each reporting period.  </w:t>
      </w:r>
    </w:p>
    <w:p w:rsidR="005629B9" w:rsidRPr="005629B9" w:rsidRDefault="005629B9" w:rsidP="005629B9">
      <w:pPr>
        <w:rPr>
          <w:color w:val="000000"/>
          <w:lang w:val="en-US"/>
        </w:rPr>
      </w:pPr>
      <w:r w:rsidRPr="005629B9">
        <w:rPr>
          <w:color w:val="000000"/>
          <w:lang w:val="en-US"/>
        </w:rPr>
        <w:t>See note 24 ‘Provisions’.</w:t>
      </w:r>
    </w:p>
    <w:p w:rsidR="005629B9" w:rsidRPr="00B43DE2" w:rsidRDefault="005629B9" w:rsidP="00AE75A9">
      <w:pPr>
        <w:pStyle w:val="Heading7"/>
        <w:numPr>
          <w:ilvl w:val="0"/>
          <w:numId w:val="87"/>
        </w:numPr>
      </w:pPr>
      <w:r w:rsidRPr="00B43DE2">
        <w:t>Provisions - employee benefits</w:t>
      </w:r>
    </w:p>
    <w:p w:rsidR="005629B9" w:rsidRPr="005629B9" w:rsidRDefault="005629B9" w:rsidP="005629B9">
      <w:pPr>
        <w:rPr>
          <w:color w:val="000000"/>
          <w:lang w:val="en-US"/>
        </w:rPr>
      </w:pPr>
      <w:r w:rsidRPr="005629B9">
        <w:rPr>
          <w:color w:val="000000"/>
          <w:lang w:val="en-US"/>
        </w:rPr>
        <w:t>All annual leave and long service leave provisions are in respect of employees’ services up to the end of the reporting period.</w:t>
      </w:r>
    </w:p>
    <w:p w:rsidR="005629B9" w:rsidRPr="005629B9" w:rsidRDefault="005629B9" w:rsidP="005629B9">
      <w:pPr>
        <w:rPr>
          <w:color w:val="000000"/>
          <w:lang w:val="en-US"/>
        </w:rPr>
      </w:pPr>
      <w:r w:rsidRPr="005629B9">
        <w:rPr>
          <w:i/>
          <w:iCs/>
          <w:color w:val="000000"/>
          <w:lang w:val="en-US"/>
        </w:rPr>
        <w:t>Annual leave</w:t>
      </w:r>
    </w:p>
    <w:p w:rsidR="005629B9" w:rsidRPr="005629B9" w:rsidRDefault="005629B9" w:rsidP="005629B9">
      <w:pPr>
        <w:rPr>
          <w:color w:val="000000"/>
          <w:lang w:val="en-US"/>
        </w:rPr>
      </w:pPr>
      <w:r w:rsidRPr="005629B9">
        <w:rPr>
          <w:color w:val="000000"/>
          <w:lang w:val="en-US"/>
        </w:rPr>
        <w:t>Annual leave not expected to be settled wholly within 12 months after the end of the reporting period and is therefore considered to be ‘other long-term employee benefits’. The annual leave liability is recognised and measured at the present value of amounts expected to be paid when the liabilities are settled using the remuneration rate expected to apply at the time of settlement.</w:t>
      </w:r>
    </w:p>
    <w:p w:rsidR="005629B9" w:rsidRPr="005629B9" w:rsidRDefault="005629B9" w:rsidP="005629B9">
      <w:pPr>
        <w:rPr>
          <w:color w:val="000000"/>
          <w:lang w:val="en-US"/>
        </w:rPr>
      </w:pPr>
      <w:r w:rsidRPr="005629B9">
        <w:rPr>
          <w:color w:val="000000"/>
          <w:lang w:val="en-US"/>
        </w:rPr>
        <w:t>When assessing expected future payments consideration is given to expected future wage and salary levels including non</w:t>
      </w:r>
      <w:r w:rsidRPr="005629B9">
        <w:rPr>
          <w:color w:val="000000"/>
          <w:lang w:val="en-US"/>
        </w:rPr>
        <w:noBreakHyphen/>
        <w:t>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rsidR="005629B9" w:rsidRPr="005629B9" w:rsidRDefault="005629B9" w:rsidP="005629B9">
      <w:pPr>
        <w:rPr>
          <w:color w:val="000000"/>
          <w:lang w:val="en-US"/>
        </w:rPr>
      </w:pPr>
      <w:r w:rsidRPr="005629B9">
        <w:rPr>
          <w:color w:val="000000"/>
          <w:lang w:val="en-US"/>
        </w:rPr>
        <w:t xml:space="preserve">The provision for annual leave is classified as a current liability as the Department does not have an unconditional right to defer settlement of the liability for at least </w:t>
      </w:r>
      <w:r w:rsidRPr="005629B9">
        <w:rPr>
          <w:color w:val="000000"/>
          <w:lang w:val="en-US"/>
        </w:rPr>
        <w:br/>
        <w:t>12 months after the end of the reporting period.</w:t>
      </w:r>
    </w:p>
    <w:p w:rsidR="005629B9" w:rsidRPr="005629B9" w:rsidRDefault="005629B9" w:rsidP="005629B9">
      <w:pPr>
        <w:rPr>
          <w:color w:val="000000"/>
          <w:lang w:val="en-US"/>
        </w:rPr>
      </w:pPr>
      <w:r w:rsidRPr="005629B9">
        <w:rPr>
          <w:i/>
          <w:iCs/>
          <w:color w:val="000000"/>
          <w:lang w:val="en-US"/>
        </w:rPr>
        <w:t>Long service leave</w:t>
      </w:r>
    </w:p>
    <w:p w:rsidR="005629B9" w:rsidRPr="005629B9" w:rsidRDefault="005629B9" w:rsidP="005629B9">
      <w:pPr>
        <w:rPr>
          <w:color w:val="000000"/>
          <w:lang w:val="en-US"/>
        </w:rPr>
      </w:pPr>
      <w:r w:rsidRPr="005629B9">
        <w:rPr>
          <w:color w:val="000000"/>
          <w:lang w:val="en-US"/>
        </w:rPr>
        <w:t>Long service leave not expected to be settled within 12 months after the end of the reporting period is recognised and measured at the present value of amounts expected to be paid when the liabilities are settled using the remuneration rate expected to apply at the time of settlement.</w:t>
      </w:r>
    </w:p>
    <w:p w:rsidR="005629B9" w:rsidRPr="005629B9" w:rsidRDefault="005629B9" w:rsidP="005629B9">
      <w:pPr>
        <w:rPr>
          <w:color w:val="000000"/>
          <w:lang w:val="en-US"/>
        </w:rPr>
      </w:pPr>
      <w:r w:rsidRPr="005629B9">
        <w:rPr>
          <w:color w:val="000000"/>
          <w:lang w:val="en-US"/>
        </w:rPr>
        <w:t>When assessing expected future payments consideration is given to expected future wage and salary levels including non</w:t>
      </w:r>
      <w:r w:rsidRPr="005629B9">
        <w:rPr>
          <w:color w:val="000000"/>
          <w:lang w:val="en-US"/>
        </w:rPr>
        <w:noBreakHyphen/>
        <w:t>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rsidR="005629B9" w:rsidRPr="005629B9" w:rsidRDefault="005629B9" w:rsidP="005629B9">
      <w:pPr>
        <w:rPr>
          <w:color w:val="000000"/>
          <w:lang w:val="en-US"/>
        </w:rPr>
      </w:pPr>
      <w:r w:rsidRPr="005629B9">
        <w:rPr>
          <w:color w:val="000000"/>
          <w:lang w:val="en-US"/>
        </w:rPr>
        <w:t>Unconditional long service leave provisions are classified as current liabilities as the Department does not have an unconditional right to defer settlement of the liability for at least 12 months after the end of reporting period.  Pre-conditional and Conditional long service leave provisions are classified as non-current liabilities because the Department has an unconditional right to defer the settlement of the liability until the employee has completed the requisite years of service.</w:t>
      </w:r>
      <w:r w:rsidRPr="005629B9">
        <w:rPr>
          <w:color w:val="000000"/>
          <w:lang w:val="en-US"/>
        </w:rPr>
        <w:tab/>
      </w:r>
    </w:p>
    <w:p w:rsidR="005629B9" w:rsidRPr="005629B9" w:rsidRDefault="005629B9" w:rsidP="005629B9">
      <w:pPr>
        <w:rPr>
          <w:color w:val="000000"/>
          <w:lang w:val="en-US"/>
        </w:rPr>
      </w:pPr>
      <w:r w:rsidRPr="005629B9">
        <w:rPr>
          <w:i/>
          <w:iCs/>
          <w:color w:val="000000"/>
          <w:lang w:val="en-US"/>
        </w:rPr>
        <w:t>Sick leave</w:t>
      </w:r>
    </w:p>
    <w:p w:rsidR="005629B9" w:rsidRPr="005629B9" w:rsidRDefault="005629B9" w:rsidP="005629B9">
      <w:pPr>
        <w:rPr>
          <w:color w:val="000000"/>
          <w:lang w:val="en-US"/>
        </w:rPr>
      </w:pPr>
      <w:r w:rsidRPr="005629B9">
        <w:rPr>
          <w:color w:val="000000"/>
          <w:lang w:val="en-US"/>
        </w:rPr>
        <w:t>Liabilities for sick leave are recognised when it is probable that sick leave paid in the future will be greater than the entitlement that will accrue in the future.</w:t>
      </w:r>
      <w:r w:rsidRPr="005629B9">
        <w:rPr>
          <w:color w:val="000000"/>
          <w:lang w:val="en-US"/>
        </w:rPr>
        <w:tab/>
      </w:r>
    </w:p>
    <w:p w:rsidR="005629B9" w:rsidRPr="005629B9" w:rsidRDefault="005629B9" w:rsidP="005629B9">
      <w:pPr>
        <w:rPr>
          <w:color w:val="000000"/>
          <w:lang w:val="en-US"/>
        </w:rPr>
      </w:pPr>
      <w:r w:rsidRPr="005629B9">
        <w:rPr>
          <w:color w:val="000000"/>
          <w:lang w:val="en-US"/>
        </w:rPr>
        <w:t>Past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w:t>
      </w:r>
      <w:r w:rsidRPr="005629B9">
        <w:rPr>
          <w:color w:val="000000"/>
          <w:lang w:val="en-US"/>
        </w:rPr>
        <w:noBreakHyphen/>
        <w:t>vesting, an expense is recognised in the Statement of Comprehensive Income for this leave as it is taken.</w:t>
      </w:r>
    </w:p>
    <w:p w:rsidR="005629B9" w:rsidRPr="005629B9" w:rsidRDefault="005629B9" w:rsidP="005629B9">
      <w:pPr>
        <w:rPr>
          <w:color w:val="000000"/>
          <w:lang w:val="en-US"/>
        </w:rPr>
      </w:pPr>
      <w:r w:rsidRPr="005629B9">
        <w:rPr>
          <w:i/>
          <w:iCs/>
          <w:color w:val="000000"/>
          <w:lang w:val="en-US"/>
        </w:rPr>
        <w:t>Deferred leave</w:t>
      </w:r>
    </w:p>
    <w:p w:rsidR="005629B9" w:rsidRPr="005629B9" w:rsidRDefault="005629B9" w:rsidP="005629B9">
      <w:pPr>
        <w:rPr>
          <w:color w:val="000000"/>
          <w:lang w:val="en-US"/>
        </w:rPr>
      </w:pPr>
      <w:r w:rsidRPr="005629B9">
        <w:rPr>
          <w:color w:val="000000"/>
          <w:lang w:val="en-US"/>
        </w:rPr>
        <w:t>The provision for deferred leave relates to Public Service employees who have entered into an agreement to self-fund an additional 12 months leave in the fifth year of the agreement.  The provision recognises the value of salary set aside for employees to be used in the fifth year.  This liability is measured on the same basis as annual leave.  Deferred leave is reported as a current provision as employees can leave the scheme at their discretion at any time.</w:t>
      </w:r>
    </w:p>
    <w:p w:rsidR="005629B9" w:rsidRPr="005629B9" w:rsidRDefault="005629B9" w:rsidP="005629B9">
      <w:pPr>
        <w:rPr>
          <w:color w:val="000000"/>
          <w:lang w:val="en-US"/>
        </w:rPr>
      </w:pPr>
      <w:r w:rsidRPr="005629B9">
        <w:rPr>
          <w:i/>
          <w:iCs/>
          <w:color w:val="000000"/>
          <w:lang w:val="en-US"/>
        </w:rPr>
        <w:t>Purchased leave</w:t>
      </w:r>
    </w:p>
    <w:p w:rsidR="005629B9" w:rsidRPr="005629B9" w:rsidRDefault="005629B9" w:rsidP="005629B9">
      <w:pPr>
        <w:rPr>
          <w:color w:val="000000"/>
          <w:lang w:val="en-US"/>
        </w:rPr>
      </w:pPr>
      <w:r w:rsidRPr="005629B9">
        <w:rPr>
          <w:color w:val="000000"/>
          <w:lang w:val="en-US"/>
        </w:rPr>
        <w:t>The provision for purchased leave relates to Public Service employees who have entered into an agreement to self-fund up to an additional ten weeks leave per calendar year.  The provision recognises the value of salary set aside for employees and is measured at the nominal amounts expected to be paid when the liabilities are settled.  This liability is measured on the same basis as annual leave.</w:t>
      </w:r>
    </w:p>
    <w:p w:rsidR="005629B9" w:rsidRPr="00B43DE2" w:rsidRDefault="005629B9" w:rsidP="005629B9">
      <w:pPr>
        <w:rPr>
          <w:b/>
          <w:color w:val="000000"/>
          <w:lang w:val="en-US"/>
        </w:rPr>
      </w:pPr>
      <w:r w:rsidRPr="00B43DE2">
        <w:rPr>
          <w:b/>
          <w:i/>
          <w:iCs/>
          <w:color w:val="000000"/>
          <w:lang w:val="en-US"/>
        </w:rPr>
        <w:t>Superannuation</w:t>
      </w:r>
    </w:p>
    <w:p w:rsidR="005629B9" w:rsidRPr="005629B9" w:rsidRDefault="005629B9" w:rsidP="005629B9">
      <w:pPr>
        <w:rPr>
          <w:color w:val="000000"/>
          <w:lang w:val="en-US"/>
        </w:rPr>
      </w:pPr>
      <w:r w:rsidRPr="005629B9">
        <w:rPr>
          <w:color w:val="000000"/>
          <w:lang w:val="en-US"/>
        </w:rPr>
        <w:t>The Government Employees Superannuation Board (GESB) and other funds administers public sector superannuation arrangements in Western Australia in accordance with legislative requirements.  Eligibility criteria for membership in particular schemes for public sector employees varies according to commencement and implementation dates.</w:t>
      </w:r>
    </w:p>
    <w:p w:rsidR="005629B9" w:rsidRPr="005629B9" w:rsidRDefault="005629B9" w:rsidP="005629B9">
      <w:pPr>
        <w:rPr>
          <w:color w:val="000000"/>
          <w:lang w:val="en-US"/>
        </w:rPr>
      </w:pPr>
      <w:r w:rsidRPr="005629B9">
        <w:rPr>
          <w:color w:val="000000"/>
          <w:lang w:val="en-US"/>
        </w:rPr>
        <w:t>Eligible employees contribute to the Pension Scheme, a defined benefit pension scheme closed to new members since 1987, or the Gold State Superannuation Scheme (GSS), a defined benefit lump sum scheme closed to new members since 1995.</w:t>
      </w:r>
    </w:p>
    <w:p w:rsidR="005629B9" w:rsidRPr="005629B9" w:rsidRDefault="005629B9" w:rsidP="005629B9">
      <w:pPr>
        <w:rPr>
          <w:color w:val="000000"/>
          <w:lang w:val="en-US"/>
        </w:rPr>
      </w:pPr>
      <w:r w:rsidRPr="005629B9">
        <w:rPr>
          <w:color w:val="000000"/>
          <w:lang w:val="en-US"/>
        </w:rPr>
        <w:t>The GSS is a defined benefit scheme for the purposes of employees and whole</w:t>
      </w:r>
      <w:r w:rsidRPr="005629B9">
        <w:rPr>
          <w:color w:val="000000"/>
          <w:lang w:val="en-US"/>
        </w:rPr>
        <w:noBreakHyphen/>
        <w:t>of</w:t>
      </w:r>
      <w:r w:rsidRPr="005629B9">
        <w:rPr>
          <w:color w:val="000000"/>
          <w:lang w:val="en-US"/>
        </w:rPr>
        <w:noBreakHyphen/>
        <w:t>government reporting.  However, it is a defined contribution plan for agency purposes because the concurrent contributions (defined contributions) made by the Department to GESB extinguishes the agency’s obligations to the related superannuation liability.</w:t>
      </w:r>
    </w:p>
    <w:p w:rsidR="005629B9" w:rsidRPr="005629B9" w:rsidRDefault="005629B9" w:rsidP="005629B9">
      <w:pPr>
        <w:rPr>
          <w:color w:val="000000"/>
          <w:lang w:val="en-US"/>
        </w:rPr>
      </w:pPr>
      <w:r w:rsidRPr="005629B9">
        <w:rPr>
          <w:color w:val="000000"/>
          <w:lang w:val="en-US"/>
        </w:rPr>
        <w:t>The Department has no liabilities under the Pension Scheme or the GSS.  The liabilities for the unfunded Pension Scheme and the unfunded GSS transfer benefits attributable to members who transferred from the Pension Scheme, are assumed by the Treasurer.  All other GSS obligations are funded by concurrent contributions made by the Department to the GESB.</w:t>
      </w:r>
    </w:p>
    <w:p w:rsidR="005629B9" w:rsidRPr="005629B9" w:rsidRDefault="005629B9" w:rsidP="005629B9">
      <w:pPr>
        <w:rPr>
          <w:color w:val="000000"/>
          <w:lang w:val="en-US"/>
        </w:rPr>
      </w:pPr>
      <w:r w:rsidRPr="005629B9">
        <w:rPr>
          <w:color w:val="000000"/>
          <w:lang w:val="en-US"/>
        </w:rPr>
        <w:t>Employees commencing employment prior to 16 April 2007 who were not members of either the Pension Scheme or the GSS became non-contributory members of the West State Superannuation Scheme (WSS).  Employees commencing employment on or after 16 April 2007 became members of the GESB Super Scheme (GESBS).  From 30 March 2012, existing members of the WSS or GESBS and new employees became able to choose their preferred superannuation fund.  The Department makes concurrent contributions to GESB or other funds on behalf of employees in compliance with the Commonwealth Government’s Superannuation Guarantee (Administration) Act 1992.  These contributions extinguish the liability for superannuation charges in respect of employees who are not members of the Pension Scheme or GSS.</w:t>
      </w:r>
    </w:p>
    <w:p w:rsidR="005629B9" w:rsidRPr="005629B9" w:rsidRDefault="005629B9" w:rsidP="005629B9">
      <w:pPr>
        <w:rPr>
          <w:color w:val="000000"/>
          <w:lang w:val="en-US"/>
        </w:rPr>
      </w:pPr>
      <w:r w:rsidRPr="005629B9">
        <w:rPr>
          <w:color w:val="000000"/>
          <w:lang w:val="en-US"/>
        </w:rPr>
        <w:t>The GESB makes all benefit payments in respect of the Pension and GSS Schemes, and is recouped from the Treasurer for the employer’s share.</w:t>
      </w:r>
    </w:p>
    <w:p w:rsidR="005629B9" w:rsidRPr="005629B9" w:rsidRDefault="005629B9" w:rsidP="005629B9">
      <w:pPr>
        <w:rPr>
          <w:color w:val="000000"/>
          <w:lang w:val="en-US"/>
        </w:rPr>
      </w:pPr>
      <w:r w:rsidRPr="005629B9">
        <w:rPr>
          <w:color w:val="000000"/>
          <w:lang w:val="en-US"/>
        </w:rPr>
        <w:t>See also note 2(r) ‘Superannuation expense’.</w:t>
      </w:r>
    </w:p>
    <w:p w:rsidR="005629B9" w:rsidRPr="00B43DE2" w:rsidRDefault="005629B9" w:rsidP="00AE75A9">
      <w:pPr>
        <w:pStyle w:val="Heading7"/>
        <w:numPr>
          <w:ilvl w:val="0"/>
          <w:numId w:val="88"/>
        </w:numPr>
      </w:pPr>
      <w:r w:rsidRPr="00B43DE2">
        <w:t>Provisions - other</w:t>
      </w:r>
    </w:p>
    <w:p w:rsidR="005629B9" w:rsidRPr="005629B9" w:rsidRDefault="005629B9" w:rsidP="005629B9">
      <w:pPr>
        <w:rPr>
          <w:color w:val="000000"/>
          <w:lang w:val="en-US"/>
        </w:rPr>
      </w:pPr>
      <w:r w:rsidRPr="005629B9">
        <w:rPr>
          <w:i/>
          <w:iCs/>
          <w:color w:val="000000"/>
          <w:lang w:val="en-US"/>
        </w:rPr>
        <w:t>Employment on-costs</w:t>
      </w:r>
    </w:p>
    <w:p w:rsidR="005629B9" w:rsidRPr="005629B9" w:rsidRDefault="005629B9" w:rsidP="005629B9">
      <w:pPr>
        <w:rPr>
          <w:color w:val="000000"/>
          <w:lang w:val="en-US"/>
        </w:rPr>
      </w:pPr>
      <w:r w:rsidRPr="005629B9">
        <w:rPr>
          <w:color w:val="000000"/>
          <w:lang w:val="en-US"/>
        </w:rPr>
        <w:t>Employment on-costs, including workers’ compensation insurance, are not employee benefits and are recognised separately as liabilities and expenses when the employment to which they relate has occurred.  Employment on-costs are included as part of ‘Other expenses’ and are not included as part of the Department’s ‘Employee benefits expense’.  The related liability is included in ‘Employment on-costs provision’.</w:t>
      </w:r>
    </w:p>
    <w:p w:rsidR="005629B9" w:rsidRPr="005629B9" w:rsidRDefault="005629B9" w:rsidP="005629B9">
      <w:pPr>
        <w:rPr>
          <w:color w:val="000000"/>
          <w:lang w:val="en-US"/>
        </w:rPr>
      </w:pPr>
      <w:r w:rsidRPr="005629B9">
        <w:rPr>
          <w:color w:val="000000"/>
          <w:lang w:val="en-US"/>
        </w:rPr>
        <w:t xml:space="preserve">See also note 11 ‘Other expenses and </w:t>
      </w:r>
      <w:r w:rsidRPr="005629B9">
        <w:rPr>
          <w:color w:val="000000"/>
          <w:lang w:val="en-US"/>
        </w:rPr>
        <w:br/>
        <w:t>note 24 ‘Provisions’.</w:t>
      </w:r>
    </w:p>
    <w:p w:rsidR="005629B9" w:rsidRPr="00B43DE2" w:rsidRDefault="005629B9" w:rsidP="00AE75A9">
      <w:pPr>
        <w:pStyle w:val="Heading5"/>
        <w:numPr>
          <w:ilvl w:val="0"/>
          <w:numId w:val="77"/>
        </w:numPr>
      </w:pPr>
      <w:r w:rsidRPr="00B43DE2">
        <w:t>Superannuation expense</w:t>
      </w:r>
    </w:p>
    <w:p w:rsidR="005629B9" w:rsidRPr="005629B9" w:rsidRDefault="005629B9" w:rsidP="005629B9">
      <w:pPr>
        <w:rPr>
          <w:color w:val="000000"/>
          <w:lang w:val="en-US"/>
        </w:rPr>
      </w:pPr>
      <w:r w:rsidRPr="00B43DE2">
        <w:rPr>
          <w:color w:val="000000"/>
          <w:lang w:val="en-US"/>
        </w:rPr>
        <w:t>Superannuation expense is recognised in the profit or loss of the Statement of</w:t>
      </w:r>
      <w:r w:rsidRPr="005629B9">
        <w:rPr>
          <w:color w:val="000000"/>
          <w:lang w:val="en-US"/>
        </w:rPr>
        <w:t xml:space="preserve"> Comprehensive Income and comprises employer contributions paid to the GSS (concurrent contributions), the WSS, the GESBS, or other superannuation funds.  The employer contribution paid to the GESB in respect of the GSS is paid back into the Consolidated Account by the GESB.</w:t>
      </w:r>
    </w:p>
    <w:p w:rsidR="005629B9" w:rsidRPr="00B43DE2" w:rsidRDefault="005629B9" w:rsidP="00AE75A9">
      <w:pPr>
        <w:pStyle w:val="Heading5"/>
        <w:numPr>
          <w:ilvl w:val="0"/>
          <w:numId w:val="77"/>
        </w:numPr>
      </w:pPr>
      <w:r w:rsidRPr="00B43DE2">
        <w:t xml:space="preserve"> Assets and services received free of charge or for nominal cost</w:t>
      </w:r>
    </w:p>
    <w:p w:rsidR="005629B9" w:rsidRPr="005629B9" w:rsidRDefault="005629B9" w:rsidP="005629B9">
      <w:pPr>
        <w:rPr>
          <w:color w:val="000000"/>
          <w:lang w:val="en-US"/>
        </w:rPr>
      </w:pPr>
      <w:r w:rsidRPr="005629B9">
        <w:rPr>
          <w:color w:val="000000"/>
          <w:lang w:val="en-US"/>
        </w:rPr>
        <w:t>Assets or services received free of charge or for nominal cost, the Department would otherwise purchase if not donated, are recognised as income at the fair value of the assets or services where they can be reliably measured.  A  corresponding expense is recognised for services received. Receipts of assets are recognised in the Statement of Financial Position.</w:t>
      </w:r>
    </w:p>
    <w:p w:rsidR="005629B9" w:rsidRPr="005629B9" w:rsidRDefault="005629B9" w:rsidP="005629B9">
      <w:pPr>
        <w:rPr>
          <w:color w:val="000000"/>
          <w:lang w:val="en-US"/>
        </w:rPr>
      </w:pPr>
      <w:r w:rsidRPr="005629B9">
        <w:rPr>
          <w:color w:val="000000"/>
          <w:lang w:val="en-US"/>
        </w:rPr>
        <w:t>Assets or services received from other State Government agencies are separately disclosed under Income from State Government in the Statement of Comprehensive Income.</w:t>
      </w:r>
    </w:p>
    <w:p w:rsidR="005629B9" w:rsidRPr="00B43DE2" w:rsidRDefault="005629B9" w:rsidP="00AE75A9">
      <w:pPr>
        <w:pStyle w:val="Heading5"/>
        <w:numPr>
          <w:ilvl w:val="0"/>
          <w:numId w:val="77"/>
        </w:numPr>
      </w:pPr>
      <w:r w:rsidRPr="00B43DE2">
        <w:t>Joint operations</w:t>
      </w:r>
    </w:p>
    <w:p w:rsidR="005629B9" w:rsidRPr="005629B9" w:rsidRDefault="005629B9" w:rsidP="005629B9">
      <w:pPr>
        <w:rPr>
          <w:color w:val="000000"/>
          <w:lang w:val="en-US"/>
        </w:rPr>
      </w:pPr>
      <w:r w:rsidRPr="005629B9">
        <w:rPr>
          <w:color w:val="000000"/>
          <w:lang w:val="en-US"/>
        </w:rPr>
        <w:t>The Department has interests in joint arrangements that are joint operations. A joint arrangement is a contractual arrangement whereby two or more parties undertake an economic activity that is subject to joint control. A joint operation involves the use of assets and other resources of the operators rather than the establishment of a separate entity. The Department recognises its interests in the joint operations by recognising the assets it controls and the liabilities that it incurs in respect of the joint arrangement. The Department also recognises the expenses that it incurs and its share of the income that it earns from the sale of goods or services by the joint operations.</w:t>
      </w:r>
    </w:p>
    <w:p w:rsidR="005629B9" w:rsidRPr="005629B9" w:rsidRDefault="005629B9" w:rsidP="005629B9">
      <w:pPr>
        <w:rPr>
          <w:color w:val="000000"/>
          <w:lang w:val="en-US"/>
        </w:rPr>
      </w:pPr>
      <w:r w:rsidRPr="005629B9">
        <w:rPr>
          <w:color w:val="000000"/>
          <w:lang w:val="en-US"/>
        </w:rPr>
        <w:t xml:space="preserve">The assets that the Department has employed in the joint operations are disclosed in </w:t>
      </w:r>
      <w:r w:rsidRPr="005629B9">
        <w:rPr>
          <w:color w:val="000000"/>
          <w:lang w:val="en-US"/>
        </w:rPr>
        <w:br/>
        <w:t>note 42 ‘Joint operations’.</w:t>
      </w:r>
    </w:p>
    <w:p w:rsidR="005629B9" w:rsidRPr="002A26A8" w:rsidRDefault="005629B9" w:rsidP="002A26A8">
      <w:pPr>
        <w:pStyle w:val="Heading5"/>
        <w:numPr>
          <w:ilvl w:val="0"/>
          <w:numId w:val="77"/>
        </w:numPr>
      </w:pPr>
      <w:r w:rsidRPr="002A26A8">
        <w:t>Comparative figures</w:t>
      </w:r>
    </w:p>
    <w:p w:rsidR="005629B9" w:rsidRPr="005629B9" w:rsidRDefault="005629B9" w:rsidP="005629B9">
      <w:pPr>
        <w:rPr>
          <w:color w:val="000000"/>
          <w:lang w:val="en-US"/>
        </w:rPr>
      </w:pPr>
      <w:r w:rsidRPr="005629B9">
        <w:rPr>
          <w:color w:val="000000"/>
          <w:lang w:val="en-US"/>
        </w:rPr>
        <w:t>Comparative figures are, where appropriate, reclassified to be comparable with the figures presented in the current financial year.</w:t>
      </w:r>
    </w:p>
    <w:p w:rsidR="005629B9" w:rsidRPr="00B43DE2" w:rsidRDefault="005629B9" w:rsidP="00AE75A9">
      <w:pPr>
        <w:pStyle w:val="Heading5"/>
        <w:numPr>
          <w:ilvl w:val="0"/>
          <w:numId w:val="77"/>
        </w:numPr>
      </w:pPr>
      <w:r w:rsidRPr="00B43DE2">
        <w:t xml:space="preserve"> Foreign currency translation</w:t>
      </w:r>
    </w:p>
    <w:p w:rsidR="005629B9" w:rsidRPr="005629B9" w:rsidRDefault="005629B9" w:rsidP="005629B9">
      <w:pPr>
        <w:rPr>
          <w:color w:val="000000"/>
          <w:lang w:val="en-US"/>
        </w:rPr>
      </w:pPr>
      <w:r w:rsidRPr="005629B9">
        <w:rPr>
          <w:color w:val="000000"/>
          <w:lang w:val="en-US"/>
        </w:rPr>
        <w:t>The Department has offices in North Asia, Europe and the Middle East.</w:t>
      </w:r>
    </w:p>
    <w:p w:rsidR="00FA2954" w:rsidRDefault="005629B9" w:rsidP="005629B9">
      <w:pPr>
        <w:rPr>
          <w:color w:val="000000"/>
          <w:lang w:val="en-US"/>
        </w:rPr>
      </w:pPr>
      <w:r w:rsidRPr="005629B9">
        <w:rPr>
          <w:color w:val="000000"/>
          <w:lang w:val="en-US"/>
        </w:rPr>
        <w:t>Transactions denominated in a foreign currency are translated using the average exchange rates or closing rates in accordance with AASB 121.  Monetary assets and liabilities denominated in foreign currencies are retranslated at the rate of exchange prevailing on balance sheet date.  Exchange gains and losses are brought to account in determining the result for the year.</w:t>
      </w:r>
    </w:p>
    <w:p w:rsidR="00FA2954" w:rsidRDefault="00FA2954">
      <w:pPr>
        <w:spacing w:line="276" w:lineRule="auto"/>
        <w:rPr>
          <w:color w:val="000000"/>
          <w:lang w:val="en-US"/>
        </w:rPr>
      </w:pPr>
      <w:r>
        <w:rPr>
          <w:color w:val="000000"/>
          <w:lang w:val="en-US"/>
        </w:rPr>
        <w:br w:type="page"/>
      </w:r>
    </w:p>
    <w:p w:rsidR="005629B9" w:rsidRPr="003A2165" w:rsidRDefault="005629B9" w:rsidP="00AE75A9">
      <w:pPr>
        <w:pStyle w:val="Heading4"/>
        <w:numPr>
          <w:ilvl w:val="0"/>
          <w:numId w:val="76"/>
        </w:numPr>
      </w:pPr>
      <w:r w:rsidRPr="003A2165">
        <w:t>Judgements made by management in applying accounting policies</w:t>
      </w:r>
    </w:p>
    <w:p w:rsidR="005629B9" w:rsidRPr="005629B9" w:rsidRDefault="005629B9" w:rsidP="005629B9">
      <w:pPr>
        <w:rPr>
          <w:color w:val="000000"/>
          <w:lang w:val="en-US"/>
        </w:rPr>
      </w:pPr>
      <w:r w:rsidRPr="005629B9">
        <w:rPr>
          <w:color w:val="000000"/>
          <w:lang w:val="en-US"/>
        </w:rPr>
        <w:t>The preparation of financial statements requires management to make judgements about the application of accounting policies that have a significant effect on the amounts recognised in the financial statements.  The Department evaluates these judgements regularly.</w:t>
      </w:r>
    </w:p>
    <w:p w:rsidR="005629B9" w:rsidRPr="003A2165" w:rsidRDefault="005629B9" w:rsidP="00AE75A9">
      <w:pPr>
        <w:pStyle w:val="Heading4"/>
        <w:numPr>
          <w:ilvl w:val="0"/>
          <w:numId w:val="76"/>
        </w:numPr>
      </w:pPr>
      <w:r w:rsidRPr="003A2165">
        <w:t>Key sources of estimation uncertainty</w:t>
      </w:r>
    </w:p>
    <w:p w:rsidR="005629B9" w:rsidRPr="005629B9" w:rsidRDefault="005629B9" w:rsidP="005629B9">
      <w:pPr>
        <w:rPr>
          <w:color w:val="000000"/>
          <w:lang w:val="en-US"/>
        </w:rPr>
      </w:pPr>
      <w:r w:rsidRPr="005629B9">
        <w:rPr>
          <w:color w:val="000000"/>
          <w:lang w:val="en-US"/>
        </w:rPr>
        <w:t>The Department makes key estimates and assumptions concerning the future.  These estimates and assumptions are based on historical experience and various other factors that have a significant risk of causing a material adjustment to the carrying amount of assets and liabilities within the next financial year.</w:t>
      </w:r>
    </w:p>
    <w:p w:rsidR="005629B9" w:rsidRPr="005629B9" w:rsidRDefault="005629B9" w:rsidP="003A2165">
      <w:pPr>
        <w:pStyle w:val="Heading7"/>
        <w:rPr>
          <w:color w:val="000000"/>
          <w:lang w:val="en-US"/>
        </w:rPr>
      </w:pPr>
      <w:r w:rsidRPr="005629B9">
        <w:rPr>
          <w:lang w:val="en-GB"/>
        </w:rPr>
        <w:t>Long Service Leave</w:t>
      </w:r>
    </w:p>
    <w:p w:rsidR="005629B9" w:rsidRPr="005629B9" w:rsidRDefault="005629B9" w:rsidP="005629B9">
      <w:pPr>
        <w:rPr>
          <w:color w:val="000000"/>
          <w:lang w:val="en-US"/>
        </w:rPr>
      </w:pPr>
      <w:r w:rsidRPr="005629B9">
        <w:rPr>
          <w:color w:val="000000"/>
          <w:lang w:val="en-US"/>
        </w:rPr>
        <w:t>In calculating the Department’s long service leave provision, several estimations and assumptions have been made.  These include expected future salary rates, salary inflation, discount rates, employee retention rates and expected future payments.  Any changes in these estimations and assumptions may impact on the carrying amount of the long service leave provision.</w:t>
      </w:r>
    </w:p>
    <w:p w:rsidR="005629B9" w:rsidRPr="003A2165" w:rsidRDefault="005629B9" w:rsidP="00AE75A9">
      <w:pPr>
        <w:pStyle w:val="Heading4"/>
        <w:numPr>
          <w:ilvl w:val="0"/>
          <w:numId w:val="76"/>
        </w:numPr>
      </w:pPr>
      <w:r w:rsidRPr="003A2165">
        <w:t>Disclosure of change in Accounting Policy and</w:t>
      </w:r>
      <w:r w:rsidR="003A2165" w:rsidRPr="003A2165">
        <w:t xml:space="preserve"> </w:t>
      </w:r>
      <w:r w:rsidRPr="003A2165">
        <w:t>Estimates</w:t>
      </w:r>
    </w:p>
    <w:p w:rsidR="005629B9" w:rsidRPr="005629B9" w:rsidRDefault="005629B9" w:rsidP="003A2165">
      <w:pPr>
        <w:pStyle w:val="Heading7"/>
        <w:rPr>
          <w:color w:val="000000"/>
          <w:lang w:val="en-US"/>
        </w:rPr>
      </w:pPr>
      <w:r w:rsidRPr="005629B9">
        <w:rPr>
          <w:lang w:val="en-GB"/>
        </w:rPr>
        <w:t>Initial application of an Australian Accounting Standard</w:t>
      </w:r>
    </w:p>
    <w:p w:rsidR="005629B9" w:rsidRPr="005629B9" w:rsidRDefault="005629B9" w:rsidP="005629B9">
      <w:pPr>
        <w:rPr>
          <w:color w:val="000000"/>
          <w:lang w:val="en-US"/>
        </w:rPr>
      </w:pPr>
      <w:r w:rsidRPr="005629B9">
        <w:rPr>
          <w:color w:val="000000"/>
          <w:lang w:val="en-US"/>
        </w:rPr>
        <w:t>The Department has applied the following Australian Accounting Standards effective for annual reporting periods beginning on or after 1 July 2014 that impacted on the Department.</w:t>
      </w:r>
    </w:p>
    <w:p w:rsidR="005629B9" w:rsidRPr="005629B9" w:rsidRDefault="005629B9" w:rsidP="003A2165">
      <w:pPr>
        <w:pStyle w:val="Heading7"/>
        <w:rPr>
          <w:color w:val="000000"/>
          <w:lang w:val="en-US"/>
        </w:rPr>
      </w:pPr>
      <w:r w:rsidRPr="005629B9">
        <w:rPr>
          <w:lang w:val="en-GB"/>
        </w:rPr>
        <w:t>Int 21 Levies</w:t>
      </w:r>
    </w:p>
    <w:p w:rsidR="005629B9" w:rsidRPr="005629B9" w:rsidRDefault="005629B9" w:rsidP="005629B9">
      <w:pPr>
        <w:rPr>
          <w:color w:val="000000"/>
          <w:lang w:val="en-US"/>
        </w:rPr>
      </w:pPr>
      <w:r w:rsidRPr="005629B9">
        <w:rPr>
          <w:color w:val="000000"/>
          <w:lang w:val="en-US"/>
        </w:rPr>
        <w:t>This Interpretation clarifies the circumstances under which a liability to pay a government levy imposed should be recognised. There is no financial impact for the Department at reporting date.</w:t>
      </w:r>
      <w:r w:rsidRPr="005629B9">
        <w:rPr>
          <w:color w:val="000000"/>
          <w:lang w:val="en-US"/>
        </w:rPr>
        <w:tab/>
      </w:r>
    </w:p>
    <w:p w:rsidR="005629B9" w:rsidRPr="005629B9" w:rsidRDefault="005629B9" w:rsidP="003A2165">
      <w:pPr>
        <w:pStyle w:val="Heading7"/>
        <w:rPr>
          <w:color w:val="000000"/>
          <w:lang w:val="en-US"/>
        </w:rPr>
      </w:pPr>
      <w:r w:rsidRPr="005629B9">
        <w:rPr>
          <w:lang w:val="en-GB"/>
        </w:rPr>
        <w:t>AASB 10 Consolidated Financial Statements</w:t>
      </w:r>
    </w:p>
    <w:p w:rsidR="005629B9" w:rsidRPr="005629B9" w:rsidRDefault="005629B9" w:rsidP="005629B9">
      <w:pPr>
        <w:rPr>
          <w:color w:val="000000"/>
          <w:lang w:val="en-US"/>
        </w:rPr>
      </w:pPr>
      <w:r w:rsidRPr="005629B9">
        <w:rPr>
          <w:color w:val="000000"/>
          <w:lang w:val="en-US"/>
        </w:rPr>
        <w:t>This Standard, issued in August 2011, supersedes AASB 127 Consolidated and Separate Financial Statements and Int 112 Consolidation – Special Purpose Entities, introducing a number of changes to accounting treatments. The adoption of the new Standard has no financial impact for the Department as it does not impact accounting for related bodies and the Department has no interests in other entities.</w:t>
      </w:r>
    </w:p>
    <w:p w:rsidR="005629B9" w:rsidRPr="005629B9" w:rsidRDefault="005629B9" w:rsidP="003A2165">
      <w:pPr>
        <w:pStyle w:val="Heading7"/>
        <w:rPr>
          <w:color w:val="000000"/>
          <w:lang w:val="en-US"/>
        </w:rPr>
      </w:pPr>
      <w:r w:rsidRPr="005629B9">
        <w:rPr>
          <w:lang w:val="en-GB"/>
        </w:rPr>
        <w:t>AASB 11 Joint Arrangements</w:t>
      </w:r>
    </w:p>
    <w:p w:rsidR="005629B9" w:rsidRPr="005629B9" w:rsidRDefault="005629B9" w:rsidP="005629B9">
      <w:pPr>
        <w:rPr>
          <w:color w:val="000000"/>
          <w:lang w:val="en-US"/>
        </w:rPr>
      </w:pPr>
      <w:r w:rsidRPr="005629B9">
        <w:rPr>
          <w:color w:val="000000"/>
          <w:lang w:val="en-US"/>
        </w:rPr>
        <w:t xml:space="preserve">This Standard, issued in August 2011, supersedes AASB 131 </w:t>
      </w:r>
      <w:r w:rsidRPr="005629B9">
        <w:rPr>
          <w:i/>
          <w:iCs/>
          <w:color w:val="000000"/>
          <w:lang w:val="en-US"/>
        </w:rPr>
        <w:t>Interests in Joint Ventures</w:t>
      </w:r>
      <w:r w:rsidRPr="005629B9">
        <w:rPr>
          <w:color w:val="000000"/>
          <w:lang w:val="en-US"/>
        </w:rPr>
        <w:t>, introduces new principles for determining the type of joint arrangement that exists, which are more aligned to the actual rights and obligations of the parties to the arrangement.</w:t>
      </w:r>
    </w:p>
    <w:p w:rsidR="005629B9" w:rsidRPr="005629B9" w:rsidRDefault="005629B9" w:rsidP="005629B9">
      <w:pPr>
        <w:rPr>
          <w:color w:val="000000"/>
          <w:lang w:val="en-US"/>
        </w:rPr>
      </w:pPr>
      <w:r w:rsidRPr="005629B9">
        <w:rPr>
          <w:color w:val="000000"/>
          <w:lang w:val="en-US"/>
        </w:rPr>
        <w:t>There is no financial impact for the Department as the new standard continues to require the recognition of the Department’s share of assets and share of liabilities for the unincorporated joint operation.</w:t>
      </w:r>
    </w:p>
    <w:p w:rsidR="005629B9" w:rsidRPr="005629B9" w:rsidRDefault="005629B9" w:rsidP="003A2165">
      <w:pPr>
        <w:pStyle w:val="Heading7"/>
        <w:rPr>
          <w:color w:val="000000"/>
          <w:lang w:val="en-US"/>
        </w:rPr>
      </w:pPr>
      <w:r w:rsidRPr="005629B9">
        <w:rPr>
          <w:lang w:val="en-GB"/>
        </w:rPr>
        <w:t>AASB 12 Disclosure of Interests in Other Entities</w:t>
      </w:r>
    </w:p>
    <w:p w:rsidR="005629B9" w:rsidRPr="005629B9" w:rsidRDefault="005629B9" w:rsidP="005629B9">
      <w:pPr>
        <w:rPr>
          <w:color w:val="000000"/>
          <w:lang w:val="en-US"/>
        </w:rPr>
      </w:pPr>
      <w:r w:rsidRPr="005629B9">
        <w:rPr>
          <w:color w:val="000000"/>
          <w:lang w:val="en-US"/>
        </w:rPr>
        <w:t xml:space="preserve">This Standard, issued in August 2011, supersedes disclosure requirements in </w:t>
      </w:r>
      <w:r w:rsidRPr="005629B9">
        <w:rPr>
          <w:i/>
          <w:iCs/>
          <w:color w:val="000000"/>
          <w:lang w:val="en-US"/>
        </w:rPr>
        <w:t>A</w:t>
      </w:r>
      <w:r w:rsidRPr="005629B9">
        <w:rPr>
          <w:color w:val="000000"/>
          <w:lang w:val="en-US"/>
        </w:rPr>
        <w:t xml:space="preserve">ASB 127 </w:t>
      </w:r>
      <w:r w:rsidRPr="005629B9">
        <w:rPr>
          <w:i/>
          <w:iCs/>
          <w:color w:val="000000"/>
          <w:lang w:val="en-US"/>
        </w:rPr>
        <w:t>Consolidated and Separate Financial Statements</w:t>
      </w:r>
      <w:r w:rsidRPr="005629B9">
        <w:rPr>
          <w:color w:val="000000"/>
          <w:lang w:val="en-US"/>
        </w:rPr>
        <w:t xml:space="preserve">, AASB 128 </w:t>
      </w:r>
      <w:r w:rsidRPr="005629B9">
        <w:rPr>
          <w:i/>
          <w:iCs/>
          <w:color w:val="000000"/>
          <w:lang w:val="en-US"/>
        </w:rPr>
        <w:t>Investments in Associates</w:t>
      </w:r>
      <w:r w:rsidRPr="005629B9">
        <w:rPr>
          <w:color w:val="000000"/>
          <w:lang w:val="en-US"/>
        </w:rPr>
        <w:t xml:space="preserve"> and AASB 131 </w:t>
      </w:r>
      <w:r w:rsidRPr="005629B9">
        <w:rPr>
          <w:i/>
          <w:iCs/>
          <w:color w:val="000000"/>
          <w:lang w:val="en-US"/>
        </w:rPr>
        <w:t>Interests in Joint Ventures</w:t>
      </w:r>
      <w:r w:rsidRPr="005629B9">
        <w:rPr>
          <w:color w:val="000000"/>
          <w:lang w:val="en-US"/>
        </w:rPr>
        <w:t>. There is no financial impact.</w:t>
      </w:r>
    </w:p>
    <w:p w:rsidR="005629B9" w:rsidRPr="005629B9" w:rsidRDefault="005629B9" w:rsidP="003A2165">
      <w:pPr>
        <w:pStyle w:val="Heading7"/>
        <w:rPr>
          <w:color w:val="000000"/>
          <w:lang w:val="en-US"/>
        </w:rPr>
      </w:pPr>
      <w:r w:rsidRPr="005629B9">
        <w:rPr>
          <w:lang w:val="en-GB"/>
        </w:rPr>
        <w:t>AASB 127 Separate Financial Statements</w:t>
      </w:r>
    </w:p>
    <w:p w:rsidR="005629B9" w:rsidRPr="005629B9" w:rsidRDefault="005629B9" w:rsidP="005629B9">
      <w:pPr>
        <w:rPr>
          <w:color w:val="000000"/>
          <w:lang w:val="en-US"/>
        </w:rPr>
      </w:pPr>
      <w:r w:rsidRPr="005629B9">
        <w:rPr>
          <w:color w:val="000000"/>
          <w:lang w:val="en-US"/>
        </w:rPr>
        <w:t xml:space="preserve">This Standard, issued in August 2011, supersedes AASB 127 </w:t>
      </w:r>
      <w:r w:rsidRPr="005629B9">
        <w:rPr>
          <w:i/>
          <w:iCs/>
          <w:color w:val="000000"/>
          <w:lang w:val="en-US"/>
        </w:rPr>
        <w:t>Consolidated and Separate Financial Statements</w:t>
      </w:r>
      <w:r w:rsidRPr="005629B9">
        <w:rPr>
          <w:color w:val="000000"/>
          <w:lang w:val="en-US"/>
        </w:rPr>
        <w:t xml:space="preserve"> removing the consolidation requirements of the earlier standard whilst retaining accounting and disclosure requirements for the preparation of separate financial statements. There is no financial impact.</w:t>
      </w:r>
    </w:p>
    <w:p w:rsidR="005629B9" w:rsidRPr="005629B9" w:rsidRDefault="005629B9" w:rsidP="003A2165">
      <w:pPr>
        <w:pStyle w:val="Heading7"/>
        <w:rPr>
          <w:color w:val="000000"/>
          <w:lang w:val="en-US"/>
        </w:rPr>
      </w:pPr>
      <w:r w:rsidRPr="005629B9">
        <w:rPr>
          <w:lang w:val="en-GB"/>
        </w:rPr>
        <w:t>AASB 128 Investments in Associates and Joint Ventures</w:t>
      </w:r>
    </w:p>
    <w:p w:rsidR="005629B9" w:rsidRPr="005629B9" w:rsidRDefault="005629B9" w:rsidP="005629B9">
      <w:pPr>
        <w:rPr>
          <w:color w:val="000000"/>
          <w:lang w:val="en-US"/>
        </w:rPr>
      </w:pPr>
      <w:r w:rsidRPr="005629B9">
        <w:rPr>
          <w:color w:val="000000"/>
          <w:lang w:val="en-US"/>
        </w:rPr>
        <w:t xml:space="preserve">This Standard supersedes AASB 128 </w:t>
      </w:r>
      <w:r w:rsidRPr="005629B9">
        <w:rPr>
          <w:i/>
          <w:iCs/>
          <w:color w:val="000000"/>
          <w:lang w:val="en-US"/>
        </w:rPr>
        <w:t>Investments in Associates</w:t>
      </w:r>
      <w:r w:rsidRPr="005629B9">
        <w:rPr>
          <w:color w:val="000000"/>
          <w:lang w:val="en-US"/>
        </w:rPr>
        <w:t>, introducing a number of clarifications for the accounting treatments of changed ownership interest. The adoption of the new Standard has no financial impact for the Department as it does not hold investments in associates and joint ventures.</w:t>
      </w:r>
    </w:p>
    <w:p w:rsidR="005629B9" w:rsidRPr="005629B9" w:rsidRDefault="005629B9" w:rsidP="003A2165">
      <w:pPr>
        <w:pStyle w:val="Heading7"/>
        <w:rPr>
          <w:color w:val="000000"/>
          <w:lang w:val="en-US"/>
        </w:rPr>
      </w:pPr>
      <w:r w:rsidRPr="005629B9">
        <w:rPr>
          <w:lang w:val="en-GB"/>
        </w:rPr>
        <w:t>AASB 1031 Materiality</w:t>
      </w:r>
    </w:p>
    <w:p w:rsidR="005629B9" w:rsidRPr="005629B9" w:rsidRDefault="005629B9" w:rsidP="005629B9">
      <w:pPr>
        <w:rPr>
          <w:color w:val="000000"/>
          <w:lang w:val="en-US"/>
        </w:rPr>
      </w:pPr>
      <w:r w:rsidRPr="005629B9">
        <w:rPr>
          <w:color w:val="000000"/>
          <w:lang w:val="en-US"/>
        </w:rPr>
        <w:t>This Standard supersedes AASB 1031 (February 2010), removing Australian guidance on materiality not available in IFRSs and refers to guidance on materiality in other Australian pronouncements. There is no financial impact.</w:t>
      </w:r>
    </w:p>
    <w:p w:rsidR="005629B9" w:rsidRPr="005629B9" w:rsidRDefault="005629B9" w:rsidP="003A2165">
      <w:pPr>
        <w:pStyle w:val="Heading7"/>
        <w:rPr>
          <w:color w:val="000000"/>
          <w:lang w:val="en-US"/>
        </w:rPr>
      </w:pPr>
      <w:r w:rsidRPr="005629B9">
        <w:rPr>
          <w:lang w:val="en-GB"/>
        </w:rPr>
        <w:t>AASB 1055 Budgetary Reporting</w:t>
      </w:r>
    </w:p>
    <w:p w:rsidR="005629B9" w:rsidRPr="005629B9" w:rsidRDefault="005629B9" w:rsidP="005629B9">
      <w:pPr>
        <w:rPr>
          <w:color w:val="000000"/>
          <w:lang w:val="en-US"/>
        </w:rPr>
      </w:pPr>
      <w:r w:rsidRPr="005629B9">
        <w:rPr>
          <w:color w:val="000000"/>
          <w:lang w:val="en-US"/>
        </w:rPr>
        <w:t>This Standard requires specific budgetary disclosures in the general purpose financial statements of not-for-profit entities within the General Government Sector. The Department will be required to disclose additional budgetary information and explanations of major variances between actual and budgeted amounts, though there is no financial impact.</w:t>
      </w:r>
    </w:p>
    <w:p w:rsidR="005629B9" w:rsidRPr="005629B9" w:rsidRDefault="005629B9" w:rsidP="003A2165">
      <w:pPr>
        <w:pStyle w:val="Heading7"/>
        <w:rPr>
          <w:color w:val="000000"/>
          <w:lang w:val="en-US"/>
        </w:rPr>
      </w:pPr>
      <w:r w:rsidRPr="005629B9">
        <w:rPr>
          <w:lang w:val="en-GB"/>
        </w:rPr>
        <w:t xml:space="preserve">AASB 2011-7 Amendments to Australian Accounting Standards arising from the Consolidation and Joint Arrangements Standards [AASB 1, 2, 3, 5, 7, 101, 107, 112, 118, 121, 124, 132, 133, 136, 138, 139, 1023 &amp; 1038 and Int 5, 9, 16 &amp; 17]. </w:t>
      </w:r>
    </w:p>
    <w:p w:rsidR="005629B9" w:rsidRPr="005629B9" w:rsidRDefault="005629B9" w:rsidP="005629B9">
      <w:pPr>
        <w:rPr>
          <w:color w:val="000000"/>
          <w:lang w:val="en-US"/>
        </w:rPr>
      </w:pPr>
      <w:r w:rsidRPr="005629B9">
        <w:rPr>
          <w:color w:val="000000"/>
          <w:lang w:val="en-US"/>
        </w:rPr>
        <w:t>This Standard gives effect to consequential changes arising from the issuance of AASB 10, AASB 11, AASB 127 Separate Financial Statements and AASB 128 Investments in Associates and Joint Ventures. There is no financial impact for the Department.</w:t>
      </w:r>
    </w:p>
    <w:p w:rsidR="005629B9" w:rsidRPr="005629B9" w:rsidRDefault="005629B9" w:rsidP="003A2165">
      <w:pPr>
        <w:pStyle w:val="Heading7"/>
        <w:rPr>
          <w:color w:val="000000"/>
          <w:lang w:val="en-US"/>
        </w:rPr>
      </w:pPr>
      <w:r w:rsidRPr="005629B9">
        <w:rPr>
          <w:lang w:val="en-GB"/>
        </w:rPr>
        <w:t>AASB 2012-3 Amendments to Australian Accounting Standards – Offsetting Financial Assets and Financial Liabilities [AASB 132]</w:t>
      </w:r>
    </w:p>
    <w:p w:rsidR="005629B9" w:rsidRPr="005629B9" w:rsidRDefault="005629B9" w:rsidP="005629B9">
      <w:pPr>
        <w:rPr>
          <w:color w:val="000000"/>
          <w:lang w:val="en-US"/>
        </w:rPr>
      </w:pPr>
      <w:r w:rsidRPr="005629B9">
        <w:rPr>
          <w:color w:val="000000"/>
          <w:lang w:val="en-US"/>
        </w:rPr>
        <w:t>This Standard adds application guidance to AASB 132 to address inconsistencies identified in applying some of the offsetting criteria, including clarifying the meaning of “currently has a legally enforceable right of set-off” and that some gross settlement systems may be considered equivalent to net settlement. There is no financial impact.</w:t>
      </w:r>
    </w:p>
    <w:p w:rsidR="005629B9" w:rsidRPr="005629B9" w:rsidRDefault="005629B9" w:rsidP="003A2165">
      <w:pPr>
        <w:pStyle w:val="Heading7"/>
        <w:rPr>
          <w:color w:val="000000"/>
          <w:lang w:val="en-US"/>
        </w:rPr>
      </w:pPr>
      <w:r w:rsidRPr="005629B9">
        <w:rPr>
          <w:lang w:val="en-GB"/>
        </w:rPr>
        <w:t>AASB 2013-3 Amendments to AASB 136 – Recoverable Amount Disclosures for Non-Financial Assets</w:t>
      </w:r>
    </w:p>
    <w:p w:rsidR="005629B9" w:rsidRPr="005629B9" w:rsidRDefault="005629B9" w:rsidP="005629B9">
      <w:pPr>
        <w:rPr>
          <w:color w:val="000000"/>
          <w:lang w:val="en-US"/>
        </w:rPr>
      </w:pPr>
      <w:r w:rsidRPr="005629B9">
        <w:rPr>
          <w:color w:val="000000"/>
          <w:lang w:val="en-US"/>
        </w:rPr>
        <w:t>This Standard introduces editorial and disclosure changes.  There is no financial impact.</w:t>
      </w:r>
    </w:p>
    <w:p w:rsidR="005629B9" w:rsidRPr="005629B9" w:rsidRDefault="005629B9" w:rsidP="003A2165">
      <w:pPr>
        <w:pStyle w:val="Heading7"/>
        <w:rPr>
          <w:color w:val="000000"/>
          <w:lang w:val="en-US"/>
        </w:rPr>
      </w:pPr>
      <w:r w:rsidRPr="005629B9">
        <w:rPr>
          <w:lang w:val="en-GB"/>
        </w:rPr>
        <w:t>AASB 2013-4 Amendments to Australian Accounting Standards – Novation of Derivatives and Continuation of Hedge Accounting [AASB 139]</w:t>
      </w:r>
    </w:p>
    <w:p w:rsidR="005629B9" w:rsidRPr="005629B9" w:rsidRDefault="005629B9" w:rsidP="005629B9">
      <w:pPr>
        <w:rPr>
          <w:color w:val="000000"/>
          <w:lang w:val="en-US"/>
        </w:rPr>
      </w:pPr>
      <w:r w:rsidRPr="005629B9">
        <w:rPr>
          <w:color w:val="000000"/>
          <w:lang w:val="en-US"/>
        </w:rPr>
        <w:t>This Standard permits the continuation of hedge accounting in circumstances where a derivative, which has been designated as a hedging instrument, is novated from one counterparty to a central counterparty as a consequence of laws or regulations. The Department does not routinely enter into derivatives or hedges, therefore there is no financial impact.</w:t>
      </w:r>
    </w:p>
    <w:p w:rsidR="005629B9" w:rsidRPr="005629B9" w:rsidRDefault="005629B9" w:rsidP="003A2165">
      <w:pPr>
        <w:pStyle w:val="Heading7"/>
        <w:rPr>
          <w:color w:val="000000"/>
          <w:lang w:val="en-US"/>
        </w:rPr>
      </w:pPr>
      <w:r w:rsidRPr="005629B9">
        <w:rPr>
          <w:lang w:val="en-GB"/>
        </w:rPr>
        <w:t>AASB 2013-8 Amendments to Australian Accounting Standards - Australian Implementation Guidance for Not-for-Profit Entities - Control and Structured Entities [AASB 10, 12 &amp; 1049]</w:t>
      </w:r>
    </w:p>
    <w:p w:rsidR="005629B9" w:rsidRPr="005629B9" w:rsidRDefault="005629B9" w:rsidP="005629B9">
      <w:pPr>
        <w:rPr>
          <w:color w:val="000000"/>
          <w:lang w:val="en-US"/>
        </w:rPr>
      </w:pPr>
      <w:r w:rsidRPr="005629B9">
        <w:rPr>
          <w:color w:val="000000"/>
          <w:lang w:val="en-US"/>
        </w:rPr>
        <w:t>The amendments, issued in October 2013, provide significant guidance in determining whether a not-for-profit entity controls another entity when financial returns are not a key attribute of the investor’s relationship. The Standard has no financial impact in its own right, rather the impact results from the adoption of the amended AASB 10.</w:t>
      </w:r>
    </w:p>
    <w:p w:rsidR="005629B9" w:rsidRPr="005629B9" w:rsidRDefault="005629B9" w:rsidP="003A2165">
      <w:pPr>
        <w:pStyle w:val="Heading7"/>
        <w:rPr>
          <w:color w:val="000000"/>
          <w:lang w:val="en-US"/>
        </w:rPr>
      </w:pPr>
      <w:r w:rsidRPr="005629B9">
        <w:rPr>
          <w:lang w:val="en-GB"/>
        </w:rPr>
        <w:t>AASB 2013-9 Amendments to Australian Accounting Standards – Conceptual Framework, Materiality and Financial Instruments</w:t>
      </w:r>
    </w:p>
    <w:p w:rsidR="005629B9" w:rsidRPr="005629B9" w:rsidRDefault="005629B9" w:rsidP="005629B9">
      <w:pPr>
        <w:rPr>
          <w:color w:val="000000"/>
          <w:lang w:val="en-US"/>
        </w:rPr>
      </w:pPr>
      <w:r w:rsidRPr="005629B9">
        <w:rPr>
          <w:color w:val="000000"/>
          <w:lang w:val="en-US"/>
        </w:rPr>
        <w:t>Part B of this omnibus Standard makes amendments to other Standards arising from the deletion of references to AASB 1031 in other Standards for periods beginning on or after 1 January 2014. It has no financial impact.</w:t>
      </w:r>
    </w:p>
    <w:p w:rsidR="005629B9" w:rsidRPr="005629B9" w:rsidRDefault="005629B9" w:rsidP="003A2165">
      <w:pPr>
        <w:pStyle w:val="Heading7"/>
        <w:rPr>
          <w:color w:val="000000"/>
          <w:lang w:val="en-US"/>
        </w:rPr>
      </w:pPr>
      <w:r w:rsidRPr="005629B9">
        <w:rPr>
          <w:lang w:val="en-GB"/>
        </w:rPr>
        <w:t>AASB 2014-1 Amendments to Australian Accounting Standards</w:t>
      </w:r>
    </w:p>
    <w:p w:rsidR="005629B9" w:rsidRPr="005629B9" w:rsidRDefault="005629B9" w:rsidP="005629B9">
      <w:pPr>
        <w:rPr>
          <w:color w:val="000000"/>
          <w:lang w:val="en-US"/>
        </w:rPr>
      </w:pPr>
      <w:r w:rsidRPr="005629B9">
        <w:rPr>
          <w:color w:val="000000"/>
          <w:lang w:val="en-US"/>
        </w:rPr>
        <w:t xml:space="preserve">Part A of this Standard consists primarily of clarifications to Accounting Standards and has no financial impact for the Department. </w:t>
      </w:r>
    </w:p>
    <w:p w:rsidR="005629B9" w:rsidRPr="005629B9" w:rsidRDefault="005629B9" w:rsidP="005629B9">
      <w:pPr>
        <w:rPr>
          <w:color w:val="000000"/>
          <w:lang w:val="en-US"/>
        </w:rPr>
      </w:pPr>
      <w:r w:rsidRPr="005629B9">
        <w:rPr>
          <w:color w:val="000000"/>
          <w:lang w:val="en-US"/>
        </w:rPr>
        <w:t>Part B of this Standard has no financial impact as the Department contributes to schemes that are either defined contribution plans, or deemed to be defined contribution plans.</w:t>
      </w:r>
      <w:r w:rsidRPr="005629B9">
        <w:rPr>
          <w:color w:val="000000"/>
          <w:lang w:val="en-US"/>
        </w:rPr>
        <w:tab/>
      </w:r>
    </w:p>
    <w:p w:rsidR="005629B9" w:rsidRPr="005629B9" w:rsidRDefault="005629B9" w:rsidP="005629B9">
      <w:pPr>
        <w:rPr>
          <w:color w:val="000000"/>
          <w:lang w:val="en-US"/>
        </w:rPr>
      </w:pPr>
      <w:r w:rsidRPr="005629B9">
        <w:rPr>
          <w:color w:val="000000"/>
          <w:lang w:val="en-US"/>
        </w:rPr>
        <w:t>Part C of this Standard has no financial impact as it removes references to AASB 1031 Materiality from a number of Accounting Standards.</w:t>
      </w:r>
    </w:p>
    <w:p w:rsidR="005629B9" w:rsidRPr="005629B9" w:rsidRDefault="005629B9" w:rsidP="003A2165">
      <w:pPr>
        <w:pStyle w:val="Heading7"/>
        <w:rPr>
          <w:color w:val="000000"/>
          <w:lang w:val="en-US"/>
        </w:rPr>
      </w:pPr>
      <w:r w:rsidRPr="005629B9">
        <w:rPr>
          <w:lang w:val="en-GB"/>
        </w:rPr>
        <w:t>Future impact of Australian Accounting Standards not yet operative</w:t>
      </w:r>
    </w:p>
    <w:p w:rsidR="005629B9" w:rsidRPr="005629B9" w:rsidRDefault="005629B9" w:rsidP="005629B9">
      <w:pPr>
        <w:rPr>
          <w:color w:val="000000"/>
          <w:lang w:val="en-US"/>
        </w:rPr>
      </w:pPr>
      <w:r w:rsidRPr="005629B9">
        <w:rPr>
          <w:color w:val="000000"/>
          <w:lang w:val="en-US"/>
        </w:rPr>
        <w:t>The Department cannot early adopt an Australian Accounting Standard unless specifically permitted by TI 1101 Application of Australian Accounting Standards and Other Pronouncements.  Consequently, the Department has not applied early any of the following Australian Accounting Standards that have been issued that may impact the Department.  Where applicable, the Department plans to apply these Australian Accounting Standards from their application date.</w:t>
      </w:r>
    </w:p>
    <w:p w:rsidR="003A2165" w:rsidRDefault="003A2165">
      <w:pPr>
        <w:spacing w:line="276" w:lineRule="auto"/>
        <w:rPr>
          <w:lang w:eastAsia="en-AU"/>
        </w:rPr>
      </w:pPr>
      <w:r>
        <w:rPr>
          <w:lang w:eastAsia="en-AU"/>
        </w:rPr>
        <w:br w:type="page"/>
      </w:r>
    </w:p>
    <w:tbl>
      <w:tblPr>
        <w:tblW w:w="10366" w:type="dxa"/>
        <w:tblInd w:w="80" w:type="dxa"/>
        <w:tblBorders>
          <w:bottom w:val="single" w:sz="8" w:space="0" w:color="808080" w:themeColor="background1" w:themeShade="80"/>
          <w:insideH w:val="single" w:sz="8" w:space="0" w:color="808080" w:themeColor="background1" w:themeShade="80"/>
        </w:tblBorders>
        <w:tblLayout w:type="fixed"/>
        <w:tblCellMar>
          <w:left w:w="0" w:type="dxa"/>
          <w:right w:w="0" w:type="dxa"/>
        </w:tblCellMar>
        <w:tblLook w:val="0000" w:firstRow="0" w:lastRow="0" w:firstColumn="0" w:lastColumn="0" w:noHBand="0" w:noVBand="0"/>
        <w:tblCaption w:val="Australian Accounting Standards"/>
        <w:tblDescription w:val="Australian Accounting Standards table"/>
      </w:tblPr>
      <w:tblGrid>
        <w:gridCol w:w="3453"/>
        <w:gridCol w:w="5055"/>
        <w:gridCol w:w="1858"/>
      </w:tblGrid>
      <w:tr w:rsidR="003A2165" w:rsidRPr="003A2165" w:rsidTr="000115F1">
        <w:trPr>
          <w:trHeight w:val="334"/>
          <w:tblHeader/>
        </w:trPr>
        <w:tc>
          <w:tcPr>
            <w:tcW w:w="3453" w:type="dxa"/>
            <w:shd w:val="solid" w:color="FFFFFF" w:fill="auto"/>
            <w:tcMar>
              <w:top w:w="113" w:type="dxa"/>
              <w:left w:w="80" w:type="dxa"/>
              <w:bottom w:w="113" w:type="dxa"/>
              <w:right w:w="80" w:type="dxa"/>
            </w:tcMar>
          </w:tcPr>
          <w:p w:rsidR="003A2165" w:rsidRPr="003A2165" w:rsidRDefault="003A2165" w:rsidP="003A2165">
            <w:pPr>
              <w:spacing w:after="0"/>
            </w:pPr>
          </w:p>
        </w:tc>
        <w:tc>
          <w:tcPr>
            <w:tcW w:w="5055" w:type="dxa"/>
            <w:shd w:val="solid" w:color="FFFFFF" w:fill="auto"/>
            <w:tcMar>
              <w:top w:w="113" w:type="dxa"/>
              <w:left w:w="80" w:type="dxa"/>
              <w:bottom w:w="113" w:type="dxa"/>
              <w:right w:w="80" w:type="dxa"/>
            </w:tcMar>
          </w:tcPr>
          <w:p w:rsidR="003A2165" w:rsidRPr="003A2165" w:rsidRDefault="003A2165" w:rsidP="003A2165">
            <w:pPr>
              <w:spacing w:after="0"/>
            </w:pP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2A26A8">
              <w:rPr>
                <w:rFonts w:ascii="Segoe UI Semibold" w:hAnsi="Segoe UI Semibold" w:cs="Segoe UI Semibold"/>
                <w:color w:val="244061" w:themeColor="accent1" w:themeShade="80"/>
                <w:lang w:val="en-US"/>
              </w:rPr>
              <w:t>Operative for reporting periods beginning on/after</w:t>
            </w:r>
          </w:p>
        </w:tc>
      </w:tr>
      <w:tr w:rsidR="003A2165" w:rsidRPr="003A2165" w:rsidTr="000115F1">
        <w:trPr>
          <w:trHeight w:val="3676"/>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9</w:t>
            </w:r>
          </w:p>
          <w:p w:rsidR="003A2165" w:rsidRPr="003A2165" w:rsidRDefault="003A2165" w:rsidP="003A2165">
            <w:pPr>
              <w:spacing w:after="0"/>
              <w:rPr>
                <w:color w:val="000000"/>
                <w:lang w:val="en-US"/>
              </w:rPr>
            </w:pPr>
            <w:r w:rsidRPr="003A2165">
              <w:rPr>
                <w:i/>
                <w:iCs/>
                <w:color w:val="000000"/>
                <w:lang w:val="en-US"/>
              </w:rPr>
              <w:t>Financial Instruments</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supersedes </w:t>
            </w:r>
            <w:r w:rsidRPr="003A2165">
              <w:rPr>
                <w:i/>
                <w:iCs/>
                <w:color w:val="000000"/>
                <w:lang w:val="en-US"/>
              </w:rPr>
              <w:t>AASB 139 Financial Instruments: Recognition and Measurement</w:t>
            </w:r>
            <w:r w:rsidRPr="003A2165">
              <w:rPr>
                <w:color w:val="000000"/>
                <w:lang w:val="en-US"/>
              </w:rPr>
              <w:t>, introducing a number of changes to accounting treatments.</w:t>
            </w:r>
          </w:p>
          <w:p w:rsidR="003A2165" w:rsidRPr="003A2165" w:rsidRDefault="003A2165" w:rsidP="003A2165">
            <w:pPr>
              <w:spacing w:after="0"/>
              <w:rPr>
                <w:color w:val="000000"/>
                <w:lang w:val="en-US"/>
              </w:rPr>
            </w:pPr>
            <w:r w:rsidRPr="003A2165">
              <w:rPr>
                <w:color w:val="000000"/>
                <w:lang w:val="en-US"/>
              </w:rPr>
              <w:t>The mandatory application date of this Standard is currently 1 January 2018 after being amended by AASB 2012-6, AASB 2013-9 and AASB 2014-1 Amendments to Australian Accounting Standards. 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1-Jan-2018</w:t>
            </w:r>
          </w:p>
        </w:tc>
      </w:tr>
      <w:tr w:rsidR="003A2165" w:rsidRPr="003A2165" w:rsidTr="000115F1">
        <w:trPr>
          <w:trHeight w:val="2939"/>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15</w:t>
            </w:r>
          </w:p>
          <w:p w:rsidR="003A2165" w:rsidRPr="003A2165" w:rsidRDefault="003A2165" w:rsidP="003A2165">
            <w:pPr>
              <w:spacing w:after="0"/>
              <w:rPr>
                <w:color w:val="000000"/>
                <w:lang w:val="en-US"/>
              </w:rPr>
            </w:pPr>
            <w:r w:rsidRPr="003A2165">
              <w:rPr>
                <w:i/>
                <w:iCs/>
                <w:color w:val="000000"/>
                <w:lang w:val="en-US"/>
              </w:rPr>
              <w:t>Revenue from Contracts with Customers</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establishes the principles that the Department shall apply to report useful information to users of financial statements about the nature, amount, timing and uncertainty of revenue and cash flows arising from a contract with a customer.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1-Jan-2017</w:t>
            </w:r>
          </w:p>
        </w:tc>
      </w:tr>
      <w:tr w:rsidR="003A2165" w:rsidRPr="003A2165" w:rsidTr="000115F1">
        <w:trPr>
          <w:trHeight w:val="3458"/>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2010-7</w:t>
            </w:r>
          </w:p>
          <w:p w:rsidR="003A2165" w:rsidRPr="003A2165" w:rsidRDefault="003A2165" w:rsidP="003A2165">
            <w:pPr>
              <w:spacing w:after="0"/>
              <w:rPr>
                <w:color w:val="000000"/>
                <w:lang w:val="en-US"/>
              </w:rPr>
            </w:pPr>
            <w:r w:rsidRPr="003A2165">
              <w:rPr>
                <w:i/>
                <w:iCs/>
                <w:color w:val="000000"/>
                <w:lang w:val="en-US"/>
              </w:rPr>
              <w:t>Amendments to Australian Accounting Standards arising from AASB 9 (December 2010) [AASB 1, 3, 4, 5, 7, 101, 102, 108, 112, 118, 120, 121, 127, 128, 131, 132, 136, 137, 139, 1023 &amp; 1038 and Int 2, 5, 10, 12, 19 &amp; 127]</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makes consequential amendments to other Australian Accounting Standards and Interpretations as a result of issuing AASB 9 in December 2010. </w:t>
            </w:r>
          </w:p>
          <w:p w:rsidR="003A2165" w:rsidRPr="003A2165" w:rsidRDefault="003A2165" w:rsidP="003A2165">
            <w:pPr>
              <w:spacing w:after="0"/>
              <w:rPr>
                <w:color w:val="000000"/>
                <w:lang w:val="en-US"/>
              </w:rPr>
            </w:pPr>
            <w:r w:rsidRPr="003A2165">
              <w:rPr>
                <w:color w:val="000000"/>
                <w:lang w:val="en-US"/>
              </w:rPr>
              <w:t xml:space="preserve">The mandatory application date of this Standard has been amended by AASB 2012-6 and AASB 2014-1 to 1 January 2018.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1-Jan-2018</w:t>
            </w:r>
          </w:p>
        </w:tc>
      </w:tr>
      <w:tr w:rsidR="003A2165" w:rsidRPr="003A2165" w:rsidTr="000115F1">
        <w:trPr>
          <w:trHeight w:val="2120"/>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 xml:space="preserve">AASB 2013-9 </w:t>
            </w:r>
            <w:r w:rsidRPr="003A2165">
              <w:rPr>
                <w:i/>
                <w:iCs/>
                <w:color w:val="000000"/>
                <w:lang w:val="en-US"/>
              </w:rPr>
              <w:tab/>
            </w:r>
          </w:p>
          <w:p w:rsidR="003A2165" w:rsidRPr="003A2165" w:rsidRDefault="003A2165" w:rsidP="003A2165">
            <w:pPr>
              <w:spacing w:after="0"/>
              <w:rPr>
                <w:color w:val="000000"/>
                <w:lang w:val="en-US"/>
              </w:rPr>
            </w:pPr>
            <w:r w:rsidRPr="003A2165">
              <w:rPr>
                <w:i/>
                <w:iCs/>
                <w:color w:val="000000"/>
                <w:lang w:val="en-US"/>
              </w:rPr>
              <w:t>Amendments to Australian Accounting Standards Conceptual Framework, Materiality and Financial Instruments.</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Part C of this omnibus Standard defers the application of AASB 9 to 1 January 2017. The application date of AASB 9 was subsequently deferred to 1 January 2018 by AASB 2014-1.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AASB 9.</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1-Jan-2015</w:t>
            </w:r>
          </w:p>
        </w:tc>
      </w:tr>
      <w:tr w:rsidR="003A2165" w:rsidRPr="003A2165" w:rsidTr="000115F1">
        <w:trPr>
          <w:trHeight w:val="2140"/>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2014-1</w:t>
            </w:r>
          </w:p>
          <w:p w:rsidR="003A2165" w:rsidRPr="003A2165" w:rsidRDefault="003A2165" w:rsidP="003A2165">
            <w:pPr>
              <w:spacing w:after="0"/>
              <w:rPr>
                <w:color w:val="000000"/>
                <w:lang w:val="en-US"/>
              </w:rPr>
            </w:pPr>
            <w:r w:rsidRPr="003A2165">
              <w:rPr>
                <w:i/>
                <w:iCs/>
                <w:color w:val="000000"/>
                <w:lang w:val="en-US"/>
              </w:rPr>
              <w:t>Amendments to Australian Accounting Standards</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Part E of this Standard makes amendments to AASB 9 and consequential amendments to other Standards. </w:t>
            </w:r>
          </w:p>
          <w:p w:rsidR="003A2165" w:rsidRPr="003A2165" w:rsidRDefault="003A2165" w:rsidP="003A2165">
            <w:pPr>
              <w:spacing w:after="0"/>
              <w:rPr>
                <w:color w:val="000000"/>
                <w:lang w:val="en-US"/>
              </w:rPr>
            </w:pPr>
            <w:r w:rsidRPr="003A2165">
              <w:rPr>
                <w:color w:val="000000"/>
                <w:lang w:val="en-US"/>
              </w:rPr>
              <w:t>It has not yet been assessed by the Department to determine the application or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1-Jan-2018</w:t>
            </w:r>
          </w:p>
        </w:tc>
      </w:tr>
      <w:tr w:rsidR="003A2165" w:rsidRPr="003A2165" w:rsidTr="000115F1">
        <w:trPr>
          <w:trHeight w:val="2182"/>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2014-3</w:t>
            </w:r>
          </w:p>
          <w:p w:rsidR="003A2165" w:rsidRPr="003A2165" w:rsidRDefault="003A2165" w:rsidP="003A2165">
            <w:pPr>
              <w:spacing w:after="0"/>
              <w:rPr>
                <w:color w:val="000000"/>
                <w:lang w:val="en-US"/>
              </w:rPr>
            </w:pPr>
            <w:r w:rsidRPr="003A2165">
              <w:rPr>
                <w:i/>
                <w:iCs/>
                <w:color w:val="000000"/>
                <w:lang w:val="en-US"/>
              </w:rPr>
              <w:t>Amendments to Australian Accounting Standards – Accounting for Acquisitions of Interests in Joint Operations [AASB 1 &amp; 11]</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The Department establishes Joint Operations in pursuit of its objectives and does not routinely acquire interests in Joint Operations. </w:t>
            </w:r>
          </w:p>
          <w:p w:rsidR="003A2165" w:rsidRPr="003A2165" w:rsidRDefault="003A2165" w:rsidP="003A2165">
            <w:pPr>
              <w:spacing w:after="0"/>
              <w:rPr>
                <w:color w:val="000000"/>
                <w:lang w:val="en-US"/>
              </w:rPr>
            </w:pPr>
            <w:r w:rsidRPr="003A2165">
              <w:rPr>
                <w:color w:val="000000"/>
                <w:lang w:val="en-US"/>
              </w:rPr>
              <w:t>Therefore, there is no financial impact on application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1-Jan-2016</w:t>
            </w:r>
          </w:p>
        </w:tc>
      </w:tr>
      <w:tr w:rsidR="003A2165" w:rsidRPr="003A2165" w:rsidTr="000115F1">
        <w:trPr>
          <w:trHeight w:val="2777"/>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2014-5</w:t>
            </w:r>
          </w:p>
          <w:p w:rsidR="003A2165" w:rsidRPr="003A2165" w:rsidRDefault="003A2165" w:rsidP="003A2165">
            <w:pPr>
              <w:spacing w:after="0"/>
              <w:rPr>
                <w:color w:val="000000"/>
                <w:lang w:val="en-US"/>
              </w:rPr>
            </w:pPr>
            <w:r w:rsidRPr="003A2165">
              <w:rPr>
                <w:i/>
                <w:iCs/>
                <w:color w:val="000000"/>
                <w:lang w:val="en-US"/>
              </w:rPr>
              <w:t>Amendments to Australian Accounting Standards arising from AASB 15</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gives effect to the consequential amendments to Australian Accounting Standards (including Interpretations) arising from the issuance of AASB 15.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1-Jan-2017</w:t>
            </w:r>
          </w:p>
        </w:tc>
      </w:tr>
      <w:tr w:rsidR="003A2165" w:rsidRPr="003A2165" w:rsidTr="000115F1">
        <w:trPr>
          <w:trHeight w:val="2749"/>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2014-7</w:t>
            </w:r>
          </w:p>
          <w:p w:rsidR="003A2165" w:rsidRPr="003A2165" w:rsidRDefault="003A2165" w:rsidP="003A2165">
            <w:pPr>
              <w:spacing w:after="0"/>
              <w:rPr>
                <w:color w:val="000000"/>
                <w:lang w:val="en-US"/>
              </w:rPr>
            </w:pPr>
            <w:r w:rsidRPr="003A2165">
              <w:rPr>
                <w:i/>
                <w:iCs/>
                <w:color w:val="000000"/>
                <w:lang w:val="en-US"/>
              </w:rPr>
              <w:t>Amendments to Australian Accounting Standards arising from AASB 9 (December 2014)</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gives effect to the consequential amendments to Australian Accounting Standards (including Interpretations) arising from the issuance of AASB 9 (December 2014).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1-Jan-2018</w:t>
            </w:r>
          </w:p>
        </w:tc>
      </w:tr>
      <w:tr w:rsidR="003A2165" w:rsidRPr="003A2165" w:rsidTr="000115F1">
        <w:trPr>
          <w:trHeight w:val="2752"/>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2014-8</w:t>
            </w:r>
          </w:p>
          <w:p w:rsidR="003A2165" w:rsidRPr="003A2165" w:rsidRDefault="003A2165" w:rsidP="003A2165">
            <w:pPr>
              <w:spacing w:after="0"/>
              <w:rPr>
                <w:color w:val="000000"/>
                <w:lang w:val="en-US"/>
              </w:rPr>
            </w:pPr>
            <w:r w:rsidRPr="003A2165">
              <w:rPr>
                <w:i/>
                <w:iCs/>
                <w:color w:val="000000"/>
                <w:lang w:val="en-US"/>
              </w:rPr>
              <w:t>Amendments to Australian Accounting Standards arising from AASB 9 (December 2014) – Application of AASB 9 (December 2009) and AASB 9 (December 2010) [AASB 9 (2009 &amp; 2010)]</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This Standard makes amendments to AASB 9</w:t>
            </w:r>
            <w:r w:rsidRPr="003A2165">
              <w:rPr>
                <w:i/>
                <w:iCs/>
                <w:color w:val="000000"/>
                <w:lang w:val="en-US"/>
              </w:rPr>
              <w:t xml:space="preserve"> Financial Instruments </w:t>
            </w:r>
            <w:r w:rsidRPr="003A2165">
              <w:rPr>
                <w:color w:val="000000"/>
                <w:lang w:val="en-US"/>
              </w:rPr>
              <w:t xml:space="preserve">(December 2009) and AASB 9 </w:t>
            </w:r>
            <w:r w:rsidRPr="003A2165">
              <w:rPr>
                <w:i/>
                <w:iCs/>
                <w:color w:val="000000"/>
                <w:lang w:val="en-US"/>
              </w:rPr>
              <w:t xml:space="preserve">Financial Instruments </w:t>
            </w:r>
            <w:r w:rsidRPr="003A2165">
              <w:rPr>
                <w:color w:val="000000"/>
                <w:lang w:val="en-US"/>
              </w:rPr>
              <w:t xml:space="preserve">(December 2010), arising from the issuance of </w:t>
            </w:r>
            <w:r w:rsidRPr="003A2165">
              <w:rPr>
                <w:i/>
                <w:iCs/>
                <w:color w:val="000000"/>
                <w:lang w:val="en-US"/>
              </w:rPr>
              <w:t>AASB 9 Financial Instruments</w:t>
            </w:r>
            <w:r w:rsidRPr="003A2165">
              <w:rPr>
                <w:color w:val="000000"/>
                <w:lang w:val="en-US"/>
              </w:rPr>
              <w:t xml:space="preserve"> in December 2014.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1-Jan-2015</w:t>
            </w:r>
          </w:p>
        </w:tc>
      </w:tr>
      <w:tr w:rsidR="003A2165" w:rsidRPr="003A2165" w:rsidTr="000115F1">
        <w:trPr>
          <w:trHeight w:val="3037"/>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2014-9</w:t>
            </w:r>
          </w:p>
          <w:p w:rsidR="003A2165" w:rsidRPr="003A2165" w:rsidRDefault="003A2165" w:rsidP="003A2165">
            <w:pPr>
              <w:spacing w:after="0"/>
              <w:rPr>
                <w:color w:val="000000"/>
                <w:lang w:val="en-US"/>
              </w:rPr>
            </w:pPr>
            <w:r w:rsidRPr="003A2165">
              <w:rPr>
                <w:i/>
                <w:iCs/>
                <w:color w:val="000000"/>
                <w:lang w:val="en-US"/>
              </w:rPr>
              <w:t>Amendments to Australian Accounting Standards – Equity Method in Separate Financial Statements [AASB 1, 127 &amp; 128]</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amends AASB 127, and consequentially amends AASB 1 and AASB 128, to allow entities to use the equity method of accounting for investments in subsidiaries, joint ventures and associates in their separate financial statements.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1-Jan-2016</w:t>
            </w:r>
          </w:p>
        </w:tc>
      </w:tr>
      <w:tr w:rsidR="003A2165" w:rsidRPr="003A2165" w:rsidTr="000115F1">
        <w:trPr>
          <w:trHeight w:val="3004"/>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2014-10</w:t>
            </w:r>
          </w:p>
          <w:p w:rsidR="003A2165" w:rsidRPr="003A2165" w:rsidRDefault="003A2165" w:rsidP="003A2165">
            <w:pPr>
              <w:spacing w:after="0"/>
              <w:rPr>
                <w:color w:val="000000"/>
                <w:lang w:val="en-US"/>
              </w:rPr>
            </w:pPr>
            <w:r w:rsidRPr="003A2165">
              <w:rPr>
                <w:i/>
                <w:iCs/>
                <w:color w:val="000000"/>
                <w:lang w:val="en-US"/>
              </w:rPr>
              <w:t>Amendments to Australian Accounting Standards – Sale or Contribution of Assets between an Investor and its Associate or Joint Venture [AASB 10 &amp; 128]</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amends AASB 10 and AASB 128 to address an inconsistency between the requirements in AASB 10 and those in AASB 128 (August 2011), in dealing with the sale or contribution of assets between an investor and its associate or joint venture.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1-Jan-2016</w:t>
            </w:r>
          </w:p>
        </w:tc>
      </w:tr>
      <w:tr w:rsidR="003A2165" w:rsidRPr="003A2165" w:rsidTr="000115F1">
        <w:trPr>
          <w:trHeight w:val="2664"/>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2015-1</w:t>
            </w:r>
          </w:p>
          <w:p w:rsidR="003A2165" w:rsidRPr="003A2165" w:rsidRDefault="003A2165" w:rsidP="003A2165">
            <w:pPr>
              <w:spacing w:after="0"/>
              <w:rPr>
                <w:color w:val="000000"/>
                <w:lang w:val="en-US"/>
              </w:rPr>
            </w:pPr>
            <w:r w:rsidRPr="003A2165">
              <w:rPr>
                <w:i/>
                <w:iCs/>
                <w:color w:val="000000"/>
                <w:lang w:val="en-US"/>
              </w:rPr>
              <w:t>Amendments to Australian Accounting Standards – Annual Improvements to Australian Accounting Standards 2012–2014 Cycle [AASB 1, 2, 3, 5, 7, 11, 110, 119, 121, 133, 134, 137 &amp; 140]</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These amendments arise from the issuance of International Financial Reporting Standard Annual Improvements to IFRSs 2012–2014 Cycle in September 2014, and editorial corrections. </w:t>
            </w:r>
          </w:p>
          <w:p w:rsidR="003A2165" w:rsidRPr="003A2165" w:rsidRDefault="003A2165" w:rsidP="003A2165">
            <w:pPr>
              <w:spacing w:after="0"/>
              <w:rPr>
                <w:color w:val="000000"/>
                <w:lang w:val="en-US"/>
              </w:rPr>
            </w:pPr>
            <w:r w:rsidRPr="003A2165">
              <w:rPr>
                <w:color w:val="000000"/>
                <w:lang w:val="en-US"/>
              </w:rPr>
              <w:t>The Department has not yet determined the application or the potential impact of the Standard.</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1-Jan-2016</w:t>
            </w:r>
          </w:p>
        </w:tc>
      </w:tr>
      <w:tr w:rsidR="003A2165" w:rsidRPr="003A2165" w:rsidTr="000115F1">
        <w:trPr>
          <w:trHeight w:val="3508"/>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2015-2</w:t>
            </w:r>
          </w:p>
          <w:p w:rsidR="003A2165" w:rsidRPr="003A2165" w:rsidRDefault="003A2165" w:rsidP="003A2165">
            <w:pPr>
              <w:spacing w:after="0"/>
              <w:rPr>
                <w:color w:val="000000"/>
                <w:lang w:val="en-US"/>
              </w:rPr>
            </w:pPr>
            <w:r w:rsidRPr="003A2165">
              <w:rPr>
                <w:i/>
                <w:iCs/>
                <w:color w:val="000000"/>
                <w:lang w:val="en-US"/>
              </w:rPr>
              <w:t>Amendments to Australian Accounting Standards – Disclosure Initiative: Amendments to AASB 101 [AASB 7, 101, 134 &amp; 1049]</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amends AASB 101 to provide clarification regarding the disclosure requirements in AASB 101. Specifically, the Standard proposes narrow-focus amendments to address some of the concerns expressed about existing presentation and disclosure requirements and to ensure entities are able to use </w:t>
            </w:r>
            <w:r w:rsidR="008E1AC9" w:rsidRPr="003A2165">
              <w:rPr>
                <w:color w:val="000000"/>
                <w:lang w:val="en-US"/>
              </w:rPr>
              <w:t>judgment</w:t>
            </w:r>
            <w:r w:rsidRPr="003A2165">
              <w:rPr>
                <w:color w:val="000000"/>
                <w:lang w:val="en-US"/>
              </w:rPr>
              <w:t xml:space="preserve"> when applying a Standard in determining what information to disclose in their financial statements. </w:t>
            </w:r>
          </w:p>
          <w:p w:rsidR="003A2165" w:rsidRPr="003A2165" w:rsidRDefault="003A2165" w:rsidP="003A2165">
            <w:pPr>
              <w:spacing w:after="0"/>
              <w:rPr>
                <w:color w:val="000000"/>
                <w:lang w:val="en-US"/>
              </w:rPr>
            </w:pPr>
            <w:r w:rsidRPr="003A2165">
              <w:rPr>
                <w:color w:val="000000"/>
                <w:lang w:val="en-US"/>
              </w:rPr>
              <w:t>There is no financial impact.</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1-Jan-2016</w:t>
            </w:r>
          </w:p>
        </w:tc>
      </w:tr>
      <w:tr w:rsidR="003A2165" w:rsidRPr="003A2165" w:rsidTr="000115F1">
        <w:trPr>
          <w:trHeight w:val="2034"/>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2015-3</w:t>
            </w:r>
          </w:p>
          <w:p w:rsidR="003A2165" w:rsidRPr="003A2165" w:rsidRDefault="003A2165" w:rsidP="003A2165">
            <w:pPr>
              <w:spacing w:after="0"/>
              <w:rPr>
                <w:i/>
                <w:iCs/>
                <w:color w:val="000000"/>
                <w:lang w:val="en-US"/>
              </w:rPr>
            </w:pPr>
            <w:r w:rsidRPr="003A2165">
              <w:rPr>
                <w:i/>
                <w:iCs/>
                <w:color w:val="000000"/>
                <w:lang w:val="en-US"/>
              </w:rPr>
              <w:t>Amendments to Australian Accounting Standards arising from the Withdrawal of AASB 1031 Materiality</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This Standard completes the withdrawal of references to AASB 1031 in all Australian Accounting Standards and Interpretations, allowing that Standard to effectively be withdrawn. </w:t>
            </w:r>
          </w:p>
          <w:p w:rsidR="003A2165" w:rsidRPr="003A2165" w:rsidRDefault="003A2165" w:rsidP="003A2165">
            <w:pPr>
              <w:spacing w:after="0"/>
              <w:rPr>
                <w:color w:val="000000"/>
                <w:lang w:val="en-US"/>
              </w:rPr>
            </w:pPr>
            <w:r w:rsidRPr="003A2165">
              <w:rPr>
                <w:color w:val="000000"/>
                <w:lang w:val="en-US"/>
              </w:rPr>
              <w:t>There is no financial impact.</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1-Jan-2015</w:t>
            </w:r>
          </w:p>
        </w:tc>
      </w:tr>
      <w:tr w:rsidR="003A2165" w:rsidRPr="003A2165" w:rsidTr="000115F1">
        <w:trPr>
          <w:trHeight w:val="3016"/>
        </w:trPr>
        <w:tc>
          <w:tcPr>
            <w:tcW w:w="3453" w:type="dxa"/>
            <w:shd w:val="solid" w:color="FFFFFF" w:fill="auto"/>
            <w:tcMar>
              <w:top w:w="113" w:type="dxa"/>
              <w:left w:w="80" w:type="dxa"/>
              <w:bottom w:w="113" w:type="dxa"/>
              <w:right w:w="80" w:type="dxa"/>
            </w:tcMar>
          </w:tcPr>
          <w:p w:rsidR="003A2165" w:rsidRPr="003A2165" w:rsidRDefault="003A2165" w:rsidP="003A2165">
            <w:pPr>
              <w:spacing w:after="0"/>
              <w:rPr>
                <w:i/>
                <w:iCs/>
                <w:color w:val="000000"/>
                <w:lang w:val="en-US"/>
              </w:rPr>
            </w:pPr>
            <w:r w:rsidRPr="003A2165">
              <w:rPr>
                <w:i/>
                <w:iCs/>
                <w:color w:val="000000"/>
                <w:lang w:val="en-US"/>
              </w:rPr>
              <w:t>AASB 2015-6</w:t>
            </w:r>
          </w:p>
          <w:p w:rsidR="003A2165" w:rsidRPr="003A2165" w:rsidRDefault="003A2165" w:rsidP="003A2165">
            <w:pPr>
              <w:spacing w:after="0"/>
              <w:rPr>
                <w:i/>
                <w:iCs/>
                <w:color w:val="000000"/>
                <w:lang w:val="en-US"/>
              </w:rPr>
            </w:pPr>
            <w:r w:rsidRPr="003A2165">
              <w:rPr>
                <w:i/>
                <w:iCs/>
                <w:color w:val="000000"/>
                <w:lang w:val="en-US"/>
              </w:rPr>
              <w:t>Amendments to Australian Accounting Standards – Extending Related Party Disclosures to Not-for-Profit Public Sector Entities [AASB 10, 124 &amp; 1049]</w:t>
            </w:r>
          </w:p>
        </w:tc>
        <w:tc>
          <w:tcPr>
            <w:tcW w:w="5055" w:type="dxa"/>
            <w:shd w:val="solid" w:color="FFFFFF" w:fill="auto"/>
            <w:tcMar>
              <w:top w:w="113" w:type="dxa"/>
              <w:left w:w="80" w:type="dxa"/>
              <w:bottom w:w="113" w:type="dxa"/>
              <w:right w:w="80" w:type="dxa"/>
            </w:tcMar>
          </w:tcPr>
          <w:p w:rsidR="003A2165" w:rsidRPr="003A2165" w:rsidRDefault="003A2165" w:rsidP="003A2165">
            <w:pPr>
              <w:spacing w:after="0"/>
              <w:rPr>
                <w:color w:val="000000"/>
                <w:lang w:val="en-US"/>
              </w:rPr>
            </w:pPr>
            <w:r w:rsidRPr="003A2165">
              <w:rPr>
                <w:color w:val="000000"/>
                <w:lang w:val="en-US"/>
              </w:rPr>
              <w:t xml:space="preserve">The amendments extend the scope of AASB 124 to include application by not-for-profit public sector entities. Implementation guidance is included to assist application of the Standard by not-for-profit public sector entities. </w:t>
            </w:r>
          </w:p>
          <w:p w:rsidR="003A2165" w:rsidRPr="003A2165" w:rsidRDefault="003A2165" w:rsidP="003A2165">
            <w:pPr>
              <w:spacing w:after="0"/>
              <w:rPr>
                <w:color w:val="000000"/>
                <w:lang w:val="en-US"/>
              </w:rPr>
            </w:pPr>
            <w:r w:rsidRPr="003A2165">
              <w:rPr>
                <w:color w:val="000000"/>
                <w:lang w:val="en-US"/>
              </w:rPr>
              <w:t>The Department has not yet determined the application of the Standard, though there is no financial impact.</w:t>
            </w:r>
          </w:p>
        </w:tc>
        <w:tc>
          <w:tcPr>
            <w:tcW w:w="1858" w:type="dxa"/>
            <w:shd w:val="solid" w:color="FFFFFF" w:fill="auto"/>
            <w:tcMar>
              <w:top w:w="113" w:type="dxa"/>
              <w:left w:w="80" w:type="dxa"/>
              <w:bottom w:w="113" w:type="dxa"/>
              <w:right w:w="80" w:type="dxa"/>
            </w:tcMar>
          </w:tcPr>
          <w:p w:rsidR="003A2165" w:rsidRPr="003A2165" w:rsidRDefault="003A2165" w:rsidP="003A2165">
            <w:pPr>
              <w:spacing w:after="0"/>
              <w:jc w:val="center"/>
              <w:rPr>
                <w:color w:val="000000"/>
                <w:lang w:val="en-US"/>
              </w:rPr>
            </w:pPr>
            <w:r w:rsidRPr="003A2165">
              <w:rPr>
                <w:color w:val="000000"/>
                <w:lang w:val="en-US"/>
              </w:rPr>
              <w:t>1-Jan-2016</w:t>
            </w:r>
          </w:p>
        </w:tc>
      </w:tr>
    </w:tbl>
    <w:p w:rsidR="002A26A8" w:rsidRDefault="002A26A8" w:rsidP="005629B9">
      <w:pPr>
        <w:rPr>
          <w:lang w:eastAsia="en-AU"/>
        </w:rPr>
      </w:pPr>
    </w:p>
    <w:p w:rsidR="002A26A8" w:rsidRDefault="002A26A8">
      <w:pPr>
        <w:spacing w:line="276" w:lineRule="auto"/>
        <w:rPr>
          <w:lang w:eastAsia="en-AU"/>
        </w:rPr>
      </w:pPr>
      <w:r>
        <w:rPr>
          <w:lang w:eastAsia="en-AU"/>
        </w:rPr>
        <w:br w:type="page"/>
      </w:r>
    </w:p>
    <w:p w:rsidR="00FC4E35" w:rsidRPr="001630AB" w:rsidRDefault="00FC4E35" w:rsidP="001630AB">
      <w:pPr>
        <w:pStyle w:val="Heading4"/>
        <w:numPr>
          <w:ilvl w:val="0"/>
          <w:numId w:val="76"/>
        </w:numPr>
      </w:pPr>
      <w:r w:rsidRPr="00FC4E35">
        <w:t>Employee Benefit Expense</w:t>
      </w:r>
    </w:p>
    <w:tbl>
      <w:tblPr>
        <w:tblW w:w="6920" w:type="dxa"/>
        <w:tblInd w:w="93" w:type="dxa"/>
        <w:tblLook w:val="04A0" w:firstRow="1" w:lastRow="0" w:firstColumn="1" w:lastColumn="0" w:noHBand="0" w:noVBand="1"/>
      </w:tblPr>
      <w:tblGrid>
        <w:gridCol w:w="4680"/>
        <w:gridCol w:w="1120"/>
        <w:gridCol w:w="1120"/>
      </w:tblGrid>
      <w:tr w:rsidR="006878CB" w:rsidRPr="006878CB" w:rsidTr="006878CB">
        <w:trPr>
          <w:trHeight w:val="710"/>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6878CB" w:rsidRPr="006878CB" w:rsidRDefault="006878CB" w:rsidP="006878CB">
            <w:pPr>
              <w:spacing w:after="0"/>
              <w:jc w:val="right"/>
              <w:rPr>
                <w:b/>
                <w:lang w:eastAsia="en-AU"/>
              </w:rPr>
            </w:pPr>
            <w:r w:rsidRPr="006878CB">
              <w:rPr>
                <w:b/>
                <w:lang w:eastAsia="en-AU"/>
              </w:rPr>
              <w:t>2015 $000</w:t>
            </w:r>
          </w:p>
        </w:tc>
        <w:tc>
          <w:tcPr>
            <w:tcW w:w="1120" w:type="dxa"/>
            <w:tcBorders>
              <w:top w:val="nil"/>
              <w:left w:val="nil"/>
              <w:bottom w:val="nil"/>
              <w:right w:val="nil"/>
            </w:tcBorders>
            <w:shd w:val="clear" w:color="auto" w:fill="auto"/>
            <w:noWrap/>
            <w:vAlign w:val="bottom"/>
            <w:hideMark/>
          </w:tcPr>
          <w:p w:rsidR="006878CB" w:rsidRPr="006878CB" w:rsidRDefault="006878CB" w:rsidP="006878CB">
            <w:pPr>
              <w:spacing w:after="0"/>
              <w:jc w:val="right"/>
              <w:rPr>
                <w:b/>
                <w:lang w:eastAsia="en-AU"/>
              </w:rPr>
            </w:pPr>
            <w:r w:rsidRPr="006878CB">
              <w:rPr>
                <w:b/>
                <w:lang w:eastAsia="en-AU"/>
              </w:rPr>
              <w:t>2014 $000</w:t>
            </w:r>
          </w:p>
        </w:tc>
      </w:tr>
      <w:tr w:rsidR="006878CB" w:rsidRPr="006878CB" w:rsidTr="006878CB">
        <w:trPr>
          <w:trHeight w:val="43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Wages and salaries</w:t>
            </w:r>
            <w:r w:rsidRPr="006878CB">
              <w:rPr>
                <w:vertAlign w:val="superscript"/>
                <w:lang w:eastAsia="en-AU"/>
              </w:rPr>
              <w:t>(a)</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6878CB">
            <w:pPr>
              <w:spacing w:after="0"/>
              <w:jc w:val="right"/>
              <w:rPr>
                <w:lang w:eastAsia="en-AU"/>
              </w:rPr>
            </w:pPr>
            <w:r w:rsidRPr="006878CB">
              <w:rPr>
                <w:lang w:eastAsia="en-AU"/>
              </w:rPr>
              <w:t>72,360</w:t>
            </w:r>
          </w:p>
        </w:tc>
        <w:tc>
          <w:tcPr>
            <w:tcW w:w="1120" w:type="dxa"/>
            <w:tcBorders>
              <w:top w:val="nil"/>
              <w:left w:val="nil"/>
              <w:bottom w:val="nil"/>
              <w:right w:val="nil"/>
            </w:tcBorders>
            <w:shd w:val="clear" w:color="auto" w:fill="auto"/>
            <w:noWrap/>
            <w:vAlign w:val="center"/>
            <w:hideMark/>
          </w:tcPr>
          <w:p w:rsidR="006878CB" w:rsidRPr="006878CB" w:rsidRDefault="006878CB" w:rsidP="006878CB">
            <w:pPr>
              <w:spacing w:after="0"/>
              <w:jc w:val="right"/>
              <w:rPr>
                <w:lang w:eastAsia="en-AU"/>
              </w:rPr>
            </w:pPr>
            <w:r w:rsidRPr="006878CB">
              <w:rPr>
                <w:lang w:eastAsia="en-AU"/>
              </w:rPr>
              <w:t>75,071</w:t>
            </w:r>
          </w:p>
        </w:tc>
      </w:tr>
      <w:tr w:rsidR="006878CB" w:rsidRPr="006878CB" w:rsidTr="006878CB">
        <w:trPr>
          <w:trHeight w:val="569"/>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Superannuation - defined contribution plans</w:t>
            </w:r>
            <w:r w:rsidRPr="006878CB">
              <w:rPr>
                <w:vertAlign w:val="superscript"/>
                <w:lang w:eastAsia="en-AU"/>
              </w:rPr>
              <w:t>(b)</w:t>
            </w:r>
          </w:p>
        </w:tc>
        <w:tc>
          <w:tcPr>
            <w:tcW w:w="1120" w:type="dxa"/>
            <w:tcBorders>
              <w:top w:val="nil"/>
              <w:left w:val="nil"/>
              <w:bottom w:val="single" w:sz="6" w:space="0" w:color="auto"/>
              <w:right w:val="nil"/>
            </w:tcBorders>
            <w:shd w:val="clear" w:color="auto" w:fill="F2F2F2" w:themeFill="background1" w:themeFillShade="F2"/>
            <w:noWrap/>
            <w:vAlign w:val="center"/>
            <w:hideMark/>
          </w:tcPr>
          <w:p w:rsidR="006878CB" w:rsidRPr="006878CB" w:rsidRDefault="006878CB" w:rsidP="006878CB">
            <w:pPr>
              <w:spacing w:after="0"/>
              <w:jc w:val="right"/>
              <w:rPr>
                <w:lang w:eastAsia="en-AU"/>
              </w:rPr>
            </w:pPr>
            <w:r w:rsidRPr="006878CB">
              <w:rPr>
                <w:lang w:eastAsia="en-AU"/>
              </w:rPr>
              <w:t>6,081</w:t>
            </w:r>
          </w:p>
        </w:tc>
        <w:tc>
          <w:tcPr>
            <w:tcW w:w="1120" w:type="dxa"/>
            <w:tcBorders>
              <w:top w:val="nil"/>
              <w:left w:val="nil"/>
              <w:bottom w:val="single" w:sz="6" w:space="0" w:color="auto"/>
              <w:right w:val="nil"/>
            </w:tcBorders>
            <w:shd w:val="clear" w:color="auto" w:fill="auto"/>
            <w:noWrap/>
            <w:vAlign w:val="center"/>
            <w:hideMark/>
          </w:tcPr>
          <w:p w:rsidR="006878CB" w:rsidRPr="006878CB" w:rsidRDefault="006878CB" w:rsidP="006878CB">
            <w:pPr>
              <w:spacing w:after="0"/>
              <w:jc w:val="right"/>
              <w:rPr>
                <w:lang w:eastAsia="en-AU"/>
              </w:rPr>
            </w:pPr>
            <w:r w:rsidRPr="006878CB">
              <w:rPr>
                <w:lang w:eastAsia="en-AU"/>
              </w:rPr>
              <w:t>6,245</w:t>
            </w:r>
          </w:p>
        </w:tc>
      </w:tr>
      <w:tr w:rsidR="006878CB" w:rsidRPr="006878CB" w:rsidTr="006878CB">
        <w:trPr>
          <w:trHeight w:val="328"/>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p>
        </w:tc>
        <w:tc>
          <w:tcPr>
            <w:tcW w:w="1120" w:type="dxa"/>
            <w:tcBorders>
              <w:top w:val="single" w:sz="6" w:space="0" w:color="auto"/>
              <w:left w:val="nil"/>
              <w:bottom w:val="double" w:sz="4" w:space="0" w:color="auto"/>
              <w:right w:val="nil"/>
            </w:tcBorders>
            <w:shd w:val="clear" w:color="auto" w:fill="F2F2F2" w:themeFill="background1" w:themeFillShade="F2"/>
            <w:noWrap/>
            <w:vAlign w:val="center"/>
            <w:hideMark/>
          </w:tcPr>
          <w:p w:rsidR="006878CB" w:rsidRPr="006878CB" w:rsidRDefault="006878CB" w:rsidP="006878CB">
            <w:pPr>
              <w:spacing w:after="0"/>
              <w:jc w:val="right"/>
              <w:rPr>
                <w:lang w:eastAsia="en-AU"/>
              </w:rPr>
            </w:pPr>
            <w:r w:rsidRPr="006878CB">
              <w:rPr>
                <w:lang w:eastAsia="en-AU"/>
              </w:rPr>
              <w:t>78,441</w:t>
            </w:r>
          </w:p>
        </w:tc>
        <w:tc>
          <w:tcPr>
            <w:tcW w:w="1120" w:type="dxa"/>
            <w:tcBorders>
              <w:top w:val="single" w:sz="6" w:space="0" w:color="auto"/>
              <w:left w:val="nil"/>
              <w:bottom w:val="double" w:sz="4" w:space="0" w:color="auto"/>
              <w:right w:val="nil"/>
            </w:tcBorders>
            <w:shd w:val="clear" w:color="auto" w:fill="auto"/>
            <w:noWrap/>
            <w:vAlign w:val="center"/>
            <w:hideMark/>
          </w:tcPr>
          <w:p w:rsidR="006878CB" w:rsidRPr="006878CB" w:rsidRDefault="006878CB" w:rsidP="006878CB">
            <w:pPr>
              <w:spacing w:after="0"/>
              <w:jc w:val="right"/>
              <w:rPr>
                <w:lang w:eastAsia="en-AU"/>
              </w:rPr>
            </w:pPr>
            <w:r w:rsidRPr="006878CB">
              <w:rPr>
                <w:lang w:eastAsia="en-AU"/>
              </w:rPr>
              <w:t>81,316</w:t>
            </w:r>
          </w:p>
        </w:tc>
      </w:tr>
    </w:tbl>
    <w:p w:rsidR="00FC4E35" w:rsidRDefault="00FC4E35" w:rsidP="00FC4E35">
      <w:pPr>
        <w:suppressAutoHyphens/>
        <w:autoSpaceDE w:val="0"/>
        <w:autoSpaceDN w:val="0"/>
        <w:adjustRightInd w:val="0"/>
        <w:spacing w:after="0" w:line="288" w:lineRule="auto"/>
        <w:textAlignment w:val="center"/>
        <w:rPr>
          <w:color w:val="000000"/>
          <w:lang w:val="en-US"/>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6878CB">
        <w:trPr>
          <w:trHeight w:val="715"/>
        </w:trPr>
        <w:tc>
          <w:tcPr>
            <w:tcW w:w="370" w:type="dxa"/>
            <w:tcMar>
              <w:top w:w="85" w:type="dxa"/>
              <w:left w:w="0" w:type="dxa"/>
              <w:bottom w:w="85" w:type="dxa"/>
              <w:right w:w="0" w:type="dxa"/>
            </w:tcMar>
          </w:tcPr>
          <w:p w:rsidR="00FC4E35" w:rsidRPr="00FC4E35" w:rsidRDefault="006878CB" w:rsidP="00FC4E35">
            <w:pPr>
              <w:rPr>
                <w:lang w:val="en-US"/>
              </w:rPr>
            </w:pPr>
            <w:r w:rsidRPr="00FC4E35">
              <w:rPr>
                <w:lang w:val="en-US"/>
              </w:rPr>
              <w:t xml:space="preserve"> </w:t>
            </w:r>
            <w:r w:rsidR="00FC4E35" w:rsidRPr="00FC4E35">
              <w:rPr>
                <w:lang w:val="en-US"/>
              </w:rPr>
              <w:t>(a)</w:t>
            </w:r>
          </w:p>
        </w:tc>
        <w:tc>
          <w:tcPr>
            <w:tcW w:w="9996" w:type="dxa"/>
            <w:tcMar>
              <w:top w:w="85" w:type="dxa"/>
              <w:left w:w="80" w:type="dxa"/>
              <w:bottom w:w="85" w:type="dxa"/>
              <w:right w:w="80" w:type="dxa"/>
            </w:tcMar>
          </w:tcPr>
          <w:p w:rsidR="00FC4E35" w:rsidRPr="00FC4E35" w:rsidRDefault="00FC4E35" w:rsidP="00FC4E35">
            <w:pPr>
              <w:rPr>
                <w:lang w:val="en-US"/>
              </w:rPr>
            </w:pPr>
            <w:r w:rsidRPr="00FC4E35">
              <w:rPr>
                <w:lang w:val="en-US"/>
              </w:rPr>
              <w:t>Includes the value of the fringe benefit to the employee plus the fringe benefits tax component, leave entitlements including superannuation contribution component.</w:t>
            </w:r>
          </w:p>
        </w:tc>
      </w:tr>
      <w:tr w:rsidR="00FC4E35" w:rsidRPr="00FC4E35" w:rsidTr="006878CB">
        <w:trPr>
          <w:trHeight w:val="715"/>
        </w:trPr>
        <w:tc>
          <w:tcPr>
            <w:tcW w:w="370" w:type="dxa"/>
            <w:tcMar>
              <w:top w:w="85" w:type="dxa"/>
              <w:left w:w="0" w:type="dxa"/>
              <w:bottom w:w="85" w:type="dxa"/>
              <w:right w:w="0" w:type="dxa"/>
            </w:tcMar>
          </w:tcPr>
          <w:p w:rsidR="00FC4E35" w:rsidRPr="00FC4E35" w:rsidRDefault="00FC4E35" w:rsidP="00FC4E35">
            <w:pPr>
              <w:rPr>
                <w:lang w:val="en-US"/>
              </w:rPr>
            </w:pPr>
            <w:r w:rsidRPr="00FC4E35">
              <w:rPr>
                <w:lang w:val="en-US"/>
              </w:rPr>
              <w:t>(b)</w:t>
            </w:r>
          </w:p>
        </w:tc>
        <w:tc>
          <w:tcPr>
            <w:tcW w:w="9996" w:type="dxa"/>
            <w:tcMar>
              <w:top w:w="85" w:type="dxa"/>
              <w:left w:w="80" w:type="dxa"/>
              <w:bottom w:w="85" w:type="dxa"/>
              <w:right w:w="80" w:type="dxa"/>
            </w:tcMar>
          </w:tcPr>
          <w:p w:rsidR="00FC4E35" w:rsidRPr="00FC4E35" w:rsidRDefault="00FC4E35" w:rsidP="00FC4E35">
            <w:pPr>
              <w:rPr>
                <w:lang w:val="en-US"/>
              </w:rPr>
            </w:pPr>
            <w:r w:rsidRPr="00FC4E35">
              <w:rPr>
                <w:lang w:val="en-US"/>
              </w:rPr>
              <w:t>Defined contribution plans include West State, Gold State, GESB Super Scheme and other eligible funds.</w:t>
            </w:r>
          </w:p>
        </w:tc>
      </w:tr>
    </w:tbl>
    <w:p w:rsidR="00E924E4" w:rsidRPr="00FC4E35" w:rsidRDefault="00FC4E35" w:rsidP="00E924E4">
      <w:pPr>
        <w:rPr>
          <w:lang w:val="en-US"/>
        </w:rPr>
      </w:pPr>
      <w:r w:rsidRPr="00FC4E35">
        <w:rPr>
          <w:lang w:val="en-US"/>
        </w:rPr>
        <w:t>Employment on-costs expenses, such as workers’ compensation insurance are included at note 11 ‘Other expenses’.  The employment on-costs liability is in</w:t>
      </w:r>
      <w:r w:rsidR="006878CB">
        <w:rPr>
          <w:lang w:val="en-US"/>
        </w:rPr>
        <w:t>cluded at note 24 ‘Provisions’.</w:t>
      </w:r>
    </w:p>
    <w:p w:rsidR="00FC4E35" w:rsidRPr="001630AB" w:rsidRDefault="00FC4E35" w:rsidP="001630AB">
      <w:pPr>
        <w:pStyle w:val="Heading4"/>
        <w:numPr>
          <w:ilvl w:val="0"/>
          <w:numId w:val="76"/>
        </w:numPr>
        <w:rPr>
          <w:lang w:val="en-US"/>
        </w:rPr>
      </w:pPr>
      <w:r w:rsidRPr="00FC4E35">
        <w:rPr>
          <w:lang w:val="en-US"/>
        </w:rPr>
        <w:t>Supplies and Services</w:t>
      </w:r>
    </w:p>
    <w:tbl>
      <w:tblPr>
        <w:tblW w:w="6920" w:type="dxa"/>
        <w:tblInd w:w="93" w:type="dxa"/>
        <w:tblLook w:val="04A0" w:firstRow="1" w:lastRow="0" w:firstColumn="1" w:lastColumn="0" w:noHBand="0" w:noVBand="1"/>
      </w:tblPr>
      <w:tblGrid>
        <w:gridCol w:w="4680"/>
        <w:gridCol w:w="1120"/>
        <w:gridCol w:w="1120"/>
      </w:tblGrid>
      <w:tr w:rsidR="006878CB" w:rsidRPr="006878CB" w:rsidTr="006878CB">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6878CB" w:rsidRPr="006878CB" w:rsidRDefault="006878CB" w:rsidP="006878CB">
            <w:pPr>
              <w:spacing w:after="0"/>
              <w:jc w:val="right"/>
              <w:rPr>
                <w:b/>
                <w:lang w:eastAsia="en-AU"/>
              </w:rPr>
            </w:pPr>
            <w:r w:rsidRPr="006878CB">
              <w:rPr>
                <w:b/>
                <w:lang w:eastAsia="en-AU"/>
              </w:rPr>
              <w:t>2015 $000</w:t>
            </w:r>
          </w:p>
        </w:tc>
        <w:tc>
          <w:tcPr>
            <w:tcW w:w="1120" w:type="dxa"/>
            <w:tcBorders>
              <w:top w:val="nil"/>
              <w:left w:val="nil"/>
              <w:bottom w:val="nil"/>
              <w:right w:val="nil"/>
            </w:tcBorders>
            <w:shd w:val="clear" w:color="auto" w:fill="auto"/>
            <w:noWrap/>
            <w:vAlign w:val="bottom"/>
            <w:hideMark/>
          </w:tcPr>
          <w:p w:rsidR="006878CB" w:rsidRPr="006878CB" w:rsidRDefault="006878CB" w:rsidP="006878CB">
            <w:pPr>
              <w:spacing w:after="0"/>
              <w:jc w:val="right"/>
              <w:rPr>
                <w:b/>
                <w:lang w:eastAsia="en-AU"/>
              </w:rPr>
            </w:pPr>
            <w:r w:rsidRPr="006878CB">
              <w:rPr>
                <w:b/>
                <w:lang w:eastAsia="en-AU"/>
              </w:rPr>
              <w:t>2014 $000</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Professional services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13,807</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14,254</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Travel</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3,044</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2,956</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Other staff costs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161</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260</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Communications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2,415</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2,688</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Consumables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2,769</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2,207</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Lease of aircraft</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6,585</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6,398</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Lease of motor vehicle</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1,419</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1,766</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Computer software licences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743</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632</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Contract – security</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740</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932</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Contract – cleaning services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474</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430</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Other administration costs</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1,265</w:t>
            </w:r>
          </w:p>
        </w:tc>
        <w:tc>
          <w:tcPr>
            <w:tcW w:w="1120" w:type="dxa"/>
            <w:tcBorders>
              <w:top w:val="nil"/>
              <w:left w:val="nil"/>
              <w:bottom w:val="single" w:sz="4" w:space="0" w:color="auto"/>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1,542</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33,422</w:t>
            </w:r>
          </w:p>
        </w:tc>
        <w:tc>
          <w:tcPr>
            <w:tcW w:w="1120" w:type="dxa"/>
            <w:tcBorders>
              <w:top w:val="single" w:sz="4" w:space="0" w:color="auto"/>
              <w:left w:val="nil"/>
              <w:bottom w:val="double" w:sz="4" w:space="0" w:color="auto"/>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34,065</w:t>
            </w:r>
          </w:p>
        </w:tc>
      </w:tr>
    </w:tbl>
    <w:p w:rsidR="002A26A8" w:rsidRDefault="002A26A8" w:rsidP="006878CB">
      <w:pPr>
        <w:rPr>
          <w:lang w:val="en-US"/>
        </w:rPr>
      </w:pPr>
    </w:p>
    <w:p w:rsidR="002A26A8" w:rsidRDefault="002A26A8">
      <w:pPr>
        <w:spacing w:line="276" w:lineRule="auto"/>
        <w:rPr>
          <w:lang w:val="en-US"/>
        </w:rPr>
      </w:pPr>
      <w:r>
        <w:rPr>
          <w:lang w:val="en-US"/>
        </w:rPr>
        <w:br w:type="page"/>
      </w:r>
    </w:p>
    <w:p w:rsidR="00FC4E35" w:rsidRPr="001630AB" w:rsidRDefault="00FC4E35" w:rsidP="001630AB">
      <w:pPr>
        <w:pStyle w:val="Heading4"/>
        <w:numPr>
          <w:ilvl w:val="0"/>
          <w:numId w:val="76"/>
        </w:numPr>
        <w:rPr>
          <w:lang w:val="en-US"/>
        </w:rPr>
      </w:pPr>
      <w:r w:rsidRPr="00FC4E35">
        <w:rPr>
          <w:lang w:val="en-US"/>
        </w:rPr>
        <w:t>Depreciation and amortisation expense</w:t>
      </w:r>
    </w:p>
    <w:tbl>
      <w:tblPr>
        <w:tblW w:w="6920" w:type="dxa"/>
        <w:tblInd w:w="93" w:type="dxa"/>
        <w:tblLook w:val="04A0" w:firstRow="1" w:lastRow="0" w:firstColumn="1" w:lastColumn="0" w:noHBand="0" w:noVBand="1"/>
      </w:tblPr>
      <w:tblGrid>
        <w:gridCol w:w="4680"/>
        <w:gridCol w:w="1120"/>
        <w:gridCol w:w="1120"/>
      </w:tblGrid>
      <w:tr w:rsidR="006878CB" w:rsidRPr="006878CB" w:rsidTr="006878CB">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6878CB" w:rsidRPr="006878CB" w:rsidRDefault="006878CB" w:rsidP="006878CB">
            <w:pPr>
              <w:spacing w:after="0"/>
              <w:jc w:val="right"/>
              <w:rPr>
                <w:b/>
                <w:lang w:eastAsia="en-AU"/>
              </w:rPr>
            </w:pPr>
            <w:r w:rsidRPr="006878CB">
              <w:rPr>
                <w:b/>
                <w:lang w:eastAsia="en-AU"/>
              </w:rPr>
              <w:t>2015 $000</w:t>
            </w:r>
          </w:p>
        </w:tc>
        <w:tc>
          <w:tcPr>
            <w:tcW w:w="1120" w:type="dxa"/>
            <w:tcBorders>
              <w:top w:val="nil"/>
              <w:left w:val="nil"/>
              <w:bottom w:val="nil"/>
              <w:right w:val="nil"/>
            </w:tcBorders>
            <w:shd w:val="clear" w:color="auto" w:fill="auto"/>
            <w:noWrap/>
            <w:vAlign w:val="bottom"/>
            <w:hideMark/>
          </w:tcPr>
          <w:p w:rsidR="006878CB" w:rsidRPr="006878CB" w:rsidRDefault="006878CB" w:rsidP="006878CB">
            <w:pPr>
              <w:spacing w:after="0"/>
              <w:jc w:val="right"/>
              <w:rPr>
                <w:b/>
                <w:lang w:eastAsia="en-AU"/>
              </w:rPr>
            </w:pPr>
            <w:r w:rsidRPr="006878CB">
              <w:rPr>
                <w:b/>
                <w:lang w:eastAsia="en-AU"/>
              </w:rPr>
              <w:t>2014 $000</w:t>
            </w:r>
          </w:p>
        </w:tc>
      </w:tr>
      <w:tr w:rsidR="006878CB" w:rsidRPr="006878CB" w:rsidTr="006878CB">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b/>
                <w:lang w:eastAsia="en-AU"/>
              </w:rPr>
            </w:pPr>
            <w:r w:rsidRPr="006878CB">
              <w:rPr>
                <w:b/>
                <w:lang w:eastAsia="en-AU"/>
              </w:rPr>
              <w:t>Depreciation</w:t>
            </w:r>
          </w:p>
        </w:tc>
        <w:tc>
          <w:tcPr>
            <w:tcW w:w="1120" w:type="dxa"/>
            <w:tcBorders>
              <w:top w:val="nil"/>
              <w:left w:val="nil"/>
              <w:bottom w:val="nil"/>
              <w:right w:val="nil"/>
            </w:tcBorders>
            <w:shd w:val="clear" w:color="auto" w:fill="F2F2F2" w:themeFill="background1" w:themeFillShade="F2"/>
            <w:noWrap/>
            <w:vAlign w:val="bottom"/>
            <w:hideMark/>
          </w:tcPr>
          <w:p w:rsidR="006878CB" w:rsidRPr="006878CB" w:rsidRDefault="006878CB" w:rsidP="006878CB">
            <w:pPr>
              <w:spacing w:after="0"/>
              <w:jc w:val="right"/>
              <w:rPr>
                <w:lang w:eastAsia="en-AU"/>
              </w:rPr>
            </w:pPr>
          </w:p>
        </w:tc>
        <w:tc>
          <w:tcPr>
            <w:tcW w:w="1120" w:type="dxa"/>
            <w:tcBorders>
              <w:top w:val="nil"/>
              <w:left w:val="nil"/>
              <w:bottom w:val="nil"/>
              <w:right w:val="nil"/>
            </w:tcBorders>
            <w:shd w:val="clear" w:color="auto" w:fill="auto"/>
            <w:noWrap/>
            <w:vAlign w:val="bottom"/>
            <w:hideMark/>
          </w:tcPr>
          <w:p w:rsidR="006878CB" w:rsidRPr="006878CB" w:rsidRDefault="006878CB" w:rsidP="006878CB">
            <w:pPr>
              <w:spacing w:after="0"/>
              <w:jc w:val="right"/>
              <w:rPr>
                <w:lang w:eastAsia="en-AU"/>
              </w:rPr>
            </w:pP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Computer hardware</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328</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351</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Furniture and fittings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16</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16</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Motor vehicles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11</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11</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Office equipment</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305</w:t>
            </w: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436</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Office establishment</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890</w:t>
            </w:r>
          </w:p>
        </w:tc>
        <w:tc>
          <w:tcPr>
            <w:tcW w:w="1120" w:type="dxa"/>
            <w:tcBorders>
              <w:top w:val="nil"/>
              <w:left w:val="nil"/>
              <w:bottom w:val="single" w:sz="4" w:space="0" w:color="auto"/>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454</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Total depreciation</w:t>
            </w:r>
          </w:p>
        </w:tc>
        <w:tc>
          <w:tcPr>
            <w:tcW w:w="1120" w:type="dxa"/>
            <w:tcBorders>
              <w:top w:val="single" w:sz="4" w:space="0" w:color="auto"/>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1,550</w:t>
            </w:r>
          </w:p>
        </w:tc>
        <w:tc>
          <w:tcPr>
            <w:tcW w:w="1120" w:type="dxa"/>
            <w:tcBorders>
              <w:top w:val="single" w:sz="4" w:space="0" w:color="auto"/>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1,268</w:t>
            </w:r>
          </w:p>
        </w:tc>
      </w:tr>
      <w:tr w:rsidR="006878CB" w:rsidRPr="006878CB" w:rsidTr="00E924E4">
        <w:trPr>
          <w:trHeight w:val="381"/>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b/>
                <w:lang w:eastAsia="en-AU"/>
              </w:rPr>
            </w:pPr>
            <w:r w:rsidRPr="006878CB">
              <w:rPr>
                <w:b/>
                <w:lang w:eastAsia="en-AU"/>
              </w:rPr>
              <w:t>Amortisation</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Intangible assets</w:t>
            </w:r>
          </w:p>
        </w:tc>
        <w:tc>
          <w:tcPr>
            <w:tcW w:w="1120" w:type="dxa"/>
            <w:tcBorders>
              <w:top w:val="nil"/>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Software</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459</w:t>
            </w:r>
          </w:p>
        </w:tc>
        <w:tc>
          <w:tcPr>
            <w:tcW w:w="1120" w:type="dxa"/>
            <w:tcBorders>
              <w:top w:val="nil"/>
              <w:left w:val="nil"/>
              <w:bottom w:val="single" w:sz="4" w:space="0" w:color="auto"/>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497</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Total amortisation</w:t>
            </w:r>
          </w:p>
        </w:tc>
        <w:tc>
          <w:tcPr>
            <w:tcW w:w="1120" w:type="dxa"/>
            <w:tcBorders>
              <w:top w:val="single" w:sz="4" w:space="0" w:color="auto"/>
              <w:left w:val="nil"/>
              <w:bottom w:val="nil"/>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459</w:t>
            </w:r>
          </w:p>
        </w:tc>
        <w:tc>
          <w:tcPr>
            <w:tcW w:w="1120" w:type="dxa"/>
            <w:tcBorders>
              <w:top w:val="single" w:sz="4" w:space="0" w:color="auto"/>
              <w:left w:val="nil"/>
              <w:bottom w:val="nil"/>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497</w:t>
            </w: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p>
        </w:tc>
        <w:tc>
          <w:tcPr>
            <w:tcW w:w="1120" w:type="dxa"/>
            <w:tcBorders>
              <w:top w:val="nil"/>
              <w:left w:val="nil"/>
              <w:bottom w:val="single" w:sz="4" w:space="0" w:color="auto"/>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p>
        </w:tc>
        <w:tc>
          <w:tcPr>
            <w:tcW w:w="1120" w:type="dxa"/>
            <w:tcBorders>
              <w:top w:val="nil"/>
              <w:left w:val="nil"/>
              <w:bottom w:val="single" w:sz="4" w:space="0" w:color="auto"/>
              <w:right w:val="nil"/>
            </w:tcBorders>
            <w:shd w:val="clear" w:color="auto" w:fill="auto"/>
            <w:noWrap/>
            <w:vAlign w:val="center"/>
            <w:hideMark/>
          </w:tcPr>
          <w:p w:rsidR="006878CB" w:rsidRPr="006878CB" w:rsidRDefault="006878CB" w:rsidP="00E924E4">
            <w:pPr>
              <w:spacing w:after="0"/>
              <w:jc w:val="right"/>
              <w:rPr>
                <w:lang w:eastAsia="en-AU"/>
              </w:rPr>
            </w:pPr>
          </w:p>
        </w:tc>
      </w:tr>
      <w:tr w:rsidR="006878CB" w:rsidRPr="006878CB" w:rsidTr="00E924E4">
        <w:trPr>
          <w:trHeight w:val="285"/>
        </w:trPr>
        <w:tc>
          <w:tcPr>
            <w:tcW w:w="4680" w:type="dxa"/>
            <w:tcBorders>
              <w:top w:val="nil"/>
              <w:left w:val="nil"/>
              <w:bottom w:val="nil"/>
              <w:right w:val="nil"/>
            </w:tcBorders>
            <w:shd w:val="clear" w:color="auto" w:fill="auto"/>
            <w:noWrap/>
            <w:vAlign w:val="bottom"/>
            <w:hideMark/>
          </w:tcPr>
          <w:p w:rsidR="006878CB" w:rsidRPr="006878CB" w:rsidRDefault="006878CB" w:rsidP="006878CB">
            <w:pPr>
              <w:spacing w:after="0"/>
              <w:rPr>
                <w:lang w:eastAsia="en-AU"/>
              </w:rPr>
            </w:pPr>
            <w:r w:rsidRPr="006878CB">
              <w:rPr>
                <w:lang w:eastAsia="en-AU"/>
              </w:rPr>
              <w:t>Total depreciation and amortisation</w:t>
            </w: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6878CB" w:rsidRPr="006878CB" w:rsidRDefault="006878CB" w:rsidP="00E924E4">
            <w:pPr>
              <w:spacing w:after="0"/>
              <w:jc w:val="right"/>
              <w:rPr>
                <w:lang w:eastAsia="en-AU"/>
              </w:rPr>
            </w:pPr>
            <w:r w:rsidRPr="006878CB">
              <w:rPr>
                <w:lang w:eastAsia="en-AU"/>
              </w:rPr>
              <w:t>2,009</w:t>
            </w:r>
          </w:p>
        </w:tc>
        <w:tc>
          <w:tcPr>
            <w:tcW w:w="1120" w:type="dxa"/>
            <w:tcBorders>
              <w:top w:val="single" w:sz="4" w:space="0" w:color="auto"/>
              <w:left w:val="nil"/>
              <w:bottom w:val="single" w:sz="4" w:space="0" w:color="auto"/>
              <w:right w:val="nil"/>
            </w:tcBorders>
            <w:shd w:val="clear" w:color="auto" w:fill="auto"/>
            <w:noWrap/>
            <w:vAlign w:val="center"/>
            <w:hideMark/>
          </w:tcPr>
          <w:p w:rsidR="006878CB" w:rsidRPr="006878CB" w:rsidRDefault="006878CB" w:rsidP="00E924E4">
            <w:pPr>
              <w:spacing w:after="0"/>
              <w:jc w:val="right"/>
              <w:rPr>
                <w:lang w:eastAsia="en-AU"/>
              </w:rPr>
            </w:pPr>
            <w:r w:rsidRPr="006878CB">
              <w:rPr>
                <w:lang w:eastAsia="en-AU"/>
              </w:rPr>
              <w:t>1,766</w:t>
            </w:r>
          </w:p>
        </w:tc>
      </w:tr>
    </w:tbl>
    <w:p w:rsidR="00FC4E35" w:rsidRPr="00FC4E35" w:rsidRDefault="00FC4E35" w:rsidP="006878CB">
      <w:pPr>
        <w:rPr>
          <w:lang w:val="en-US"/>
        </w:rPr>
      </w:pPr>
    </w:p>
    <w:p w:rsidR="00FC4E35" w:rsidRPr="001630AB" w:rsidRDefault="00FC4E35" w:rsidP="001630AB">
      <w:pPr>
        <w:pStyle w:val="Heading4"/>
        <w:numPr>
          <w:ilvl w:val="0"/>
          <w:numId w:val="76"/>
        </w:numPr>
        <w:rPr>
          <w:lang w:val="en-US"/>
        </w:rPr>
      </w:pPr>
      <w:r w:rsidRPr="00FC4E35">
        <w:rPr>
          <w:lang w:val="en-US"/>
        </w:rPr>
        <w:t>Accommodation expenses</w:t>
      </w:r>
    </w:p>
    <w:tbl>
      <w:tblPr>
        <w:tblW w:w="6920" w:type="dxa"/>
        <w:tblInd w:w="93" w:type="dxa"/>
        <w:tblLook w:val="04A0" w:firstRow="1" w:lastRow="0" w:firstColumn="1" w:lastColumn="0" w:noHBand="0" w:noVBand="1"/>
      </w:tblPr>
      <w:tblGrid>
        <w:gridCol w:w="4680"/>
        <w:gridCol w:w="1120"/>
        <w:gridCol w:w="1120"/>
      </w:tblGrid>
      <w:tr w:rsidR="00E924E4" w:rsidRPr="00E924E4" w:rsidTr="00E924E4">
        <w:trPr>
          <w:trHeight w:val="285"/>
        </w:trPr>
        <w:tc>
          <w:tcPr>
            <w:tcW w:w="4680" w:type="dxa"/>
            <w:tcBorders>
              <w:top w:val="nil"/>
              <w:left w:val="nil"/>
              <w:bottom w:val="nil"/>
              <w:right w:val="nil"/>
            </w:tcBorders>
            <w:shd w:val="clear" w:color="auto" w:fill="auto"/>
            <w:noWrap/>
            <w:vAlign w:val="bottom"/>
            <w:hideMark/>
          </w:tcPr>
          <w:p w:rsidR="00E924E4" w:rsidRPr="00E924E4" w:rsidRDefault="00E924E4" w:rsidP="00E924E4">
            <w:pPr>
              <w:spacing w:after="0"/>
              <w:rPr>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E924E4" w:rsidRPr="00E924E4" w:rsidRDefault="00E924E4" w:rsidP="00E924E4">
            <w:pPr>
              <w:spacing w:after="0"/>
              <w:jc w:val="right"/>
              <w:rPr>
                <w:b/>
                <w:lang w:eastAsia="en-AU"/>
              </w:rPr>
            </w:pPr>
            <w:r w:rsidRPr="00E924E4">
              <w:rPr>
                <w:b/>
                <w:lang w:eastAsia="en-AU"/>
              </w:rPr>
              <w:t>2015 $000</w:t>
            </w:r>
          </w:p>
        </w:tc>
        <w:tc>
          <w:tcPr>
            <w:tcW w:w="1120" w:type="dxa"/>
            <w:tcBorders>
              <w:top w:val="nil"/>
              <w:left w:val="nil"/>
              <w:bottom w:val="nil"/>
              <w:right w:val="nil"/>
            </w:tcBorders>
            <w:shd w:val="clear" w:color="auto" w:fill="auto"/>
            <w:noWrap/>
            <w:vAlign w:val="bottom"/>
            <w:hideMark/>
          </w:tcPr>
          <w:p w:rsidR="00E924E4" w:rsidRPr="00E924E4" w:rsidRDefault="00E924E4" w:rsidP="00E924E4">
            <w:pPr>
              <w:spacing w:after="0"/>
              <w:jc w:val="right"/>
              <w:rPr>
                <w:b/>
                <w:lang w:eastAsia="en-AU"/>
              </w:rPr>
            </w:pPr>
            <w:r w:rsidRPr="00E924E4">
              <w:rPr>
                <w:b/>
                <w:lang w:eastAsia="en-AU"/>
              </w:rPr>
              <w:t>2014 $000</w:t>
            </w:r>
          </w:p>
        </w:tc>
      </w:tr>
      <w:tr w:rsidR="00E924E4" w:rsidRPr="00E924E4" w:rsidTr="00E924E4">
        <w:trPr>
          <w:trHeight w:val="422"/>
        </w:trPr>
        <w:tc>
          <w:tcPr>
            <w:tcW w:w="4680" w:type="dxa"/>
            <w:tcBorders>
              <w:top w:val="nil"/>
              <w:left w:val="nil"/>
              <w:bottom w:val="nil"/>
              <w:right w:val="nil"/>
            </w:tcBorders>
            <w:shd w:val="clear" w:color="auto" w:fill="auto"/>
            <w:noWrap/>
            <w:vAlign w:val="bottom"/>
            <w:hideMark/>
          </w:tcPr>
          <w:p w:rsidR="00E924E4" w:rsidRPr="00E924E4" w:rsidRDefault="00E924E4" w:rsidP="00E924E4">
            <w:pPr>
              <w:spacing w:after="0"/>
              <w:rPr>
                <w:lang w:eastAsia="en-AU"/>
              </w:rPr>
            </w:pPr>
            <w:r w:rsidRPr="00E924E4">
              <w:rPr>
                <w:lang w:eastAsia="en-AU"/>
              </w:rPr>
              <w:t>Lease rentals and outgoings</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21,175</w:t>
            </w:r>
          </w:p>
        </w:tc>
        <w:tc>
          <w:tcPr>
            <w:tcW w:w="1120" w:type="dxa"/>
            <w:tcBorders>
              <w:top w:val="nil"/>
              <w:left w:val="nil"/>
              <w:bottom w:val="sing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21,666</w:t>
            </w:r>
          </w:p>
        </w:tc>
      </w:tr>
      <w:tr w:rsidR="00E924E4" w:rsidRPr="00E924E4" w:rsidTr="00E924E4">
        <w:trPr>
          <w:trHeight w:val="422"/>
        </w:trPr>
        <w:tc>
          <w:tcPr>
            <w:tcW w:w="4680" w:type="dxa"/>
            <w:tcBorders>
              <w:top w:val="nil"/>
              <w:left w:val="nil"/>
              <w:bottom w:val="nil"/>
              <w:right w:val="nil"/>
            </w:tcBorders>
            <w:shd w:val="clear" w:color="auto" w:fill="auto"/>
            <w:noWrap/>
            <w:vAlign w:val="bottom"/>
            <w:hideMark/>
          </w:tcPr>
          <w:p w:rsidR="00E924E4" w:rsidRPr="00E924E4" w:rsidRDefault="00E924E4" w:rsidP="00E924E4">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21,175</w:t>
            </w:r>
          </w:p>
        </w:tc>
        <w:tc>
          <w:tcPr>
            <w:tcW w:w="1120" w:type="dxa"/>
            <w:tcBorders>
              <w:top w:val="single" w:sz="4" w:space="0" w:color="auto"/>
              <w:left w:val="nil"/>
              <w:bottom w:val="sing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21,666</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p w:rsidR="00FC4E35" w:rsidRPr="001630AB" w:rsidRDefault="00FC4E35" w:rsidP="001630AB">
      <w:pPr>
        <w:pStyle w:val="Heading4"/>
        <w:numPr>
          <w:ilvl w:val="0"/>
          <w:numId w:val="76"/>
        </w:numPr>
        <w:rPr>
          <w:lang w:val="en-US"/>
        </w:rPr>
      </w:pPr>
      <w:r w:rsidRPr="00FC4E35">
        <w:rPr>
          <w:lang w:val="en-US"/>
        </w:rPr>
        <w:t>Grants and subsidies</w:t>
      </w:r>
    </w:p>
    <w:tbl>
      <w:tblPr>
        <w:tblW w:w="6920" w:type="dxa"/>
        <w:tblInd w:w="93" w:type="dxa"/>
        <w:tblLook w:val="04A0" w:firstRow="1" w:lastRow="0" w:firstColumn="1" w:lastColumn="0" w:noHBand="0" w:noVBand="1"/>
      </w:tblPr>
      <w:tblGrid>
        <w:gridCol w:w="4680"/>
        <w:gridCol w:w="1120"/>
        <w:gridCol w:w="1120"/>
      </w:tblGrid>
      <w:tr w:rsidR="00E924E4" w:rsidRPr="00E924E4" w:rsidTr="00E924E4">
        <w:trPr>
          <w:trHeight w:val="285"/>
        </w:trPr>
        <w:tc>
          <w:tcPr>
            <w:tcW w:w="4680" w:type="dxa"/>
            <w:tcBorders>
              <w:top w:val="nil"/>
              <w:left w:val="nil"/>
              <w:bottom w:val="nil"/>
              <w:right w:val="nil"/>
            </w:tcBorders>
            <w:shd w:val="clear" w:color="auto" w:fill="auto"/>
            <w:noWrap/>
            <w:vAlign w:val="bottom"/>
            <w:hideMark/>
          </w:tcPr>
          <w:p w:rsidR="00E924E4" w:rsidRPr="00E924E4" w:rsidRDefault="00E924E4" w:rsidP="00E924E4">
            <w:pPr>
              <w:spacing w:after="0"/>
              <w:rPr>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b/>
                <w:lang w:eastAsia="en-AU"/>
              </w:rPr>
            </w:pPr>
            <w:r w:rsidRPr="00E924E4">
              <w:rPr>
                <w:b/>
                <w:lang w:eastAsia="en-AU"/>
              </w:rPr>
              <w:t>2015 $000</w:t>
            </w:r>
          </w:p>
        </w:tc>
        <w:tc>
          <w:tcPr>
            <w:tcW w:w="1120"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b/>
                <w:lang w:eastAsia="en-AU"/>
              </w:rPr>
            </w:pPr>
            <w:r w:rsidRPr="00E924E4">
              <w:rPr>
                <w:b/>
                <w:lang w:eastAsia="en-AU"/>
              </w:rPr>
              <w:t>2014 $000</w:t>
            </w:r>
          </w:p>
        </w:tc>
      </w:tr>
      <w:tr w:rsidR="00E924E4" w:rsidRPr="00E924E4" w:rsidTr="00E924E4">
        <w:trPr>
          <w:trHeight w:val="349"/>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b/>
                <w:lang w:eastAsia="en-AU"/>
              </w:rPr>
            </w:pPr>
            <w:r w:rsidRPr="00E924E4">
              <w:rPr>
                <w:b/>
                <w:lang w:eastAsia="en-AU"/>
              </w:rPr>
              <w:t>Recurrent</w:t>
            </w:r>
          </w:p>
        </w:tc>
        <w:tc>
          <w:tcPr>
            <w:tcW w:w="1120"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Subsidies and community grants</w:t>
            </w:r>
          </w:p>
        </w:tc>
        <w:tc>
          <w:tcPr>
            <w:tcW w:w="1120"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24,536</w:t>
            </w:r>
          </w:p>
        </w:tc>
        <w:tc>
          <w:tcPr>
            <w:tcW w:w="1120"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34,962</w:t>
            </w: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Government agency grants</w:t>
            </w:r>
          </w:p>
        </w:tc>
        <w:tc>
          <w:tcPr>
            <w:tcW w:w="1120"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4,952</w:t>
            </w:r>
          </w:p>
        </w:tc>
        <w:tc>
          <w:tcPr>
            <w:tcW w:w="1120"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15,376</w:t>
            </w: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External grants</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2,469</w:t>
            </w:r>
          </w:p>
        </w:tc>
        <w:tc>
          <w:tcPr>
            <w:tcW w:w="1120" w:type="dxa"/>
            <w:tcBorders>
              <w:top w:val="nil"/>
              <w:left w:val="nil"/>
              <w:bottom w:val="sing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4,368</w:t>
            </w: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31,957</w:t>
            </w:r>
          </w:p>
        </w:tc>
        <w:tc>
          <w:tcPr>
            <w:tcW w:w="1120" w:type="dxa"/>
            <w:tcBorders>
              <w:top w:val="single" w:sz="4" w:space="0" w:color="auto"/>
              <w:left w:val="nil"/>
              <w:bottom w:val="doub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54,706</w:t>
            </w:r>
          </w:p>
        </w:tc>
      </w:tr>
    </w:tbl>
    <w:p w:rsidR="002A26A8" w:rsidRDefault="002A26A8" w:rsidP="00FC4E35">
      <w:pPr>
        <w:suppressAutoHyphens/>
        <w:autoSpaceDE w:val="0"/>
        <w:autoSpaceDN w:val="0"/>
        <w:adjustRightInd w:val="0"/>
        <w:spacing w:line="288" w:lineRule="auto"/>
        <w:textAlignment w:val="center"/>
        <w:rPr>
          <w:color w:val="000000"/>
          <w:lang w:val="en-US"/>
        </w:rPr>
      </w:pPr>
    </w:p>
    <w:p w:rsidR="002A26A8" w:rsidRDefault="002A26A8">
      <w:pPr>
        <w:spacing w:line="276" w:lineRule="auto"/>
        <w:rPr>
          <w:color w:val="000000"/>
          <w:lang w:val="en-US"/>
        </w:rPr>
      </w:pPr>
      <w:r>
        <w:rPr>
          <w:color w:val="000000"/>
          <w:lang w:val="en-US"/>
        </w:rPr>
        <w:br w:type="page"/>
      </w:r>
    </w:p>
    <w:p w:rsidR="00FC4E35" w:rsidRPr="001630AB" w:rsidRDefault="00FC4E35" w:rsidP="001630AB">
      <w:pPr>
        <w:pStyle w:val="Heading4"/>
        <w:numPr>
          <w:ilvl w:val="0"/>
          <w:numId w:val="76"/>
        </w:numPr>
        <w:rPr>
          <w:lang w:val="en-US"/>
        </w:rPr>
      </w:pPr>
      <w:r w:rsidRPr="00FC4E35">
        <w:rPr>
          <w:lang w:val="en-US"/>
        </w:rPr>
        <w:t>Other Expenses</w:t>
      </w:r>
    </w:p>
    <w:tbl>
      <w:tblPr>
        <w:tblW w:w="6920" w:type="dxa"/>
        <w:tblInd w:w="93" w:type="dxa"/>
        <w:tblLook w:val="04A0" w:firstRow="1" w:lastRow="0" w:firstColumn="1" w:lastColumn="0" w:noHBand="0" w:noVBand="1"/>
      </w:tblPr>
      <w:tblGrid>
        <w:gridCol w:w="4680"/>
        <w:gridCol w:w="1120"/>
        <w:gridCol w:w="1120"/>
      </w:tblGrid>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b/>
                <w:lang w:eastAsia="en-AU"/>
              </w:rPr>
            </w:pPr>
            <w:r w:rsidRPr="00E924E4">
              <w:rPr>
                <w:b/>
                <w:lang w:eastAsia="en-AU"/>
              </w:rPr>
              <w:t>2015 $000</w:t>
            </w:r>
          </w:p>
        </w:tc>
        <w:tc>
          <w:tcPr>
            <w:tcW w:w="1120"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b/>
                <w:lang w:eastAsia="en-AU"/>
              </w:rPr>
            </w:pPr>
            <w:r w:rsidRPr="00E924E4">
              <w:rPr>
                <w:b/>
                <w:lang w:eastAsia="en-AU"/>
              </w:rPr>
              <w:t>2014 $000</w:t>
            </w: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Employment on-cost</w:t>
            </w:r>
            <w:r w:rsidRPr="00E924E4">
              <w:rPr>
                <w:vertAlign w:val="superscript"/>
                <w:lang w:eastAsia="en-AU"/>
              </w:rPr>
              <w:t>(a)</w:t>
            </w:r>
          </w:p>
        </w:tc>
        <w:tc>
          <w:tcPr>
            <w:tcW w:w="1120"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353</w:t>
            </w:r>
          </w:p>
        </w:tc>
        <w:tc>
          <w:tcPr>
            <w:tcW w:w="1120"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208</w:t>
            </w: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Audit Fees - Internal/External</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252</w:t>
            </w:r>
          </w:p>
        </w:tc>
        <w:tc>
          <w:tcPr>
            <w:tcW w:w="1120" w:type="dxa"/>
            <w:tcBorders>
              <w:top w:val="nil"/>
              <w:left w:val="nil"/>
              <w:bottom w:val="sing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207</w:t>
            </w:r>
          </w:p>
        </w:tc>
      </w:tr>
      <w:tr w:rsidR="00E924E4" w:rsidRPr="00E924E4" w:rsidTr="00E924E4">
        <w:trPr>
          <w:trHeight w:val="285"/>
        </w:trPr>
        <w:tc>
          <w:tcPr>
            <w:tcW w:w="4680"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605</w:t>
            </w:r>
          </w:p>
        </w:tc>
        <w:tc>
          <w:tcPr>
            <w:tcW w:w="1120" w:type="dxa"/>
            <w:tcBorders>
              <w:top w:val="single" w:sz="4" w:space="0" w:color="auto"/>
              <w:left w:val="nil"/>
              <w:bottom w:val="sing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415</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E924E4">
        <w:trPr>
          <w:trHeight w:val="1208"/>
        </w:trPr>
        <w:tc>
          <w:tcPr>
            <w:tcW w:w="370" w:type="dxa"/>
            <w:tcMar>
              <w:top w:w="85" w:type="dxa"/>
              <w:left w:w="0" w:type="dxa"/>
              <w:bottom w:w="85" w:type="dxa"/>
              <w:right w:w="0" w:type="dxa"/>
            </w:tcMar>
          </w:tcPr>
          <w:p w:rsidR="00FC4E35" w:rsidRPr="00FC4E35" w:rsidRDefault="00FC4E35" w:rsidP="00E924E4">
            <w:pPr>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E924E4">
            <w:pPr>
              <w:rPr>
                <w:lang w:val="en-US"/>
              </w:rPr>
            </w:pPr>
            <w:r w:rsidRPr="00FC4E35">
              <w:rPr>
                <w:lang w:val="en-US"/>
              </w:rPr>
              <w:t>Includes workers’ compensation insurance and other employment on-costs.  The on-costs liability associated with the recognition of annual and long service leave liability is included at note 24 ‘Provisions’.  Superannuation contributions accrued as part of the provision for leave are employee benefits and are not included in employment on-costs.</w:t>
            </w:r>
          </w:p>
        </w:tc>
      </w:tr>
    </w:tbl>
    <w:p w:rsidR="00FC4E35" w:rsidRPr="001630AB" w:rsidRDefault="00FC4E35" w:rsidP="001630AB">
      <w:pPr>
        <w:pStyle w:val="Heading4"/>
        <w:numPr>
          <w:ilvl w:val="0"/>
          <w:numId w:val="76"/>
        </w:numPr>
      </w:pPr>
      <w:r w:rsidRPr="00E924E4">
        <w:t>User charges and fees</w:t>
      </w:r>
    </w:p>
    <w:tbl>
      <w:tblPr>
        <w:tblW w:w="6961" w:type="dxa"/>
        <w:tblInd w:w="93" w:type="dxa"/>
        <w:tblLook w:val="04A0" w:firstRow="1" w:lastRow="0" w:firstColumn="1" w:lastColumn="0" w:noHBand="0" w:noVBand="1"/>
      </w:tblPr>
      <w:tblGrid>
        <w:gridCol w:w="4693"/>
        <w:gridCol w:w="1134"/>
        <w:gridCol w:w="1134"/>
      </w:tblGrid>
      <w:tr w:rsidR="00E924E4" w:rsidRPr="00E924E4" w:rsidTr="00B6081B">
        <w:trPr>
          <w:trHeight w:val="285"/>
        </w:trPr>
        <w:tc>
          <w:tcPr>
            <w:tcW w:w="4693" w:type="dxa"/>
            <w:tcBorders>
              <w:top w:val="nil"/>
              <w:left w:val="nil"/>
              <w:bottom w:val="nil"/>
              <w:right w:val="nil"/>
            </w:tcBorders>
            <w:shd w:val="clear" w:color="auto" w:fill="auto"/>
            <w:noWrap/>
            <w:vAlign w:val="bottom"/>
            <w:hideMark/>
          </w:tcPr>
          <w:p w:rsidR="00E924E4" w:rsidRPr="00E924E4" w:rsidRDefault="00E924E4" w:rsidP="00E924E4">
            <w:pPr>
              <w:spacing w:after="0"/>
              <w:rPr>
                <w:lang w:eastAsia="en-AU"/>
              </w:rPr>
            </w:pPr>
          </w:p>
        </w:tc>
        <w:tc>
          <w:tcPr>
            <w:tcW w:w="1134"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b/>
                <w:lang w:eastAsia="en-AU"/>
              </w:rPr>
            </w:pPr>
            <w:r w:rsidRPr="00E924E4">
              <w:rPr>
                <w:b/>
                <w:lang w:eastAsia="en-AU"/>
              </w:rPr>
              <w:t>2015 $000</w:t>
            </w:r>
          </w:p>
        </w:tc>
        <w:tc>
          <w:tcPr>
            <w:tcW w:w="1134"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b/>
                <w:lang w:eastAsia="en-AU"/>
              </w:rPr>
            </w:pPr>
            <w:r w:rsidRPr="00E924E4">
              <w:rPr>
                <w:b/>
                <w:lang w:eastAsia="en-AU"/>
              </w:rPr>
              <w:t>2014 $000</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Contributions by senior officers to the Government Vehicle Scheme</w:t>
            </w:r>
          </w:p>
        </w:tc>
        <w:tc>
          <w:tcPr>
            <w:tcW w:w="1134"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114</w:t>
            </w:r>
          </w:p>
        </w:tc>
        <w:tc>
          <w:tcPr>
            <w:tcW w:w="1134"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114</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Provision of services</w:t>
            </w:r>
          </w:p>
        </w:tc>
        <w:tc>
          <w:tcPr>
            <w:tcW w:w="1134"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9</w:t>
            </w:r>
          </w:p>
        </w:tc>
        <w:tc>
          <w:tcPr>
            <w:tcW w:w="1134"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22</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Recoups</w:t>
            </w:r>
          </w:p>
        </w:tc>
        <w:tc>
          <w:tcPr>
            <w:tcW w:w="1134"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428</w:t>
            </w:r>
          </w:p>
        </w:tc>
        <w:tc>
          <w:tcPr>
            <w:tcW w:w="1134"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378</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Overseas offices</w:t>
            </w:r>
          </w:p>
        </w:tc>
        <w:tc>
          <w:tcPr>
            <w:tcW w:w="1134"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249</w:t>
            </w:r>
          </w:p>
        </w:tc>
        <w:tc>
          <w:tcPr>
            <w:tcW w:w="1134"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191</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Miscellaneous funding</w:t>
            </w:r>
          </w:p>
        </w:tc>
        <w:tc>
          <w:tcPr>
            <w:tcW w:w="1134" w:type="dxa"/>
            <w:tcBorders>
              <w:top w:val="nil"/>
              <w:left w:val="nil"/>
              <w:bottom w:val="nil"/>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91</w:t>
            </w:r>
          </w:p>
        </w:tc>
        <w:tc>
          <w:tcPr>
            <w:tcW w:w="1134" w:type="dxa"/>
            <w:tcBorders>
              <w:top w:val="nil"/>
              <w:left w:val="nil"/>
              <w:bottom w:val="nil"/>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114</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r w:rsidRPr="00E924E4">
              <w:rPr>
                <w:lang w:eastAsia="en-AU"/>
              </w:rPr>
              <w:t>Other revenue</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1</w:t>
            </w:r>
          </w:p>
        </w:tc>
        <w:tc>
          <w:tcPr>
            <w:tcW w:w="1134" w:type="dxa"/>
            <w:tcBorders>
              <w:top w:val="nil"/>
              <w:left w:val="nil"/>
              <w:bottom w:val="sing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39</w:t>
            </w:r>
          </w:p>
        </w:tc>
      </w:tr>
      <w:tr w:rsidR="00E924E4" w:rsidRPr="00E924E4" w:rsidTr="00B6081B">
        <w:trPr>
          <w:trHeight w:val="285"/>
        </w:trPr>
        <w:tc>
          <w:tcPr>
            <w:tcW w:w="4693" w:type="dxa"/>
            <w:tcBorders>
              <w:top w:val="nil"/>
              <w:left w:val="nil"/>
              <w:bottom w:val="nil"/>
              <w:right w:val="nil"/>
            </w:tcBorders>
            <w:shd w:val="clear" w:color="auto" w:fill="auto"/>
            <w:noWrap/>
            <w:vAlign w:val="center"/>
            <w:hideMark/>
          </w:tcPr>
          <w:p w:rsidR="00E924E4" w:rsidRPr="00E924E4" w:rsidRDefault="00E924E4" w:rsidP="00E924E4">
            <w:pPr>
              <w:spacing w:after="0"/>
              <w:rPr>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noWrap/>
            <w:vAlign w:val="center"/>
            <w:hideMark/>
          </w:tcPr>
          <w:p w:rsidR="00E924E4" w:rsidRPr="00E924E4" w:rsidRDefault="00E924E4" w:rsidP="00E924E4">
            <w:pPr>
              <w:spacing w:after="0"/>
              <w:jc w:val="right"/>
              <w:rPr>
                <w:lang w:eastAsia="en-AU"/>
              </w:rPr>
            </w:pPr>
            <w:r w:rsidRPr="00E924E4">
              <w:rPr>
                <w:lang w:eastAsia="en-AU"/>
              </w:rPr>
              <w:t>891</w:t>
            </w:r>
          </w:p>
        </w:tc>
        <w:tc>
          <w:tcPr>
            <w:tcW w:w="1134" w:type="dxa"/>
            <w:tcBorders>
              <w:top w:val="single" w:sz="4" w:space="0" w:color="auto"/>
              <w:left w:val="nil"/>
              <w:bottom w:val="double" w:sz="4" w:space="0" w:color="auto"/>
              <w:right w:val="nil"/>
            </w:tcBorders>
            <w:shd w:val="clear" w:color="auto" w:fill="auto"/>
            <w:noWrap/>
            <w:vAlign w:val="center"/>
            <w:hideMark/>
          </w:tcPr>
          <w:p w:rsidR="00E924E4" w:rsidRPr="00E924E4" w:rsidRDefault="00E924E4" w:rsidP="00E924E4">
            <w:pPr>
              <w:spacing w:after="0"/>
              <w:jc w:val="right"/>
              <w:rPr>
                <w:lang w:eastAsia="en-AU"/>
              </w:rPr>
            </w:pPr>
            <w:r w:rsidRPr="00E924E4">
              <w:rPr>
                <w:lang w:eastAsia="en-AU"/>
              </w:rPr>
              <w:t>859</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p w:rsidR="00FC4E35" w:rsidRPr="001630AB" w:rsidRDefault="00FC4E35" w:rsidP="001630AB">
      <w:pPr>
        <w:pStyle w:val="Heading4"/>
        <w:numPr>
          <w:ilvl w:val="0"/>
          <w:numId w:val="76"/>
        </w:numPr>
        <w:rPr>
          <w:lang w:val="en-US"/>
        </w:rPr>
      </w:pPr>
      <w:r w:rsidRPr="00FC4E35">
        <w:rPr>
          <w:lang w:val="en-US"/>
        </w:rPr>
        <w:t>Commonwealth grants and contributions</w:t>
      </w:r>
    </w:p>
    <w:tbl>
      <w:tblPr>
        <w:tblW w:w="6920" w:type="dxa"/>
        <w:tblInd w:w="93" w:type="dxa"/>
        <w:tblLook w:val="04A0" w:firstRow="1" w:lastRow="0" w:firstColumn="1" w:lastColumn="0" w:noHBand="0" w:noVBand="1"/>
      </w:tblPr>
      <w:tblGrid>
        <w:gridCol w:w="4680"/>
        <w:gridCol w:w="1120"/>
        <w:gridCol w:w="1120"/>
      </w:tblGrid>
      <w:tr w:rsidR="00B6081B" w:rsidRPr="00B6081B" w:rsidTr="00B6081B">
        <w:trPr>
          <w:trHeight w:val="718"/>
        </w:trPr>
        <w:tc>
          <w:tcPr>
            <w:tcW w:w="4680" w:type="dxa"/>
            <w:tcBorders>
              <w:top w:val="nil"/>
              <w:left w:val="nil"/>
              <w:right w:val="nil"/>
            </w:tcBorders>
            <w:shd w:val="clear" w:color="auto" w:fill="auto"/>
            <w:noWrap/>
            <w:vAlign w:val="center"/>
            <w:hideMark/>
          </w:tcPr>
          <w:p w:rsidR="00B6081B" w:rsidRPr="00B6081B" w:rsidRDefault="00B6081B" w:rsidP="00B6081B">
            <w:pPr>
              <w:spacing w:after="0"/>
              <w:rPr>
                <w:lang w:eastAsia="en-AU"/>
              </w:rPr>
            </w:pPr>
          </w:p>
        </w:tc>
        <w:tc>
          <w:tcPr>
            <w:tcW w:w="1120" w:type="dxa"/>
            <w:tcBorders>
              <w:top w:val="nil"/>
              <w:left w:val="nil"/>
              <w:bottom w:val="single" w:sz="4" w:space="0" w:color="auto"/>
              <w:right w:val="nil"/>
            </w:tcBorders>
            <w:shd w:val="clear" w:color="auto" w:fill="F2F2F2" w:themeFill="background1" w:themeFillShade="F2"/>
            <w:noWrap/>
            <w:vAlign w:val="center"/>
            <w:hideMark/>
          </w:tcPr>
          <w:p w:rsidR="00B6081B" w:rsidRPr="00B6081B" w:rsidRDefault="00B6081B" w:rsidP="00B6081B">
            <w:pPr>
              <w:spacing w:after="0"/>
              <w:jc w:val="right"/>
              <w:rPr>
                <w:b/>
                <w:lang w:eastAsia="en-AU"/>
              </w:rPr>
            </w:pPr>
            <w:r w:rsidRPr="00B6081B">
              <w:rPr>
                <w:b/>
                <w:lang w:eastAsia="en-AU"/>
              </w:rPr>
              <w:t>2015 $000</w:t>
            </w:r>
          </w:p>
        </w:tc>
        <w:tc>
          <w:tcPr>
            <w:tcW w:w="1120" w:type="dxa"/>
            <w:tcBorders>
              <w:top w:val="nil"/>
              <w:left w:val="nil"/>
              <w:bottom w:val="single" w:sz="4" w:space="0" w:color="auto"/>
              <w:right w:val="nil"/>
            </w:tcBorders>
            <w:shd w:val="clear" w:color="auto" w:fill="auto"/>
            <w:noWrap/>
            <w:vAlign w:val="center"/>
            <w:hideMark/>
          </w:tcPr>
          <w:p w:rsidR="00B6081B" w:rsidRPr="00B6081B" w:rsidRDefault="00B6081B" w:rsidP="00B6081B">
            <w:pPr>
              <w:spacing w:after="0"/>
              <w:jc w:val="right"/>
              <w:rPr>
                <w:b/>
                <w:lang w:eastAsia="en-AU"/>
              </w:rPr>
            </w:pPr>
            <w:r w:rsidRPr="00B6081B">
              <w:rPr>
                <w:b/>
                <w:lang w:eastAsia="en-AU"/>
              </w:rPr>
              <w:t>2014 $000</w:t>
            </w:r>
          </w:p>
        </w:tc>
      </w:tr>
      <w:tr w:rsidR="00B6081B" w:rsidRPr="00B6081B" w:rsidTr="00B6081B">
        <w:trPr>
          <w:trHeight w:val="285"/>
        </w:trPr>
        <w:tc>
          <w:tcPr>
            <w:tcW w:w="4680" w:type="dxa"/>
            <w:tcBorders>
              <w:left w:val="nil"/>
              <w:right w:val="nil"/>
            </w:tcBorders>
            <w:shd w:val="clear" w:color="auto" w:fill="auto"/>
            <w:noWrap/>
            <w:vAlign w:val="center"/>
            <w:hideMark/>
          </w:tcPr>
          <w:p w:rsidR="00B6081B" w:rsidRPr="00B6081B" w:rsidRDefault="00B6081B" w:rsidP="00B6081B">
            <w:pPr>
              <w:spacing w:after="0"/>
              <w:rPr>
                <w:lang w:eastAsia="en-AU"/>
              </w:rPr>
            </w:pPr>
            <w:r w:rsidRPr="00B6081B">
              <w:rPr>
                <w:lang w:eastAsia="en-AU"/>
              </w:rPr>
              <w:t>Indian Ocean Territories</w:t>
            </w: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B6081B" w:rsidRPr="00B6081B" w:rsidRDefault="00B6081B" w:rsidP="00B6081B">
            <w:pPr>
              <w:spacing w:after="0"/>
              <w:jc w:val="right"/>
              <w:rPr>
                <w:lang w:eastAsia="en-AU"/>
              </w:rPr>
            </w:pPr>
            <w:r w:rsidRPr="00B6081B">
              <w:rPr>
                <w:lang w:eastAsia="en-AU"/>
              </w:rPr>
              <w:t>452</w:t>
            </w:r>
          </w:p>
        </w:tc>
        <w:tc>
          <w:tcPr>
            <w:tcW w:w="1120" w:type="dxa"/>
            <w:tcBorders>
              <w:top w:val="single" w:sz="4" w:space="0" w:color="auto"/>
              <w:left w:val="nil"/>
              <w:bottom w:val="single" w:sz="4" w:space="0" w:color="auto"/>
              <w:right w:val="nil"/>
            </w:tcBorders>
            <w:shd w:val="clear" w:color="auto" w:fill="auto"/>
            <w:noWrap/>
            <w:vAlign w:val="center"/>
            <w:hideMark/>
          </w:tcPr>
          <w:p w:rsidR="00B6081B" w:rsidRPr="00B6081B" w:rsidRDefault="00B6081B" w:rsidP="00B6081B">
            <w:pPr>
              <w:spacing w:after="0"/>
              <w:jc w:val="right"/>
              <w:rPr>
                <w:lang w:eastAsia="en-AU"/>
              </w:rPr>
            </w:pPr>
            <w:r w:rsidRPr="00B6081B">
              <w:rPr>
                <w:lang w:eastAsia="en-AU"/>
              </w:rPr>
              <w:t>420</w:t>
            </w:r>
          </w:p>
        </w:tc>
      </w:tr>
      <w:tr w:rsidR="00B6081B" w:rsidRPr="00B6081B" w:rsidTr="00B6081B">
        <w:trPr>
          <w:trHeight w:val="285"/>
        </w:trPr>
        <w:tc>
          <w:tcPr>
            <w:tcW w:w="4680" w:type="dxa"/>
            <w:tcBorders>
              <w:left w:val="nil"/>
              <w:bottom w:val="nil"/>
              <w:right w:val="nil"/>
            </w:tcBorders>
            <w:shd w:val="clear" w:color="auto" w:fill="auto"/>
            <w:noWrap/>
            <w:vAlign w:val="center"/>
            <w:hideMark/>
          </w:tcPr>
          <w:p w:rsidR="00B6081B" w:rsidRPr="00B6081B" w:rsidRDefault="00B6081B" w:rsidP="00B6081B">
            <w:pPr>
              <w:spacing w:after="0"/>
              <w:rPr>
                <w:lang w:eastAsia="en-AU"/>
              </w:rPr>
            </w:pPr>
          </w:p>
        </w:tc>
        <w:tc>
          <w:tcPr>
            <w:tcW w:w="1120" w:type="dxa"/>
            <w:tcBorders>
              <w:top w:val="single" w:sz="4" w:space="0" w:color="auto"/>
              <w:left w:val="nil"/>
              <w:bottom w:val="nil"/>
              <w:right w:val="nil"/>
            </w:tcBorders>
            <w:shd w:val="clear" w:color="auto" w:fill="F2F2F2" w:themeFill="background1" w:themeFillShade="F2"/>
            <w:noWrap/>
            <w:vAlign w:val="center"/>
            <w:hideMark/>
          </w:tcPr>
          <w:p w:rsidR="00B6081B" w:rsidRPr="00B6081B" w:rsidRDefault="00B6081B" w:rsidP="00B6081B">
            <w:pPr>
              <w:spacing w:after="0"/>
              <w:jc w:val="right"/>
              <w:rPr>
                <w:lang w:eastAsia="en-AU"/>
              </w:rPr>
            </w:pPr>
            <w:r w:rsidRPr="00B6081B">
              <w:rPr>
                <w:lang w:eastAsia="en-AU"/>
              </w:rPr>
              <w:t>452</w:t>
            </w:r>
          </w:p>
        </w:tc>
        <w:tc>
          <w:tcPr>
            <w:tcW w:w="1120" w:type="dxa"/>
            <w:tcBorders>
              <w:top w:val="single" w:sz="4" w:space="0" w:color="auto"/>
              <w:left w:val="nil"/>
              <w:bottom w:val="nil"/>
              <w:right w:val="nil"/>
            </w:tcBorders>
            <w:shd w:val="clear" w:color="auto" w:fill="auto"/>
            <w:noWrap/>
            <w:vAlign w:val="center"/>
            <w:hideMark/>
          </w:tcPr>
          <w:p w:rsidR="00B6081B" w:rsidRPr="00B6081B" w:rsidRDefault="00B6081B" w:rsidP="00B6081B">
            <w:pPr>
              <w:spacing w:after="0"/>
              <w:jc w:val="right"/>
              <w:rPr>
                <w:lang w:eastAsia="en-AU"/>
              </w:rPr>
            </w:pPr>
            <w:r w:rsidRPr="00B6081B">
              <w:rPr>
                <w:lang w:eastAsia="en-AU"/>
              </w:rPr>
              <w:t>420</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p w:rsidR="00FC4E35" w:rsidRPr="00FC4E35" w:rsidRDefault="00FC4E35" w:rsidP="00B6081B">
      <w:pPr>
        <w:rPr>
          <w:lang w:val="en-US"/>
        </w:rPr>
      </w:pPr>
      <w:r w:rsidRPr="00FC4E35">
        <w:rPr>
          <w:lang w:val="en-US"/>
        </w:rPr>
        <w:t>The funding received from the Commonwealth Department of Regional Australia, Local Government, Arts and Sport is to fund the salaries and on-costs for a State Coordinator and an Administrative Officer.  The arrangement between the Department of the Premier and Cabinet (the Department) and the Commonwealth Department of Regional Australia requires the Department to:</w:t>
      </w:r>
    </w:p>
    <w:p w:rsidR="00FC4E35" w:rsidRPr="00B6081B" w:rsidRDefault="00FC4E35" w:rsidP="00AE75A9">
      <w:pPr>
        <w:pStyle w:val="ListParagraph"/>
        <w:numPr>
          <w:ilvl w:val="0"/>
          <w:numId w:val="89"/>
        </w:numPr>
        <w:rPr>
          <w:lang w:val="en-US"/>
        </w:rPr>
      </w:pPr>
      <w:r w:rsidRPr="00B6081B">
        <w:rPr>
          <w:lang w:val="en-US"/>
        </w:rPr>
        <w:t>protect the State’s legal, financial and political interests;</w:t>
      </w:r>
    </w:p>
    <w:p w:rsidR="00FC4E35" w:rsidRPr="00B6081B" w:rsidRDefault="00FC4E35" w:rsidP="00AE75A9">
      <w:pPr>
        <w:pStyle w:val="ListParagraph"/>
        <w:numPr>
          <w:ilvl w:val="0"/>
          <w:numId w:val="89"/>
        </w:numPr>
        <w:rPr>
          <w:lang w:val="en-US"/>
        </w:rPr>
      </w:pPr>
      <w:r w:rsidRPr="00B6081B">
        <w:rPr>
          <w:lang w:val="en-US"/>
        </w:rPr>
        <w:t>provide a first point of contact in Indian Ocean Territories (IOT) matters for State Agencies; and to</w:t>
      </w:r>
    </w:p>
    <w:p w:rsidR="001630AB" w:rsidRDefault="00FC4E35" w:rsidP="00AE75A9">
      <w:pPr>
        <w:pStyle w:val="ListParagraph"/>
        <w:numPr>
          <w:ilvl w:val="0"/>
          <w:numId w:val="89"/>
        </w:numPr>
        <w:rPr>
          <w:lang w:val="en-US"/>
        </w:rPr>
      </w:pPr>
      <w:r w:rsidRPr="00B6081B">
        <w:rPr>
          <w:lang w:val="en-US"/>
        </w:rPr>
        <w:t>facilitate the Commonwealth Government’s objective of comparability of rights, standards and services in the IOT consistent with those of Western Australia.</w:t>
      </w:r>
    </w:p>
    <w:p w:rsidR="00FC4E35" w:rsidRPr="001630AB" w:rsidRDefault="00FC4E35" w:rsidP="001630AB">
      <w:pPr>
        <w:pStyle w:val="Heading4"/>
        <w:numPr>
          <w:ilvl w:val="0"/>
          <w:numId w:val="76"/>
        </w:numPr>
      </w:pPr>
      <w:r w:rsidRPr="00B6081B">
        <w:t>Net gain/(loss) on disposal of non-current assets</w:t>
      </w:r>
    </w:p>
    <w:tbl>
      <w:tblPr>
        <w:tblW w:w="6920" w:type="dxa"/>
        <w:tblInd w:w="93" w:type="dxa"/>
        <w:tblLook w:val="04A0" w:firstRow="1" w:lastRow="0" w:firstColumn="1" w:lastColumn="0" w:noHBand="0" w:noVBand="1"/>
      </w:tblPr>
      <w:tblGrid>
        <w:gridCol w:w="4680"/>
        <w:gridCol w:w="1120"/>
        <w:gridCol w:w="1120"/>
      </w:tblGrid>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B6081B" w:rsidRPr="00B6081B" w:rsidRDefault="00B6081B" w:rsidP="00B6081B">
            <w:pPr>
              <w:spacing w:after="0"/>
              <w:jc w:val="right"/>
              <w:rPr>
                <w:b/>
                <w:lang w:eastAsia="en-AU"/>
              </w:rPr>
            </w:pPr>
            <w:r w:rsidRPr="00B6081B">
              <w:rPr>
                <w:b/>
                <w:lang w:eastAsia="en-AU"/>
              </w:rPr>
              <w:t>2015 $000</w:t>
            </w:r>
          </w:p>
        </w:tc>
        <w:tc>
          <w:tcPr>
            <w:tcW w:w="1120" w:type="dxa"/>
            <w:tcBorders>
              <w:top w:val="nil"/>
              <w:left w:val="nil"/>
              <w:bottom w:val="nil"/>
              <w:right w:val="nil"/>
            </w:tcBorders>
            <w:shd w:val="clear" w:color="auto" w:fill="auto"/>
            <w:noWrap/>
            <w:vAlign w:val="bottom"/>
            <w:hideMark/>
          </w:tcPr>
          <w:p w:rsidR="00B6081B" w:rsidRPr="00B6081B" w:rsidRDefault="00B6081B" w:rsidP="00B6081B">
            <w:pPr>
              <w:spacing w:after="0"/>
              <w:jc w:val="right"/>
              <w:rPr>
                <w:b/>
                <w:lang w:eastAsia="en-AU"/>
              </w:rPr>
            </w:pPr>
            <w:r w:rsidRPr="00B6081B">
              <w:rPr>
                <w:b/>
                <w:lang w:eastAsia="en-AU"/>
              </w:rPr>
              <w:t>2014 $000</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b/>
                <w:lang w:eastAsia="en-AU"/>
              </w:rPr>
            </w:pPr>
            <w:r w:rsidRPr="00B6081B">
              <w:rPr>
                <w:b/>
                <w:lang w:eastAsia="en-AU"/>
              </w:rPr>
              <w:t>Cost of Disposal on Non-current Assets</w:t>
            </w:r>
          </w:p>
        </w:tc>
        <w:tc>
          <w:tcPr>
            <w:tcW w:w="1120" w:type="dxa"/>
            <w:tcBorders>
              <w:top w:val="nil"/>
              <w:left w:val="nil"/>
              <w:bottom w:val="nil"/>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p>
        </w:tc>
        <w:tc>
          <w:tcPr>
            <w:tcW w:w="1120" w:type="dxa"/>
            <w:tcBorders>
              <w:top w:val="nil"/>
              <w:left w:val="nil"/>
              <w:bottom w:val="nil"/>
              <w:right w:val="nil"/>
            </w:tcBorders>
            <w:shd w:val="clear" w:color="auto" w:fill="auto"/>
            <w:noWrap/>
            <w:vAlign w:val="bottom"/>
            <w:hideMark/>
          </w:tcPr>
          <w:p w:rsidR="00B6081B" w:rsidRPr="00B6081B" w:rsidRDefault="00B6081B" w:rsidP="00B6081B">
            <w:pPr>
              <w:spacing w:after="0"/>
              <w:jc w:val="right"/>
              <w:rPr>
                <w:lang w:eastAsia="en-AU"/>
              </w:rPr>
            </w:pP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r w:rsidRPr="00B6081B">
              <w:rPr>
                <w:lang w:eastAsia="en-AU"/>
              </w:rPr>
              <w:t>Furniture and fittings</w:t>
            </w:r>
          </w:p>
        </w:tc>
        <w:tc>
          <w:tcPr>
            <w:tcW w:w="1120" w:type="dxa"/>
            <w:tcBorders>
              <w:top w:val="nil"/>
              <w:left w:val="nil"/>
              <w:bottom w:val="nil"/>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w:t>
            </w:r>
          </w:p>
        </w:tc>
        <w:tc>
          <w:tcPr>
            <w:tcW w:w="1120" w:type="dxa"/>
            <w:tcBorders>
              <w:top w:val="nil"/>
              <w:left w:val="nil"/>
              <w:bottom w:val="nil"/>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r w:rsidRPr="00B6081B">
              <w:rPr>
                <w:lang w:eastAsia="en-AU"/>
              </w:rPr>
              <w:t>Office equipment</w:t>
            </w:r>
          </w:p>
        </w:tc>
        <w:tc>
          <w:tcPr>
            <w:tcW w:w="1120" w:type="dxa"/>
            <w:tcBorders>
              <w:top w:val="nil"/>
              <w:left w:val="nil"/>
              <w:bottom w:val="nil"/>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16</w:t>
            </w:r>
          </w:p>
        </w:tc>
        <w:tc>
          <w:tcPr>
            <w:tcW w:w="1120" w:type="dxa"/>
            <w:tcBorders>
              <w:top w:val="nil"/>
              <w:left w:val="nil"/>
              <w:bottom w:val="nil"/>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7</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r w:rsidRPr="00B6081B">
              <w:rPr>
                <w:lang w:eastAsia="en-AU"/>
              </w:rPr>
              <w:t>Office establishment</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1</w:t>
            </w:r>
          </w:p>
        </w:tc>
        <w:tc>
          <w:tcPr>
            <w:tcW w:w="1120" w:type="dxa"/>
            <w:tcBorders>
              <w:top w:val="nil"/>
              <w:left w:val="nil"/>
              <w:bottom w:val="single" w:sz="4" w:space="0" w:color="auto"/>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42</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17</w:t>
            </w:r>
          </w:p>
        </w:tc>
        <w:tc>
          <w:tcPr>
            <w:tcW w:w="1120" w:type="dxa"/>
            <w:tcBorders>
              <w:top w:val="single" w:sz="4" w:space="0" w:color="auto"/>
              <w:left w:val="nil"/>
              <w:bottom w:val="single" w:sz="4" w:space="0" w:color="auto"/>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49</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b/>
                <w:lang w:eastAsia="en-AU"/>
              </w:rPr>
            </w:pPr>
            <w:r w:rsidRPr="00B6081B">
              <w:rPr>
                <w:b/>
                <w:lang w:eastAsia="en-AU"/>
              </w:rPr>
              <w:t>Proceeds from Disposal of Non-current Assets</w:t>
            </w:r>
          </w:p>
        </w:tc>
        <w:tc>
          <w:tcPr>
            <w:tcW w:w="1120" w:type="dxa"/>
            <w:tcBorders>
              <w:top w:val="single" w:sz="4" w:space="0" w:color="auto"/>
              <w:left w:val="nil"/>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p>
        </w:tc>
        <w:tc>
          <w:tcPr>
            <w:tcW w:w="1120" w:type="dxa"/>
            <w:tcBorders>
              <w:top w:val="single" w:sz="4" w:space="0" w:color="auto"/>
              <w:left w:val="nil"/>
              <w:right w:val="nil"/>
            </w:tcBorders>
            <w:shd w:val="clear" w:color="auto" w:fill="auto"/>
            <w:noWrap/>
            <w:vAlign w:val="bottom"/>
            <w:hideMark/>
          </w:tcPr>
          <w:p w:rsidR="00B6081B" w:rsidRPr="00B6081B" w:rsidRDefault="00B6081B" w:rsidP="00B6081B">
            <w:pPr>
              <w:spacing w:after="0"/>
              <w:jc w:val="right"/>
              <w:rPr>
                <w:lang w:eastAsia="en-AU"/>
              </w:rPr>
            </w:pP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r w:rsidRPr="00B6081B">
              <w:rPr>
                <w:lang w:eastAsia="en-AU"/>
              </w:rPr>
              <w:t>Office establishment</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w:t>
            </w:r>
          </w:p>
        </w:tc>
        <w:tc>
          <w:tcPr>
            <w:tcW w:w="1120" w:type="dxa"/>
            <w:tcBorders>
              <w:top w:val="nil"/>
              <w:left w:val="nil"/>
              <w:bottom w:val="single" w:sz="4" w:space="0" w:color="auto"/>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29</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w:t>
            </w:r>
          </w:p>
        </w:tc>
        <w:tc>
          <w:tcPr>
            <w:tcW w:w="1120" w:type="dxa"/>
            <w:tcBorders>
              <w:top w:val="single" w:sz="4" w:space="0" w:color="auto"/>
              <w:left w:val="nil"/>
              <w:bottom w:val="single" w:sz="4" w:space="0" w:color="auto"/>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29</w:t>
            </w:r>
          </w:p>
        </w:tc>
      </w:tr>
      <w:tr w:rsidR="00B6081B" w:rsidRPr="00B6081B" w:rsidTr="00B6081B">
        <w:trPr>
          <w:trHeight w:val="285"/>
        </w:trPr>
        <w:tc>
          <w:tcPr>
            <w:tcW w:w="4680" w:type="dxa"/>
            <w:tcBorders>
              <w:top w:val="nil"/>
              <w:left w:val="nil"/>
              <w:bottom w:val="nil"/>
              <w:right w:val="nil"/>
            </w:tcBorders>
            <w:shd w:val="clear" w:color="auto" w:fill="auto"/>
            <w:noWrap/>
            <w:vAlign w:val="bottom"/>
            <w:hideMark/>
          </w:tcPr>
          <w:p w:rsidR="00B6081B" w:rsidRPr="00B6081B" w:rsidRDefault="00B6081B" w:rsidP="00B6081B">
            <w:pPr>
              <w:spacing w:after="0"/>
              <w:rPr>
                <w:lang w:eastAsia="en-AU"/>
              </w:rPr>
            </w:pPr>
            <w:r w:rsidRPr="00B6081B">
              <w:rPr>
                <w:lang w:eastAsia="en-AU"/>
              </w:rPr>
              <w:t>Net gain/(loss)</w:t>
            </w:r>
          </w:p>
        </w:tc>
        <w:tc>
          <w:tcPr>
            <w:tcW w:w="1120" w:type="dxa"/>
            <w:tcBorders>
              <w:top w:val="single" w:sz="4" w:space="0" w:color="auto"/>
              <w:left w:val="nil"/>
              <w:bottom w:val="single" w:sz="4" w:space="0" w:color="auto"/>
              <w:right w:val="nil"/>
            </w:tcBorders>
            <w:shd w:val="clear" w:color="auto" w:fill="F2F2F2" w:themeFill="background1" w:themeFillShade="F2"/>
            <w:noWrap/>
            <w:vAlign w:val="bottom"/>
            <w:hideMark/>
          </w:tcPr>
          <w:p w:rsidR="00B6081B" w:rsidRPr="00B6081B" w:rsidRDefault="00B6081B" w:rsidP="00B6081B">
            <w:pPr>
              <w:spacing w:after="0"/>
              <w:jc w:val="right"/>
              <w:rPr>
                <w:lang w:eastAsia="en-AU"/>
              </w:rPr>
            </w:pPr>
            <w:r w:rsidRPr="00B6081B">
              <w:rPr>
                <w:lang w:eastAsia="en-AU"/>
              </w:rPr>
              <w:t>17</w:t>
            </w:r>
          </w:p>
        </w:tc>
        <w:tc>
          <w:tcPr>
            <w:tcW w:w="1120" w:type="dxa"/>
            <w:tcBorders>
              <w:top w:val="single" w:sz="4" w:space="0" w:color="auto"/>
              <w:left w:val="nil"/>
              <w:bottom w:val="single" w:sz="4" w:space="0" w:color="auto"/>
              <w:right w:val="nil"/>
            </w:tcBorders>
            <w:shd w:val="clear" w:color="auto" w:fill="auto"/>
            <w:noWrap/>
            <w:vAlign w:val="bottom"/>
            <w:hideMark/>
          </w:tcPr>
          <w:p w:rsidR="00B6081B" w:rsidRPr="00B6081B" w:rsidRDefault="00B6081B" w:rsidP="00B6081B">
            <w:pPr>
              <w:spacing w:after="0"/>
              <w:jc w:val="right"/>
              <w:rPr>
                <w:lang w:eastAsia="en-AU"/>
              </w:rPr>
            </w:pPr>
            <w:r w:rsidRPr="00B6081B">
              <w:rPr>
                <w:lang w:eastAsia="en-AU"/>
              </w:rPr>
              <w:t>-20</w:t>
            </w:r>
          </w:p>
        </w:tc>
      </w:tr>
    </w:tbl>
    <w:p w:rsidR="00FA2954" w:rsidRDefault="00FA2954">
      <w:pPr>
        <w:spacing w:line="276" w:lineRule="auto"/>
        <w:rPr>
          <w:color w:val="000000"/>
          <w:lang w:val="en-US"/>
        </w:rPr>
      </w:pPr>
    </w:p>
    <w:p w:rsidR="00FC4E35" w:rsidRPr="001630AB" w:rsidRDefault="00FC4E35" w:rsidP="001630AB">
      <w:pPr>
        <w:pStyle w:val="Heading4"/>
        <w:numPr>
          <w:ilvl w:val="0"/>
          <w:numId w:val="76"/>
        </w:numPr>
        <w:rPr>
          <w:lang w:val="en-US"/>
        </w:rPr>
      </w:pPr>
      <w:r w:rsidRPr="00FC4E35">
        <w:rPr>
          <w:lang w:val="en-US"/>
        </w:rPr>
        <w:t>Income from State Government</w:t>
      </w:r>
    </w:p>
    <w:tbl>
      <w:tblPr>
        <w:tblW w:w="6920" w:type="dxa"/>
        <w:tblInd w:w="93" w:type="dxa"/>
        <w:tblLook w:val="04A0" w:firstRow="1" w:lastRow="0" w:firstColumn="1" w:lastColumn="0" w:noHBand="0" w:noVBand="1"/>
      </w:tblPr>
      <w:tblGrid>
        <w:gridCol w:w="4680"/>
        <w:gridCol w:w="1120"/>
        <w:gridCol w:w="1120"/>
      </w:tblGrid>
      <w:tr w:rsidR="00B6081B" w:rsidRPr="00B6081B" w:rsidTr="00B6081B">
        <w:trPr>
          <w:trHeight w:val="285"/>
        </w:trPr>
        <w:tc>
          <w:tcPr>
            <w:tcW w:w="4680" w:type="dxa"/>
            <w:tcBorders>
              <w:top w:val="nil"/>
              <w:left w:val="nil"/>
              <w:bottom w:val="nil"/>
              <w:right w:val="nil"/>
            </w:tcBorders>
            <w:shd w:val="clear" w:color="auto" w:fill="auto"/>
            <w:noWrap/>
            <w:vAlign w:val="center"/>
            <w:hideMark/>
          </w:tcPr>
          <w:p w:rsidR="00B6081B" w:rsidRPr="00B6081B" w:rsidRDefault="00B6081B" w:rsidP="00B6081B">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B6081B" w:rsidRPr="00B6081B" w:rsidRDefault="00B6081B" w:rsidP="00B6081B">
            <w:pPr>
              <w:spacing w:after="0"/>
              <w:jc w:val="right"/>
              <w:rPr>
                <w:b/>
                <w:lang w:eastAsia="en-AU"/>
              </w:rPr>
            </w:pPr>
            <w:r w:rsidRPr="00B6081B">
              <w:rPr>
                <w:b/>
                <w:lang w:eastAsia="en-AU"/>
              </w:rPr>
              <w:t>2015 $000</w:t>
            </w:r>
          </w:p>
        </w:tc>
        <w:tc>
          <w:tcPr>
            <w:tcW w:w="1120" w:type="dxa"/>
            <w:tcBorders>
              <w:top w:val="nil"/>
              <w:left w:val="nil"/>
              <w:bottom w:val="nil"/>
              <w:right w:val="nil"/>
            </w:tcBorders>
            <w:shd w:val="clear" w:color="auto" w:fill="auto"/>
            <w:noWrap/>
            <w:vAlign w:val="bottom"/>
            <w:hideMark/>
          </w:tcPr>
          <w:p w:rsidR="00B6081B" w:rsidRPr="00B6081B" w:rsidRDefault="00B6081B" w:rsidP="00B6081B">
            <w:pPr>
              <w:spacing w:after="0"/>
              <w:jc w:val="right"/>
              <w:rPr>
                <w:b/>
                <w:lang w:eastAsia="en-AU"/>
              </w:rPr>
            </w:pPr>
            <w:r w:rsidRPr="00B6081B">
              <w:rPr>
                <w:b/>
                <w:lang w:eastAsia="en-AU"/>
              </w:rPr>
              <w:t>2014 $000</w:t>
            </w: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r w:rsidRPr="00B6081B">
              <w:rPr>
                <w:lang w:eastAsia="en-AU"/>
              </w:rPr>
              <w:t>Appropriation received during the year:</w:t>
            </w:r>
          </w:p>
        </w:tc>
        <w:tc>
          <w:tcPr>
            <w:tcW w:w="1120" w:type="dxa"/>
            <w:tcBorders>
              <w:top w:val="nil"/>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p>
        </w:tc>
        <w:tc>
          <w:tcPr>
            <w:tcW w:w="1120" w:type="dxa"/>
            <w:tcBorders>
              <w:top w:val="nil"/>
              <w:left w:val="nil"/>
              <w:bottom w:val="nil"/>
              <w:right w:val="nil"/>
            </w:tcBorders>
            <w:shd w:val="clear" w:color="auto" w:fill="auto"/>
            <w:vAlign w:val="center"/>
            <w:hideMark/>
          </w:tcPr>
          <w:p w:rsidR="00B6081B" w:rsidRPr="00B6081B" w:rsidRDefault="00B6081B" w:rsidP="00B6081B">
            <w:pPr>
              <w:spacing w:after="0"/>
              <w:jc w:val="right"/>
              <w:rPr>
                <w:lang w:eastAsia="en-AU"/>
              </w:rPr>
            </w:pP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ind w:left="333"/>
              <w:rPr>
                <w:lang w:eastAsia="en-AU"/>
              </w:rPr>
            </w:pPr>
            <w:r w:rsidRPr="00B6081B">
              <w:rPr>
                <w:lang w:eastAsia="en-AU"/>
              </w:rPr>
              <w:t>Service appropriations</w:t>
            </w:r>
            <w:r w:rsidRPr="00D5457A">
              <w:rPr>
                <w:vertAlign w:val="superscript"/>
                <w:lang w:eastAsia="en-AU"/>
              </w:rPr>
              <w:t>(a)</w:t>
            </w:r>
          </w:p>
        </w:tc>
        <w:tc>
          <w:tcPr>
            <w:tcW w:w="1120" w:type="dxa"/>
            <w:tcBorders>
              <w:top w:val="nil"/>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155,903</w:t>
            </w:r>
          </w:p>
        </w:tc>
        <w:tc>
          <w:tcPr>
            <w:tcW w:w="1120" w:type="dxa"/>
            <w:tcBorders>
              <w:top w:val="nil"/>
              <w:left w:val="nil"/>
              <w:bottom w:val="nil"/>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211,286</w:t>
            </w:r>
          </w:p>
        </w:tc>
      </w:tr>
      <w:tr w:rsidR="00B6081B" w:rsidRPr="00B6081B" w:rsidTr="00B6081B">
        <w:trPr>
          <w:trHeight w:val="1140"/>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r w:rsidRPr="00B6081B">
              <w:rPr>
                <w:lang w:eastAsia="en-AU"/>
              </w:rPr>
              <w:t>Services received free of charge from other State Government agencies during the period.  Determined on the basis of the following estimates provided by agencies:</w:t>
            </w:r>
          </w:p>
        </w:tc>
        <w:tc>
          <w:tcPr>
            <w:tcW w:w="1120" w:type="dxa"/>
            <w:tcBorders>
              <w:top w:val="nil"/>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p>
        </w:tc>
        <w:tc>
          <w:tcPr>
            <w:tcW w:w="1120" w:type="dxa"/>
            <w:tcBorders>
              <w:top w:val="nil"/>
              <w:left w:val="nil"/>
              <w:bottom w:val="nil"/>
              <w:right w:val="nil"/>
            </w:tcBorders>
            <w:shd w:val="clear" w:color="auto" w:fill="auto"/>
            <w:vAlign w:val="center"/>
            <w:hideMark/>
          </w:tcPr>
          <w:p w:rsidR="00B6081B" w:rsidRPr="00B6081B" w:rsidRDefault="00B6081B" w:rsidP="00B6081B">
            <w:pPr>
              <w:spacing w:after="0"/>
              <w:jc w:val="right"/>
              <w:rPr>
                <w:lang w:eastAsia="en-AU"/>
              </w:rPr>
            </w:pPr>
          </w:p>
        </w:tc>
      </w:tr>
      <w:tr w:rsidR="00B6081B" w:rsidRPr="00B6081B" w:rsidTr="00B6081B">
        <w:trPr>
          <w:trHeight w:val="570"/>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ind w:left="333"/>
              <w:rPr>
                <w:lang w:eastAsia="en-AU"/>
              </w:rPr>
            </w:pPr>
            <w:r w:rsidRPr="00B6081B">
              <w:rPr>
                <w:lang w:eastAsia="en-AU"/>
              </w:rPr>
              <w:t>Department of Finance - lease administration services</w:t>
            </w:r>
          </w:p>
        </w:tc>
        <w:tc>
          <w:tcPr>
            <w:tcW w:w="1120" w:type="dxa"/>
            <w:tcBorders>
              <w:top w:val="nil"/>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4,157</w:t>
            </w:r>
          </w:p>
        </w:tc>
        <w:tc>
          <w:tcPr>
            <w:tcW w:w="1120" w:type="dxa"/>
            <w:tcBorders>
              <w:top w:val="nil"/>
              <w:left w:val="nil"/>
              <w:bottom w:val="nil"/>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3,945</w:t>
            </w:r>
          </w:p>
        </w:tc>
      </w:tr>
      <w:tr w:rsidR="00B6081B" w:rsidRPr="00B6081B" w:rsidTr="00B6081B">
        <w:trPr>
          <w:trHeight w:val="570"/>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ind w:left="333"/>
              <w:rPr>
                <w:lang w:eastAsia="en-AU"/>
              </w:rPr>
            </w:pPr>
            <w:r w:rsidRPr="00B6081B">
              <w:rPr>
                <w:lang w:eastAsia="en-AU"/>
              </w:rPr>
              <w:t>Department of the Attorney General - legal services</w:t>
            </w:r>
          </w:p>
        </w:tc>
        <w:tc>
          <w:tcPr>
            <w:tcW w:w="1120" w:type="dxa"/>
            <w:tcBorders>
              <w:top w:val="nil"/>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2,692</w:t>
            </w:r>
          </w:p>
        </w:tc>
        <w:tc>
          <w:tcPr>
            <w:tcW w:w="1120" w:type="dxa"/>
            <w:tcBorders>
              <w:top w:val="nil"/>
              <w:left w:val="nil"/>
              <w:bottom w:val="nil"/>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3,136</w:t>
            </w:r>
          </w:p>
        </w:tc>
      </w:tr>
      <w:tr w:rsidR="00B6081B" w:rsidRPr="00B6081B" w:rsidTr="00B6081B">
        <w:trPr>
          <w:trHeight w:val="570"/>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ind w:left="333"/>
              <w:rPr>
                <w:lang w:eastAsia="en-AU"/>
              </w:rPr>
            </w:pPr>
            <w:r w:rsidRPr="00B6081B">
              <w:rPr>
                <w:lang w:eastAsia="en-AU"/>
              </w:rPr>
              <w:t>Department of Finance - procurement services</w:t>
            </w:r>
          </w:p>
        </w:tc>
        <w:tc>
          <w:tcPr>
            <w:tcW w:w="1120" w:type="dxa"/>
            <w:tcBorders>
              <w:top w:val="nil"/>
              <w:left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176</w:t>
            </w:r>
          </w:p>
        </w:tc>
        <w:tc>
          <w:tcPr>
            <w:tcW w:w="1120" w:type="dxa"/>
            <w:tcBorders>
              <w:top w:val="nil"/>
              <w:left w:val="nil"/>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210</w:t>
            </w: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r w:rsidRPr="00B6081B">
              <w:rPr>
                <w:lang w:eastAsia="en-AU"/>
              </w:rPr>
              <w:t>Landgate - spatial and valuation services</w:t>
            </w:r>
          </w:p>
        </w:tc>
        <w:tc>
          <w:tcPr>
            <w:tcW w:w="1120" w:type="dxa"/>
            <w:tcBorders>
              <w:top w:val="nil"/>
              <w:left w:val="nil"/>
              <w:bottom w:val="single" w:sz="4" w:space="0" w:color="auto"/>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15</w:t>
            </w:r>
          </w:p>
        </w:tc>
        <w:tc>
          <w:tcPr>
            <w:tcW w:w="1120" w:type="dxa"/>
            <w:tcBorders>
              <w:top w:val="nil"/>
              <w:left w:val="nil"/>
              <w:bottom w:val="single" w:sz="4" w:space="0" w:color="auto"/>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7</w:t>
            </w: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p>
        </w:tc>
        <w:tc>
          <w:tcPr>
            <w:tcW w:w="1120" w:type="dxa"/>
            <w:tcBorders>
              <w:top w:val="single" w:sz="4" w:space="0" w:color="auto"/>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7,040</w:t>
            </w:r>
          </w:p>
        </w:tc>
        <w:tc>
          <w:tcPr>
            <w:tcW w:w="1120" w:type="dxa"/>
            <w:tcBorders>
              <w:top w:val="single" w:sz="4" w:space="0" w:color="auto"/>
              <w:left w:val="nil"/>
              <w:bottom w:val="nil"/>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7,298</w:t>
            </w: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r w:rsidRPr="00B6081B">
              <w:rPr>
                <w:lang w:eastAsia="en-AU"/>
              </w:rPr>
              <w:t>Royalties for Regions Fund</w:t>
            </w:r>
            <w:r w:rsidRPr="00D5457A">
              <w:rPr>
                <w:vertAlign w:val="superscript"/>
                <w:lang w:eastAsia="en-AU"/>
              </w:rPr>
              <w:t>(b)</w:t>
            </w:r>
          </w:p>
        </w:tc>
        <w:tc>
          <w:tcPr>
            <w:tcW w:w="1120" w:type="dxa"/>
            <w:tcBorders>
              <w:top w:val="nil"/>
              <w:left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p>
        </w:tc>
        <w:tc>
          <w:tcPr>
            <w:tcW w:w="1120" w:type="dxa"/>
            <w:tcBorders>
              <w:top w:val="nil"/>
              <w:left w:val="nil"/>
              <w:right w:val="nil"/>
            </w:tcBorders>
            <w:shd w:val="clear" w:color="auto" w:fill="auto"/>
            <w:vAlign w:val="center"/>
            <w:hideMark/>
          </w:tcPr>
          <w:p w:rsidR="00B6081B" w:rsidRPr="00B6081B" w:rsidRDefault="00B6081B" w:rsidP="00B6081B">
            <w:pPr>
              <w:spacing w:after="0"/>
              <w:jc w:val="right"/>
              <w:rPr>
                <w:lang w:eastAsia="en-AU"/>
              </w:rPr>
            </w:pP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ind w:left="333"/>
              <w:rPr>
                <w:lang w:eastAsia="en-AU"/>
              </w:rPr>
            </w:pPr>
            <w:r w:rsidRPr="00B6081B">
              <w:rPr>
                <w:lang w:eastAsia="en-AU"/>
              </w:rPr>
              <w:t>Regional Community Services Account</w:t>
            </w:r>
          </w:p>
        </w:tc>
        <w:tc>
          <w:tcPr>
            <w:tcW w:w="1120" w:type="dxa"/>
            <w:tcBorders>
              <w:top w:val="nil"/>
              <w:left w:val="nil"/>
              <w:bottom w:val="single" w:sz="4" w:space="0" w:color="auto"/>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85</w:t>
            </w:r>
          </w:p>
        </w:tc>
        <w:tc>
          <w:tcPr>
            <w:tcW w:w="1120" w:type="dxa"/>
            <w:tcBorders>
              <w:top w:val="nil"/>
              <w:left w:val="nil"/>
              <w:bottom w:val="single" w:sz="4" w:space="0" w:color="auto"/>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121</w:t>
            </w: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p>
        </w:tc>
        <w:tc>
          <w:tcPr>
            <w:tcW w:w="1120" w:type="dxa"/>
            <w:tcBorders>
              <w:top w:val="single" w:sz="4" w:space="0" w:color="auto"/>
              <w:left w:val="nil"/>
              <w:bottom w:val="nil"/>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85</w:t>
            </w:r>
          </w:p>
        </w:tc>
        <w:tc>
          <w:tcPr>
            <w:tcW w:w="1120" w:type="dxa"/>
            <w:tcBorders>
              <w:top w:val="single" w:sz="4" w:space="0" w:color="auto"/>
              <w:left w:val="nil"/>
              <w:bottom w:val="nil"/>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121</w:t>
            </w: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p>
        </w:tc>
        <w:tc>
          <w:tcPr>
            <w:tcW w:w="1120" w:type="dxa"/>
            <w:tcBorders>
              <w:top w:val="nil"/>
              <w:left w:val="nil"/>
              <w:bottom w:val="single" w:sz="4" w:space="0" w:color="auto"/>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p>
        </w:tc>
        <w:tc>
          <w:tcPr>
            <w:tcW w:w="1120" w:type="dxa"/>
            <w:tcBorders>
              <w:top w:val="nil"/>
              <w:left w:val="nil"/>
              <w:bottom w:val="single" w:sz="4" w:space="0" w:color="auto"/>
              <w:right w:val="nil"/>
            </w:tcBorders>
            <w:shd w:val="clear" w:color="auto" w:fill="auto"/>
            <w:vAlign w:val="center"/>
            <w:hideMark/>
          </w:tcPr>
          <w:p w:rsidR="00B6081B" w:rsidRPr="00B6081B" w:rsidRDefault="00B6081B" w:rsidP="00B6081B">
            <w:pPr>
              <w:spacing w:after="0"/>
              <w:jc w:val="right"/>
              <w:rPr>
                <w:lang w:eastAsia="en-AU"/>
              </w:rPr>
            </w:pPr>
          </w:p>
        </w:tc>
      </w:tr>
      <w:tr w:rsidR="00B6081B" w:rsidRPr="00B6081B" w:rsidTr="00B6081B">
        <w:trPr>
          <w:trHeight w:val="285"/>
        </w:trPr>
        <w:tc>
          <w:tcPr>
            <w:tcW w:w="4680" w:type="dxa"/>
            <w:tcBorders>
              <w:top w:val="nil"/>
              <w:left w:val="nil"/>
              <w:bottom w:val="nil"/>
              <w:right w:val="nil"/>
            </w:tcBorders>
            <w:shd w:val="clear" w:color="auto" w:fill="auto"/>
            <w:vAlign w:val="center"/>
            <w:hideMark/>
          </w:tcPr>
          <w:p w:rsidR="00B6081B" w:rsidRPr="00B6081B" w:rsidRDefault="00B6081B" w:rsidP="00B6081B">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vAlign w:val="center"/>
            <w:hideMark/>
          </w:tcPr>
          <w:p w:rsidR="00B6081B" w:rsidRPr="00B6081B" w:rsidRDefault="00B6081B" w:rsidP="00B6081B">
            <w:pPr>
              <w:spacing w:after="0"/>
              <w:jc w:val="right"/>
              <w:rPr>
                <w:lang w:eastAsia="en-AU"/>
              </w:rPr>
            </w:pPr>
            <w:r w:rsidRPr="00B6081B">
              <w:rPr>
                <w:lang w:eastAsia="en-AU"/>
              </w:rPr>
              <w:t>163,028</w:t>
            </w:r>
          </w:p>
        </w:tc>
        <w:tc>
          <w:tcPr>
            <w:tcW w:w="1120" w:type="dxa"/>
            <w:tcBorders>
              <w:top w:val="single" w:sz="4" w:space="0" w:color="auto"/>
              <w:left w:val="nil"/>
              <w:bottom w:val="single" w:sz="4" w:space="0" w:color="auto"/>
              <w:right w:val="nil"/>
            </w:tcBorders>
            <w:shd w:val="clear" w:color="auto" w:fill="auto"/>
            <w:vAlign w:val="center"/>
            <w:hideMark/>
          </w:tcPr>
          <w:p w:rsidR="00B6081B" w:rsidRPr="00B6081B" w:rsidRDefault="00B6081B" w:rsidP="00B6081B">
            <w:pPr>
              <w:spacing w:after="0"/>
              <w:jc w:val="right"/>
              <w:rPr>
                <w:lang w:eastAsia="en-AU"/>
              </w:rPr>
            </w:pPr>
            <w:r w:rsidRPr="00B6081B">
              <w:rPr>
                <w:lang w:eastAsia="en-AU"/>
              </w:rPr>
              <w:t>218,705</w:t>
            </w:r>
          </w:p>
        </w:tc>
      </w:tr>
    </w:tbl>
    <w:p w:rsidR="00B6081B" w:rsidRDefault="00B6081B" w:rsidP="00FC4E35">
      <w:pPr>
        <w:suppressAutoHyphens/>
        <w:autoSpaceDE w:val="0"/>
        <w:autoSpaceDN w:val="0"/>
        <w:adjustRightInd w:val="0"/>
        <w:spacing w:after="0" w:line="288" w:lineRule="auto"/>
        <w:textAlignment w:val="center"/>
        <w:rPr>
          <w:color w:val="000000"/>
          <w:lang w:val="en-US"/>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1630AB">
        <w:trPr>
          <w:trHeight w:val="1208"/>
        </w:trPr>
        <w:tc>
          <w:tcPr>
            <w:tcW w:w="370" w:type="dxa"/>
            <w:tcMar>
              <w:top w:w="85" w:type="dxa"/>
              <w:left w:w="0" w:type="dxa"/>
              <w:bottom w:w="85" w:type="dxa"/>
              <w:right w:w="0" w:type="dxa"/>
            </w:tcMar>
          </w:tcPr>
          <w:p w:rsidR="00FC4E35" w:rsidRPr="00FC4E35" w:rsidRDefault="00FC4E35" w:rsidP="00D5457A">
            <w:pPr>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D5457A">
            <w:pPr>
              <w:rPr>
                <w:lang w:val="en-US"/>
              </w:rPr>
            </w:pPr>
            <w:r w:rsidRPr="00FC4E35">
              <w:rPr>
                <w:lang w:val="en-US"/>
              </w:rPr>
              <w:t>Service appropriations fund the net cost of services delivered.  The appropriation revenue comprises a cash component and a receivable (asset).  The receivable (holding account) comprises the depreciation expense for the year and any agreed increase in leave liability during the year.</w:t>
            </w:r>
          </w:p>
        </w:tc>
      </w:tr>
      <w:tr w:rsidR="00FC4E35" w:rsidRPr="00FC4E35" w:rsidTr="001630AB">
        <w:trPr>
          <w:trHeight w:val="344"/>
        </w:trPr>
        <w:tc>
          <w:tcPr>
            <w:tcW w:w="370" w:type="dxa"/>
            <w:tcMar>
              <w:top w:w="85" w:type="dxa"/>
              <w:left w:w="0" w:type="dxa"/>
              <w:bottom w:w="85" w:type="dxa"/>
              <w:right w:w="0" w:type="dxa"/>
            </w:tcMar>
          </w:tcPr>
          <w:p w:rsidR="00FC4E35" w:rsidRPr="00FC4E35" w:rsidRDefault="00FC4E35" w:rsidP="00D5457A">
            <w:pPr>
              <w:rPr>
                <w:lang w:val="en-US"/>
              </w:rPr>
            </w:pPr>
            <w:r w:rsidRPr="00FC4E35">
              <w:rPr>
                <w:lang w:val="en-US"/>
              </w:rPr>
              <w:t>(b)</w:t>
            </w:r>
          </w:p>
        </w:tc>
        <w:tc>
          <w:tcPr>
            <w:tcW w:w="9996" w:type="dxa"/>
            <w:tcMar>
              <w:top w:w="85" w:type="dxa"/>
              <w:left w:w="80" w:type="dxa"/>
              <w:bottom w:w="85" w:type="dxa"/>
              <w:right w:w="80" w:type="dxa"/>
            </w:tcMar>
          </w:tcPr>
          <w:p w:rsidR="00FC4E35" w:rsidRPr="00FC4E35" w:rsidRDefault="00FC4E35" w:rsidP="00D5457A">
            <w:pPr>
              <w:rPr>
                <w:lang w:val="en-US"/>
              </w:rPr>
            </w:pPr>
            <w:r w:rsidRPr="00FC4E35">
              <w:rPr>
                <w:lang w:val="en-US"/>
              </w:rPr>
              <w:t>This is a sub-fund within the over-arching ‘Royalties for Regions Fund’.  The recurrent funds are committed to projects and programmes in WA regional areas.</w:t>
            </w:r>
          </w:p>
        </w:tc>
      </w:tr>
    </w:tbl>
    <w:p w:rsidR="00FC4E35" w:rsidRPr="001630AB" w:rsidRDefault="00FC4E35" w:rsidP="001630AB">
      <w:pPr>
        <w:pStyle w:val="Heading4"/>
        <w:numPr>
          <w:ilvl w:val="0"/>
          <w:numId w:val="76"/>
        </w:numPr>
      </w:pPr>
      <w:r w:rsidRPr="00D5457A">
        <w:t>Restricted cash and cash equivalent assets</w:t>
      </w:r>
    </w:p>
    <w:tbl>
      <w:tblPr>
        <w:tblW w:w="6920" w:type="dxa"/>
        <w:tblInd w:w="93" w:type="dxa"/>
        <w:tblLook w:val="04A0" w:firstRow="1" w:lastRow="0" w:firstColumn="1" w:lastColumn="0" w:noHBand="0" w:noVBand="1"/>
      </w:tblPr>
      <w:tblGrid>
        <w:gridCol w:w="4680"/>
        <w:gridCol w:w="1120"/>
        <w:gridCol w:w="1120"/>
      </w:tblGrid>
      <w:tr w:rsidR="00D5457A" w:rsidRPr="00D5457A" w:rsidTr="00D5457A">
        <w:trPr>
          <w:trHeight w:val="285"/>
        </w:trPr>
        <w:tc>
          <w:tcPr>
            <w:tcW w:w="4680" w:type="dxa"/>
            <w:tcBorders>
              <w:top w:val="nil"/>
              <w:left w:val="nil"/>
              <w:bottom w:val="nil"/>
              <w:right w:val="nil"/>
            </w:tcBorders>
            <w:shd w:val="clear" w:color="auto" w:fill="auto"/>
            <w:noWrap/>
            <w:vAlign w:val="center"/>
            <w:hideMark/>
          </w:tcPr>
          <w:p w:rsidR="00D5457A" w:rsidRPr="00D5457A" w:rsidRDefault="00D5457A" w:rsidP="00D5457A">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D5457A" w:rsidRPr="00D5457A" w:rsidRDefault="00D5457A" w:rsidP="00D5457A">
            <w:pPr>
              <w:spacing w:after="0"/>
              <w:jc w:val="right"/>
              <w:rPr>
                <w:b/>
                <w:lang w:eastAsia="en-AU"/>
              </w:rPr>
            </w:pPr>
            <w:r w:rsidRPr="00D5457A">
              <w:rPr>
                <w:b/>
                <w:lang w:eastAsia="en-AU"/>
              </w:rPr>
              <w:t>2015 $000</w:t>
            </w:r>
          </w:p>
        </w:tc>
        <w:tc>
          <w:tcPr>
            <w:tcW w:w="1120" w:type="dxa"/>
            <w:tcBorders>
              <w:top w:val="nil"/>
              <w:left w:val="nil"/>
              <w:bottom w:val="nil"/>
              <w:right w:val="nil"/>
            </w:tcBorders>
            <w:shd w:val="clear" w:color="auto" w:fill="auto"/>
            <w:noWrap/>
            <w:vAlign w:val="center"/>
            <w:hideMark/>
          </w:tcPr>
          <w:p w:rsidR="00D5457A" w:rsidRPr="00D5457A" w:rsidRDefault="00D5457A" w:rsidP="00D5457A">
            <w:pPr>
              <w:spacing w:after="0"/>
              <w:jc w:val="right"/>
              <w:rPr>
                <w:b/>
                <w:lang w:eastAsia="en-AU"/>
              </w:rPr>
            </w:pPr>
            <w:r w:rsidRPr="00D5457A">
              <w:rPr>
                <w:b/>
                <w:lang w:eastAsia="en-AU"/>
              </w:rPr>
              <w:t>2014 $000</w:t>
            </w:r>
          </w:p>
        </w:tc>
      </w:tr>
      <w:tr w:rsidR="00D5457A" w:rsidRPr="00D5457A" w:rsidTr="00D5457A">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rPr>
                <w:u w:val="single"/>
                <w:lang w:eastAsia="en-AU"/>
              </w:rPr>
            </w:pPr>
            <w:r w:rsidRPr="00D5457A">
              <w:rPr>
                <w:u w:val="single"/>
                <w:lang w:eastAsia="en-AU"/>
              </w:rPr>
              <w:t>Non-current</w:t>
            </w:r>
          </w:p>
        </w:tc>
        <w:tc>
          <w:tcPr>
            <w:tcW w:w="1120" w:type="dxa"/>
            <w:tcBorders>
              <w:top w:val="nil"/>
              <w:left w:val="nil"/>
              <w:bottom w:val="nil"/>
              <w:right w:val="nil"/>
            </w:tcBorders>
            <w:shd w:val="clear" w:color="auto" w:fill="F2F2F2" w:themeFill="background1" w:themeFillShade="F2"/>
            <w:vAlign w:val="center"/>
            <w:hideMark/>
          </w:tcPr>
          <w:p w:rsidR="00D5457A" w:rsidRPr="00D5457A" w:rsidRDefault="00D5457A" w:rsidP="00D5457A">
            <w:pPr>
              <w:spacing w:after="0"/>
              <w:jc w:val="right"/>
              <w:rPr>
                <w:lang w:eastAsia="en-AU"/>
              </w:rPr>
            </w:pPr>
          </w:p>
        </w:tc>
        <w:tc>
          <w:tcPr>
            <w:tcW w:w="1120" w:type="dxa"/>
            <w:tcBorders>
              <w:top w:val="nil"/>
              <w:left w:val="nil"/>
              <w:bottom w:val="nil"/>
              <w:right w:val="nil"/>
            </w:tcBorders>
            <w:shd w:val="clear" w:color="auto" w:fill="auto"/>
            <w:vAlign w:val="center"/>
            <w:hideMark/>
          </w:tcPr>
          <w:p w:rsidR="00D5457A" w:rsidRPr="00D5457A" w:rsidRDefault="00D5457A" w:rsidP="00D5457A">
            <w:pPr>
              <w:spacing w:after="0"/>
              <w:jc w:val="right"/>
              <w:rPr>
                <w:lang w:eastAsia="en-AU"/>
              </w:rPr>
            </w:pPr>
          </w:p>
        </w:tc>
      </w:tr>
      <w:tr w:rsidR="00D5457A" w:rsidRPr="00D5457A" w:rsidTr="00D5457A">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rPr>
                <w:lang w:eastAsia="en-AU"/>
              </w:rPr>
            </w:pPr>
            <w:r w:rsidRPr="00D5457A">
              <w:rPr>
                <w:lang w:eastAsia="en-AU"/>
              </w:rPr>
              <w:t>Accrued salaries suspense account</w:t>
            </w:r>
            <w:r w:rsidRPr="00D5457A">
              <w:rPr>
                <w:vertAlign w:val="superscript"/>
                <w:lang w:eastAsia="en-AU"/>
              </w:rPr>
              <w:t>(a)</w:t>
            </w:r>
          </w:p>
        </w:tc>
        <w:tc>
          <w:tcPr>
            <w:tcW w:w="1120" w:type="dxa"/>
            <w:tcBorders>
              <w:top w:val="nil"/>
              <w:left w:val="nil"/>
              <w:bottom w:val="nil"/>
              <w:right w:val="nil"/>
            </w:tcBorders>
            <w:shd w:val="clear" w:color="auto" w:fill="F2F2F2" w:themeFill="background1" w:themeFillShade="F2"/>
            <w:vAlign w:val="center"/>
            <w:hideMark/>
          </w:tcPr>
          <w:p w:rsidR="00D5457A" w:rsidRPr="00D5457A" w:rsidRDefault="00D5457A" w:rsidP="00D5457A">
            <w:pPr>
              <w:spacing w:after="0"/>
              <w:jc w:val="right"/>
              <w:rPr>
                <w:lang w:eastAsia="en-AU"/>
              </w:rPr>
            </w:pPr>
            <w:r w:rsidRPr="00D5457A">
              <w:rPr>
                <w:lang w:eastAsia="en-AU"/>
              </w:rPr>
              <w:t>2,606</w:t>
            </w:r>
          </w:p>
        </w:tc>
        <w:tc>
          <w:tcPr>
            <w:tcW w:w="1120" w:type="dxa"/>
            <w:tcBorders>
              <w:top w:val="nil"/>
              <w:left w:val="nil"/>
              <w:bottom w:val="nil"/>
              <w:right w:val="nil"/>
            </w:tcBorders>
            <w:shd w:val="clear" w:color="auto" w:fill="auto"/>
            <w:vAlign w:val="center"/>
            <w:hideMark/>
          </w:tcPr>
          <w:p w:rsidR="00D5457A" w:rsidRPr="00D5457A" w:rsidRDefault="00D5457A" w:rsidP="00D5457A">
            <w:pPr>
              <w:spacing w:after="0"/>
              <w:jc w:val="right"/>
              <w:rPr>
                <w:lang w:eastAsia="en-AU"/>
              </w:rPr>
            </w:pPr>
            <w:r w:rsidRPr="00D5457A">
              <w:rPr>
                <w:lang w:eastAsia="en-AU"/>
              </w:rPr>
              <w:t>2,095</w:t>
            </w:r>
          </w:p>
        </w:tc>
      </w:tr>
      <w:tr w:rsidR="00D5457A" w:rsidRPr="00D5457A" w:rsidTr="00D5457A">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rPr>
                <w:lang w:eastAsia="en-AU"/>
              </w:rPr>
            </w:pPr>
            <w:r w:rsidRPr="00D5457A">
              <w:rPr>
                <w:lang w:eastAsia="en-AU"/>
              </w:rPr>
              <w:t>Browse LNG Precinct Agreement</w:t>
            </w:r>
          </w:p>
        </w:tc>
        <w:tc>
          <w:tcPr>
            <w:tcW w:w="1120" w:type="dxa"/>
            <w:tcBorders>
              <w:top w:val="nil"/>
              <w:left w:val="nil"/>
              <w:bottom w:val="single" w:sz="4" w:space="0" w:color="auto"/>
              <w:right w:val="nil"/>
            </w:tcBorders>
            <w:shd w:val="clear" w:color="auto" w:fill="F2F2F2" w:themeFill="background1" w:themeFillShade="F2"/>
            <w:vAlign w:val="center"/>
            <w:hideMark/>
          </w:tcPr>
          <w:p w:rsidR="00D5457A" w:rsidRPr="00D5457A" w:rsidRDefault="00D5457A" w:rsidP="00D5457A">
            <w:pPr>
              <w:spacing w:after="0"/>
              <w:jc w:val="right"/>
              <w:rPr>
                <w:lang w:eastAsia="en-AU"/>
              </w:rPr>
            </w:pPr>
            <w:r w:rsidRPr="00D5457A">
              <w:rPr>
                <w:lang w:eastAsia="en-AU"/>
              </w:rPr>
              <w:t>32,045</w:t>
            </w:r>
          </w:p>
        </w:tc>
        <w:tc>
          <w:tcPr>
            <w:tcW w:w="1120" w:type="dxa"/>
            <w:tcBorders>
              <w:top w:val="nil"/>
              <w:left w:val="nil"/>
              <w:bottom w:val="single" w:sz="4" w:space="0" w:color="auto"/>
              <w:right w:val="nil"/>
            </w:tcBorders>
            <w:shd w:val="clear" w:color="auto" w:fill="auto"/>
            <w:vAlign w:val="center"/>
            <w:hideMark/>
          </w:tcPr>
          <w:p w:rsidR="00D5457A" w:rsidRPr="00D5457A" w:rsidRDefault="00D5457A" w:rsidP="00D5457A">
            <w:pPr>
              <w:spacing w:after="0"/>
              <w:jc w:val="right"/>
              <w:rPr>
                <w:lang w:eastAsia="en-AU"/>
              </w:rPr>
            </w:pPr>
            <w:r w:rsidRPr="00D5457A">
              <w:rPr>
                <w:lang w:eastAsia="en-AU"/>
              </w:rPr>
              <w:t>31,166</w:t>
            </w:r>
          </w:p>
        </w:tc>
      </w:tr>
      <w:tr w:rsidR="00D5457A" w:rsidRPr="00D5457A" w:rsidTr="00D5457A">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vAlign w:val="center"/>
            <w:hideMark/>
          </w:tcPr>
          <w:p w:rsidR="00D5457A" w:rsidRPr="00D5457A" w:rsidRDefault="00D5457A" w:rsidP="00D5457A">
            <w:pPr>
              <w:spacing w:after="0"/>
              <w:jc w:val="right"/>
              <w:rPr>
                <w:lang w:eastAsia="en-AU"/>
              </w:rPr>
            </w:pPr>
            <w:r w:rsidRPr="00D5457A">
              <w:rPr>
                <w:lang w:eastAsia="en-AU"/>
              </w:rPr>
              <w:t>34,651</w:t>
            </w:r>
          </w:p>
        </w:tc>
        <w:tc>
          <w:tcPr>
            <w:tcW w:w="1120" w:type="dxa"/>
            <w:tcBorders>
              <w:top w:val="single" w:sz="4" w:space="0" w:color="auto"/>
              <w:left w:val="nil"/>
              <w:bottom w:val="double" w:sz="4" w:space="0" w:color="auto"/>
              <w:right w:val="nil"/>
            </w:tcBorders>
            <w:shd w:val="clear" w:color="auto" w:fill="auto"/>
            <w:vAlign w:val="center"/>
            <w:hideMark/>
          </w:tcPr>
          <w:p w:rsidR="00D5457A" w:rsidRPr="00D5457A" w:rsidRDefault="00D5457A" w:rsidP="00D5457A">
            <w:pPr>
              <w:spacing w:after="0"/>
              <w:jc w:val="right"/>
              <w:rPr>
                <w:lang w:eastAsia="en-AU"/>
              </w:rPr>
            </w:pPr>
            <w:r w:rsidRPr="00D5457A">
              <w:rPr>
                <w:lang w:eastAsia="en-AU"/>
              </w:rPr>
              <w:t>33,261</w:t>
            </w:r>
          </w:p>
        </w:tc>
      </w:tr>
    </w:tbl>
    <w:p w:rsidR="00FC4E35" w:rsidRPr="00FC4E35" w:rsidRDefault="00FC4E35" w:rsidP="009A36D1">
      <w:pPr>
        <w:pStyle w:val="NoSpacing"/>
        <w:rPr>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CA533D">
        <w:trPr>
          <w:trHeight w:val="713"/>
        </w:trPr>
        <w:tc>
          <w:tcPr>
            <w:tcW w:w="370" w:type="dxa"/>
            <w:tcMar>
              <w:top w:w="85" w:type="dxa"/>
              <w:left w:w="0" w:type="dxa"/>
              <w:bottom w:w="85" w:type="dxa"/>
              <w:right w:w="0" w:type="dxa"/>
            </w:tcMar>
          </w:tcPr>
          <w:p w:rsidR="00FC4E35" w:rsidRPr="00FC4E35" w:rsidRDefault="00FC4E35" w:rsidP="00D5457A">
            <w:pPr>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D5457A">
            <w:pPr>
              <w:rPr>
                <w:lang w:val="en-US"/>
              </w:rPr>
            </w:pPr>
            <w:r w:rsidRPr="00FC4E35">
              <w:rPr>
                <w:lang w:val="en-US"/>
              </w:rPr>
              <w:t>Amount held in the suspense account is only to be used for the purpose of meeting the 27th pay in a financial year that occurs every 11 years.</w:t>
            </w:r>
          </w:p>
        </w:tc>
      </w:tr>
    </w:tbl>
    <w:p w:rsidR="00FC4E35" w:rsidRPr="00FC4E35" w:rsidRDefault="00FC4E35" w:rsidP="00CA533D">
      <w:pPr>
        <w:suppressAutoHyphens/>
        <w:autoSpaceDE w:val="0"/>
        <w:autoSpaceDN w:val="0"/>
        <w:adjustRightInd w:val="0"/>
        <w:spacing w:after="0" w:line="288" w:lineRule="auto"/>
        <w:textAlignment w:val="center"/>
        <w:rPr>
          <w:color w:val="000000"/>
          <w:lang w:val="en-US"/>
        </w:rPr>
      </w:pPr>
    </w:p>
    <w:p w:rsidR="00FC4E35" w:rsidRPr="00D5457A" w:rsidRDefault="00FC4E35" w:rsidP="00AE75A9">
      <w:pPr>
        <w:pStyle w:val="Heading4"/>
        <w:numPr>
          <w:ilvl w:val="0"/>
          <w:numId w:val="76"/>
        </w:numPr>
        <w:spacing w:before="0"/>
      </w:pPr>
      <w:r w:rsidRPr="00D5457A">
        <w:t>Inventories</w:t>
      </w:r>
    </w:p>
    <w:tbl>
      <w:tblPr>
        <w:tblW w:w="6920" w:type="dxa"/>
        <w:tblInd w:w="93" w:type="dxa"/>
        <w:tblLook w:val="04A0" w:firstRow="1" w:lastRow="0" w:firstColumn="1" w:lastColumn="0" w:noHBand="0" w:noVBand="1"/>
      </w:tblPr>
      <w:tblGrid>
        <w:gridCol w:w="4680"/>
        <w:gridCol w:w="1120"/>
        <w:gridCol w:w="1120"/>
      </w:tblGrid>
      <w:tr w:rsidR="00D5457A" w:rsidRPr="00CA533D" w:rsidTr="00CA533D">
        <w:trPr>
          <w:trHeight w:val="285"/>
        </w:trPr>
        <w:tc>
          <w:tcPr>
            <w:tcW w:w="4680" w:type="dxa"/>
            <w:tcBorders>
              <w:top w:val="nil"/>
              <w:left w:val="nil"/>
              <w:bottom w:val="nil"/>
              <w:right w:val="nil"/>
            </w:tcBorders>
            <w:shd w:val="clear" w:color="auto" w:fill="auto"/>
            <w:noWrap/>
            <w:vAlign w:val="center"/>
            <w:hideMark/>
          </w:tcPr>
          <w:p w:rsidR="00D5457A" w:rsidRPr="00D5457A" w:rsidRDefault="00D5457A" w:rsidP="00D5457A">
            <w:pPr>
              <w:spacing w:after="0"/>
            </w:pPr>
          </w:p>
        </w:tc>
        <w:tc>
          <w:tcPr>
            <w:tcW w:w="1120" w:type="dxa"/>
            <w:tcBorders>
              <w:top w:val="nil"/>
              <w:left w:val="nil"/>
              <w:bottom w:val="nil"/>
              <w:right w:val="nil"/>
            </w:tcBorders>
            <w:shd w:val="clear" w:color="auto" w:fill="F2F2F2" w:themeFill="background1" w:themeFillShade="F2"/>
            <w:noWrap/>
            <w:vAlign w:val="center"/>
            <w:hideMark/>
          </w:tcPr>
          <w:p w:rsidR="00D5457A" w:rsidRPr="00CA533D" w:rsidRDefault="00D5457A" w:rsidP="00D5457A">
            <w:pPr>
              <w:spacing w:after="0"/>
              <w:jc w:val="right"/>
              <w:rPr>
                <w:b/>
              </w:rPr>
            </w:pPr>
            <w:r w:rsidRPr="00CA533D">
              <w:rPr>
                <w:b/>
              </w:rPr>
              <w:t>2015 $000</w:t>
            </w:r>
          </w:p>
        </w:tc>
        <w:tc>
          <w:tcPr>
            <w:tcW w:w="1120" w:type="dxa"/>
            <w:tcBorders>
              <w:top w:val="nil"/>
              <w:left w:val="nil"/>
              <w:bottom w:val="nil"/>
              <w:right w:val="nil"/>
            </w:tcBorders>
            <w:shd w:val="clear" w:color="auto" w:fill="auto"/>
            <w:noWrap/>
            <w:vAlign w:val="center"/>
            <w:hideMark/>
          </w:tcPr>
          <w:p w:rsidR="00D5457A" w:rsidRPr="00CA533D" w:rsidRDefault="00D5457A" w:rsidP="00D5457A">
            <w:pPr>
              <w:spacing w:after="0"/>
              <w:jc w:val="right"/>
              <w:rPr>
                <w:b/>
              </w:rPr>
            </w:pPr>
            <w:r w:rsidRPr="00CA533D">
              <w:rPr>
                <w:b/>
              </w:rPr>
              <w:t>2014 $000</w:t>
            </w:r>
          </w:p>
        </w:tc>
      </w:tr>
      <w:tr w:rsidR="00D5457A" w:rsidRPr="00D5457A" w:rsidTr="00CA533D">
        <w:trPr>
          <w:trHeight w:val="285"/>
        </w:trPr>
        <w:tc>
          <w:tcPr>
            <w:tcW w:w="4680" w:type="dxa"/>
            <w:tcBorders>
              <w:top w:val="nil"/>
              <w:left w:val="nil"/>
              <w:bottom w:val="nil"/>
              <w:right w:val="nil"/>
            </w:tcBorders>
            <w:shd w:val="clear" w:color="auto" w:fill="auto"/>
            <w:vAlign w:val="center"/>
            <w:hideMark/>
          </w:tcPr>
          <w:p w:rsidR="00D5457A" w:rsidRPr="00CA533D" w:rsidRDefault="00D5457A" w:rsidP="00D5457A">
            <w:pPr>
              <w:spacing w:after="0"/>
              <w:rPr>
                <w:u w:val="single"/>
              </w:rPr>
            </w:pPr>
            <w:r w:rsidRPr="00CA533D">
              <w:rPr>
                <w:u w:val="single"/>
              </w:rPr>
              <w:t>Current</w:t>
            </w:r>
          </w:p>
        </w:tc>
        <w:tc>
          <w:tcPr>
            <w:tcW w:w="1120" w:type="dxa"/>
            <w:tcBorders>
              <w:top w:val="nil"/>
              <w:left w:val="nil"/>
              <w:bottom w:val="nil"/>
              <w:right w:val="nil"/>
            </w:tcBorders>
            <w:shd w:val="clear" w:color="auto" w:fill="F2F2F2" w:themeFill="background1" w:themeFillShade="F2"/>
            <w:vAlign w:val="center"/>
            <w:hideMark/>
          </w:tcPr>
          <w:p w:rsidR="00D5457A" w:rsidRPr="00D5457A" w:rsidRDefault="00D5457A" w:rsidP="00D5457A">
            <w:pPr>
              <w:spacing w:after="0"/>
              <w:jc w:val="right"/>
            </w:pPr>
          </w:p>
        </w:tc>
        <w:tc>
          <w:tcPr>
            <w:tcW w:w="1120" w:type="dxa"/>
            <w:tcBorders>
              <w:top w:val="nil"/>
              <w:left w:val="nil"/>
              <w:bottom w:val="nil"/>
              <w:right w:val="nil"/>
            </w:tcBorders>
            <w:shd w:val="clear" w:color="auto" w:fill="auto"/>
            <w:vAlign w:val="center"/>
            <w:hideMark/>
          </w:tcPr>
          <w:p w:rsidR="00D5457A" w:rsidRPr="00D5457A" w:rsidRDefault="00D5457A" w:rsidP="00D5457A">
            <w:pPr>
              <w:spacing w:after="0"/>
              <w:jc w:val="right"/>
            </w:pPr>
          </w:p>
        </w:tc>
      </w:tr>
      <w:tr w:rsidR="00D5457A" w:rsidRPr="00D5457A" w:rsidTr="00CA533D">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pPr>
            <w:r w:rsidRPr="00D5457A">
              <w:t>Inventories held for resale:</w:t>
            </w:r>
          </w:p>
        </w:tc>
        <w:tc>
          <w:tcPr>
            <w:tcW w:w="1120" w:type="dxa"/>
            <w:tcBorders>
              <w:top w:val="nil"/>
              <w:left w:val="nil"/>
              <w:bottom w:val="nil"/>
              <w:right w:val="nil"/>
            </w:tcBorders>
            <w:shd w:val="clear" w:color="auto" w:fill="F2F2F2" w:themeFill="background1" w:themeFillShade="F2"/>
            <w:vAlign w:val="center"/>
            <w:hideMark/>
          </w:tcPr>
          <w:p w:rsidR="00D5457A" w:rsidRPr="00D5457A" w:rsidRDefault="00D5457A" w:rsidP="00D5457A">
            <w:pPr>
              <w:spacing w:after="0"/>
              <w:jc w:val="right"/>
            </w:pPr>
          </w:p>
        </w:tc>
        <w:tc>
          <w:tcPr>
            <w:tcW w:w="1120" w:type="dxa"/>
            <w:tcBorders>
              <w:top w:val="nil"/>
              <w:left w:val="nil"/>
              <w:bottom w:val="nil"/>
              <w:right w:val="nil"/>
            </w:tcBorders>
            <w:shd w:val="clear" w:color="auto" w:fill="auto"/>
            <w:vAlign w:val="center"/>
            <w:hideMark/>
          </w:tcPr>
          <w:p w:rsidR="00D5457A" w:rsidRPr="00D5457A" w:rsidRDefault="00D5457A" w:rsidP="00D5457A">
            <w:pPr>
              <w:spacing w:after="0"/>
              <w:jc w:val="right"/>
            </w:pPr>
          </w:p>
        </w:tc>
      </w:tr>
      <w:tr w:rsidR="00D5457A" w:rsidRPr="00D5457A" w:rsidTr="00CA533D">
        <w:trPr>
          <w:trHeight w:val="285"/>
        </w:trPr>
        <w:tc>
          <w:tcPr>
            <w:tcW w:w="4680" w:type="dxa"/>
            <w:tcBorders>
              <w:top w:val="nil"/>
              <w:left w:val="nil"/>
              <w:bottom w:val="nil"/>
              <w:right w:val="nil"/>
            </w:tcBorders>
            <w:shd w:val="clear" w:color="auto" w:fill="auto"/>
            <w:vAlign w:val="center"/>
            <w:hideMark/>
          </w:tcPr>
          <w:p w:rsidR="00D5457A" w:rsidRPr="00D5457A" w:rsidRDefault="00D5457A" w:rsidP="00CA533D">
            <w:pPr>
              <w:spacing w:after="0"/>
              <w:ind w:left="333"/>
            </w:pPr>
            <w:r w:rsidRPr="00D5457A">
              <w:rPr>
                <w:lang w:eastAsia="en-AU"/>
              </w:rPr>
              <w:t>Publications</w:t>
            </w:r>
          </w:p>
        </w:tc>
        <w:tc>
          <w:tcPr>
            <w:tcW w:w="1120" w:type="dxa"/>
            <w:tcBorders>
              <w:top w:val="nil"/>
              <w:left w:val="nil"/>
              <w:bottom w:val="nil"/>
              <w:right w:val="nil"/>
            </w:tcBorders>
            <w:shd w:val="clear" w:color="auto" w:fill="F2F2F2" w:themeFill="background1" w:themeFillShade="F2"/>
            <w:vAlign w:val="center"/>
            <w:hideMark/>
          </w:tcPr>
          <w:p w:rsidR="00D5457A" w:rsidRPr="00D5457A" w:rsidRDefault="00D5457A" w:rsidP="00D5457A">
            <w:pPr>
              <w:spacing w:after="0"/>
              <w:jc w:val="right"/>
            </w:pPr>
            <w:r w:rsidRPr="00D5457A">
              <w:t>27</w:t>
            </w:r>
          </w:p>
        </w:tc>
        <w:tc>
          <w:tcPr>
            <w:tcW w:w="1120" w:type="dxa"/>
            <w:tcBorders>
              <w:top w:val="nil"/>
              <w:left w:val="nil"/>
              <w:bottom w:val="nil"/>
              <w:right w:val="nil"/>
            </w:tcBorders>
            <w:shd w:val="clear" w:color="auto" w:fill="auto"/>
            <w:vAlign w:val="center"/>
            <w:hideMark/>
          </w:tcPr>
          <w:p w:rsidR="00D5457A" w:rsidRPr="00D5457A" w:rsidRDefault="00D5457A" w:rsidP="00D5457A">
            <w:pPr>
              <w:spacing w:after="0"/>
              <w:jc w:val="right"/>
            </w:pPr>
            <w:r w:rsidRPr="00D5457A">
              <w:t>18</w:t>
            </w:r>
          </w:p>
        </w:tc>
      </w:tr>
      <w:tr w:rsidR="00D5457A" w:rsidRPr="00D5457A" w:rsidTr="00CA533D">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pPr>
            <w:r w:rsidRPr="00D5457A">
              <w:t>Inventories not held for resale:</w:t>
            </w:r>
          </w:p>
        </w:tc>
        <w:tc>
          <w:tcPr>
            <w:tcW w:w="1120" w:type="dxa"/>
            <w:tcBorders>
              <w:top w:val="nil"/>
              <w:left w:val="nil"/>
              <w:bottom w:val="nil"/>
              <w:right w:val="nil"/>
            </w:tcBorders>
            <w:shd w:val="clear" w:color="auto" w:fill="F2F2F2" w:themeFill="background1" w:themeFillShade="F2"/>
            <w:vAlign w:val="center"/>
            <w:hideMark/>
          </w:tcPr>
          <w:p w:rsidR="00D5457A" w:rsidRPr="00D5457A" w:rsidRDefault="00D5457A" w:rsidP="00D5457A">
            <w:pPr>
              <w:spacing w:after="0"/>
              <w:jc w:val="right"/>
            </w:pPr>
          </w:p>
        </w:tc>
        <w:tc>
          <w:tcPr>
            <w:tcW w:w="1120" w:type="dxa"/>
            <w:tcBorders>
              <w:top w:val="nil"/>
              <w:left w:val="nil"/>
              <w:bottom w:val="nil"/>
              <w:right w:val="nil"/>
            </w:tcBorders>
            <w:shd w:val="clear" w:color="auto" w:fill="auto"/>
            <w:vAlign w:val="center"/>
            <w:hideMark/>
          </w:tcPr>
          <w:p w:rsidR="00D5457A" w:rsidRPr="00D5457A" w:rsidRDefault="00D5457A" w:rsidP="00D5457A">
            <w:pPr>
              <w:spacing w:after="0"/>
              <w:jc w:val="right"/>
            </w:pPr>
          </w:p>
        </w:tc>
      </w:tr>
      <w:tr w:rsidR="00D5457A" w:rsidRPr="00D5457A" w:rsidTr="00CA533D">
        <w:trPr>
          <w:trHeight w:val="285"/>
        </w:trPr>
        <w:tc>
          <w:tcPr>
            <w:tcW w:w="4680" w:type="dxa"/>
            <w:tcBorders>
              <w:top w:val="nil"/>
              <w:left w:val="nil"/>
              <w:bottom w:val="nil"/>
              <w:right w:val="nil"/>
            </w:tcBorders>
            <w:shd w:val="clear" w:color="auto" w:fill="auto"/>
            <w:vAlign w:val="center"/>
            <w:hideMark/>
          </w:tcPr>
          <w:p w:rsidR="00D5457A" w:rsidRPr="00D5457A" w:rsidRDefault="00D5457A" w:rsidP="00CA533D">
            <w:pPr>
              <w:spacing w:after="0"/>
              <w:ind w:left="333"/>
            </w:pPr>
            <w:r w:rsidRPr="00D5457A">
              <w:rPr>
                <w:lang w:eastAsia="en-AU"/>
              </w:rPr>
              <w:t>Stationery</w:t>
            </w:r>
            <w:r w:rsidRPr="00D5457A">
              <w:t xml:space="preserve"> stores and material</w:t>
            </w:r>
          </w:p>
        </w:tc>
        <w:tc>
          <w:tcPr>
            <w:tcW w:w="1120" w:type="dxa"/>
            <w:tcBorders>
              <w:top w:val="nil"/>
              <w:left w:val="nil"/>
              <w:bottom w:val="single" w:sz="4" w:space="0" w:color="auto"/>
              <w:right w:val="nil"/>
            </w:tcBorders>
            <w:shd w:val="clear" w:color="auto" w:fill="F2F2F2" w:themeFill="background1" w:themeFillShade="F2"/>
            <w:vAlign w:val="center"/>
            <w:hideMark/>
          </w:tcPr>
          <w:p w:rsidR="00D5457A" w:rsidRPr="00D5457A" w:rsidRDefault="00D5457A" w:rsidP="00D5457A">
            <w:pPr>
              <w:spacing w:after="0"/>
              <w:jc w:val="right"/>
            </w:pPr>
            <w:r w:rsidRPr="00D5457A">
              <w:t>12</w:t>
            </w:r>
          </w:p>
        </w:tc>
        <w:tc>
          <w:tcPr>
            <w:tcW w:w="1120" w:type="dxa"/>
            <w:tcBorders>
              <w:top w:val="nil"/>
              <w:left w:val="nil"/>
              <w:bottom w:val="single" w:sz="4" w:space="0" w:color="auto"/>
              <w:right w:val="nil"/>
            </w:tcBorders>
            <w:shd w:val="clear" w:color="auto" w:fill="auto"/>
            <w:vAlign w:val="center"/>
            <w:hideMark/>
          </w:tcPr>
          <w:p w:rsidR="00D5457A" w:rsidRPr="00D5457A" w:rsidRDefault="00D5457A" w:rsidP="00D5457A">
            <w:pPr>
              <w:spacing w:after="0"/>
              <w:jc w:val="right"/>
            </w:pPr>
            <w:r w:rsidRPr="00D5457A">
              <w:t>40</w:t>
            </w:r>
          </w:p>
        </w:tc>
      </w:tr>
      <w:tr w:rsidR="00D5457A" w:rsidRPr="00D5457A" w:rsidTr="00CA533D">
        <w:trPr>
          <w:trHeight w:val="285"/>
        </w:trPr>
        <w:tc>
          <w:tcPr>
            <w:tcW w:w="4680" w:type="dxa"/>
            <w:tcBorders>
              <w:top w:val="nil"/>
              <w:left w:val="nil"/>
              <w:bottom w:val="nil"/>
              <w:right w:val="nil"/>
            </w:tcBorders>
            <w:shd w:val="clear" w:color="auto" w:fill="auto"/>
            <w:vAlign w:val="center"/>
            <w:hideMark/>
          </w:tcPr>
          <w:p w:rsidR="00D5457A" w:rsidRPr="00D5457A" w:rsidRDefault="00D5457A" w:rsidP="00D5457A">
            <w:pPr>
              <w:spacing w:after="0"/>
            </w:pPr>
          </w:p>
        </w:tc>
        <w:tc>
          <w:tcPr>
            <w:tcW w:w="1120" w:type="dxa"/>
            <w:tcBorders>
              <w:top w:val="single" w:sz="4" w:space="0" w:color="auto"/>
              <w:left w:val="nil"/>
              <w:bottom w:val="double" w:sz="4" w:space="0" w:color="auto"/>
              <w:right w:val="nil"/>
            </w:tcBorders>
            <w:shd w:val="clear" w:color="auto" w:fill="F2F2F2" w:themeFill="background1" w:themeFillShade="F2"/>
            <w:vAlign w:val="center"/>
            <w:hideMark/>
          </w:tcPr>
          <w:p w:rsidR="00D5457A" w:rsidRPr="00D5457A" w:rsidRDefault="00D5457A" w:rsidP="00D5457A">
            <w:pPr>
              <w:spacing w:after="0"/>
              <w:jc w:val="right"/>
            </w:pPr>
            <w:r w:rsidRPr="00D5457A">
              <w:t>39</w:t>
            </w:r>
          </w:p>
        </w:tc>
        <w:tc>
          <w:tcPr>
            <w:tcW w:w="1120" w:type="dxa"/>
            <w:tcBorders>
              <w:top w:val="single" w:sz="4" w:space="0" w:color="auto"/>
              <w:left w:val="nil"/>
              <w:bottom w:val="double" w:sz="4" w:space="0" w:color="auto"/>
              <w:right w:val="nil"/>
            </w:tcBorders>
            <w:shd w:val="clear" w:color="auto" w:fill="auto"/>
            <w:vAlign w:val="center"/>
            <w:hideMark/>
          </w:tcPr>
          <w:p w:rsidR="00D5457A" w:rsidRPr="00D5457A" w:rsidRDefault="00D5457A" w:rsidP="00D5457A">
            <w:pPr>
              <w:spacing w:after="0"/>
              <w:jc w:val="right"/>
            </w:pPr>
            <w:r w:rsidRPr="00D5457A">
              <w:t>58</w:t>
            </w:r>
          </w:p>
        </w:tc>
      </w:tr>
    </w:tbl>
    <w:p w:rsidR="00FC4E35" w:rsidRPr="00FC4E35" w:rsidRDefault="00FC4E35" w:rsidP="00FC4E35">
      <w:pPr>
        <w:suppressAutoHyphens/>
        <w:autoSpaceDE w:val="0"/>
        <w:autoSpaceDN w:val="0"/>
        <w:adjustRightInd w:val="0"/>
        <w:spacing w:after="0" w:line="288" w:lineRule="auto"/>
        <w:textAlignment w:val="center"/>
        <w:rPr>
          <w:color w:val="000000"/>
          <w:lang w:val="en-US"/>
        </w:rPr>
      </w:pPr>
    </w:p>
    <w:p w:rsidR="00FC4E35" w:rsidRPr="009A36D1" w:rsidRDefault="00FC4E35" w:rsidP="009A36D1">
      <w:pPr>
        <w:pStyle w:val="Heading4"/>
        <w:numPr>
          <w:ilvl w:val="0"/>
          <w:numId w:val="76"/>
        </w:numPr>
      </w:pPr>
      <w:r w:rsidRPr="00CA533D">
        <w:t>Receivables</w:t>
      </w:r>
    </w:p>
    <w:tbl>
      <w:tblPr>
        <w:tblW w:w="6920" w:type="dxa"/>
        <w:tblInd w:w="93" w:type="dxa"/>
        <w:tblLook w:val="04A0" w:firstRow="1" w:lastRow="0" w:firstColumn="1" w:lastColumn="0" w:noHBand="0" w:noVBand="1"/>
      </w:tblPr>
      <w:tblGrid>
        <w:gridCol w:w="4680"/>
        <w:gridCol w:w="1120"/>
        <w:gridCol w:w="1120"/>
      </w:tblGrid>
      <w:tr w:rsidR="00CA533D" w:rsidRPr="00CA533D" w:rsidTr="00CA533D">
        <w:trPr>
          <w:trHeight w:val="285"/>
        </w:trPr>
        <w:tc>
          <w:tcPr>
            <w:tcW w:w="4680" w:type="dxa"/>
            <w:tcBorders>
              <w:top w:val="nil"/>
              <w:left w:val="nil"/>
              <w:bottom w:val="nil"/>
              <w:right w:val="nil"/>
            </w:tcBorders>
            <w:shd w:val="clear" w:color="auto" w:fill="auto"/>
            <w:noWrap/>
            <w:vAlign w:val="center"/>
            <w:hideMark/>
          </w:tcPr>
          <w:p w:rsidR="00CA533D" w:rsidRPr="00CA533D" w:rsidRDefault="00CA533D" w:rsidP="00CA533D">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CA533D" w:rsidRPr="00CA533D" w:rsidRDefault="00CA533D" w:rsidP="00CA533D">
            <w:pPr>
              <w:spacing w:after="0"/>
              <w:jc w:val="right"/>
              <w:rPr>
                <w:b/>
                <w:lang w:eastAsia="en-AU"/>
              </w:rPr>
            </w:pPr>
            <w:r w:rsidRPr="00CA533D">
              <w:rPr>
                <w:b/>
                <w:lang w:eastAsia="en-AU"/>
              </w:rPr>
              <w:t>2015 $000</w:t>
            </w:r>
          </w:p>
        </w:tc>
        <w:tc>
          <w:tcPr>
            <w:tcW w:w="1120" w:type="dxa"/>
            <w:tcBorders>
              <w:top w:val="nil"/>
              <w:left w:val="nil"/>
              <w:bottom w:val="nil"/>
              <w:right w:val="nil"/>
            </w:tcBorders>
            <w:shd w:val="clear" w:color="auto" w:fill="auto"/>
            <w:noWrap/>
            <w:vAlign w:val="center"/>
            <w:hideMark/>
          </w:tcPr>
          <w:p w:rsidR="00CA533D" w:rsidRPr="00CA533D" w:rsidRDefault="00CA533D" w:rsidP="00CA533D">
            <w:pPr>
              <w:spacing w:after="0"/>
              <w:jc w:val="right"/>
              <w:rPr>
                <w:b/>
                <w:lang w:eastAsia="en-AU"/>
              </w:rPr>
            </w:pPr>
            <w:r w:rsidRPr="00CA533D">
              <w:rPr>
                <w:b/>
                <w:lang w:eastAsia="en-AU"/>
              </w:rPr>
              <w:t>2014 $000</w:t>
            </w: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u w:val="single"/>
                <w:lang w:eastAsia="en-AU"/>
              </w:rPr>
            </w:pPr>
            <w:r w:rsidRPr="00CA533D">
              <w:rPr>
                <w:u w:val="single"/>
                <w:lang w:eastAsia="en-AU"/>
              </w:rPr>
              <w:t>Current</w:t>
            </w:r>
          </w:p>
        </w:tc>
        <w:tc>
          <w:tcPr>
            <w:tcW w:w="1120" w:type="dxa"/>
            <w:tcBorders>
              <w:top w:val="nil"/>
              <w:left w:val="nil"/>
              <w:bottom w:val="nil"/>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p>
        </w:tc>
        <w:tc>
          <w:tcPr>
            <w:tcW w:w="1120" w:type="dxa"/>
            <w:tcBorders>
              <w:top w:val="nil"/>
              <w:left w:val="nil"/>
              <w:bottom w:val="nil"/>
              <w:right w:val="nil"/>
            </w:tcBorders>
            <w:shd w:val="clear" w:color="auto" w:fill="auto"/>
            <w:vAlign w:val="center"/>
            <w:hideMark/>
          </w:tcPr>
          <w:p w:rsidR="00CA533D" w:rsidRPr="00CA533D" w:rsidRDefault="00CA533D" w:rsidP="00CA533D">
            <w:pPr>
              <w:spacing w:after="0"/>
              <w:jc w:val="right"/>
              <w:rPr>
                <w:lang w:eastAsia="en-AU"/>
              </w:rPr>
            </w:pP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lang w:eastAsia="en-AU"/>
              </w:rPr>
            </w:pPr>
            <w:r w:rsidRPr="00CA533D">
              <w:rPr>
                <w:lang w:eastAsia="en-AU"/>
              </w:rPr>
              <w:t>Receivables</w:t>
            </w:r>
          </w:p>
        </w:tc>
        <w:tc>
          <w:tcPr>
            <w:tcW w:w="1120" w:type="dxa"/>
            <w:tcBorders>
              <w:top w:val="nil"/>
              <w:left w:val="nil"/>
              <w:bottom w:val="nil"/>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r w:rsidRPr="00CA533D">
              <w:rPr>
                <w:lang w:eastAsia="en-AU"/>
              </w:rPr>
              <w:t>1,170</w:t>
            </w:r>
          </w:p>
        </w:tc>
        <w:tc>
          <w:tcPr>
            <w:tcW w:w="1120" w:type="dxa"/>
            <w:tcBorders>
              <w:top w:val="nil"/>
              <w:left w:val="nil"/>
              <w:bottom w:val="nil"/>
              <w:right w:val="nil"/>
            </w:tcBorders>
            <w:shd w:val="clear" w:color="auto" w:fill="auto"/>
            <w:vAlign w:val="center"/>
            <w:hideMark/>
          </w:tcPr>
          <w:p w:rsidR="00CA533D" w:rsidRPr="00CA533D" w:rsidRDefault="00CA533D" w:rsidP="00CA533D">
            <w:pPr>
              <w:spacing w:after="0"/>
              <w:jc w:val="right"/>
              <w:rPr>
                <w:lang w:eastAsia="en-AU"/>
              </w:rPr>
            </w:pPr>
            <w:r w:rsidRPr="00CA533D">
              <w:rPr>
                <w:lang w:eastAsia="en-AU"/>
              </w:rPr>
              <w:t>1,361</w:t>
            </w: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lang w:eastAsia="en-AU"/>
              </w:rPr>
            </w:pPr>
            <w:r w:rsidRPr="00CA533D">
              <w:rPr>
                <w:lang w:eastAsia="en-AU"/>
              </w:rPr>
              <w:t>GST receivable</w:t>
            </w:r>
          </w:p>
        </w:tc>
        <w:tc>
          <w:tcPr>
            <w:tcW w:w="1120" w:type="dxa"/>
            <w:tcBorders>
              <w:top w:val="nil"/>
              <w:left w:val="nil"/>
              <w:bottom w:val="single" w:sz="4" w:space="0" w:color="auto"/>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r w:rsidRPr="00CA533D">
              <w:rPr>
                <w:lang w:eastAsia="en-AU"/>
              </w:rPr>
              <w:t>327</w:t>
            </w:r>
          </w:p>
        </w:tc>
        <w:tc>
          <w:tcPr>
            <w:tcW w:w="1120" w:type="dxa"/>
            <w:tcBorders>
              <w:top w:val="nil"/>
              <w:left w:val="nil"/>
              <w:bottom w:val="single" w:sz="4" w:space="0" w:color="auto"/>
              <w:right w:val="nil"/>
            </w:tcBorders>
            <w:shd w:val="clear" w:color="auto" w:fill="auto"/>
            <w:vAlign w:val="center"/>
            <w:hideMark/>
          </w:tcPr>
          <w:p w:rsidR="00CA533D" w:rsidRPr="00CA533D" w:rsidRDefault="00CA533D" w:rsidP="00CA533D">
            <w:pPr>
              <w:spacing w:after="0"/>
              <w:jc w:val="right"/>
              <w:rPr>
                <w:lang w:eastAsia="en-AU"/>
              </w:rPr>
            </w:pPr>
            <w:r w:rsidRPr="00CA533D">
              <w:rPr>
                <w:lang w:eastAsia="en-AU"/>
              </w:rPr>
              <w:t>1,076</w:t>
            </w: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r w:rsidRPr="00CA533D">
              <w:rPr>
                <w:lang w:eastAsia="en-AU"/>
              </w:rPr>
              <w:t>1,497</w:t>
            </w:r>
          </w:p>
        </w:tc>
        <w:tc>
          <w:tcPr>
            <w:tcW w:w="1120" w:type="dxa"/>
            <w:tcBorders>
              <w:top w:val="single" w:sz="4" w:space="0" w:color="auto"/>
              <w:left w:val="nil"/>
              <w:bottom w:val="double" w:sz="4" w:space="0" w:color="auto"/>
              <w:right w:val="nil"/>
            </w:tcBorders>
            <w:shd w:val="clear" w:color="auto" w:fill="auto"/>
            <w:vAlign w:val="center"/>
            <w:hideMark/>
          </w:tcPr>
          <w:p w:rsidR="00CA533D" w:rsidRPr="00CA533D" w:rsidRDefault="00CA533D" w:rsidP="00CA533D">
            <w:pPr>
              <w:spacing w:after="0"/>
              <w:jc w:val="right"/>
              <w:rPr>
                <w:lang w:eastAsia="en-AU"/>
              </w:rPr>
            </w:pPr>
            <w:r w:rsidRPr="00CA533D">
              <w:rPr>
                <w:lang w:eastAsia="en-AU"/>
              </w:rPr>
              <w:t>2,436</w:t>
            </w:r>
          </w:p>
        </w:tc>
      </w:tr>
    </w:tbl>
    <w:p w:rsidR="00CA533D" w:rsidRDefault="00CA533D" w:rsidP="00FC4E35">
      <w:pPr>
        <w:suppressAutoHyphens/>
        <w:autoSpaceDE w:val="0"/>
        <w:autoSpaceDN w:val="0"/>
        <w:adjustRightInd w:val="0"/>
        <w:spacing w:after="0" w:line="288" w:lineRule="auto"/>
        <w:textAlignment w:val="center"/>
        <w:rPr>
          <w:color w:val="000000"/>
          <w:lang w:val="en-US"/>
        </w:rPr>
      </w:pPr>
    </w:p>
    <w:p w:rsidR="00FC4E35" w:rsidRPr="00FC4E35" w:rsidRDefault="00FC4E35" w:rsidP="00CA533D">
      <w:pPr>
        <w:rPr>
          <w:lang w:val="en-US"/>
        </w:rPr>
      </w:pPr>
      <w:r w:rsidRPr="00FC4E35">
        <w:rPr>
          <w:lang w:val="en-US"/>
        </w:rPr>
        <w:t>Reconciliation of changes in the allowance for impairment of receivables:</w:t>
      </w:r>
    </w:p>
    <w:p w:rsidR="00FC4E35" w:rsidRPr="00CA533D" w:rsidRDefault="00FC4E35" w:rsidP="00AE75A9">
      <w:pPr>
        <w:pStyle w:val="ListParagraph"/>
        <w:numPr>
          <w:ilvl w:val="0"/>
          <w:numId w:val="90"/>
        </w:numPr>
        <w:rPr>
          <w:lang w:val="en-US"/>
        </w:rPr>
      </w:pPr>
      <w:r w:rsidRPr="00CA533D">
        <w:rPr>
          <w:lang w:val="en-US"/>
        </w:rPr>
        <w:t>The Department does not hold any collateral as security or other credit enhancements relating to receivables.</w:t>
      </w:r>
    </w:p>
    <w:p w:rsidR="002A26A8" w:rsidRDefault="00FC4E35" w:rsidP="00CA533D">
      <w:pPr>
        <w:rPr>
          <w:lang w:val="en-US"/>
        </w:rPr>
      </w:pPr>
      <w:r w:rsidRPr="00FC4E35">
        <w:rPr>
          <w:lang w:val="en-US"/>
        </w:rPr>
        <w:t>See also note 2(o) ‘Receivables’ and note 36 ‘Financial Instruments’.</w:t>
      </w:r>
      <w:r w:rsidR="0007147C">
        <w:rPr>
          <w:lang w:val="en-US"/>
        </w:rPr>
        <w:br/>
      </w:r>
    </w:p>
    <w:p w:rsidR="002A26A8" w:rsidRDefault="002A26A8">
      <w:pPr>
        <w:spacing w:line="276" w:lineRule="auto"/>
        <w:rPr>
          <w:lang w:val="en-US"/>
        </w:rPr>
      </w:pPr>
      <w:r>
        <w:rPr>
          <w:lang w:val="en-US"/>
        </w:rPr>
        <w:br w:type="page"/>
      </w:r>
    </w:p>
    <w:p w:rsidR="00FC4E35" w:rsidRPr="009A36D1" w:rsidRDefault="00FC4E35" w:rsidP="00291F1E">
      <w:pPr>
        <w:pStyle w:val="Heading4"/>
        <w:numPr>
          <w:ilvl w:val="0"/>
          <w:numId w:val="76"/>
        </w:numPr>
        <w:rPr>
          <w:lang w:val="en-US"/>
        </w:rPr>
      </w:pPr>
      <w:r w:rsidRPr="00B468B3">
        <w:rPr>
          <w:lang w:val="en-US"/>
        </w:rPr>
        <w:t>Amounts receivable for services (Holding Account)</w:t>
      </w:r>
    </w:p>
    <w:tbl>
      <w:tblPr>
        <w:tblW w:w="6920" w:type="dxa"/>
        <w:tblInd w:w="93" w:type="dxa"/>
        <w:tblLook w:val="04A0" w:firstRow="1" w:lastRow="0" w:firstColumn="1" w:lastColumn="0" w:noHBand="0" w:noVBand="1"/>
      </w:tblPr>
      <w:tblGrid>
        <w:gridCol w:w="4680"/>
        <w:gridCol w:w="1120"/>
        <w:gridCol w:w="1120"/>
      </w:tblGrid>
      <w:tr w:rsidR="00CA533D" w:rsidRPr="00CA533D" w:rsidTr="00CA533D">
        <w:trPr>
          <w:trHeight w:val="285"/>
        </w:trPr>
        <w:tc>
          <w:tcPr>
            <w:tcW w:w="4680" w:type="dxa"/>
            <w:tcBorders>
              <w:top w:val="nil"/>
              <w:left w:val="nil"/>
              <w:bottom w:val="nil"/>
              <w:right w:val="nil"/>
            </w:tcBorders>
            <w:shd w:val="clear" w:color="auto" w:fill="auto"/>
            <w:noWrap/>
            <w:vAlign w:val="center"/>
            <w:hideMark/>
          </w:tcPr>
          <w:p w:rsidR="00CA533D" w:rsidRPr="00CA533D" w:rsidRDefault="00CA533D" w:rsidP="00CA533D">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CA533D" w:rsidRPr="00CA533D" w:rsidRDefault="00CA533D" w:rsidP="00CA533D">
            <w:pPr>
              <w:spacing w:after="0"/>
              <w:jc w:val="right"/>
              <w:rPr>
                <w:b/>
                <w:lang w:eastAsia="en-AU"/>
              </w:rPr>
            </w:pPr>
            <w:r w:rsidRPr="00CA533D">
              <w:rPr>
                <w:b/>
                <w:lang w:eastAsia="en-AU"/>
              </w:rPr>
              <w:t>2015 $000</w:t>
            </w:r>
          </w:p>
        </w:tc>
        <w:tc>
          <w:tcPr>
            <w:tcW w:w="1120" w:type="dxa"/>
            <w:tcBorders>
              <w:top w:val="nil"/>
              <w:left w:val="nil"/>
              <w:bottom w:val="nil"/>
              <w:right w:val="nil"/>
            </w:tcBorders>
            <w:shd w:val="clear" w:color="auto" w:fill="auto"/>
            <w:noWrap/>
            <w:vAlign w:val="center"/>
            <w:hideMark/>
          </w:tcPr>
          <w:p w:rsidR="00CA533D" w:rsidRPr="00CA533D" w:rsidRDefault="00CA533D" w:rsidP="00CA533D">
            <w:pPr>
              <w:spacing w:after="0"/>
              <w:jc w:val="right"/>
              <w:rPr>
                <w:b/>
                <w:lang w:eastAsia="en-AU"/>
              </w:rPr>
            </w:pPr>
            <w:r w:rsidRPr="00CA533D">
              <w:rPr>
                <w:b/>
                <w:lang w:eastAsia="en-AU"/>
              </w:rPr>
              <w:t>2014 $000</w:t>
            </w: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u w:val="single"/>
                <w:lang w:eastAsia="en-AU"/>
              </w:rPr>
            </w:pPr>
            <w:r w:rsidRPr="00CA533D">
              <w:rPr>
                <w:u w:val="single"/>
                <w:lang w:eastAsia="en-AU"/>
              </w:rPr>
              <w:t>Current</w:t>
            </w:r>
          </w:p>
        </w:tc>
        <w:tc>
          <w:tcPr>
            <w:tcW w:w="1120" w:type="dxa"/>
            <w:tcBorders>
              <w:top w:val="nil"/>
              <w:left w:val="nil"/>
              <w:bottom w:val="nil"/>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r w:rsidRPr="00CA533D">
              <w:rPr>
                <w:lang w:eastAsia="en-AU"/>
              </w:rPr>
              <w:t>3,422</w:t>
            </w:r>
          </w:p>
        </w:tc>
        <w:tc>
          <w:tcPr>
            <w:tcW w:w="1120" w:type="dxa"/>
            <w:tcBorders>
              <w:top w:val="nil"/>
              <w:left w:val="nil"/>
              <w:bottom w:val="nil"/>
              <w:right w:val="nil"/>
            </w:tcBorders>
            <w:shd w:val="clear" w:color="auto" w:fill="auto"/>
            <w:vAlign w:val="center"/>
            <w:hideMark/>
          </w:tcPr>
          <w:p w:rsidR="00CA533D" w:rsidRPr="00CA533D" w:rsidRDefault="00CA533D" w:rsidP="00CA533D">
            <w:pPr>
              <w:spacing w:after="0"/>
              <w:jc w:val="right"/>
              <w:rPr>
                <w:lang w:eastAsia="en-AU"/>
              </w:rPr>
            </w:pPr>
            <w:r w:rsidRPr="00CA533D">
              <w:rPr>
                <w:lang w:eastAsia="en-AU"/>
              </w:rPr>
              <w:t>2,124</w:t>
            </w: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lang w:eastAsia="en-AU"/>
              </w:rPr>
            </w:pPr>
            <w:r w:rsidRPr="00CA533D">
              <w:rPr>
                <w:lang w:eastAsia="en-AU"/>
              </w:rPr>
              <w:t>Non-current</w:t>
            </w:r>
          </w:p>
        </w:tc>
        <w:tc>
          <w:tcPr>
            <w:tcW w:w="1120" w:type="dxa"/>
            <w:tcBorders>
              <w:top w:val="nil"/>
              <w:left w:val="nil"/>
              <w:bottom w:val="single" w:sz="4" w:space="0" w:color="auto"/>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r w:rsidRPr="00CA533D">
              <w:rPr>
                <w:lang w:eastAsia="en-AU"/>
              </w:rPr>
              <w:t>24,342</w:t>
            </w:r>
          </w:p>
        </w:tc>
        <w:tc>
          <w:tcPr>
            <w:tcW w:w="1120" w:type="dxa"/>
            <w:tcBorders>
              <w:top w:val="nil"/>
              <w:left w:val="nil"/>
              <w:bottom w:val="single" w:sz="4" w:space="0" w:color="auto"/>
              <w:right w:val="nil"/>
            </w:tcBorders>
            <w:shd w:val="clear" w:color="auto" w:fill="auto"/>
            <w:vAlign w:val="center"/>
            <w:hideMark/>
          </w:tcPr>
          <w:p w:rsidR="00CA533D" w:rsidRPr="00CA533D" w:rsidRDefault="00CA533D" w:rsidP="00CA533D">
            <w:pPr>
              <w:spacing w:after="0"/>
              <w:jc w:val="right"/>
              <w:rPr>
                <w:lang w:eastAsia="en-AU"/>
              </w:rPr>
            </w:pPr>
            <w:r w:rsidRPr="00CA533D">
              <w:rPr>
                <w:lang w:eastAsia="en-AU"/>
              </w:rPr>
              <w:t>24,936</w:t>
            </w:r>
          </w:p>
        </w:tc>
      </w:tr>
      <w:tr w:rsidR="00CA533D" w:rsidRPr="00CA533D" w:rsidTr="00CA533D">
        <w:trPr>
          <w:trHeight w:val="285"/>
        </w:trPr>
        <w:tc>
          <w:tcPr>
            <w:tcW w:w="4680" w:type="dxa"/>
            <w:tcBorders>
              <w:top w:val="nil"/>
              <w:left w:val="nil"/>
              <w:bottom w:val="nil"/>
              <w:right w:val="nil"/>
            </w:tcBorders>
            <w:shd w:val="clear" w:color="auto" w:fill="auto"/>
            <w:vAlign w:val="center"/>
            <w:hideMark/>
          </w:tcPr>
          <w:p w:rsidR="00CA533D" w:rsidRPr="00CA533D" w:rsidRDefault="00CA533D" w:rsidP="00CA533D">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vAlign w:val="center"/>
            <w:hideMark/>
          </w:tcPr>
          <w:p w:rsidR="00CA533D" w:rsidRPr="00CA533D" w:rsidRDefault="00CA533D" w:rsidP="00CA533D">
            <w:pPr>
              <w:spacing w:after="0"/>
              <w:jc w:val="right"/>
              <w:rPr>
                <w:lang w:eastAsia="en-AU"/>
              </w:rPr>
            </w:pPr>
            <w:r w:rsidRPr="00CA533D">
              <w:rPr>
                <w:lang w:eastAsia="en-AU"/>
              </w:rPr>
              <w:t>27,764</w:t>
            </w:r>
          </w:p>
        </w:tc>
        <w:tc>
          <w:tcPr>
            <w:tcW w:w="1120" w:type="dxa"/>
            <w:tcBorders>
              <w:top w:val="single" w:sz="4" w:space="0" w:color="auto"/>
              <w:left w:val="nil"/>
              <w:bottom w:val="double" w:sz="4" w:space="0" w:color="auto"/>
              <w:right w:val="nil"/>
            </w:tcBorders>
            <w:shd w:val="clear" w:color="auto" w:fill="auto"/>
            <w:vAlign w:val="center"/>
            <w:hideMark/>
          </w:tcPr>
          <w:p w:rsidR="00CA533D" w:rsidRPr="00CA533D" w:rsidRDefault="00CA533D" w:rsidP="00CA533D">
            <w:pPr>
              <w:spacing w:after="0"/>
              <w:jc w:val="right"/>
              <w:rPr>
                <w:lang w:eastAsia="en-AU"/>
              </w:rPr>
            </w:pPr>
            <w:r w:rsidRPr="00CA533D">
              <w:rPr>
                <w:lang w:eastAsia="en-AU"/>
              </w:rPr>
              <w:t>27,060</w:t>
            </w:r>
          </w:p>
        </w:tc>
      </w:tr>
    </w:tbl>
    <w:p w:rsidR="00FC4E35" w:rsidRPr="00FC4E35" w:rsidRDefault="00FC4E35" w:rsidP="00FC4E35">
      <w:pPr>
        <w:tabs>
          <w:tab w:val="left" w:pos="283"/>
          <w:tab w:val="left" w:pos="340"/>
        </w:tabs>
        <w:suppressAutoHyphens/>
        <w:autoSpaceDE w:val="0"/>
        <w:autoSpaceDN w:val="0"/>
        <w:adjustRightInd w:val="0"/>
        <w:spacing w:after="113" w:line="288" w:lineRule="auto"/>
        <w:ind w:left="283" w:hanging="283"/>
        <w:textAlignment w:val="center"/>
        <w:rPr>
          <w:color w:val="000000"/>
          <w:lang w:val="en-US"/>
        </w:rPr>
      </w:pPr>
    </w:p>
    <w:p w:rsidR="00FC4E35" w:rsidRPr="00FC4E35" w:rsidRDefault="00FC4E35" w:rsidP="00CA533D">
      <w:pPr>
        <w:rPr>
          <w:lang w:val="en-US"/>
        </w:rPr>
      </w:pPr>
      <w:r w:rsidRPr="00FC4E35">
        <w:rPr>
          <w:lang w:val="en-US"/>
        </w:rPr>
        <w:t>Represents the non-cash component of service appropriations.   See note 2(m) ‘Amounts Receivable for</w:t>
      </w:r>
      <w:r w:rsidR="00CA533D">
        <w:rPr>
          <w:lang w:val="en-US"/>
        </w:rPr>
        <w:t xml:space="preserve"> Services (Holding Account)’.  </w:t>
      </w:r>
      <w:r w:rsidRPr="00FC4E35">
        <w:rPr>
          <w:lang w:val="en-US"/>
        </w:rPr>
        <w:t>It is restricted in that it can only be used for asset replacement or payment of leave liability.</w:t>
      </w:r>
      <w:r w:rsidR="0007147C">
        <w:rPr>
          <w:lang w:val="en-US"/>
        </w:rPr>
        <w:br/>
      </w:r>
    </w:p>
    <w:p w:rsidR="00FC4E35" w:rsidRPr="009A36D1" w:rsidRDefault="00FC4E35" w:rsidP="009A36D1">
      <w:pPr>
        <w:pStyle w:val="Heading4"/>
        <w:numPr>
          <w:ilvl w:val="0"/>
          <w:numId w:val="76"/>
        </w:numPr>
        <w:rPr>
          <w:lang w:val="en-US"/>
        </w:rPr>
      </w:pPr>
      <w:r w:rsidRPr="00FC4E35">
        <w:rPr>
          <w:lang w:val="en-US"/>
        </w:rPr>
        <w:t>Property, plant and equipment</w:t>
      </w:r>
    </w:p>
    <w:tbl>
      <w:tblPr>
        <w:tblW w:w="6920" w:type="dxa"/>
        <w:tblInd w:w="93" w:type="dxa"/>
        <w:tblLook w:val="04A0" w:firstRow="1" w:lastRow="0" w:firstColumn="1" w:lastColumn="0" w:noHBand="0" w:noVBand="1"/>
      </w:tblPr>
      <w:tblGrid>
        <w:gridCol w:w="4680"/>
        <w:gridCol w:w="1120"/>
        <w:gridCol w:w="1120"/>
      </w:tblGrid>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07147C" w:rsidRPr="0007147C" w:rsidRDefault="0007147C" w:rsidP="0007147C">
            <w:pPr>
              <w:spacing w:after="0"/>
              <w:jc w:val="right"/>
              <w:rPr>
                <w:b/>
                <w:lang w:eastAsia="en-AU"/>
              </w:rPr>
            </w:pPr>
            <w:r w:rsidRPr="0007147C">
              <w:rPr>
                <w:b/>
                <w:lang w:eastAsia="en-AU"/>
              </w:rPr>
              <w:t>2015 $000</w:t>
            </w:r>
          </w:p>
        </w:tc>
        <w:tc>
          <w:tcPr>
            <w:tcW w:w="1120" w:type="dxa"/>
            <w:tcBorders>
              <w:top w:val="nil"/>
              <w:left w:val="nil"/>
              <w:bottom w:val="nil"/>
              <w:right w:val="nil"/>
            </w:tcBorders>
            <w:shd w:val="clear" w:color="auto" w:fill="auto"/>
            <w:noWrap/>
            <w:vAlign w:val="center"/>
            <w:hideMark/>
          </w:tcPr>
          <w:p w:rsidR="0007147C" w:rsidRPr="0007147C" w:rsidRDefault="0007147C" w:rsidP="0007147C">
            <w:pPr>
              <w:spacing w:after="0"/>
              <w:jc w:val="right"/>
              <w:rPr>
                <w:b/>
                <w:lang w:eastAsia="en-AU"/>
              </w:rPr>
            </w:pPr>
            <w:r w:rsidRPr="0007147C">
              <w:rPr>
                <w:b/>
                <w:lang w:eastAsia="en-AU"/>
              </w:rPr>
              <w:t>2014 $000</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b/>
                <w:lang w:eastAsia="en-AU"/>
              </w:rPr>
            </w:pPr>
            <w:r w:rsidRPr="0007147C">
              <w:rPr>
                <w:b/>
                <w:lang w:eastAsia="en-AU"/>
              </w:rPr>
              <w:t>Computer hardware</w:t>
            </w:r>
          </w:p>
        </w:tc>
        <w:tc>
          <w:tcPr>
            <w:tcW w:w="1120" w:type="dxa"/>
            <w:tcBorders>
              <w:top w:val="nil"/>
              <w:left w:val="nil"/>
              <w:bottom w:val="nil"/>
              <w:right w:val="nil"/>
            </w:tcBorders>
            <w:shd w:val="clear" w:color="auto" w:fill="F2F2F2" w:themeFill="background1" w:themeFillShade="F2"/>
            <w:vAlign w:val="center"/>
            <w:hideMark/>
          </w:tcPr>
          <w:p w:rsidR="0007147C" w:rsidRPr="0007147C" w:rsidRDefault="0007147C" w:rsidP="0007147C">
            <w:pPr>
              <w:spacing w:after="0"/>
              <w:jc w:val="right"/>
              <w:rPr>
                <w:b/>
                <w:lang w:eastAsia="en-AU"/>
              </w:rPr>
            </w:pPr>
          </w:p>
        </w:tc>
        <w:tc>
          <w:tcPr>
            <w:tcW w:w="1120" w:type="dxa"/>
            <w:tcBorders>
              <w:top w:val="nil"/>
              <w:left w:val="nil"/>
              <w:bottom w:val="nil"/>
              <w:right w:val="nil"/>
            </w:tcBorders>
            <w:shd w:val="clear" w:color="auto" w:fill="auto"/>
            <w:vAlign w:val="center"/>
            <w:hideMark/>
          </w:tcPr>
          <w:p w:rsidR="0007147C" w:rsidRPr="0007147C" w:rsidRDefault="0007147C" w:rsidP="0007147C">
            <w:pPr>
              <w:spacing w:after="0"/>
              <w:jc w:val="right"/>
              <w:rPr>
                <w:b/>
                <w:lang w:eastAsia="en-AU"/>
              </w:rPr>
            </w:pP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r w:rsidRPr="0007147C">
              <w:rPr>
                <w:lang w:eastAsia="en-AU"/>
              </w:rPr>
              <w:t>At cost</w:t>
            </w:r>
          </w:p>
        </w:tc>
        <w:tc>
          <w:tcPr>
            <w:tcW w:w="1120" w:type="dxa"/>
            <w:tcBorders>
              <w:top w:val="nil"/>
              <w:left w:val="nil"/>
              <w:bottom w:val="nil"/>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2,084</w:t>
            </w:r>
          </w:p>
        </w:tc>
        <w:tc>
          <w:tcPr>
            <w:tcW w:w="1120" w:type="dxa"/>
            <w:tcBorders>
              <w:top w:val="nil"/>
              <w:left w:val="nil"/>
              <w:bottom w:val="nil"/>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1,926</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r w:rsidRPr="0007147C">
              <w:rPr>
                <w:lang w:eastAsia="en-AU"/>
              </w:rPr>
              <w:t>Accumulated depreciation</w:t>
            </w:r>
          </w:p>
        </w:tc>
        <w:tc>
          <w:tcPr>
            <w:tcW w:w="1120" w:type="dxa"/>
            <w:tcBorders>
              <w:top w:val="nil"/>
              <w:left w:val="nil"/>
              <w:bottom w:val="single" w:sz="4" w:space="0" w:color="auto"/>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-1,656</w:t>
            </w:r>
          </w:p>
        </w:tc>
        <w:tc>
          <w:tcPr>
            <w:tcW w:w="1120" w:type="dxa"/>
            <w:tcBorders>
              <w:top w:val="nil"/>
              <w:left w:val="nil"/>
              <w:bottom w:val="single" w:sz="4" w:space="0" w:color="auto"/>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-1,376</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428</w:t>
            </w:r>
          </w:p>
        </w:tc>
        <w:tc>
          <w:tcPr>
            <w:tcW w:w="1120" w:type="dxa"/>
            <w:tcBorders>
              <w:top w:val="single" w:sz="4" w:space="0" w:color="auto"/>
              <w:left w:val="nil"/>
              <w:bottom w:val="single" w:sz="4" w:space="0" w:color="auto"/>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550</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b/>
                <w:lang w:eastAsia="en-AU"/>
              </w:rPr>
            </w:pPr>
            <w:r w:rsidRPr="0007147C">
              <w:rPr>
                <w:b/>
                <w:lang w:eastAsia="en-AU"/>
              </w:rPr>
              <w:t>Furniture and fittings</w:t>
            </w:r>
          </w:p>
        </w:tc>
        <w:tc>
          <w:tcPr>
            <w:tcW w:w="1120" w:type="dxa"/>
            <w:tcBorders>
              <w:top w:val="single" w:sz="4" w:space="0" w:color="auto"/>
              <w:left w:val="nil"/>
              <w:bottom w:val="nil"/>
              <w:right w:val="nil"/>
            </w:tcBorders>
            <w:shd w:val="clear" w:color="auto" w:fill="F2F2F2" w:themeFill="background1" w:themeFillShade="F2"/>
            <w:vAlign w:val="center"/>
            <w:hideMark/>
          </w:tcPr>
          <w:p w:rsidR="0007147C" w:rsidRPr="0007147C" w:rsidRDefault="0007147C" w:rsidP="0007147C">
            <w:pPr>
              <w:spacing w:after="0"/>
              <w:jc w:val="right"/>
              <w:rPr>
                <w:b/>
                <w:lang w:eastAsia="en-AU"/>
              </w:rPr>
            </w:pPr>
          </w:p>
        </w:tc>
        <w:tc>
          <w:tcPr>
            <w:tcW w:w="1120" w:type="dxa"/>
            <w:tcBorders>
              <w:top w:val="single" w:sz="4" w:space="0" w:color="auto"/>
              <w:left w:val="nil"/>
              <w:bottom w:val="nil"/>
              <w:right w:val="nil"/>
            </w:tcBorders>
            <w:shd w:val="clear" w:color="auto" w:fill="auto"/>
            <w:vAlign w:val="center"/>
            <w:hideMark/>
          </w:tcPr>
          <w:p w:rsidR="0007147C" w:rsidRPr="0007147C" w:rsidRDefault="0007147C" w:rsidP="0007147C">
            <w:pPr>
              <w:spacing w:after="0"/>
              <w:jc w:val="right"/>
              <w:rPr>
                <w:b/>
                <w:lang w:eastAsia="en-AU"/>
              </w:rPr>
            </w:pP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r w:rsidRPr="0007147C">
              <w:rPr>
                <w:lang w:eastAsia="en-AU"/>
              </w:rPr>
              <w:t>At cost</w:t>
            </w:r>
          </w:p>
        </w:tc>
        <w:tc>
          <w:tcPr>
            <w:tcW w:w="1120" w:type="dxa"/>
            <w:tcBorders>
              <w:top w:val="nil"/>
              <w:left w:val="nil"/>
              <w:bottom w:val="nil"/>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543</w:t>
            </w:r>
          </w:p>
        </w:tc>
        <w:tc>
          <w:tcPr>
            <w:tcW w:w="1120" w:type="dxa"/>
            <w:tcBorders>
              <w:top w:val="nil"/>
              <w:left w:val="nil"/>
              <w:bottom w:val="nil"/>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455</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r w:rsidRPr="0007147C">
              <w:rPr>
                <w:lang w:eastAsia="en-AU"/>
              </w:rPr>
              <w:t>Accumulated depreciation</w:t>
            </w:r>
          </w:p>
        </w:tc>
        <w:tc>
          <w:tcPr>
            <w:tcW w:w="1120" w:type="dxa"/>
            <w:tcBorders>
              <w:top w:val="nil"/>
              <w:left w:val="nil"/>
              <w:bottom w:val="single" w:sz="4" w:space="0" w:color="auto"/>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-386</w:t>
            </w:r>
          </w:p>
        </w:tc>
        <w:tc>
          <w:tcPr>
            <w:tcW w:w="1120" w:type="dxa"/>
            <w:tcBorders>
              <w:top w:val="nil"/>
              <w:left w:val="nil"/>
              <w:bottom w:val="single" w:sz="4" w:space="0" w:color="auto"/>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-370</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157</w:t>
            </w:r>
          </w:p>
        </w:tc>
        <w:tc>
          <w:tcPr>
            <w:tcW w:w="1120" w:type="dxa"/>
            <w:tcBorders>
              <w:top w:val="single" w:sz="4" w:space="0" w:color="auto"/>
              <w:left w:val="nil"/>
              <w:bottom w:val="single" w:sz="4" w:space="0" w:color="auto"/>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85</w:t>
            </w: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b/>
                <w:lang w:eastAsia="en-AU"/>
              </w:rPr>
            </w:pPr>
            <w:r w:rsidRPr="0007147C">
              <w:rPr>
                <w:b/>
                <w:lang w:eastAsia="en-AU"/>
              </w:rPr>
              <w:t>Motor vehicles</w:t>
            </w:r>
          </w:p>
        </w:tc>
        <w:tc>
          <w:tcPr>
            <w:tcW w:w="1120" w:type="dxa"/>
            <w:tcBorders>
              <w:top w:val="single" w:sz="4" w:space="0" w:color="auto"/>
              <w:left w:val="nil"/>
              <w:bottom w:val="nil"/>
              <w:right w:val="nil"/>
            </w:tcBorders>
            <w:shd w:val="clear" w:color="auto" w:fill="F2F2F2" w:themeFill="background1" w:themeFillShade="F2"/>
            <w:vAlign w:val="center"/>
            <w:hideMark/>
          </w:tcPr>
          <w:p w:rsidR="0007147C" w:rsidRPr="0007147C" w:rsidRDefault="0007147C" w:rsidP="0007147C">
            <w:pPr>
              <w:spacing w:after="0"/>
              <w:jc w:val="right"/>
              <w:rPr>
                <w:b/>
                <w:lang w:eastAsia="en-AU"/>
              </w:rPr>
            </w:pPr>
          </w:p>
        </w:tc>
        <w:tc>
          <w:tcPr>
            <w:tcW w:w="1120" w:type="dxa"/>
            <w:tcBorders>
              <w:top w:val="single" w:sz="4" w:space="0" w:color="auto"/>
              <w:left w:val="nil"/>
              <w:bottom w:val="nil"/>
              <w:right w:val="nil"/>
            </w:tcBorders>
            <w:shd w:val="clear" w:color="auto" w:fill="auto"/>
            <w:vAlign w:val="center"/>
            <w:hideMark/>
          </w:tcPr>
          <w:p w:rsidR="0007147C" w:rsidRPr="0007147C" w:rsidRDefault="0007147C" w:rsidP="0007147C">
            <w:pPr>
              <w:spacing w:after="0"/>
              <w:jc w:val="right"/>
              <w:rPr>
                <w:b/>
                <w:lang w:eastAsia="en-AU"/>
              </w:rPr>
            </w:pPr>
          </w:p>
        </w:tc>
      </w:tr>
      <w:tr w:rsidR="0007147C" w:rsidRPr="0007147C" w:rsidTr="0007147C">
        <w:trPr>
          <w:trHeight w:val="285"/>
        </w:trPr>
        <w:tc>
          <w:tcPr>
            <w:tcW w:w="4680" w:type="dxa"/>
            <w:tcBorders>
              <w:top w:val="nil"/>
              <w:left w:val="nil"/>
              <w:bottom w:val="nil"/>
              <w:right w:val="nil"/>
            </w:tcBorders>
            <w:shd w:val="clear" w:color="auto" w:fill="auto"/>
            <w:vAlign w:val="center"/>
            <w:hideMark/>
          </w:tcPr>
          <w:p w:rsidR="0007147C" w:rsidRPr="0007147C" w:rsidRDefault="0007147C" w:rsidP="0007147C">
            <w:pPr>
              <w:spacing w:after="0"/>
              <w:rPr>
                <w:lang w:eastAsia="en-AU"/>
              </w:rPr>
            </w:pPr>
            <w:r w:rsidRPr="0007147C">
              <w:rPr>
                <w:lang w:eastAsia="en-AU"/>
              </w:rPr>
              <w:t>At cost</w:t>
            </w:r>
          </w:p>
        </w:tc>
        <w:tc>
          <w:tcPr>
            <w:tcW w:w="1120" w:type="dxa"/>
            <w:tcBorders>
              <w:top w:val="nil"/>
              <w:left w:val="nil"/>
              <w:bottom w:val="nil"/>
              <w:right w:val="nil"/>
            </w:tcBorders>
            <w:shd w:val="clear" w:color="auto" w:fill="F2F2F2" w:themeFill="background1" w:themeFillShade="F2"/>
            <w:vAlign w:val="center"/>
            <w:hideMark/>
          </w:tcPr>
          <w:p w:rsidR="0007147C" w:rsidRPr="0007147C" w:rsidRDefault="0007147C" w:rsidP="0007147C">
            <w:pPr>
              <w:spacing w:after="0"/>
              <w:jc w:val="right"/>
              <w:rPr>
                <w:lang w:eastAsia="en-AU"/>
              </w:rPr>
            </w:pPr>
            <w:r w:rsidRPr="0007147C">
              <w:rPr>
                <w:lang w:eastAsia="en-AU"/>
              </w:rPr>
              <w:t>55</w:t>
            </w:r>
          </w:p>
        </w:tc>
        <w:tc>
          <w:tcPr>
            <w:tcW w:w="1120" w:type="dxa"/>
            <w:tcBorders>
              <w:top w:val="nil"/>
              <w:left w:val="nil"/>
              <w:bottom w:val="nil"/>
              <w:right w:val="nil"/>
            </w:tcBorders>
            <w:shd w:val="clear" w:color="auto" w:fill="auto"/>
            <w:vAlign w:val="center"/>
            <w:hideMark/>
          </w:tcPr>
          <w:p w:rsidR="0007147C" w:rsidRPr="0007147C" w:rsidRDefault="0007147C" w:rsidP="0007147C">
            <w:pPr>
              <w:spacing w:after="0"/>
              <w:jc w:val="right"/>
              <w:rPr>
                <w:lang w:eastAsia="en-AU"/>
              </w:rPr>
            </w:pPr>
            <w:r w:rsidRPr="0007147C">
              <w:rPr>
                <w:lang w:eastAsia="en-AU"/>
              </w:rPr>
              <w:t>54</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r w:rsidRPr="0007147C">
              <w:rPr>
                <w:lang w:eastAsia="en-AU"/>
              </w:rPr>
              <w:t>Accumulated depreciation</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-45</w:t>
            </w:r>
          </w:p>
        </w:tc>
        <w:tc>
          <w:tcPr>
            <w:tcW w:w="1120" w:type="dxa"/>
            <w:tcBorders>
              <w:top w:val="nil"/>
              <w:left w:val="nil"/>
              <w:bottom w:val="single" w:sz="4" w:space="0" w:color="auto"/>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-34</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10</w:t>
            </w:r>
          </w:p>
        </w:tc>
        <w:tc>
          <w:tcPr>
            <w:tcW w:w="1120" w:type="dxa"/>
            <w:tcBorders>
              <w:top w:val="single" w:sz="4" w:space="0" w:color="auto"/>
              <w:left w:val="nil"/>
              <w:bottom w:val="single" w:sz="4" w:space="0" w:color="auto"/>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20</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b/>
                <w:lang w:eastAsia="en-AU"/>
              </w:rPr>
            </w:pPr>
            <w:r w:rsidRPr="0007147C">
              <w:rPr>
                <w:b/>
                <w:lang w:eastAsia="en-AU"/>
              </w:rPr>
              <w:t>Office equipment</w:t>
            </w:r>
          </w:p>
        </w:tc>
        <w:tc>
          <w:tcPr>
            <w:tcW w:w="1120" w:type="dxa"/>
            <w:tcBorders>
              <w:top w:val="single" w:sz="4" w:space="0" w:color="auto"/>
              <w:left w:val="nil"/>
              <w:bottom w:val="nil"/>
              <w:right w:val="nil"/>
            </w:tcBorders>
            <w:shd w:val="clear" w:color="auto" w:fill="F2F2F2" w:themeFill="background1" w:themeFillShade="F2"/>
            <w:noWrap/>
            <w:vAlign w:val="center"/>
            <w:hideMark/>
          </w:tcPr>
          <w:p w:rsidR="0007147C" w:rsidRPr="0007147C" w:rsidRDefault="0007147C" w:rsidP="0007147C">
            <w:pPr>
              <w:spacing w:after="0"/>
              <w:jc w:val="right"/>
              <w:rPr>
                <w:b/>
                <w:lang w:eastAsia="en-AU"/>
              </w:rPr>
            </w:pPr>
          </w:p>
        </w:tc>
        <w:tc>
          <w:tcPr>
            <w:tcW w:w="1120" w:type="dxa"/>
            <w:tcBorders>
              <w:top w:val="single" w:sz="4" w:space="0" w:color="auto"/>
              <w:left w:val="nil"/>
              <w:bottom w:val="nil"/>
              <w:right w:val="nil"/>
            </w:tcBorders>
            <w:shd w:val="clear" w:color="auto" w:fill="auto"/>
            <w:noWrap/>
            <w:vAlign w:val="center"/>
            <w:hideMark/>
          </w:tcPr>
          <w:p w:rsidR="0007147C" w:rsidRPr="0007147C" w:rsidRDefault="0007147C" w:rsidP="0007147C">
            <w:pPr>
              <w:spacing w:after="0"/>
              <w:jc w:val="right"/>
              <w:rPr>
                <w:b/>
                <w:lang w:eastAsia="en-AU"/>
              </w:rPr>
            </w:pP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r w:rsidRPr="0007147C">
              <w:rPr>
                <w:lang w:eastAsia="en-AU"/>
              </w:rPr>
              <w:t>At cost</w:t>
            </w:r>
          </w:p>
        </w:tc>
        <w:tc>
          <w:tcPr>
            <w:tcW w:w="1120" w:type="dxa"/>
            <w:tcBorders>
              <w:top w:val="nil"/>
              <w:left w:val="nil"/>
              <w:bottom w:val="nil"/>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2,108</w:t>
            </w:r>
          </w:p>
        </w:tc>
        <w:tc>
          <w:tcPr>
            <w:tcW w:w="1120" w:type="dxa"/>
            <w:tcBorders>
              <w:top w:val="nil"/>
              <w:left w:val="nil"/>
              <w:bottom w:val="nil"/>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2,358</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r w:rsidRPr="0007147C">
              <w:rPr>
                <w:lang w:eastAsia="en-AU"/>
              </w:rPr>
              <w:t>Accumulated depreciation</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-1,565</w:t>
            </w:r>
          </w:p>
        </w:tc>
        <w:tc>
          <w:tcPr>
            <w:tcW w:w="1120" w:type="dxa"/>
            <w:tcBorders>
              <w:top w:val="nil"/>
              <w:left w:val="nil"/>
              <w:bottom w:val="single" w:sz="4" w:space="0" w:color="auto"/>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-1,706</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543</w:t>
            </w:r>
          </w:p>
        </w:tc>
        <w:tc>
          <w:tcPr>
            <w:tcW w:w="1120" w:type="dxa"/>
            <w:tcBorders>
              <w:top w:val="single" w:sz="4" w:space="0" w:color="auto"/>
              <w:left w:val="nil"/>
              <w:bottom w:val="single" w:sz="4" w:space="0" w:color="auto"/>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652</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b/>
                <w:lang w:eastAsia="en-AU"/>
              </w:rPr>
            </w:pPr>
            <w:r w:rsidRPr="0007147C">
              <w:rPr>
                <w:b/>
                <w:lang w:eastAsia="en-AU"/>
              </w:rPr>
              <w:t>Office establishment</w:t>
            </w:r>
          </w:p>
        </w:tc>
        <w:tc>
          <w:tcPr>
            <w:tcW w:w="1120" w:type="dxa"/>
            <w:tcBorders>
              <w:top w:val="single" w:sz="4" w:space="0" w:color="auto"/>
              <w:left w:val="nil"/>
              <w:bottom w:val="nil"/>
              <w:right w:val="nil"/>
            </w:tcBorders>
            <w:shd w:val="clear" w:color="auto" w:fill="F2F2F2" w:themeFill="background1" w:themeFillShade="F2"/>
            <w:noWrap/>
            <w:vAlign w:val="center"/>
            <w:hideMark/>
          </w:tcPr>
          <w:p w:rsidR="0007147C" w:rsidRPr="0007147C" w:rsidRDefault="0007147C" w:rsidP="0007147C">
            <w:pPr>
              <w:spacing w:after="0"/>
              <w:jc w:val="right"/>
              <w:rPr>
                <w:b/>
                <w:lang w:eastAsia="en-AU"/>
              </w:rPr>
            </w:pPr>
          </w:p>
        </w:tc>
        <w:tc>
          <w:tcPr>
            <w:tcW w:w="1120" w:type="dxa"/>
            <w:tcBorders>
              <w:top w:val="single" w:sz="4" w:space="0" w:color="auto"/>
              <w:left w:val="nil"/>
              <w:bottom w:val="nil"/>
              <w:right w:val="nil"/>
            </w:tcBorders>
            <w:shd w:val="clear" w:color="auto" w:fill="auto"/>
            <w:noWrap/>
            <w:vAlign w:val="center"/>
            <w:hideMark/>
          </w:tcPr>
          <w:p w:rsidR="0007147C" w:rsidRPr="0007147C" w:rsidRDefault="0007147C" w:rsidP="0007147C">
            <w:pPr>
              <w:spacing w:after="0"/>
              <w:jc w:val="right"/>
              <w:rPr>
                <w:b/>
                <w:lang w:eastAsia="en-AU"/>
              </w:rPr>
            </w:pP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r w:rsidRPr="0007147C">
              <w:rPr>
                <w:lang w:eastAsia="en-AU"/>
              </w:rPr>
              <w:t>At cost</w:t>
            </w:r>
          </w:p>
        </w:tc>
        <w:tc>
          <w:tcPr>
            <w:tcW w:w="1120" w:type="dxa"/>
            <w:tcBorders>
              <w:top w:val="nil"/>
              <w:left w:val="nil"/>
              <w:bottom w:val="nil"/>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8,550</w:t>
            </w:r>
          </w:p>
        </w:tc>
        <w:tc>
          <w:tcPr>
            <w:tcW w:w="1120" w:type="dxa"/>
            <w:tcBorders>
              <w:top w:val="nil"/>
              <w:left w:val="nil"/>
              <w:bottom w:val="nil"/>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7,081</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r w:rsidRPr="0007147C">
              <w:rPr>
                <w:lang w:eastAsia="en-AU"/>
              </w:rPr>
              <w:t>Accumulated depreciation</w:t>
            </w:r>
          </w:p>
        </w:tc>
        <w:tc>
          <w:tcPr>
            <w:tcW w:w="1120" w:type="dxa"/>
            <w:tcBorders>
              <w:top w:val="nil"/>
              <w:left w:val="nil"/>
              <w:bottom w:val="nil"/>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-5,160</w:t>
            </w:r>
          </w:p>
        </w:tc>
        <w:tc>
          <w:tcPr>
            <w:tcW w:w="1120" w:type="dxa"/>
            <w:tcBorders>
              <w:top w:val="nil"/>
              <w:left w:val="nil"/>
              <w:bottom w:val="nil"/>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-4,958</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lang w:eastAsia="en-AU"/>
              </w:rPr>
            </w:pPr>
          </w:p>
        </w:tc>
        <w:tc>
          <w:tcPr>
            <w:tcW w:w="1120" w:type="dxa"/>
            <w:tcBorders>
              <w:top w:val="nil"/>
              <w:left w:val="nil"/>
              <w:bottom w:val="single" w:sz="4" w:space="0" w:color="auto"/>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3,390</w:t>
            </w:r>
          </w:p>
        </w:tc>
        <w:tc>
          <w:tcPr>
            <w:tcW w:w="1120" w:type="dxa"/>
            <w:tcBorders>
              <w:top w:val="nil"/>
              <w:left w:val="nil"/>
              <w:bottom w:val="single" w:sz="4" w:space="0" w:color="auto"/>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2,123</w:t>
            </w:r>
          </w:p>
        </w:tc>
      </w:tr>
      <w:tr w:rsidR="0007147C" w:rsidRPr="0007147C" w:rsidTr="0007147C">
        <w:trPr>
          <w:trHeight w:val="285"/>
        </w:trPr>
        <w:tc>
          <w:tcPr>
            <w:tcW w:w="4680" w:type="dxa"/>
            <w:tcBorders>
              <w:top w:val="nil"/>
              <w:left w:val="nil"/>
              <w:bottom w:val="nil"/>
              <w:right w:val="nil"/>
            </w:tcBorders>
            <w:shd w:val="clear" w:color="auto" w:fill="auto"/>
            <w:noWrap/>
            <w:vAlign w:val="center"/>
            <w:hideMark/>
          </w:tcPr>
          <w:p w:rsidR="0007147C" w:rsidRPr="0007147C" w:rsidRDefault="0007147C" w:rsidP="0007147C">
            <w:pPr>
              <w:spacing w:after="0"/>
              <w:rPr>
                <w:b/>
                <w:lang w:eastAsia="en-AU"/>
              </w:rPr>
            </w:pPr>
            <w:r w:rsidRPr="0007147C">
              <w:rPr>
                <w:b/>
                <w:lang w:eastAsia="en-AU"/>
              </w:rPr>
              <w:t>Total</w:t>
            </w:r>
          </w:p>
        </w:tc>
        <w:tc>
          <w:tcPr>
            <w:tcW w:w="1120" w:type="dxa"/>
            <w:tcBorders>
              <w:top w:val="single" w:sz="4" w:space="0" w:color="auto"/>
              <w:left w:val="nil"/>
              <w:bottom w:val="double" w:sz="4" w:space="0" w:color="auto"/>
              <w:right w:val="nil"/>
            </w:tcBorders>
            <w:shd w:val="clear" w:color="auto" w:fill="F2F2F2" w:themeFill="background1" w:themeFillShade="F2"/>
            <w:noWrap/>
            <w:vAlign w:val="center"/>
            <w:hideMark/>
          </w:tcPr>
          <w:p w:rsidR="0007147C" w:rsidRPr="0007147C" w:rsidRDefault="0007147C" w:rsidP="0007147C">
            <w:pPr>
              <w:spacing w:after="0"/>
              <w:jc w:val="right"/>
              <w:rPr>
                <w:lang w:eastAsia="en-AU"/>
              </w:rPr>
            </w:pPr>
            <w:r w:rsidRPr="0007147C">
              <w:rPr>
                <w:lang w:eastAsia="en-AU"/>
              </w:rPr>
              <w:t>4,528</w:t>
            </w:r>
          </w:p>
        </w:tc>
        <w:tc>
          <w:tcPr>
            <w:tcW w:w="1120" w:type="dxa"/>
            <w:tcBorders>
              <w:top w:val="single" w:sz="4" w:space="0" w:color="auto"/>
              <w:left w:val="nil"/>
              <w:bottom w:val="double" w:sz="4" w:space="0" w:color="auto"/>
              <w:right w:val="nil"/>
            </w:tcBorders>
            <w:shd w:val="clear" w:color="auto" w:fill="auto"/>
            <w:noWrap/>
            <w:vAlign w:val="center"/>
            <w:hideMark/>
          </w:tcPr>
          <w:p w:rsidR="0007147C" w:rsidRPr="0007147C" w:rsidRDefault="0007147C" w:rsidP="0007147C">
            <w:pPr>
              <w:spacing w:after="0"/>
              <w:jc w:val="right"/>
              <w:rPr>
                <w:lang w:eastAsia="en-AU"/>
              </w:rPr>
            </w:pPr>
            <w:r w:rsidRPr="0007147C">
              <w:rPr>
                <w:lang w:eastAsia="en-AU"/>
              </w:rPr>
              <w:t>3,430</w:t>
            </w:r>
          </w:p>
        </w:tc>
      </w:tr>
    </w:tbl>
    <w:p w:rsidR="0007147C" w:rsidRDefault="0007147C" w:rsidP="00FC4E35">
      <w:pPr>
        <w:suppressAutoHyphens/>
        <w:autoSpaceDE w:val="0"/>
        <w:autoSpaceDN w:val="0"/>
        <w:adjustRightInd w:val="0"/>
        <w:spacing w:after="0" w:line="288" w:lineRule="auto"/>
        <w:textAlignment w:val="center"/>
        <w:rPr>
          <w:color w:val="000000"/>
          <w:lang w:val="en-US"/>
        </w:rPr>
      </w:pPr>
    </w:p>
    <w:p w:rsidR="00FC4E35" w:rsidRPr="0007147C" w:rsidRDefault="00FC4E35" w:rsidP="0007147C">
      <w:pPr>
        <w:rPr>
          <w:u w:val="single"/>
          <w:lang w:val="en-US"/>
        </w:rPr>
      </w:pPr>
      <w:r w:rsidRPr="0007147C">
        <w:rPr>
          <w:u w:val="single"/>
          <w:lang w:val="en-US"/>
        </w:rPr>
        <w:t>Reconciliations</w:t>
      </w:r>
    </w:p>
    <w:p w:rsidR="00FC4E35" w:rsidRPr="00FC4E35" w:rsidRDefault="00FC4E35" w:rsidP="0007147C">
      <w:pPr>
        <w:rPr>
          <w:lang w:val="en-US"/>
        </w:rPr>
      </w:pPr>
      <w:r w:rsidRPr="00FC4E35">
        <w:rPr>
          <w:lang w:val="en-US"/>
        </w:rPr>
        <w:t>Reconciliations of the carrying amounts of plant, equipment and vehicles at the beginning and end of the current and previous financial year are set out below:</w:t>
      </w:r>
    </w:p>
    <w:tbl>
      <w:tblPr>
        <w:tblW w:w="10647" w:type="dxa"/>
        <w:tblInd w:w="93" w:type="dxa"/>
        <w:tblLayout w:type="fixed"/>
        <w:tblLook w:val="04A0" w:firstRow="1" w:lastRow="0" w:firstColumn="1" w:lastColumn="0" w:noHBand="0" w:noVBand="1"/>
      </w:tblPr>
      <w:tblGrid>
        <w:gridCol w:w="2142"/>
        <w:gridCol w:w="1370"/>
        <w:gridCol w:w="1465"/>
        <w:gridCol w:w="1275"/>
        <w:gridCol w:w="1560"/>
        <w:gridCol w:w="1842"/>
        <w:gridCol w:w="993"/>
      </w:tblGrid>
      <w:tr w:rsidR="0058073A" w:rsidRPr="0058073A" w:rsidTr="0058073A">
        <w:trPr>
          <w:trHeight w:val="1140"/>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jc w:val="center"/>
              <w:rPr>
                <w:b/>
                <w:lang w:eastAsia="en-AU"/>
              </w:rPr>
            </w:pPr>
            <w:r w:rsidRPr="0058073A">
              <w:rPr>
                <w:b/>
                <w:lang w:eastAsia="en-AU"/>
              </w:rPr>
              <w:t>2015</w:t>
            </w:r>
          </w:p>
        </w:tc>
        <w:tc>
          <w:tcPr>
            <w:tcW w:w="1370"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Computer Hardware $000</w:t>
            </w:r>
          </w:p>
        </w:tc>
        <w:tc>
          <w:tcPr>
            <w:tcW w:w="1465"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Furniture and Fittings $000</w:t>
            </w:r>
          </w:p>
        </w:tc>
        <w:tc>
          <w:tcPr>
            <w:tcW w:w="1275"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Motor Vehicles $000</w:t>
            </w:r>
          </w:p>
        </w:tc>
        <w:tc>
          <w:tcPr>
            <w:tcW w:w="1560"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Office Equipment $000</w:t>
            </w:r>
          </w:p>
        </w:tc>
        <w:tc>
          <w:tcPr>
            <w:tcW w:w="1842"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Office Establishment $000</w:t>
            </w:r>
          </w:p>
        </w:tc>
        <w:tc>
          <w:tcPr>
            <w:tcW w:w="993" w:type="dxa"/>
            <w:tcBorders>
              <w:top w:val="nil"/>
              <w:left w:val="nil"/>
              <w:bottom w:val="nil"/>
              <w:right w:val="nil"/>
            </w:tcBorders>
            <w:shd w:val="clear" w:color="auto" w:fill="F2F2F2" w:themeFill="background1" w:themeFillShade="F2"/>
            <w:vAlign w:val="bottom"/>
            <w:hideMark/>
          </w:tcPr>
          <w:p w:rsidR="0058073A" w:rsidRPr="0058073A" w:rsidRDefault="0058073A" w:rsidP="0058073A">
            <w:pPr>
              <w:spacing w:after="0"/>
              <w:jc w:val="center"/>
              <w:rPr>
                <w:b/>
                <w:lang w:eastAsia="en-AU"/>
              </w:rPr>
            </w:pPr>
            <w:r w:rsidRPr="0058073A">
              <w:rPr>
                <w:b/>
                <w:lang w:eastAsia="en-AU"/>
              </w:rPr>
              <w:t>Total $000</w:t>
            </w:r>
          </w:p>
        </w:tc>
      </w:tr>
      <w:tr w:rsidR="0058073A" w:rsidRPr="0058073A" w:rsidTr="0058073A">
        <w:trPr>
          <w:trHeight w:val="285"/>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rPr>
                <w:lang w:eastAsia="en-AU"/>
              </w:rPr>
            </w:pPr>
            <w:r w:rsidRPr="0058073A">
              <w:rPr>
                <w:lang w:eastAsia="en-AU"/>
              </w:rPr>
              <w:t xml:space="preserve">Carrying amount at start of year </w:t>
            </w:r>
          </w:p>
        </w:tc>
        <w:tc>
          <w:tcPr>
            <w:tcW w:w="1370"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550</w:t>
            </w:r>
          </w:p>
        </w:tc>
        <w:tc>
          <w:tcPr>
            <w:tcW w:w="1465"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85</w:t>
            </w:r>
          </w:p>
        </w:tc>
        <w:tc>
          <w:tcPr>
            <w:tcW w:w="1275"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21</w:t>
            </w:r>
          </w:p>
        </w:tc>
        <w:tc>
          <w:tcPr>
            <w:tcW w:w="1560"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652</w:t>
            </w:r>
          </w:p>
        </w:tc>
        <w:tc>
          <w:tcPr>
            <w:tcW w:w="1842"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2,123</w:t>
            </w:r>
          </w:p>
        </w:tc>
        <w:tc>
          <w:tcPr>
            <w:tcW w:w="993" w:type="dxa"/>
            <w:tcBorders>
              <w:top w:val="nil"/>
              <w:left w:val="nil"/>
              <w:bottom w:val="nil"/>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3,431</w:t>
            </w:r>
          </w:p>
        </w:tc>
      </w:tr>
      <w:tr w:rsidR="0058073A" w:rsidRPr="0058073A" w:rsidTr="0058073A">
        <w:trPr>
          <w:trHeight w:val="285"/>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rPr>
                <w:lang w:eastAsia="en-AU"/>
              </w:rPr>
            </w:pPr>
            <w:r w:rsidRPr="0058073A">
              <w:rPr>
                <w:lang w:eastAsia="en-AU"/>
              </w:rPr>
              <w:t>Additions</w:t>
            </w:r>
          </w:p>
        </w:tc>
        <w:tc>
          <w:tcPr>
            <w:tcW w:w="1370"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206</w:t>
            </w:r>
          </w:p>
        </w:tc>
        <w:tc>
          <w:tcPr>
            <w:tcW w:w="1465"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88</w:t>
            </w:r>
          </w:p>
        </w:tc>
        <w:tc>
          <w:tcPr>
            <w:tcW w:w="1275"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w:t>
            </w:r>
          </w:p>
        </w:tc>
        <w:tc>
          <w:tcPr>
            <w:tcW w:w="1560"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171</w:t>
            </w:r>
          </w:p>
        </w:tc>
        <w:tc>
          <w:tcPr>
            <w:tcW w:w="1842"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2,197</w:t>
            </w:r>
          </w:p>
        </w:tc>
        <w:tc>
          <w:tcPr>
            <w:tcW w:w="993" w:type="dxa"/>
            <w:tcBorders>
              <w:top w:val="nil"/>
              <w:left w:val="nil"/>
              <w:bottom w:val="nil"/>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2,662</w:t>
            </w:r>
          </w:p>
        </w:tc>
      </w:tr>
      <w:tr w:rsidR="0058073A" w:rsidRPr="0058073A" w:rsidTr="0058073A">
        <w:trPr>
          <w:trHeight w:val="285"/>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rPr>
                <w:lang w:eastAsia="en-AU"/>
              </w:rPr>
            </w:pPr>
            <w:r w:rsidRPr="0058073A">
              <w:rPr>
                <w:lang w:eastAsia="en-AU"/>
              </w:rPr>
              <w:t xml:space="preserve">Disposals </w:t>
            </w:r>
          </w:p>
        </w:tc>
        <w:tc>
          <w:tcPr>
            <w:tcW w:w="1370"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 xml:space="preserve"> - </w:t>
            </w:r>
          </w:p>
        </w:tc>
        <w:tc>
          <w:tcPr>
            <w:tcW w:w="1465"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 xml:space="preserve"> - </w:t>
            </w:r>
          </w:p>
        </w:tc>
        <w:tc>
          <w:tcPr>
            <w:tcW w:w="1275"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 xml:space="preserve"> - </w:t>
            </w:r>
          </w:p>
        </w:tc>
        <w:tc>
          <w:tcPr>
            <w:tcW w:w="1560"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-16</w:t>
            </w:r>
          </w:p>
        </w:tc>
        <w:tc>
          <w:tcPr>
            <w:tcW w:w="1842"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 xml:space="preserve"> - </w:t>
            </w:r>
          </w:p>
        </w:tc>
        <w:tc>
          <w:tcPr>
            <w:tcW w:w="993" w:type="dxa"/>
            <w:tcBorders>
              <w:top w:val="nil"/>
              <w:left w:val="nil"/>
              <w:bottom w:val="nil"/>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-16</w:t>
            </w:r>
          </w:p>
        </w:tc>
      </w:tr>
      <w:tr w:rsidR="0058073A" w:rsidRPr="0058073A" w:rsidTr="0058073A">
        <w:trPr>
          <w:trHeight w:val="285"/>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rPr>
                <w:lang w:eastAsia="en-AU"/>
              </w:rPr>
            </w:pPr>
            <w:r w:rsidRPr="0058073A">
              <w:rPr>
                <w:lang w:eastAsia="en-AU"/>
              </w:rPr>
              <w:t xml:space="preserve">Depreciation </w:t>
            </w:r>
          </w:p>
        </w:tc>
        <w:tc>
          <w:tcPr>
            <w:tcW w:w="1370" w:type="dxa"/>
            <w:tcBorders>
              <w:top w:val="nil"/>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-328</w:t>
            </w:r>
          </w:p>
        </w:tc>
        <w:tc>
          <w:tcPr>
            <w:tcW w:w="1465" w:type="dxa"/>
            <w:tcBorders>
              <w:top w:val="nil"/>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-16</w:t>
            </w:r>
          </w:p>
        </w:tc>
        <w:tc>
          <w:tcPr>
            <w:tcW w:w="1275" w:type="dxa"/>
            <w:tcBorders>
              <w:top w:val="nil"/>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-11</w:t>
            </w:r>
          </w:p>
        </w:tc>
        <w:tc>
          <w:tcPr>
            <w:tcW w:w="1560" w:type="dxa"/>
            <w:tcBorders>
              <w:top w:val="nil"/>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-263</w:t>
            </w:r>
          </w:p>
        </w:tc>
        <w:tc>
          <w:tcPr>
            <w:tcW w:w="1842" w:type="dxa"/>
            <w:tcBorders>
              <w:top w:val="nil"/>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-931</w:t>
            </w:r>
          </w:p>
        </w:tc>
        <w:tc>
          <w:tcPr>
            <w:tcW w:w="993" w:type="dxa"/>
            <w:tcBorders>
              <w:top w:val="nil"/>
              <w:left w:val="nil"/>
              <w:bottom w:val="single" w:sz="4" w:space="0" w:color="auto"/>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-1,549</w:t>
            </w:r>
          </w:p>
        </w:tc>
      </w:tr>
      <w:tr w:rsidR="0058073A" w:rsidRPr="0058073A" w:rsidTr="0058073A">
        <w:trPr>
          <w:trHeight w:val="285"/>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rPr>
                <w:lang w:eastAsia="en-AU"/>
              </w:rPr>
            </w:pPr>
            <w:r w:rsidRPr="0058073A">
              <w:rPr>
                <w:lang w:eastAsia="en-AU"/>
              </w:rPr>
              <w:t>Carrying amount at end of year</w:t>
            </w:r>
          </w:p>
        </w:tc>
        <w:tc>
          <w:tcPr>
            <w:tcW w:w="1370" w:type="dxa"/>
            <w:tcBorders>
              <w:top w:val="single" w:sz="4" w:space="0" w:color="auto"/>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428</w:t>
            </w:r>
          </w:p>
        </w:tc>
        <w:tc>
          <w:tcPr>
            <w:tcW w:w="1465" w:type="dxa"/>
            <w:tcBorders>
              <w:top w:val="single" w:sz="4" w:space="0" w:color="auto"/>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157</w:t>
            </w:r>
          </w:p>
        </w:tc>
        <w:tc>
          <w:tcPr>
            <w:tcW w:w="1275" w:type="dxa"/>
            <w:tcBorders>
              <w:top w:val="single" w:sz="4" w:space="0" w:color="auto"/>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10</w:t>
            </w:r>
          </w:p>
        </w:tc>
        <w:tc>
          <w:tcPr>
            <w:tcW w:w="1560" w:type="dxa"/>
            <w:tcBorders>
              <w:top w:val="single" w:sz="4" w:space="0" w:color="auto"/>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544</w:t>
            </w:r>
          </w:p>
        </w:tc>
        <w:tc>
          <w:tcPr>
            <w:tcW w:w="1842" w:type="dxa"/>
            <w:tcBorders>
              <w:top w:val="single" w:sz="4" w:space="0" w:color="auto"/>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3,389</w:t>
            </w:r>
          </w:p>
        </w:tc>
        <w:tc>
          <w:tcPr>
            <w:tcW w:w="993" w:type="dxa"/>
            <w:tcBorders>
              <w:top w:val="single" w:sz="4" w:space="0" w:color="auto"/>
              <w:left w:val="nil"/>
              <w:bottom w:val="single" w:sz="4" w:space="0" w:color="auto"/>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4,528</w:t>
            </w:r>
          </w:p>
        </w:tc>
      </w:tr>
    </w:tbl>
    <w:p w:rsidR="00FC4E35" w:rsidRDefault="00FC4E35" w:rsidP="0007147C">
      <w:pPr>
        <w:rPr>
          <w:color w:val="000000"/>
          <w:lang w:val="en-US"/>
        </w:rPr>
      </w:pPr>
    </w:p>
    <w:tbl>
      <w:tblPr>
        <w:tblW w:w="10647" w:type="dxa"/>
        <w:tblInd w:w="93" w:type="dxa"/>
        <w:tblLayout w:type="fixed"/>
        <w:tblLook w:val="04A0" w:firstRow="1" w:lastRow="0" w:firstColumn="1" w:lastColumn="0" w:noHBand="0" w:noVBand="1"/>
      </w:tblPr>
      <w:tblGrid>
        <w:gridCol w:w="2142"/>
        <w:gridCol w:w="1370"/>
        <w:gridCol w:w="1465"/>
        <w:gridCol w:w="1275"/>
        <w:gridCol w:w="1560"/>
        <w:gridCol w:w="1842"/>
        <w:gridCol w:w="993"/>
      </w:tblGrid>
      <w:tr w:rsidR="0058073A" w:rsidRPr="0058073A" w:rsidTr="0058073A">
        <w:trPr>
          <w:trHeight w:val="1140"/>
        </w:trPr>
        <w:tc>
          <w:tcPr>
            <w:tcW w:w="2142" w:type="dxa"/>
            <w:tcBorders>
              <w:top w:val="nil"/>
              <w:left w:val="nil"/>
              <w:bottom w:val="nil"/>
              <w:right w:val="nil"/>
            </w:tcBorders>
            <w:shd w:val="clear" w:color="auto" w:fill="auto"/>
            <w:noWrap/>
            <w:vAlign w:val="bottom"/>
            <w:hideMark/>
          </w:tcPr>
          <w:p w:rsidR="0058073A" w:rsidRPr="0058073A" w:rsidRDefault="0058073A" w:rsidP="0058073A">
            <w:pPr>
              <w:spacing w:after="0"/>
              <w:jc w:val="center"/>
              <w:rPr>
                <w:b/>
                <w:lang w:eastAsia="en-AU"/>
              </w:rPr>
            </w:pPr>
            <w:r>
              <w:rPr>
                <w:b/>
                <w:lang w:eastAsia="en-AU"/>
              </w:rPr>
              <w:t>2015</w:t>
            </w:r>
          </w:p>
        </w:tc>
        <w:tc>
          <w:tcPr>
            <w:tcW w:w="1370"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Computer Hardware $000</w:t>
            </w:r>
          </w:p>
        </w:tc>
        <w:tc>
          <w:tcPr>
            <w:tcW w:w="1465"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Furniture and Fittings $000</w:t>
            </w:r>
          </w:p>
        </w:tc>
        <w:tc>
          <w:tcPr>
            <w:tcW w:w="1275"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Motor Vehicles $000</w:t>
            </w:r>
          </w:p>
        </w:tc>
        <w:tc>
          <w:tcPr>
            <w:tcW w:w="1560"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Office Equipment $000</w:t>
            </w:r>
          </w:p>
        </w:tc>
        <w:tc>
          <w:tcPr>
            <w:tcW w:w="1842" w:type="dxa"/>
            <w:tcBorders>
              <w:top w:val="nil"/>
              <w:left w:val="nil"/>
              <w:bottom w:val="nil"/>
              <w:right w:val="nil"/>
            </w:tcBorders>
            <w:shd w:val="clear" w:color="auto" w:fill="auto"/>
            <w:vAlign w:val="bottom"/>
            <w:hideMark/>
          </w:tcPr>
          <w:p w:rsidR="0058073A" w:rsidRPr="0058073A" w:rsidRDefault="0058073A" w:rsidP="0058073A">
            <w:pPr>
              <w:spacing w:after="0"/>
              <w:jc w:val="center"/>
              <w:rPr>
                <w:b/>
                <w:lang w:eastAsia="en-AU"/>
              </w:rPr>
            </w:pPr>
            <w:r w:rsidRPr="0058073A">
              <w:rPr>
                <w:b/>
                <w:lang w:eastAsia="en-AU"/>
              </w:rPr>
              <w:t>Office Establishment $000</w:t>
            </w:r>
          </w:p>
        </w:tc>
        <w:tc>
          <w:tcPr>
            <w:tcW w:w="993" w:type="dxa"/>
            <w:tcBorders>
              <w:top w:val="nil"/>
              <w:left w:val="nil"/>
              <w:bottom w:val="nil"/>
              <w:right w:val="nil"/>
            </w:tcBorders>
            <w:shd w:val="clear" w:color="auto" w:fill="F2F2F2" w:themeFill="background1" w:themeFillShade="F2"/>
            <w:vAlign w:val="bottom"/>
            <w:hideMark/>
          </w:tcPr>
          <w:p w:rsidR="0058073A" w:rsidRPr="0058073A" w:rsidRDefault="0058073A" w:rsidP="0058073A">
            <w:pPr>
              <w:spacing w:after="0"/>
              <w:jc w:val="center"/>
              <w:rPr>
                <w:b/>
                <w:lang w:eastAsia="en-AU"/>
              </w:rPr>
            </w:pPr>
            <w:r w:rsidRPr="0058073A">
              <w:rPr>
                <w:b/>
                <w:lang w:eastAsia="en-AU"/>
              </w:rPr>
              <w:t>Total $000</w:t>
            </w:r>
          </w:p>
        </w:tc>
      </w:tr>
      <w:tr w:rsidR="0058073A" w:rsidRPr="0058073A" w:rsidTr="0058073A">
        <w:trPr>
          <w:trHeight w:val="818"/>
        </w:trPr>
        <w:tc>
          <w:tcPr>
            <w:tcW w:w="2142" w:type="dxa"/>
            <w:tcBorders>
              <w:top w:val="nil"/>
              <w:left w:val="nil"/>
              <w:bottom w:val="nil"/>
              <w:right w:val="nil"/>
            </w:tcBorders>
            <w:shd w:val="clear" w:color="auto" w:fill="auto"/>
            <w:noWrap/>
            <w:vAlign w:val="center"/>
            <w:hideMark/>
          </w:tcPr>
          <w:p w:rsidR="0058073A" w:rsidRPr="003D2995" w:rsidRDefault="0058073A" w:rsidP="0058073A">
            <w:pPr>
              <w:spacing w:after="0"/>
            </w:pPr>
            <w:r w:rsidRPr="003D2995">
              <w:t xml:space="preserve">Carrying amount at start of year </w:t>
            </w:r>
          </w:p>
        </w:tc>
        <w:tc>
          <w:tcPr>
            <w:tcW w:w="1370"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653</w:t>
            </w:r>
          </w:p>
        </w:tc>
        <w:tc>
          <w:tcPr>
            <w:tcW w:w="1465"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148</w:t>
            </w:r>
          </w:p>
        </w:tc>
        <w:tc>
          <w:tcPr>
            <w:tcW w:w="1275"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32</w:t>
            </w:r>
          </w:p>
        </w:tc>
        <w:tc>
          <w:tcPr>
            <w:tcW w:w="1560"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947</w:t>
            </w:r>
          </w:p>
        </w:tc>
        <w:tc>
          <w:tcPr>
            <w:tcW w:w="1842"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816</w:t>
            </w:r>
          </w:p>
        </w:tc>
        <w:tc>
          <w:tcPr>
            <w:tcW w:w="993" w:type="dxa"/>
            <w:tcBorders>
              <w:top w:val="nil"/>
              <w:left w:val="nil"/>
              <w:bottom w:val="nil"/>
              <w:right w:val="nil"/>
            </w:tcBorders>
            <w:shd w:val="clear" w:color="auto" w:fill="F2F2F2" w:themeFill="background1" w:themeFillShade="F2"/>
            <w:noWrap/>
            <w:vAlign w:val="center"/>
            <w:hideMark/>
          </w:tcPr>
          <w:p w:rsidR="0058073A" w:rsidRPr="003D2995" w:rsidRDefault="0058073A" w:rsidP="0058073A">
            <w:pPr>
              <w:spacing w:after="0"/>
              <w:jc w:val="right"/>
            </w:pPr>
            <w:r w:rsidRPr="003D2995">
              <w:t>2,596</w:t>
            </w:r>
          </w:p>
        </w:tc>
      </w:tr>
      <w:tr w:rsidR="0058073A" w:rsidRPr="0058073A" w:rsidTr="0058073A">
        <w:trPr>
          <w:trHeight w:val="285"/>
        </w:trPr>
        <w:tc>
          <w:tcPr>
            <w:tcW w:w="2142" w:type="dxa"/>
            <w:tcBorders>
              <w:top w:val="nil"/>
              <w:left w:val="nil"/>
              <w:bottom w:val="nil"/>
              <w:right w:val="nil"/>
            </w:tcBorders>
            <w:shd w:val="clear" w:color="auto" w:fill="auto"/>
            <w:noWrap/>
            <w:vAlign w:val="center"/>
            <w:hideMark/>
          </w:tcPr>
          <w:p w:rsidR="0058073A" w:rsidRPr="003D2995" w:rsidRDefault="0058073A" w:rsidP="0058073A">
            <w:pPr>
              <w:spacing w:after="0"/>
            </w:pPr>
            <w:r w:rsidRPr="003D2995">
              <w:t>Additions</w:t>
            </w:r>
          </w:p>
        </w:tc>
        <w:tc>
          <w:tcPr>
            <w:tcW w:w="1370"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247</w:t>
            </w:r>
          </w:p>
        </w:tc>
        <w:tc>
          <w:tcPr>
            <w:tcW w:w="1465"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-47</w:t>
            </w:r>
          </w:p>
        </w:tc>
        <w:tc>
          <w:tcPr>
            <w:tcW w:w="1275"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w:t>
            </w:r>
          </w:p>
        </w:tc>
        <w:tc>
          <w:tcPr>
            <w:tcW w:w="1560"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147</w:t>
            </w:r>
          </w:p>
        </w:tc>
        <w:tc>
          <w:tcPr>
            <w:tcW w:w="1842"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1,797</w:t>
            </w:r>
          </w:p>
        </w:tc>
        <w:tc>
          <w:tcPr>
            <w:tcW w:w="993" w:type="dxa"/>
            <w:tcBorders>
              <w:top w:val="nil"/>
              <w:left w:val="nil"/>
              <w:bottom w:val="nil"/>
              <w:right w:val="nil"/>
            </w:tcBorders>
            <w:shd w:val="clear" w:color="auto" w:fill="F2F2F2" w:themeFill="background1" w:themeFillShade="F2"/>
            <w:noWrap/>
            <w:vAlign w:val="center"/>
            <w:hideMark/>
          </w:tcPr>
          <w:p w:rsidR="0058073A" w:rsidRPr="003D2995" w:rsidRDefault="0058073A" w:rsidP="0058073A">
            <w:pPr>
              <w:spacing w:after="0"/>
              <w:jc w:val="right"/>
            </w:pPr>
            <w:r w:rsidRPr="003D2995">
              <w:t>2,144</w:t>
            </w:r>
          </w:p>
        </w:tc>
      </w:tr>
      <w:tr w:rsidR="0058073A" w:rsidRPr="0058073A" w:rsidTr="0058073A">
        <w:trPr>
          <w:trHeight w:val="285"/>
        </w:trPr>
        <w:tc>
          <w:tcPr>
            <w:tcW w:w="2142" w:type="dxa"/>
            <w:tcBorders>
              <w:top w:val="nil"/>
              <w:left w:val="nil"/>
              <w:bottom w:val="nil"/>
              <w:right w:val="nil"/>
            </w:tcBorders>
            <w:shd w:val="clear" w:color="auto" w:fill="auto"/>
            <w:noWrap/>
            <w:vAlign w:val="center"/>
            <w:hideMark/>
          </w:tcPr>
          <w:p w:rsidR="0058073A" w:rsidRPr="003D2995" w:rsidRDefault="0058073A" w:rsidP="0058073A">
            <w:pPr>
              <w:spacing w:after="0"/>
            </w:pPr>
            <w:r w:rsidRPr="003D2995">
              <w:t xml:space="preserve">Disposals </w:t>
            </w:r>
          </w:p>
        </w:tc>
        <w:tc>
          <w:tcPr>
            <w:tcW w:w="1370"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 xml:space="preserve"> - </w:t>
            </w:r>
          </w:p>
        </w:tc>
        <w:tc>
          <w:tcPr>
            <w:tcW w:w="1465"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 xml:space="preserve"> - </w:t>
            </w:r>
          </w:p>
        </w:tc>
        <w:tc>
          <w:tcPr>
            <w:tcW w:w="1275"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 xml:space="preserve"> - </w:t>
            </w:r>
          </w:p>
        </w:tc>
        <w:tc>
          <w:tcPr>
            <w:tcW w:w="1560"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-5</w:t>
            </w:r>
          </w:p>
        </w:tc>
        <w:tc>
          <w:tcPr>
            <w:tcW w:w="1842" w:type="dxa"/>
            <w:tcBorders>
              <w:top w:val="nil"/>
              <w:left w:val="nil"/>
              <w:bottom w:val="nil"/>
              <w:right w:val="nil"/>
            </w:tcBorders>
            <w:shd w:val="clear" w:color="auto" w:fill="auto"/>
            <w:noWrap/>
            <w:vAlign w:val="center"/>
            <w:hideMark/>
          </w:tcPr>
          <w:p w:rsidR="0058073A" w:rsidRPr="003D2995" w:rsidRDefault="0058073A" w:rsidP="0058073A">
            <w:pPr>
              <w:spacing w:after="0"/>
              <w:jc w:val="right"/>
            </w:pPr>
            <w:r w:rsidRPr="003D2995">
              <w:t>-36</w:t>
            </w:r>
          </w:p>
        </w:tc>
        <w:tc>
          <w:tcPr>
            <w:tcW w:w="993" w:type="dxa"/>
            <w:tcBorders>
              <w:top w:val="nil"/>
              <w:left w:val="nil"/>
              <w:bottom w:val="nil"/>
              <w:right w:val="nil"/>
            </w:tcBorders>
            <w:shd w:val="clear" w:color="auto" w:fill="F2F2F2" w:themeFill="background1" w:themeFillShade="F2"/>
            <w:noWrap/>
            <w:vAlign w:val="center"/>
            <w:hideMark/>
          </w:tcPr>
          <w:p w:rsidR="0058073A" w:rsidRPr="003D2995" w:rsidRDefault="0058073A" w:rsidP="0058073A">
            <w:pPr>
              <w:spacing w:after="0"/>
              <w:jc w:val="right"/>
            </w:pPr>
            <w:r w:rsidRPr="003D2995">
              <w:t>-41</w:t>
            </w:r>
          </w:p>
        </w:tc>
      </w:tr>
      <w:tr w:rsidR="0058073A" w:rsidRPr="0058073A" w:rsidTr="0058073A">
        <w:trPr>
          <w:trHeight w:val="285"/>
        </w:trPr>
        <w:tc>
          <w:tcPr>
            <w:tcW w:w="2142" w:type="dxa"/>
            <w:tcBorders>
              <w:top w:val="nil"/>
              <w:left w:val="nil"/>
              <w:bottom w:val="nil"/>
              <w:right w:val="nil"/>
            </w:tcBorders>
            <w:shd w:val="clear" w:color="auto" w:fill="auto"/>
            <w:noWrap/>
            <w:vAlign w:val="center"/>
            <w:hideMark/>
          </w:tcPr>
          <w:p w:rsidR="0058073A" w:rsidRPr="003D2995" w:rsidRDefault="0058073A" w:rsidP="0058073A">
            <w:pPr>
              <w:spacing w:after="0"/>
            </w:pPr>
            <w:r w:rsidRPr="003D2995">
              <w:t xml:space="preserve">Depreciation </w:t>
            </w:r>
          </w:p>
        </w:tc>
        <w:tc>
          <w:tcPr>
            <w:tcW w:w="1370" w:type="dxa"/>
            <w:tcBorders>
              <w:top w:val="nil"/>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-351</w:t>
            </w:r>
          </w:p>
        </w:tc>
        <w:tc>
          <w:tcPr>
            <w:tcW w:w="1465" w:type="dxa"/>
            <w:tcBorders>
              <w:top w:val="nil"/>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-16</w:t>
            </w:r>
          </w:p>
        </w:tc>
        <w:tc>
          <w:tcPr>
            <w:tcW w:w="1275" w:type="dxa"/>
            <w:tcBorders>
              <w:top w:val="nil"/>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-11</w:t>
            </w:r>
          </w:p>
        </w:tc>
        <w:tc>
          <w:tcPr>
            <w:tcW w:w="1560" w:type="dxa"/>
            <w:tcBorders>
              <w:top w:val="nil"/>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-436</w:t>
            </w:r>
          </w:p>
        </w:tc>
        <w:tc>
          <w:tcPr>
            <w:tcW w:w="1842" w:type="dxa"/>
            <w:tcBorders>
              <w:top w:val="nil"/>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-454</w:t>
            </w:r>
          </w:p>
        </w:tc>
        <w:tc>
          <w:tcPr>
            <w:tcW w:w="993" w:type="dxa"/>
            <w:tcBorders>
              <w:top w:val="nil"/>
              <w:left w:val="nil"/>
              <w:bottom w:val="single" w:sz="4" w:space="0" w:color="auto"/>
              <w:right w:val="nil"/>
            </w:tcBorders>
            <w:shd w:val="clear" w:color="auto" w:fill="F2F2F2" w:themeFill="background1" w:themeFillShade="F2"/>
            <w:noWrap/>
            <w:vAlign w:val="center"/>
            <w:hideMark/>
          </w:tcPr>
          <w:p w:rsidR="0058073A" w:rsidRPr="003D2995" w:rsidRDefault="0058073A" w:rsidP="0058073A">
            <w:pPr>
              <w:spacing w:after="0"/>
              <w:jc w:val="right"/>
            </w:pPr>
            <w:r w:rsidRPr="003D2995">
              <w:t>-1,268</w:t>
            </w:r>
          </w:p>
        </w:tc>
      </w:tr>
      <w:tr w:rsidR="0058073A" w:rsidRPr="0058073A" w:rsidTr="0058073A">
        <w:trPr>
          <w:trHeight w:val="285"/>
        </w:trPr>
        <w:tc>
          <w:tcPr>
            <w:tcW w:w="2142" w:type="dxa"/>
            <w:tcBorders>
              <w:top w:val="nil"/>
              <w:left w:val="nil"/>
              <w:bottom w:val="nil"/>
              <w:right w:val="nil"/>
            </w:tcBorders>
            <w:shd w:val="clear" w:color="auto" w:fill="auto"/>
            <w:noWrap/>
            <w:vAlign w:val="center"/>
            <w:hideMark/>
          </w:tcPr>
          <w:p w:rsidR="0058073A" w:rsidRPr="003D2995" w:rsidRDefault="0058073A" w:rsidP="0058073A">
            <w:pPr>
              <w:spacing w:after="0"/>
            </w:pPr>
            <w:r w:rsidRPr="003D2995">
              <w:t>Carrying amount at end of year</w:t>
            </w:r>
          </w:p>
        </w:tc>
        <w:tc>
          <w:tcPr>
            <w:tcW w:w="1370" w:type="dxa"/>
            <w:tcBorders>
              <w:top w:val="single" w:sz="4" w:space="0" w:color="auto"/>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550</w:t>
            </w:r>
          </w:p>
        </w:tc>
        <w:tc>
          <w:tcPr>
            <w:tcW w:w="1465" w:type="dxa"/>
            <w:tcBorders>
              <w:top w:val="single" w:sz="4" w:space="0" w:color="auto"/>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85</w:t>
            </w:r>
          </w:p>
        </w:tc>
        <w:tc>
          <w:tcPr>
            <w:tcW w:w="1275" w:type="dxa"/>
            <w:tcBorders>
              <w:top w:val="single" w:sz="4" w:space="0" w:color="auto"/>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21</w:t>
            </w:r>
          </w:p>
        </w:tc>
        <w:tc>
          <w:tcPr>
            <w:tcW w:w="1560" w:type="dxa"/>
            <w:tcBorders>
              <w:top w:val="single" w:sz="4" w:space="0" w:color="auto"/>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652</w:t>
            </w:r>
          </w:p>
        </w:tc>
        <w:tc>
          <w:tcPr>
            <w:tcW w:w="1842" w:type="dxa"/>
            <w:tcBorders>
              <w:top w:val="single" w:sz="4" w:space="0" w:color="auto"/>
              <w:left w:val="nil"/>
              <w:bottom w:val="single" w:sz="4" w:space="0" w:color="auto"/>
              <w:right w:val="nil"/>
            </w:tcBorders>
            <w:shd w:val="clear" w:color="auto" w:fill="auto"/>
            <w:noWrap/>
            <w:vAlign w:val="center"/>
            <w:hideMark/>
          </w:tcPr>
          <w:p w:rsidR="0058073A" w:rsidRPr="003D2995" w:rsidRDefault="0058073A" w:rsidP="0058073A">
            <w:pPr>
              <w:spacing w:after="0"/>
              <w:jc w:val="right"/>
            </w:pPr>
            <w:r w:rsidRPr="003D2995">
              <w:t>2,123</w:t>
            </w:r>
          </w:p>
        </w:tc>
        <w:tc>
          <w:tcPr>
            <w:tcW w:w="993" w:type="dxa"/>
            <w:tcBorders>
              <w:top w:val="single" w:sz="4" w:space="0" w:color="auto"/>
              <w:left w:val="nil"/>
              <w:bottom w:val="single" w:sz="4" w:space="0" w:color="auto"/>
              <w:right w:val="nil"/>
            </w:tcBorders>
            <w:shd w:val="clear" w:color="auto" w:fill="F2F2F2" w:themeFill="background1" w:themeFillShade="F2"/>
            <w:noWrap/>
            <w:vAlign w:val="center"/>
            <w:hideMark/>
          </w:tcPr>
          <w:p w:rsidR="0058073A" w:rsidRDefault="0058073A" w:rsidP="0058073A">
            <w:pPr>
              <w:spacing w:after="0"/>
              <w:jc w:val="right"/>
            </w:pPr>
            <w:r w:rsidRPr="003D2995">
              <w:t>3,431</w:t>
            </w:r>
          </w:p>
        </w:tc>
      </w:tr>
    </w:tbl>
    <w:p w:rsidR="00FC4E35" w:rsidRPr="00FC4E35" w:rsidRDefault="00FC4E35" w:rsidP="0007147C">
      <w:pPr>
        <w:rPr>
          <w:lang w:val="en-US"/>
        </w:rPr>
      </w:pPr>
    </w:p>
    <w:p w:rsidR="00FC4E35" w:rsidRPr="009A36D1" w:rsidRDefault="00FC4E35" w:rsidP="009A36D1">
      <w:pPr>
        <w:pStyle w:val="Heading4"/>
        <w:numPr>
          <w:ilvl w:val="0"/>
          <w:numId w:val="76"/>
        </w:numPr>
        <w:rPr>
          <w:lang w:val="en-US"/>
        </w:rPr>
      </w:pPr>
      <w:r w:rsidRPr="00FC4E35">
        <w:rPr>
          <w:lang w:val="en-US"/>
        </w:rPr>
        <w:t>Intangible assets</w:t>
      </w:r>
    </w:p>
    <w:tbl>
      <w:tblPr>
        <w:tblW w:w="6961" w:type="dxa"/>
        <w:tblInd w:w="93" w:type="dxa"/>
        <w:tblLook w:val="04A0" w:firstRow="1" w:lastRow="0" w:firstColumn="1" w:lastColumn="0" w:noHBand="0" w:noVBand="1"/>
      </w:tblPr>
      <w:tblGrid>
        <w:gridCol w:w="4693"/>
        <w:gridCol w:w="1134"/>
        <w:gridCol w:w="1134"/>
      </w:tblGrid>
      <w:tr w:rsidR="0058073A" w:rsidRPr="0058073A" w:rsidTr="0058073A">
        <w:trPr>
          <w:trHeight w:val="285"/>
        </w:trPr>
        <w:tc>
          <w:tcPr>
            <w:tcW w:w="4693" w:type="dxa"/>
            <w:tcBorders>
              <w:top w:val="nil"/>
              <w:left w:val="nil"/>
              <w:bottom w:val="nil"/>
              <w:right w:val="nil"/>
            </w:tcBorders>
            <w:shd w:val="clear" w:color="auto" w:fill="auto"/>
            <w:noWrap/>
            <w:vAlign w:val="center"/>
            <w:hideMark/>
          </w:tcPr>
          <w:p w:rsidR="0058073A" w:rsidRPr="0058073A" w:rsidRDefault="0058073A" w:rsidP="0058073A">
            <w:pPr>
              <w:spacing w:after="0"/>
              <w:rPr>
                <w:b/>
                <w:lang w:eastAsia="en-AU"/>
              </w:rPr>
            </w:pPr>
          </w:p>
        </w:tc>
        <w:tc>
          <w:tcPr>
            <w:tcW w:w="1134" w:type="dxa"/>
            <w:tcBorders>
              <w:top w:val="nil"/>
              <w:left w:val="nil"/>
              <w:bottom w:val="nil"/>
              <w:right w:val="nil"/>
            </w:tcBorders>
            <w:shd w:val="clear" w:color="auto" w:fill="F2F2F2" w:themeFill="background1" w:themeFillShade="F2"/>
            <w:noWrap/>
            <w:vAlign w:val="center"/>
            <w:hideMark/>
          </w:tcPr>
          <w:p w:rsidR="0058073A" w:rsidRPr="0058073A" w:rsidRDefault="0058073A" w:rsidP="0058073A">
            <w:pPr>
              <w:spacing w:after="0"/>
              <w:jc w:val="right"/>
              <w:rPr>
                <w:b/>
                <w:lang w:eastAsia="en-AU"/>
              </w:rPr>
            </w:pPr>
            <w:r w:rsidRPr="0058073A">
              <w:rPr>
                <w:b/>
                <w:lang w:eastAsia="en-AU"/>
              </w:rPr>
              <w:t>2015 $000</w:t>
            </w:r>
          </w:p>
        </w:tc>
        <w:tc>
          <w:tcPr>
            <w:tcW w:w="1134" w:type="dxa"/>
            <w:tcBorders>
              <w:top w:val="nil"/>
              <w:left w:val="nil"/>
              <w:bottom w:val="nil"/>
              <w:right w:val="nil"/>
            </w:tcBorders>
            <w:shd w:val="clear" w:color="auto" w:fill="auto"/>
            <w:noWrap/>
            <w:vAlign w:val="center"/>
            <w:hideMark/>
          </w:tcPr>
          <w:p w:rsidR="0058073A" w:rsidRPr="0058073A" w:rsidRDefault="0058073A" w:rsidP="0058073A">
            <w:pPr>
              <w:spacing w:after="0"/>
              <w:jc w:val="right"/>
              <w:rPr>
                <w:b/>
                <w:lang w:eastAsia="en-AU"/>
              </w:rPr>
            </w:pPr>
            <w:r w:rsidRPr="0058073A">
              <w:rPr>
                <w:b/>
                <w:lang w:eastAsia="en-AU"/>
              </w:rPr>
              <w:t>2014 $000</w:t>
            </w: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58073A">
            <w:pPr>
              <w:spacing w:after="0"/>
              <w:rPr>
                <w:lang w:eastAsia="en-AU"/>
              </w:rPr>
            </w:pPr>
            <w:r w:rsidRPr="0058073A">
              <w:rPr>
                <w:lang w:eastAsia="en-AU"/>
              </w:rPr>
              <w:t>Computer software</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58073A">
            <w:pPr>
              <w:spacing w:after="0"/>
              <w:ind w:left="333"/>
              <w:rPr>
                <w:lang w:eastAsia="en-AU"/>
              </w:rPr>
            </w:pPr>
            <w:r w:rsidRPr="0058073A">
              <w:rPr>
                <w:lang w:eastAsia="en-AU"/>
              </w:rPr>
              <w:t>At cost</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2,293</w:t>
            </w: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1,862</w:t>
            </w:r>
          </w:p>
        </w:tc>
      </w:tr>
      <w:tr w:rsidR="0058073A" w:rsidRPr="0058073A" w:rsidTr="00B468B3">
        <w:trPr>
          <w:trHeight w:val="285"/>
        </w:trPr>
        <w:tc>
          <w:tcPr>
            <w:tcW w:w="4693" w:type="dxa"/>
            <w:tcBorders>
              <w:top w:val="nil"/>
              <w:left w:val="nil"/>
              <w:bottom w:val="nil"/>
              <w:right w:val="nil"/>
            </w:tcBorders>
            <w:shd w:val="clear" w:color="auto" w:fill="auto"/>
            <w:vAlign w:val="center"/>
            <w:hideMark/>
          </w:tcPr>
          <w:p w:rsidR="0058073A" w:rsidRPr="0058073A" w:rsidRDefault="0058073A" w:rsidP="0058073A">
            <w:pPr>
              <w:spacing w:after="0"/>
              <w:ind w:left="333"/>
              <w:rPr>
                <w:lang w:eastAsia="en-AU"/>
              </w:rPr>
            </w:pPr>
            <w:r w:rsidRPr="0058073A">
              <w:rPr>
                <w:lang w:eastAsia="en-AU"/>
              </w:rPr>
              <w:t>Accumulated amortisation</w:t>
            </w:r>
          </w:p>
        </w:tc>
        <w:tc>
          <w:tcPr>
            <w:tcW w:w="1134" w:type="dxa"/>
            <w:tcBorders>
              <w:top w:val="nil"/>
              <w:left w:val="nil"/>
              <w:bottom w:val="single" w:sz="4" w:space="0" w:color="auto"/>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-1,516</w:t>
            </w:r>
          </w:p>
        </w:tc>
        <w:tc>
          <w:tcPr>
            <w:tcW w:w="1134" w:type="dxa"/>
            <w:tcBorders>
              <w:top w:val="nil"/>
              <w:left w:val="nil"/>
              <w:bottom w:val="single" w:sz="4" w:space="0" w:color="auto"/>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-1,072</w:t>
            </w:r>
          </w:p>
        </w:tc>
      </w:tr>
      <w:tr w:rsidR="0058073A" w:rsidRPr="0058073A" w:rsidTr="00B468B3">
        <w:trPr>
          <w:trHeight w:val="285"/>
        </w:trPr>
        <w:tc>
          <w:tcPr>
            <w:tcW w:w="4693" w:type="dxa"/>
            <w:tcBorders>
              <w:top w:val="nil"/>
              <w:left w:val="nil"/>
              <w:bottom w:val="nil"/>
              <w:right w:val="nil"/>
            </w:tcBorders>
            <w:shd w:val="clear" w:color="auto" w:fill="auto"/>
            <w:vAlign w:val="center"/>
            <w:hideMark/>
          </w:tcPr>
          <w:p w:rsidR="0058073A" w:rsidRPr="0058073A" w:rsidRDefault="0058073A" w:rsidP="0058073A">
            <w:pPr>
              <w:spacing w:after="0"/>
              <w:rPr>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776</w:t>
            </w:r>
          </w:p>
        </w:tc>
        <w:tc>
          <w:tcPr>
            <w:tcW w:w="1134" w:type="dxa"/>
            <w:tcBorders>
              <w:top w:val="single" w:sz="4" w:space="0" w:color="auto"/>
              <w:left w:val="nil"/>
              <w:bottom w:val="double" w:sz="4" w:space="0" w:color="auto"/>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790</w:t>
            </w:r>
          </w:p>
        </w:tc>
      </w:tr>
      <w:tr w:rsidR="0058073A" w:rsidRPr="0058073A" w:rsidTr="00B468B3">
        <w:trPr>
          <w:trHeight w:val="285"/>
        </w:trPr>
        <w:tc>
          <w:tcPr>
            <w:tcW w:w="4693" w:type="dxa"/>
            <w:tcBorders>
              <w:top w:val="nil"/>
              <w:left w:val="nil"/>
              <w:bottom w:val="nil"/>
              <w:right w:val="nil"/>
            </w:tcBorders>
            <w:shd w:val="clear" w:color="auto" w:fill="auto"/>
            <w:vAlign w:val="center"/>
            <w:hideMark/>
          </w:tcPr>
          <w:p w:rsidR="0058073A" w:rsidRPr="00B468B3" w:rsidRDefault="0058073A" w:rsidP="0058073A">
            <w:pPr>
              <w:spacing w:after="0"/>
              <w:rPr>
                <w:u w:val="single"/>
                <w:lang w:eastAsia="en-AU"/>
              </w:rPr>
            </w:pPr>
            <w:r w:rsidRPr="00B468B3">
              <w:rPr>
                <w:u w:val="single"/>
                <w:lang w:eastAsia="en-AU"/>
              </w:rPr>
              <w:t>Reconciliations:</w:t>
            </w:r>
          </w:p>
        </w:tc>
        <w:tc>
          <w:tcPr>
            <w:tcW w:w="1134" w:type="dxa"/>
            <w:tcBorders>
              <w:top w:val="double" w:sz="4" w:space="0" w:color="auto"/>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p>
        </w:tc>
        <w:tc>
          <w:tcPr>
            <w:tcW w:w="1134" w:type="dxa"/>
            <w:tcBorders>
              <w:top w:val="double" w:sz="4" w:space="0" w:color="auto"/>
              <w:left w:val="nil"/>
              <w:bottom w:val="nil"/>
              <w:right w:val="nil"/>
            </w:tcBorders>
            <w:shd w:val="clear" w:color="auto" w:fill="auto"/>
            <w:vAlign w:val="center"/>
            <w:hideMark/>
          </w:tcPr>
          <w:p w:rsidR="0058073A" w:rsidRPr="0058073A" w:rsidRDefault="0058073A" w:rsidP="0058073A">
            <w:pPr>
              <w:spacing w:after="0"/>
              <w:jc w:val="right"/>
              <w:rPr>
                <w:lang w:eastAsia="en-AU"/>
              </w:rPr>
            </w:pP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B468B3">
            <w:pPr>
              <w:spacing w:after="0"/>
              <w:ind w:left="333"/>
              <w:rPr>
                <w:lang w:eastAsia="en-AU"/>
              </w:rPr>
            </w:pPr>
            <w:r w:rsidRPr="0058073A">
              <w:rPr>
                <w:lang w:eastAsia="en-AU"/>
              </w:rPr>
              <w:t>Computer software</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B468B3">
            <w:pPr>
              <w:spacing w:after="0"/>
              <w:ind w:left="333"/>
              <w:rPr>
                <w:lang w:eastAsia="en-AU"/>
              </w:rPr>
            </w:pPr>
            <w:r w:rsidRPr="0058073A">
              <w:rPr>
                <w:lang w:eastAsia="en-AU"/>
              </w:rPr>
              <w:t>Carrying amount at start of year</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790</w:t>
            </w: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1,000</w:t>
            </w: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58073A">
            <w:pPr>
              <w:spacing w:after="0"/>
              <w:rPr>
                <w:lang w:eastAsia="en-AU"/>
              </w:rPr>
            </w:pPr>
            <w:r w:rsidRPr="0058073A">
              <w:rPr>
                <w:lang w:eastAsia="en-AU"/>
              </w:rPr>
              <w:t>Additions</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446</w:t>
            </w: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287</w:t>
            </w: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58073A">
            <w:pPr>
              <w:spacing w:after="0"/>
              <w:rPr>
                <w:lang w:eastAsia="en-AU"/>
              </w:rPr>
            </w:pPr>
            <w:r w:rsidRPr="0058073A">
              <w:rPr>
                <w:lang w:eastAsia="en-AU"/>
              </w:rPr>
              <w:t>Reclassifications</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w:t>
            </w: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w:t>
            </w:r>
          </w:p>
        </w:tc>
      </w:tr>
      <w:tr w:rsidR="0058073A" w:rsidRPr="0058073A" w:rsidTr="0058073A">
        <w:trPr>
          <w:trHeight w:val="285"/>
        </w:trPr>
        <w:tc>
          <w:tcPr>
            <w:tcW w:w="4693" w:type="dxa"/>
            <w:tcBorders>
              <w:top w:val="nil"/>
              <w:left w:val="nil"/>
              <w:bottom w:val="nil"/>
              <w:right w:val="nil"/>
            </w:tcBorders>
            <w:shd w:val="clear" w:color="auto" w:fill="auto"/>
            <w:vAlign w:val="center"/>
            <w:hideMark/>
          </w:tcPr>
          <w:p w:rsidR="0058073A" w:rsidRPr="0058073A" w:rsidRDefault="0058073A" w:rsidP="00B468B3">
            <w:pPr>
              <w:spacing w:after="0"/>
              <w:ind w:left="333"/>
              <w:rPr>
                <w:lang w:eastAsia="en-AU"/>
              </w:rPr>
            </w:pPr>
            <w:r w:rsidRPr="0058073A">
              <w:rPr>
                <w:lang w:eastAsia="en-AU"/>
              </w:rPr>
              <w:t>Disposals</w:t>
            </w:r>
          </w:p>
        </w:tc>
        <w:tc>
          <w:tcPr>
            <w:tcW w:w="1134" w:type="dxa"/>
            <w:tcBorders>
              <w:top w:val="nil"/>
              <w:left w:val="nil"/>
              <w:bottom w:val="nil"/>
              <w:right w:val="nil"/>
            </w:tcBorders>
            <w:shd w:val="clear" w:color="auto" w:fill="F2F2F2" w:themeFill="background1" w:themeFillShade="F2"/>
            <w:vAlign w:val="center"/>
            <w:hideMark/>
          </w:tcPr>
          <w:p w:rsidR="0058073A" w:rsidRPr="0058073A" w:rsidRDefault="0058073A" w:rsidP="0058073A">
            <w:pPr>
              <w:spacing w:after="0"/>
              <w:jc w:val="right"/>
              <w:rPr>
                <w:lang w:eastAsia="en-AU"/>
              </w:rPr>
            </w:pPr>
            <w:r w:rsidRPr="0058073A">
              <w:rPr>
                <w:lang w:eastAsia="en-AU"/>
              </w:rPr>
              <w:t>-1</w:t>
            </w:r>
          </w:p>
        </w:tc>
        <w:tc>
          <w:tcPr>
            <w:tcW w:w="1134" w:type="dxa"/>
            <w:tcBorders>
              <w:top w:val="nil"/>
              <w:left w:val="nil"/>
              <w:bottom w:val="nil"/>
              <w:right w:val="nil"/>
            </w:tcBorders>
            <w:shd w:val="clear" w:color="auto" w:fill="auto"/>
            <w:vAlign w:val="center"/>
            <w:hideMark/>
          </w:tcPr>
          <w:p w:rsidR="0058073A" w:rsidRPr="0058073A" w:rsidRDefault="0058073A" w:rsidP="0058073A">
            <w:pPr>
              <w:spacing w:after="0"/>
              <w:jc w:val="right"/>
              <w:rPr>
                <w:lang w:eastAsia="en-AU"/>
              </w:rPr>
            </w:pPr>
            <w:r w:rsidRPr="0058073A">
              <w:rPr>
                <w:lang w:eastAsia="en-AU"/>
              </w:rPr>
              <w:t>-</w:t>
            </w:r>
          </w:p>
        </w:tc>
      </w:tr>
      <w:tr w:rsidR="0058073A" w:rsidRPr="0058073A" w:rsidTr="00B468B3">
        <w:trPr>
          <w:trHeight w:val="285"/>
        </w:trPr>
        <w:tc>
          <w:tcPr>
            <w:tcW w:w="4693" w:type="dxa"/>
            <w:tcBorders>
              <w:top w:val="nil"/>
              <w:left w:val="nil"/>
              <w:bottom w:val="nil"/>
              <w:right w:val="nil"/>
            </w:tcBorders>
            <w:shd w:val="clear" w:color="auto" w:fill="auto"/>
            <w:noWrap/>
            <w:vAlign w:val="center"/>
            <w:hideMark/>
          </w:tcPr>
          <w:p w:rsidR="0058073A" w:rsidRPr="0058073A" w:rsidRDefault="0058073A" w:rsidP="00B468B3">
            <w:pPr>
              <w:spacing w:after="0"/>
              <w:ind w:left="333"/>
              <w:rPr>
                <w:lang w:eastAsia="en-AU"/>
              </w:rPr>
            </w:pPr>
            <w:r w:rsidRPr="0058073A">
              <w:rPr>
                <w:lang w:eastAsia="en-AU"/>
              </w:rPr>
              <w:t>Amortisation expense</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-458</w:t>
            </w:r>
          </w:p>
        </w:tc>
        <w:tc>
          <w:tcPr>
            <w:tcW w:w="1134" w:type="dxa"/>
            <w:tcBorders>
              <w:top w:val="nil"/>
              <w:left w:val="nil"/>
              <w:bottom w:val="sing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-497</w:t>
            </w:r>
          </w:p>
        </w:tc>
      </w:tr>
      <w:tr w:rsidR="0058073A" w:rsidRPr="0058073A" w:rsidTr="00B468B3">
        <w:trPr>
          <w:trHeight w:val="285"/>
        </w:trPr>
        <w:tc>
          <w:tcPr>
            <w:tcW w:w="4693" w:type="dxa"/>
            <w:tcBorders>
              <w:top w:val="nil"/>
              <w:left w:val="nil"/>
              <w:bottom w:val="nil"/>
              <w:right w:val="nil"/>
            </w:tcBorders>
            <w:shd w:val="clear" w:color="auto" w:fill="auto"/>
            <w:noWrap/>
            <w:vAlign w:val="center"/>
            <w:hideMark/>
          </w:tcPr>
          <w:p w:rsidR="0058073A" w:rsidRPr="0058073A" w:rsidRDefault="0058073A" w:rsidP="0058073A">
            <w:pPr>
              <w:spacing w:after="0"/>
              <w:rPr>
                <w:lang w:eastAsia="en-AU"/>
              </w:rPr>
            </w:pPr>
            <w:r w:rsidRPr="0058073A">
              <w:rPr>
                <w:lang w:eastAsia="en-AU"/>
              </w:rPr>
              <w:t>Carrying amount at end of year</w:t>
            </w:r>
          </w:p>
        </w:tc>
        <w:tc>
          <w:tcPr>
            <w:tcW w:w="1134" w:type="dxa"/>
            <w:tcBorders>
              <w:top w:val="single" w:sz="4" w:space="0" w:color="auto"/>
              <w:left w:val="nil"/>
              <w:bottom w:val="double" w:sz="4" w:space="0" w:color="auto"/>
              <w:right w:val="nil"/>
            </w:tcBorders>
            <w:shd w:val="clear" w:color="auto" w:fill="F2F2F2" w:themeFill="background1" w:themeFillShade="F2"/>
            <w:noWrap/>
            <w:vAlign w:val="center"/>
            <w:hideMark/>
          </w:tcPr>
          <w:p w:rsidR="0058073A" w:rsidRPr="0058073A" w:rsidRDefault="0058073A" w:rsidP="0058073A">
            <w:pPr>
              <w:spacing w:after="0"/>
              <w:jc w:val="right"/>
              <w:rPr>
                <w:lang w:eastAsia="en-AU"/>
              </w:rPr>
            </w:pPr>
            <w:r w:rsidRPr="0058073A">
              <w:rPr>
                <w:lang w:eastAsia="en-AU"/>
              </w:rPr>
              <w:t>776</w:t>
            </w:r>
          </w:p>
        </w:tc>
        <w:tc>
          <w:tcPr>
            <w:tcW w:w="1134" w:type="dxa"/>
            <w:tcBorders>
              <w:top w:val="single" w:sz="4" w:space="0" w:color="auto"/>
              <w:left w:val="nil"/>
              <w:bottom w:val="double" w:sz="4" w:space="0" w:color="auto"/>
              <w:right w:val="nil"/>
            </w:tcBorders>
            <w:shd w:val="clear" w:color="auto" w:fill="auto"/>
            <w:noWrap/>
            <w:vAlign w:val="center"/>
            <w:hideMark/>
          </w:tcPr>
          <w:p w:rsidR="0058073A" w:rsidRPr="0058073A" w:rsidRDefault="0058073A" w:rsidP="0058073A">
            <w:pPr>
              <w:spacing w:after="0"/>
              <w:jc w:val="right"/>
              <w:rPr>
                <w:lang w:eastAsia="en-AU"/>
              </w:rPr>
            </w:pPr>
            <w:r w:rsidRPr="0058073A">
              <w:rPr>
                <w:lang w:eastAsia="en-AU"/>
              </w:rPr>
              <w:t>790</w:t>
            </w:r>
          </w:p>
        </w:tc>
      </w:tr>
    </w:tbl>
    <w:p w:rsidR="002A26A8" w:rsidRDefault="002A26A8">
      <w:pPr>
        <w:spacing w:line="276" w:lineRule="auto"/>
        <w:rPr>
          <w:lang w:val="en-US"/>
        </w:rPr>
      </w:pPr>
    </w:p>
    <w:p w:rsidR="002A26A8" w:rsidRDefault="002A26A8">
      <w:pPr>
        <w:spacing w:line="276" w:lineRule="auto"/>
        <w:rPr>
          <w:lang w:val="en-US"/>
        </w:rPr>
      </w:pPr>
      <w:r>
        <w:rPr>
          <w:lang w:val="en-US"/>
        </w:rPr>
        <w:br w:type="page"/>
      </w:r>
    </w:p>
    <w:p w:rsidR="00FC4E35" w:rsidRPr="00FC4E35" w:rsidRDefault="00FC4E35" w:rsidP="00AE75A9">
      <w:pPr>
        <w:pStyle w:val="Heading4"/>
        <w:numPr>
          <w:ilvl w:val="0"/>
          <w:numId w:val="76"/>
        </w:numPr>
        <w:rPr>
          <w:lang w:val="en-US"/>
        </w:rPr>
      </w:pPr>
      <w:r w:rsidRPr="00FC4E35">
        <w:rPr>
          <w:lang w:val="en-US"/>
        </w:rPr>
        <w:t>Impairment of assets</w:t>
      </w:r>
    </w:p>
    <w:p w:rsidR="00FC4E35" w:rsidRPr="00FC4E35" w:rsidRDefault="00FC4E35" w:rsidP="00B468B3">
      <w:pPr>
        <w:rPr>
          <w:lang w:val="en-US"/>
        </w:rPr>
      </w:pPr>
      <w:r w:rsidRPr="00FC4E35">
        <w:rPr>
          <w:lang w:val="en-US"/>
        </w:rPr>
        <w:t>There were no indications of impairment of property, plant and equipment, and intangible assets at 30 June 2015.</w:t>
      </w:r>
    </w:p>
    <w:p w:rsidR="00FA2954" w:rsidRDefault="00FC4E35" w:rsidP="002A26A8">
      <w:pPr>
        <w:rPr>
          <w:lang w:val="en-US"/>
        </w:rPr>
      </w:pPr>
      <w:r w:rsidRPr="00FC4E35">
        <w:rPr>
          <w:lang w:val="en-US"/>
        </w:rPr>
        <w:t>The Department held no goodwill or intangible assets with an indefinite useful life during the reporting period and at reporting date there were no intangible as</w:t>
      </w:r>
      <w:r w:rsidR="00B468B3">
        <w:rPr>
          <w:lang w:val="en-US"/>
        </w:rPr>
        <w:t>sets not yet available for use.</w:t>
      </w:r>
    </w:p>
    <w:p w:rsidR="00FC4E35" w:rsidRPr="00B468B3" w:rsidRDefault="00FC4E35" w:rsidP="00AE75A9">
      <w:pPr>
        <w:pStyle w:val="Heading4"/>
        <w:numPr>
          <w:ilvl w:val="0"/>
          <w:numId w:val="76"/>
        </w:numPr>
      </w:pPr>
      <w:r w:rsidRPr="00B468B3">
        <w:t>Payables</w:t>
      </w:r>
    </w:p>
    <w:tbl>
      <w:tblPr>
        <w:tblW w:w="6961" w:type="dxa"/>
        <w:tblInd w:w="93" w:type="dxa"/>
        <w:tblLook w:val="04A0" w:firstRow="1" w:lastRow="0" w:firstColumn="1" w:lastColumn="0" w:noHBand="0" w:noVBand="1"/>
      </w:tblPr>
      <w:tblGrid>
        <w:gridCol w:w="4693"/>
        <w:gridCol w:w="1134"/>
        <w:gridCol w:w="1134"/>
      </w:tblGrid>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b/>
                <w:lang w:eastAsia="en-AU"/>
              </w:rPr>
            </w:pPr>
            <w:r w:rsidRPr="00B468B3">
              <w:rPr>
                <w:b/>
                <w:lang w:eastAsia="en-AU"/>
              </w:rPr>
              <w:t>2015 $000</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b/>
                <w:lang w:eastAsia="en-AU"/>
              </w:rPr>
            </w:pPr>
            <w:r w:rsidRPr="00B468B3">
              <w:rPr>
                <w:b/>
                <w:lang w:eastAsia="en-AU"/>
              </w:rPr>
              <w:t>2014 $000</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b/>
                <w:lang w:eastAsia="en-AU"/>
              </w:rPr>
            </w:pPr>
            <w:r w:rsidRPr="00B468B3">
              <w:rPr>
                <w:b/>
                <w:lang w:eastAsia="en-AU"/>
              </w:rPr>
              <w:t>Current</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Trade payables</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1,388</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2,262</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Revenue in advance</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90</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505</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Accrued salaries</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1,979</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1,755</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Accrued expenses</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359</w:t>
            </w:r>
          </w:p>
        </w:tc>
        <w:tc>
          <w:tcPr>
            <w:tcW w:w="1134" w:type="dxa"/>
            <w:tcBorders>
              <w:top w:val="nil"/>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102</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3,815</w:t>
            </w:r>
          </w:p>
        </w:tc>
        <w:tc>
          <w:tcPr>
            <w:tcW w:w="1134" w:type="dxa"/>
            <w:tcBorders>
              <w:top w:val="single" w:sz="4" w:space="0" w:color="auto"/>
              <w:left w:val="nil"/>
              <w:bottom w:val="doub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4,624</w:t>
            </w:r>
          </w:p>
        </w:tc>
      </w:tr>
    </w:tbl>
    <w:p w:rsidR="00FC4E35" w:rsidRDefault="00FC4E35" w:rsidP="00B468B3">
      <w:pPr>
        <w:spacing w:after="0"/>
        <w:rPr>
          <w:lang w:val="en-US"/>
        </w:rPr>
      </w:pPr>
    </w:p>
    <w:p w:rsidR="00B468B3" w:rsidRPr="00B468B3" w:rsidRDefault="00FC4E35" w:rsidP="00B468B3">
      <w:pPr>
        <w:rPr>
          <w:color w:val="000000"/>
          <w:lang w:val="en-US"/>
        </w:rPr>
      </w:pPr>
      <w:r w:rsidRPr="00FC4E35">
        <w:rPr>
          <w:color w:val="000000"/>
          <w:lang w:val="en-US"/>
        </w:rPr>
        <w:t>See also note 2(p) Payables and note 36 ‘Financial instruments.’</w:t>
      </w:r>
    </w:p>
    <w:p w:rsidR="00FC4E35" w:rsidRPr="00B468B3" w:rsidRDefault="00FC4E35" w:rsidP="00AE75A9">
      <w:pPr>
        <w:pStyle w:val="Heading4"/>
        <w:numPr>
          <w:ilvl w:val="0"/>
          <w:numId w:val="76"/>
        </w:numPr>
      </w:pPr>
      <w:r w:rsidRPr="00B468B3">
        <w:t>Provisions</w:t>
      </w:r>
    </w:p>
    <w:tbl>
      <w:tblPr>
        <w:tblW w:w="6961" w:type="dxa"/>
        <w:tblInd w:w="93" w:type="dxa"/>
        <w:tblLook w:val="04A0" w:firstRow="1" w:lastRow="0" w:firstColumn="1" w:lastColumn="0" w:noHBand="0" w:noVBand="1"/>
      </w:tblPr>
      <w:tblGrid>
        <w:gridCol w:w="4693"/>
        <w:gridCol w:w="1134"/>
        <w:gridCol w:w="1134"/>
      </w:tblGrid>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2015 $000</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2014 $000</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u w:val="single"/>
                <w:lang w:eastAsia="en-AU"/>
              </w:rPr>
            </w:pPr>
            <w:r w:rsidRPr="00B468B3">
              <w:rPr>
                <w:u w:val="single"/>
                <w:lang w:eastAsia="en-AU"/>
              </w:rPr>
              <w:t>Current</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Employee benefits provision</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Annual leave</w:t>
            </w:r>
            <w:r w:rsidRPr="00B468B3">
              <w:rPr>
                <w:vertAlign w:val="superscript"/>
                <w:lang w:eastAsia="en-AU"/>
              </w:rPr>
              <w:t>(a)</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8,422</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7,657</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Long service leave</w:t>
            </w:r>
            <w:r w:rsidRPr="00B468B3">
              <w:rPr>
                <w:vertAlign w:val="superscript"/>
                <w:lang w:eastAsia="en-AU"/>
              </w:rPr>
              <w:t>(b)</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9,065</w:t>
            </w:r>
          </w:p>
        </w:tc>
        <w:tc>
          <w:tcPr>
            <w:tcW w:w="1134" w:type="dxa"/>
            <w:tcBorders>
              <w:top w:val="nil"/>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7,731</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17,487</w:t>
            </w:r>
          </w:p>
        </w:tc>
        <w:tc>
          <w:tcPr>
            <w:tcW w:w="1134" w:type="dxa"/>
            <w:tcBorders>
              <w:top w:val="single" w:sz="4" w:space="0" w:color="auto"/>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15,388</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Other provisions</w:t>
            </w:r>
          </w:p>
        </w:tc>
        <w:tc>
          <w:tcPr>
            <w:tcW w:w="1134" w:type="dxa"/>
            <w:tcBorders>
              <w:top w:val="single" w:sz="4" w:space="0" w:color="auto"/>
              <w:left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single" w:sz="4" w:space="0" w:color="auto"/>
              <w:left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Employment on-costs</w:t>
            </w:r>
            <w:r w:rsidRPr="00B468B3">
              <w:rPr>
                <w:vertAlign w:val="superscript"/>
                <w:lang w:eastAsia="en-AU"/>
              </w:rPr>
              <w:t>(d)</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56</w:t>
            </w:r>
          </w:p>
        </w:tc>
        <w:tc>
          <w:tcPr>
            <w:tcW w:w="1134" w:type="dxa"/>
            <w:tcBorders>
              <w:top w:val="nil"/>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42</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56</w:t>
            </w:r>
          </w:p>
        </w:tc>
        <w:tc>
          <w:tcPr>
            <w:tcW w:w="1134" w:type="dxa"/>
            <w:tcBorders>
              <w:top w:val="single" w:sz="4" w:space="0" w:color="auto"/>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42</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17,542</w:t>
            </w:r>
          </w:p>
        </w:tc>
        <w:tc>
          <w:tcPr>
            <w:tcW w:w="1134" w:type="dxa"/>
            <w:tcBorders>
              <w:top w:val="single" w:sz="4" w:space="0" w:color="auto"/>
              <w:left w:val="nil"/>
              <w:bottom w:val="doub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15,430</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double" w:sz="4" w:space="0" w:color="auto"/>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double" w:sz="4" w:space="0" w:color="auto"/>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u w:val="single"/>
                <w:lang w:eastAsia="en-AU"/>
              </w:rPr>
            </w:pPr>
            <w:r w:rsidRPr="00B468B3">
              <w:rPr>
                <w:u w:val="single"/>
                <w:lang w:eastAsia="en-AU"/>
              </w:rPr>
              <w:t>Non-current</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Long service leave</w:t>
            </w:r>
            <w:r w:rsidRPr="00B468B3">
              <w:rPr>
                <w:vertAlign w:val="superscript"/>
                <w:lang w:eastAsia="en-AU"/>
              </w:rPr>
              <w:t>(b)</w:t>
            </w:r>
          </w:p>
        </w:tc>
        <w:tc>
          <w:tcPr>
            <w:tcW w:w="1134" w:type="dxa"/>
            <w:tcBorders>
              <w:top w:val="nil"/>
              <w:left w:val="nil"/>
              <w:bottom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3,040</w:t>
            </w:r>
          </w:p>
        </w:tc>
        <w:tc>
          <w:tcPr>
            <w:tcW w:w="1134" w:type="dxa"/>
            <w:tcBorders>
              <w:top w:val="nil"/>
              <w:left w:val="nil"/>
              <w:bottom w:val="nil"/>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3,256</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Deferred salary scheme</w:t>
            </w:r>
            <w:r w:rsidRPr="00B468B3">
              <w:rPr>
                <w:vertAlign w:val="superscript"/>
                <w:lang w:eastAsia="en-AU"/>
              </w:rPr>
              <w:t>(c)</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20</w:t>
            </w:r>
          </w:p>
        </w:tc>
        <w:tc>
          <w:tcPr>
            <w:tcW w:w="1134" w:type="dxa"/>
            <w:tcBorders>
              <w:top w:val="nil"/>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82</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3,060</w:t>
            </w:r>
          </w:p>
        </w:tc>
        <w:tc>
          <w:tcPr>
            <w:tcW w:w="1134" w:type="dxa"/>
            <w:tcBorders>
              <w:top w:val="single" w:sz="4" w:space="0" w:color="auto"/>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3,338</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Other provisions</w:t>
            </w:r>
          </w:p>
        </w:tc>
        <w:tc>
          <w:tcPr>
            <w:tcW w:w="1134" w:type="dxa"/>
            <w:tcBorders>
              <w:top w:val="single" w:sz="4" w:space="0" w:color="auto"/>
              <w:left w:val="nil"/>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p>
        </w:tc>
        <w:tc>
          <w:tcPr>
            <w:tcW w:w="1134" w:type="dxa"/>
            <w:tcBorders>
              <w:top w:val="single" w:sz="4" w:space="0" w:color="auto"/>
              <w:left w:val="nil"/>
              <w:right w:val="nil"/>
            </w:tcBorders>
            <w:shd w:val="clear" w:color="auto" w:fill="auto"/>
            <w:noWrap/>
            <w:vAlign w:val="center"/>
            <w:hideMark/>
          </w:tcPr>
          <w:p w:rsidR="00B468B3" w:rsidRPr="00B468B3" w:rsidRDefault="00B468B3" w:rsidP="00B468B3">
            <w:pPr>
              <w:spacing w:after="0"/>
              <w:jc w:val="right"/>
              <w:rPr>
                <w:lang w:eastAsia="en-AU"/>
              </w:rPr>
            </w:pP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r w:rsidRPr="00B468B3">
              <w:rPr>
                <w:lang w:eastAsia="en-AU"/>
              </w:rPr>
              <w:t>Employment on-costs</w:t>
            </w:r>
            <w:r w:rsidRPr="00B468B3">
              <w:rPr>
                <w:vertAlign w:val="superscript"/>
                <w:lang w:eastAsia="en-AU"/>
              </w:rPr>
              <w:t>(d)</w:t>
            </w:r>
          </w:p>
        </w:tc>
        <w:tc>
          <w:tcPr>
            <w:tcW w:w="1134" w:type="dxa"/>
            <w:tcBorders>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10</w:t>
            </w:r>
          </w:p>
        </w:tc>
        <w:tc>
          <w:tcPr>
            <w:tcW w:w="1134" w:type="dxa"/>
            <w:tcBorders>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9</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10</w:t>
            </w:r>
          </w:p>
        </w:tc>
        <w:tc>
          <w:tcPr>
            <w:tcW w:w="1134" w:type="dxa"/>
            <w:tcBorders>
              <w:top w:val="single" w:sz="4" w:space="0" w:color="auto"/>
              <w:left w:val="nil"/>
              <w:bottom w:val="sing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9</w:t>
            </w:r>
          </w:p>
        </w:tc>
      </w:tr>
      <w:tr w:rsidR="00B468B3" w:rsidRPr="00B468B3" w:rsidTr="00B468B3">
        <w:trPr>
          <w:trHeight w:val="285"/>
        </w:trPr>
        <w:tc>
          <w:tcPr>
            <w:tcW w:w="4693" w:type="dxa"/>
            <w:tcBorders>
              <w:top w:val="nil"/>
              <w:left w:val="nil"/>
              <w:bottom w:val="nil"/>
              <w:right w:val="nil"/>
            </w:tcBorders>
            <w:shd w:val="clear" w:color="auto" w:fill="auto"/>
            <w:noWrap/>
            <w:vAlign w:val="center"/>
            <w:hideMark/>
          </w:tcPr>
          <w:p w:rsidR="00B468B3" w:rsidRPr="00B468B3" w:rsidRDefault="00B468B3" w:rsidP="00B468B3">
            <w:pPr>
              <w:spacing w:after="0"/>
              <w:rPr>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noWrap/>
            <w:vAlign w:val="center"/>
            <w:hideMark/>
          </w:tcPr>
          <w:p w:rsidR="00B468B3" w:rsidRPr="00B468B3" w:rsidRDefault="00B468B3" w:rsidP="00B468B3">
            <w:pPr>
              <w:spacing w:after="0"/>
              <w:jc w:val="right"/>
              <w:rPr>
                <w:lang w:eastAsia="en-AU"/>
              </w:rPr>
            </w:pPr>
            <w:r w:rsidRPr="00B468B3">
              <w:rPr>
                <w:lang w:eastAsia="en-AU"/>
              </w:rPr>
              <w:t>3,070</w:t>
            </w:r>
          </w:p>
        </w:tc>
        <w:tc>
          <w:tcPr>
            <w:tcW w:w="1134" w:type="dxa"/>
            <w:tcBorders>
              <w:top w:val="single" w:sz="4" w:space="0" w:color="auto"/>
              <w:left w:val="nil"/>
              <w:bottom w:val="double" w:sz="4" w:space="0" w:color="auto"/>
              <w:right w:val="nil"/>
            </w:tcBorders>
            <w:shd w:val="clear" w:color="auto" w:fill="auto"/>
            <w:noWrap/>
            <w:vAlign w:val="center"/>
            <w:hideMark/>
          </w:tcPr>
          <w:p w:rsidR="00B468B3" w:rsidRPr="00B468B3" w:rsidRDefault="00B468B3" w:rsidP="00B468B3">
            <w:pPr>
              <w:spacing w:after="0"/>
              <w:jc w:val="right"/>
              <w:rPr>
                <w:lang w:eastAsia="en-AU"/>
              </w:rPr>
            </w:pPr>
            <w:r w:rsidRPr="00B468B3">
              <w:rPr>
                <w:lang w:eastAsia="en-AU"/>
              </w:rPr>
              <w:t>3,347</w:t>
            </w:r>
          </w:p>
        </w:tc>
      </w:tr>
    </w:tbl>
    <w:p w:rsidR="00FC4E35" w:rsidRDefault="00FC4E35" w:rsidP="00F43FAA">
      <w:pPr>
        <w:rPr>
          <w:lang w:val="en-US"/>
        </w:rPr>
      </w:pPr>
    </w:p>
    <w:tbl>
      <w:tblPr>
        <w:tblW w:w="10389" w:type="dxa"/>
        <w:tblInd w:w="-15" w:type="dxa"/>
        <w:tblLayout w:type="fixed"/>
        <w:tblCellMar>
          <w:left w:w="0" w:type="dxa"/>
          <w:right w:w="0" w:type="dxa"/>
        </w:tblCellMar>
        <w:tblLook w:val="0000" w:firstRow="0" w:lastRow="0" w:firstColumn="0" w:lastColumn="0" w:noHBand="0" w:noVBand="0"/>
      </w:tblPr>
      <w:tblGrid>
        <w:gridCol w:w="23"/>
        <w:gridCol w:w="370"/>
        <w:gridCol w:w="6167"/>
        <w:gridCol w:w="1120"/>
        <w:gridCol w:w="1120"/>
        <w:gridCol w:w="1589"/>
      </w:tblGrid>
      <w:tr w:rsidR="00FC4E35" w:rsidRPr="00FC4E35" w:rsidTr="00F43FAA">
        <w:trPr>
          <w:gridBefore w:val="1"/>
          <w:wBefore w:w="23" w:type="dxa"/>
          <w:trHeight w:val="993"/>
        </w:trPr>
        <w:tc>
          <w:tcPr>
            <w:tcW w:w="370" w:type="dxa"/>
            <w:tcMar>
              <w:top w:w="85" w:type="dxa"/>
              <w:left w:w="0" w:type="dxa"/>
              <w:bottom w:w="85" w:type="dxa"/>
              <w:right w:w="0" w:type="dxa"/>
            </w:tcMar>
          </w:tcPr>
          <w:p w:rsidR="00FC4E35" w:rsidRPr="00FC4E35" w:rsidRDefault="00FC4E35" w:rsidP="00F43FAA">
            <w:pPr>
              <w:spacing w:after="0"/>
              <w:rPr>
                <w:lang w:val="en-US"/>
              </w:rPr>
            </w:pPr>
            <w:r w:rsidRPr="00FC4E35">
              <w:rPr>
                <w:lang w:val="en-US"/>
              </w:rPr>
              <w:t>(a)</w:t>
            </w:r>
          </w:p>
        </w:tc>
        <w:tc>
          <w:tcPr>
            <w:tcW w:w="9996" w:type="dxa"/>
            <w:gridSpan w:val="4"/>
            <w:tcMar>
              <w:top w:w="85" w:type="dxa"/>
              <w:left w:w="80" w:type="dxa"/>
              <w:bottom w:w="85" w:type="dxa"/>
              <w:right w:w="80" w:type="dxa"/>
            </w:tcMar>
          </w:tcPr>
          <w:p w:rsidR="00FC4E35" w:rsidRPr="00FC4E35" w:rsidRDefault="00FC4E35" w:rsidP="00F43FAA">
            <w:pPr>
              <w:spacing w:after="0"/>
              <w:rPr>
                <w:lang w:val="en-US"/>
              </w:rPr>
            </w:pPr>
            <w:r w:rsidRPr="00FC4E35">
              <w:rPr>
                <w:lang w:val="en-US"/>
              </w:rPr>
              <w:t>Annual leave liabilities have been classified as current as there is no unconditional right to defer settlement for at least 12 months after the reporting period. Assessments indicate that actual settlement of the liabilities will occur as follows:</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F43FAA" w:rsidRPr="00F43FAA" w:rsidRDefault="00F43FAA" w:rsidP="00F43FAA">
            <w:pPr>
              <w:spacing w:after="0"/>
              <w:jc w:val="right"/>
              <w:rPr>
                <w:b/>
                <w:lang w:eastAsia="en-AU"/>
              </w:rPr>
            </w:pPr>
            <w:r w:rsidRPr="00F43FAA">
              <w:rPr>
                <w:b/>
                <w:lang w:eastAsia="en-AU"/>
              </w:rPr>
              <w:t>2015 $000</w:t>
            </w:r>
          </w:p>
        </w:tc>
        <w:tc>
          <w:tcPr>
            <w:tcW w:w="1120" w:type="dxa"/>
            <w:tcBorders>
              <w:top w:val="nil"/>
              <w:left w:val="nil"/>
              <w:bottom w:val="nil"/>
              <w:right w:val="nil"/>
            </w:tcBorders>
            <w:shd w:val="clear" w:color="auto" w:fill="auto"/>
            <w:noWrap/>
            <w:vAlign w:val="center"/>
            <w:hideMark/>
          </w:tcPr>
          <w:p w:rsidR="00F43FAA" w:rsidRPr="00F43FAA" w:rsidRDefault="00F43FAA" w:rsidP="00F43FAA">
            <w:pPr>
              <w:spacing w:after="0"/>
              <w:jc w:val="right"/>
              <w:rPr>
                <w:b/>
                <w:lang w:eastAsia="en-AU"/>
              </w:rPr>
            </w:pPr>
            <w:r w:rsidRPr="00F43FAA">
              <w:rPr>
                <w:b/>
                <w:lang w:eastAsia="en-AU"/>
              </w:rPr>
              <w:t>2014 $000</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r w:rsidRPr="00F43FAA">
              <w:rPr>
                <w:lang w:eastAsia="en-AU"/>
              </w:rPr>
              <w:t>Within 12 months of the end of the reporting period</w:t>
            </w:r>
          </w:p>
        </w:tc>
        <w:tc>
          <w:tcPr>
            <w:tcW w:w="1120" w:type="dxa"/>
            <w:tcBorders>
              <w:top w:val="nil"/>
              <w:left w:val="nil"/>
              <w:bottom w:val="nil"/>
              <w:right w:val="nil"/>
            </w:tcBorders>
            <w:shd w:val="clear" w:color="auto" w:fill="F2F2F2" w:themeFill="background1" w:themeFillShade="F2"/>
            <w:noWrap/>
            <w:vAlign w:val="center"/>
            <w:hideMark/>
          </w:tcPr>
          <w:p w:rsidR="00F43FAA" w:rsidRPr="00F43FAA" w:rsidRDefault="00F43FAA" w:rsidP="00F43FAA">
            <w:pPr>
              <w:spacing w:after="0"/>
              <w:jc w:val="right"/>
              <w:rPr>
                <w:lang w:eastAsia="en-AU"/>
              </w:rPr>
            </w:pPr>
            <w:r w:rsidRPr="00F43FAA">
              <w:rPr>
                <w:lang w:eastAsia="en-AU"/>
              </w:rPr>
              <w:t>5,265</w:t>
            </w:r>
          </w:p>
        </w:tc>
        <w:tc>
          <w:tcPr>
            <w:tcW w:w="1120" w:type="dxa"/>
            <w:tcBorders>
              <w:top w:val="nil"/>
              <w:left w:val="nil"/>
              <w:bottom w:val="nil"/>
              <w:right w:val="nil"/>
            </w:tcBorders>
            <w:shd w:val="clear" w:color="auto" w:fill="auto"/>
            <w:noWrap/>
            <w:vAlign w:val="center"/>
            <w:hideMark/>
          </w:tcPr>
          <w:p w:rsidR="00F43FAA" w:rsidRPr="00F43FAA" w:rsidRDefault="00F43FAA" w:rsidP="00F43FAA">
            <w:pPr>
              <w:spacing w:after="0"/>
              <w:jc w:val="right"/>
              <w:rPr>
                <w:lang w:eastAsia="en-AU"/>
              </w:rPr>
            </w:pPr>
            <w:r w:rsidRPr="00F43FAA">
              <w:rPr>
                <w:lang w:eastAsia="en-AU"/>
              </w:rPr>
              <w:t>4,962</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r w:rsidRPr="00F43FAA">
              <w:rPr>
                <w:lang w:eastAsia="en-AU"/>
              </w:rPr>
              <w:t>More than 12 months after the end of the reporting period</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F43FAA" w:rsidRPr="00F43FAA" w:rsidRDefault="00F43FAA" w:rsidP="00F43FAA">
            <w:pPr>
              <w:spacing w:after="0"/>
              <w:jc w:val="right"/>
              <w:rPr>
                <w:lang w:eastAsia="en-AU"/>
              </w:rPr>
            </w:pPr>
            <w:r w:rsidRPr="00F43FAA">
              <w:rPr>
                <w:lang w:eastAsia="en-AU"/>
              </w:rPr>
              <w:t>3,157</w:t>
            </w:r>
          </w:p>
        </w:tc>
        <w:tc>
          <w:tcPr>
            <w:tcW w:w="1120" w:type="dxa"/>
            <w:tcBorders>
              <w:top w:val="nil"/>
              <w:left w:val="nil"/>
              <w:bottom w:val="single" w:sz="4" w:space="0" w:color="auto"/>
              <w:right w:val="nil"/>
            </w:tcBorders>
            <w:shd w:val="clear" w:color="auto" w:fill="auto"/>
            <w:noWrap/>
            <w:vAlign w:val="center"/>
            <w:hideMark/>
          </w:tcPr>
          <w:p w:rsidR="00F43FAA" w:rsidRPr="00F43FAA" w:rsidRDefault="00F43FAA" w:rsidP="00F43FAA">
            <w:pPr>
              <w:spacing w:after="0"/>
              <w:jc w:val="right"/>
              <w:rPr>
                <w:lang w:eastAsia="en-AU"/>
              </w:rPr>
            </w:pPr>
            <w:r w:rsidRPr="00F43FAA">
              <w:rPr>
                <w:lang w:eastAsia="en-AU"/>
              </w:rPr>
              <w:t>2,695</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F43FAA" w:rsidRPr="00F43FAA" w:rsidRDefault="00F43FAA" w:rsidP="00F43FAA">
            <w:pPr>
              <w:spacing w:after="0"/>
              <w:jc w:val="right"/>
              <w:rPr>
                <w:lang w:eastAsia="en-AU"/>
              </w:rPr>
            </w:pPr>
            <w:r w:rsidRPr="00F43FAA">
              <w:rPr>
                <w:lang w:eastAsia="en-AU"/>
              </w:rPr>
              <w:t>8,422</w:t>
            </w:r>
          </w:p>
        </w:tc>
        <w:tc>
          <w:tcPr>
            <w:tcW w:w="1120" w:type="dxa"/>
            <w:tcBorders>
              <w:top w:val="single" w:sz="4" w:space="0" w:color="auto"/>
              <w:left w:val="nil"/>
              <w:bottom w:val="single" w:sz="4" w:space="0" w:color="auto"/>
              <w:right w:val="nil"/>
            </w:tcBorders>
            <w:shd w:val="clear" w:color="auto" w:fill="auto"/>
            <w:noWrap/>
            <w:vAlign w:val="center"/>
            <w:hideMark/>
          </w:tcPr>
          <w:p w:rsidR="00F43FAA" w:rsidRPr="00F43FAA" w:rsidRDefault="00F43FAA" w:rsidP="00F43FAA">
            <w:pPr>
              <w:spacing w:after="0"/>
              <w:jc w:val="right"/>
              <w:rPr>
                <w:lang w:eastAsia="en-AU"/>
              </w:rPr>
            </w:pPr>
            <w:r w:rsidRPr="00F43FAA">
              <w:rPr>
                <w:lang w:eastAsia="en-AU"/>
              </w:rPr>
              <w:t>7,657</w:t>
            </w:r>
          </w:p>
        </w:tc>
      </w:tr>
    </w:tbl>
    <w:p w:rsidR="00F43FAA" w:rsidRDefault="00F43FAA" w:rsidP="00F43FAA">
      <w:pPr>
        <w:rPr>
          <w:lang w:val="en-US"/>
        </w:rPr>
      </w:pPr>
    </w:p>
    <w:tbl>
      <w:tblPr>
        <w:tblW w:w="10389" w:type="dxa"/>
        <w:tblInd w:w="-15" w:type="dxa"/>
        <w:tblLayout w:type="fixed"/>
        <w:tblCellMar>
          <w:left w:w="0" w:type="dxa"/>
          <w:right w:w="0" w:type="dxa"/>
        </w:tblCellMar>
        <w:tblLook w:val="0000" w:firstRow="0" w:lastRow="0" w:firstColumn="0" w:lastColumn="0" w:noHBand="0" w:noVBand="0"/>
      </w:tblPr>
      <w:tblGrid>
        <w:gridCol w:w="23"/>
        <w:gridCol w:w="370"/>
        <w:gridCol w:w="6167"/>
        <w:gridCol w:w="1120"/>
        <w:gridCol w:w="1120"/>
        <w:gridCol w:w="1589"/>
      </w:tblGrid>
      <w:tr w:rsidR="00FC4E35" w:rsidRPr="00FC4E35" w:rsidTr="00F43FAA">
        <w:trPr>
          <w:gridBefore w:val="1"/>
          <w:wBefore w:w="23" w:type="dxa"/>
          <w:trHeight w:val="877"/>
        </w:trPr>
        <w:tc>
          <w:tcPr>
            <w:tcW w:w="370" w:type="dxa"/>
            <w:tcMar>
              <w:top w:w="85" w:type="dxa"/>
              <w:left w:w="0" w:type="dxa"/>
              <w:bottom w:w="85" w:type="dxa"/>
              <w:right w:w="0" w:type="dxa"/>
            </w:tcMar>
          </w:tcPr>
          <w:p w:rsidR="00FC4E35" w:rsidRPr="00FC4E35" w:rsidRDefault="00FC4E35" w:rsidP="00F43FAA">
            <w:pPr>
              <w:rPr>
                <w:lang w:val="en-US"/>
              </w:rPr>
            </w:pPr>
            <w:r w:rsidRPr="00FC4E35">
              <w:rPr>
                <w:lang w:val="en-US"/>
              </w:rPr>
              <w:t>(b)</w:t>
            </w:r>
          </w:p>
        </w:tc>
        <w:tc>
          <w:tcPr>
            <w:tcW w:w="9996" w:type="dxa"/>
            <w:gridSpan w:val="4"/>
            <w:tcMar>
              <w:top w:w="85" w:type="dxa"/>
              <w:left w:w="80" w:type="dxa"/>
              <w:bottom w:w="85" w:type="dxa"/>
              <w:right w:w="80" w:type="dxa"/>
            </w:tcMar>
          </w:tcPr>
          <w:p w:rsidR="00FC4E35" w:rsidRPr="00FC4E35" w:rsidRDefault="00FC4E35" w:rsidP="00F43FAA">
            <w:pPr>
              <w:rPr>
                <w:lang w:val="en-US"/>
              </w:rPr>
            </w:pPr>
            <w:r w:rsidRPr="00FC4E35">
              <w:rPr>
                <w:lang w:val="en-US"/>
              </w:rPr>
              <w:t>Long service leave liabilities have been classified as current where there is no unconditional right to defer settlement for at least 12 months after the reporting period.  Assessments indicate that actual settlement of the liabilities will occur as follows:</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F43FAA" w:rsidRPr="00F43FAA" w:rsidRDefault="00F43FAA" w:rsidP="00F43FAA">
            <w:pPr>
              <w:spacing w:after="0"/>
              <w:jc w:val="right"/>
              <w:rPr>
                <w:b/>
                <w:lang w:eastAsia="en-AU"/>
              </w:rPr>
            </w:pPr>
            <w:r w:rsidRPr="00F43FAA">
              <w:rPr>
                <w:b/>
                <w:lang w:eastAsia="en-AU"/>
              </w:rPr>
              <w:t>2015 $000</w:t>
            </w:r>
          </w:p>
        </w:tc>
        <w:tc>
          <w:tcPr>
            <w:tcW w:w="1120" w:type="dxa"/>
            <w:tcBorders>
              <w:top w:val="nil"/>
              <w:left w:val="nil"/>
              <w:bottom w:val="nil"/>
              <w:right w:val="nil"/>
            </w:tcBorders>
            <w:shd w:val="clear" w:color="auto" w:fill="auto"/>
            <w:noWrap/>
            <w:vAlign w:val="center"/>
            <w:hideMark/>
          </w:tcPr>
          <w:p w:rsidR="00F43FAA" w:rsidRPr="00F43FAA" w:rsidRDefault="00F43FAA" w:rsidP="00F43FAA">
            <w:pPr>
              <w:spacing w:after="0"/>
              <w:jc w:val="right"/>
              <w:rPr>
                <w:b/>
                <w:lang w:eastAsia="en-AU"/>
              </w:rPr>
            </w:pPr>
            <w:r w:rsidRPr="00F43FAA">
              <w:rPr>
                <w:b/>
                <w:lang w:eastAsia="en-AU"/>
              </w:rPr>
              <w:t>2014 $000</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r w:rsidRPr="00F43FAA">
              <w:rPr>
                <w:lang w:eastAsia="en-AU"/>
              </w:rPr>
              <w:t>Within 12 months of the end of the reporting period</w:t>
            </w:r>
          </w:p>
        </w:tc>
        <w:tc>
          <w:tcPr>
            <w:tcW w:w="1120" w:type="dxa"/>
            <w:tcBorders>
              <w:top w:val="nil"/>
              <w:left w:val="nil"/>
              <w:bottom w:val="nil"/>
              <w:right w:val="nil"/>
            </w:tcBorders>
            <w:shd w:val="clear" w:color="auto" w:fill="F2F2F2" w:themeFill="background1" w:themeFillShade="F2"/>
            <w:noWrap/>
            <w:vAlign w:val="center"/>
          </w:tcPr>
          <w:p w:rsidR="00F43FAA" w:rsidRPr="009D39CE" w:rsidRDefault="00F43FAA" w:rsidP="00F43FAA">
            <w:pPr>
              <w:spacing w:after="0"/>
              <w:jc w:val="right"/>
            </w:pPr>
            <w:r w:rsidRPr="009D39CE">
              <w:t>3,402</w:t>
            </w:r>
          </w:p>
        </w:tc>
        <w:tc>
          <w:tcPr>
            <w:tcW w:w="1120" w:type="dxa"/>
            <w:tcBorders>
              <w:top w:val="nil"/>
              <w:left w:val="nil"/>
              <w:bottom w:val="nil"/>
              <w:right w:val="nil"/>
            </w:tcBorders>
            <w:shd w:val="clear" w:color="auto" w:fill="auto"/>
            <w:noWrap/>
            <w:vAlign w:val="center"/>
          </w:tcPr>
          <w:p w:rsidR="00F43FAA" w:rsidRPr="009D39CE" w:rsidRDefault="00F43FAA" w:rsidP="00F43FAA">
            <w:pPr>
              <w:spacing w:after="0"/>
              <w:jc w:val="right"/>
            </w:pPr>
            <w:r w:rsidRPr="009D39CE">
              <w:t>3,129</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r w:rsidRPr="00F43FAA">
              <w:rPr>
                <w:lang w:eastAsia="en-AU"/>
              </w:rPr>
              <w:t>More than 12 months after the end of the reporting period</w:t>
            </w:r>
          </w:p>
        </w:tc>
        <w:tc>
          <w:tcPr>
            <w:tcW w:w="1120" w:type="dxa"/>
            <w:tcBorders>
              <w:top w:val="nil"/>
              <w:left w:val="nil"/>
              <w:bottom w:val="single" w:sz="4" w:space="0" w:color="auto"/>
              <w:right w:val="nil"/>
            </w:tcBorders>
            <w:shd w:val="clear" w:color="auto" w:fill="F2F2F2" w:themeFill="background1" w:themeFillShade="F2"/>
            <w:noWrap/>
            <w:vAlign w:val="center"/>
          </w:tcPr>
          <w:p w:rsidR="00F43FAA" w:rsidRPr="009D39CE" w:rsidRDefault="00F43FAA" w:rsidP="00F43FAA">
            <w:pPr>
              <w:spacing w:after="0"/>
              <w:jc w:val="right"/>
            </w:pPr>
            <w:r w:rsidRPr="009D39CE">
              <w:t>8,703</w:t>
            </w:r>
          </w:p>
        </w:tc>
        <w:tc>
          <w:tcPr>
            <w:tcW w:w="1120" w:type="dxa"/>
            <w:tcBorders>
              <w:top w:val="nil"/>
              <w:left w:val="nil"/>
              <w:bottom w:val="single" w:sz="4" w:space="0" w:color="auto"/>
              <w:right w:val="nil"/>
            </w:tcBorders>
            <w:shd w:val="clear" w:color="auto" w:fill="auto"/>
            <w:noWrap/>
            <w:vAlign w:val="center"/>
          </w:tcPr>
          <w:p w:rsidR="00F43FAA" w:rsidRPr="009D39CE" w:rsidRDefault="00F43FAA" w:rsidP="00F43FAA">
            <w:pPr>
              <w:spacing w:after="0"/>
              <w:jc w:val="right"/>
            </w:pPr>
            <w:r w:rsidRPr="009D39CE">
              <w:t>7,858</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tcPr>
          <w:p w:rsidR="00F43FAA" w:rsidRPr="009D39CE" w:rsidRDefault="00F43FAA" w:rsidP="00F43FAA">
            <w:pPr>
              <w:spacing w:after="0"/>
              <w:jc w:val="right"/>
            </w:pPr>
            <w:r w:rsidRPr="009D39CE">
              <w:t>12,105</w:t>
            </w:r>
          </w:p>
        </w:tc>
        <w:tc>
          <w:tcPr>
            <w:tcW w:w="1120" w:type="dxa"/>
            <w:tcBorders>
              <w:top w:val="single" w:sz="4" w:space="0" w:color="auto"/>
              <w:left w:val="nil"/>
              <w:bottom w:val="single" w:sz="4" w:space="0" w:color="auto"/>
              <w:right w:val="nil"/>
            </w:tcBorders>
            <w:shd w:val="clear" w:color="auto" w:fill="auto"/>
            <w:noWrap/>
            <w:vAlign w:val="center"/>
          </w:tcPr>
          <w:p w:rsidR="00F43FAA" w:rsidRDefault="00F43FAA" w:rsidP="00F43FAA">
            <w:pPr>
              <w:spacing w:after="0"/>
              <w:jc w:val="right"/>
            </w:pPr>
            <w:r w:rsidRPr="009D39CE">
              <w:t>10,987</w:t>
            </w:r>
          </w:p>
        </w:tc>
      </w:tr>
    </w:tbl>
    <w:p w:rsidR="00FC4E35" w:rsidRPr="00FC4E35" w:rsidRDefault="00FC4E35" w:rsidP="00F43FAA">
      <w:pPr>
        <w:rPr>
          <w:color w:val="000000"/>
          <w:lang w:val="en-US"/>
        </w:rPr>
      </w:pPr>
    </w:p>
    <w:tbl>
      <w:tblPr>
        <w:tblW w:w="10389" w:type="dxa"/>
        <w:tblInd w:w="-15" w:type="dxa"/>
        <w:tblLayout w:type="fixed"/>
        <w:tblCellMar>
          <w:left w:w="0" w:type="dxa"/>
          <w:right w:w="0" w:type="dxa"/>
        </w:tblCellMar>
        <w:tblLook w:val="0000" w:firstRow="0" w:lastRow="0" w:firstColumn="0" w:lastColumn="0" w:noHBand="0" w:noVBand="0"/>
      </w:tblPr>
      <w:tblGrid>
        <w:gridCol w:w="23"/>
        <w:gridCol w:w="370"/>
        <w:gridCol w:w="6167"/>
        <w:gridCol w:w="1120"/>
        <w:gridCol w:w="1120"/>
        <w:gridCol w:w="1589"/>
      </w:tblGrid>
      <w:tr w:rsidR="00FC4E35" w:rsidRPr="00FC4E35" w:rsidTr="00F43FAA">
        <w:trPr>
          <w:gridBefore w:val="1"/>
          <w:wBefore w:w="23" w:type="dxa"/>
          <w:trHeight w:val="1157"/>
        </w:trPr>
        <w:tc>
          <w:tcPr>
            <w:tcW w:w="370" w:type="dxa"/>
            <w:tcMar>
              <w:top w:w="85" w:type="dxa"/>
              <w:left w:w="0" w:type="dxa"/>
              <w:bottom w:w="85" w:type="dxa"/>
              <w:right w:w="0" w:type="dxa"/>
            </w:tcMar>
          </w:tcPr>
          <w:p w:rsidR="00FC4E35" w:rsidRPr="00FC4E35" w:rsidRDefault="00FC4E35" w:rsidP="00F43FAA">
            <w:pPr>
              <w:rPr>
                <w:color w:val="000000"/>
                <w:lang w:val="en-US"/>
              </w:rPr>
            </w:pPr>
            <w:r w:rsidRPr="00FC4E35">
              <w:rPr>
                <w:color w:val="000000"/>
                <w:lang w:val="en-US"/>
              </w:rPr>
              <w:t>(c)</w:t>
            </w:r>
          </w:p>
        </w:tc>
        <w:tc>
          <w:tcPr>
            <w:tcW w:w="9996" w:type="dxa"/>
            <w:gridSpan w:val="4"/>
            <w:tcMar>
              <w:top w:w="85" w:type="dxa"/>
              <w:left w:w="80" w:type="dxa"/>
              <w:bottom w:w="85" w:type="dxa"/>
              <w:right w:w="80" w:type="dxa"/>
            </w:tcMar>
          </w:tcPr>
          <w:p w:rsidR="00FC4E35" w:rsidRPr="00FC4E35" w:rsidRDefault="00FC4E35" w:rsidP="00F43FAA">
            <w:pPr>
              <w:rPr>
                <w:color w:val="000000"/>
                <w:lang w:val="en-US"/>
              </w:rPr>
            </w:pPr>
            <w:r w:rsidRPr="00FC4E35">
              <w:rPr>
                <w:color w:val="000000"/>
                <w:lang w:val="en-US"/>
              </w:rPr>
              <w:t>Deferred salary scheme liabilities have been classified as current where there is no unconditional right to defer settlement for at least 12 months after the end of the reporting period.  Actual settlement of the liabilities will occur as follows:</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2B6A53">
            <w:pPr>
              <w:spacing w:after="0"/>
              <w:rPr>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F43FAA" w:rsidRPr="00F43FAA" w:rsidRDefault="00F43FAA" w:rsidP="002B6A53">
            <w:pPr>
              <w:spacing w:after="0"/>
              <w:jc w:val="right"/>
              <w:rPr>
                <w:b/>
                <w:lang w:eastAsia="en-AU"/>
              </w:rPr>
            </w:pPr>
            <w:r w:rsidRPr="00F43FAA">
              <w:rPr>
                <w:b/>
                <w:lang w:eastAsia="en-AU"/>
              </w:rPr>
              <w:t>2015 $000</w:t>
            </w:r>
          </w:p>
        </w:tc>
        <w:tc>
          <w:tcPr>
            <w:tcW w:w="1120" w:type="dxa"/>
            <w:tcBorders>
              <w:top w:val="nil"/>
              <w:left w:val="nil"/>
              <w:bottom w:val="nil"/>
              <w:right w:val="nil"/>
            </w:tcBorders>
            <w:shd w:val="clear" w:color="auto" w:fill="auto"/>
            <w:noWrap/>
            <w:vAlign w:val="center"/>
            <w:hideMark/>
          </w:tcPr>
          <w:p w:rsidR="00F43FAA" w:rsidRPr="00F43FAA" w:rsidRDefault="00F43FAA" w:rsidP="002B6A53">
            <w:pPr>
              <w:spacing w:after="0"/>
              <w:jc w:val="right"/>
              <w:rPr>
                <w:b/>
                <w:lang w:eastAsia="en-AU"/>
              </w:rPr>
            </w:pPr>
            <w:r w:rsidRPr="00F43FAA">
              <w:rPr>
                <w:b/>
                <w:lang w:eastAsia="en-AU"/>
              </w:rPr>
              <w:t>2014 $000</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r w:rsidRPr="00F43FAA">
              <w:rPr>
                <w:lang w:eastAsia="en-AU"/>
              </w:rPr>
              <w:t>Within 12 months of the end of the reporting period</w:t>
            </w:r>
          </w:p>
        </w:tc>
        <w:tc>
          <w:tcPr>
            <w:tcW w:w="1120" w:type="dxa"/>
            <w:tcBorders>
              <w:top w:val="nil"/>
              <w:left w:val="nil"/>
              <w:bottom w:val="nil"/>
              <w:right w:val="nil"/>
            </w:tcBorders>
            <w:shd w:val="clear" w:color="auto" w:fill="F2F2F2" w:themeFill="background1" w:themeFillShade="F2"/>
            <w:noWrap/>
            <w:vAlign w:val="center"/>
          </w:tcPr>
          <w:p w:rsidR="00F43FAA" w:rsidRPr="002761EE" w:rsidRDefault="00F43FAA" w:rsidP="00F43FAA">
            <w:pPr>
              <w:spacing w:after="0"/>
              <w:jc w:val="right"/>
            </w:pPr>
            <w:r w:rsidRPr="002761EE">
              <w:t>-</w:t>
            </w:r>
          </w:p>
        </w:tc>
        <w:tc>
          <w:tcPr>
            <w:tcW w:w="1120" w:type="dxa"/>
            <w:tcBorders>
              <w:top w:val="nil"/>
              <w:left w:val="nil"/>
              <w:bottom w:val="nil"/>
              <w:right w:val="nil"/>
            </w:tcBorders>
            <w:shd w:val="clear" w:color="auto" w:fill="auto"/>
            <w:noWrap/>
            <w:vAlign w:val="center"/>
          </w:tcPr>
          <w:p w:rsidR="00F43FAA" w:rsidRPr="002761EE" w:rsidRDefault="00F43FAA" w:rsidP="00F43FAA">
            <w:pPr>
              <w:spacing w:after="0"/>
              <w:jc w:val="right"/>
            </w:pPr>
            <w:r w:rsidRPr="002761EE">
              <w:t>-</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80"/>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r w:rsidRPr="00F43FAA">
              <w:rPr>
                <w:lang w:eastAsia="en-AU"/>
              </w:rPr>
              <w:t>More than 12 months after the end of the reporting period</w:t>
            </w:r>
          </w:p>
        </w:tc>
        <w:tc>
          <w:tcPr>
            <w:tcW w:w="1120" w:type="dxa"/>
            <w:tcBorders>
              <w:top w:val="nil"/>
              <w:left w:val="nil"/>
              <w:bottom w:val="single" w:sz="4" w:space="0" w:color="auto"/>
              <w:right w:val="nil"/>
            </w:tcBorders>
            <w:shd w:val="clear" w:color="auto" w:fill="F2F2F2" w:themeFill="background1" w:themeFillShade="F2"/>
            <w:noWrap/>
            <w:vAlign w:val="center"/>
          </w:tcPr>
          <w:p w:rsidR="00F43FAA" w:rsidRPr="002761EE" w:rsidRDefault="00F43FAA" w:rsidP="00F43FAA">
            <w:pPr>
              <w:spacing w:after="0"/>
              <w:jc w:val="right"/>
            </w:pPr>
            <w:r w:rsidRPr="002761EE">
              <w:t>20</w:t>
            </w:r>
          </w:p>
        </w:tc>
        <w:tc>
          <w:tcPr>
            <w:tcW w:w="1120" w:type="dxa"/>
            <w:tcBorders>
              <w:top w:val="nil"/>
              <w:left w:val="nil"/>
              <w:bottom w:val="single" w:sz="4" w:space="0" w:color="auto"/>
              <w:right w:val="nil"/>
            </w:tcBorders>
            <w:shd w:val="clear" w:color="auto" w:fill="auto"/>
            <w:noWrap/>
            <w:vAlign w:val="center"/>
          </w:tcPr>
          <w:p w:rsidR="00F43FAA" w:rsidRPr="002761EE" w:rsidRDefault="00F43FAA" w:rsidP="00F43FAA">
            <w:pPr>
              <w:spacing w:after="0"/>
              <w:jc w:val="right"/>
            </w:pPr>
            <w:r w:rsidRPr="002761EE">
              <w:t>82</w:t>
            </w:r>
          </w:p>
        </w:tc>
      </w:tr>
      <w:tr w:rsidR="00F43FAA" w:rsidRPr="00F43FAA" w:rsidTr="00F43FAA">
        <w:tblPrEx>
          <w:tblCellMar>
            <w:left w:w="108" w:type="dxa"/>
            <w:right w:w="108" w:type="dxa"/>
          </w:tblCellMar>
          <w:tblLook w:val="04A0" w:firstRow="1" w:lastRow="0" w:firstColumn="1" w:lastColumn="0" w:noHBand="0" w:noVBand="1"/>
        </w:tblPrEx>
        <w:trPr>
          <w:gridAfter w:val="1"/>
          <w:wAfter w:w="1589" w:type="dxa"/>
          <w:trHeight w:val="70"/>
        </w:trPr>
        <w:tc>
          <w:tcPr>
            <w:tcW w:w="6560" w:type="dxa"/>
            <w:gridSpan w:val="3"/>
            <w:tcBorders>
              <w:top w:val="nil"/>
              <w:left w:val="nil"/>
              <w:bottom w:val="nil"/>
              <w:right w:val="nil"/>
            </w:tcBorders>
            <w:shd w:val="clear" w:color="auto" w:fill="auto"/>
            <w:noWrap/>
            <w:vAlign w:val="center"/>
            <w:hideMark/>
          </w:tcPr>
          <w:p w:rsidR="00F43FAA" w:rsidRPr="00F43FAA" w:rsidRDefault="00F43FAA" w:rsidP="00F43FAA">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tcPr>
          <w:p w:rsidR="00F43FAA" w:rsidRPr="002761EE" w:rsidRDefault="00F43FAA" w:rsidP="00F43FAA">
            <w:pPr>
              <w:spacing w:after="0"/>
              <w:jc w:val="right"/>
            </w:pPr>
            <w:r w:rsidRPr="002761EE">
              <w:t>20</w:t>
            </w:r>
          </w:p>
        </w:tc>
        <w:tc>
          <w:tcPr>
            <w:tcW w:w="1120" w:type="dxa"/>
            <w:tcBorders>
              <w:top w:val="single" w:sz="4" w:space="0" w:color="auto"/>
              <w:left w:val="nil"/>
              <w:bottom w:val="single" w:sz="4" w:space="0" w:color="auto"/>
              <w:right w:val="nil"/>
            </w:tcBorders>
            <w:shd w:val="clear" w:color="auto" w:fill="auto"/>
            <w:noWrap/>
            <w:vAlign w:val="center"/>
          </w:tcPr>
          <w:p w:rsidR="00F43FAA" w:rsidRDefault="00F43FAA" w:rsidP="00F43FAA">
            <w:pPr>
              <w:spacing w:after="0"/>
              <w:jc w:val="right"/>
            </w:pPr>
            <w:r w:rsidRPr="002761EE">
              <w:t>82</w:t>
            </w:r>
          </w:p>
        </w:tc>
      </w:tr>
    </w:tbl>
    <w:p w:rsidR="00FC4E35" w:rsidRPr="00FC4E35" w:rsidRDefault="00FC4E35" w:rsidP="00F43FAA">
      <w:pPr>
        <w:rPr>
          <w:lang w:val="en-US"/>
        </w:rPr>
      </w:pPr>
    </w:p>
    <w:tbl>
      <w:tblPr>
        <w:tblW w:w="10389" w:type="dxa"/>
        <w:tblInd w:w="-15" w:type="dxa"/>
        <w:tblLayout w:type="fixed"/>
        <w:tblCellMar>
          <w:left w:w="0" w:type="dxa"/>
          <w:right w:w="0" w:type="dxa"/>
        </w:tblCellMar>
        <w:tblLook w:val="0000" w:firstRow="0" w:lastRow="0" w:firstColumn="0" w:lastColumn="0" w:noHBand="0" w:noVBand="0"/>
      </w:tblPr>
      <w:tblGrid>
        <w:gridCol w:w="23"/>
        <w:gridCol w:w="370"/>
        <w:gridCol w:w="6167"/>
        <w:gridCol w:w="1120"/>
        <w:gridCol w:w="1120"/>
        <w:gridCol w:w="1589"/>
      </w:tblGrid>
      <w:tr w:rsidR="00FC4E35" w:rsidRPr="00FC4E35" w:rsidTr="002A26A8">
        <w:trPr>
          <w:gridBefore w:val="1"/>
          <w:wBefore w:w="23" w:type="dxa"/>
          <w:trHeight w:val="1414"/>
        </w:trPr>
        <w:tc>
          <w:tcPr>
            <w:tcW w:w="370" w:type="dxa"/>
            <w:tcMar>
              <w:top w:w="85" w:type="dxa"/>
              <w:left w:w="0" w:type="dxa"/>
              <w:bottom w:w="85" w:type="dxa"/>
              <w:right w:w="0" w:type="dxa"/>
            </w:tcMar>
          </w:tcPr>
          <w:p w:rsidR="00FC4E35" w:rsidRPr="00FC4E35" w:rsidRDefault="00FC4E35" w:rsidP="00F43FAA">
            <w:pPr>
              <w:rPr>
                <w:lang w:val="en-US"/>
              </w:rPr>
            </w:pPr>
            <w:r w:rsidRPr="00FC4E35">
              <w:rPr>
                <w:lang w:val="en-US"/>
              </w:rPr>
              <w:t>(d)</w:t>
            </w:r>
          </w:p>
        </w:tc>
        <w:tc>
          <w:tcPr>
            <w:tcW w:w="9996" w:type="dxa"/>
            <w:gridSpan w:val="4"/>
            <w:tcMar>
              <w:top w:w="85" w:type="dxa"/>
              <w:left w:w="80" w:type="dxa"/>
              <w:bottom w:w="85" w:type="dxa"/>
              <w:right w:w="80" w:type="dxa"/>
            </w:tcMar>
          </w:tcPr>
          <w:p w:rsidR="00FC4E35" w:rsidRPr="00FC4E35" w:rsidRDefault="00FC4E35" w:rsidP="00F43FAA">
            <w:pPr>
              <w:rPr>
                <w:lang w:val="en-US"/>
              </w:rPr>
            </w:pPr>
            <w:r w:rsidRPr="00FC4E35">
              <w:rPr>
                <w:lang w:val="en-US"/>
              </w:rPr>
              <w:t>The settlement of annual and long service leave liabilities gives rise to the payment of employment on-costs including workers’ compensation insurance.  The provision is the present value of expected future payments.  The associated expense, apart from the unwinding of the discount (finance cost), is disclosed in note 11 ‘Other expenses’.</w:t>
            </w: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463DC2" w:rsidRPr="00463DC2" w:rsidRDefault="00463DC2" w:rsidP="00463DC2">
            <w:pPr>
              <w:spacing w:after="0"/>
              <w:jc w:val="right"/>
              <w:rPr>
                <w:b/>
                <w:lang w:eastAsia="en-AU"/>
              </w:rPr>
            </w:pPr>
            <w:r w:rsidRPr="00463DC2">
              <w:rPr>
                <w:b/>
                <w:lang w:eastAsia="en-AU"/>
              </w:rPr>
              <w:t>2015 $000</w:t>
            </w:r>
          </w:p>
        </w:tc>
        <w:tc>
          <w:tcPr>
            <w:tcW w:w="1120" w:type="dxa"/>
            <w:tcBorders>
              <w:top w:val="nil"/>
              <w:left w:val="nil"/>
              <w:bottom w:val="nil"/>
              <w:right w:val="nil"/>
            </w:tcBorders>
            <w:shd w:val="clear" w:color="auto" w:fill="auto"/>
            <w:noWrap/>
            <w:vAlign w:val="center"/>
            <w:hideMark/>
          </w:tcPr>
          <w:p w:rsidR="00463DC2" w:rsidRPr="00463DC2" w:rsidRDefault="00463DC2" w:rsidP="00463DC2">
            <w:pPr>
              <w:spacing w:after="0"/>
              <w:jc w:val="right"/>
              <w:rPr>
                <w:b/>
                <w:lang w:eastAsia="en-AU"/>
              </w:rPr>
            </w:pPr>
            <w:r w:rsidRPr="00463DC2">
              <w:rPr>
                <w:b/>
                <w:lang w:eastAsia="en-AU"/>
              </w:rPr>
              <w:t>2014 $000</w:t>
            </w: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rPr>
                <w:lang w:eastAsia="en-AU"/>
              </w:rPr>
            </w:pPr>
            <w:r w:rsidRPr="00463DC2">
              <w:rPr>
                <w:lang w:eastAsia="en-AU"/>
              </w:rPr>
              <w:t>Movement in Other Provisions</w:t>
            </w:r>
          </w:p>
        </w:tc>
        <w:tc>
          <w:tcPr>
            <w:tcW w:w="1120" w:type="dxa"/>
            <w:tcBorders>
              <w:top w:val="nil"/>
              <w:left w:val="nil"/>
              <w:bottom w:val="nil"/>
              <w:right w:val="nil"/>
            </w:tcBorders>
            <w:shd w:val="clear" w:color="auto" w:fill="F2F2F2" w:themeFill="background1" w:themeFillShade="F2"/>
            <w:noWrap/>
            <w:vAlign w:val="center"/>
            <w:hideMark/>
          </w:tcPr>
          <w:p w:rsidR="00463DC2" w:rsidRPr="00463DC2" w:rsidRDefault="00463DC2" w:rsidP="00463DC2">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463DC2" w:rsidRPr="00463DC2" w:rsidRDefault="00463DC2" w:rsidP="00463DC2">
            <w:pPr>
              <w:spacing w:after="0"/>
              <w:jc w:val="right"/>
              <w:rPr>
                <w:lang w:eastAsia="en-AU"/>
              </w:rPr>
            </w:pP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ind w:left="333"/>
              <w:rPr>
                <w:u w:val="single"/>
                <w:lang w:eastAsia="en-AU"/>
              </w:rPr>
            </w:pPr>
            <w:r w:rsidRPr="00463DC2">
              <w:rPr>
                <w:u w:val="single"/>
                <w:lang w:eastAsia="en-AU"/>
              </w:rPr>
              <w:t>Employment on-cost provision</w:t>
            </w:r>
          </w:p>
        </w:tc>
        <w:tc>
          <w:tcPr>
            <w:tcW w:w="1120" w:type="dxa"/>
            <w:tcBorders>
              <w:top w:val="nil"/>
              <w:left w:val="nil"/>
              <w:bottom w:val="nil"/>
              <w:right w:val="nil"/>
            </w:tcBorders>
            <w:shd w:val="clear" w:color="auto" w:fill="F2F2F2" w:themeFill="background1" w:themeFillShade="F2"/>
            <w:noWrap/>
            <w:vAlign w:val="center"/>
            <w:hideMark/>
          </w:tcPr>
          <w:p w:rsidR="00463DC2" w:rsidRPr="00463DC2" w:rsidRDefault="00463DC2" w:rsidP="00463DC2">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463DC2" w:rsidRPr="00463DC2" w:rsidRDefault="00463DC2" w:rsidP="00463DC2">
            <w:pPr>
              <w:spacing w:after="0"/>
              <w:jc w:val="right"/>
              <w:rPr>
                <w:lang w:eastAsia="en-AU"/>
              </w:rPr>
            </w:pP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ind w:left="333"/>
              <w:rPr>
                <w:lang w:eastAsia="en-AU"/>
              </w:rPr>
            </w:pPr>
            <w:r w:rsidRPr="00463DC2">
              <w:rPr>
                <w:lang w:eastAsia="en-AU"/>
              </w:rPr>
              <w:t>Carrying amount at start of year</w:t>
            </w:r>
          </w:p>
        </w:tc>
        <w:tc>
          <w:tcPr>
            <w:tcW w:w="1120" w:type="dxa"/>
            <w:tcBorders>
              <w:top w:val="nil"/>
              <w:left w:val="nil"/>
              <w:bottom w:val="nil"/>
              <w:right w:val="nil"/>
            </w:tcBorders>
            <w:shd w:val="clear" w:color="auto" w:fill="F2F2F2" w:themeFill="background1" w:themeFillShade="F2"/>
            <w:noWrap/>
            <w:vAlign w:val="center"/>
            <w:hideMark/>
          </w:tcPr>
          <w:p w:rsidR="00463DC2" w:rsidRPr="00463DC2" w:rsidRDefault="00463DC2" w:rsidP="00463DC2">
            <w:pPr>
              <w:spacing w:after="0"/>
              <w:jc w:val="right"/>
              <w:rPr>
                <w:lang w:eastAsia="en-AU"/>
              </w:rPr>
            </w:pPr>
            <w:r w:rsidRPr="00463DC2">
              <w:rPr>
                <w:lang w:eastAsia="en-AU"/>
              </w:rPr>
              <w:t>51</w:t>
            </w:r>
          </w:p>
        </w:tc>
        <w:tc>
          <w:tcPr>
            <w:tcW w:w="1120" w:type="dxa"/>
            <w:tcBorders>
              <w:top w:val="nil"/>
              <w:left w:val="nil"/>
              <w:bottom w:val="nil"/>
              <w:right w:val="nil"/>
            </w:tcBorders>
            <w:shd w:val="clear" w:color="auto" w:fill="auto"/>
            <w:noWrap/>
            <w:vAlign w:val="center"/>
            <w:hideMark/>
          </w:tcPr>
          <w:p w:rsidR="00463DC2" w:rsidRPr="00463DC2" w:rsidRDefault="00463DC2" w:rsidP="00463DC2">
            <w:pPr>
              <w:spacing w:after="0"/>
              <w:jc w:val="right"/>
              <w:rPr>
                <w:lang w:eastAsia="en-AU"/>
              </w:rPr>
            </w:pPr>
            <w:r w:rsidRPr="00463DC2">
              <w:rPr>
                <w:lang w:eastAsia="en-AU"/>
              </w:rPr>
              <w:t>8</w:t>
            </w: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ind w:left="333"/>
              <w:rPr>
                <w:lang w:eastAsia="en-AU"/>
              </w:rPr>
            </w:pPr>
            <w:r w:rsidRPr="00463DC2">
              <w:rPr>
                <w:lang w:eastAsia="en-AU"/>
              </w:rPr>
              <w:t>Additional provisions recognised</w:t>
            </w:r>
          </w:p>
        </w:tc>
        <w:tc>
          <w:tcPr>
            <w:tcW w:w="1120" w:type="dxa"/>
            <w:tcBorders>
              <w:top w:val="nil"/>
              <w:left w:val="nil"/>
              <w:bottom w:val="nil"/>
              <w:right w:val="nil"/>
            </w:tcBorders>
            <w:shd w:val="clear" w:color="auto" w:fill="F2F2F2" w:themeFill="background1" w:themeFillShade="F2"/>
            <w:noWrap/>
            <w:vAlign w:val="center"/>
            <w:hideMark/>
          </w:tcPr>
          <w:p w:rsidR="00463DC2" w:rsidRPr="00463DC2" w:rsidRDefault="00463DC2" w:rsidP="00463DC2">
            <w:pPr>
              <w:spacing w:after="0"/>
              <w:jc w:val="right"/>
              <w:rPr>
                <w:lang w:eastAsia="en-AU"/>
              </w:rPr>
            </w:pPr>
            <w:r w:rsidRPr="00463DC2">
              <w:rPr>
                <w:lang w:eastAsia="en-AU"/>
              </w:rPr>
              <w:t>352</w:t>
            </w:r>
          </w:p>
        </w:tc>
        <w:tc>
          <w:tcPr>
            <w:tcW w:w="1120" w:type="dxa"/>
            <w:tcBorders>
              <w:top w:val="nil"/>
              <w:left w:val="nil"/>
              <w:bottom w:val="nil"/>
              <w:right w:val="nil"/>
            </w:tcBorders>
            <w:shd w:val="clear" w:color="auto" w:fill="auto"/>
            <w:noWrap/>
            <w:vAlign w:val="center"/>
            <w:hideMark/>
          </w:tcPr>
          <w:p w:rsidR="00463DC2" w:rsidRPr="00463DC2" w:rsidRDefault="00463DC2" w:rsidP="00463DC2">
            <w:pPr>
              <w:spacing w:after="0"/>
              <w:jc w:val="right"/>
              <w:rPr>
                <w:lang w:eastAsia="en-AU"/>
              </w:rPr>
            </w:pPr>
            <w:r w:rsidRPr="00463DC2">
              <w:rPr>
                <w:lang w:eastAsia="en-AU"/>
              </w:rPr>
              <w:t>208</w:t>
            </w: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ind w:left="333"/>
              <w:rPr>
                <w:lang w:eastAsia="en-AU"/>
              </w:rPr>
            </w:pPr>
            <w:r w:rsidRPr="00463DC2">
              <w:rPr>
                <w:lang w:eastAsia="en-AU"/>
              </w:rPr>
              <w:t>Payments/other sacrifices of economic benefits</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463DC2" w:rsidRPr="00463DC2" w:rsidRDefault="00463DC2" w:rsidP="00463DC2">
            <w:pPr>
              <w:spacing w:after="0"/>
              <w:jc w:val="right"/>
              <w:rPr>
                <w:lang w:eastAsia="en-AU"/>
              </w:rPr>
            </w:pPr>
            <w:r w:rsidRPr="00463DC2">
              <w:rPr>
                <w:lang w:eastAsia="en-AU"/>
              </w:rPr>
              <w:t>-338</w:t>
            </w:r>
          </w:p>
        </w:tc>
        <w:tc>
          <w:tcPr>
            <w:tcW w:w="1120" w:type="dxa"/>
            <w:tcBorders>
              <w:top w:val="nil"/>
              <w:left w:val="nil"/>
              <w:bottom w:val="single" w:sz="4" w:space="0" w:color="auto"/>
              <w:right w:val="nil"/>
            </w:tcBorders>
            <w:shd w:val="clear" w:color="auto" w:fill="auto"/>
            <w:noWrap/>
            <w:vAlign w:val="center"/>
            <w:hideMark/>
          </w:tcPr>
          <w:p w:rsidR="00463DC2" w:rsidRPr="00463DC2" w:rsidRDefault="00463DC2" w:rsidP="00463DC2">
            <w:pPr>
              <w:spacing w:after="0"/>
              <w:jc w:val="right"/>
              <w:rPr>
                <w:lang w:eastAsia="en-AU"/>
              </w:rPr>
            </w:pPr>
            <w:r w:rsidRPr="00463DC2">
              <w:rPr>
                <w:lang w:eastAsia="en-AU"/>
              </w:rPr>
              <w:t>-165</w:t>
            </w:r>
          </w:p>
        </w:tc>
      </w:tr>
      <w:tr w:rsidR="00463DC2" w:rsidRPr="00463DC2" w:rsidTr="002A26A8">
        <w:tblPrEx>
          <w:tblCellMar>
            <w:left w:w="108" w:type="dxa"/>
            <w:right w:w="108" w:type="dxa"/>
          </w:tblCellMar>
          <w:tblLook w:val="04A0" w:firstRow="1" w:lastRow="0" w:firstColumn="1" w:lastColumn="0" w:noHBand="0" w:noVBand="1"/>
        </w:tblPrEx>
        <w:trPr>
          <w:gridAfter w:val="1"/>
          <w:wAfter w:w="1589" w:type="dxa"/>
          <w:trHeight w:val="285"/>
        </w:trPr>
        <w:tc>
          <w:tcPr>
            <w:tcW w:w="6560" w:type="dxa"/>
            <w:gridSpan w:val="3"/>
            <w:tcBorders>
              <w:top w:val="nil"/>
              <w:left w:val="nil"/>
              <w:bottom w:val="nil"/>
              <w:right w:val="nil"/>
            </w:tcBorders>
            <w:shd w:val="clear" w:color="auto" w:fill="auto"/>
            <w:noWrap/>
            <w:vAlign w:val="center"/>
            <w:hideMark/>
          </w:tcPr>
          <w:p w:rsidR="00463DC2" w:rsidRPr="00463DC2" w:rsidRDefault="00463DC2" w:rsidP="00463DC2">
            <w:pPr>
              <w:spacing w:after="0"/>
              <w:ind w:left="333"/>
              <w:rPr>
                <w:lang w:eastAsia="en-AU"/>
              </w:rPr>
            </w:pPr>
            <w:r w:rsidRPr="00463DC2">
              <w:rPr>
                <w:lang w:eastAsia="en-AU"/>
              </w:rPr>
              <w:t>Carrying amount at end of year</w:t>
            </w: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463DC2" w:rsidRPr="00463DC2" w:rsidRDefault="00463DC2" w:rsidP="00463DC2">
            <w:pPr>
              <w:spacing w:after="0"/>
              <w:jc w:val="right"/>
              <w:rPr>
                <w:lang w:eastAsia="en-AU"/>
              </w:rPr>
            </w:pPr>
            <w:r w:rsidRPr="00463DC2">
              <w:rPr>
                <w:lang w:eastAsia="en-AU"/>
              </w:rPr>
              <w:t>65</w:t>
            </w:r>
          </w:p>
        </w:tc>
        <w:tc>
          <w:tcPr>
            <w:tcW w:w="1120" w:type="dxa"/>
            <w:tcBorders>
              <w:top w:val="single" w:sz="4" w:space="0" w:color="auto"/>
              <w:left w:val="nil"/>
              <w:bottom w:val="single" w:sz="4" w:space="0" w:color="auto"/>
              <w:right w:val="nil"/>
            </w:tcBorders>
            <w:shd w:val="clear" w:color="auto" w:fill="auto"/>
            <w:noWrap/>
            <w:vAlign w:val="center"/>
            <w:hideMark/>
          </w:tcPr>
          <w:p w:rsidR="00463DC2" w:rsidRPr="00463DC2" w:rsidRDefault="00463DC2" w:rsidP="00463DC2">
            <w:pPr>
              <w:spacing w:after="0"/>
              <w:jc w:val="right"/>
              <w:rPr>
                <w:lang w:eastAsia="en-AU"/>
              </w:rPr>
            </w:pPr>
            <w:r w:rsidRPr="00463DC2">
              <w:rPr>
                <w:lang w:eastAsia="en-AU"/>
              </w:rPr>
              <w:t>51</w:t>
            </w:r>
          </w:p>
        </w:tc>
      </w:tr>
    </w:tbl>
    <w:p w:rsidR="00FC4E35" w:rsidRPr="00FC4E35" w:rsidRDefault="00FC4E35" w:rsidP="00463DC2">
      <w:pPr>
        <w:rPr>
          <w:color w:val="000000"/>
          <w:lang w:val="en-US"/>
        </w:rPr>
      </w:pPr>
    </w:p>
    <w:p w:rsidR="00FC4E35" w:rsidRPr="009A36D1" w:rsidRDefault="00FC4E35" w:rsidP="009A36D1">
      <w:pPr>
        <w:pStyle w:val="Heading4"/>
        <w:numPr>
          <w:ilvl w:val="0"/>
          <w:numId w:val="76"/>
        </w:numPr>
      </w:pPr>
      <w:r w:rsidRPr="00463DC2">
        <w:t>Other liabilities</w:t>
      </w:r>
    </w:p>
    <w:tbl>
      <w:tblPr>
        <w:tblW w:w="8800" w:type="dxa"/>
        <w:tblInd w:w="93" w:type="dxa"/>
        <w:tblLook w:val="04A0" w:firstRow="1" w:lastRow="0" w:firstColumn="1" w:lastColumn="0" w:noHBand="0" w:noVBand="1"/>
      </w:tblPr>
      <w:tblGrid>
        <w:gridCol w:w="6560"/>
        <w:gridCol w:w="1120"/>
        <w:gridCol w:w="1120"/>
      </w:tblGrid>
      <w:tr w:rsidR="00463DC2" w:rsidRPr="00463DC2" w:rsidTr="00463DC2">
        <w:trPr>
          <w:trHeight w:val="285"/>
        </w:trPr>
        <w:tc>
          <w:tcPr>
            <w:tcW w:w="6560" w:type="dxa"/>
            <w:tcBorders>
              <w:top w:val="nil"/>
              <w:left w:val="nil"/>
              <w:bottom w:val="nil"/>
              <w:right w:val="nil"/>
            </w:tcBorders>
            <w:shd w:val="clear" w:color="auto" w:fill="auto"/>
            <w:noWrap/>
            <w:vAlign w:val="bottom"/>
            <w:hideMark/>
          </w:tcPr>
          <w:p w:rsidR="00463DC2" w:rsidRPr="00463DC2" w:rsidRDefault="00463DC2" w:rsidP="00463DC2">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b/>
                <w:lang w:eastAsia="en-AU"/>
              </w:rPr>
            </w:pPr>
            <w:r w:rsidRPr="00463DC2">
              <w:rPr>
                <w:b/>
                <w:lang w:eastAsia="en-AU"/>
              </w:rPr>
              <w:t>2015 $000</w:t>
            </w:r>
          </w:p>
        </w:tc>
        <w:tc>
          <w:tcPr>
            <w:tcW w:w="1120"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b/>
                <w:lang w:eastAsia="en-AU"/>
              </w:rPr>
            </w:pPr>
            <w:r w:rsidRPr="00463DC2">
              <w:rPr>
                <w:b/>
                <w:lang w:eastAsia="en-AU"/>
              </w:rPr>
              <w:t>2014 $000</w:t>
            </w:r>
          </w:p>
        </w:tc>
      </w:tr>
      <w:tr w:rsidR="00463DC2" w:rsidRPr="00463DC2" w:rsidTr="00463DC2">
        <w:trPr>
          <w:trHeight w:val="285"/>
        </w:trPr>
        <w:tc>
          <w:tcPr>
            <w:tcW w:w="6560" w:type="dxa"/>
            <w:tcBorders>
              <w:top w:val="nil"/>
              <w:left w:val="nil"/>
              <w:bottom w:val="nil"/>
              <w:right w:val="nil"/>
            </w:tcBorders>
            <w:shd w:val="clear" w:color="auto" w:fill="auto"/>
            <w:noWrap/>
            <w:vAlign w:val="bottom"/>
            <w:hideMark/>
          </w:tcPr>
          <w:p w:rsidR="00463DC2" w:rsidRPr="00463DC2" w:rsidRDefault="00463DC2" w:rsidP="00463DC2">
            <w:pPr>
              <w:spacing w:after="0"/>
              <w:rPr>
                <w:b/>
                <w:lang w:eastAsia="en-AU"/>
              </w:rPr>
            </w:pPr>
            <w:r w:rsidRPr="00463DC2">
              <w:rPr>
                <w:b/>
                <w:lang w:eastAsia="en-AU"/>
              </w:rPr>
              <w:t>Current</w:t>
            </w:r>
          </w:p>
        </w:tc>
        <w:tc>
          <w:tcPr>
            <w:tcW w:w="1120"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p>
        </w:tc>
        <w:tc>
          <w:tcPr>
            <w:tcW w:w="1120"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p>
        </w:tc>
      </w:tr>
      <w:tr w:rsidR="00463DC2" w:rsidRPr="00463DC2" w:rsidTr="00463DC2">
        <w:trPr>
          <w:trHeight w:val="285"/>
        </w:trPr>
        <w:tc>
          <w:tcPr>
            <w:tcW w:w="6560"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Derivative Financial Liability</w:t>
            </w:r>
          </w:p>
        </w:tc>
        <w:tc>
          <w:tcPr>
            <w:tcW w:w="1120"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3</w:t>
            </w:r>
          </w:p>
        </w:tc>
        <w:tc>
          <w:tcPr>
            <w:tcW w:w="1120"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1,420</w:t>
            </w:r>
          </w:p>
        </w:tc>
      </w:tr>
      <w:tr w:rsidR="00463DC2" w:rsidRPr="00463DC2" w:rsidTr="00463DC2">
        <w:trPr>
          <w:trHeight w:val="285"/>
        </w:trPr>
        <w:tc>
          <w:tcPr>
            <w:tcW w:w="6560"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Other liability</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w:t>
            </w:r>
          </w:p>
        </w:tc>
        <w:tc>
          <w:tcPr>
            <w:tcW w:w="1120" w:type="dxa"/>
            <w:tcBorders>
              <w:top w:val="nil"/>
              <w:left w:val="nil"/>
              <w:bottom w:val="sing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w:t>
            </w:r>
          </w:p>
        </w:tc>
      </w:tr>
      <w:tr w:rsidR="00463DC2" w:rsidRPr="00463DC2" w:rsidTr="00463DC2">
        <w:trPr>
          <w:trHeight w:val="285"/>
        </w:trPr>
        <w:tc>
          <w:tcPr>
            <w:tcW w:w="6560"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3</w:t>
            </w:r>
          </w:p>
        </w:tc>
        <w:tc>
          <w:tcPr>
            <w:tcW w:w="1120" w:type="dxa"/>
            <w:tcBorders>
              <w:top w:val="single" w:sz="4" w:space="0" w:color="auto"/>
              <w:left w:val="nil"/>
              <w:bottom w:val="doub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1,420</w:t>
            </w:r>
          </w:p>
        </w:tc>
      </w:tr>
    </w:tbl>
    <w:p w:rsidR="00463DC2" w:rsidRDefault="00463DC2" w:rsidP="00FC4E35">
      <w:pPr>
        <w:suppressAutoHyphens/>
        <w:autoSpaceDE w:val="0"/>
        <w:autoSpaceDN w:val="0"/>
        <w:adjustRightInd w:val="0"/>
        <w:spacing w:after="0" w:line="288" w:lineRule="auto"/>
        <w:textAlignment w:val="center"/>
        <w:rPr>
          <w:color w:val="000000"/>
          <w:lang w:val="en-US"/>
        </w:rPr>
      </w:pPr>
    </w:p>
    <w:p w:rsidR="00FC4E35" w:rsidRPr="00FC4E35" w:rsidRDefault="00FC4E35" w:rsidP="00463DC2">
      <w:pPr>
        <w:rPr>
          <w:lang w:val="en-US"/>
        </w:rPr>
      </w:pPr>
      <w:r w:rsidRPr="00FC4E35">
        <w:rPr>
          <w:lang w:val="en-US"/>
        </w:rPr>
        <w:t>See also note 36 ‘Financial Instruments’.</w:t>
      </w:r>
    </w:p>
    <w:p w:rsidR="00FC4E35" w:rsidRPr="00FC4E35" w:rsidRDefault="00FC4E35" w:rsidP="00463DC2">
      <w:pPr>
        <w:rPr>
          <w:i/>
          <w:iCs/>
          <w:lang w:val="en-US"/>
        </w:rPr>
      </w:pPr>
    </w:p>
    <w:p w:rsidR="00FC4E35" w:rsidRPr="00463DC2" w:rsidRDefault="00FC4E35" w:rsidP="00AE75A9">
      <w:pPr>
        <w:pStyle w:val="Heading4"/>
        <w:numPr>
          <w:ilvl w:val="0"/>
          <w:numId w:val="76"/>
        </w:numPr>
      </w:pPr>
      <w:r w:rsidRPr="00463DC2">
        <w:t>Equity</w:t>
      </w:r>
    </w:p>
    <w:p w:rsidR="00FC4E35" w:rsidRDefault="00FC4E35" w:rsidP="00463DC2">
      <w:pPr>
        <w:rPr>
          <w:lang w:val="en-US"/>
        </w:rPr>
      </w:pPr>
      <w:r w:rsidRPr="00FC4E35">
        <w:rPr>
          <w:lang w:val="en-US"/>
        </w:rPr>
        <w:t>Equity represents the residual interest in the net assets of the Department.  The Government holds the equity interest in the Department on behalf of the community.</w:t>
      </w:r>
    </w:p>
    <w:tbl>
      <w:tblPr>
        <w:tblW w:w="8804" w:type="dxa"/>
        <w:tblInd w:w="93" w:type="dxa"/>
        <w:tblLook w:val="04A0" w:firstRow="1" w:lastRow="0" w:firstColumn="1" w:lastColumn="0" w:noHBand="0" w:noVBand="1"/>
      </w:tblPr>
      <w:tblGrid>
        <w:gridCol w:w="6536"/>
        <w:gridCol w:w="1134"/>
        <w:gridCol w:w="1134"/>
      </w:tblGrid>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b/>
                <w:lang w:eastAsia="en-AU"/>
              </w:rPr>
            </w:pP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b/>
                <w:lang w:eastAsia="en-AU"/>
              </w:rPr>
            </w:pPr>
            <w:r w:rsidRPr="00463DC2">
              <w:rPr>
                <w:b/>
                <w:lang w:eastAsia="en-AU"/>
              </w:rPr>
              <w:t>2015 $000</w:t>
            </w: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b/>
                <w:lang w:eastAsia="en-AU"/>
              </w:rPr>
            </w:pPr>
            <w:r w:rsidRPr="00463DC2">
              <w:rPr>
                <w:b/>
                <w:lang w:eastAsia="en-AU"/>
              </w:rPr>
              <w:t>2014 $000</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Contributed equity</w:t>
            </w: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Balance at the start of the year</w:t>
            </w: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36,117</w:t>
            </w: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36,479</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Contributions by owners:</w:t>
            </w: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Capital Contributions</w:t>
            </w:r>
            <w:r w:rsidRPr="003F182E">
              <w:rPr>
                <w:vertAlign w:val="superscript"/>
                <w:lang w:eastAsia="en-AU"/>
              </w:rPr>
              <w:t>(a)</w:t>
            </w: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3,000</w:t>
            </w: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 xml:space="preserve">Transfer of net assets/(liabilities) from other agencies - </w:t>
            </w: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Office of Science</w:t>
            </w:r>
            <w:r w:rsidRPr="003F182E">
              <w:rPr>
                <w:vertAlign w:val="superscript"/>
                <w:lang w:eastAsia="en-AU"/>
              </w:rPr>
              <w:t>(b)</w:t>
            </w:r>
          </w:p>
        </w:tc>
        <w:tc>
          <w:tcPr>
            <w:tcW w:w="1134" w:type="dxa"/>
            <w:tcBorders>
              <w:top w:val="nil"/>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w:t>
            </w:r>
          </w:p>
        </w:tc>
        <w:tc>
          <w:tcPr>
            <w:tcW w:w="1134" w:type="dxa"/>
            <w:tcBorders>
              <w:top w:val="nil"/>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-349</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Transfer of net assets/(liabilities) from other agencies - WANDRRA</w:t>
            </w:r>
            <w:r w:rsidRPr="003F182E">
              <w:rPr>
                <w:vertAlign w:val="superscript"/>
                <w:lang w:eastAsia="en-AU"/>
              </w:rPr>
              <w:t>(b)</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w:t>
            </w:r>
          </w:p>
        </w:tc>
        <w:tc>
          <w:tcPr>
            <w:tcW w:w="1134" w:type="dxa"/>
            <w:tcBorders>
              <w:top w:val="nil"/>
              <w:left w:val="nil"/>
              <w:bottom w:val="sing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-13</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Total contributions by owners</w:t>
            </w:r>
          </w:p>
        </w:tc>
        <w:tc>
          <w:tcPr>
            <w:tcW w:w="1134" w:type="dxa"/>
            <w:tcBorders>
              <w:top w:val="single" w:sz="4" w:space="0" w:color="auto"/>
              <w:left w:val="nil"/>
              <w:bottom w:val="sing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3,000</w:t>
            </w:r>
          </w:p>
        </w:tc>
        <w:tc>
          <w:tcPr>
            <w:tcW w:w="1134" w:type="dxa"/>
            <w:tcBorders>
              <w:top w:val="single" w:sz="4" w:space="0" w:color="auto"/>
              <w:left w:val="nil"/>
              <w:bottom w:val="sing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(362)</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Distributions to owners:</w:t>
            </w:r>
          </w:p>
        </w:tc>
        <w:tc>
          <w:tcPr>
            <w:tcW w:w="1134" w:type="dxa"/>
            <w:tcBorders>
              <w:top w:val="single" w:sz="4" w:space="0" w:color="auto"/>
              <w:left w:val="nil"/>
              <w:bottom w:val="nil"/>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p>
        </w:tc>
        <w:tc>
          <w:tcPr>
            <w:tcW w:w="1134" w:type="dxa"/>
            <w:tcBorders>
              <w:top w:val="single" w:sz="4" w:space="0" w:color="auto"/>
              <w:left w:val="nil"/>
              <w:bottom w:val="nil"/>
              <w:right w:val="nil"/>
            </w:tcBorders>
            <w:shd w:val="clear" w:color="auto" w:fill="auto"/>
            <w:noWrap/>
            <w:vAlign w:val="bottom"/>
            <w:hideMark/>
          </w:tcPr>
          <w:p w:rsidR="00463DC2" w:rsidRPr="00463DC2" w:rsidRDefault="00463DC2" w:rsidP="00463DC2">
            <w:pPr>
              <w:spacing w:after="0"/>
              <w:jc w:val="right"/>
              <w:rPr>
                <w:lang w:eastAsia="en-AU"/>
              </w:rPr>
            </w:pP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Transfer of net assets to other agencies</w:t>
            </w:r>
            <w:r w:rsidRPr="003F182E">
              <w:rPr>
                <w:vertAlign w:val="superscript"/>
                <w:lang w:eastAsia="en-AU"/>
              </w:rPr>
              <w:t>(b)</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w:t>
            </w:r>
          </w:p>
        </w:tc>
        <w:tc>
          <w:tcPr>
            <w:tcW w:w="1134" w:type="dxa"/>
            <w:tcBorders>
              <w:top w:val="nil"/>
              <w:left w:val="nil"/>
              <w:bottom w:val="sing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Total distributions to owners</w:t>
            </w:r>
          </w:p>
        </w:tc>
        <w:tc>
          <w:tcPr>
            <w:tcW w:w="1134" w:type="dxa"/>
            <w:tcBorders>
              <w:top w:val="single" w:sz="4" w:space="0" w:color="auto"/>
              <w:left w:val="nil"/>
              <w:bottom w:val="sing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w:t>
            </w:r>
          </w:p>
        </w:tc>
        <w:tc>
          <w:tcPr>
            <w:tcW w:w="1134" w:type="dxa"/>
            <w:tcBorders>
              <w:top w:val="single" w:sz="4" w:space="0" w:color="auto"/>
              <w:left w:val="nil"/>
              <w:bottom w:val="sing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w:t>
            </w: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p>
        </w:tc>
        <w:tc>
          <w:tcPr>
            <w:tcW w:w="1134" w:type="dxa"/>
            <w:tcBorders>
              <w:top w:val="single" w:sz="4" w:space="0" w:color="auto"/>
              <w:left w:val="nil"/>
              <w:bottom w:val="sing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rsidR="00463DC2" w:rsidRPr="00463DC2" w:rsidRDefault="00463DC2" w:rsidP="00463DC2">
            <w:pPr>
              <w:spacing w:after="0"/>
              <w:jc w:val="right"/>
              <w:rPr>
                <w:lang w:eastAsia="en-AU"/>
              </w:rPr>
            </w:pPr>
          </w:p>
        </w:tc>
      </w:tr>
      <w:tr w:rsidR="00463DC2" w:rsidRPr="00463DC2" w:rsidTr="003F182E">
        <w:trPr>
          <w:trHeight w:val="285"/>
        </w:trPr>
        <w:tc>
          <w:tcPr>
            <w:tcW w:w="6536" w:type="dxa"/>
            <w:tcBorders>
              <w:top w:val="nil"/>
              <w:left w:val="nil"/>
              <w:bottom w:val="nil"/>
              <w:right w:val="nil"/>
            </w:tcBorders>
            <w:shd w:val="clear" w:color="auto" w:fill="auto"/>
            <w:noWrap/>
            <w:vAlign w:val="bottom"/>
            <w:hideMark/>
          </w:tcPr>
          <w:p w:rsidR="00463DC2" w:rsidRPr="00463DC2" w:rsidRDefault="00463DC2" w:rsidP="00463DC2">
            <w:pPr>
              <w:spacing w:after="0"/>
              <w:rPr>
                <w:lang w:eastAsia="en-AU"/>
              </w:rPr>
            </w:pPr>
            <w:r w:rsidRPr="00463DC2">
              <w:rPr>
                <w:lang w:eastAsia="en-AU"/>
              </w:rPr>
              <w:t>Balance at the end of the year</w:t>
            </w:r>
          </w:p>
        </w:tc>
        <w:tc>
          <w:tcPr>
            <w:tcW w:w="1134" w:type="dxa"/>
            <w:tcBorders>
              <w:top w:val="single" w:sz="4" w:space="0" w:color="auto"/>
              <w:left w:val="nil"/>
              <w:bottom w:val="double" w:sz="4" w:space="0" w:color="auto"/>
              <w:right w:val="nil"/>
            </w:tcBorders>
            <w:shd w:val="clear" w:color="auto" w:fill="F2F2F2" w:themeFill="background1" w:themeFillShade="F2"/>
            <w:noWrap/>
            <w:vAlign w:val="bottom"/>
            <w:hideMark/>
          </w:tcPr>
          <w:p w:rsidR="00463DC2" w:rsidRPr="00463DC2" w:rsidRDefault="00463DC2" w:rsidP="00463DC2">
            <w:pPr>
              <w:spacing w:after="0"/>
              <w:jc w:val="right"/>
              <w:rPr>
                <w:lang w:eastAsia="en-AU"/>
              </w:rPr>
            </w:pPr>
            <w:r w:rsidRPr="00463DC2">
              <w:rPr>
                <w:lang w:eastAsia="en-AU"/>
              </w:rPr>
              <w:t>39,117</w:t>
            </w:r>
          </w:p>
        </w:tc>
        <w:tc>
          <w:tcPr>
            <w:tcW w:w="1134" w:type="dxa"/>
            <w:tcBorders>
              <w:top w:val="single" w:sz="4" w:space="0" w:color="auto"/>
              <w:left w:val="nil"/>
              <w:bottom w:val="double" w:sz="4" w:space="0" w:color="auto"/>
              <w:right w:val="nil"/>
            </w:tcBorders>
            <w:shd w:val="clear" w:color="auto" w:fill="auto"/>
            <w:noWrap/>
            <w:vAlign w:val="bottom"/>
            <w:hideMark/>
          </w:tcPr>
          <w:p w:rsidR="00463DC2" w:rsidRPr="00463DC2" w:rsidRDefault="00463DC2" w:rsidP="00463DC2">
            <w:pPr>
              <w:spacing w:after="0"/>
              <w:jc w:val="right"/>
              <w:rPr>
                <w:lang w:eastAsia="en-AU"/>
              </w:rPr>
            </w:pPr>
            <w:r w:rsidRPr="00463DC2">
              <w:rPr>
                <w:lang w:eastAsia="en-AU"/>
              </w:rPr>
              <w:t>36,117</w:t>
            </w:r>
          </w:p>
        </w:tc>
      </w:tr>
    </w:tbl>
    <w:p w:rsidR="00463DC2" w:rsidRPr="00FC4E35" w:rsidRDefault="00463DC2" w:rsidP="003F182E">
      <w:pPr>
        <w:rPr>
          <w:lang w:val="en-US"/>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3F182E">
        <w:trPr>
          <w:trHeight w:val="1598"/>
        </w:trPr>
        <w:tc>
          <w:tcPr>
            <w:tcW w:w="370" w:type="dxa"/>
            <w:tcMar>
              <w:top w:w="85" w:type="dxa"/>
              <w:left w:w="0" w:type="dxa"/>
              <w:bottom w:w="85" w:type="dxa"/>
              <w:right w:w="0" w:type="dxa"/>
            </w:tcMar>
          </w:tcPr>
          <w:p w:rsidR="00FC4E35" w:rsidRPr="00FC4E35" w:rsidRDefault="003F182E" w:rsidP="003F182E">
            <w:pPr>
              <w:rPr>
                <w:color w:val="000000"/>
                <w:lang w:val="en-US"/>
              </w:rPr>
            </w:pPr>
            <w:r w:rsidRPr="00FC4E35">
              <w:rPr>
                <w:color w:val="000000"/>
                <w:lang w:val="en-US"/>
              </w:rPr>
              <w:t xml:space="preserve"> </w:t>
            </w:r>
            <w:r w:rsidR="00FC4E35" w:rsidRPr="00FC4E35">
              <w:rPr>
                <w:color w:val="000000"/>
                <w:lang w:val="en-US"/>
              </w:rPr>
              <w:t>(a)</w:t>
            </w:r>
          </w:p>
        </w:tc>
        <w:tc>
          <w:tcPr>
            <w:tcW w:w="9996" w:type="dxa"/>
            <w:tcMar>
              <w:top w:w="85" w:type="dxa"/>
              <w:left w:w="80" w:type="dxa"/>
              <w:bottom w:w="85" w:type="dxa"/>
              <w:right w:w="80" w:type="dxa"/>
            </w:tcMar>
          </w:tcPr>
          <w:p w:rsidR="003F182E" w:rsidRPr="003F182E" w:rsidRDefault="00FC4E35" w:rsidP="003F182E">
            <w:pPr>
              <w:rPr>
                <w:color w:val="000000"/>
                <w:u w:val="single"/>
                <w:lang w:val="en-US"/>
              </w:rPr>
            </w:pPr>
            <w:r w:rsidRPr="003F182E">
              <w:rPr>
                <w:color w:val="000000"/>
                <w:u w:val="single"/>
                <w:lang w:val="en-US"/>
              </w:rPr>
              <w:t>Capital appropriations</w:t>
            </w:r>
          </w:p>
          <w:p w:rsidR="00FC4E35" w:rsidRPr="00FC4E35" w:rsidRDefault="00FC4E35" w:rsidP="003F182E">
            <w:pPr>
              <w:rPr>
                <w:color w:val="000000"/>
                <w:lang w:val="en-US"/>
              </w:rPr>
            </w:pPr>
            <w:r w:rsidRPr="00FC4E35">
              <w:rPr>
                <w:color w:val="000000"/>
                <w:lang w:val="en-US"/>
              </w:rPr>
              <w:t xml:space="preserve">TI 955 </w:t>
            </w:r>
            <w:r w:rsidRPr="00FC4E35">
              <w:rPr>
                <w:i/>
                <w:iCs/>
                <w:color w:val="000000"/>
                <w:lang w:val="en-US"/>
              </w:rPr>
              <w:t>Contributions by Owners Made to Wholly Owned Public Sector Entities</w:t>
            </w:r>
            <w:r w:rsidRPr="00FC4E35">
              <w:rPr>
                <w:color w:val="000000"/>
                <w:lang w:val="en-US"/>
              </w:rPr>
              <w:t xml:space="preserve"> designates capital appropriations as contributions by owners in accordance with AASB Interpretation </w:t>
            </w:r>
            <w:r w:rsidRPr="00FC4E35">
              <w:rPr>
                <w:i/>
                <w:iCs/>
                <w:color w:val="000000"/>
                <w:lang w:val="en-US"/>
              </w:rPr>
              <w:t>1038 Contributions by Owners Made to Wholly-Owned Public Sector Entities</w:t>
            </w:r>
            <w:r w:rsidRPr="00FC4E35">
              <w:rPr>
                <w:color w:val="000000"/>
                <w:lang w:val="en-US"/>
              </w:rPr>
              <w:t>.</w:t>
            </w:r>
          </w:p>
        </w:tc>
      </w:tr>
      <w:tr w:rsidR="00FC4E35" w:rsidRPr="00FC4E35" w:rsidTr="003F182E">
        <w:trPr>
          <w:trHeight w:val="2522"/>
        </w:trPr>
        <w:tc>
          <w:tcPr>
            <w:tcW w:w="370" w:type="dxa"/>
            <w:tcMar>
              <w:top w:w="85" w:type="dxa"/>
              <w:left w:w="0" w:type="dxa"/>
              <w:bottom w:w="85" w:type="dxa"/>
              <w:right w:w="0" w:type="dxa"/>
            </w:tcMar>
          </w:tcPr>
          <w:p w:rsidR="00FC4E35" w:rsidRPr="00FC4E35" w:rsidRDefault="00FC4E35" w:rsidP="003F182E">
            <w:pPr>
              <w:rPr>
                <w:color w:val="000000"/>
                <w:lang w:val="en-US"/>
              </w:rPr>
            </w:pPr>
            <w:r w:rsidRPr="00FC4E35">
              <w:rPr>
                <w:color w:val="000000"/>
                <w:lang w:val="en-US"/>
              </w:rPr>
              <w:t>(b)</w:t>
            </w:r>
          </w:p>
        </w:tc>
        <w:tc>
          <w:tcPr>
            <w:tcW w:w="9996" w:type="dxa"/>
            <w:tcMar>
              <w:top w:w="85" w:type="dxa"/>
              <w:left w:w="80" w:type="dxa"/>
              <w:bottom w:w="85" w:type="dxa"/>
              <w:right w:w="80" w:type="dxa"/>
            </w:tcMar>
          </w:tcPr>
          <w:p w:rsidR="003F182E" w:rsidRPr="003F182E" w:rsidRDefault="00FC4E35" w:rsidP="003F182E">
            <w:pPr>
              <w:rPr>
                <w:color w:val="000000"/>
                <w:u w:val="single"/>
                <w:lang w:val="en-US"/>
              </w:rPr>
            </w:pPr>
            <w:r w:rsidRPr="003F182E">
              <w:rPr>
                <w:color w:val="000000"/>
                <w:u w:val="single"/>
                <w:lang w:val="en-US"/>
              </w:rPr>
              <w:t>Transfer of net assets from other agencies</w:t>
            </w:r>
          </w:p>
          <w:p w:rsidR="00FC4E35" w:rsidRPr="00FC4E35" w:rsidRDefault="00FC4E35" w:rsidP="003F182E">
            <w:pPr>
              <w:rPr>
                <w:color w:val="000000"/>
                <w:lang w:val="en-US"/>
              </w:rPr>
            </w:pPr>
            <w:r w:rsidRPr="00FC4E35">
              <w:rPr>
                <w:color w:val="000000"/>
                <w:lang w:val="en-US"/>
              </w:rPr>
              <w:t>Restructures of administrative arrangements resulted in the function of the Office of Science being transferred from the Department of Commerce with effect from 1 July 2013 and the function of the Western Australian Natural Disasters Relief and Recovery Arrangements being transferred from the Department of Fire and Emergency Services with effect from 1 April 2014 to the Department of the Premier and Cabinet.  The amounts reflected in equity are $349,000 and $13,000 respectively.</w:t>
            </w:r>
          </w:p>
        </w:tc>
      </w:tr>
    </w:tbl>
    <w:p w:rsidR="00FC4E35" w:rsidRPr="00FC4E35" w:rsidRDefault="00FC4E35" w:rsidP="003F182E">
      <w:pPr>
        <w:rPr>
          <w:lang w:val="en-US"/>
        </w:rPr>
      </w:pPr>
      <w:r w:rsidRPr="00FC4E35">
        <w:rPr>
          <w:lang w:val="en-US"/>
        </w:rPr>
        <w:t>AASB 1004 Contributions requires transfers of net assets as a result of a restructure of administrative arrangements to be accounted for as contributions by owners and distributions to owners.</w:t>
      </w:r>
      <w:r w:rsidRPr="00FC4E35">
        <w:rPr>
          <w:lang w:val="en-US"/>
        </w:rPr>
        <w:br/>
      </w:r>
      <w:r w:rsidRPr="00FC4E35">
        <w:rPr>
          <w:lang w:val="en-US"/>
        </w:rPr>
        <w:br/>
        <w:t>Where activities are transferred from one agency to another agency as a result of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1004 (paragraph 58)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r w:rsidRPr="00FC4E35">
        <w:rPr>
          <w:lang w:val="en-US"/>
        </w:rPr>
        <w:br/>
      </w:r>
      <w:r w:rsidRPr="00FC4E35">
        <w:rPr>
          <w:lang w:val="en-US"/>
        </w:rPr>
        <w:br/>
        <w:t>Under TI 955 non-discretionary and non-reciprocal transfers of net assets between state government agencies have been designated as contributions by owners in accordance with AASB Interpretation 1038.  Where the transferee agency accounts for a non-discretionary and non-reciprocal transfer of net assets as a contribution by owners, the transferor agency accounts for the transfer as a distribution to owners.</w:t>
      </w:r>
    </w:p>
    <w:tbl>
      <w:tblPr>
        <w:tblW w:w="8800" w:type="dxa"/>
        <w:tblInd w:w="93" w:type="dxa"/>
        <w:tblLook w:val="04A0" w:firstRow="1" w:lastRow="0" w:firstColumn="1" w:lastColumn="0" w:noHBand="0" w:noVBand="1"/>
      </w:tblPr>
      <w:tblGrid>
        <w:gridCol w:w="6560"/>
        <w:gridCol w:w="1120"/>
        <w:gridCol w:w="1120"/>
      </w:tblGrid>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b/>
                <w:lang w:eastAsia="en-AU"/>
              </w:rPr>
            </w:pPr>
            <w:r w:rsidRPr="003F182E">
              <w:rPr>
                <w:b/>
                <w:lang w:eastAsia="en-AU"/>
              </w:rPr>
              <w:t>2015 $000</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b/>
                <w:lang w:eastAsia="en-AU"/>
              </w:rPr>
            </w:pPr>
            <w:r w:rsidRPr="003F182E">
              <w:rPr>
                <w:b/>
                <w:lang w:eastAsia="en-AU"/>
              </w:rPr>
              <w:t>2014 $000</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b/>
                <w:lang w:eastAsia="en-AU"/>
              </w:rPr>
            </w:pPr>
            <w:r w:rsidRPr="003F182E">
              <w:rPr>
                <w:b/>
                <w:lang w:eastAsia="en-AU"/>
              </w:rPr>
              <w:t>Hedging Reserve</w:t>
            </w: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lang w:eastAsia="en-AU"/>
              </w:rPr>
            </w:pP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Balance at the start of the year</w:t>
            </w: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-1,963</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-2,458</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Net revaluations increments/(decrements)</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1,529</w:t>
            </w:r>
          </w:p>
        </w:tc>
        <w:tc>
          <w:tcPr>
            <w:tcW w:w="1120" w:type="dxa"/>
            <w:tcBorders>
              <w:top w:val="nil"/>
              <w:left w:val="nil"/>
              <w:bottom w:val="single" w:sz="4" w:space="0" w:color="auto"/>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495</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Restated balance at the end of the year</w:t>
            </w: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-434</w:t>
            </w:r>
          </w:p>
        </w:tc>
        <w:tc>
          <w:tcPr>
            <w:tcW w:w="1120" w:type="dxa"/>
            <w:tcBorders>
              <w:top w:val="single" w:sz="4" w:space="0" w:color="auto"/>
              <w:left w:val="nil"/>
              <w:bottom w:val="double" w:sz="4" w:space="0" w:color="auto"/>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-1,963</w:t>
            </w:r>
          </w:p>
        </w:tc>
      </w:tr>
    </w:tbl>
    <w:p w:rsidR="00FC4E35" w:rsidRDefault="00FC4E35" w:rsidP="003F182E">
      <w:pPr>
        <w:rPr>
          <w:lang w:val="en-US"/>
        </w:rPr>
      </w:pPr>
    </w:p>
    <w:tbl>
      <w:tblPr>
        <w:tblW w:w="8800" w:type="dxa"/>
        <w:tblInd w:w="93" w:type="dxa"/>
        <w:tblLook w:val="04A0" w:firstRow="1" w:lastRow="0" w:firstColumn="1" w:lastColumn="0" w:noHBand="0" w:noVBand="1"/>
      </w:tblPr>
      <w:tblGrid>
        <w:gridCol w:w="6560"/>
        <w:gridCol w:w="1120"/>
        <w:gridCol w:w="1120"/>
      </w:tblGrid>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b/>
                <w:lang w:eastAsia="en-AU"/>
              </w:rPr>
            </w:pPr>
            <w:r w:rsidRPr="003F182E">
              <w:rPr>
                <w:b/>
                <w:lang w:eastAsia="en-AU"/>
              </w:rPr>
              <w:t>2015 $000</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b/>
                <w:lang w:eastAsia="en-AU"/>
              </w:rPr>
            </w:pPr>
            <w:r w:rsidRPr="003F182E">
              <w:rPr>
                <w:b/>
                <w:lang w:eastAsia="en-AU"/>
              </w:rPr>
              <w:t>2014 $000</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b/>
                <w:lang w:eastAsia="en-AU"/>
              </w:rPr>
            </w:pPr>
            <w:r w:rsidRPr="003F182E">
              <w:rPr>
                <w:b/>
                <w:lang w:eastAsia="en-AU"/>
              </w:rPr>
              <w:t>Accumulated surplus/(deficit) (Retained Earnings)</w:t>
            </w: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lang w:eastAsia="en-AU"/>
              </w:rPr>
            </w:pP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Balance at the start of the year</w:t>
            </w: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39,820</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12,844</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Transfer to Contributed Equity</w:t>
            </w: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Result for the period</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-2,864</w:t>
            </w:r>
          </w:p>
        </w:tc>
        <w:tc>
          <w:tcPr>
            <w:tcW w:w="1120" w:type="dxa"/>
            <w:tcBorders>
              <w:top w:val="nil"/>
              <w:left w:val="nil"/>
              <w:bottom w:val="single" w:sz="4" w:space="0" w:color="auto"/>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26,976</w:t>
            </w:r>
          </w:p>
        </w:tc>
      </w:tr>
      <w:tr w:rsidR="003F182E" w:rsidRPr="003F182E" w:rsidTr="003F182E">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Restated balance at the end of the year</w:t>
            </w: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36,956</w:t>
            </w:r>
          </w:p>
        </w:tc>
        <w:tc>
          <w:tcPr>
            <w:tcW w:w="1120" w:type="dxa"/>
            <w:tcBorders>
              <w:top w:val="single" w:sz="4" w:space="0" w:color="auto"/>
              <w:left w:val="nil"/>
              <w:bottom w:val="double" w:sz="4" w:space="0" w:color="auto"/>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39,820</w:t>
            </w:r>
          </w:p>
        </w:tc>
      </w:tr>
    </w:tbl>
    <w:p w:rsidR="002A26A8" w:rsidRDefault="002A26A8">
      <w:pPr>
        <w:spacing w:line="276" w:lineRule="auto"/>
        <w:rPr>
          <w:color w:val="000000"/>
          <w:lang w:val="en-US"/>
        </w:rPr>
      </w:pPr>
    </w:p>
    <w:p w:rsidR="002A26A8" w:rsidRDefault="002A26A8">
      <w:pPr>
        <w:spacing w:line="276" w:lineRule="auto"/>
        <w:rPr>
          <w:color w:val="000000"/>
          <w:lang w:val="en-US"/>
        </w:rPr>
      </w:pPr>
      <w:r>
        <w:rPr>
          <w:color w:val="000000"/>
          <w:lang w:val="en-US"/>
        </w:rPr>
        <w:br w:type="page"/>
      </w:r>
    </w:p>
    <w:p w:rsidR="009A36D1" w:rsidRDefault="009A36D1">
      <w:pPr>
        <w:spacing w:line="276" w:lineRule="auto"/>
        <w:rPr>
          <w:color w:val="000000"/>
          <w:lang w:val="en-US"/>
        </w:rPr>
      </w:pPr>
    </w:p>
    <w:p w:rsidR="00FC4E35" w:rsidRPr="003F182E" w:rsidRDefault="00FC4E35" w:rsidP="00AE75A9">
      <w:pPr>
        <w:pStyle w:val="Heading4"/>
        <w:numPr>
          <w:ilvl w:val="0"/>
          <w:numId w:val="76"/>
        </w:numPr>
      </w:pPr>
      <w:r w:rsidRPr="003F182E">
        <w:t>Notes to the Statement of Cash Flows</w:t>
      </w:r>
    </w:p>
    <w:p w:rsidR="00FC4E35" w:rsidRPr="003F182E" w:rsidRDefault="00FC4E35" w:rsidP="003F182E">
      <w:pPr>
        <w:rPr>
          <w:u w:val="single"/>
          <w:lang w:val="en-US"/>
        </w:rPr>
      </w:pPr>
      <w:r w:rsidRPr="003F182E">
        <w:rPr>
          <w:u w:val="single"/>
          <w:lang w:val="en-US"/>
        </w:rPr>
        <w:t>Reconciliation of Cash</w:t>
      </w:r>
    </w:p>
    <w:p w:rsidR="00FC4E35" w:rsidRDefault="00FC4E35" w:rsidP="003F182E">
      <w:pPr>
        <w:rPr>
          <w:lang w:val="en-US"/>
        </w:rPr>
      </w:pPr>
      <w:r w:rsidRPr="00FC4E35">
        <w:rPr>
          <w:lang w:val="en-US"/>
        </w:rPr>
        <w:t>Cash at the end of the financial year as shown in the Cash Flow Statement is reconciled to the related items in the Statement of Financial Position:</w:t>
      </w:r>
    </w:p>
    <w:tbl>
      <w:tblPr>
        <w:tblW w:w="8800" w:type="dxa"/>
        <w:tblInd w:w="93" w:type="dxa"/>
        <w:tblLook w:val="04A0" w:firstRow="1" w:lastRow="0" w:firstColumn="1" w:lastColumn="0" w:noHBand="0" w:noVBand="1"/>
      </w:tblPr>
      <w:tblGrid>
        <w:gridCol w:w="6560"/>
        <w:gridCol w:w="1120"/>
        <w:gridCol w:w="1120"/>
      </w:tblGrid>
      <w:tr w:rsidR="003F182E" w:rsidRPr="003F182E" w:rsidTr="00BF708D">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b/>
                <w:lang w:eastAsia="en-AU"/>
              </w:rPr>
            </w:pPr>
            <w:r w:rsidRPr="003F182E">
              <w:rPr>
                <w:b/>
                <w:lang w:eastAsia="en-AU"/>
              </w:rPr>
              <w:t>2015 $000</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b/>
                <w:lang w:eastAsia="en-AU"/>
              </w:rPr>
            </w:pPr>
            <w:r w:rsidRPr="003F182E">
              <w:rPr>
                <w:b/>
                <w:lang w:eastAsia="en-AU"/>
              </w:rPr>
              <w:t>2014 $000</w:t>
            </w:r>
          </w:p>
        </w:tc>
      </w:tr>
      <w:tr w:rsidR="003F182E" w:rsidRPr="003F182E" w:rsidTr="00BF708D">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Cash and cash equivalents</w:t>
            </w:r>
          </w:p>
        </w:tc>
        <w:tc>
          <w:tcPr>
            <w:tcW w:w="1120" w:type="dxa"/>
            <w:tcBorders>
              <w:top w:val="nil"/>
              <w:left w:val="nil"/>
              <w:bottom w:val="nil"/>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30,162</w:t>
            </w:r>
          </w:p>
        </w:tc>
        <w:tc>
          <w:tcPr>
            <w:tcW w:w="1120" w:type="dxa"/>
            <w:tcBorders>
              <w:top w:val="nil"/>
              <w:left w:val="nil"/>
              <w:bottom w:val="nil"/>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30,729</w:t>
            </w:r>
          </w:p>
        </w:tc>
      </w:tr>
      <w:tr w:rsidR="003F182E" w:rsidRPr="003F182E" w:rsidTr="00BF708D">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r w:rsidRPr="003F182E">
              <w:rPr>
                <w:lang w:eastAsia="en-AU"/>
              </w:rPr>
              <w:t>Restricted cash and cash equivalents (refer to note 16)</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34,651</w:t>
            </w:r>
          </w:p>
        </w:tc>
        <w:tc>
          <w:tcPr>
            <w:tcW w:w="1120" w:type="dxa"/>
            <w:tcBorders>
              <w:top w:val="nil"/>
              <w:left w:val="nil"/>
              <w:bottom w:val="single" w:sz="4" w:space="0" w:color="auto"/>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33,261</w:t>
            </w:r>
          </w:p>
        </w:tc>
      </w:tr>
      <w:tr w:rsidR="003F182E" w:rsidRPr="003F182E" w:rsidTr="00BF708D">
        <w:trPr>
          <w:trHeight w:val="285"/>
        </w:trPr>
        <w:tc>
          <w:tcPr>
            <w:tcW w:w="6560" w:type="dxa"/>
            <w:tcBorders>
              <w:top w:val="nil"/>
              <w:left w:val="nil"/>
              <w:bottom w:val="nil"/>
              <w:right w:val="nil"/>
            </w:tcBorders>
            <w:shd w:val="clear" w:color="auto" w:fill="auto"/>
            <w:noWrap/>
            <w:vAlign w:val="bottom"/>
            <w:hideMark/>
          </w:tcPr>
          <w:p w:rsidR="003F182E" w:rsidRPr="003F182E" w:rsidRDefault="003F182E" w:rsidP="003F182E">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3F182E" w:rsidRPr="003F182E" w:rsidRDefault="003F182E" w:rsidP="003F182E">
            <w:pPr>
              <w:spacing w:after="0"/>
              <w:jc w:val="right"/>
              <w:rPr>
                <w:lang w:eastAsia="en-AU"/>
              </w:rPr>
            </w:pPr>
            <w:r w:rsidRPr="003F182E">
              <w:rPr>
                <w:lang w:eastAsia="en-AU"/>
              </w:rPr>
              <w:t>64,812</w:t>
            </w:r>
          </w:p>
        </w:tc>
        <w:tc>
          <w:tcPr>
            <w:tcW w:w="1120" w:type="dxa"/>
            <w:tcBorders>
              <w:top w:val="single" w:sz="4" w:space="0" w:color="auto"/>
              <w:left w:val="nil"/>
              <w:bottom w:val="double" w:sz="4" w:space="0" w:color="auto"/>
              <w:right w:val="nil"/>
            </w:tcBorders>
            <w:shd w:val="clear" w:color="auto" w:fill="auto"/>
            <w:noWrap/>
            <w:vAlign w:val="bottom"/>
            <w:hideMark/>
          </w:tcPr>
          <w:p w:rsidR="003F182E" w:rsidRPr="003F182E" w:rsidRDefault="003F182E" w:rsidP="003F182E">
            <w:pPr>
              <w:spacing w:after="0"/>
              <w:jc w:val="right"/>
              <w:rPr>
                <w:lang w:eastAsia="en-AU"/>
              </w:rPr>
            </w:pPr>
            <w:r w:rsidRPr="003F182E">
              <w:rPr>
                <w:lang w:eastAsia="en-AU"/>
              </w:rPr>
              <w:t>63,990</w:t>
            </w:r>
          </w:p>
        </w:tc>
      </w:tr>
    </w:tbl>
    <w:p w:rsidR="00FA2954" w:rsidRDefault="00FA2954" w:rsidP="00BF708D">
      <w:pPr>
        <w:rPr>
          <w:color w:val="000000"/>
          <w:lang w:val="en-US"/>
        </w:rPr>
      </w:pPr>
    </w:p>
    <w:p w:rsidR="00FC4E35" w:rsidRPr="00BF708D" w:rsidRDefault="00FC4E35" w:rsidP="00BF708D">
      <w:pPr>
        <w:rPr>
          <w:color w:val="000000"/>
          <w:u w:val="single"/>
          <w:lang w:val="en-US"/>
        </w:rPr>
      </w:pPr>
      <w:r w:rsidRPr="00BF708D">
        <w:rPr>
          <w:color w:val="000000"/>
          <w:u w:val="single"/>
          <w:lang w:val="en-US"/>
        </w:rPr>
        <w:t>Reconciliation of net cost of services to net cash flows provided by/(used in) operating activities</w:t>
      </w:r>
    </w:p>
    <w:tbl>
      <w:tblPr>
        <w:tblW w:w="9087" w:type="dxa"/>
        <w:tblInd w:w="93" w:type="dxa"/>
        <w:tblLook w:val="04A0" w:firstRow="1" w:lastRow="0" w:firstColumn="1" w:lastColumn="0" w:noHBand="0" w:noVBand="1"/>
      </w:tblPr>
      <w:tblGrid>
        <w:gridCol w:w="6560"/>
        <w:gridCol w:w="1252"/>
        <w:gridCol w:w="1275"/>
      </w:tblGrid>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b/>
                <w:lang w:eastAsia="en-AU"/>
              </w:rPr>
            </w:pP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b/>
                <w:lang w:eastAsia="en-AU"/>
              </w:rPr>
            </w:pPr>
            <w:r w:rsidRPr="004714A7">
              <w:rPr>
                <w:b/>
                <w:lang w:eastAsia="en-AU"/>
              </w:rPr>
              <w:t>2015 $000</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b/>
                <w:lang w:eastAsia="en-AU"/>
              </w:rPr>
            </w:pPr>
            <w:r w:rsidRPr="004714A7">
              <w:rPr>
                <w:b/>
                <w:lang w:eastAsia="en-AU"/>
              </w:rPr>
              <w:t>2014 $000</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r w:rsidRPr="004714A7">
              <w:rPr>
                <w:lang w:eastAsia="en-AU"/>
              </w:rPr>
              <w:t>Net cost of services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-165,892</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-191,730</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u w:val="single"/>
                <w:lang w:eastAsia="en-AU"/>
              </w:rPr>
            </w:pPr>
            <w:r w:rsidRPr="004714A7">
              <w:rPr>
                <w:u w:val="single"/>
                <w:lang w:eastAsia="en-AU"/>
              </w:rPr>
              <w:t>Non-cash items: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Depreciation and amortisation expense</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2,009</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1,766</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Resources received free of charge</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7,040</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7,298</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Net (gain)/loss on disposal of plant and equipment</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-17</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20</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Net (gain)/loss on foreign exchange and hedging</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112</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382</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u w:val="single"/>
                <w:lang w:eastAsia="en-AU"/>
              </w:rPr>
            </w:pPr>
            <w:r w:rsidRPr="004714A7">
              <w:rPr>
                <w:u w:val="single"/>
                <w:lang w:eastAsia="en-AU"/>
              </w:rPr>
              <w:t>(Increase)/decrease in assets: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Current receivables(a)</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191</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(510)</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Current inventories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19</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19</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Other current assets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2,390</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119</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u w:val="single"/>
                <w:lang w:eastAsia="en-AU"/>
              </w:rPr>
            </w:pPr>
            <w:r w:rsidRPr="004714A7">
              <w:rPr>
                <w:u w:val="single"/>
                <w:lang w:eastAsia="en-AU"/>
              </w:rPr>
              <w:t>(Increase)/decrease in liabilities: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Current payables(a)</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-809</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651</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Current provisions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2,112</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881</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Non-current provisions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-277</w:t>
            </w: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413</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Other current liabilities</w:t>
            </w:r>
          </w:p>
        </w:tc>
        <w:tc>
          <w:tcPr>
            <w:tcW w:w="1252"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p>
        </w:tc>
        <w:tc>
          <w:tcPr>
            <w:tcW w:w="1275"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Change in GST in receivables/payables(b)</w:t>
            </w:r>
          </w:p>
        </w:tc>
        <w:tc>
          <w:tcPr>
            <w:tcW w:w="1252" w:type="dxa"/>
            <w:tcBorders>
              <w:top w:val="nil"/>
              <w:left w:val="nil"/>
              <w:bottom w:val="single" w:sz="4" w:space="0" w:color="auto"/>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531</w:t>
            </w:r>
          </w:p>
        </w:tc>
        <w:tc>
          <w:tcPr>
            <w:tcW w:w="1275" w:type="dxa"/>
            <w:tcBorders>
              <w:top w:val="nil"/>
              <w:left w:val="nil"/>
              <w:bottom w:val="single" w:sz="4" w:space="0" w:color="auto"/>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153</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ind w:left="333"/>
              <w:rPr>
                <w:lang w:eastAsia="en-AU"/>
              </w:rPr>
            </w:pPr>
            <w:r w:rsidRPr="004714A7">
              <w:rPr>
                <w:lang w:eastAsia="en-AU"/>
              </w:rPr>
              <w:t>Net cash provided by/(used in) operating activities</w:t>
            </w:r>
          </w:p>
        </w:tc>
        <w:tc>
          <w:tcPr>
            <w:tcW w:w="1252" w:type="dxa"/>
            <w:tcBorders>
              <w:top w:val="single" w:sz="4" w:space="0" w:color="auto"/>
              <w:left w:val="nil"/>
              <w:bottom w:val="double" w:sz="4" w:space="0" w:color="auto"/>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-152,590</w:t>
            </w:r>
          </w:p>
        </w:tc>
        <w:tc>
          <w:tcPr>
            <w:tcW w:w="1275" w:type="dxa"/>
            <w:tcBorders>
              <w:top w:val="single" w:sz="4" w:space="0" w:color="auto"/>
              <w:left w:val="nil"/>
              <w:bottom w:val="double" w:sz="4" w:space="0" w:color="auto"/>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-180,539</w:t>
            </w:r>
          </w:p>
        </w:tc>
      </w:tr>
    </w:tbl>
    <w:p w:rsidR="00FC4E35" w:rsidRPr="00FC4E35" w:rsidRDefault="00FC4E35" w:rsidP="004714A7">
      <w:pPr>
        <w:rPr>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4714A7">
        <w:trPr>
          <w:trHeight w:val="951"/>
        </w:trPr>
        <w:tc>
          <w:tcPr>
            <w:tcW w:w="370" w:type="dxa"/>
            <w:tcMar>
              <w:top w:w="85" w:type="dxa"/>
              <w:left w:w="0" w:type="dxa"/>
              <w:bottom w:w="85" w:type="dxa"/>
              <w:right w:w="0" w:type="dxa"/>
            </w:tcMar>
          </w:tcPr>
          <w:p w:rsidR="00FC4E35" w:rsidRPr="00FC4E35" w:rsidRDefault="00FC4E35" w:rsidP="004714A7">
            <w:pPr>
              <w:spacing w:after="0"/>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4714A7">
            <w:pPr>
              <w:spacing w:after="0"/>
              <w:rPr>
                <w:lang w:val="en-US"/>
              </w:rPr>
            </w:pPr>
            <w:r w:rsidRPr="00FC4E35">
              <w:rPr>
                <w:lang w:val="en-US"/>
              </w:rPr>
              <w:t>Note that the Australian Taxation Office (ATO) receivable/payable in respect of GST and the receivable/payable in respect of the sale/purchase of non-current assets are not included in these items as they do not form part of the reconciling items.</w:t>
            </w:r>
          </w:p>
        </w:tc>
      </w:tr>
      <w:tr w:rsidR="00FC4E35" w:rsidRPr="00FC4E35" w:rsidTr="004714A7">
        <w:trPr>
          <w:trHeight w:val="448"/>
        </w:trPr>
        <w:tc>
          <w:tcPr>
            <w:tcW w:w="370" w:type="dxa"/>
            <w:tcMar>
              <w:top w:w="85" w:type="dxa"/>
              <w:left w:w="0" w:type="dxa"/>
              <w:bottom w:w="85" w:type="dxa"/>
              <w:right w:w="0" w:type="dxa"/>
            </w:tcMar>
          </w:tcPr>
          <w:p w:rsidR="00FC4E35" w:rsidRPr="00FC4E35" w:rsidRDefault="00FC4E35" w:rsidP="004714A7">
            <w:pPr>
              <w:spacing w:after="0"/>
              <w:rPr>
                <w:lang w:val="en-US"/>
              </w:rPr>
            </w:pPr>
            <w:r w:rsidRPr="00FC4E35">
              <w:rPr>
                <w:lang w:val="en-US"/>
              </w:rPr>
              <w:t>(b)</w:t>
            </w:r>
          </w:p>
        </w:tc>
        <w:tc>
          <w:tcPr>
            <w:tcW w:w="9996" w:type="dxa"/>
            <w:tcMar>
              <w:top w:w="85" w:type="dxa"/>
              <w:left w:w="80" w:type="dxa"/>
              <w:bottom w:w="85" w:type="dxa"/>
              <w:right w:w="80" w:type="dxa"/>
            </w:tcMar>
          </w:tcPr>
          <w:p w:rsidR="00FC4E35" w:rsidRPr="00FC4E35" w:rsidRDefault="00FC4E35" w:rsidP="004714A7">
            <w:pPr>
              <w:spacing w:after="0"/>
              <w:rPr>
                <w:lang w:val="en-US"/>
              </w:rPr>
            </w:pPr>
            <w:r w:rsidRPr="00FC4E35">
              <w:rPr>
                <w:lang w:val="en-US"/>
              </w:rPr>
              <w:t>This reverses out the GST in receivables and payables.</w:t>
            </w:r>
          </w:p>
        </w:tc>
      </w:tr>
    </w:tbl>
    <w:p w:rsidR="004714A7" w:rsidRPr="00FC4E35" w:rsidRDefault="00FC4E35" w:rsidP="004714A7">
      <w:pPr>
        <w:rPr>
          <w:lang w:val="en-US"/>
        </w:rPr>
      </w:pPr>
      <w:r w:rsidRPr="00FC4E35">
        <w:rPr>
          <w:lang w:val="en-US"/>
        </w:rPr>
        <w:t>At the end of the reporting period, the Department had fully drawn on all financing facilities, details of which are disclos</w:t>
      </w:r>
      <w:r w:rsidR="004714A7">
        <w:rPr>
          <w:lang w:val="en-US"/>
        </w:rPr>
        <w:t>ed in the financial statements.</w:t>
      </w:r>
    </w:p>
    <w:p w:rsidR="00FC4E35" w:rsidRPr="004714A7" w:rsidRDefault="00FC4E35" w:rsidP="00AE75A9">
      <w:pPr>
        <w:pStyle w:val="Heading4"/>
        <w:numPr>
          <w:ilvl w:val="0"/>
          <w:numId w:val="76"/>
        </w:numPr>
      </w:pPr>
      <w:r w:rsidRPr="004714A7">
        <w:t>Services provided free of charge</w:t>
      </w:r>
    </w:p>
    <w:p w:rsidR="00FC4E35" w:rsidRPr="00FC4E35" w:rsidRDefault="00FC4E35" w:rsidP="004714A7">
      <w:pPr>
        <w:rPr>
          <w:lang w:val="en-US"/>
        </w:rPr>
      </w:pPr>
      <w:r w:rsidRPr="00FC4E35">
        <w:rPr>
          <w:lang w:val="en-US"/>
        </w:rPr>
        <w:t>During the year the following resources were provided to other agencies free of charge for functions outside the normal operations of the Department.</w:t>
      </w:r>
    </w:p>
    <w:tbl>
      <w:tblPr>
        <w:tblW w:w="8800" w:type="dxa"/>
        <w:tblInd w:w="93" w:type="dxa"/>
        <w:tblLook w:val="04A0" w:firstRow="1" w:lastRow="0" w:firstColumn="1" w:lastColumn="0" w:noHBand="0" w:noVBand="1"/>
      </w:tblPr>
      <w:tblGrid>
        <w:gridCol w:w="6560"/>
        <w:gridCol w:w="1120"/>
        <w:gridCol w:w="1120"/>
      </w:tblGrid>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b/>
                <w:lang w:eastAsia="en-AU"/>
              </w:rPr>
            </w:pPr>
            <w:r w:rsidRPr="004714A7">
              <w:rPr>
                <w:b/>
                <w:lang w:eastAsia="en-AU"/>
              </w:rPr>
              <w:t>2015 $000</w:t>
            </w:r>
          </w:p>
        </w:tc>
        <w:tc>
          <w:tcPr>
            <w:tcW w:w="1120"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b/>
                <w:lang w:eastAsia="en-AU"/>
              </w:rPr>
            </w:pPr>
            <w:r w:rsidRPr="004714A7">
              <w:rPr>
                <w:b/>
                <w:lang w:eastAsia="en-AU"/>
              </w:rPr>
              <w:t>2014 $000</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r w:rsidRPr="004714A7">
              <w:rPr>
                <w:lang w:eastAsia="en-AU"/>
              </w:rPr>
              <w:t>Department of Finance – Library Services</w:t>
            </w:r>
          </w:p>
        </w:tc>
        <w:tc>
          <w:tcPr>
            <w:tcW w:w="1120"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131</w:t>
            </w:r>
          </w:p>
        </w:tc>
        <w:tc>
          <w:tcPr>
            <w:tcW w:w="1120"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201</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r w:rsidRPr="004714A7">
              <w:rPr>
                <w:lang w:eastAsia="en-AU"/>
              </w:rPr>
              <w:t>Department of Treasury – Library Services</w:t>
            </w:r>
          </w:p>
        </w:tc>
        <w:tc>
          <w:tcPr>
            <w:tcW w:w="1120"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71</w:t>
            </w:r>
          </w:p>
        </w:tc>
        <w:tc>
          <w:tcPr>
            <w:tcW w:w="1120"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134</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r w:rsidRPr="004714A7">
              <w:rPr>
                <w:lang w:eastAsia="en-AU"/>
              </w:rPr>
              <w:t>Public Sector Commission</w:t>
            </w:r>
          </w:p>
        </w:tc>
        <w:tc>
          <w:tcPr>
            <w:tcW w:w="1120" w:type="dxa"/>
            <w:tcBorders>
              <w:top w:val="nil"/>
              <w:left w:val="nil"/>
              <w:bottom w:val="nil"/>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912</w:t>
            </w:r>
          </w:p>
        </w:tc>
        <w:tc>
          <w:tcPr>
            <w:tcW w:w="1120" w:type="dxa"/>
            <w:tcBorders>
              <w:top w:val="nil"/>
              <w:left w:val="nil"/>
              <w:bottom w:val="nil"/>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1,079</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r w:rsidRPr="004714A7">
              <w:rPr>
                <w:lang w:eastAsia="en-AU"/>
              </w:rPr>
              <w:t>Parliamentary Commissioner for Administrative Investigation</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91</w:t>
            </w:r>
          </w:p>
        </w:tc>
        <w:tc>
          <w:tcPr>
            <w:tcW w:w="1120" w:type="dxa"/>
            <w:tcBorders>
              <w:top w:val="nil"/>
              <w:left w:val="nil"/>
              <w:bottom w:val="single" w:sz="4" w:space="0" w:color="auto"/>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114</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4714A7" w:rsidRPr="004714A7" w:rsidRDefault="004714A7" w:rsidP="004714A7">
            <w:pPr>
              <w:spacing w:after="0"/>
              <w:jc w:val="right"/>
              <w:rPr>
                <w:lang w:eastAsia="en-AU"/>
              </w:rPr>
            </w:pPr>
            <w:r w:rsidRPr="004714A7">
              <w:rPr>
                <w:lang w:eastAsia="en-AU"/>
              </w:rPr>
              <w:t>1,205</w:t>
            </w:r>
          </w:p>
        </w:tc>
        <w:tc>
          <w:tcPr>
            <w:tcW w:w="1120" w:type="dxa"/>
            <w:tcBorders>
              <w:top w:val="single" w:sz="4" w:space="0" w:color="auto"/>
              <w:left w:val="nil"/>
              <w:bottom w:val="double" w:sz="4" w:space="0" w:color="auto"/>
              <w:right w:val="nil"/>
            </w:tcBorders>
            <w:shd w:val="clear" w:color="auto" w:fill="auto"/>
            <w:noWrap/>
            <w:vAlign w:val="bottom"/>
            <w:hideMark/>
          </w:tcPr>
          <w:p w:rsidR="004714A7" w:rsidRPr="004714A7" w:rsidRDefault="004714A7" w:rsidP="004714A7">
            <w:pPr>
              <w:spacing w:after="0"/>
              <w:jc w:val="right"/>
              <w:rPr>
                <w:lang w:eastAsia="en-AU"/>
              </w:rPr>
            </w:pPr>
            <w:r w:rsidRPr="004714A7">
              <w:rPr>
                <w:lang w:eastAsia="en-AU"/>
              </w:rPr>
              <w:t>1,528</w:t>
            </w:r>
          </w:p>
        </w:tc>
      </w:tr>
    </w:tbl>
    <w:p w:rsidR="00FC4E35" w:rsidRDefault="00FC4E35" w:rsidP="004714A7">
      <w:pPr>
        <w:pStyle w:val="NoSpacing"/>
        <w:rPr>
          <w:lang w:val="en-US"/>
        </w:rPr>
      </w:pPr>
    </w:p>
    <w:p w:rsidR="004714A7" w:rsidRDefault="00FC4E35" w:rsidP="004714A7">
      <w:pPr>
        <w:rPr>
          <w:lang w:val="en-US"/>
        </w:rPr>
      </w:pPr>
      <w:r w:rsidRPr="00FC4E35">
        <w:rPr>
          <w:lang w:val="en-US"/>
        </w:rPr>
        <w:t>All the above expenses form part of the Department’s net cost of services.</w:t>
      </w:r>
    </w:p>
    <w:p w:rsidR="004714A7" w:rsidRPr="00FC4E35" w:rsidRDefault="004714A7" w:rsidP="004714A7">
      <w:pPr>
        <w:rPr>
          <w:lang w:val="en-US"/>
        </w:rPr>
      </w:pPr>
    </w:p>
    <w:p w:rsidR="00FC4E35" w:rsidRPr="004714A7" w:rsidRDefault="00FC4E35" w:rsidP="00AE75A9">
      <w:pPr>
        <w:pStyle w:val="Heading4"/>
        <w:numPr>
          <w:ilvl w:val="0"/>
          <w:numId w:val="76"/>
        </w:numPr>
      </w:pPr>
      <w:r w:rsidRPr="004714A7">
        <w:t>Other assets</w:t>
      </w:r>
    </w:p>
    <w:tbl>
      <w:tblPr>
        <w:tblW w:w="8800" w:type="dxa"/>
        <w:tblInd w:w="93" w:type="dxa"/>
        <w:tblLook w:val="04A0" w:firstRow="1" w:lastRow="0" w:firstColumn="1" w:lastColumn="0" w:noHBand="0" w:noVBand="1"/>
      </w:tblPr>
      <w:tblGrid>
        <w:gridCol w:w="6560"/>
        <w:gridCol w:w="1120"/>
        <w:gridCol w:w="1120"/>
      </w:tblGrid>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4714A7" w:rsidRPr="004714A7" w:rsidRDefault="004714A7" w:rsidP="004714A7">
            <w:pPr>
              <w:spacing w:after="0"/>
              <w:jc w:val="right"/>
              <w:rPr>
                <w:b/>
                <w:lang w:eastAsia="en-AU"/>
              </w:rPr>
            </w:pPr>
            <w:r w:rsidRPr="004714A7">
              <w:rPr>
                <w:b/>
                <w:lang w:eastAsia="en-AU"/>
              </w:rPr>
              <w:t>2015 $000</w:t>
            </w:r>
          </w:p>
        </w:tc>
        <w:tc>
          <w:tcPr>
            <w:tcW w:w="1120" w:type="dxa"/>
            <w:tcBorders>
              <w:top w:val="nil"/>
              <w:left w:val="nil"/>
              <w:bottom w:val="nil"/>
              <w:right w:val="nil"/>
            </w:tcBorders>
            <w:shd w:val="clear" w:color="auto" w:fill="auto"/>
            <w:noWrap/>
            <w:vAlign w:val="center"/>
            <w:hideMark/>
          </w:tcPr>
          <w:p w:rsidR="004714A7" w:rsidRPr="004714A7" w:rsidRDefault="004714A7" w:rsidP="004714A7">
            <w:pPr>
              <w:spacing w:after="0"/>
              <w:jc w:val="right"/>
              <w:rPr>
                <w:b/>
                <w:lang w:eastAsia="en-AU"/>
              </w:rPr>
            </w:pPr>
            <w:r w:rsidRPr="004714A7">
              <w:rPr>
                <w:b/>
                <w:lang w:eastAsia="en-AU"/>
              </w:rPr>
              <w:t>2014 $000</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r w:rsidRPr="004714A7">
              <w:rPr>
                <w:lang w:eastAsia="en-AU"/>
              </w:rPr>
              <w:t>Prepayments</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4714A7" w:rsidRPr="004714A7" w:rsidRDefault="004714A7" w:rsidP="004714A7">
            <w:pPr>
              <w:spacing w:after="0"/>
              <w:jc w:val="right"/>
              <w:rPr>
                <w:lang w:eastAsia="en-AU"/>
              </w:rPr>
            </w:pPr>
            <w:r w:rsidRPr="004714A7">
              <w:rPr>
                <w:lang w:eastAsia="en-AU"/>
              </w:rPr>
              <w:t>527</w:t>
            </w:r>
          </w:p>
        </w:tc>
        <w:tc>
          <w:tcPr>
            <w:tcW w:w="1120" w:type="dxa"/>
            <w:tcBorders>
              <w:top w:val="nil"/>
              <w:left w:val="nil"/>
              <w:bottom w:val="single" w:sz="4" w:space="0" w:color="auto"/>
              <w:right w:val="nil"/>
            </w:tcBorders>
            <w:shd w:val="clear" w:color="auto" w:fill="auto"/>
            <w:noWrap/>
            <w:vAlign w:val="center"/>
            <w:hideMark/>
          </w:tcPr>
          <w:p w:rsidR="004714A7" w:rsidRPr="004714A7" w:rsidRDefault="004714A7" w:rsidP="004714A7">
            <w:pPr>
              <w:spacing w:after="0"/>
              <w:jc w:val="right"/>
              <w:rPr>
                <w:lang w:eastAsia="en-AU"/>
              </w:rPr>
            </w:pPr>
            <w:r w:rsidRPr="004714A7">
              <w:rPr>
                <w:lang w:eastAsia="en-AU"/>
              </w:rPr>
              <w:t>916</w:t>
            </w:r>
          </w:p>
        </w:tc>
      </w:tr>
      <w:tr w:rsidR="004714A7" w:rsidRPr="004714A7" w:rsidTr="004714A7">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4714A7">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center"/>
            <w:hideMark/>
          </w:tcPr>
          <w:p w:rsidR="004714A7" w:rsidRPr="004714A7" w:rsidRDefault="004714A7" w:rsidP="004714A7">
            <w:pPr>
              <w:spacing w:after="0"/>
              <w:jc w:val="right"/>
              <w:rPr>
                <w:lang w:eastAsia="en-AU"/>
              </w:rPr>
            </w:pPr>
            <w:r w:rsidRPr="004714A7">
              <w:rPr>
                <w:lang w:eastAsia="en-AU"/>
              </w:rPr>
              <w:t>527</w:t>
            </w:r>
          </w:p>
        </w:tc>
        <w:tc>
          <w:tcPr>
            <w:tcW w:w="1120" w:type="dxa"/>
            <w:tcBorders>
              <w:top w:val="single" w:sz="4" w:space="0" w:color="auto"/>
              <w:left w:val="nil"/>
              <w:bottom w:val="double" w:sz="4" w:space="0" w:color="auto"/>
              <w:right w:val="nil"/>
            </w:tcBorders>
            <w:shd w:val="clear" w:color="auto" w:fill="auto"/>
            <w:noWrap/>
            <w:vAlign w:val="center"/>
            <w:hideMark/>
          </w:tcPr>
          <w:p w:rsidR="004714A7" w:rsidRPr="004714A7" w:rsidRDefault="004714A7" w:rsidP="004714A7">
            <w:pPr>
              <w:spacing w:after="0"/>
              <w:jc w:val="right"/>
              <w:rPr>
                <w:lang w:eastAsia="en-AU"/>
              </w:rPr>
            </w:pPr>
            <w:r w:rsidRPr="004714A7">
              <w:rPr>
                <w:lang w:eastAsia="en-AU"/>
              </w:rPr>
              <w:t>916</w:t>
            </w:r>
          </w:p>
        </w:tc>
      </w:tr>
    </w:tbl>
    <w:p w:rsidR="00FC4E35" w:rsidRPr="00FC4E35" w:rsidRDefault="00FC4E35" w:rsidP="004714A7">
      <w:pPr>
        <w:rPr>
          <w:lang w:val="en-US"/>
        </w:rPr>
      </w:pPr>
    </w:p>
    <w:p w:rsidR="00FC4E35" w:rsidRPr="00FC4E35" w:rsidRDefault="00FC4E35" w:rsidP="00AE75A9">
      <w:pPr>
        <w:pStyle w:val="Heading4"/>
        <w:numPr>
          <w:ilvl w:val="0"/>
          <w:numId w:val="76"/>
        </w:numPr>
        <w:rPr>
          <w:lang w:val="en-US"/>
        </w:rPr>
      </w:pPr>
      <w:r w:rsidRPr="00FC4E35">
        <w:rPr>
          <w:lang w:val="en-US"/>
        </w:rPr>
        <w:t>Commitments</w:t>
      </w:r>
    </w:p>
    <w:p w:rsidR="00FC4E35" w:rsidRPr="00FC4E35" w:rsidRDefault="00FC4E35" w:rsidP="004714A7">
      <w:pPr>
        <w:pStyle w:val="Heading7"/>
        <w:rPr>
          <w:color w:val="000000"/>
          <w:lang w:val="en-US"/>
        </w:rPr>
      </w:pPr>
      <w:r w:rsidRPr="00FC4E35">
        <w:rPr>
          <w:lang w:val="en-GB"/>
        </w:rPr>
        <w:t>Lease commitments</w:t>
      </w:r>
    </w:p>
    <w:p w:rsidR="00FC4E35" w:rsidRPr="00FC4E35" w:rsidRDefault="00FC4E35" w:rsidP="004714A7">
      <w:pPr>
        <w:rPr>
          <w:lang w:val="en-US"/>
        </w:rPr>
      </w:pPr>
      <w:r w:rsidRPr="00FC4E35">
        <w:rPr>
          <w:lang w:val="en-US"/>
        </w:rPr>
        <w:t>Commitments in relation to leases contracted for at the reporting date but not recognised in the financial statements are payable as follows:</w:t>
      </w:r>
    </w:p>
    <w:p w:rsidR="00FC4E35" w:rsidRDefault="00FC4E35" w:rsidP="004714A7">
      <w:pPr>
        <w:rPr>
          <w:lang w:val="en-US"/>
        </w:rPr>
      </w:pPr>
      <w:r w:rsidRPr="00FC4E35">
        <w:rPr>
          <w:lang w:val="en-US"/>
        </w:rPr>
        <w:t>Non-cancellable operating lease commitments:</w:t>
      </w:r>
    </w:p>
    <w:tbl>
      <w:tblPr>
        <w:tblW w:w="8800" w:type="dxa"/>
        <w:tblInd w:w="93" w:type="dxa"/>
        <w:tblLook w:val="04A0" w:firstRow="1" w:lastRow="0" w:firstColumn="1" w:lastColumn="0" w:noHBand="0" w:noVBand="1"/>
      </w:tblPr>
      <w:tblGrid>
        <w:gridCol w:w="6560"/>
        <w:gridCol w:w="1120"/>
        <w:gridCol w:w="1120"/>
      </w:tblGrid>
      <w:tr w:rsidR="004714A7" w:rsidRPr="004714A7" w:rsidTr="00734F95">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734F95">
            <w:pPr>
              <w:spacing w:after="0"/>
              <w:rPr>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4714A7" w:rsidRPr="00734F95" w:rsidRDefault="004714A7" w:rsidP="00734F95">
            <w:pPr>
              <w:spacing w:after="0"/>
              <w:jc w:val="right"/>
              <w:rPr>
                <w:b/>
                <w:lang w:eastAsia="en-AU"/>
              </w:rPr>
            </w:pPr>
            <w:r w:rsidRPr="00734F95">
              <w:rPr>
                <w:b/>
                <w:lang w:eastAsia="en-AU"/>
              </w:rPr>
              <w:t>2015 $000</w:t>
            </w:r>
          </w:p>
        </w:tc>
        <w:tc>
          <w:tcPr>
            <w:tcW w:w="1120" w:type="dxa"/>
            <w:tcBorders>
              <w:top w:val="nil"/>
              <w:left w:val="nil"/>
              <w:bottom w:val="nil"/>
              <w:right w:val="nil"/>
            </w:tcBorders>
            <w:shd w:val="clear" w:color="auto" w:fill="auto"/>
            <w:noWrap/>
            <w:vAlign w:val="bottom"/>
            <w:hideMark/>
          </w:tcPr>
          <w:p w:rsidR="004714A7" w:rsidRPr="00734F95" w:rsidRDefault="004714A7" w:rsidP="00734F95">
            <w:pPr>
              <w:spacing w:after="0"/>
              <w:jc w:val="right"/>
              <w:rPr>
                <w:b/>
                <w:lang w:eastAsia="en-AU"/>
              </w:rPr>
            </w:pPr>
            <w:r w:rsidRPr="00734F95">
              <w:rPr>
                <w:b/>
                <w:lang w:eastAsia="en-AU"/>
              </w:rPr>
              <w:t>2014 $000</w:t>
            </w:r>
          </w:p>
        </w:tc>
      </w:tr>
      <w:tr w:rsidR="004714A7" w:rsidRPr="004714A7" w:rsidTr="00734F95">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734F95">
            <w:pPr>
              <w:spacing w:after="0"/>
              <w:rPr>
                <w:lang w:eastAsia="en-AU"/>
              </w:rPr>
            </w:pPr>
            <w:r w:rsidRPr="004714A7">
              <w:rPr>
                <w:lang w:eastAsia="en-AU"/>
              </w:rPr>
              <w:t>Within 1 year</w:t>
            </w:r>
          </w:p>
        </w:tc>
        <w:tc>
          <w:tcPr>
            <w:tcW w:w="1120" w:type="dxa"/>
            <w:tcBorders>
              <w:top w:val="nil"/>
              <w:left w:val="nil"/>
              <w:bottom w:val="nil"/>
              <w:right w:val="nil"/>
            </w:tcBorders>
            <w:shd w:val="clear" w:color="auto" w:fill="F2F2F2" w:themeFill="background1" w:themeFillShade="F2"/>
            <w:noWrap/>
            <w:vAlign w:val="bottom"/>
            <w:hideMark/>
          </w:tcPr>
          <w:p w:rsidR="004714A7" w:rsidRPr="004714A7" w:rsidRDefault="004714A7" w:rsidP="00734F95">
            <w:pPr>
              <w:spacing w:after="0"/>
              <w:jc w:val="right"/>
              <w:rPr>
                <w:lang w:eastAsia="en-AU"/>
              </w:rPr>
            </w:pPr>
            <w:r w:rsidRPr="004714A7">
              <w:rPr>
                <w:lang w:eastAsia="en-AU"/>
              </w:rPr>
              <w:t>25,086</w:t>
            </w:r>
          </w:p>
        </w:tc>
        <w:tc>
          <w:tcPr>
            <w:tcW w:w="1120" w:type="dxa"/>
            <w:tcBorders>
              <w:top w:val="nil"/>
              <w:left w:val="nil"/>
              <w:bottom w:val="nil"/>
              <w:right w:val="nil"/>
            </w:tcBorders>
            <w:shd w:val="clear" w:color="auto" w:fill="auto"/>
            <w:noWrap/>
            <w:vAlign w:val="bottom"/>
            <w:hideMark/>
          </w:tcPr>
          <w:p w:rsidR="004714A7" w:rsidRPr="004714A7" w:rsidRDefault="004714A7" w:rsidP="00734F95">
            <w:pPr>
              <w:spacing w:after="0"/>
              <w:jc w:val="right"/>
              <w:rPr>
                <w:lang w:eastAsia="en-AU"/>
              </w:rPr>
            </w:pPr>
            <w:r w:rsidRPr="004714A7">
              <w:rPr>
                <w:lang w:eastAsia="en-AU"/>
              </w:rPr>
              <w:t>21,839</w:t>
            </w:r>
          </w:p>
        </w:tc>
      </w:tr>
      <w:tr w:rsidR="004714A7" w:rsidRPr="004714A7" w:rsidTr="00734F95">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734F95">
            <w:pPr>
              <w:spacing w:after="0"/>
              <w:rPr>
                <w:lang w:eastAsia="en-AU"/>
              </w:rPr>
            </w:pPr>
            <w:r w:rsidRPr="004714A7">
              <w:rPr>
                <w:lang w:eastAsia="en-AU"/>
              </w:rPr>
              <w:t>Later than 1 year but not later than 5 years</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4714A7" w:rsidRPr="004714A7" w:rsidRDefault="004714A7" w:rsidP="00734F95">
            <w:pPr>
              <w:spacing w:after="0"/>
              <w:jc w:val="right"/>
              <w:rPr>
                <w:lang w:eastAsia="en-AU"/>
              </w:rPr>
            </w:pPr>
            <w:r w:rsidRPr="004714A7">
              <w:rPr>
                <w:lang w:eastAsia="en-AU"/>
              </w:rPr>
              <w:t>52,614</w:t>
            </w:r>
          </w:p>
        </w:tc>
        <w:tc>
          <w:tcPr>
            <w:tcW w:w="1120" w:type="dxa"/>
            <w:tcBorders>
              <w:top w:val="nil"/>
              <w:left w:val="nil"/>
              <w:bottom w:val="single" w:sz="4" w:space="0" w:color="auto"/>
              <w:right w:val="nil"/>
            </w:tcBorders>
            <w:shd w:val="clear" w:color="auto" w:fill="auto"/>
            <w:noWrap/>
            <w:vAlign w:val="bottom"/>
            <w:hideMark/>
          </w:tcPr>
          <w:p w:rsidR="004714A7" w:rsidRPr="004714A7" w:rsidRDefault="004714A7" w:rsidP="00734F95">
            <w:pPr>
              <w:spacing w:after="0"/>
              <w:jc w:val="right"/>
              <w:rPr>
                <w:lang w:eastAsia="en-AU"/>
              </w:rPr>
            </w:pPr>
            <w:r w:rsidRPr="004714A7">
              <w:rPr>
                <w:lang w:eastAsia="en-AU"/>
              </w:rPr>
              <w:t>71,307</w:t>
            </w:r>
          </w:p>
        </w:tc>
      </w:tr>
      <w:tr w:rsidR="004714A7" w:rsidRPr="004714A7" w:rsidTr="00734F95">
        <w:trPr>
          <w:trHeight w:val="285"/>
        </w:trPr>
        <w:tc>
          <w:tcPr>
            <w:tcW w:w="6560" w:type="dxa"/>
            <w:tcBorders>
              <w:top w:val="nil"/>
              <w:left w:val="nil"/>
              <w:bottom w:val="nil"/>
              <w:right w:val="nil"/>
            </w:tcBorders>
            <w:shd w:val="clear" w:color="auto" w:fill="auto"/>
            <w:noWrap/>
            <w:vAlign w:val="bottom"/>
            <w:hideMark/>
          </w:tcPr>
          <w:p w:rsidR="004714A7" w:rsidRPr="004714A7" w:rsidRDefault="004714A7" w:rsidP="00734F95">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4714A7" w:rsidRPr="004714A7" w:rsidRDefault="004714A7" w:rsidP="00734F95">
            <w:pPr>
              <w:spacing w:after="0"/>
              <w:jc w:val="right"/>
              <w:rPr>
                <w:lang w:eastAsia="en-AU"/>
              </w:rPr>
            </w:pPr>
            <w:r w:rsidRPr="004714A7">
              <w:rPr>
                <w:lang w:eastAsia="en-AU"/>
              </w:rPr>
              <w:t>77,700</w:t>
            </w:r>
          </w:p>
        </w:tc>
        <w:tc>
          <w:tcPr>
            <w:tcW w:w="1120" w:type="dxa"/>
            <w:tcBorders>
              <w:top w:val="single" w:sz="4" w:space="0" w:color="auto"/>
              <w:left w:val="nil"/>
              <w:bottom w:val="double" w:sz="4" w:space="0" w:color="auto"/>
              <w:right w:val="nil"/>
            </w:tcBorders>
            <w:shd w:val="clear" w:color="auto" w:fill="auto"/>
            <w:noWrap/>
            <w:vAlign w:val="bottom"/>
            <w:hideMark/>
          </w:tcPr>
          <w:p w:rsidR="004714A7" w:rsidRPr="004714A7" w:rsidRDefault="004714A7" w:rsidP="00734F95">
            <w:pPr>
              <w:spacing w:after="0"/>
              <w:jc w:val="right"/>
              <w:rPr>
                <w:lang w:eastAsia="en-AU"/>
              </w:rPr>
            </w:pPr>
            <w:r w:rsidRPr="004714A7">
              <w:rPr>
                <w:lang w:eastAsia="en-AU"/>
              </w:rPr>
              <w:t>93,146</w:t>
            </w:r>
          </w:p>
        </w:tc>
      </w:tr>
    </w:tbl>
    <w:p w:rsidR="004714A7" w:rsidRDefault="004714A7" w:rsidP="00734F95">
      <w:pPr>
        <w:rPr>
          <w:lang w:val="en-US"/>
        </w:rPr>
      </w:pPr>
    </w:p>
    <w:p w:rsidR="00FC4E35" w:rsidRDefault="00FC4E35" w:rsidP="00734F95">
      <w:pPr>
        <w:rPr>
          <w:lang w:val="en-US"/>
        </w:rPr>
      </w:pPr>
      <w:r w:rsidRPr="00FC4E35">
        <w:rPr>
          <w:lang w:val="en-US"/>
        </w:rPr>
        <w:t>Motor vehicle leases as part of the ‘whole of Government’ arrangement:</w:t>
      </w:r>
    </w:p>
    <w:tbl>
      <w:tblPr>
        <w:tblW w:w="8800" w:type="dxa"/>
        <w:tblInd w:w="93" w:type="dxa"/>
        <w:tblLook w:val="04A0" w:firstRow="1" w:lastRow="0" w:firstColumn="1" w:lastColumn="0" w:noHBand="0" w:noVBand="1"/>
      </w:tblPr>
      <w:tblGrid>
        <w:gridCol w:w="6560"/>
        <w:gridCol w:w="1120"/>
        <w:gridCol w:w="1120"/>
      </w:tblGrid>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b/>
                <w:lang w:eastAsia="en-AU"/>
              </w:rPr>
            </w:pPr>
            <w:r w:rsidRPr="00734F95">
              <w:rPr>
                <w:b/>
                <w:lang w:eastAsia="en-AU"/>
              </w:rPr>
              <w:t>2015 $000</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b/>
                <w:lang w:eastAsia="en-AU"/>
              </w:rPr>
            </w:pPr>
            <w:r w:rsidRPr="00734F95">
              <w:rPr>
                <w:b/>
                <w:lang w:eastAsia="en-AU"/>
              </w:rPr>
              <w:t>2014 $000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Within 1 year</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651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765</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Later than 1 year but not later than 5 years</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182</w:t>
            </w:r>
          </w:p>
        </w:tc>
        <w:tc>
          <w:tcPr>
            <w:tcW w:w="1120" w:type="dxa"/>
            <w:tcBorders>
              <w:top w:val="nil"/>
              <w:left w:val="nil"/>
              <w:bottom w:val="single" w:sz="4" w:space="0" w:color="auto"/>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233</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833</w:t>
            </w:r>
          </w:p>
        </w:tc>
        <w:tc>
          <w:tcPr>
            <w:tcW w:w="1120" w:type="dxa"/>
            <w:tcBorders>
              <w:top w:val="single" w:sz="4" w:space="0" w:color="auto"/>
              <w:left w:val="nil"/>
              <w:bottom w:val="single" w:sz="4" w:space="0" w:color="auto"/>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998</w:t>
            </w:r>
          </w:p>
        </w:tc>
      </w:tr>
    </w:tbl>
    <w:p w:rsidR="00FC4E35" w:rsidRPr="00FC4E35" w:rsidRDefault="00FC4E35" w:rsidP="00734F95">
      <w:pPr>
        <w:rPr>
          <w:color w:val="000000"/>
          <w:lang w:val="en-US"/>
        </w:rPr>
      </w:pPr>
    </w:p>
    <w:p w:rsidR="00FC4E35" w:rsidRDefault="00FC4E35" w:rsidP="00734F95">
      <w:pPr>
        <w:rPr>
          <w:color w:val="000000"/>
          <w:lang w:val="en-US"/>
        </w:rPr>
      </w:pPr>
      <w:r w:rsidRPr="00FC4E35">
        <w:rPr>
          <w:color w:val="000000"/>
          <w:lang w:val="en-US"/>
        </w:rPr>
        <w:t>Accommodation leases occupied by the Department:</w:t>
      </w:r>
    </w:p>
    <w:tbl>
      <w:tblPr>
        <w:tblW w:w="8800" w:type="dxa"/>
        <w:tblInd w:w="93" w:type="dxa"/>
        <w:tblLook w:val="04A0" w:firstRow="1" w:lastRow="0" w:firstColumn="1" w:lastColumn="0" w:noHBand="0" w:noVBand="1"/>
      </w:tblPr>
      <w:tblGrid>
        <w:gridCol w:w="6560"/>
        <w:gridCol w:w="1120"/>
        <w:gridCol w:w="1120"/>
      </w:tblGrid>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b/>
                <w:lang w:eastAsia="en-AU"/>
              </w:rPr>
            </w:pPr>
          </w:p>
        </w:tc>
        <w:tc>
          <w:tcPr>
            <w:tcW w:w="1120" w:type="dxa"/>
            <w:tcBorders>
              <w:top w:val="nil"/>
              <w:left w:val="nil"/>
              <w:bottom w:val="nil"/>
              <w:right w:val="nil"/>
            </w:tcBorders>
            <w:shd w:val="clear" w:color="auto" w:fill="F2F2F2" w:themeFill="background1" w:themeFillShade="F2"/>
            <w:noWrap/>
            <w:vAlign w:val="center"/>
            <w:hideMark/>
          </w:tcPr>
          <w:p w:rsidR="00734F95" w:rsidRPr="00734F95" w:rsidRDefault="00734F95" w:rsidP="00734F95">
            <w:pPr>
              <w:spacing w:after="0"/>
              <w:jc w:val="right"/>
              <w:rPr>
                <w:b/>
                <w:lang w:eastAsia="en-AU"/>
              </w:rPr>
            </w:pPr>
            <w:r w:rsidRPr="00734F95">
              <w:rPr>
                <w:b/>
                <w:lang w:eastAsia="en-AU"/>
              </w:rPr>
              <w:t>2015 $000</w:t>
            </w:r>
          </w:p>
        </w:tc>
        <w:tc>
          <w:tcPr>
            <w:tcW w:w="1120" w:type="dxa"/>
            <w:tcBorders>
              <w:top w:val="nil"/>
              <w:left w:val="nil"/>
              <w:bottom w:val="nil"/>
              <w:right w:val="nil"/>
            </w:tcBorders>
            <w:shd w:val="clear" w:color="auto" w:fill="auto"/>
            <w:noWrap/>
            <w:vAlign w:val="center"/>
            <w:hideMark/>
          </w:tcPr>
          <w:p w:rsidR="00734F95" w:rsidRPr="00734F95" w:rsidRDefault="00734F95" w:rsidP="00734F95">
            <w:pPr>
              <w:spacing w:after="0"/>
              <w:jc w:val="right"/>
              <w:rPr>
                <w:b/>
                <w:lang w:eastAsia="en-AU"/>
              </w:rPr>
            </w:pPr>
            <w:r w:rsidRPr="00734F95">
              <w:rPr>
                <w:b/>
                <w:lang w:eastAsia="en-AU"/>
              </w:rPr>
              <w:t>2014 $000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Within 1 year</w:t>
            </w:r>
          </w:p>
        </w:tc>
        <w:tc>
          <w:tcPr>
            <w:tcW w:w="1120" w:type="dxa"/>
            <w:tcBorders>
              <w:top w:val="nil"/>
              <w:left w:val="nil"/>
              <w:bottom w:val="nil"/>
              <w:right w:val="nil"/>
            </w:tcBorders>
            <w:shd w:val="clear" w:color="auto" w:fill="F2F2F2" w:themeFill="background1" w:themeFillShade="F2"/>
            <w:noWrap/>
            <w:vAlign w:val="center"/>
            <w:hideMark/>
          </w:tcPr>
          <w:p w:rsidR="00734F95" w:rsidRPr="00734F95" w:rsidRDefault="00734F95" w:rsidP="00734F95">
            <w:pPr>
              <w:spacing w:after="0"/>
              <w:jc w:val="right"/>
              <w:rPr>
                <w:lang w:eastAsia="en-AU"/>
              </w:rPr>
            </w:pPr>
            <w:r w:rsidRPr="00734F95">
              <w:rPr>
                <w:lang w:eastAsia="en-AU"/>
              </w:rPr>
              <w:t>19,655</w:t>
            </w:r>
          </w:p>
        </w:tc>
        <w:tc>
          <w:tcPr>
            <w:tcW w:w="1120" w:type="dxa"/>
            <w:tcBorders>
              <w:top w:val="nil"/>
              <w:left w:val="nil"/>
              <w:bottom w:val="nil"/>
              <w:right w:val="nil"/>
            </w:tcBorders>
            <w:shd w:val="clear" w:color="auto" w:fill="auto"/>
            <w:noWrap/>
            <w:vAlign w:val="center"/>
            <w:hideMark/>
          </w:tcPr>
          <w:p w:rsidR="00734F95" w:rsidRPr="00734F95" w:rsidRDefault="00734F95" w:rsidP="00734F95">
            <w:pPr>
              <w:spacing w:after="0"/>
              <w:jc w:val="right"/>
              <w:rPr>
                <w:lang w:eastAsia="en-AU"/>
              </w:rPr>
            </w:pPr>
            <w:r w:rsidRPr="00734F95">
              <w:rPr>
                <w:lang w:eastAsia="en-AU"/>
              </w:rPr>
              <w:t>18,213</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Later than 1 year but not later than 5 years</w:t>
            </w:r>
          </w:p>
        </w:tc>
        <w:tc>
          <w:tcPr>
            <w:tcW w:w="1120" w:type="dxa"/>
            <w:tcBorders>
              <w:top w:val="nil"/>
              <w:left w:val="nil"/>
              <w:bottom w:val="single" w:sz="4" w:space="0" w:color="auto"/>
              <w:right w:val="nil"/>
            </w:tcBorders>
            <w:shd w:val="clear" w:color="auto" w:fill="F2F2F2" w:themeFill="background1" w:themeFillShade="F2"/>
            <w:noWrap/>
            <w:vAlign w:val="center"/>
            <w:hideMark/>
          </w:tcPr>
          <w:p w:rsidR="00734F95" w:rsidRPr="00734F95" w:rsidRDefault="00734F95" w:rsidP="00734F95">
            <w:pPr>
              <w:spacing w:after="0"/>
              <w:jc w:val="right"/>
              <w:rPr>
                <w:lang w:eastAsia="en-AU"/>
              </w:rPr>
            </w:pPr>
            <w:r w:rsidRPr="00734F95">
              <w:rPr>
                <w:lang w:eastAsia="en-AU"/>
              </w:rPr>
              <w:t>50,812</w:t>
            </w:r>
          </w:p>
        </w:tc>
        <w:tc>
          <w:tcPr>
            <w:tcW w:w="1120" w:type="dxa"/>
            <w:tcBorders>
              <w:top w:val="nil"/>
              <w:left w:val="nil"/>
              <w:bottom w:val="single" w:sz="4" w:space="0" w:color="auto"/>
              <w:right w:val="nil"/>
            </w:tcBorders>
            <w:shd w:val="clear" w:color="auto" w:fill="auto"/>
            <w:noWrap/>
            <w:vAlign w:val="center"/>
            <w:hideMark/>
          </w:tcPr>
          <w:p w:rsidR="00734F95" w:rsidRPr="00734F95" w:rsidRDefault="00734F95" w:rsidP="00734F95">
            <w:pPr>
              <w:spacing w:after="0"/>
              <w:jc w:val="right"/>
              <w:rPr>
                <w:lang w:eastAsia="en-AU"/>
              </w:rPr>
            </w:pPr>
            <w:r w:rsidRPr="00734F95">
              <w:rPr>
                <w:lang w:eastAsia="en-AU"/>
              </w:rPr>
              <w:t>66,632</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center"/>
            <w:hideMark/>
          </w:tcPr>
          <w:p w:rsidR="00734F95" w:rsidRPr="00734F95" w:rsidRDefault="00734F95" w:rsidP="00734F95">
            <w:pPr>
              <w:spacing w:after="0"/>
              <w:jc w:val="right"/>
              <w:rPr>
                <w:lang w:eastAsia="en-AU"/>
              </w:rPr>
            </w:pPr>
            <w:r w:rsidRPr="00734F95">
              <w:rPr>
                <w:lang w:eastAsia="en-AU"/>
              </w:rPr>
              <w:t>70,467</w:t>
            </w:r>
          </w:p>
        </w:tc>
        <w:tc>
          <w:tcPr>
            <w:tcW w:w="1120" w:type="dxa"/>
            <w:tcBorders>
              <w:top w:val="single" w:sz="4" w:space="0" w:color="auto"/>
              <w:left w:val="nil"/>
              <w:bottom w:val="single" w:sz="4" w:space="0" w:color="auto"/>
              <w:right w:val="nil"/>
            </w:tcBorders>
            <w:shd w:val="clear" w:color="auto" w:fill="auto"/>
            <w:noWrap/>
            <w:vAlign w:val="center"/>
            <w:hideMark/>
          </w:tcPr>
          <w:p w:rsidR="00734F95" w:rsidRPr="00734F95" w:rsidRDefault="00734F95" w:rsidP="00734F95">
            <w:pPr>
              <w:spacing w:after="0"/>
              <w:jc w:val="right"/>
              <w:rPr>
                <w:lang w:eastAsia="en-AU"/>
              </w:rPr>
            </w:pPr>
            <w:r w:rsidRPr="00734F95">
              <w:rPr>
                <w:lang w:eastAsia="en-AU"/>
              </w:rPr>
              <w:t>84,845</w:t>
            </w:r>
          </w:p>
        </w:tc>
      </w:tr>
    </w:tbl>
    <w:p w:rsidR="00734F95" w:rsidRDefault="00734F95" w:rsidP="00734F95">
      <w:pPr>
        <w:rPr>
          <w:lang w:val="en-US"/>
        </w:rPr>
      </w:pPr>
    </w:p>
    <w:p w:rsidR="00FC4E35" w:rsidRDefault="00FC4E35" w:rsidP="00734F95">
      <w:pPr>
        <w:rPr>
          <w:color w:val="000000"/>
          <w:lang w:val="en-US"/>
        </w:rPr>
      </w:pPr>
      <w:r w:rsidRPr="00FC4E35">
        <w:rPr>
          <w:color w:val="000000"/>
          <w:lang w:val="en-US"/>
        </w:rPr>
        <w:t>Aircraft leases used by the Department:</w:t>
      </w:r>
    </w:p>
    <w:tbl>
      <w:tblPr>
        <w:tblW w:w="8800" w:type="dxa"/>
        <w:tblInd w:w="93" w:type="dxa"/>
        <w:tblLook w:val="04A0" w:firstRow="1" w:lastRow="0" w:firstColumn="1" w:lastColumn="0" w:noHBand="0" w:noVBand="1"/>
      </w:tblPr>
      <w:tblGrid>
        <w:gridCol w:w="6560"/>
        <w:gridCol w:w="1120"/>
        <w:gridCol w:w="1120"/>
      </w:tblGrid>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b/>
                <w:lang w:eastAsia="en-AU"/>
              </w:rPr>
            </w:pPr>
            <w:r w:rsidRPr="00734F95">
              <w:rPr>
                <w:b/>
                <w:lang w:eastAsia="en-AU"/>
              </w:rPr>
              <w:t>2015 $000</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b/>
                <w:lang w:eastAsia="en-AU"/>
              </w:rPr>
            </w:pPr>
            <w:r w:rsidRPr="00734F95">
              <w:rPr>
                <w:b/>
                <w:lang w:eastAsia="en-AU"/>
              </w:rPr>
              <w:t>2014 $000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Within 1 year</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4,780</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2,861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Later than 1 year but not later than 5 years</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1,620</w:t>
            </w:r>
          </w:p>
        </w:tc>
        <w:tc>
          <w:tcPr>
            <w:tcW w:w="1120" w:type="dxa"/>
            <w:tcBorders>
              <w:top w:val="nil"/>
              <w:left w:val="nil"/>
              <w:bottom w:val="single" w:sz="4" w:space="0" w:color="auto"/>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4,442</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p>
        </w:tc>
        <w:tc>
          <w:tcPr>
            <w:tcW w:w="1120" w:type="dxa"/>
            <w:tcBorders>
              <w:top w:val="single" w:sz="4" w:space="0" w:color="auto"/>
              <w:left w:val="nil"/>
              <w:bottom w:val="double" w:sz="4" w:space="0" w:color="auto"/>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6,400</w:t>
            </w:r>
          </w:p>
        </w:tc>
        <w:tc>
          <w:tcPr>
            <w:tcW w:w="1120" w:type="dxa"/>
            <w:tcBorders>
              <w:top w:val="single" w:sz="4" w:space="0" w:color="auto"/>
              <w:left w:val="nil"/>
              <w:bottom w:val="double" w:sz="4" w:space="0" w:color="auto"/>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7,303</w:t>
            </w:r>
          </w:p>
        </w:tc>
      </w:tr>
    </w:tbl>
    <w:p w:rsidR="00734F95" w:rsidRDefault="00734F95" w:rsidP="00734F95">
      <w:pPr>
        <w:rPr>
          <w:lang w:val="en-US"/>
        </w:rPr>
      </w:pPr>
    </w:p>
    <w:p w:rsidR="00FC4E35" w:rsidRPr="00FC4E35" w:rsidRDefault="00FC4E35" w:rsidP="00734F95">
      <w:pPr>
        <w:rPr>
          <w:lang w:val="en-US"/>
        </w:rPr>
      </w:pPr>
      <w:r w:rsidRPr="00FC4E35">
        <w:rPr>
          <w:lang w:val="en-US"/>
        </w:rPr>
        <w:t>These commitments are all inclusive of GST.</w:t>
      </w:r>
    </w:p>
    <w:p w:rsidR="00FC4E35" w:rsidRDefault="00FC4E35" w:rsidP="00734F95">
      <w:pPr>
        <w:rPr>
          <w:lang w:val="en-US"/>
        </w:rPr>
      </w:pPr>
      <w:r w:rsidRPr="00FC4E35">
        <w:rPr>
          <w:lang w:val="en-US"/>
        </w:rPr>
        <w:t>The Department has entered into a property lease which is a non-cancellable lease with a five year term, with rent payable monthly in advance.  Contingent rent provisions within the lease agreement require that the minimum lease payments shall be increased by the lower of CPI or 4% per annum.  An option exists to renew the lease at the end of the five year term for an additional term of five years.  Existing Memorandums of Understanding (MOUs) for Dumas House, the Constitutional Centre and Hale House expire on 30/6/2015, 30/6/2015 and 31/10/2015 respectively.  As it is likely these MOUs will be renewed, estimated amounts have been included for the years 2016, 2017 and 2018.</w:t>
      </w:r>
    </w:p>
    <w:tbl>
      <w:tblPr>
        <w:tblW w:w="8800" w:type="dxa"/>
        <w:tblInd w:w="93" w:type="dxa"/>
        <w:tblLook w:val="04A0" w:firstRow="1" w:lastRow="0" w:firstColumn="1" w:lastColumn="0" w:noHBand="0" w:noVBand="1"/>
      </w:tblPr>
      <w:tblGrid>
        <w:gridCol w:w="6560"/>
        <w:gridCol w:w="1120"/>
        <w:gridCol w:w="1120"/>
      </w:tblGrid>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b/>
                <w:lang w:eastAsia="en-AU"/>
              </w:rPr>
            </w:pPr>
            <w:r w:rsidRPr="00734F95">
              <w:rPr>
                <w:b/>
                <w:lang w:eastAsia="en-AU"/>
              </w:rPr>
              <w:t>2015 $000</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b/>
                <w:lang w:eastAsia="en-AU"/>
              </w:rPr>
            </w:pPr>
            <w:r w:rsidRPr="00734F95">
              <w:rPr>
                <w:b/>
                <w:lang w:eastAsia="en-AU"/>
              </w:rPr>
              <w:t>2014 $000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Capital Expenditure</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1,857</w:t>
            </w:r>
          </w:p>
        </w:tc>
      </w:tr>
    </w:tbl>
    <w:p w:rsidR="009A36D1" w:rsidRDefault="009A36D1" w:rsidP="00734F95">
      <w:pPr>
        <w:rPr>
          <w:lang w:val="en-US"/>
        </w:rPr>
      </w:pPr>
    </w:p>
    <w:p w:rsidR="009A36D1" w:rsidRDefault="009A36D1">
      <w:pPr>
        <w:spacing w:line="276" w:lineRule="auto"/>
        <w:rPr>
          <w:lang w:val="en-US"/>
        </w:rPr>
      </w:pPr>
      <w:r>
        <w:rPr>
          <w:lang w:val="en-US"/>
        </w:rPr>
        <w:br w:type="page"/>
      </w:r>
    </w:p>
    <w:p w:rsidR="00734F95" w:rsidRDefault="00734F95" w:rsidP="00734F95">
      <w:pPr>
        <w:rPr>
          <w:lang w:val="en-US"/>
        </w:rPr>
      </w:pPr>
    </w:p>
    <w:p w:rsidR="00734F95" w:rsidRDefault="00FC4E35" w:rsidP="00AE75A9">
      <w:pPr>
        <w:pStyle w:val="Heading4"/>
        <w:numPr>
          <w:ilvl w:val="0"/>
          <w:numId w:val="76"/>
        </w:numPr>
      </w:pPr>
      <w:r w:rsidRPr="00734F95">
        <w:t xml:space="preserve">Remuneration of Senior Officers </w:t>
      </w:r>
    </w:p>
    <w:p w:rsidR="00FC4E35" w:rsidRPr="00734F95" w:rsidRDefault="00FC4E35" w:rsidP="00734F95">
      <w:pPr>
        <w:pStyle w:val="Heading7"/>
        <w:rPr>
          <w:color w:val="003366"/>
        </w:rPr>
      </w:pPr>
      <w:r w:rsidRPr="00734F95">
        <w:rPr>
          <w:lang w:val="en-GB"/>
        </w:rPr>
        <w:t>Remuneration</w:t>
      </w:r>
    </w:p>
    <w:p w:rsidR="00734F95" w:rsidRDefault="00FC4E35" w:rsidP="00734F95">
      <w:pPr>
        <w:rPr>
          <w:color w:val="000000"/>
          <w:lang w:val="en-US"/>
        </w:rPr>
      </w:pPr>
      <w:r w:rsidRPr="00FC4E35">
        <w:rPr>
          <w:color w:val="000000"/>
          <w:lang w:val="en-US"/>
        </w:rPr>
        <w:t>The number of senior officers, whose total of fees, salaries, superannuation, non-monetary benefits and other benefits for the financial year, fall within the following bands are:</w:t>
      </w:r>
    </w:p>
    <w:tbl>
      <w:tblPr>
        <w:tblW w:w="8800" w:type="dxa"/>
        <w:tblInd w:w="93" w:type="dxa"/>
        <w:tblLook w:val="04A0" w:firstRow="1" w:lastRow="0" w:firstColumn="1" w:lastColumn="0" w:noHBand="0" w:noVBand="1"/>
      </w:tblPr>
      <w:tblGrid>
        <w:gridCol w:w="6560"/>
        <w:gridCol w:w="1120"/>
        <w:gridCol w:w="1120"/>
      </w:tblGrid>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b/>
                <w:lang w:eastAsia="en-AU"/>
              </w:rPr>
            </w:pP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b/>
                <w:lang w:eastAsia="en-AU"/>
              </w:rPr>
            </w:pPr>
            <w:r w:rsidRPr="00734F95">
              <w:rPr>
                <w:b/>
                <w:lang w:eastAsia="en-AU"/>
              </w:rPr>
              <w:t>2015 $000</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b/>
                <w:lang w:eastAsia="en-AU"/>
              </w:rPr>
            </w:pPr>
            <w:r w:rsidRPr="00734F95">
              <w:rPr>
                <w:b/>
                <w:lang w:eastAsia="en-AU"/>
              </w:rPr>
              <w:t>2014 $000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50,001 - 60,000</w:t>
            </w:r>
            <w:r w:rsidRPr="00734F95">
              <w:rPr>
                <w:vertAlign w:val="superscript"/>
                <w:lang w:eastAsia="en-AU"/>
              </w:rPr>
              <w:t>(a)</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160,001 - 170,000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170,001 - 180,000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180,001 - 190,000</w:t>
            </w:r>
            <w:r w:rsidRPr="00734F95">
              <w:rPr>
                <w:vertAlign w:val="superscript"/>
                <w:lang w:eastAsia="en-AU"/>
              </w:rPr>
              <w:t>(c)</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190,001 - 200,000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2</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200,001 - 210,000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210,000 - 220,000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220,001 - 230,000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230,001 - 240,000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2</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2</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240,001 - 250,000</w:t>
            </w:r>
            <w:r w:rsidRPr="00734F95">
              <w:rPr>
                <w:vertAlign w:val="superscript"/>
                <w:lang w:eastAsia="en-AU"/>
              </w:rPr>
              <w:t>(b)</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2</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250,001 - 260,000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260,001 - 270,000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2</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270,001 - 280,000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2</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340,001 - 350,000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360,001 - 370,000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410,001 - 420,000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450,001 - 460,000</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510,001 - 520,000</w:t>
            </w:r>
          </w:p>
        </w:tc>
        <w:tc>
          <w:tcPr>
            <w:tcW w:w="1120" w:type="dxa"/>
            <w:tcBorders>
              <w:top w:val="nil"/>
              <w:left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1</w:t>
            </w:r>
          </w:p>
        </w:tc>
        <w:tc>
          <w:tcPr>
            <w:tcW w:w="1120" w:type="dxa"/>
            <w:tcBorders>
              <w:top w:val="nil"/>
              <w:left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Total remuneration of senior officers is:</w:t>
            </w:r>
          </w:p>
        </w:tc>
        <w:tc>
          <w:tcPr>
            <w:tcW w:w="1120" w:type="dxa"/>
            <w:tcBorders>
              <w:top w:val="nil"/>
              <w:left w:val="nil"/>
              <w:bottom w:val="double" w:sz="4" w:space="0" w:color="auto"/>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$4,047</w:t>
            </w:r>
          </w:p>
        </w:tc>
        <w:tc>
          <w:tcPr>
            <w:tcW w:w="1120" w:type="dxa"/>
            <w:tcBorders>
              <w:top w:val="nil"/>
              <w:left w:val="nil"/>
              <w:bottom w:val="double" w:sz="4" w:space="0" w:color="auto"/>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$4,151</w:t>
            </w:r>
          </w:p>
        </w:tc>
      </w:tr>
      <w:tr w:rsidR="00734F95" w:rsidRPr="00734F95" w:rsidTr="00734F95">
        <w:trPr>
          <w:trHeight w:val="50"/>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sz w:val="16"/>
                <w:lang w:eastAsia="en-AU"/>
              </w:rPr>
            </w:pPr>
          </w:p>
        </w:tc>
        <w:tc>
          <w:tcPr>
            <w:tcW w:w="1120" w:type="dxa"/>
            <w:tcBorders>
              <w:top w:val="double" w:sz="4" w:space="0" w:color="auto"/>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sz w:val="16"/>
                <w:lang w:eastAsia="en-AU"/>
              </w:rPr>
            </w:pPr>
          </w:p>
        </w:tc>
        <w:tc>
          <w:tcPr>
            <w:tcW w:w="1120" w:type="dxa"/>
            <w:tcBorders>
              <w:top w:val="double" w:sz="4" w:space="0" w:color="auto"/>
              <w:left w:val="nil"/>
              <w:bottom w:val="nil"/>
              <w:right w:val="nil"/>
            </w:tcBorders>
            <w:shd w:val="clear" w:color="auto" w:fill="auto"/>
            <w:noWrap/>
            <w:vAlign w:val="bottom"/>
            <w:hideMark/>
          </w:tcPr>
          <w:p w:rsidR="00734F95" w:rsidRPr="00734F95" w:rsidRDefault="00734F95" w:rsidP="00734F95">
            <w:pPr>
              <w:spacing w:after="0"/>
              <w:jc w:val="right"/>
              <w:rPr>
                <w:sz w:val="16"/>
                <w:lang w:eastAsia="en-AU"/>
              </w:rPr>
            </w:pP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Base remuneration and superannuation</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$3,737</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$3,770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Annual Leave and Long Service Leave accruals</w:t>
            </w:r>
          </w:p>
        </w:tc>
        <w:tc>
          <w:tcPr>
            <w:tcW w:w="1120" w:type="dxa"/>
            <w:tcBorders>
              <w:top w:val="nil"/>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$84</w:t>
            </w:r>
          </w:p>
        </w:tc>
        <w:tc>
          <w:tcPr>
            <w:tcW w:w="1120" w:type="dxa"/>
            <w:tcBorders>
              <w:top w:val="nil"/>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$161</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r w:rsidRPr="00734F95">
              <w:rPr>
                <w:lang w:eastAsia="en-AU"/>
              </w:rPr>
              <w:t>Other benefits</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$226</w:t>
            </w:r>
          </w:p>
        </w:tc>
        <w:tc>
          <w:tcPr>
            <w:tcW w:w="1120" w:type="dxa"/>
            <w:tcBorders>
              <w:top w:val="nil"/>
              <w:left w:val="nil"/>
              <w:bottom w:val="single" w:sz="4" w:space="0" w:color="auto"/>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$220</w:t>
            </w:r>
          </w:p>
        </w:tc>
      </w:tr>
      <w:tr w:rsidR="00734F95" w:rsidRPr="00734F95" w:rsidTr="00734F95">
        <w:trPr>
          <w:trHeight w:val="285"/>
        </w:trPr>
        <w:tc>
          <w:tcPr>
            <w:tcW w:w="6560" w:type="dxa"/>
            <w:tcBorders>
              <w:top w:val="nil"/>
              <w:left w:val="nil"/>
              <w:bottom w:val="nil"/>
              <w:right w:val="nil"/>
            </w:tcBorders>
            <w:shd w:val="clear" w:color="auto" w:fill="auto"/>
            <w:noWrap/>
            <w:vAlign w:val="bottom"/>
            <w:hideMark/>
          </w:tcPr>
          <w:p w:rsidR="00734F95" w:rsidRPr="00734F95" w:rsidRDefault="00734F95" w:rsidP="00734F95">
            <w:pPr>
              <w:spacing w:after="0"/>
              <w:rPr>
                <w:lang w:eastAsia="en-AU"/>
              </w:rPr>
            </w:pPr>
          </w:p>
        </w:tc>
        <w:tc>
          <w:tcPr>
            <w:tcW w:w="1120" w:type="dxa"/>
            <w:tcBorders>
              <w:top w:val="single" w:sz="4" w:space="0" w:color="auto"/>
              <w:left w:val="nil"/>
              <w:bottom w:val="nil"/>
              <w:right w:val="nil"/>
            </w:tcBorders>
            <w:shd w:val="clear" w:color="auto" w:fill="F2F2F2" w:themeFill="background1" w:themeFillShade="F2"/>
            <w:noWrap/>
            <w:vAlign w:val="bottom"/>
            <w:hideMark/>
          </w:tcPr>
          <w:p w:rsidR="00734F95" w:rsidRPr="00734F95" w:rsidRDefault="00734F95" w:rsidP="00734F95">
            <w:pPr>
              <w:spacing w:after="0"/>
              <w:jc w:val="right"/>
              <w:rPr>
                <w:lang w:eastAsia="en-AU"/>
              </w:rPr>
            </w:pPr>
            <w:r w:rsidRPr="00734F95">
              <w:rPr>
                <w:lang w:eastAsia="en-AU"/>
              </w:rPr>
              <w:t>$4,047</w:t>
            </w:r>
          </w:p>
        </w:tc>
        <w:tc>
          <w:tcPr>
            <w:tcW w:w="1120" w:type="dxa"/>
            <w:tcBorders>
              <w:top w:val="single" w:sz="4" w:space="0" w:color="auto"/>
              <w:left w:val="nil"/>
              <w:bottom w:val="nil"/>
              <w:right w:val="nil"/>
            </w:tcBorders>
            <w:shd w:val="clear" w:color="auto" w:fill="auto"/>
            <w:noWrap/>
            <w:vAlign w:val="bottom"/>
            <w:hideMark/>
          </w:tcPr>
          <w:p w:rsidR="00734F95" w:rsidRPr="00734F95" w:rsidRDefault="00734F95" w:rsidP="00734F95">
            <w:pPr>
              <w:spacing w:after="0"/>
              <w:jc w:val="right"/>
              <w:rPr>
                <w:lang w:eastAsia="en-AU"/>
              </w:rPr>
            </w:pPr>
            <w:r w:rsidRPr="00734F95">
              <w:rPr>
                <w:lang w:eastAsia="en-AU"/>
              </w:rPr>
              <w:t>$4,151</w:t>
            </w:r>
          </w:p>
        </w:tc>
      </w:tr>
    </w:tbl>
    <w:p w:rsidR="00734F95" w:rsidRDefault="00734F95" w:rsidP="00734F95">
      <w:pPr>
        <w:rPr>
          <w:color w:val="000000"/>
          <w:lang w:val="en-US"/>
        </w:rPr>
      </w:pPr>
    </w:p>
    <w:p w:rsidR="00FC4E35" w:rsidRPr="00FC4E35" w:rsidRDefault="00FC4E35" w:rsidP="002B6A53">
      <w:pPr>
        <w:rPr>
          <w:lang w:val="en-US"/>
        </w:rPr>
      </w:pPr>
      <w:r w:rsidRPr="00FC4E35">
        <w:rPr>
          <w:lang w:val="en-US"/>
        </w:rPr>
        <w:t>The total remuneration includes the superannuation expense incurred by the Department in respect of senior officers.</w:t>
      </w:r>
    </w:p>
    <w:tbl>
      <w:tblPr>
        <w:tblW w:w="0" w:type="auto"/>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2B6A53">
        <w:trPr>
          <w:trHeight w:val="399"/>
        </w:trPr>
        <w:tc>
          <w:tcPr>
            <w:tcW w:w="370" w:type="dxa"/>
            <w:tcMar>
              <w:top w:w="85" w:type="dxa"/>
              <w:left w:w="0" w:type="dxa"/>
              <w:bottom w:w="85" w:type="dxa"/>
              <w:right w:w="0" w:type="dxa"/>
            </w:tcMar>
          </w:tcPr>
          <w:p w:rsidR="00FC4E35" w:rsidRPr="00FC4E35" w:rsidRDefault="00FC4E35" w:rsidP="002B6A53">
            <w:pPr>
              <w:spacing w:after="0"/>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2B6A53">
            <w:pPr>
              <w:spacing w:after="0"/>
              <w:rPr>
                <w:lang w:val="en-US"/>
              </w:rPr>
            </w:pPr>
            <w:r w:rsidRPr="00FC4E35">
              <w:rPr>
                <w:lang w:val="en-US"/>
              </w:rPr>
              <w:t>One Executive Director is included for the period 1 July 2014 to 11 October 2014.</w:t>
            </w:r>
          </w:p>
        </w:tc>
      </w:tr>
      <w:tr w:rsidR="00FC4E35" w:rsidRPr="00FC4E35" w:rsidTr="002B6A53">
        <w:trPr>
          <w:trHeight w:val="399"/>
        </w:trPr>
        <w:tc>
          <w:tcPr>
            <w:tcW w:w="370" w:type="dxa"/>
            <w:tcMar>
              <w:top w:w="85" w:type="dxa"/>
              <w:left w:w="0" w:type="dxa"/>
              <w:bottom w:w="85" w:type="dxa"/>
              <w:right w:w="0" w:type="dxa"/>
            </w:tcMar>
          </w:tcPr>
          <w:p w:rsidR="00FC4E35" w:rsidRPr="00FC4E35" w:rsidRDefault="00FC4E35" w:rsidP="002B6A53">
            <w:pPr>
              <w:spacing w:after="0"/>
              <w:rPr>
                <w:lang w:val="en-US"/>
              </w:rPr>
            </w:pPr>
            <w:r w:rsidRPr="00FC4E35">
              <w:rPr>
                <w:lang w:val="en-US"/>
              </w:rPr>
              <w:t>(b)</w:t>
            </w:r>
          </w:p>
        </w:tc>
        <w:tc>
          <w:tcPr>
            <w:tcW w:w="9996" w:type="dxa"/>
            <w:tcMar>
              <w:top w:w="85" w:type="dxa"/>
              <w:left w:w="80" w:type="dxa"/>
              <w:bottom w:w="85" w:type="dxa"/>
              <w:right w:w="80" w:type="dxa"/>
            </w:tcMar>
          </w:tcPr>
          <w:p w:rsidR="00FC4E35" w:rsidRPr="00FC4E35" w:rsidRDefault="00FC4E35" w:rsidP="002B6A53">
            <w:pPr>
              <w:spacing w:after="0"/>
              <w:rPr>
                <w:lang w:val="en-US"/>
              </w:rPr>
            </w:pPr>
            <w:r w:rsidRPr="00FC4E35">
              <w:rPr>
                <w:lang w:val="en-US"/>
              </w:rPr>
              <w:t>An additional Executive Director has been included from 3 November 2014.</w:t>
            </w:r>
          </w:p>
        </w:tc>
      </w:tr>
      <w:tr w:rsidR="00FC4E35" w:rsidRPr="00FC4E35" w:rsidTr="002B6A53">
        <w:trPr>
          <w:trHeight w:val="399"/>
        </w:trPr>
        <w:tc>
          <w:tcPr>
            <w:tcW w:w="370" w:type="dxa"/>
            <w:tcMar>
              <w:top w:w="85" w:type="dxa"/>
              <w:left w:w="0" w:type="dxa"/>
              <w:bottom w:w="85" w:type="dxa"/>
              <w:right w:w="0" w:type="dxa"/>
            </w:tcMar>
          </w:tcPr>
          <w:p w:rsidR="00FC4E35" w:rsidRPr="00FC4E35" w:rsidRDefault="00FC4E35" w:rsidP="002B6A53">
            <w:pPr>
              <w:spacing w:after="0"/>
              <w:rPr>
                <w:lang w:val="en-US"/>
              </w:rPr>
            </w:pPr>
            <w:r w:rsidRPr="00FC4E35">
              <w:rPr>
                <w:lang w:val="en-US"/>
              </w:rPr>
              <w:t>(c)</w:t>
            </w:r>
          </w:p>
        </w:tc>
        <w:tc>
          <w:tcPr>
            <w:tcW w:w="9996" w:type="dxa"/>
            <w:tcMar>
              <w:top w:w="85" w:type="dxa"/>
              <w:left w:w="80" w:type="dxa"/>
              <w:bottom w:w="85" w:type="dxa"/>
              <w:right w:w="80" w:type="dxa"/>
            </w:tcMar>
          </w:tcPr>
          <w:p w:rsidR="00FC4E35" w:rsidRPr="00FC4E35" w:rsidRDefault="00FC4E35" w:rsidP="002B6A53">
            <w:pPr>
              <w:spacing w:after="0"/>
              <w:rPr>
                <w:lang w:val="en-US"/>
              </w:rPr>
            </w:pPr>
            <w:r w:rsidRPr="00FC4E35">
              <w:rPr>
                <w:lang w:val="en-US"/>
              </w:rPr>
              <w:t>Includes a Director from 30 September 2014.</w:t>
            </w:r>
          </w:p>
        </w:tc>
      </w:tr>
    </w:tbl>
    <w:p w:rsidR="00FC4E35" w:rsidRPr="00FC4E35" w:rsidRDefault="00FC4E35" w:rsidP="002B6A53">
      <w:pPr>
        <w:rPr>
          <w:lang w:val="en-US"/>
        </w:rPr>
      </w:pPr>
    </w:p>
    <w:p w:rsidR="00FC4E35" w:rsidRPr="00FC4E35" w:rsidRDefault="00FC4E35" w:rsidP="002B6A53">
      <w:pPr>
        <w:rPr>
          <w:lang w:val="en-US"/>
        </w:rPr>
      </w:pPr>
      <w:r w:rsidRPr="00FC4E35">
        <w:rPr>
          <w:lang w:val="en-US"/>
        </w:rPr>
        <w:t xml:space="preserve">No senior officers are members of the Pension Scheme. </w:t>
      </w:r>
      <w:r w:rsidRPr="00FC4E35">
        <w:rPr>
          <w:lang w:val="en-US"/>
        </w:rPr>
        <w:br/>
      </w:r>
    </w:p>
    <w:p w:rsidR="00FC4E35" w:rsidRPr="002B6A53" w:rsidRDefault="00FC4E35" w:rsidP="00AE75A9">
      <w:pPr>
        <w:pStyle w:val="Heading4"/>
        <w:numPr>
          <w:ilvl w:val="0"/>
          <w:numId w:val="76"/>
        </w:numPr>
      </w:pPr>
      <w:r w:rsidRPr="002B6A53">
        <w:t>Remuneration of Auditor</w:t>
      </w:r>
    </w:p>
    <w:p w:rsidR="00FC4E35" w:rsidRPr="00FC4E35" w:rsidRDefault="00FC4E35" w:rsidP="002B6A53">
      <w:pPr>
        <w:rPr>
          <w:lang w:val="en-US"/>
        </w:rPr>
      </w:pPr>
      <w:r w:rsidRPr="00FC4E35">
        <w:rPr>
          <w:lang w:val="en-US"/>
        </w:rPr>
        <w:t>Remuneration payable to the Auditor General for the financial year is as follows:</w:t>
      </w:r>
    </w:p>
    <w:tbl>
      <w:tblPr>
        <w:tblW w:w="9168" w:type="dxa"/>
        <w:tblInd w:w="93" w:type="dxa"/>
        <w:tblLook w:val="04A0" w:firstRow="1" w:lastRow="0" w:firstColumn="1" w:lastColumn="0" w:noHBand="0" w:noVBand="1"/>
      </w:tblPr>
      <w:tblGrid>
        <w:gridCol w:w="6928"/>
        <w:gridCol w:w="1120"/>
        <w:gridCol w:w="1120"/>
      </w:tblGrid>
      <w:tr w:rsidR="002B6A53" w:rsidRPr="002B6A53" w:rsidTr="002B6A53">
        <w:trPr>
          <w:trHeight w:val="285"/>
        </w:trPr>
        <w:tc>
          <w:tcPr>
            <w:tcW w:w="6928" w:type="dxa"/>
            <w:tcBorders>
              <w:top w:val="nil"/>
              <w:left w:val="nil"/>
              <w:bottom w:val="nil"/>
              <w:right w:val="nil"/>
            </w:tcBorders>
            <w:shd w:val="clear" w:color="auto" w:fill="auto"/>
            <w:noWrap/>
            <w:vAlign w:val="bottom"/>
            <w:hideMark/>
          </w:tcPr>
          <w:p w:rsidR="002B6A53" w:rsidRPr="002B6A53" w:rsidRDefault="002B6A53" w:rsidP="002B6A53">
            <w:pPr>
              <w:spacing w:after="0"/>
              <w:rPr>
                <w:b/>
                <w:lang w:eastAsia="en-AU"/>
              </w:rPr>
            </w:pPr>
          </w:p>
        </w:tc>
        <w:tc>
          <w:tcPr>
            <w:tcW w:w="1120" w:type="dxa"/>
            <w:tcBorders>
              <w:top w:val="nil"/>
              <w:left w:val="nil"/>
              <w:right w:val="nil"/>
            </w:tcBorders>
            <w:shd w:val="clear" w:color="auto" w:fill="F2F2F2" w:themeFill="background1" w:themeFillShade="F2"/>
            <w:noWrap/>
            <w:vAlign w:val="bottom"/>
            <w:hideMark/>
          </w:tcPr>
          <w:p w:rsidR="002B6A53" w:rsidRPr="002B6A53" w:rsidRDefault="002B6A53" w:rsidP="002B6A53">
            <w:pPr>
              <w:spacing w:after="0"/>
              <w:jc w:val="right"/>
              <w:rPr>
                <w:b/>
                <w:lang w:eastAsia="en-AU"/>
              </w:rPr>
            </w:pPr>
            <w:r w:rsidRPr="002B6A53">
              <w:rPr>
                <w:b/>
                <w:lang w:eastAsia="en-AU"/>
              </w:rPr>
              <w:t>2015 $000</w:t>
            </w:r>
          </w:p>
        </w:tc>
        <w:tc>
          <w:tcPr>
            <w:tcW w:w="1120" w:type="dxa"/>
            <w:tcBorders>
              <w:top w:val="nil"/>
              <w:left w:val="nil"/>
              <w:right w:val="nil"/>
            </w:tcBorders>
            <w:shd w:val="clear" w:color="auto" w:fill="auto"/>
            <w:noWrap/>
            <w:vAlign w:val="bottom"/>
            <w:hideMark/>
          </w:tcPr>
          <w:p w:rsidR="002B6A53" w:rsidRPr="002B6A53" w:rsidRDefault="002B6A53" w:rsidP="002B6A53">
            <w:pPr>
              <w:spacing w:after="0"/>
              <w:jc w:val="right"/>
              <w:rPr>
                <w:b/>
                <w:lang w:eastAsia="en-AU"/>
              </w:rPr>
            </w:pPr>
            <w:r w:rsidRPr="002B6A53">
              <w:rPr>
                <w:b/>
                <w:lang w:eastAsia="en-AU"/>
              </w:rPr>
              <w:t>2014 $000</w:t>
            </w:r>
          </w:p>
        </w:tc>
      </w:tr>
      <w:tr w:rsidR="002B6A53" w:rsidRPr="002B6A53" w:rsidTr="002B6A53">
        <w:trPr>
          <w:trHeight w:val="285"/>
        </w:trPr>
        <w:tc>
          <w:tcPr>
            <w:tcW w:w="6928" w:type="dxa"/>
            <w:tcBorders>
              <w:top w:val="nil"/>
              <w:left w:val="nil"/>
              <w:bottom w:val="nil"/>
              <w:right w:val="nil"/>
            </w:tcBorders>
            <w:shd w:val="clear" w:color="auto" w:fill="auto"/>
            <w:noWrap/>
            <w:vAlign w:val="bottom"/>
            <w:hideMark/>
          </w:tcPr>
          <w:p w:rsidR="002B6A53" w:rsidRPr="002B6A53" w:rsidRDefault="002B6A53" w:rsidP="002B6A53">
            <w:pPr>
              <w:spacing w:after="0"/>
              <w:rPr>
                <w:lang w:eastAsia="en-AU"/>
              </w:rPr>
            </w:pPr>
            <w:r w:rsidRPr="002B6A53">
              <w:rPr>
                <w:lang w:eastAsia="en-AU"/>
              </w:rPr>
              <w:t>Auditing the accounts, financial statements and performance indicators</w:t>
            </w:r>
          </w:p>
        </w:tc>
        <w:tc>
          <w:tcPr>
            <w:tcW w:w="1120" w:type="dxa"/>
            <w:tcBorders>
              <w:top w:val="nil"/>
              <w:left w:val="nil"/>
              <w:bottom w:val="double" w:sz="4" w:space="0" w:color="auto"/>
              <w:right w:val="nil"/>
            </w:tcBorders>
            <w:shd w:val="clear" w:color="auto" w:fill="F2F2F2" w:themeFill="background1" w:themeFillShade="F2"/>
            <w:noWrap/>
            <w:vAlign w:val="bottom"/>
            <w:hideMark/>
          </w:tcPr>
          <w:p w:rsidR="002B6A53" w:rsidRPr="002B6A53" w:rsidRDefault="002B6A53" w:rsidP="002B6A53">
            <w:pPr>
              <w:spacing w:after="0"/>
              <w:jc w:val="right"/>
              <w:rPr>
                <w:lang w:eastAsia="en-AU"/>
              </w:rPr>
            </w:pPr>
            <w:r w:rsidRPr="002B6A53">
              <w:rPr>
                <w:lang w:eastAsia="en-AU"/>
              </w:rPr>
              <w:t>151</w:t>
            </w:r>
          </w:p>
        </w:tc>
        <w:tc>
          <w:tcPr>
            <w:tcW w:w="1120" w:type="dxa"/>
            <w:tcBorders>
              <w:top w:val="nil"/>
              <w:left w:val="nil"/>
              <w:bottom w:val="double" w:sz="4" w:space="0" w:color="auto"/>
              <w:right w:val="nil"/>
            </w:tcBorders>
            <w:shd w:val="clear" w:color="auto" w:fill="auto"/>
            <w:noWrap/>
            <w:vAlign w:val="bottom"/>
            <w:hideMark/>
          </w:tcPr>
          <w:p w:rsidR="002B6A53" w:rsidRPr="002B6A53" w:rsidRDefault="002B6A53" w:rsidP="002B6A53">
            <w:pPr>
              <w:spacing w:after="0"/>
              <w:jc w:val="right"/>
              <w:rPr>
                <w:lang w:eastAsia="en-AU"/>
              </w:rPr>
            </w:pPr>
            <w:r w:rsidRPr="002B6A53">
              <w:rPr>
                <w:lang w:eastAsia="en-AU"/>
              </w:rPr>
              <w:t>147</w:t>
            </w:r>
          </w:p>
        </w:tc>
      </w:tr>
    </w:tbl>
    <w:p w:rsidR="00FC4E35" w:rsidRPr="00FC4E35" w:rsidRDefault="00FC4E35" w:rsidP="002B6A53">
      <w:pPr>
        <w:rPr>
          <w:color w:val="000000"/>
          <w:lang w:val="en-US"/>
        </w:rPr>
      </w:pPr>
    </w:p>
    <w:p w:rsidR="00FC4E35" w:rsidRPr="002B6A53" w:rsidRDefault="00FC4E35" w:rsidP="00AE75A9">
      <w:pPr>
        <w:pStyle w:val="Heading4"/>
        <w:numPr>
          <w:ilvl w:val="0"/>
          <w:numId w:val="76"/>
        </w:numPr>
      </w:pPr>
      <w:r w:rsidRPr="002B6A53">
        <w:t>Supplementary financial information</w:t>
      </w:r>
    </w:p>
    <w:p w:rsidR="00FC4E35" w:rsidRPr="002B6A53" w:rsidRDefault="00FC4E35" w:rsidP="002B6A53">
      <w:pPr>
        <w:rPr>
          <w:u w:val="single"/>
          <w:lang w:val="en-US"/>
        </w:rPr>
      </w:pPr>
      <w:r w:rsidRPr="002B6A53">
        <w:rPr>
          <w:u w:val="single"/>
          <w:lang w:val="en-US"/>
        </w:rPr>
        <w:t>Write-offs</w:t>
      </w:r>
    </w:p>
    <w:p w:rsidR="00FC4E35" w:rsidRDefault="00FC4E35" w:rsidP="002B6A53">
      <w:pPr>
        <w:rPr>
          <w:i/>
          <w:iCs/>
          <w:lang w:val="en-US"/>
        </w:rPr>
      </w:pPr>
      <w:r w:rsidRPr="00FC4E35">
        <w:rPr>
          <w:lang w:val="en-US"/>
        </w:rPr>
        <w:t xml:space="preserve">During the financial year there were no amounts written off under the authority of section 48 of the </w:t>
      </w:r>
      <w:r w:rsidRPr="00FC4E35">
        <w:rPr>
          <w:i/>
          <w:iCs/>
          <w:lang w:val="en-US"/>
        </w:rPr>
        <w:t>Financial Management Act 2006.</w:t>
      </w:r>
    </w:p>
    <w:tbl>
      <w:tblPr>
        <w:tblW w:w="9168" w:type="dxa"/>
        <w:tblInd w:w="93" w:type="dxa"/>
        <w:tblLook w:val="04A0" w:firstRow="1" w:lastRow="0" w:firstColumn="1" w:lastColumn="0" w:noHBand="0" w:noVBand="1"/>
      </w:tblPr>
      <w:tblGrid>
        <w:gridCol w:w="6928"/>
        <w:gridCol w:w="1120"/>
        <w:gridCol w:w="1120"/>
      </w:tblGrid>
      <w:tr w:rsidR="002B6A53" w:rsidRPr="002B6A53" w:rsidTr="002B6A53">
        <w:trPr>
          <w:trHeight w:val="285"/>
        </w:trPr>
        <w:tc>
          <w:tcPr>
            <w:tcW w:w="6928" w:type="dxa"/>
            <w:tcBorders>
              <w:top w:val="nil"/>
              <w:left w:val="nil"/>
              <w:bottom w:val="nil"/>
              <w:right w:val="nil"/>
            </w:tcBorders>
            <w:shd w:val="clear" w:color="auto" w:fill="auto"/>
            <w:noWrap/>
            <w:vAlign w:val="bottom"/>
            <w:hideMark/>
          </w:tcPr>
          <w:p w:rsidR="002B6A53" w:rsidRPr="002B6A53" w:rsidRDefault="002B6A53" w:rsidP="002B6A53">
            <w:pPr>
              <w:spacing w:after="0"/>
              <w:rPr>
                <w:b/>
                <w:lang w:eastAsia="en-AU"/>
              </w:rPr>
            </w:pPr>
          </w:p>
        </w:tc>
        <w:tc>
          <w:tcPr>
            <w:tcW w:w="1120" w:type="dxa"/>
            <w:tcBorders>
              <w:top w:val="nil"/>
              <w:left w:val="nil"/>
              <w:right w:val="nil"/>
            </w:tcBorders>
            <w:shd w:val="clear" w:color="auto" w:fill="F2F2F2" w:themeFill="background1" w:themeFillShade="F2"/>
            <w:noWrap/>
            <w:vAlign w:val="bottom"/>
            <w:hideMark/>
          </w:tcPr>
          <w:p w:rsidR="002B6A53" w:rsidRPr="002B6A53" w:rsidRDefault="002B6A53" w:rsidP="002B6A53">
            <w:pPr>
              <w:spacing w:after="0"/>
              <w:jc w:val="right"/>
              <w:rPr>
                <w:b/>
                <w:lang w:eastAsia="en-AU"/>
              </w:rPr>
            </w:pPr>
            <w:r w:rsidRPr="002B6A53">
              <w:rPr>
                <w:b/>
                <w:lang w:eastAsia="en-AU"/>
              </w:rPr>
              <w:t>2015 $000</w:t>
            </w:r>
          </w:p>
        </w:tc>
        <w:tc>
          <w:tcPr>
            <w:tcW w:w="1120" w:type="dxa"/>
            <w:tcBorders>
              <w:top w:val="nil"/>
              <w:left w:val="nil"/>
              <w:right w:val="nil"/>
            </w:tcBorders>
            <w:shd w:val="clear" w:color="auto" w:fill="auto"/>
            <w:noWrap/>
            <w:vAlign w:val="bottom"/>
            <w:hideMark/>
          </w:tcPr>
          <w:p w:rsidR="002B6A53" w:rsidRPr="002B6A53" w:rsidRDefault="002B6A53" w:rsidP="002B6A53">
            <w:pPr>
              <w:spacing w:after="0"/>
              <w:jc w:val="right"/>
              <w:rPr>
                <w:b/>
                <w:lang w:eastAsia="en-AU"/>
              </w:rPr>
            </w:pPr>
            <w:r w:rsidRPr="002B6A53">
              <w:rPr>
                <w:b/>
                <w:lang w:eastAsia="en-AU"/>
              </w:rPr>
              <w:t>2014 $000</w:t>
            </w:r>
          </w:p>
        </w:tc>
      </w:tr>
      <w:tr w:rsidR="002B6A53" w:rsidRPr="002B6A53" w:rsidTr="002B6A53">
        <w:trPr>
          <w:trHeight w:val="285"/>
        </w:trPr>
        <w:tc>
          <w:tcPr>
            <w:tcW w:w="6928" w:type="dxa"/>
            <w:tcBorders>
              <w:top w:val="nil"/>
              <w:left w:val="nil"/>
              <w:bottom w:val="nil"/>
              <w:right w:val="nil"/>
            </w:tcBorders>
            <w:shd w:val="clear" w:color="auto" w:fill="auto"/>
            <w:noWrap/>
            <w:vAlign w:val="bottom"/>
            <w:hideMark/>
          </w:tcPr>
          <w:p w:rsidR="002B6A53" w:rsidRPr="002B6A53" w:rsidRDefault="002B6A53" w:rsidP="002B6A53">
            <w:pPr>
              <w:spacing w:after="0"/>
              <w:rPr>
                <w:lang w:eastAsia="en-AU"/>
              </w:rPr>
            </w:pPr>
            <w:r w:rsidRPr="00FC4E35">
              <w:rPr>
                <w:color w:val="000000"/>
                <w:lang w:val="en-US"/>
              </w:rPr>
              <w:t>Amounts written off by the Accountable Authority</w:t>
            </w:r>
          </w:p>
        </w:tc>
        <w:tc>
          <w:tcPr>
            <w:tcW w:w="1120" w:type="dxa"/>
            <w:tcBorders>
              <w:top w:val="nil"/>
              <w:left w:val="nil"/>
              <w:bottom w:val="single" w:sz="4" w:space="0" w:color="auto"/>
              <w:right w:val="nil"/>
            </w:tcBorders>
            <w:shd w:val="clear" w:color="auto" w:fill="F2F2F2" w:themeFill="background1" w:themeFillShade="F2"/>
            <w:noWrap/>
            <w:vAlign w:val="bottom"/>
            <w:hideMark/>
          </w:tcPr>
          <w:p w:rsidR="002B6A53" w:rsidRPr="002B6A53" w:rsidRDefault="002B6A53" w:rsidP="002B6A53">
            <w:pPr>
              <w:spacing w:after="0"/>
              <w:jc w:val="right"/>
              <w:rPr>
                <w:lang w:eastAsia="en-AU"/>
              </w:rPr>
            </w:pPr>
            <w:r>
              <w:rPr>
                <w:lang w:eastAsia="en-AU"/>
              </w:rPr>
              <w:t>-</w:t>
            </w:r>
          </w:p>
        </w:tc>
        <w:tc>
          <w:tcPr>
            <w:tcW w:w="1120" w:type="dxa"/>
            <w:tcBorders>
              <w:top w:val="nil"/>
              <w:left w:val="nil"/>
              <w:bottom w:val="single" w:sz="4" w:space="0" w:color="auto"/>
              <w:right w:val="nil"/>
            </w:tcBorders>
            <w:shd w:val="clear" w:color="auto" w:fill="auto"/>
            <w:noWrap/>
            <w:vAlign w:val="bottom"/>
            <w:hideMark/>
          </w:tcPr>
          <w:p w:rsidR="002B6A53" w:rsidRPr="002B6A53" w:rsidRDefault="002B6A53" w:rsidP="002B6A53">
            <w:pPr>
              <w:spacing w:after="0"/>
              <w:jc w:val="right"/>
              <w:rPr>
                <w:lang w:eastAsia="en-AU"/>
              </w:rPr>
            </w:pPr>
            <w:r>
              <w:rPr>
                <w:lang w:eastAsia="en-AU"/>
              </w:rPr>
              <w:t>-</w:t>
            </w:r>
          </w:p>
        </w:tc>
      </w:tr>
      <w:tr w:rsidR="002B6A53" w:rsidRPr="002B6A53" w:rsidTr="002B6A53">
        <w:trPr>
          <w:trHeight w:val="285"/>
        </w:trPr>
        <w:tc>
          <w:tcPr>
            <w:tcW w:w="6928" w:type="dxa"/>
            <w:tcBorders>
              <w:top w:val="nil"/>
              <w:left w:val="nil"/>
              <w:bottom w:val="nil"/>
              <w:right w:val="nil"/>
            </w:tcBorders>
            <w:shd w:val="clear" w:color="auto" w:fill="auto"/>
            <w:noWrap/>
            <w:vAlign w:val="bottom"/>
          </w:tcPr>
          <w:p w:rsidR="002B6A53" w:rsidRPr="00FC4E35" w:rsidRDefault="002B6A53" w:rsidP="002B6A53">
            <w:pPr>
              <w:spacing w:after="0"/>
              <w:rPr>
                <w:color w:val="000000"/>
                <w:lang w:val="en-US"/>
              </w:rPr>
            </w:pPr>
          </w:p>
        </w:tc>
        <w:tc>
          <w:tcPr>
            <w:tcW w:w="1120" w:type="dxa"/>
            <w:tcBorders>
              <w:top w:val="single" w:sz="4" w:space="0" w:color="auto"/>
              <w:left w:val="nil"/>
              <w:bottom w:val="single" w:sz="4" w:space="0" w:color="auto"/>
              <w:right w:val="nil"/>
            </w:tcBorders>
            <w:shd w:val="clear" w:color="auto" w:fill="F2F2F2" w:themeFill="background1" w:themeFillShade="F2"/>
            <w:noWrap/>
            <w:vAlign w:val="bottom"/>
          </w:tcPr>
          <w:p w:rsidR="002B6A53" w:rsidRDefault="002B6A53" w:rsidP="002B6A53">
            <w:pPr>
              <w:spacing w:after="0"/>
              <w:jc w:val="right"/>
              <w:rPr>
                <w:lang w:eastAsia="en-AU"/>
              </w:rPr>
            </w:pPr>
            <w:r>
              <w:rPr>
                <w:lang w:eastAsia="en-AU"/>
              </w:rPr>
              <w:t>-</w:t>
            </w:r>
          </w:p>
        </w:tc>
        <w:tc>
          <w:tcPr>
            <w:tcW w:w="1120" w:type="dxa"/>
            <w:tcBorders>
              <w:top w:val="single" w:sz="4" w:space="0" w:color="auto"/>
              <w:left w:val="nil"/>
              <w:bottom w:val="single" w:sz="4" w:space="0" w:color="auto"/>
              <w:right w:val="nil"/>
            </w:tcBorders>
            <w:shd w:val="clear" w:color="auto" w:fill="auto"/>
            <w:noWrap/>
            <w:vAlign w:val="bottom"/>
          </w:tcPr>
          <w:p w:rsidR="002B6A53" w:rsidRDefault="002B6A53" w:rsidP="002B6A53">
            <w:pPr>
              <w:spacing w:after="0"/>
              <w:jc w:val="right"/>
              <w:rPr>
                <w:lang w:eastAsia="en-AU"/>
              </w:rPr>
            </w:pPr>
            <w:r>
              <w:rPr>
                <w:lang w:eastAsia="en-AU"/>
              </w:rPr>
              <w:t>-</w:t>
            </w:r>
          </w:p>
        </w:tc>
      </w:tr>
    </w:tbl>
    <w:p w:rsidR="002B6A53" w:rsidRPr="002B6A53" w:rsidRDefault="002B6A53" w:rsidP="002B6A53">
      <w:pPr>
        <w:rPr>
          <w:iCs/>
          <w:lang w:val="en-US"/>
        </w:rPr>
      </w:pPr>
    </w:p>
    <w:p w:rsidR="00FC4E35" w:rsidRDefault="00FC4E35" w:rsidP="002B6A53">
      <w:pPr>
        <w:rPr>
          <w:u w:val="single"/>
          <w:lang w:val="en-US"/>
        </w:rPr>
      </w:pPr>
      <w:r w:rsidRPr="002B6A53">
        <w:rPr>
          <w:u w:val="single"/>
          <w:lang w:val="en-US"/>
        </w:rPr>
        <w:t>Gifts of public property</w:t>
      </w:r>
    </w:p>
    <w:tbl>
      <w:tblPr>
        <w:tblW w:w="9168" w:type="dxa"/>
        <w:tblInd w:w="93" w:type="dxa"/>
        <w:tblLook w:val="04A0" w:firstRow="1" w:lastRow="0" w:firstColumn="1" w:lastColumn="0" w:noHBand="0" w:noVBand="1"/>
      </w:tblPr>
      <w:tblGrid>
        <w:gridCol w:w="6928"/>
        <w:gridCol w:w="1120"/>
        <w:gridCol w:w="1120"/>
      </w:tblGrid>
      <w:tr w:rsidR="002B6A53" w:rsidRPr="002B6A53" w:rsidTr="002B6A53">
        <w:trPr>
          <w:trHeight w:val="285"/>
        </w:trPr>
        <w:tc>
          <w:tcPr>
            <w:tcW w:w="6928" w:type="dxa"/>
            <w:tcBorders>
              <w:top w:val="nil"/>
              <w:left w:val="nil"/>
              <w:bottom w:val="nil"/>
              <w:right w:val="nil"/>
            </w:tcBorders>
            <w:shd w:val="clear" w:color="auto" w:fill="auto"/>
            <w:noWrap/>
            <w:vAlign w:val="bottom"/>
            <w:hideMark/>
          </w:tcPr>
          <w:p w:rsidR="002B6A53" w:rsidRPr="002B6A53" w:rsidRDefault="002B6A53" w:rsidP="002B6A53">
            <w:pPr>
              <w:spacing w:after="0"/>
              <w:rPr>
                <w:b/>
                <w:lang w:eastAsia="en-AU"/>
              </w:rPr>
            </w:pPr>
          </w:p>
        </w:tc>
        <w:tc>
          <w:tcPr>
            <w:tcW w:w="1120" w:type="dxa"/>
            <w:tcBorders>
              <w:top w:val="nil"/>
              <w:left w:val="nil"/>
              <w:right w:val="nil"/>
            </w:tcBorders>
            <w:shd w:val="clear" w:color="auto" w:fill="F2F2F2" w:themeFill="background1" w:themeFillShade="F2"/>
            <w:noWrap/>
            <w:vAlign w:val="bottom"/>
            <w:hideMark/>
          </w:tcPr>
          <w:p w:rsidR="002B6A53" w:rsidRPr="002B6A53" w:rsidRDefault="002B6A53" w:rsidP="002B6A53">
            <w:pPr>
              <w:spacing w:after="0"/>
              <w:jc w:val="right"/>
              <w:rPr>
                <w:b/>
                <w:lang w:eastAsia="en-AU"/>
              </w:rPr>
            </w:pPr>
            <w:r w:rsidRPr="002B6A53">
              <w:rPr>
                <w:b/>
                <w:lang w:eastAsia="en-AU"/>
              </w:rPr>
              <w:t>2015 $000</w:t>
            </w:r>
          </w:p>
        </w:tc>
        <w:tc>
          <w:tcPr>
            <w:tcW w:w="1120" w:type="dxa"/>
            <w:tcBorders>
              <w:top w:val="nil"/>
              <w:left w:val="nil"/>
              <w:right w:val="nil"/>
            </w:tcBorders>
            <w:shd w:val="clear" w:color="auto" w:fill="auto"/>
            <w:noWrap/>
            <w:vAlign w:val="bottom"/>
            <w:hideMark/>
          </w:tcPr>
          <w:p w:rsidR="002B6A53" w:rsidRPr="002B6A53" w:rsidRDefault="002B6A53" w:rsidP="002B6A53">
            <w:pPr>
              <w:spacing w:after="0"/>
              <w:jc w:val="right"/>
              <w:rPr>
                <w:b/>
                <w:lang w:eastAsia="en-AU"/>
              </w:rPr>
            </w:pPr>
            <w:r w:rsidRPr="002B6A53">
              <w:rPr>
                <w:b/>
                <w:lang w:eastAsia="en-AU"/>
              </w:rPr>
              <w:t>2014 $000</w:t>
            </w:r>
          </w:p>
        </w:tc>
      </w:tr>
      <w:tr w:rsidR="002B6A53" w:rsidRPr="002B6A53" w:rsidTr="002B6A53">
        <w:trPr>
          <w:trHeight w:val="430"/>
        </w:trPr>
        <w:tc>
          <w:tcPr>
            <w:tcW w:w="6928" w:type="dxa"/>
            <w:tcBorders>
              <w:top w:val="nil"/>
              <w:left w:val="nil"/>
              <w:bottom w:val="nil"/>
              <w:right w:val="nil"/>
            </w:tcBorders>
            <w:shd w:val="clear" w:color="auto" w:fill="auto"/>
            <w:noWrap/>
            <w:vAlign w:val="bottom"/>
            <w:hideMark/>
          </w:tcPr>
          <w:p w:rsidR="002B6A53" w:rsidRPr="002B6A53" w:rsidRDefault="002B6A53" w:rsidP="002B6A53">
            <w:pPr>
              <w:spacing w:after="0"/>
              <w:rPr>
                <w:lang w:eastAsia="en-AU"/>
              </w:rPr>
            </w:pPr>
            <w:r w:rsidRPr="00FC4E35">
              <w:rPr>
                <w:color w:val="000000"/>
                <w:lang w:val="en-US"/>
              </w:rPr>
              <w:t>Gifts of public property provided by the Department</w:t>
            </w:r>
          </w:p>
        </w:tc>
        <w:tc>
          <w:tcPr>
            <w:tcW w:w="1120" w:type="dxa"/>
            <w:tcBorders>
              <w:top w:val="nil"/>
              <w:left w:val="nil"/>
              <w:bottom w:val="double" w:sz="4" w:space="0" w:color="auto"/>
              <w:right w:val="nil"/>
            </w:tcBorders>
            <w:shd w:val="clear" w:color="auto" w:fill="F2F2F2" w:themeFill="background1" w:themeFillShade="F2"/>
            <w:noWrap/>
            <w:vAlign w:val="bottom"/>
            <w:hideMark/>
          </w:tcPr>
          <w:p w:rsidR="002B6A53" w:rsidRPr="002B6A53" w:rsidRDefault="002B6A53" w:rsidP="002B6A53">
            <w:pPr>
              <w:spacing w:after="0"/>
              <w:jc w:val="right"/>
              <w:rPr>
                <w:lang w:eastAsia="en-AU"/>
              </w:rPr>
            </w:pPr>
            <w:r>
              <w:rPr>
                <w:lang w:eastAsia="en-AU"/>
              </w:rPr>
              <w:t>3</w:t>
            </w:r>
          </w:p>
        </w:tc>
        <w:tc>
          <w:tcPr>
            <w:tcW w:w="1120" w:type="dxa"/>
            <w:tcBorders>
              <w:top w:val="nil"/>
              <w:left w:val="nil"/>
              <w:bottom w:val="double" w:sz="4" w:space="0" w:color="auto"/>
              <w:right w:val="nil"/>
            </w:tcBorders>
            <w:shd w:val="clear" w:color="auto" w:fill="auto"/>
            <w:noWrap/>
            <w:vAlign w:val="bottom"/>
            <w:hideMark/>
          </w:tcPr>
          <w:p w:rsidR="002B6A53" w:rsidRPr="002B6A53" w:rsidRDefault="002B6A53" w:rsidP="002B6A53">
            <w:pPr>
              <w:spacing w:after="0"/>
              <w:jc w:val="right"/>
              <w:rPr>
                <w:lang w:eastAsia="en-AU"/>
              </w:rPr>
            </w:pPr>
            <w:r>
              <w:rPr>
                <w:lang w:eastAsia="en-AU"/>
              </w:rPr>
              <w:t>7</w:t>
            </w:r>
          </w:p>
        </w:tc>
      </w:tr>
    </w:tbl>
    <w:p w:rsidR="00FA2954" w:rsidRDefault="00FA2954" w:rsidP="002B6A53">
      <w:pPr>
        <w:rPr>
          <w:lang w:val="en-US"/>
        </w:rPr>
      </w:pPr>
    </w:p>
    <w:p w:rsidR="00FA2954" w:rsidRDefault="00FA2954">
      <w:pPr>
        <w:spacing w:line="276" w:lineRule="auto"/>
        <w:rPr>
          <w:lang w:val="en-US"/>
        </w:rPr>
      </w:pPr>
      <w:r>
        <w:rPr>
          <w:lang w:val="en-US"/>
        </w:rPr>
        <w:br w:type="page"/>
      </w:r>
    </w:p>
    <w:p w:rsidR="00FC4E35" w:rsidRPr="00FC4E35" w:rsidRDefault="00FC4E35" w:rsidP="00AE75A9">
      <w:pPr>
        <w:pStyle w:val="Heading4"/>
        <w:numPr>
          <w:ilvl w:val="0"/>
          <w:numId w:val="76"/>
        </w:numPr>
        <w:rPr>
          <w:lang w:val="en-US"/>
        </w:rPr>
      </w:pPr>
      <w:r w:rsidRPr="00FC4E35">
        <w:rPr>
          <w:lang w:val="en-US"/>
        </w:rPr>
        <w:t>Explanatory statement</w:t>
      </w:r>
    </w:p>
    <w:p w:rsidR="00FC4E35" w:rsidRPr="00FC4E35" w:rsidRDefault="00FC4E35" w:rsidP="002B6A53">
      <w:pPr>
        <w:rPr>
          <w:lang w:val="en-US"/>
        </w:rPr>
      </w:pPr>
      <w:r w:rsidRPr="00FC4E35">
        <w:rPr>
          <w:lang w:val="en-US"/>
        </w:rPr>
        <w:t>Significant variations between estimates and actual results for income and expenditure as presented in the financial statement titled ‘Summary of Consolidated Fund Appropriations and Income Estimates’ are shown below.  Significant variations are considered to be those greater than 10% or $10 million.</w:t>
      </w:r>
    </w:p>
    <w:p w:rsidR="00FC4E35" w:rsidRPr="0019156E" w:rsidRDefault="00FC4E35" w:rsidP="0019156E">
      <w:pPr>
        <w:pStyle w:val="Heading6"/>
      </w:pPr>
      <w:r w:rsidRPr="0019156E">
        <w:t>Statement of Comprehensive Income</w:t>
      </w:r>
      <w:r w:rsidR="002B6A53" w:rsidRPr="0019156E">
        <w:t xml:space="preserve"> </w:t>
      </w:r>
      <w:r w:rsidRPr="0019156E">
        <w:t>(Controlled Operations)</w:t>
      </w:r>
    </w:p>
    <w:tbl>
      <w:tblPr>
        <w:tblW w:w="10260" w:type="dxa"/>
        <w:tblInd w:w="93" w:type="dxa"/>
        <w:tblLook w:val="04A0" w:firstRow="1" w:lastRow="0" w:firstColumn="1" w:lastColumn="0" w:noHBand="0" w:noVBand="1"/>
      </w:tblPr>
      <w:tblGrid>
        <w:gridCol w:w="3400"/>
        <w:gridCol w:w="1189"/>
        <w:gridCol w:w="1122"/>
        <w:gridCol w:w="1080"/>
        <w:gridCol w:w="1060"/>
        <w:gridCol w:w="1220"/>
        <w:gridCol w:w="1189"/>
      </w:tblGrid>
      <w:tr w:rsidR="00D12CF4" w:rsidRPr="00D12CF4" w:rsidTr="00D12CF4">
        <w:trPr>
          <w:trHeight w:val="1710"/>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p>
        </w:tc>
        <w:tc>
          <w:tcPr>
            <w:tcW w:w="112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Variance Note</w:t>
            </w:r>
          </w:p>
        </w:tc>
        <w:tc>
          <w:tcPr>
            <w:tcW w:w="112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 xml:space="preserve">Original Budget </w:t>
            </w:r>
            <w:r w:rsidRPr="00D12CF4">
              <w:rPr>
                <w:b/>
                <w:vertAlign w:val="superscript"/>
                <w:lang w:eastAsia="en-AU"/>
              </w:rPr>
              <w:t>(a)</w:t>
            </w:r>
            <w:r w:rsidRPr="00D12CF4">
              <w:rPr>
                <w:b/>
                <w:lang w:eastAsia="en-AU"/>
              </w:rPr>
              <w:t xml:space="preserve"> 2015 $000</w:t>
            </w:r>
          </w:p>
        </w:tc>
        <w:tc>
          <w:tcPr>
            <w:tcW w:w="1080" w:type="dxa"/>
            <w:tcBorders>
              <w:top w:val="nil"/>
              <w:left w:val="nil"/>
              <w:bottom w:val="nil"/>
              <w:right w:val="nil"/>
            </w:tcBorders>
            <w:shd w:val="clear" w:color="auto" w:fill="F2F2F2" w:themeFill="background1" w:themeFillShade="F2"/>
            <w:vAlign w:val="bottom"/>
            <w:hideMark/>
          </w:tcPr>
          <w:p w:rsidR="00D12CF4" w:rsidRPr="00D12CF4" w:rsidRDefault="00D12CF4" w:rsidP="00D12CF4">
            <w:pPr>
              <w:spacing w:after="0"/>
              <w:jc w:val="center"/>
              <w:rPr>
                <w:b/>
                <w:lang w:eastAsia="en-AU"/>
              </w:rPr>
            </w:pPr>
            <w:r w:rsidRPr="00D12CF4">
              <w:rPr>
                <w:b/>
                <w:lang w:eastAsia="en-AU"/>
              </w:rPr>
              <w:t>Actual 2015 $000</w:t>
            </w:r>
          </w:p>
        </w:tc>
        <w:tc>
          <w:tcPr>
            <w:tcW w:w="106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Actual 2014 $000</w:t>
            </w:r>
          </w:p>
        </w:tc>
        <w:tc>
          <w:tcPr>
            <w:tcW w:w="122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Variance between estimate and actual $000</w:t>
            </w:r>
          </w:p>
        </w:tc>
        <w:tc>
          <w:tcPr>
            <w:tcW w:w="108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 xml:space="preserve">Variance between actual results </w:t>
            </w:r>
            <w:r w:rsidR="00AE617E">
              <w:rPr>
                <w:b/>
                <w:lang w:eastAsia="en-AU"/>
              </w:rPr>
              <w:t xml:space="preserve">for </w:t>
            </w:r>
            <w:r w:rsidRPr="00D12CF4">
              <w:rPr>
                <w:b/>
                <w:lang w:eastAsia="en-AU"/>
              </w:rPr>
              <w:t>2015 and 2014</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Expenses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rPr>
                <w:lang w:eastAsia="en-AU"/>
              </w:rPr>
            </w:pP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rPr>
                <w:lang w:eastAsia="en-AU"/>
              </w:rPr>
            </w:pP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rPr>
                <w:lang w:eastAsia="en-AU"/>
              </w:rPr>
            </w:pP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Employee benefits expense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80,900</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78,441</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81,316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(2,459)</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(2,875)</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Supplies and services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1</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28,101</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33,422</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34,066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5,321</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(644)</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Depreciation and amortisation expense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2, A</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2,828</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2,009</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1,765</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-819</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244</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Accommodation expenses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3</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19,031</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21,175</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21,666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2,144</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-491</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Grants and subsidies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4, B</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49,339</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31,957</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54,706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-17,382</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-22,749</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 xml:space="preserve">Loss on disposal of </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non-current assets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5, C</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17</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20</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17</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Losses on foreign operation translation</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D</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20</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-20</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Losses on hedging</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6, 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112</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362</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112</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-250</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Loss on other financial assets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7, F</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1,990</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886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1,990</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1,104</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Other expenses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8, G</w:t>
            </w:r>
          </w:p>
        </w:tc>
        <w:tc>
          <w:tcPr>
            <w:tcW w:w="11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169</w:t>
            </w:r>
          </w:p>
        </w:tc>
        <w:tc>
          <w:tcPr>
            <w:tcW w:w="1080" w:type="dxa"/>
            <w:tcBorders>
              <w:top w:val="nil"/>
              <w:left w:val="nil"/>
              <w:bottom w:val="single" w:sz="4" w:space="0" w:color="auto"/>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605</w:t>
            </w:r>
          </w:p>
        </w:tc>
        <w:tc>
          <w:tcPr>
            <w:tcW w:w="106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415</w:t>
            </w:r>
          </w:p>
        </w:tc>
        <w:tc>
          <w:tcPr>
            <w:tcW w:w="12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436</w:t>
            </w:r>
          </w:p>
        </w:tc>
        <w:tc>
          <w:tcPr>
            <w:tcW w:w="108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190</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Total cost of services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180,368</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169,728</w:t>
            </w:r>
          </w:p>
        </w:tc>
        <w:tc>
          <w:tcPr>
            <w:tcW w:w="106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195,222</w:t>
            </w:r>
          </w:p>
        </w:tc>
        <w:tc>
          <w:tcPr>
            <w:tcW w:w="122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-10,640</w:t>
            </w:r>
          </w:p>
        </w:tc>
        <w:tc>
          <w:tcPr>
            <w:tcW w:w="108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-25,494</w:t>
            </w:r>
          </w:p>
        </w:tc>
      </w:tr>
      <w:tr w:rsidR="00D12CF4" w:rsidRPr="00D12CF4" w:rsidTr="00D12CF4">
        <w:trPr>
          <w:trHeight w:val="472"/>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Income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single" w:sz="4" w:space="0" w:color="auto"/>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p>
        </w:tc>
        <w:tc>
          <w:tcPr>
            <w:tcW w:w="106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i/>
                <w:lang w:eastAsia="en-AU"/>
              </w:rPr>
            </w:pPr>
            <w:r w:rsidRPr="00D12CF4">
              <w:rPr>
                <w:i/>
                <w:lang w:eastAsia="en-AU"/>
              </w:rPr>
              <w:t>Revenue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User charges and fees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959</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891</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859</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-68</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32</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Sales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9</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2,220</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1,573</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1,726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-647</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-153</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Commonwealth grants and contributions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444</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452</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420</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32</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Interest revenue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10, H</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854</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486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854</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368</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Gains on foreign operation translation</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single" w:sz="4" w:space="0" w:color="auto"/>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66</w:t>
            </w:r>
          </w:p>
        </w:tc>
        <w:tc>
          <w:tcPr>
            <w:tcW w:w="106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2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66</w:t>
            </w:r>
          </w:p>
        </w:tc>
        <w:tc>
          <w:tcPr>
            <w:tcW w:w="108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66</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Total Revenue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3,623</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3,836</w:t>
            </w:r>
          </w:p>
        </w:tc>
        <w:tc>
          <w:tcPr>
            <w:tcW w:w="106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3,491</w:t>
            </w:r>
          </w:p>
        </w:tc>
        <w:tc>
          <w:tcPr>
            <w:tcW w:w="122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213</w:t>
            </w:r>
          </w:p>
        </w:tc>
        <w:tc>
          <w:tcPr>
            <w:tcW w:w="108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345</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NET COST OF SERVICES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176,745</w:t>
            </w:r>
          </w:p>
        </w:tc>
        <w:tc>
          <w:tcPr>
            <w:tcW w:w="1080" w:type="dxa"/>
            <w:tcBorders>
              <w:top w:val="single" w:sz="4" w:space="0" w:color="auto"/>
              <w:left w:val="nil"/>
              <w:bottom w:val="nil"/>
              <w:right w:val="nil"/>
            </w:tcBorders>
            <w:shd w:val="clear" w:color="auto" w:fill="F2F2F2" w:themeFill="background1" w:themeFillShade="F2"/>
            <w:noWrap/>
            <w:vAlign w:val="bottom"/>
            <w:hideMark/>
          </w:tcPr>
          <w:p w:rsidR="00D12CF4" w:rsidRPr="00D12CF4" w:rsidRDefault="00D12CF4" w:rsidP="00D12CF4">
            <w:pPr>
              <w:spacing w:after="0"/>
              <w:jc w:val="right"/>
              <w:rPr>
                <w:lang w:eastAsia="en-AU"/>
              </w:rPr>
            </w:pPr>
            <w:r w:rsidRPr="00D12CF4">
              <w:rPr>
                <w:lang w:eastAsia="en-AU"/>
              </w:rPr>
              <w:t>165,893</w:t>
            </w:r>
          </w:p>
        </w:tc>
        <w:tc>
          <w:tcPr>
            <w:tcW w:w="106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191,731</w:t>
            </w:r>
          </w:p>
        </w:tc>
        <w:tc>
          <w:tcPr>
            <w:tcW w:w="122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-10,852</w:t>
            </w:r>
          </w:p>
        </w:tc>
        <w:tc>
          <w:tcPr>
            <w:tcW w:w="108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-25,838</w:t>
            </w:r>
          </w:p>
        </w:tc>
      </w:tr>
    </w:tbl>
    <w:p w:rsidR="002B6A53" w:rsidRPr="00FC4E35" w:rsidRDefault="002B6A53" w:rsidP="00D12CF4">
      <w:pPr>
        <w:rPr>
          <w:lang w:val="en-US"/>
        </w:rPr>
      </w:pPr>
    </w:p>
    <w:p w:rsidR="009A36D1" w:rsidRDefault="009A36D1">
      <w:pPr>
        <w:spacing w:line="276" w:lineRule="auto"/>
        <w:rPr>
          <w:rFonts w:ascii="Arial" w:hAnsi="Arial" w:cs="Arial"/>
          <w:color w:val="006699"/>
          <w:sz w:val="28"/>
          <w:szCs w:val="28"/>
        </w:rPr>
      </w:pPr>
      <w:r>
        <w:br w:type="page"/>
      </w:r>
    </w:p>
    <w:p w:rsidR="00681CE5" w:rsidRDefault="00681CE5" w:rsidP="00681CE5"/>
    <w:p w:rsidR="00681CE5" w:rsidRDefault="00681CE5" w:rsidP="00681CE5"/>
    <w:p w:rsidR="00681CE5" w:rsidRDefault="00681CE5" w:rsidP="00681CE5"/>
    <w:p w:rsidR="00681CE5" w:rsidRPr="00681CE5" w:rsidRDefault="00681CE5" w:rsidP="00681CE5"/>
    <w:p w:rsidR="00FC4E35" w:rsidRPr="0019156E" w:rsidRDefault="00FC4E35" w:rsidP="0019156E">
      <w:pPr>
        <w:pStyle w:val="Heading6"/>
      </w:pPr>
      <w:r w:rsidRPr="0019156E">
        <w:t>Statement of Comprehensive Income</w:t>
      </w:r>
      <w:r w:rsidR="00D12CF4" w:rsidRPr="0019156E">
        <w:t xml:space="preserve"> </w:t>
      </w:r>
      <w:r w:rsidRPr="0019156E">
        <w:t>(Controlled Operations) continued</w:t>
      </w:r>
    </w:p>
    <w:tbl>
      <w:tblPr>
        <w:tblW w:w="10260" w:type="dxa"/>
        <w:tblInd w:w="93" w:type="dxa"/>
        <w:tblLook w:val="04A0" w:firstRow="1" w:lastRow="0" w:firstColumn="1" w:lastColumn="0" w:noHBand="0" w:noVBand="1"/>
      </w:tblPr>
      <w:tblGrid>
        <w:gridCol w:w="3400"/>
        <w:gridCol w:w="1189"/>
        <w:gridCol w:w="1122"/>
        <w:gridCol w:w="1080"/>
        <w:gridCol w:w="1060"/>
        <w:gridCol w:w="1220"/>
        <w:gridCol w:w="1189"/>
      </w:tblGrid>
      <w:tr w:rsidR="00D12CF4" w:rsidRPr="00D12CF4" w:rsidTr="00D12CF4">
        <w:trPr>
          <w:trHeight w:val="1710"/>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p>
        </w:tc>
        <w:tc>
          <w:tcPr>
            <w:tcW w:w="112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Variance Note</w:t>
            </w:r>
          </w:p>
        </w:tc>
        <w:tc>
          <w:tcPr>
            <w:tcW w:w="112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 xml:space="preserve">Original Budget </w:t>
            </w:r>
            <w:r w:rsidRPr="00D12CF4">
              <w:rPr>
                <w:b/>
                <w:vertAlign w:val="superscript"/>
                <w:lang w:eastAsia="en-AU"/>
              </w:rPr>
              <w:t>(a)</w:t>
            </w:r>
            <w:r w:rsidRPr="00D12CF4">
              <w:rPr>
                <w:b/>
                <w:lang w:eastAsia="en-AU"/>
              </w:rPr>
              <w:t xml:space="preserve"> 2015 $000</w:t>
            </w:r>
          </w:p>
        </w:tc>
        <w:tc>
          <w:tcPr>
            <w:tcW w:w="108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Actual 2015 $000</w:t>
            </w:r>
          </w:p>
        </w:tc>
        <w:tc>
          <w:tcPr>
            <w:tcW w:w="106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Actual 2014 $000</w:t>
            </w:r>
          </w:p>
        </w:tc>
        <w:tc>
          <w:tcPr>
            <w:tcW w:w="122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Variance between estimate and actual $000</w:t>
            </w:r>
          </w:p>
        </w:tc>
        <w:tc>
          <w:tcPr>
            <w:tcW w:w="1080" w:type="dxa"/>
            <w:tcBorders>
              <w:top w:val="nil"/>
              <w:left w:val="nil"/>
              <w:bottom w:val="nil"/>
              <w:right w:val="nil"/>
            </w:tcBorders>
            <w:shd w:val="clear" w:color="auto" w:fill="auto"/>
            <w:vAlign w:val="bottom"/>
            <w:hideMark/>
          </w:tcPr>
          <w:p w:rsidR="00D12CF4" w:rsidRPr="00D12CF4" w:rsidRDefault="00D12CF4" w:rsidP="00D12CF4">
            <w:pPr>
              <w:spacing w:after="0"/>
              <w:jc w:val="center"/>
              <w:rPr>
                <w:b/>
                <w:lang w:eastAsia="en-AU"/>
              </w:rPr>
            </w:pPr>
            <w:r w:rsidRPr="00D12CF4">
              <w:rPr>
                <w:b/>
                <w:lang w:eastAsia="en-AU"/>
              </w:rPr>
              <w:t xml:space="preserve">Variance between actual results </w:t>
            </w:r>
            <w:r w:rsidR="00AE617E">
              <w:rPr>
                <w:b/>
                <w:lang w:eastAsia="en-AU"/>
              </w:rPr>
              <w:t xml:space="preserve">for </w:t>
            </w:r>
            <w:r w:rsidRPr="00D12CF4">
              <w:rPr>
                <w:b/>
                <w:lang w:eastAsia="en-AU"/>
              </w:rPr>
              <w:t>2015 and 2014</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 xml:space="preserve">Income from State </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Government</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Service appropriation</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11, I</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165,387</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155,903</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211,286</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(9,484)</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(55,383)</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Services received free of charge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12</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5,784</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7,040</w:t>
            </w: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7,298</w:t>
            </w: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1,256</w:t>
            </w: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-258</w:t>
            </w:r>
          </w:p>
        </w:tc>
      </w:tr>
      <w:tr w:rsidR="00D12CF4" w:rsidRPr="00D12CF4" w:rsidTr="0019156E">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Royalties for Regions Fund</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13, J</w:t>
            </w:r>
          </w:p>
        </w:tc>
        <w:tc>
          <w:tcPr>
            <w:tcW w:w="11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483</w:t>
            </w:r>
          </w:p>
        </w:tc>
        <w:tc>
          <w:tcPr>
            <w:tcW w:w="108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85</w:t>
            </w:r>
          </w:p>
        </w:tc>
        <w:tc>
          <w:tcPr>
            <w:tcW w:w="106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121</w:t>
            </w:r>
          </w:p>
        </w:tc>
        <w:tc>
          <w:tcPr>
            <w:tcW w:w="12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-398</w:t>
            </w:r>
          </w:p>
        </w:tc>
        <w:tc>
          <w:tcPr>
            <w:tcW w:w="108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-36</w:t>
            </w:r>
          </w:p>
        </w:tc>
      </w:tr>
      <w:tr w:rsidR="00D12CF4" w:rsidRPr="00D12CF4" w:rsidTr="0019156E">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Total income from State Government</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171,654</w:t>
            </w:r>
          </w:p>
        </w:tc>
        <w:tc>
          <w:tcPr>
            <w:tcW w:w="108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163,028</w:t>
            </w:r>
          </w:p>
        </w:tc>
        <w:tc>
          <w:tcPr>
            <w:tcW w:w="106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218,705</w:t>
            </w:r>
          </w:p>
        </w:tc>
        <w:tc>
          <w:tcPr>
            <w:tcW w:w="122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-8,626</w:t>
            </w:r>
          </w:p>
        </w:tc>
        <w:tc>
          <w:tcPr>
            <w:tcW w:w="108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-55,677</w:t>
            </w:r>
          </w:p>
        </w:tc>
      </w:tr>
      <w:tr w:rsidR="00D12CF4" w:rsidRPr="00D12CF4" w:rsidTr="0019156E">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p>
        </w:tc>
        <w:tc>
          <w:tcPr>
            <w:tcW w:w="106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single" w:sz="4" w:space="0" w:color="auto"/>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19156E">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SURPLUS/(DEFICIT) FOR THE PERIOD</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-5,091</w:t>
            </w:r>
          </w:p>
        </w:tc>
        <w:tc>
          <w:tcPr>
            <w:tcW w:w="108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-2,865</w:t>
            </w:r>
          </w:p>
        </w:tc>
        <w:tc>
          <w:tcPr>
            <w:tcW w:w="106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26,974</w:t>
            </w:r>
          </w:p>
        </w:tc>
        <w:tc>
          <w:tcPr>
            <w:tcW w:w="122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2,226</w:t>
            </w:r>
          </w:p>
        </w:tc>
        <w:tc>
          <w:tcPr>
            <w:tcW w:w="108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19156E">
            <w:pPr>
              <w:spacing w:after="0"/>
              <w:jc w:val="right"/>
              <w:rPr>
                <w:lang w:eastAsia="en-AU"/>
              </w:rPr>
            </w:pPr>
            <w:r w:rsidRPr="00D12CF4">
              <w:rPr>
                <w:lang w:eastAsia="en-AU"/>
              </w:rPr>
              <w:t>-29,839</w:t>
            </w:r>
          </w:p>
        </w:tc>
      </w:tr>
      <w:tr w:rsidR="00D12CF4" w:rsidRPr="00D12CF4" w:rsidTr="0019156E">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OTHER COMPREHENSIVE INCOME</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6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single" w:sz="4" w:space="0" w:color="auto"/>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Items not reclassified subsequently to profit or loss</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6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22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c>
          <w:tcPr>
            <w:tcW w:w="1080" w:type="dxa"/>
            <w:tcBorders>
              <w:top w:val="nil"/>
              <w:left w:val="nil"/>
              <w:bottom w:val="nil"/>
              <w:right w:val="nil"/>
            </w:tcBorders>
            <w:shd w:val="clear" w:color="auto" w:fill="auto"/>
            <w:noWrap/>
            <w:vAlign w:val="bottom"/>
            <w:hideMark/>
          </w:tcPr>
          <w:p w:rsidR="00D12CF4" w:rsidRPr="00D12CF4" w:rsidRDefault="00D12CF4" w:rsidP="00D12CF4">
            <w:pPr>
              <w:spacing w:after="0"/>
              <w:jc w:val="right"/>
              <w:rPr>
                <w:lang w:eastAsia="en-AU"/>
              </w:rPr>
            </w:pP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lang w:eastAsia="en-AU"/>
              </w:rPr>
            </w:pPr>
            <w:r w:rsidRPr="00D12CF4">
              <w:rPr>
                <w:lang w:eastAsia="en-AU"/>
              </w:rPr>
              <w:t>Gain/(Losses) on Foreign exchange recognised directly in equity</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r w:rsidRPr="00D12CF4">
              <w:rPr>
                <w:lang w:eastAsia="en-AU"/>
              </w:rPr>
              <w:t>14, K</w:t>
            </w:r>
          </w:p>
        </w:tc>
        <w:tc>
          <w:tcPr>
            <w:tcW w:w="11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w:t>
            </w:r>
          </w:p>
        </w:tc>
        <w:tc>
          <w:tcPr>
            <w:tcW w:w="108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1,529</w:t>
            </w:r>
          </w:p>
        </w:tc>
        <w:tc>
          <w:tcPr>
            <w:tcW w:w="106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495</w:t>
            </w:r>
          </w:p>
        </w:tc>
        <w:tc>
          <w:tcPr>
            <w:tcW w:w="122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1,529</w:t>
            </w:r>
          </w:p>
        </w:tc>
        <w:tc>
          <w:tcPr>
            <w:tcW w:w="1080" w:type="dxa"/>
            <w:tcBorders>
              <w:top w:val="nil"/>
              <w:left w:val="nil"/>
              <w:bottom w:val="single" w:sz="4" w:space="0" w:color="auto"/>
              <w:right w:val="nil"/>
            </w:tcBorders>
            <w:shd w:val="clear" w:color="auto" w:fill="auto"/>
            <w:noWrap/>
            <w:vAlign w:val="bottom"/>
            <w:hideMark/>
          </w:tcPr>
          <w:p w:rsidR="00D12CF4" w:rsidRPr="00D12CF4" w:rsidRDefault="00D12CF4" w:rsidP="00D12CF4">
            <w:pPr>
              <w:spacing w:after="0"/>
              <w:jc w:val="right"/>
              <w:rPr>
                <w:lang w:eastAsia="en-AU"/>
              </w:rPr>
            </w:pPr>
            <w:r w:rsidRPr="00D12CF4">
              <w:rPr>
                <w:lang w:eastAsia="en-AU"/>
              </w:rPr>
              <w:t>1,034</w:t>
            </w:r>
          </w:p>
        </w:tc>
      </w:tr>
      <w:tr w:rsidR="00D12CF4" w:rsidRPr="00D12CF4" w:rsidTr="00D12CF4">
        <w:trPr>
          <w:trHeight w:val="285"/>
        </w:trPr>
        <w:tc>
          <w:tcPr>
            <w:tcW w:w="3580" w:type="dxa"/>
            <w:tcBorders>
              <w:top w:val="nil"/>
              <w:left w:val="nil"/>
              <w:bottom w:val="nil"/>
              <w:right w:val="nil"/>
            </w:tcBorders>
            <w:shd w:val="clear" w:color="auto" w:fill="auto"/>
            <w:vAlign w:val="bottom"/>
            <w:hideMark/>
          </w:tcPr>
          <w:p w:rsidR="00D12CF4" w:rsidRPr="00D12CF4" w:rsidRDefault="00D12CF4" w:rsidP="00D12CF4">
            <w:pPr>
              <w:spacing w:after="0"/>
              <w:rPr>
                <w:b/>
                <w:lang w:eastAsia="en-AU"/>
              </w:rPr>
            </w:pPr>
            <w:r w:rsidRPr="00D12CF4">
              <w:rPr>
                <w:b/>
                <w:lang w:eastAsia="en-AU"/>
              </w:rPr>
              <w:t>TOTAL COMPREHENSIVE INCOME FOR THE PERIOD</w:t>
            </w:r>
          </w:p>
        </w:tc>
        <w:tc>
          <w:tcPr>
            <w:tcW w:w="1120" w:type="dxa"/>
            <w:tcBorders>
              <w:top w:val="nil"/>
              <w:left w:val="nil"/>
              <w:bottom w:val="nil"/>
              <w:right w:val="nil"/>
            </w:tcBorders>
            <w:shd w:val="clear" w:color="auto" w:fill="auto"/>
            <w:noWrap/>
            <w:vAlign w:val="bottom"/>
            <w:hideMark/>
          </w:tcPr>
          <w:p w:rsidR="00D12CF4" w:rsidRPr="00D12CF4" w:rsidRDefault="00D12CF4" w:rsidP="00D12CF4">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D12CF4">
            <w:pPr>
              <w:spacing w:after="0"/>
              <w:jc w:val="right"/>
              <w:rPr>
                <w:lang w:eastAsia="en-AU"/>
              </w:rPr>
            </w:pPr>
            <w:r w:rsidRPr="00D12CF4">
              <w:rPr>
                <w:lang w:eastAsia="en-AU"/>
              </w:rPr>
              <w:t>-$5,091</w:t>
            </w:r>
          </w:p>
        </w:tc>
        <w:tc>
          <w:tcPr>
            <w:tcW w:w="108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D12CF4">
            <w:pPr>
              <w:spacing w:after="0"/>
              <w:jc w:val="right"/>
              <w:rPr>
                <w:lang w:eastAsia="en-AU"/>
              </w:rPr>
            </w:pPr>
            <w:r w:rsidRPr="00D12CF4">
              <w:rPr>
                <w:lang w:eastAsia="en-AU"/>
              </w:rPr>
              <w:t>-1,336</w:t>
            </w:r>
          </w:p>
        </w:tc>
        <w:tc>
          <w:tcPr>
            <w:tcW w:w="106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D12CF4">
            <w:pPr>
              <w:spacing w:after="0"/>
              <w:jc w:val="right"/>
              <w:rPr>
                <w:lang w:eastAsia="en-AU"/>
              </w:rPr>
            </w:pPr>
            <w:r w:rsidRPr="00D12CF4">
              <w:rPr>
                <w:lang w:eastAsia="en-AU"/>
              </w:rPr>
              <w:t>27,469</w:t>
            </w:r>
          </w:p>
        </w:tc>
        <w:tc>
          <w:tcPr>
            <w:tcW w:w="122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D12CF4">
            <w:pPr>
              <w:spacing w:after="0"/>
              <w:jc w:val="right"/>
              <w:rPr>
                <w:lang w:eastAsia="en-AU"/>
              </w:rPr>
            </w:pPr>
            <w:r w:rsidRPr="00D12CF4">
              <w:rPr>
                <w:lang w:eastAsia="en-AU"/>
              </w:rPr>
              <w:t>3,755</w:t>
            </w:r>
          </w:p>
        </w:tc>
        <w:tc>
          <w:tcPr>
            <w:tcW w:w="1080" w:type="dxa"/>
            <w:tcBorders>
              <w:top w:val="single" w:sz="4" w:space="0" w:color="auto"/>
              <w:left w:val="nil"/>
              <w:bottom w:val="single" w:sz="4" w:space="0" w:color="auto"/>
              <w:right w:val="nil"/>
            </w:tcBorders>
            <w:shd w:val="clear" w:color="auto" w:fill="auto"/>
            <w:noWrap/>
            <w:vAlign w:val="center"/>
            <w:hideMark/>
          </w:tcPr>
          <w:p w:rsidR="00D12CF4" w:rsidRPr="00D12CF4" w:rsidRDefault="00D12CF4" w:rsidP="00D12CF4">
            <w:pPr>
              <w:spacing w:after="0"/>
              <w:jc w:val="right"/>
              <w:rPr>
                <w:lang w:eastAsia="en-AU"/>
              </w:rPr>
            </w:pPr>
            <w:r w:rsidRPr="00D12CF4">
              <w:rPr>
                <w:lang w:eastAsia="en-AU"/>
              </w:rPr>
              <w:t>-28,805</w:t>
            </w:r>
          </w:p>
        </w:tc>
      </w:tr>
    </w:tbl>
    <w:p w:rsidR="00D12CF4" w:rsidRPr="0019156E" w:rsidRDefault="00D12CF4" w:rsidP="0019156E">
      <w:pPr>
        <w:rPr>
          <w:lang w:val="en-US"/>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19156E" w:rsidRPr="0019156E" w:rsidTr="0019156E">
        <w:trPr>
          <w:trHeight w:val="690"/>
        </w:trPr>
        <w:tc>
          <w:tcPr>
            <w:tcW w:w="370" w:type="dxa"/>
            <w:tcMar>
              <w:top w:w="85" w:type="dxa"/>
              <w:left w:w="0" w:type="dxa"/>
              <w:bottom w:w="85" w:type="dxa"/>
              <w:right w:w="0" w:type="dxa"/>
            </w:tcMar>
          </w:tcPr>
          <w:p w:rsidR="00FC4E35" w:rsidRPr="0019156E" w:rsidRDefault="00FC4E35" w:rsidP="0019156E">
            <w:pPr>
              <w:spacing w:after="0"/>
              <w:rPr>
                <w:lang w:val="en-US"/>
              </w:rPr>
            </w:pPr>
            <w:r w:rsidRPr="0019156E">
              <w:rPr>
                <w:lang w:val="en-US"/>
              </w:rPr>
              <w:t>(a)</w:t>
            </w:r>
          </w:p>
        </w:tc>
        <w:tc>
          <w:tcPr>
            <w:tcW w:w="9996" w:type="dxa"/>
            <w:tcMar>
              <w:top w:w="85" w:type="dxa"/>
              <w:left w:w="80" w:type="dxa"/>
              <w:bottom w:w="85" w:type="dxa"/>
              <w:right w:w="80" w:type="dxa"/>
            </w:tcMar>
          </w:tcPr>
          <w:p w:rsidR="00FC4E35" w:rsidRPr="0019156E" w:rsidRDefault="00FC4E35" w:rsidP="0019156E">
            <w:pPr>
              <w:spacing w:after="0"/>
              <w:rPr>
                <w:lang w:val="en-US"/>
              </w:rPr>
            </w:pPr>
            <w:r w:rsidRPr="0019156E">
              <w:rPr>
                <w:lang w:val="en-US"/>
              </w:rPr>
              <w:t>The budget estimates have been reclassified to align with the financial statement classification of income and expenditure items.</w:t>
            </w:r>
          </w:p>
        </w:tc>
      </w:tr>
    </w:tbl>
    <w:p w:rsidR="00FC4E35" w:rsidRPr="0019156E" w:rsidRDefault="00FC4E35" w:rsidP="0019156E">
      <w:pPr>
        <w:rPr>
          <w:lang w:val="en-US"/>
        </w:rPr>
      </w:pPr>
    </w:p>
    <w:p w:rsidR="009A36D1" w:rsidRDefault="009A36D1">
      <w:pPr>
        <w:spacing w:line="276" w:lineRule="auto"/>
        <w:rPr>
          <w:rFonts w:ascii="Arial" w:hAnsi="Arial" w:cs="Arial"/>
          <w:color w:val="006699"/>
          <w:sz w:val="28"/>
          <w:szCs w:val="28"/>
          <w:lang w:val="en-US"/>
        </w:rPr>
      </w:pPr>
      <w:r>
        <w:rPr>
          <w:lang w:val="en-US"/>
        </w:rPr>
        <w:br w:type="page"/>
      </w:r>
    </w:p>
    <w:p w:rsidR="00FC4E35" w:rsidRPr="00FC4E35" w:rsidRDefault="00FC4E35" w:rsidP="0019156E">
      <w:pPr>
        <w:pStyle w:val="Heading6"/>
        <w:rPr>
          <w:lang w:val="en-US"/>
        </w:rPr>
      </w:pPr>
      <w:r w:rsidRPr="00FC4E35">
        <w:rPr>
          <w:lang w:val="en-US"/>
        </w:rPr>
        <w:t>Statement of Financial Position</w:t>
      </w:r>
    </w:p>
    <w:tbl>
      <w:tblPr>
        <w:tblW w:w="10260" w:type="dxa"/>
        <w:tblInd w:w="93" w:type="dxa"/>
        <w:tblLook w:val="04A0" w:firstRow="1" w:lastRow="0" w:firstColumn="1" w:lastColumn="0" w:noHBand="0" w:noVBand="1"/>
      </w:tblPr>
      <w:tblGrid>
        <w:gridCol w:w="3400"/>
        <w:gridCol w:w="1189"/>
        <w:gridCol w:w="1122"/>
        <w:gridCol w:w="1080"/>
        <w:gridCol w:w="1060"/>
        <w:gridCol w:w="1220"/>
        <w:gridCol w:w="1189"/>
      </w:tblGrid>
      <w:tr w:rsidR="0019156E" w:rsidRPr="0019156E" w:rsidTr="0019156E">
        <w:trPr>
          <w:trHeight w:val="1710"/>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p>
        </w:tc>
        <w:tc>
          <w:tcPr>
            <w:tcW w:w="112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Variance Note</w:t>
            </w:r>
          </w:p>
        </w:tc>
        <w:tc>
          <w:tcPr>
            <w:tcW w:w="112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 xml:space="preserve">Original Budget </w:t>
            </w:r>
            <w:r w:rsidRPr="0019156E">
              <w:rPr>
                <w:b/>
                <w:vertAlign w:val="superscript"/>
                <w:lang w:eastAsia="en-AU"/>
              </w:rPr>
              <w:t>(a)</w:t>
            </w:r>
            <w:r w:rsidRPr="0019156E">
              <w:rPr>
                <w:b/>
                <w:lang w:eastAsia="en-AU"/>
              </w:rPr>
              <w:t xml:space="preserve"> 2015 $000</w:t>
            </w:r>
          </w:p>
        </w:tc>
        <w:tc>
          <w:tcPr>
            <w:tcW w:w="108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Actual 2015 $000</w:t>
            </w:r>
          </w:p>
        </w:tc>
        <w:tc>
          <w:tcPr>
            <w:tcW w:w="106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Actual 2014 $000</w:t>
            </w:r>
          </w:p>
        </w:tc>
        <w:tc>
          <w:tcPr>
            <w:tcW w:w="122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Variance between estimate and actual $000</w:t>
            </w:r>
          </w:p>
        </w:tc>
        <w:tc>
          <w:tcPr>
            <w:tcW w:w="108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 xml:space="preserve">Variance between actual results </w:t>
            </w:r>
            <w:r w:rsidR="00AE617E">
              <w:rPr>
                <w:b/>
                <w:lang w:eastAsia="en-AU"/>
              </w:rPr>
              <w:t xml:space="preserve">for </w:t>
            </w:r>
            <w:r w:rsidRPr="0019156E">
              <w:rPr>
                <w:b/>
                <w:lang w:eastAsia="en-AU"/>
              </w:rPr>
              <w:t>2015 and 2014</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3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Current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Cash and cash equivalents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15</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25,210</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30,162</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30,729</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4,952</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(567)</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Inventories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16, L</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77</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39</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58</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-38</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-19</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Receivables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M</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1,416</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1,497</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2,436</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81</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-939</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Amounts receivable for services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17, N</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2,022</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3,422</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2,124</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1,400</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1,298</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Other current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18, O</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1,193</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528</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916</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-665</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-389</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Total Current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29,918</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35,648</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36,263</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5,730</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-615</w:t>
            </w:r>
          </w:p>
        </w:tc>
      </w:tr>
      <w:tr w:rsidR="0019156E" w:rsidRPr="0019156E" w:rsidTr="0019156E">
        <w:trPr>
          <w:trHeight w:val="450"/>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Non-current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Restricted cash and cash equivalents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33,867</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34,651</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33,261</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784</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1,389</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Amounts receivable for services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25,741</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24,342</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24,936</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-1,399</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-594</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Other financial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$19</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124</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114</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124</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10</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Property, plant and equipment</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20, P</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3,798</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4,528</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3,431</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730</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1,097</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Intangible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$21</w:t>
            </w:r>
          </w:p>
        </w:tc>
        <w:tc>
          <w:tcPr>
            <w:tcW w:w="112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$997</w:t>
            </w:r>
          </w:p>
        </w:tc>
        <w:tc>
          <w:tcPr>
            <w:tcW w:w="108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776</w:t>
            </w:r>
          </w:p>
        </w:tc>
        <w:tc>
          <w:tcPr>
            <w:tcW w:w="106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790</w:t>
            </w:r>
          </w:p>
        </w:tc>
        <w:tc>
          <w:tcPr>
            <w:tcW w:w="122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-221</w:t>
            </w:r>
          </w:p>
        </w:tc>
        <w:tc>
          <w:tcPr>
            <w:tcW w:w="108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Total Non-current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$64,403</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64,421</w:t>
            </w: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62,532</w:t>
            </w: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18</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1,889</w:t>
            </w:r>
          </w:p>
        </w:tc>
      </w:tr>
      <w:tr w:rsidR="0019156E" w:rsidRPr="0019156E" w:rsidTr="0019156E">
        <w:trPr>
          <w:trHeight w:val="285"/>
        </w:trPr>
        <w:tc>
          <w:tcPr>
            <w:tcW w:w="3580" w:type="dxa"/>
            <w:tcBorders>
              <w:top w:val="nil"/>
              <w:left w:val="nil"/>
              <w:bottom w:val="nil"/>
              <w:right w:val="nil"/>
            </w:tcBorders>
            <w:shd w:val="clear" w:color="auto" w:fill="auto"/>
            <w:vAlign w:val="center"/>
            <w:hideMark/>
          </w:tcPr>
          <w:p w:rsidR="0019156E" w:rsidRPr="0019156E" w:rsidRDefault="0019156E" w:rsidP="0019156E">
            <w:pPr>
              <w:spacing w:after="0"/>
              <w:jc w:val="center"/>
              <w:rPr>
                <w:b/>
                <w:sz w:val="12"/>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TOTAL ASSETS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$94,321</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100,069</w:t>
            </w: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98,795</w:t>
            </w: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5,748</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1,274</w:t>
            </w:r>
          </w:p>
        </w:tc>
      </w:tr>
      <w:tr w:rsidR="0019156E" w:rsidRPr="0019156E" w:rsidTr="0019156E">
        <w:trPr>
          <w:trHeight w:val="47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434"/>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Current 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Payables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22, Q</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4,634</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3,815</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4,624</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-819</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-809</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Provisions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23, R</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13,856</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17,542</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15,430</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3,686</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2,112</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Other current 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24, S</w:t>
            </w:r>
          </w:p>
        </w:tc>
        <w:tc>
          <w:tcPr>
            <w:tcW w:w="112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1,568</w:t>
            </w:r>
          </w:p>
        </w:tc>
        <w:tc>
          <w:tcPr>
            <w:tcW w:w="108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w:t>
            </w:r>
          </w:p>
        </w:tc>
        <w:tc>
          <w:tcPr>
            <w:tcW w:w="106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1,420</w:t>
            </w:r>
          </w:p>
        </w:tc>
        <w:tc>
          <w:tcPr>
            <w:tcW w:w="122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-1,565</w:t>
            </w:r>
          </w:p>
        </w:tc>
        <w:tc>
          <w:tcPr>
            <w:tcW w:w="108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-1,417</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Total Current 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20,058</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21,361</w:t>
            </w: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21,474</w:t>
            </w: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1,303</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-113</w:t>
            </w:r>
          </w:p>
        </w:tc>
      </w:tr>
      <w:tr w:rsidR="0019156E" w:rsidRPr="0019156E" w:rsidTr="0019156E">
        <w:trPr>
          <w:trHeight w:val="548"/>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Non-current 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single" w:sz="4" w:space="0" w:color="auto"/>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Provisions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2,934</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3,070</w:t>
            </w:r>
          </w:p>
        </w:tc>
        <w:tc>
          <w:tcPr>
            <w:tcW w:w="106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3,347</w:t>
            </w:r>
          </w:p>
        </w:tc>
        <w:tc>
          <w:tcPr>
            <w:tcW w:w="12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136</w:t>
            </w:r>
          </w:p>
        </w:tc>
        <w:tc>
          <w:tcPr>
            <w:tcW w:w="108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-277</w:t>
            </w: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 xml:space="preserve">Total Non-current </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p>
        </w:tc>
        <w:tc>
          <w:tcPr>
            <w:tcW w:w="106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p>
        </w:tc>
        <w:tc>
          <w:tcPr>
            <w:tcW w:w="122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p>
        </w:tc>
        <w:tc>
          <w:tcPr>
            <w:tcW w:w="1080" w:type="dxa"/>
            <w:tcBorders>
              <w:top w:val="nil"/>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2,934</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3,070</w:t>
            </w: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3,347</w:t>
            </w: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136</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-277</w:t>
            </w:r>
          </w:p>
        </w:tc>
      </w:tr>
      <w:tr w:rsidR="0019156E" w:rsidRPr="0019156E" w:rsidTr="0019156E">
        <w:trPr>
          <w:trHeight w:val="70"/>
        </w:trPr>
        <w:tc>
          <w:tcPr>
            <w:tcW w:w="3580" w:type="dxa"/>
            <w:tcBorders>
              <w:top w:val="nil"/>
              <w:left w:val="nil"/>
              <w:bottom w:val="nil"/>
              <w:right w:val="nil"/>
            </w:tcBorders>
            <w:shd w:val="clear" w:color="auto" w:fill="auto"/>
            <w:vAlign w:val="center"/>
            <w:hideMark/>
          </w:tcPr>
          <w:p w:rsidR="0019156E" w:rsidRPr="0019156E" w:rsidRDefault="0019156E" w:rsidP="0019156E">
            <w:pPr>
              <w:spacing w:after="0"/>
              <w:jc w:val="center"/>
              <w:rPr>
                <w:b/>
                <w:sz w:val="12"/>
                <w:lang w:eastAsia="en-AU"/>
              </w:rPr>
            </w:pP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center"/>
              <w:rPr>
                <w:sz w:val="12"/>
                <w:lang w:eastAsia="en-AU"/>
              </w:rPr>
            </w:pPr>
          </w:p>
        </w:tc>
      </w:tr>
      <w:tr w:rsidR="0019156E" w:rsidRPr="0019156E" w:rsidTr="0019156E">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b/>
                <w:lang w:eastAsia="en-AU"/>
              </w:rPr>
            </w:pPr>
            <w:r w:rsidRPr="0019156E">
              <w:rPr>
                <w:b/>
                <w:lang w:eastAsia="en-AU"/>
              </w:rPr>
              <w:t>Total Liabilities</w:t>
            </w:r>
          </w:p>
        </w:tc>
        <w:tc>
          <w:tcPr>
            <w:tcW w:w="1120" w:type="dxa"/>
            <w:tcBorders>
              <w:top w:val="nil"/>
              <w:left w:val="nil"/>
              <w:bottom w:val="nil"/>
              <w:right w:val="nil"/>
            </w:tcBorders>
            <w:shd w:val="clear" w:color="auto" w:fill="auto"/>
            <w:noWrap/>
            <w:vAlign w:val="center"/>
            <w:hideMark/>
          </w:tcPr>
          <w:p w:rsidR="0019156E" w:rsidRPr="0019156E" w:rsidRDefault="0019156E" w:rsidP="0019156E">
            <w:pPr>
              <w:spacing w:after="0"/>
              <w:jc w:val="right"/>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22,992</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24,431</w:t>
            </w:r>
          </w:p>
        </w:tc>
        <w:tc>
          <w:tcPr>
            <w:tcW w:w="106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24,821</w:t>
            </w:r>
          </w:p>
        </w:tc>
        <w:tc>
          <w:tcPr>
            <w:tcW w:w="122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1,439</w:t>
            </w:r>
          </w:p>
        </w:tc>
        <w:tc>
          <w:tcPr>
            <w:tcW w:w="1080" w:type="dxa"/>
            <w:tcBorders>
              <w:top w:val="single" w:sz="4" w:space="0" w:color="auto"/>
              <w:left w:val="nil"/>
              <w:bottom w:val="single" w:sz="4" w:space="0" w:color="auto"/>
              <w:right w:val="nil"/>
            </w:tcBorders>
            <w:shd w:val="clear" w:color="auto" w:fill="auto"/>
            <w:noWrap/>
            <w:vAlign w:val="center"/>
            <w:hideMark/>
          </w:tcPr>
          <w:p w:rsidR="0019156E" w:rsidRPr="0019156E" w:rsidRDefault="0019156E" w:rsidP="0019156E">
            <w:pPr>
              <w:spacing w:after="0"/>
              <w:jc w:val="right"/>
              <w:rPr>
                <w:lang w:eastAsia="en-AU"/>
              </w:rPr>
            </w:pPr>
            <w:r w:rsidRPr="0019156E">
              <w:rPr>
                <w:lang w:eastAsia="en-AU"/>
              </w:rPr>
              <w:t>-390</w:t>
            </w:r>
          </w:p>
        </w:tc>
      </w:tr>
    </w:tbl>
    <w:p w:rsidR="00FC4E35" w:rsidRDefault="00FC4E35" w:rsidP="0019156E">
      <w:pPr>
        <w:rPr>
          <w:lang w:val="en-US"/>
        </w:rPr>
      </w:pPr>
    </w:p>
    <w:p w:rsidR="009A36D1" w:rsidRDefault="009A36D1">
      <w:pPr>
        <w:spacing w:line="276" w:lineRule="auto"/>
        <w:rPr>
          <w:rFonts w:ascii="Arial" w:hAnsi="Arial" w:cs="Arial"/>
          <w:color w:val="006699"/>
          <w:sz w:val="28"/>
          <w:szCs w:val="28"/>
          <w:lang w:val="en-US"/>
        </w:rPr>
      </w:pPr>
      <w:r>
        <w:rPr>
          <w:lang w:val="en-US"/>
        </w:rPr>
        <w:br w:type="page"/>
      </w:r>
    </w:p>
    <w:p w:rsidR="00FC4E35" w:rsidRPr="00FC4E35" w:rsidRDefault="00FC4E35" w:rsidP="0019156E">
      <w:pPr>
        <w:pStyle w:val="Heading6"/>
        <w:rPr>
          <w:lang w:val="en-US"/>
        </w:rPr>
      </w:pPr>
      <w:r w:rsidRPr="00FC4E35">
        <w:rPr>
          <w:lang w:val="en-US"/>
        </w:rPr>
        <w:t>Statement of Financial Position (continued)</w:t>
      </w:r>
    </w:p>
    <w:tbl>
      <w:tblPr>
        <w:tblW w:w="10260" w:type="dxa"/>
        <w:tblInd w:w="93" w:type="dxa"/>
        <w:tblLook w:val="04A0" w:firstRow="1" w:lastRow="0" w:firstColumn="1" w:lastColumn="0" w:noHBand="0" w:noVBand="1"/>
      </w:tblPr>
      <w:tblGrid>
        <w:gridCol w:w="3400"/>
        <w:gridCol w:w="1189"/>
        <w:gridCol w:w="1122"/>
        <w:gridCol w:w="1080"/>
        <w:gridCol w:w="1060"/>
        <w:gridCol w:w="1220"/>
        <w:gridCol w:w="1189"/>
      </w:tblGrid>
      <w:tr w:rsidR="0019156E" w:rsidRPr="0019156E" w:rsidTr="001C3EAC">
        <w:trPr>
          <w:trHeight w:val="1710"/>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p>
        </w:tc>
        <w:tc>
          <w:tcPr>
            <w:tcW w:w="1120" w:type="dxa"/>
            <w:tcBorders>
              <w:top w:val="nil"/>
              <w:left w:val="nil"/>
              <w:bottom w:val="nil"/>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Variance Note</w:t>
            </w:r>
          </w:p>
        </w:tc>
        <w:tc>
          <w:tcPr>
            <w:tcW w:w="1120" w:type="dxa"/>
            <w:tcBorders>
              <w:top w:val="nil"/>
              <w:left w:val="nil"/>
              <w:bottom w:val="single" w:sz="4" w:space="0" w:color="auto"/>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 xml:space="preserve">Original Budget </w:t>
            </w:r>
            <w:r w:rsidRPr="001C3EAC">
              <w:rPr>
                <w:b/>
                <w:vertAlign w:val="superscript"/>
                <w:lang w:eastAsia="en-AU"/>
              </w:rPr>
              <w:t>(a)</w:t>
            </w:r>
            <w:r w:rsidRPr="0019156E">
              <w:rPr>
                <w:b/>
                <w:lang w:eastAsia="en-AU"/>
              </w:rPr>
              <w:t xml:space="preserve"> 2015 $000</w:t>
            </w:r>
          </w:p>
        </w:tc>
        <w:tc>
          <w:tcPr>
            <w:tcW w:w="1080" w:type="dxa"/>
            <w:tcBorders>
              <w:top w:val="nil"/>
              <w:left w:val="nil"/>
              <w:bottom w:val="single" w:sz="4" w:space="0" w:color="auto"/>
              <w:right w:val="nil"/>
            </w:tcBorders>
            <w:shd w:val="clear" w:color="auto" w:fill="F2F2F2" w:themeFill="background1" w:themeFillShade="F2"/>
            <w:vAlign w:val="bottom"/>
            <w:hideMark/>
          </w:tcPr>
          <w:p w:rsidR="0019156E" w:rsidRPr="0019156E" w:rsidRDefault="0019156E" w:rsidP="0019156E">
            <w:pPr>
              <w:spacing w:after="0"/>
              <w:jc w:val="center"/>
              <w:rPr>
                <w:b/>
                <w:lang w:eastAsia="en-AU"/>
              </w:rPr>
            </w:pPr>
            <w:r w:rsidRPr="0019156E">
              <w:rPr>
                <w:b/>
                <w:lang w:eastAsia="en-AU"/>
              </w:rPr>
              <w:t>Actual 2015 $000</w:t>
            </w:r>
          </w:p>
        </w:tc>
        <w:tc>
          <w:tcPr>
            <w:tcW w:w="1060" w:type="dxa"/>
            <w:tcBorders>
              <w:top w:val="nil"/>
              <w:left w:val="nil"/>
              <w:bottom w:val="single" w:sz="4" w:space="0" w:color="auto"/>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Actual 2014 $000</w:t>
            </w:r>
          </w:p>
        </w:tc>
        <w:tc>
          <w:tcPr>
            <w:tcW w:w="1220" w:type="dxa"/>
            <w:tcBorders>
              <w:top w:val="nil"/>
              <w:left w:val="nil"/>
              <w:bottom w:val="single" w:sz="4" w:space="0" w:color="auto"/>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Variance between estimate and actual $000</w:t>
            </w:r>
          </w:p>
        </w:tc>
        <w:tc>
          <w:tcPr>
            <w:tcW w:w="1080" w:type="dxa"/>
            <w:tcBorders>
              <w:top w:val="nil"/>
              <w:left w:val="nil"/>
              <w:bottom w:val="single" w:sz="4" w:space="0" w:color="auto"/>
              <w:right w:val="nil"/>
            </w:tcBorders>
            <w:shd w:val="clear" w:color="auto" w:fill="auto"/>
            <w:vAlign w:val="bottom"/>
            <w:hideMark/>
          </w:tcPr>
          <w:p w:rsidR="0019156E" w:rsidRPr="0019156E" w:rsidRDefault="0019156E" w:rsidP="0019156E">
            <w:pPr>
              <w:spacing w:after="0"/>
              <w:jc w:val="center"/>
              <w:rPr>
                <w:b/>
                <w:lang w:eastAsia="en-AU"/>
              </w:rPr>
            </w:pPr>
            <w:r w:rsidRPr="0019156E">
              <w:rPr>
                <w:b/>
                <w:lang w:eastAsia="en-AU"/>
              </w:rPr>
              <w:t xml:space="preserve">Variance between actual results </w:t>
            </w:r>
            <w:r w:rsidR="00AE617E">
              <w:rPr>
                <w:b/>
                <w:lang w:eastAsia="en-AU"/>
              </w:rPr>
              <w:t xml:space="preserve">for </w:t>
            </w:r>
            <w:r w:rsidRPr="0019156E">
              <w:rPr>
                <w:b/>
                <w:lang w:eastAsia="en-AU"/>
              </w:rPr>
              <w:t>2015 and 2014</w:t>
            </w:r>
          </w:p>
        </w:tc>
      </w:tr>
      <w:tr w:rsidR="0019156E" w:rsidRPr="0019156E" w:rsidTr="001C3EAC">
        <w:trPr>
          <w:trHeight w:val="285"/>
        </w:trPr>
        <w:tc>
          <w:tcPr>
            <w:tcW w:w="3580" w:type="dxa"/>
            <w:tcBorders>
              <w:top w:val="nil"/>
              <w:left w:val="nil"/>
              <w:bottom w:val="nil"/>
              <w:right w:val="nil"/>
            </w:tcBorders>
            <w:shd w:val="clear" w:color="auto" w:fill="auto"/>
            <w:vAlign w:val="bottom"/>
            <w:hideMark/>
          </w:tcPr>
          <w:p w:rsidR="0019156E" w:rsidRPr="001C3EAC" w:rsidRDefault="0019156E" w:rsidP="0019156E">
            <w:pPr>
              <w:spacing w:after="0"/>
              <w:rPr>
                <w:b/>
                <w:lang w:eastAsia="en-AU"/>
              </w:rPr>
            </w:pPr>
            <w:r w:rsidRPr="001C3EAC">
              <w:rPr>
                <w:b/>
                <w:lang w:eastAsia="en-AU"/>
              </w:rPr>
              <w:t>Net Assets</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71,329</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rsidR="0019156E" w:rsidRPr="0019156E" w:rsidRDefault="0019156E" w:rsidP="0019156E">
            <w:pPr>
              <w:spacing w:after="0"/>
              <w:jc w:val="right"/>
              <w:rPr>
                <w:lang w:eastAsia="en-AU"/>
              </w:rPr>
            </w:pPr>
            <w:r w:rsidRPr="0019156E">
              <w:rPr>
                <w:lang w:eastAsia="en-AU"/>
              </w:rPr>
              <w:t>75,638</w:t>
            </w:r>
          </w:p>
        </w:tc>
        <w:tc>
          <w:tcPr>
            <w:tcW w:w="106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73,974</w:t>
            </w:r>
          </w:p>
        </w:tc>
        <w:tc>
          <w:tcPr>
            <w:tcW w:w="122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4,309</w:t>
            </w:r>
          </w:p>
        </w:tc>
        <w:tc>
          <w:tcPr>
            <w:tcW w:w="108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1,664</w:t>
            </w:r>
          </w:p>
        </w:tc>
      </w:tr>
      <w:tr w:rsidR="0019156E" w:rsidRPr="0019156E" w:rsidTr="001C3EAC">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Equity</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center"/>
              <w:rPr>
                <w:lang w:eastAsia="en-AU"/>
              </w:rPr>
            </w:pPr>
          </w:p>
        </w:tc>
        <w:tc>
          <w:tcPr>
            <w:tcW w:w="1120" w:type="dxa"/>
            <w:tcBorders>
              <w:top w:val="single" w:sz="4" w:space="0" w:color="auto"/>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p>
        </w:tc>
        <w:tc>
          <w:tcPr>
            <w:tcW w:w="1080" w:type="dxa"/>
            <w:tcBorders>
              <w:top w:val="single" w:sz="4" w:space="0" w:color="auto"/>
              <w:left w:val="nil"/>
              <w:bottom w:val="nil"/>
              <w:right w:val="nil"/>
            </w:tcBorders>
            <w:shd w:val="clear" w:color="auto" w:fill="F2F2F2" w:themeFill="background1" w:themeFillShade="F2"/>
            <w:noWrap/>
            <w:vAlign w:val="bottom"/>
            <w:hideMark/>
          </w:tcPr>
          <w:p w:rsidR="0019156E" w:rsidRPr="0019156E" w:rsidRDefault="0019156E" w:rsidP="0019156E">
            <w:pPr>
              <w:spacing w:after="0"/>
              <w:jc w:val="right"/>
              <w:rPr>
                <w:lang w:eastAsia="en-AU"/>
              </w:rPr>
            </w:pPr>
          </w:p>
        </w:tc>
        <w:tc>
          <w:tcPr>
            <w:tcW w:w="1060" w:type="dxa"/>
            <w:tcBorders>
              <w:top w:val="single" w:sz="4" w:space="0" w:color="auto"/>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p>
        </w:tc>
        <w:tc>
          <w:tcPr>
            <w:tcW w:w="1220" w:type="dxa"/>
            <w:tcBorders>
              <w:top w:val="single" w:sz="4" w:space="0" w:color="auto"/>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p>
        </w:tc>
        <w:tc>
          <w:tcPr>
            <w:tcW w:w="1080" w:type="dxa"/>
            <w:tcBorders>
              <w:top w:val="single" w:sz="4" w:space="0" w:color="auto"/>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p>
        </w:tc>
      </w:tr>
      <w:tr w:rsidR="0019156E" w:rsidRPr="0019156E" w:rsidTr="001C3EAC">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Contributed equity</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center"/>
              <w:rPr>
                <w:lang w:eastAsia="en-AU"/>
              </w:rPr>
            </w:pPr>
            <w:r w:rsidRPr="0019156E">
              <w:rPr>
                <w:lang w:eastAsia="en-AU"/>
              </w:rPr>
              <w:t>T</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39,058</w:t>
            </w:r>
          </w:p>
        </w:tc>
        <w:tc>
          <w:tcPr>
            <w:tcW w:w="1080" w:type="dxa"/>
            <w:tcBorders>
              <w:top w:val="nil"/>
              <w:left w:val="nil"/>
              <w:bottom w:val="nil"/>
              <w:right w:val="nil"/>
            </w:tcBorders>
            <w:shd w:val="clear" w:color="auto" w:fill="F2F2F2" w:themeFill="background1" w:themeFillShade="F2"/>
            <w:noWrap/>
            <w:vAlign w:val="bottom"/>
            <w:hideMark/>
          </w:tcPr>
          <w:p w:rsidR="0019156E" w:rsidRPr="0019156E" w:rsidRDefault="0019156E" w:rsidP="0019156E">
            <w:pPr>
              <w:spacing w:after="0"/>
              <w:jc w:val="right"/>
              <w:rPr>
                <w:lang w:eastAsia="en-AU"/>
              </w:rPr>
            </w:pPr>
            <w:r w:rsidRPr="0019156E">
              <w:rPr>
                <w:lang w:eastAsia="en-AU"/>
              </w:rPr>
              <w:t>39,117</w:t>
            </w:r>
          </w:p>
        </w:tc>
        <w:tc>
          <w:tcPr>
            <w:tcW w:w="106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36,117</w:t>
            </w:r>
          </w:p>
        </w:tc>
        <w:tc>
          <w:tcPr>
            <w:tcW w:w="122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59</w:t>
            </w:r>
          </w:p>
        </w:tc>
        <w:tc>
          <w:tcPr>
            <w:tcW w:w="108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3,000</w:t>
            </w:r>
          </w:p>
        </w:tc>
      </w:tr>
      <w:tr w:rsidR="0019156E" w:rsidRPr="0019156E" w:rsidTr="001C3EAC">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Hedging reserves</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center"/>
              <w:rPr>
                <w:lang w:eastAsia="en-AU"/>
              </w:rPr>
            </w:pPr>
            <w:r w:rsidRPr="0019156E">
              <w:rPr>
                <w:lang w:eastAsia="en-AU"/>
              </w:rPr>
              <w:t>25, U</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-2,458</w:t>
            </w:r>
          </w:p>
        </w:tc>
        <w:tc>
          <w:tcPr>
            <w:tcW w:w="1080" w:type="dxa"/>
            <w:tcBorders>
              <w:top w:val="nil"/>
              <w:left w:val="nil"/>
              <w:bottom w:val="nil"/>
              <w:right w:val="nil"/>
            </w:tcBorders>
            <w:shd w:val="clear" w:color="auto" w:fill="F2F2F2" w:themeFill="background1" w:themeFillShade="F2"/>
            <w:noWrap/>
            <w:vAlign w:val="bottom"/>
            <w:hideMark/>
          </w:tcPr>
          <w:p w:rsidR="0019156E" w:rsidRPr="0019156E" w:rsidRDefault="0019156E" w:rsidP="0019156E">
            <w:pPr>
              <w:spacing w:after="0"/>
              <w:jc w:val="right"/>
              <w:rPr>
                <w:lang w:eastAsia="en-AU"/>
              </w:rPr>
            </w:pPr>
            <w:r w:rsidRPr="0019156E">
              <w:rPr>
                <w:lang w:eastAsia="en-AU"/>
              </w:rPr>
              <w:t>-434</w:t>
            </w:r>
          </w:p>
        </w:tc>
        <w:tc>
          <w:tcPr>
            <w:tcW w:w="106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-1,963</w:t>
            </w:r>
          </w:p>
        </w:tc>
        <w:tc>
          <w:tcPr>
            <w:tcW w:w="122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2,024</w:t>
            </w:r>
          </w:p>
        </w:tc>
        <w:tc>
          <w:tcPr>
            <w:tcW w:w="1080" w:type="dxa"/>
            <w:tcBorders>
              <w:top w:val="nil"/>
              <w:left w:val="nil"/>
              <w:bottom w:val="nil"/>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1,529</w:t>
            </w:r>
          </w:p>
        </w:tc>
      </w:tr>
      <w:tr w:rsidR="0019156E" w:rsidRPr="0019156E" w:rsidTr="001C3EAC">
        <w:trPr>
          <w:trHeight w:val="285"/>
        </w:trPr>
        <w:tc>
          <w:tcPr>
            <w:tcW w:w="3580" w:type="dxa"/>
            <w:tcBorders>
              <w:top w:val="nil"/>
              <w:left w:val="nil"/>
              <w:bottom w:val="nil"/>
              <w:right w:val="nil"/>
            </w:tcBorders>
            <w:shd w:val="clear" w:color="auto" w:fill="auto"/>
            <w:vAlign w:val="bottom"/>
            <w:hideMark/>
          </w:tcPr>
          <w:p w:rsidR="0019156E" w:rsidRPr="0019156E" w:rsidRDefault="0019156E" w:rsidP="0019156E">
            <w:pPr>
              <w:spacing w:after="0"/>
              <w:rPr>
                <w:lang w:eastAsia="en-AU"/>
              </w:rPr>
            </w:pPr>
            <w:r w:rsidRPr="0019156E">
              <w:rPr>
                <w:lang w:eastAsia="en-AU"/>
              </w:rPr>
              <w:t>Accumulated surplus (deficiency)</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center"/>
              <w:rPr>
                <w:lang w:eastAsia="en-AU"/>
              </w:rPr>
            </w:pPr>
          </w:p>
        </w:tc>
        <w:tc>
          <w:tcPr>
            <w:tcW w:w="1120" w:type="dxa"/>
            <w:tcBorders>
              <w:top w:val="nil"/>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34,729</w:t>
            </w:r>
          </w:p>
        </w:tc>
        <w:tc>
          <w:tcPr>
            <w:tcW w:w="1080" w:type="dxa"/>
            <w:tcBorders>
              <w:top w:val="nil"/>
              <w:left w:val="nil"/>
              <w:bottom w:val="single" w:sz="4" w:space="0" w:color="auto"/>
              <w:right w:val="nil"/>
            </w:tcBorders>
            <w:shd w:val="clear" w:color="auto" w:fill="F2F2F2" w:themeFill="background1" w:themeFillShade="F2"/>
            <w:noWrap/>
            <w:vAlign w:val="bottom"/>
            <w:hideMark/>
          </w:tcPr>
          <w:p w:rsidR="0019156E" w:rsidRPr="0019156E" w:rsidRDefault="0019156E" w:rsidP="0019156E">
            <w:pPr>
              <w:spacing w:after="0"/>
              <w:jc w:val="right"/>
              <w:rPr>
                <w:lang w:eastAsia="en-AU"/>
              </w:rPr>
            </w:pPr>
            <w:r w:rsidRPr="0019156E">
              <w:rPr>
                <w:lang w:eastAsia="en-AU"/>
              </w:rPr>
              <w:t>36,956</w:t>
            </w:r>
          </w:p>
        </w:tc>
        <w:tc>
          <w:tcPr>
            <w:tcW w:w="1060" w:type="dxa"/>
            <w:tcBorders>
              <w:top w:val="nil"/>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39,820</w:t>
            </w:r>
          </w:p>
        </w:tc>
        <w:tc>
          <w:tcPr>
            <w:tcW w:w="1220" w:type="dxa"/>
            <w:tcBorders>
              <w:top w:val="nil"/>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2,227</w:t>
            </w:r>
          </w:p>
        </w:tc>
        <w:tc>
          <w:tcPr>
            <w:tcW w:w="1080" w:type="dxa"/>
            <w:tcBorders>
              <w:top w:val="nil"/>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-2,864</w:t>
            </w:r>
          </w:p>
        </w:tc>
      </w:tr>
      <w:tr w:rsidR="0019156E" w:rsidRPr="0019156E" w:rsidTr="001C3EAC">
        <w:trPr>
          <w:trHeight w:val="285"/>
        </w:trPr>
        <w:tc>
          <w:tcPr>
            <w:tcW w:w="3580" w:type="dxa"/>
            <w:tcBorders>
              <w:top w:val="nil"/>
              <w:left w:val="nil"/>
              <w:bottom w:val="nil"/>
              <w:right w:val="nil"/>
            </w:tcBorders>
            <w:shd w:val="clear" w:color="auto" w:fill="auto"/>
            <w:vAlign w:val="bottom"/>
            <w:hideMark/>
          </w:tcPr>
          <w:p w:rsidR="0019156E" w:rsidRPr="001C3EAC" w:rsidRDefault="0019156E" w:rsidP="0019156E">
            <w:pPr>
              <w:spacing w:after="0"/>
              <w:rPr>
                <w:b/>
                <w:lang w:eastAsia="en-AU"/>
              </w:rPr>
            </w:pPr>
            <w:r w:rsidRPr="001C3EAC">
              <w:rPr>
                <w:b/>
                <w:lang w:eastAsia="en-AU"/>
              </w:rPr>
              <w:t>Total Equity</w:t>
            </w:r>
          </w:p>
        </w:tc>
        <w:tc>
          <w:tcPr>
            <w:tcW w:w="1120" w:type="dxa"/>
            <w:tcBorders>
              <w:top w:val="nil"/>
              <w:left w:val="nil"/>
              <w:bottom w:val="nil"/>
              <w:right w:val="nil"/>
            </w:tcBorders>
            <w:shd w:val="clear" w:color="auto" w:fill="auto"/>
            <w:noWrap/>
            <w:vAlign w:val="bottom"/>
            <w:hideMark/>
          </w:tcPr>
          <w:p w:rsidR="0019156E" w:rsidRPr="0019156E" w:rsidRDefault="0019156E" w:rsidP="0019156E">
            <w:pPr>
              <w:spacing w:after="0"/>
              <w:jc w:val="center"/>
              <w:rPr>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71,329</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rsidR="0019156E" w:rsidRPr="0019156E" w:rsidRDefault="0019156E" w:rsidP="0019156E">
            <w:pPr>
              <w:spacing w:after="0"/>
              <w:jc w:val="right"/>
              <w:rPr>
                <w:lang w:eastAsia="en-AU"/>
              </w:rPr>
            </w:pPr>
            <w:r w:rsidRPr="0019156E">
              <w:rPr>
                <w:lang w:eastAsia="en-AU"/>
              </w:rPr>
              <w:t>75,639</w:t>
            </w:r>
          </w:p>
        </w:tc>
        <w:tc>
          <w:tcPr>
            <w:tcW w:w="106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73,974</w:t>
            </w:r>
          </w:p>
        </w:tc>
        <w:tc>
          <w:tcPr>
            <w:tcW w:w="122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4,310</w:t>
            </w:r>
          </w:p>
        </w:tc>
        <w:tc>
          <w:tcPr>
            <w:tcW w:w="1080" w:type="dxa"/>
            <w:tcBorders>
              <w:top w:val="single" w:sz="4" w:space="0" w:color="auto"/>
              <w:left w:val="nil"/>
              <w:bottom w:val="single" w:sz="4" w:space="0" w:color="auto"/>
              <w:right w:val="nil"/>
            </w:tcBorders>
            <w:shd w:val="clear" w:color="auto" w:fill="auto"/>
            <w:noWrap/>
            <w:vAlign w:val="bottom"/>
            <w:hideMark/>
          </w:tcPr>
          <w:p w:rsidR="0019156E" w:rsidRPr="0019156E" w:rsidRDefault="0019156E" w:rsidP="0019156E">
            <w:pPr>
              <w:spacing w:after="0"/>
              <w:jc w:val="right"/>
              <w:rPr>
                <w:lang w:eastAsia="en-AU"/>
              </w:rPr>
            </w:pPr>
            <w:r w:rsidRPr="0019156E">
              <w:rPr>
                <w:lang w:eastAsia="en-AU"/>
              </w:rPr>
              <w:t>1,665</w:t>
            </w:r>
          </w:p>
        </w:tc>
      </w:tr>
    </w:tbl>
    <w:p w:rsidR="00FC4E35" w:rsidRDefault="00FC4E35" w:rsidP="0019156E">
      <w:pPr>
        <w:rPr>
          <w:lang w:val="en-US"/>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1C3EAC">
        <w:trPr>
          <w:trHeight w:val="690"/>
        </w:trPr>
        <w:tc>
          <w:tcPr>
            <w:tcW w:w="370" w:type="dxa"/>
            <w:tcMar>
              <w:top w:w="85" w:type="dxa"/>
              <w:left w:w="0" w:type="dxa"/>
              <w:bottom w:w="85" w:type="dxa"/>
              <w:right w:w="0" w:type="dxa"/>
            </w:tcMar>
          </w:tcPr>
          <w:p w:rsidR="00FC4E35" w:rsidRPr="00FC4E35" w:rsidRDefault="00FC4E35" w:rsidP="001C3EAC">
            <w:pPr>
              <w:spacing w:after="0"/>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1C3EAC">
            <w:pPr>
              <w:spacing w:after="0"/>
              <w:rPr>
                <w:lang w:val="en-US"/>
              </w:rPr>
            </w:pPr>
            <w:r w:rsidRPr="00FC4E35">
              <w:rPr>
                <w:lang w:val="en-US"/>
              </w:rPr>
              <w:t>The budget estimates have been reclassified to align with the financial statement classification of balance sheet items.</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p w:rsidR="009A36D1" w:rsidRDefault="009A36D1">
      <w:pPr>
        <w:spacing w:line="276" w:lineRule="auto"/>
        <w:rPr>
          <w:rFonts w:ascii="Arial" w:hAnsi="Arial" w:cs="Arial"/>
          <w:color w:val="006699"/>
          <w:sz w:val="28"/>
          <w:szCs w:val="28"/>
          <w:lang w:val="en-US"/>
        </w:rPr>
      </w:pPr>
      <w:r>
        <w:rPr>
          <w:lang w:val="en-US"/>
        </w:rPr>
        <w:br w:type="page"/>
      </w:r>
    </w:p>
    <w:p w:rsidR="00FC4E35" w:rsidRPr="00FC4E35" w:rsidRDefault="00FC4E35" w:rsidP="001C3EAC">
      <w:pPr>
        <w:pStyle w:val="Heading6"/>
        <w:rPr>
          <w:b/>
          <w:bCs/>
          <w:lang w:val="en-US"/>
        </w:rPr>
      </w:pPr>
      <w:r w:rsidRPr="00FC4E35">
        <w:rPr>
          <w:lang w:val="en-US"/>
        </w:rPr>
        <w:t>Statement of Cash Flows</w:t>
      </w:r>
    </w:p>
    <w:tbl>
      <w:tblPr>
        <w:tblW w:w="10363" w:type="dxa"/>
        <w:tblInd w:w="93" w:type="dxa"/>
        <w:tblLayout w:type="fixed"/>
        <w:tblLook w:val="04A0" w:firstRow="1" w:lastRow="0" w:firstColumn="1" w:lastColumn="0" w:noHBand="0" w:noVBand="1"/>
      </w:tblPr>
      <w:tblGrid>
        <w:gridCol w:w="2992"/>
        <w:gridCol w:w="1228"/>
        <w:gridCol w:w="1229"/>
        <w:gridCol w:w="1228"/>
        <w:gridCol w:w="1229"/>
        <w:gridCol w:w="1228"/>
        <w:gridCol w:w="1229"/>
      </w:tblGrid>
      <w:tr w:rsidR="001C3EAC" w:rsidRPr="009A36D1" w:rsidTr="001C3EAC">
        <w:trPr>
          <w:trHeight w:val="1710"/>
        </w:trPr>
        <w:tc>
          <w:tcPr>
            <w:tcW w:w="2992" w:type="dxa"/>
            <w:tcBorders>
              <w:top w:val="nil"/>
              <w:left w:val="nil"/>
              <w:bottom w:val="nil"/>
              <w:right w:val="nil"/>
            </w:tcBorders>
            <w:shd w:val="clear" w:color="auto" w:fill="auto"/>
            <w:vAlign w:val="bottom"/>
            <w:hideMark/>
          </w:tcPr>
          <w:p w:rsidR="001C3EAC" w:rsidRPr="009A36D1" w:rsidRDefault="001C3EAC" w:rsidP="001C3EAC">
            <w:pPr>
              <w:spacing w:after="0"/>
              <w:jc w:val="center"/>
              <w:rPr>
                <w:b/>
                <w:sz w:val="22"/>
                <w:lang w:eastAsia="en-AU"/>
              </w:rPr>
            </w:pPr>
          </w:p>
        </w:tc>
        <w:tc>
          <w:tcPr>
            <w:tcW w:w="1228" w:type="dxa"/>
            <w:tcBorders>
              <w:top w:val="nil"/>
              <w:left w:val="nil"/>
              <w:bottom w:val="nil"/>
              <w:right w:val="nil"/>
            </w:tcBorders>
            <w:shd w:val="clear" w:color="auto" w:fill="auto"/>
            <w:vAlign w:val="bottom"/>
            <w:hideMark/>
          </w:tcPr>
          <w:p w:rsidR="001C3EAC" w:rsidRPr="009A36D1" w:rsidRDefault="001C3EAC" w:rsidP="001C3EAC">
            <w:pPr>
              <w:spacing w:after="0"/>
              <w:jc w:val="center"/>
              <w:rPr>
                <w:b/>
                <w:sz w:val="22"/>
                <w:lang w:eastAsia="en-AU"/>
              </w:rPr>
            </w:pPr>
            <w:r w:rsidRPr="009A36D1">
              <w:rPr>
                <w:b/>
                <w:sz w:val="22"/>
                <w:lang w:eastAsia="en-AU"/>
              </w:rPr>
              <w:t>Variance Note</w:t>
            </w:r>
          </w:p>
        </w:tc>
        <w:tc>
          <w:tcPr>
            <w:tcW w:w="1229" w:type="dxa"/>
            <w:tcBorders>
              <w:top w:val="nil"/>
              <w:left w:val="nil"/>
              <w:bottom w:val="nil"/>
              <w:right w:val="nil"/>
            </w:tcBorders>
            <w:shd w:val="clear" w:color="auto" w:fill="auto"/>
            <w:vAlign w:val="bottom"/>
            <w:hideMark/>
          </w:tcPr>
          <w:p w:rsidR="001C3EAC" w:rsidRPr="009A36D1" w:rsidRDefault="001C3EAC" w:rsidP="001C3EAC">
            <w:pPr>
              <w:spacing w:after="0"/>
              <w:jc w:val="center"/>
              <w:rPr>
                <w:b/>
                <w:sz w:val="22"/>
                <w:lang w:eastAsia="en-AU"/>
              </w:rPr>
            </w:pPr>
            <w:r w:rsidRPr="009A36D1">
              <w:rPr>
                <w:b/>
                <w:sz w:val="22"/>
                <w:lang w:eastAsia="en-AU"/>
              </w:rPr>
              <w:t xml:space="preserve">Original Budget </w:t>
            </w:r>
            <w:r w:rsidRPr="009A36D1">
              <w:rPr>
                <w:b/>
                <w:sz w:val="22"/>
                <w:vertAlign w:val="superscript"/>
                <w:lang w:eastAsia="en-AU"/>
              </w:rPr>
              <w:t>(a)</w:t>
            </w:r>
            <w:r w:rsidRPr="009A36D1">
              <w:rPr>
                <w:b/>
                <w:sz w:val="22"/>
                <w:lang w:eastAsia="en-AU"/>
              </w:rPr>
              <w:t xml:space="preserve"> 2015 $000</w:t>
            </w:r>
          </w:p>
        </w:tc>
        <w:tc>
          <w:tcPr>
            <w:tcW w:w="1228" w:type="dxa"/>
            <w:tcBorders>
              <w:top w:val="nil"/>
              <w:left w:val="nil"/>
              <w:bottom w:val="nil"/>
              <w:right w:val="nil"/>
            </w:tcBorders>
            <w:shd w:val="clear" w:color="auto" w:fill="F2F2F2" w:themeFill="background1" w:themeFillShade="F2"/>
            <w:vAlign w:val="bottom"/>
            <w:hideMark/>
          </w:tcPr>
          <w:p w:rsidR="001C3EAC" w:rsidRPr="009A36D1" w:rsidRDefault="001C3EAC" w:rsidP="001C3EAC">
            <w:pPr>
              <w:spacing w:after="0"/>
              <w:jc w:val="center"/>
              <w:rPr>
                <w:b/>
                <w:sz w:val="22"/>
                <w:lang w:eastAsia="en-AU"/>
              </w:rPr>
            </w:pPr>
            <w:r w:rsidRPr="009A36D1">
              <w:rPr>
                <w:b/>
                <w:sz w:val="22"/>
                <w:lang w:eastAsia="en-AU"/>
              </w:rPr>
              <w:t>Actual 2015 $000</w:t>
            </w:r>
          </w:p>
        </w:tc>
        <w:tc>
          <w:tcPr>
            <w:tcW w:w="1229" w:type="dxa"/>
            <w:tcBorders>
              <w:top w:val="nil"/>
              <w:left w:val="nil"/>
              <w:bottom w:val="nil"/>
              <w:right w:val="nil"/>
            </w:tcBorders>
            <w:shd w:val="clear" w:color="auto" w:fill="auto"/>
            <w:vAlign w:val="bottom"/>
            <w:hideMark/>
          </w:tcPr>
          <w:p w:rsidR="001C3EAC" w:rsidRPr="009A36D1" w:rsidRDefault="001C3EAC" w:rsidP="001C3EAC">
            <w:pPr>
              <w:spacing w:after="0"/>
              <w:jc w:val="center"/>
              <w:rPr>
                <w:b/>
                <w:sz w:val="22"/>
                <w:lang w:eastAsia="en-AU"/>
              </w:rPr>
            </w:pPr>
            <w:r w:rsidRPr="009A36D1">
              <w:rPr>
                <w:b/>
                <w:sz w:val="22"/>
                <w:lang w:eastAsia="en-AU"/>
              </w:rPr>
              <w:t>Actual 2014 $000</w:t>
            </w:r>
          </w:p>
        </w:tc>
        <w:tc>
          <w:tcPr>
            <w:tcW w:w="1228" w:type="dxa"/>
            <w:tcBorders>
              <w:top w:val="nil"/>
              <w:left w:val="nil"/>
              <w:bottom w:val="nil"/>
              <w:right w:val="nil"/>
            </w:tcBorders>
            <w:shd w:val="clear" w:color="auto" w:fill="auto"/>
            <w:vAlign w:val="bottom"/>
            <w:hideMark/>
          </w:tcPr>
          <w:p w:rsidR="001C3EAC" w:rsidRPr="009A36D1" w:rsidRDefault="001C3EAC" w:rsidP="001C3EAC">
            <w:pPr>
              <w:spacing w:after="0"/>
              <w:jc w:val="center"/>
              <w:rPr>
                <w:b/>
                <w:sz w:val="22"/>
                <w:lang w:eastAsia="en-AU"/>
              </w:rPr>
            </w:pPr>
            <w:r w:rsidRPr="009A36D1">
              <w:rPr>
                <w:b/>
                <w:sz w:val="22"/>
                <w:lang w:eastAsia="en-AU"/>
              </w:rPr>
              <w:t>Variance between estimate and actual $000</w:t>
            </w:r>
          </w:p>
        </w:tc>
        <w:tc>
          <w:tcPr>
            <w:tcW w:w="1229" w:type="dxa"/>
            <w:tcBorders>
              <w:top w:val="nil"/>
              <w:left w:val="nil"/>
              <w:bottom w:val="nil"/>
              <w:right w:val="nil"/>
            </w:tcBorders>
            <w:shd w:val="clear" w:color="auto" w:fill="auto"/>
            <w:vAlign w:val="bottom"/>
            <w:hideMark/>
          </w:tcPr>
          <w:p w:rsidR="001C3EAC" w:rsidRPr="009A36D1" w:rsidRDefault="001C3EAC" w:rsidP="001C3EAC">
            <w:pPr>
              <w:spacing w:after="0"/>
              <w:jc w:val="center"/>
              <w:rPr>
                <w:b/>
                <w:sz w:val="22"/>
                <w:lang w:eastAsia="en-AU"/>
              </w:rPr>
            </w:pPr>
            <w:r w:rsidRPr="009A36D1">
              <w:rPr>
                <w:b/>
                <w:sz w:val="22"/>
                <w:lang w:eastAsia="en-AU"/>
              </w:rPr>
              <w:t>Variance between actual results</w:t>
            </w:r>
            <w:r w:rsidR="00AE617E" w:rsidRPr="009A36D1">
              <w:rPr>
                <w:b/>
                <w:sz w:val="22"/>
                <w:lang w:eastAsia="en-AU"/>
              </w:rPr>
              <w:t xml:space="preserve"> for</w:t>
            </w:r>
            <w:r w:rsidRPr="009A36D1">
              <w:rPr>
                <w:b/>
                <w:sz w:val="22"/>
                <w:lang w:eastAsia="en-AU"/>
              </w:rPr>
              <w:t xml:space="preserve"> 2015 and 2014</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CASH FLOWS FROM STATE GOVERNMENT</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Service appropriation</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11, I</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162,559</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153,075</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208,936</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(9,484)</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(55,861)</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Holding account drawdowns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V</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2,124</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2,124</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619</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1,505</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Capital contributions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T</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3,000</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3,000</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3,000</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Non-retained revenue distributed to owners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Royalties for Regions Fund</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13, J</w:t>
            </w:r>
          </w:p>
        </w:tc>
        <w:tc>
          <w:tcPr>
            <w:tcW w:w="1229"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483</w:t>
            </w:r>
          </w:p>
        </w:tc>
        <w:tc>
          <w:tcPr>
            <w:tcW w:w="1228" w:type="dxa"/>
            <w:tcBorders>
              <w:top w:val="nil"/>
              <w:left w:val="nil"/>
              <w:bottom w:val="single" w:sz="4" w:space="0" w:color="auto"/>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85</w:t>
            </w:r>
          </w:p>
        </w:tc>
        <w:tc>
          <w:tcPr>
            <w:tcW w:w="1229"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121</w:t>
            </w:r>
          </w:p>
        </w:tc>
        <w:tc>
          <w:tcPr>
            <w:tcW w:w="1228"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-398</w:t>
            </w:r>
          </w:p>
        </w:tc>
        <w:tc>
          <w:tcPr>
            <w:tcW w:w="1229"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-36</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Net cash provided by State Government</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single" w:sz="4" w:space="0" w:color="auto"/>
              <w:left w:val="nil"/>
              <w:bottom w:val="single" w:sz="4" w:space="0" w:color="auto"/>
              <w:right w:val="nil"/>
            </w:tcBorders>
            <w:shd w:val="clear" w:color="auto" w:fill="auto"/>
            <w:noWrap/>
            <w:vAlign w:val="center"/>
            <w:hideMark/>
          </w:tcPr>
          <w:p w:rsidR="001C3EAC" w:rsidRPr="001C3EAC" w:rsidRDefault="001C3EAC" w:rsidP="001C3EAC">
            <w:pPr>
              <w:spacing w:after="0"/>
              <w:jc w:val="right"/>
              <w:rPr>
                <w:lang w:eastAsia="en-AU"/>
              </w:rPr>
            </w:pPr>
            <w:r w:rsidRPr="001C3EAC">
              <w:rPr>
                <w:lang w:eastAsia="en-AU"/>
              </w:rPr>
              <w:t>168,166</w:t>
            </w:r>
          </w:p>
        </w:tc>
        <w:tc>
          <w:tcPr>
            <w:tcW w:w="1228" w:type="dxa"/>
            <w:tcBorders>
              <w:top w:val="single" w:sz="4" w:space="0" w:color="auto"/>
              <w:left w:val="nil"/>
              <w:bottom w:val="single" w:sz="4" w:space="0" w:color="auto"/>
              <w:right w:val="nil"/>
            </w:tcBorders>
            <w:shd w:val="clear" w:color="auto" w:fill="F2F2F2" w:themeFill="background1" w:themeFillShade="F2"/>
            <w:noWrap/>
            <w:vAlign w:val="center"/>
            <w:hideMark/>
          </w:tcPr>
          <w:p w:rsidR="001C3EAC" w:rsidRPr="001C3EAC" w:rsidRDefault="001C3EAC" w:rsidP="001C3EAC">
            <w:pPr>
              <w:spacing w:after="0"/>
              <w:jc w:val="right"/>
              <w:rPr>
                <w:lang w:eastAsia="en-AU"/>
              </w:rPr>
            </w:pPr>
            <w:r w:rsidRPr="001C3EAC">
              <w:rPr>
                <w:lang w:eastAsia="en-AU"/>
              </w:rPr>
              <w:t>158,284</w:t>
            </w:r>
          </w:p>
        </w:tc>
        <w:tc>
          <w:tcPr>
            <w:tcW w:w="1229" w:type="dxa"/>
            <w:tcBorders>
              <w:top w:val="single" w:sz="4" w:space="0" w:color="auto"/>
              <w:left w:val="nil"/>
              <w:bottom w:val="single" w:sz="4" w:space="0" w:color="auto"/>
              <w:right w:val="nil"/>
            </w:tcBorders>
            <w:shd w:val="clear" w:color="auto" w:fill="auto"/>
            <w:noWrap/>
            <w:vAlign w:val="center"/>
            <w:hideMark/>
          </w:tcPr>
          <w:p w:rsidR="001C3EAC" w:rsidRPr="001C3EAC" w:rsidRDefault="001C3EAC" w:rsidP="001C3EAC">
            <w:pPr>
              <w:spacing w:after="0"/>
              <w:jc w:val="right"/>
              <w:rPr>
                <w:lang w:eastAsia="en-AU"/>
              </w:rPr>
            </w:pPr>
            <w:r w:rsidRPr="001C3EAC">
              <w:rPr>
                <w:lang w:eastAsia="en-AU"/>
              </w:rPr>
              <w:t>209,676</w:t>
            </w:r>
          </w:p>
        </w:tc>
        <w:tc>
          <w:tcPr>
            <w:tcW w:w="1228" w:type="dxa"/>
            <w:tcBorders>
              <w:top w:val="single" w:sz="4" w:space="0" w:color="auto"/>
              <w:left w:val="nil"/>
              <w:bottom w:val="single" w:sz="4" w:space="0" w:color="auto"/>
              <w:right w:val="nil"/>
            </w:tcBorders>
            <w:shd w:val="clear" w:color="auto" w:fill="auto"/>
            <w:noWrap/>
            <w:vAlign w:val="center"/>
            <w:hideMark/>
          </w:tcPr>
          <w:p w:rsidR="001C3EAC" w:rsidRPr="001C3EAC" w:rsidRDefault="001C3EAC" w:rsidP="001C3EAC">
            <w:pPr>
              <w:spacing w:after="0"/>
              <w:jc w:val="right"/>
              <w:rPr>
                <w:lang w:eastAsia="en-AU"/>
              </w:rPr>
            </w:pPr>
            <w:r w:rsidRPr="001C3EAC">
              <w:rPr>
                <w:lang w:eastAsia="en-AU"/>
              </w:rPr>
              <w:t>-9,882</w:t>
            </w:r>
          </w:p>
        </w:tc>
        <w:tc>
          <w:tcPr>
            <w:tcW w:w="1229" w:type="dxa"/>
            <w:tcBorders>
              <w:top w:val="single" w:sz="4" w:space="0" w:color="auto"/>
              <w:left w:val="nil"/>
              <w:bottom w:val="single" w:sz="4" w:space="0" w:color="auto"/>
              <w:right w:val="nil"/>
            </w:tcBorders>
            <w:shd w:val="clear" w:color="auto" w:fill="auto"/>
            <w:noWrap/>
            <w:vAlign w:val="center"/>
            <w:hideMark/>
          </w:tcPr>
          <w:p w:rsidR="001C3EAC" w:rsidRPr="001C3EAC" w:rsidRDefault="001C3EAC" w:rsidP="001C3EAC">
            <w:pPr>
              <w:spacing w:after="0"/>
              <w:jc w:val="right"/>
              <w:rPr>
                <w:lang w:eastAsia="en-AU"/>
              </w:rPr>
            </w:pPr>
            <w:r w:rsidRPr="001C3EAC">
              <w:rPr>
                <w:lang w:eastAsia="en-AU"/>
              </w:rPr>
              <w:t>-51,392</w:t>
            </w:r>
          </w:p>
        </w:tc>
      </w:tr>
      <w:tr w:rsidR="001C3EAC" w:rsidRPr="001C3EAC" w:rsidTr="009A36D1">
        <w:trPr>
          <w:trHeight w:val="117"/>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Utilised as follows: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single" w:sz="4" w:space="0" w:color="auto"/>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single" w:sz="4" w:space="0" w:color="auto"/>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p>
        </w:tc>
        <w:tc>
          <w:tcPr>
            <w:tcW w:w="1229" w:type="dxa"/>
            <w:tcBorders>
              <w:top w:val="single" w:sz="4" w:space="0" w:color="auto"/>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single" w:sz="4" w:space="0" w:color="auto"/>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single" w:sz="4" w:space="0" w:color="auto"/>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CASH FLOWS FROM OPERATING ACTIVITIES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r>
      <w:tr w:rsidR="001C3EAC" w:rsidRPr="001C3EAC" w:rsidTr="009A36D1">
        <w:trPr>
          <w:trHeight w:val="327"/>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Payments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Employee benefits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-80,400</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-77,655</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-80,504</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2,745</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2,849</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Supplies and services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-$22,316</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-26,859</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-22,112</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-4,543</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37</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Accommodation</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-19,031</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-20,700</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-22,896</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-1,669</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1,412</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Grants and subsidies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 B</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-$49,339</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-31,866</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-54,645</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17,473</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22,779</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GST payments on purchases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-$7,713</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-7,583</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-9,120</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130</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1,537</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GST payments to taxation authority</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-182</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-227</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-174</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45</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Other payments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-$562</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-165</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-138</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397</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-27</w:t>
            </w:r>
          </w:p>
        </w:tc>
      </w:tr>
      <w:tr w:rsidR="001C3EAC" w:rsidRPr="001C3EAC" w:rsidTr="009A36D1">
        <w:trPr>
          <w:trHeight w:val="202"/>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Receipts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User changes and fees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973</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967</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1,174</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-6</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-207</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Sales of goods and services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9</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2,200</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1,555</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1,702</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-645</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-147</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Commonwealth grants and contributions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444</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452</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633</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-181</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Interest received</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10, H</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879</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266</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879</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613</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GST receipts on sales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26, X</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329</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178</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264</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-151</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-86</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GST receipts from taxation authority</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7,785</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8,226</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8,909</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441</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-683</w:t>
            </w: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lang w:eastAsia="en-AU"/>
              </w:rPr>
            </w:pPr>
            <w:r w:rsidRPr="001C3EAC">
              <w:rPr>
                <w:lang w:eastAsia="en-AU"/>
              </w:rPr>
              <w:t>Other receipts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27</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7</w:t>
            </w:r>
          </w:p>
        </w:tc>
        <w:tc>
          <w:tcPr>
            <w:tcW w:w="1228" w:type="dxa"/>
            <w:tcBorders>
              <w:top w:val="nil"/>
              <w:left w:val="nil"/>
              <w:bottom w:val="nil"/>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163</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154</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156</w:t>
            </w:r>
          </w:p>
        </w:tc>
        <w:tc>
          <w:tcPr>
            <w:tcW w:w="1229"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9</w:t>
            </w:r>
          </w:p>
        </w:tc>
      </w:tr>
      <w:tr w:rsidR="001C3EAC" w:rsidRPr="001C3EAC" w:rsidTr="001C3EAC">
        <w:trPr>
          <w:trHeight w:val="570"/>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 xml:space="preserve">Net cash provided by/(used in) operating </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single" w:sz="4" w:space="0" w:color="auto"/>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p>
        </w:tc>
        <w:tc>
          <w:tcPr>
            <w:tcW w:w="1229"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p>
        </w:tc>
        <w:tc>
          <w:tcPr>
            <w:tcW w:w="1228"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nil"/>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p>
        </w:tc>
      </w:tr>
      <w:tr w:rsidR="001C3EAC" w:rsidRPr="001C3EAC" w:rsidTr="001C3EAC">
        <w:trPr>
          <w:trHeight w:val="285"/>
        </w:trPr>
        <w:tc>
          <w:tcPr>
            <w:tcW w:w="2992" w:type="dxa"/>
            <w:tcBorders>
              <w:top w:val="nil"/>
              <w:left w:val="nil"/>
              <w:bottom w:val="nil"/>
              <w:right w:val="nil"/>
            </w:tcBorders>
            <w:shd w:val="clear" w:color="auto" w:fill="auto"/>
            <w:vAlign w:val="bottom"/>
            <w:hideMark/>
          </w:tcPr>
          <w:p w:rsidR="001C3EAC" w:rsidRPr="001C3EAC" w:rsidRDefault="001C3EAC" w:rsidP="001C3EAC">
            <w:pPr>
              <w:spacing w:after="0"/>
              <w:rPr>
                <w:b/>
                <w:lang w:eastAsia="en-AU"/>
              </w:rPr>
            </w:pPr>
            <w:r w:rsidRPr="001C3EAC">
              <w:rPr>
                <w:b/>
                <w:lang w:eastAsia="en-AU"/>
              </w:rPr>
              <w:t>activities</w:t>
            </w:r>
          </w:p>
        </w:tc>
        <w:tc>
          <w:tcPr>
            <w:tcW w:w="1228" w:type="dxa"/>
            <w:tcBorders>
              <w:top w:val="nil"/>
              <w:left w:val="nil"/>
              <w:bottom w:val="nil"/>
              <w:right w:val="nil"/>
            </w:tcBorders>
            <w:shd w:val="clear" w:color="auto" w:fill="auto"/>
            <w:noWrap/>
            <w:vAlign w:val="bottom"/>
            <w:hideMark/>
          </w:tcPr>
          <w:p w:rsidR="001C3EAC" w:rsidRPr="001C3EAC" w:rsidRDefault="001C3EAC" w:rsidP="001C3EAC">
            <w:pPr>
              <w:spacing w:after="0"/>
              <w:jc w:val="right"/>
              <w:rPr>
                <w:lang w:eastAsia="en-AU"/>
              </w:rPr>
            </w:pPr>
          </w:p>
        </w:tc>
        <w:tc>
          <w:tcPr>
            <w:tcW w:w="1229" w:type="dxa"/>
            <w:tcBorders>
              <w:top w:val="single" w:sz="4" w:space="0" w:color="auto"/>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-167,631</w:t>
            </w:r>
          </w:p>
        </w:tc>
        <w:tc>
          <w:tcPr>
            <w:tcW w:w="1228" w:type="dxa"/>
            <w:tcBorders>
              <w:top w:val="single" w:sz="4" w:space="0" w:color="auto"/>
              <w:left w:val="nil"/>
              <w:bottom w:val="single" w:sz="4" w:space="0" w:color="auto"/>
              <w:right w:val="nil"/>
            </w:tcBorders>
            <w:shd w:val="clear" w:color="auto" w:fill="F2F2F2" w:themeFill="background1" w:themeFillShade="F2"/>
            <w:noWrap/>
            <w:vAlign w:val="bottom"/>
            <w:hideMark/>
          </w:tcPr>
          <w:p w:rsidR="001C3EAC" w:rsidRPr="001C3EAC" w:rsidRDefault="001C3EAC" w:rsidP="001C3EAC">
            <w:pPr>
              <w:spacing w:after="0"/>
              <w:jc w:val="right"/>
              <w:rPr>
                <w:lang w:eastAsia="en-AU"/>
              </w:rPr>
            </w:pPr>
            <w:r w:rsidRPr="001C3EAC">
              <w:rPr>
                <w:lang w:eastAsia="en-AU"/>
              </w:rPr>
              <w:t>-152,590</w:t>
            </w:r>
          </w:p>
        </w:tc>
        <w:tc>
          <w:tcPr>
            <w:tcW w:w="1229" w:type="dxa"/>
            <w:tcBorders>
              <w:top w:val="single" w:sz="4" w:space="0" w:color="auto"/>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-180,540</w:t>
            </w:r>
          </w:p>
        </w:tc>
        <w:tc>
          <w:tcPr>
            <w:tcW w:w="1228" w:type="dxa"/>
            <w:tcBorders>
              <w:top w:val="single" w:sz="4" w:space="0" w:color="auto"/>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15,041</w:t>
            </w:r>
          </w:p>
        </w:tc>
        <w:tc>
          <w:tcPr>
            <w:tcW w:w="1229" w:type="dxa"/>
            <w:tcBorders>
              <w:top w:val="single" w:sz="4" w:space="0" w:color="auto"/>
              <w:left w:val="nil"/>
              <w:bottom w:val="single" w:sz="4" w:space="0" w:color="auto"/>
              <w:right w:val="nil"/>
            </w:tcBorders>
            <w:shd w:val="clear" w:color="auto" w:fill="auto"/>
            <w:noWrap/>
            <w:vAlign w:val="bottom"/>
            <w:hideMark/>
          </w:tcPr>
          <w:p w:rsidR="001C3EAC" w:rsidRPr="001C3EAC" w:rsidRDefault="001C3EAC" w:rsidP="001C3EAC">
            <w:pPr>
              <w:spacing w:after="0"/>
              <w:jc w:val="right"/>
              <w:rPr>
                <w:lang w:eastAsia="en-AU"/>
              </w:rPr>
            </w:pPr>
            <w:r w:rsidRPr="001C3EAC">
              <w:rPr>
                <w:lang w:eastAsia="en-AU"/>
              </w:rPr>
              <w:t>27,950</w:t>
            </w:r>
          </w:p>
        </w:tc>
      </w:tr>
    </w:tbl>
    <w:p w:rsidR="00FA2954" w:rsidRDefault="00FA2954" w:rsidP="000467E5">
      <w:pPr>
        <w:pStyle w:val="Heading6"/>
        <w:rPr>
          <w:lang w:val="en-US"/>
        </w:rPr>
      </w:pPr>
    </w:p>
    <w:p w:rsidR="00FC4E35" w:rsidRPr="001C3EAC" w:rsidRDefault="00FC4E35" w:rsidP="000467E5">
      <w:pPr>
        <w:pStyle w:val="Heading6"/>
        <w:rPr>
          <w:b/>
          <w:bCs/>
          <w:lang w:val="en-US"/>
        </w:rPr>
      </w:pPr>
      <w:r w:rsidRPr="001C3EAC">
        <w:rPr>
          <w:lang w:val="en-US"/>
        </w:rPr>
        <w:t>Statement of Cash Flows (continued)</w:t>
      </w:r>
    </w:p>
    <w:tbl>
      <w:tblPr>
        <w:tblW w:w="10260" w:type="dxa"/>
        <w:tblInd w:w="93" w:type="dxa"/>
        <w:tblLook w:val="04A0" w:firstRow="1" w:lastRow="0" w:firstColumn="1" w:lastColumn="0" w:noHBand="0" w:noVBand="1"/>
      </w:tblPr>
      <w:tblGrid>
        <w:gridCol w:w="3400"/>
        <w:gridCol w:w="1189"/>
        <w:gridCol w:w="1122"/>
        <w:gridCol w:w="1080"/>
        <w:gridCol w:w="1060"/>
        <w:gridCol w:w="1220"/>
        <w:gridCol w:w="1189"/>
      </w:tblGrid>
      <w:tr w:rsidR="000467E5" w:rsidRPr="000467E5" w:rsidTr="000467E5">
        <w:trPr>
          <w:trHeight w:val="1710"/>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p>
        </w:tc>
        <w:tc>
          <w:tcPr>
            <w:tcW w:w="112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r w:rsidRPr="000467E5">
              <w:rPr>
                <w:b/>
                <w:lang w:eastAsia="en-AU"/>
              </w:rPr>
              <w:t>Variance Note</w:t>
            </w:r>
          </w:p>
        </w:tc>
        <w:tc>
          <w:tcPr>
            <w:tcW w:w="112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r w:rsidRPr="000467E5">
              <w:rPr>
                <w:b/>
                <w:lang w:eastAsia="en-AU"/>
              </w:rPr>
              <w:t xml:space="preserve">Original Budget </w:t>
            </w:r>
            <w:r w:rsidRPr="000467E5">
              <w:rPr>
                <w:b/>
                <w:vertAlign w:val="superscript"/>
                <w:lang w:eastAsia="en-AU"/>
              </w:rPr>
              <w:t>(a)</w:t>
            </w:r>
            <w:r w:rsidRPr="000467E5">
              <w:rPr>
                <w:b/>
                <w:lang w:eastAsia="en-AU"/>
              </w:rPr>
              <w:t xml:space="preserve"> 2015 $000</w:t>
            </w:r>
          </w:p>
        </w:tc>
        <w:tc>
          <w:tcPr>
            <w:tcW w:w="108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r w:rsidRPr="000467E5">
              <w:rPr>
                <w:b/>
                <w:lang w:eastAsia="en-AU"/>
              </w:rPr>
              <w:t>Actual 2015 $000</w:t>
            </w:r>
          </w:p>
        </w:tc>
        <w:tc>
          <w:tcPr>
            <w:tcW w:w="106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r w:rsidRPr="000467E5">
              <w:rPr>
                <w:b/>
                <w:lang w:eastAsia="en-AU"/>
              </w:rPr>
              <w:t>Actual 2014 $000</w:t>
            </w:r>
          </w:p>
        </w:tc>
        <w:tc>
          <w:tcPr>
            <w:tcW w:w="122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r w:rsidRPr="000467E5">
              <w:rPr>
                <w:b/>
                <w:lang w:eastAsia="en-AU"/>
              </w:rPr>
              <w:t>Variance between estimate and actual $000</w:t>
            </w:r>
          </w:p>
        </w:tc>
        <w:tc>
          <w:tcPr>
            <w:tcW w:w="1080" w:type="dxa"/>
            <w:tcBorders>
              <w:top w:val="nil"/>
              <w:left w:val="nil"/>
              <w:bottom w:val="nil"/>
              <w:right w:val="nil"/>
            </w:tcBorders>
            <w:shd w:val="clear" w:color="auto" w:fill="auto"/>
            <w:vAlign w:val="bottom"/>
            <w:hideMark/>
          </w:tcPr>
          <w:p w:rsidR="000467E5" w:rsidRPr="000467E5" w:rsidRDefault="000467E5" w:rsidP="000467E5">
            <w:pPr>
              <w:spacing w:after="0"/>
              <w:jc w:val="center"/>
              <w:rPr>
                <w:b/>
                <w:lang w:eastAsia="en-AU"/>
              </w:rPr>
            </w:pPr>
            <w:r w:rsidRPr="000467E5">
              <w:rPr>
                <w:b/>
                <w:lang w:eastAsia="en-AU"/>
              </w:rPr>
              <w:t>Variance between actual results</w:t>
            </w:r>
            <w:r w:rsidR="00AE617E">
              <w:rPr>
                <w:b/>
                <w:lang w:eastAsia="en-AU"/>
              </w:rPr>
              <w:t xml:space="preserve"> for</w:t>
            </w:r>
            <w:r w:rsidRPr="000467E5">
              <w:rPr>
                <w:b/>
                <w:lang w:eastAsia="en-AU"/>
              </w:rPr>
              <w:t xml:space="preserve"> 2015 and 2014</w:t>
            </w:r>
          </w:p>
        </w:tc>
      </w:tr>
      <w:tr w:rsidR="000467E5" w:rsidRPr="000467E5" w:rsidTr="000467E5">
        <w:trPr>
          <w:trHeight w:val="570"/>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b/>
                <w:lang w:eastAsia="en-AU"/>
              </w:rPr>
            </w:pPr>
            <w:r w:rsidRPr="000467E5">
              <w:rPr>
                <w:b/>
                <w:lang w:eastAsia="en-AU"/>
              </w:rPr>
              <w:t>CASH FLOWS FROM INVESTING ACTIVITIES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b/>
                <w:lang w:eastAsia="en-AU"/>
              </w:rPr>
            </w:pP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b/>
                <w:lang w:eastAsia="en-AU"/>
              </w:rPr>
            </w:pP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b/>
                <w:lang w:eastAsia="en-AU"/>
              </w:rPr>
            </w:pP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b/>
                <w:lang w:eastAsia="en-AU"/>
              </w:rPr>
            </w:pP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b/>
                <w:lang w:eastAsia="en-AU"/>
              </w:rPr>
            </w:pP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b/>
                <w:lang w:eastAsia="en-AU"/>
              </w:rPr>
            </w:pPr>
          </w:p>
        </w:tc>
      </w:tr>
      <w:tr w:rsidR="000467E5" w:rsidRPr="000467E5" w:rsidTr="000467E5">
        <w:trPr>
          <w:trHeight w:val="380"/>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b/>
                <w:lang w:eastAsia="en-AU"/>
              </w:rPr>
            </w:pPr>
            <w:r w:rsidRPr="000467E5">
              <w:rPr>
                <w:b/>
                <w:lang w:eastAsia="en-AU"/>
              </w:rPr>
              <w:t>Payments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lang w:eastAsia="en-AU"/>
              </w:rPr>
            </w:pPr>
            <w:r w:rsidRPr="000467E5">
              <w:rPr>
                <w:lang w:eastAsia="en-AU"/>
              </w:rPr>
              <w:t>Proceeds from the sale of non-current physical assets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Y</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w:t>
            </w: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27</w:t>
            </w: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-27</w:t>
            </w:r>
          </w:p>
        </w:tc>
      </w:tr>
      <w:tr w:rsidR="000467E5" w:rsidRPr="000467E5" w:rsidTr="000467E5">
        <w:trPr>
          <w:trHeight w:val="423"/>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b/>
                <w:lang w:eastAsia="en-AU"/>
              </w:rPr>
            </w:pPr>
            <w:r w:rsidRPr="000467E5">
              <w:rPr>
                <w:b/>
                <w:lang w:eastAsia="en-AU"/>
              </w:rPr>
              <w:t>Receipts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lang w:eastAsia="en-AU"/>
              </w:rPr>
            </w:pPr>
            <w:r w:rsidRPr="000467E5">
              <w:rPr>
                <w:lang w:eastAsia="en-AU"/>
              </w:rPr>
              <w:t>Purchase of non-current physical assets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28, Z</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-5,124</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-2,899</w:t>
            </w: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-2,427</w:t>
            </w: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2,225</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-472</w:t>
            </w: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lang w:eastAsia="en-AU"/>
              </w:rPr>
            </w:pPr>
            <w:r w:rsidRPr="000467E5">
              <w:rPr>
                <w:lang w:eastAsia="en-AU"/>
              </w:rPr>
              <w:t>Investment in Other financial assets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7, F</w:t>
            </w:r>
          </w:p>
        </w:tc>
        <w:tc>
          <w:tcPr>
            <w:tcW w:w="112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w:t>
            </w:r>
          </w:p>
        </w:tc>
        <w:tc>
          <w:tcPr>
            <w:tcW w:w="108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-2,000</w:t>
            </w:r>
          </w:p>
        </w:tc>
        <w:tc>
          <w:tcPr>
            <w:tcW w:w="106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-1,000</w:t>
            </w:r>
          </w:p>
        </w:tc>
        <w:tc>
          <w:tcPr>
            <w:tcW w:w="122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-2,000</w:t>
            </w:r>
          </w:p>
        </w:tc>
        <w:tc>
          <w:tcPr>
            <w:tcW w:w="108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-1,000</w:t>
            </w: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b/>
                <w:lang w:eastAsia="en-AU"/>
              </w:rPr>
            </w:pPr>
            <w:r w:rsidRPr="000467E5">
              <w:rPr>
                <w:b/>
                <w:lang w:eastAsia="en-AU"/>
              </w:rPr>
              <w:t>Net cash provided by/(used in) investing activities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120" w:type="dxa"/>
            <w:tcBorders>
              <w:top w:val="single" w:sz="4" w:space="0" w:color="auto"/>
              <w:left w:val="nil"/>
              <w:bottom w:val="single" w:sz="4" w:space="0" w:color="auto"/>
              <w:right w:val="nil"/>
            </w:tcBorders>
            <w:shd w:val="clear" w:color="auto" w:fill="auto"/>
            <w:noWrap/>
            <w:vAlign w:val="center"/>
            <w:hideMark/>
          </w:tcPr>
          <w:p w:rsidR="000467E5" w:rsidRPr="000467E5" w:rsidRDefault="000467E5" w:rsidP="000467E5">
            <w:pPr>
              <w:spacing w:after="0"/>
              <w:jc w:val="right"/>
              <w:rPr>
                <w:lang w:eastAsia="en-AU"/>
              </w:rPr>
            </w:pPr>
            <w:r w:rsidRPr="000467E5">
              <w:rPr>
                <w:lang w:eastAsia="en-AU"/>
              </w:rPr>
              <w:t>-$5,124</w:t>
            </w:r>
          </w:p>
        </w:tc>
        <w:tc>
          <w:tcPr>
            <w:tcW w:w="1080" w:type="dxa"/>
            <w:tcBorders>
              <w:top w:val="single" w:sz="4" w:space="0" w:color="auto"/>
              <w:left w:val="nil"/>
              <w:bottom w:val="single" w:sz="4" w:space="0" w:color="auto"/>
              <w:right w:val="nil"/>
            </w:tcBorders>
            <w:shd w:val="clear" w:color="auto" w:fill="auto"/>
            <w:noWrap/>
            <w:vAlign w:val="center"/>
            <w:hideMark/>
          </w:tcPr>
          <w:p w:rsidR="000467E5" w:rsidRPr="000467E5" w:rsidRDefault="000467E5" w:rsidP="000467E5">
            <w:pPr>
              <w:spacing w:after="0"/>
              <w:jc w:val="right"/>
              <w:rPr>
                <w:lang w:eastAsia="en-AU"/>
              </w:rPr>
            </w:pPr>
            <w:r w:rsidRPr="000467E5">
              <w:rPr>
                <w:lang w:eastAsia="en-AU"/>
              </w:rPr>
              <w:t>-4,899</w:t>
            </w:r>
          </w:p>
        </w:tc>
        <w:tc>
          <w:tcPr>
            <w:tcW w:w="1060" w:type="dxa"/>
            <w:tcBorders>
              <w:top w:val="single" w:sz="4" w:space="0" w:color="auto"/>
              <w:left w:val="nil"/>
              <w:bottom w:val="single" w:sz="4" w:space="0" w:color="auto"/>
              <w:right w:val="nil"/>
            </w:tcBorders>
            <w:shd w:val="clear" w:color="auto" w:fill="auto"/>
            <w:noWrap/>
            <w:vAlign w:val="center"/>
            <w:hideMark/>
          </w:tcPr>
          <w:p w:rsidR="000467E5" w:rsidRPr="000467E5" w:rsidRDefault="000467E5" w:rsidP="000467E5">
            <w:pPr>
              <w:spacing w:after="0"/>
              <w:jc w:val="right"/>
              <w:rPr>
                <w:lang w:eastAsia="en-AU"/>
              </w:rPr>
            </w:pPr>
            <w:r w:rsidRPr="000467E5">
              <w:rPr>
                <w:lang w:eastAsia="en-AU"/>
              </w:rPr>
              <w:t>-3,400</w:t>
            </w:r>
          </w:p>
        </w:tc>
        <w:tc>
          <w:tcPr>
            <w:tcW w:w="1220" w:type="dxa"/>
            <w:tcBorders>
              <w:top w:val="single" w:sz="4" w:space="0" w:color="auto"/>
              <w:left w:val="nil"/>
              <w:bottom w:val="single" w:sz="4" w:space="0" w:color="auto"/>
              <w:right w:val="nil"/>
            </w:tcBorders>
            <w:shd w:val="clear" w:color="auto" w:fill="auto"/>
            <w:noWrap/>
            <w:vAlign w:val="center"/>
            <w:hideMark/>
          </w:tcPr>
          <w:p w:rsidR="000467E5" w:rsidRPr="000467E5" w:rsidRDefault="000467E5" w:rsidP="000467E5">
            <w:pPr>
              <w:spacing w:after="0"/>
              <w:jc w:val="right"/>
              <w:rPr>
                <w:lang w:eastAsia="en-AU"/>
              </w:rPr>
            </w:pPr>
            <w:r w:rsidRPr="000467E5">
              <w:rPr>
                <w:lang w:eastAsia="en-AU"/>
              </w:rPr>
              <w:t>225</w:t>
            </w:r>
          </w:p>
        </w:tc>
        <w:tc>
          <w:tcPr>
            <w:tcW w:w="1080" w:type="dxa"/>
            <w:tcBorders>
              <w:top w:val="single" w:sz="4" w:space="0" w:color="auto"/>
              <w:left w:val="nil"/>
              <w:bottom w:val="single" w:sz="4" w:space="0" w:color="auto"/>
              <w:right w:val="nil"/>
            </w:tcBorders>
            <w:shd w:val="clear" w:color="auto" w:fill="auto"/>
            <w:noWrap/>
            <w:vAlign w:val="center"/>
            <w:hideMark/>
          </w:tcPr>
          <w:p w:rsidR="000467E5" w:rsidRPr="000467E5" w:rsidRDefault="000467E5" w:rsidP="000467E5">
            <w:pPr>
              <w:spacing w:after="0"/>
              <w:jc w:val="right"/>
              <w:rPr>
                <w:lang w:eastAsia="en-AU"/>
              </w:rPr>
            </w:pPr>
            <w:r w:rsidRPr="000467E5">
              <w:rPr>
                <w:lang w:eastAsia="en-AU"/>
              </w:rPr>
              <w:t>-1,499</w:t>
            </w: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lang w:eastAsia="en-AU"/>
              </w:rPr>
            </w:pPr>
            <w:r w:rsidRPr="000467E5">
              <w:rPr>
                <w:lang w:eastAsia="en-AU"/>
              </w:rPr>
              <w:t>Net increase/(decrease) in cash and cash equivalents</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29, AA</w:t>
            </w:r>
          </w:p>
        </w:tc>
        <w:tc>
          <w:tcPr>
            <w:tcW w:w="1120" w:type="dxa"/>
            <w:tcBorders>
              <w:top w:val="single" w:sz="4" w:space="0" w:color="auto"/>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-$4,589</w:t>
            </w:r>
          </w:p>
        </w:tc>
        <w:tc>
          <w:tcPr>
            <w:tcW w:w="1080" w:type="dxa"/>
            <w:tcBorders>
              <w:top w:val="single" w:sz="4" w:space="0" w:color="auto"/>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795</w:t>
            </w:r>
          </w:p>
        </w:tc>
        <w:tc>
          <w:tcPr>
            <w:tcW w:w="1060" w:type="dxa"/>
            <w:tcBorders>
              <w:top w:val="single" w:sz="4" w:space="0" w:color="auto"/>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25,737</w:t>
            </w:r>
          </w:p>
        </w:tc>
        <w:tc>
          <w:tcPr>
            <w:tcW w:w="1220" w:type="dxa"/>
            <w:tcBorders>
              <w:top w:val="single" w:sz="4" w:space="0" w:color="auto"/>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5,384</w:t>
            </w:r>
          </w:p>
        </w:tc>
        <w:tc>
          <w:tcPr>
            <w:tcW w:w="1080" w:type="dxa"/>
            <w:tcBorders>
              <w:top w:val="single" w:sz="4" w:space="0" w:color="auto"/>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-24,942</w:t>
            </w: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lang w:eastAsia="en-AU"/>
              </w:rPr>
            </w:pPr>
            <w:r w:rsidRPr="000467E5">
              <w:rPr>
                <w:lang w:eastAsia="en-AU"/>
              </w:rPr>
              <w:t>Cash and cash equivalents at the beginning of the period</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AB</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$63,666</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63,990</w:t>
            </w: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38,273</w:t>
            </w: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324</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25,717</w:t>
            </w: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lang w:eastAsia="en-AU"/>
              </w:rPr>
            </w:pPr>
            <w:r w:rsidRPr="000467E5">
              <w:rPr>
                <w:lang w:eastAsia="en-AU"/>
              </w:rPr>
              <w:t>Effects of exchange rate changes on cash balances held in foreign currency</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30, AC</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28</w:t>
            </w:r>
          </w:p>
        </w:tc>
        <w:tc>
          <w:tcPr>
            <w:tcW w:w="106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-20</w:t>
            </w:r>
          </w:p>
        </w:tc>
        <w:tc>
          <w:tcPr>
            <w:tcW w:w="12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28</w:t>
            </w:r>
          </w:p>
        </w:tc>
        <w:tc>
          <w:tcPr>
            <w:tcW w:w="108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48</w:t>
            </w: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b/>
                <w:lang w:eastAsia="en-AU"/>
              </w:rPr>
            </w:pPr>
            <w:r w:rsidRPr="000467E5">
              <w:rPr>
                <w:b/>
                <w:lang w:eastAsia="en-AU"/>
              </w:rPr>
              <w:t xml:space="preserve">CASH AND CASH </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12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p>
        </w:tc>
        <w:tc>
          <w:tcPr>
            <w:tcW w:w="108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p>
        </w:tc>
        <w:tc>
          <w:tcPr>
            <w:tcW w:w="106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p>
        </w:tc>
        <w:tc>
          <w:tcPr>
            <w:tcW w:w="122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p>
        </w:tc>
        <w:tc>
          <w:tcPr>
            <w:tcW w:w="1080" w:type="dxa"/>
            <w:tcBorders>
              <w:top w:val="nil"/>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p>
        </w:tc>
      </w:tr>
      <w:tr w:rsidR="000467E5" w:rsidRPr="000467E5" w:rsidTr="000467E5">
        <w:trPr>
          <w:trHeight w:val="285"/>
        </w:trPr>
        <w:tc>
          <w:tcPr>
            <w:tcW w:w="3580" w:type="dxa"/>
            <w:tcBorders>
              <w:top w:val="nil"/>
              <w:left w:val="nil"/>
              <w:bottom w:val="nil"/>
              <w:right w:val="nil"/>
            </w:tcBorders>
            <w:shd w:val="clear" w:color="auto" w:fill="auto"/>
            <w:vAlign w:val="bottom"/>
            <w:hideMark/>
          </w:tcPr>
          <w:p w:rsidR="000467E5" w:rsidRPr="000467E5" w:rsidRDefault="000467E5" w:rsidP="000467E5">
            <w:pPr>
              <w:spacing w:after="0"/>
              <w:rPr>
                <w:b/>
                <w:lang w:eastAsia="en-AU"/>
              </w:rPr>
            </w:pPr>
            <w:r w:rsidRPr="000467E5">
              <w:rPr>
                <w:b/>
                <w:lang w:eastAsia="en-AU"/>
              </w:rPr>
              <w:t>EQUIVALENTS AT THE END OF THE PERIOD</w:t>
            </w:r>
          </w:p>
        </w:tc>
        <w:tc>
          <w:tcPr>
            <w:tcW w:w="1120" w:type="dxa"/>
            <w:tcBorders>
              <w:top w:val="nil"/>
              <w:left w:val="nil"/>
              <w:bottom w:val="nil"/>
              <w:right w:val="nil"/>
            </w:tcBorders>
            <w:shd w:val="clear" w:color="auto" w:fill="auto"/>
            <w:noWrap/>
            <w:vAlign w:val="bottom"/>
            <w:hideMark/>
          </w:tcPr>
          <w:p w:rsidR="000467E5" w:rsidRPr="000467E5" w:rsidRDefault="000467E5" w:rsidP="000467E5">
            <w:pPr>
              <w:spacing w:after="0"/>
              <w:rPr>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59,077</w:t>
            </w:r>
          </w:p>
        </w:tc>
        <w:tc>
          <w:tcPr>
            <w:tcW w:w="1080" w:type="dxa"/>
            <w:tcBorders>
              <w:top w:val="single" w:sz="4" w:space="0" w:color="auto"/>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64,813</w:t>
            </w:r>
          </w:p>
        </w:tc>
        <w:tc>
          <w:tcPr>
            <w:tcW w:w="1060" w:type="dxa"/>
            <w:tcBorders>
              <w:top w:val="single" w:sz="4" w:space="0" w:color="auto"/>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63,990</w:t>
            </w:r>
          </w:p>
        </w:tc>
        <w:tc>
          <w:tcPr>
            <w:tcW w:w="1220" w:type="dxa"/>
            <w:tcBorders>
              <w:top w:val="single" w:sz="4" w:space="0" w:color="auto"/>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5,736</w:t>
            </w:r>
          </w:p>
        </w:tc>
        <w:tc>
          <w:tcPr>
            <w:tcW w:w="1080" w:type="dxa"/>
            <w:tcBorders>
              <w:top w:val="single" w:sz="4" w:space="0" w:color="auto"/>
              <w:left w:val="nil"/>
              <w:bottom w:val="single" w:sz="4" w:space="0" w:color="auto"/>
              <w:right w:val="nil"/>
            </w:tcBorders>
            <w:shd w:val="clear" w:color="auto" w:fill="auto"/>
            <w:noWrap/>
            <w:vAlign w:val="bottom"/>
            <w:hideMark/>
          </w:tcPr>
          <w:p w:rsidR="000467E5" w:rsidRPr="000467E5" w:rsidRDefault="000467E5" w:rsidP="000467E5">
            <w:pPr>
              <w:spacing w:after="0"/>
              <w:rPr>
                <w:lang w:eastAsia="en-AU"/>
              </w:rPr>
            </w:pPr>
            <w:r w:rsidRPr="000467E5">
              <w:rPr>
                <w:lang w:eastAsia="en-AU"/>
              </w:rPr>
              <w:t>823</w:t>
            </w:r>
          </w:p>
        </w:tc>
      </w:tr>
    </w:tbl>
    <w:p w:rsidR="00FC4E35" w:rsidRDefault="00FC4E35" w:rsidP="001C3EAC">
      <w:pPr>
        <w:rPr>
          <w:bCs/>
          <w:lang w:val="en-US"/>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0467E5">
        <w:trPr>
          <w:trHeight w:val="690"/>
        </w:trPr>
        <w:tc>
          <w:tcPr>
            <w:tcW w:w="370" w:type="dxa"/>
            <w:tcMar>
              <w:top w:w="85" w:type="dxa"/>
              <w:left w:w="0" w:type="dxa"/>
              <w:bottom w:w="85" w:type="dxa"/>
              <w:right w:w="0" w:type="dxa"/>
            </w:tcMar>
          </w:tcPr>
          <w:p w:rsidR="00FC4E35" w:rsidRPr="00FC4E35" w:rsidRDefault="00FC4E35" w:rsidP="000467E5">
            <w:pPr>
              <w:spacing w:after="0"/>
              <w:rPr>
                <w:lang w:val="en-US"/>
              </w:rPr>
            </w:pPr>
            <w:r w:rsidRPr="00FC4E35">
              <w:rPr>
                <w:lang w:val="en-US"/>
              </w:rPr>
              <w:t>(a)</w:t>
            </w:r>
          </w:p>
        </w:tc>
        <w:tc>
          <w:tcPr>
            <w:tcW w:w="9996" w:type="dxa"/>
            <w:tcMar>
              <w:top w:w="85" w:type="dxa"/>
              <w:left w:w="80" w:type="dxa"/>
              <w:bottom w:w="85" w:type="dxa"/>
              <w:right w:w="80" w:type="dxa"/>
            </w:tcMar>
          </w:tcPr>
          <w:p w:rsidR="00FC4E35" w:rsidRPr="00FC4E35" w:rsidRDefault="00FC4E35" w:rsidP="000467E5">
            <w:pPr>
              <w:spacing w:after="0"/>
              <w:rPr>
                <w:lang w:val="en-US"/>
              </w:rPr>
            </w:pPr>
            <w:r w:rsidRPr="00FC4E35">
              <w:rPr>
                <w:lang w:val="en-US"/>
              </w:rPr>
              <w:t>The budget estimates have been reclassified to align with the financial statement classification of receipts and payments.</w:t>
            </w:r>
          </w:p>
        </w:tc>
      </w:tr>
    </w:tbl>
    <w:p w:rsidR="00FC4E35" w:rsidRDefault="00FC4E35" w:rsidP="00FC4E35">
      <w:pPr>
        <w:suppressAutoHyphens/>
        <w:autoSpaceDE w:val="0"/>
        <w:autoSpaceDN w:val="0"/>
        <w:adjustRightInd w:val="0"/>
        <w:spacing w:line="288" w:lineRule="auto"/>
        <w:textAlignment w:val="center"/>
        <w:rPr>
          <w:color w:val="000000"/>
          <w:lang w:val="en-US"/>
        </w:rPr>
      </w:pPr>
    </w:p>
    <w:p w:rsidR="009A36D1" w:rsidRDefault="009A36D1">
      <w:pPr>
        <w:spacing w:line="276" w:lineRule="auto"/>
        <w:rPr>
          <w:rFonts w:ascii="Arial" w:hAnsi="Arial" w:cs="Arial"/>
          <w:color w:val="006699"/>
          <w:sz w:val="28"/>
          <w:szCs w:val="28"/>
          <w:lang w:val="en-US"/>
        </w:rPr>
      </w:pPr>
      <w:r>
        <w:rPr>
          <w:lang w:val="en-US"/>
        </w:rPr>
        <w:br w:type="page"/>
      </w:r>
    </w:p>
    <w:p w:rsidR="00FC4E35" w:rsidRPr="00FC4E35" w:rsidRDefault="00FC4E35" w:rsidP="000467E5">
      <w:pPr>
        <w:pStyle w:val="Heading6"/>
        <w:rPr>
          <w:b/>
          <w:bCs/>
          <w:lang w:val="en-US"/>
        </w:rPr>
      </w:pPr>
      <w:r w:rsidRPr="00FC4E35">
        <w:rPr>
          <w:lang w:val="en-US"/>
        </w:rPr>
        <w:t>Major Variance Narratives (Controlled Operations)</w:t>
      </w:r>
    </w:p>
    <w:p w:rsidR="00FC4E35" w:rsidRDefault="00FC4E35" w:rsidP="000467E5">
      <w:pPr>
        <w:pStyle w:val="Heading8"/>
      </w:pPr>
      <w:r w:rsidRPr="000467E5">
        <w:t>Variances between estimate and actual</w:t>
      </w:r>
    </w:p>
    <w:tbl>
      <w:tblPr>
        <w:tblW w:w="10366" w:type="dxa"/>
        <w:tblInd w:w="8" w:type="dxa"/>
        <w:tblLayout w:type="fixed"/>
        <w:tblCellMar>
          <w:left w:w="0" w:type="dxa"/>
          <w:right w:w="0" w:type="dxa"/>
        </w:tblCellMar>
        <w:tblLook w:val="0000" w:firstRow="0" w:lastRow="0" w:firstColumn="0" w:lastColumn="0" w:noHBand="0" w:noVBand="0"/>
      </w:tblPr>
      <w:tblGrid>
        <w:gridCol w:w="568"/>
        <w:gridCol w:w="31"/>
        <w:gridCol w:w="9735"/>
        <w:gridCol w:w="32"/>
      </w:tblGrid>
      <w:tr w:rsidR="00836D4B" w:rsidRPr="00836D4B" w:rsidTr="009A36D1">
        <w:trPr>
          <w:gridAfter w:val="1"/>
          <w:wAfter w:w="32" w:type="dxa"/>
          <w:trHeight w:val="1288"/>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1.</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supplies and services expense of $5.32 million (18.94%) is due to an increase of $1.3 million for resources received free of charge, increases in professional services for the Strategic Assessment of the Perth Peel Region, ANZAC centenary commemorations, land tenure search fees in the Native Title Unit and electorate office  ICT upgrade.</w:t>
            </w:r>
          </w:p>
        </w:tc>
      </w:tr>
      <w:tr w:rsidR="00836D4B" w:rsidRPr="00836D4B" w:rsidTr="009A36D1">
        <w:trPr>
          <w:gridAfter w:val="1"/>
          <w:wAfter w:w="32" w:type="dxa"/>
          <w:trHeight w:val="708"/>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2.</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depreciation expense of $0.82 million (30.0%)  is due to lower than budget capital expenditure.</w:t>
            </w:r>
          </w:p>
        </w:tc>
      </w:tr>
      <w:tr w:rsidR="00836D4B" w:rsidRPr="00836D4B" w:rsidTr="009A36D1">
        <w:trPr>
          <w:gridAfter w:val="1"/>
          <w:wAfter w:w="32" w:type="dxa"/>
          <w:trHeight w:val="1275"/>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3.</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accommodation expense of $2.14 million (11.27%)  is due to above CPI increases and variable outgoings annual adjustments including repairs and maintenance, cleaning, water rates, gardening, lift and air-conditioning running costs in electorate offices and Dumas House.</w:t>
            </w:r>
          </w:p>
        </w:tc>
      </w:tr>
      <w:tr w:rsidR="00836D4B" w:rsidRPr="00836D4B" w:rsidTr="009A36D1">
        <w:trPr>
          <w:gridAfter w:val="1"/>
          <w:wAfter w:w="32" w:type="dxa"/>
          <w:trHeight w:val="1615"/>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4.</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grant expenses of $17.38 million (35.2%) is due to repositioning Native Title Unit financial incentive grants $7.4 million, repositioning of Native Title Unit Land &amp; Equity Fund grants $3.2 million, repositioning of Office of Science grants of $2.2 million together with reclassification of Office of Science grant expenditure of $2 million for the WA Marine Science institution to joint venture investment.</w:t>
            </w:r>
          </w:p>
        </w:tc>
      </w:tr>
      <w:tr w:rsidR="00836D4B" w:rsidRPr="00836D4B" w:rsidTr="009A36D1">
        <w:trPr>
          <w:gridAfter w:val="1"/>
          <w:wAfter w:w="32" w:type="dxa"/>
          <w:trHeight w:val="737"/>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5.</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2015 Budget did not provide for a loss on disposal of assets on the assumption that assets are mainly fully written down on disposal.</w:t>
            </w:r>
          </w:p>
        </w:tc>
      </w:tr>
      <w:tr w:rsidR="00836D4B" w:rsidRPr="00836D4B" w:rsidTr="009A36D1">
        <w:trPr>
          <w:gridAfter w:val="1"/>
          <w:wAfter w:w="32" w:type="dxa"/>
          <w:trHeight w:val="793"/>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6.</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2015 Budget did not provide for anticipated losses on hedging in relation to forward foreign exchange contracts.</w:t>
            </w:r>
          </w:p>
        </w:tc>
      </w:tr>
      <w:tr w:rsidR="00836D4B" w:rsidRPr="00836D4B" w:rsidTr="009A36D1">
        <w:trPr>
          <w:gridAfter w:val="1"/>
          <w:wAfter w:w="32" w:type="dxa"/>
          <w:trHeight w:val="737"/>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7.</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Loss on other financial assets of $2.0 million relate to joint venture investment in the WA Marine Science Institution (WAMSI) that was budgeted as a grant.</w:t>
            </w:r>
          </w:p>
        </w:tc>
      </w:tr>
      <w:tr w:rsidR="00836D4B" w:rsidRPr="00836D4B" w:rsidTr="009A36D1">
        <w:trPr>
          <w:gridAfter w:val="1"/>
          <w:wAfter w:w="32" w:type="dxa"/>
          <w:trHeight w:val="1048"/>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8.</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other expenses of $0.44 million (258.0%) is due to higher than budget audit fees and workers compensation insurance premium not separately provided for in the budget.</w:t>
            </w:r>
          </w:p>
        </w:tc>
      </w:tr>
      <w:tr w:rsidR="00836D4B" w:rsidRPr="00836D4B" w:rsidTr="009A36D1">
        <w:trPr>
          <w:gridAfter w:val="1"/>
          <w:wAfter w:w="32" w:type="dxa"/>
          <w:trHeight w:val="1020"/>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9.</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sales revenue from the State Law Publisher of $0.65 million (29.1%) is due to increased electronic access to publications, closure of sales outlet and reduced demand due to Agency budget cuts.</w:t>
            </w:r>
          </w:p>
        </w:tc>
      </w:tr>
      <w:tr w:rsidR="00836D4B" w:rsidRPr="00836D4B" w:rsidTr="009A36D1">
        <w:trPr>
          <w:gridAfter w:val="1"/>
          <w:wAfter w:w="32" w:type="dxa"/>
          <w:trHeight w:val="793"/>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10.</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Interest income of $0.85 million relates to interest on the Browse interest bearing trust Account that was not provided for as a separate line item in the budget.</w:t>
            </w:r>
          </w:p>
        </w:tc>
      </w:tr>
      <w:tr w:rsidR="00836D4B" w:rsidRPr="00836D4B" w:rsidTr="009A36D1">
        <w:trPr>
          <w:gridAfter w:val="1"/>
          <w:wAfter w:w="32" w:type="dxa"/>
          <w:trHeight w:val="1303"/>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11.</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Service Appropriation of $9.48 million (5.7%) is mainly due to repositioning of funding for Native Title Unit financial incentive grants of $4.9 million, repositioning of grant funding for the Office of Science $2.2 million and efficiency dividend savings of $1.2 million.</w:t>
            </w:r>
          </w:p>
        </w:tc>
      </w:tr>
      <w:tr w:rsidR="00836D4B" w:rsidRPr="00836D4B" w:rsidTr="009A36D1">
        <w:trPr>
          <w:gridAfter w:val="1"/>
          <w:wAfter w:w="32" w:type="dxa"/>
          <w:trHeight w:val="1105"/>
        </w:trPr>
        <w:tc>
          <w:tcPr>
            <w:tcW w:w="568"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12.</w:t>
            </w:r>
          </w:p>
        </w:tc>
        <w:tc>
          <w:tcPr>
            <w:tcW w:w="9766"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services received free of charge of $1.26 million (21.7%) is due to increases in legal charges from State Solicitors and increased charges from the Department of Finance for depreciation on Dumas House accommodation fit out.</w:t>
            </w:r>
          </w:p>
        </w:tc>
      </w:tr>
      <w:tr w:rsidR="000467E5" w:rsidRPr="000467E5" w:rsidTr="009A36D1">
        <w:trPr>
          <w:trHeight w:val="1275"/>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13.</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Royalties for Regions funding of $0.4 million (82.40%) is due to repositioning of $0.4 million funding in the 2015–16 Bilateral Budget Process to 2016-17 for the Great Kimberley Marine Park due to delays with joint management agreement negotiations.</w:t>
            </w:r>
          </w:p>
        </w:tc>
      </w:tr>
      <w:tr w:rsidR="000467E5" w:rsidRPr="000467E5" w:rsidTr="009A36D1">
        <w:trPr>
          <w:trHeight w:val="1275"/>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14.</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Gains on foreign exchange of $1.53 million recognised directly in equity relate to the reduction in unrealised losses under forward foreign exchange contracts deferred in the hedging reserve (cash flow hedges deferred in equity) in relation to exposure of anticipated future transactions in relation to aircraft leases payable in US Dollars.</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15.</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increase in cash balances of $4.95 million (19.5%) is mainly due to the deferral of expenditure on Native Title Unit grants which were to have been paid out of cash reserves.</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16.</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inventories of $0.04 million (49.35%) is due to small movements in publications stock on hand for the State Law Publisher.</w:t>
            </w:r>
          </w:p>
        </w:tc>
      </w:tr>
      <w:tr w:rsidR="000467E5" w:rsidRPr="000467E5" w:rsidTr="009A36D1">
        <w:trPr>
          <w:trHeight w:val="992"/>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17.</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increase in current amounts receivable for services of $1.40 million (69.2%) is due to the deferral of draw-downs from the holding account for the purchase of a high speed copier for the State Law Publisher from 2015 to 2016.</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18.</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other current assets of $0.67 million (55.83%) is due to a decrease in prepayments.</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19.</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 xml:space="preserve">The increase in other financial assets of $0.12 million (100%) represents the Departments 11% net investment in the WAMSI joint venture that was budgeted as a grant. </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20.</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increase in property, plant and equipment of $0.73 million (19.24%) is due to a decrease in depreciation expense due to deferred capital expenditure.</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21.</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intangible assets of $0.22 million (22.17%) is due to a lower than anticipated expenditure on software.</w:t>
            </w:r>
          </w:p>
        </w:tc>
      </w:tr>
      <w:tr w:rsidR="000467E5" w:rsidRPr="000467E5" w:rsidTr="009A36D1">
        <w:trPr>
          <w:trHeight w:val="737"/>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22.</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payables of $0.82 million (17.67%) represent mainly a reduction in accrued salary recoups.</w:t>
            </w:r>
          </w:p>
        </w:tc>
      </w:tr>
      <w:tr w:rsidR="000467E5" w:rsidRPr="000467E5" w:rsidTr="009A36D1">
        <w:trPr>
          <w:trHeight w:val="992"/>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23.</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Increases in current leave provisions of $3.69 million (26.60%) is due mainly to the impact of increases in indexation of salary rates due to the budget being capped at 2012 balances and slight reduction in the discount rate.</w:t>
            </w:r>
          </w:p>
        </w:tc>
      </w:tr>
      <w:tr w:rsidR="000467E5" w:rsidRPr="000467E5" w:rsidTr="009A36D1">
        <w:trPr>
          <w:trHeight w:val="992"/>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24.</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other current liabilities of $1.57 million (99.81%) is due to  a reduction in derivative financial liability in relation to the foreign exchange hedge for the aircraft lease contract.</w:t>
            </w:r>
          </w:p>
        </w:tc>
      </w:tr>
      <w:tr w:rsidR="000467E5" w:rsidRPr="000467E5" w:rsidTr="009A36D1">
        <w:trPr>
          <w:trHeight w:val="1020"/>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25.</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movement in hedging reserves of $2.02 million (82.34%) represents the reduction in unrealised losses under forward foreign exchange contracts deferred in the hedging reserve. The budget was based on 2013 actual closing balance of the hedging reserve.</w:t>
            </w:r>
          </w:p>
        </w:tc>
      </w:tr>
      <w:tr w:rsidR="000467E5" w:rsidRPr="000467E5" w:rsidTr="009A36D1">
        <w:trPr>
          <w:trHeight w:val="708"/>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26.</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decrease in GST receipts on sales of $0.15 million (45.9 %) is mainly due to a decrease in sales.</w:t>
            </w:r>
          </w:p>
        </w:tc>
      </w:tr>
      <w:tr w:rsidR="000467E5" w:rsidRPr="000467E5" w:rsidTr="009A36D1">
        <w:trPr>
          <w:trHeight w:val="708"/>
        </w:trPr>
        <w:tc>
          <w:tcPr>
            <w:tcW w:w="599" w:type="dxa"/>
            <w:gridSpan w:val="2"/>
            <w:shd w:val="solid" w:color="FFFFFF" w:fill="auto"/>
            <w:tcMar>
              <w:top w:w="85" w:type="dxa"/>
              <w:left w:w="0" w:type="dxa"/>
              <w:bottom w:w="85" w:type="dxa"/>
              <w:right w:w="0" w:type="dxa"/>
            </w:tcMar>
          </w:tcPr>
          <w:p w:rsidR="000467E5" w:rsidRPr="000467E5" w:rsidRDefault="000467E5" w:rsidP="00836D4B">
            <w:pPr>
              <w:spacing w:after="0"/>
              <w:rPr>
                <w:lang w:val="en-US"/>
              </w:rPr>
            </w:pPr>
            <w:r w:rsidRPr="000467E5">
              <w:rPr>
                <w:lang w:val="en-US"/>
              </w:rPr>
              <w:t>27.</w:t>
            </w:r>
          </w:p>
        </w:tc>
        <w:tc>
          <w:tcPr>
            <w:tcW w:w="9767" w:type="dxa"/>
            <w:gridSpan w:val="2"/>
            <w:shd w:val="solid" w:color="FFFFFF" w:fill="auto"/>
            <w:tcMar>
              <w:top w:w="85" w:type="dxa"/>
              <w:left w:w="80" w:type="dxa"/>
              <w:bottom w:w="85" w:type="dxa"/>
              <w:right w:w="80" w:type="dxa"/>
            </w:tcMar>
          </w:tcPr>
          <w:p w:rsidR="000467E5" w:rsidRPr="000467E5" w:rsidRDefault="000467E5" w:rsidP="00836D4B">
            <w:pPr>
              <w:spacing w:after="0"/>
              <w:rPr>
                <w:lang w:val="en-US"/>
              </w:rPr>
            </w:pPr>
            <w:r w:rsidRPr="000467E5">
              <w:rPr>
                <w:lang w:val="en-US"/>
              </w:rPr>
              <w:t>The increase in other receipts of $0.16 million (2225.0%) is due to higher than budget paid parental leave receipts from the Commonwealth.</w:t>
            </w:r>
          </w:p>
        </w:tc>
      </w:tr>
      <w:tr w:rsidR="00836D4B" w:rsidRPr="00836D4B" w:rsidTr="009A36D1">
        <w:trPr>
          <w:trHeight w:val="1014"/>
        </w:trPr>
        <w:tc>
          <w:tcPr>
            <w:tcW w:w="599" w:type="dxa"/>
            <w:gridSpan w:val="2"/>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28.</w:t>
            </w:r>
          </w:p>
        </w:tc>
        <w:tc>
          <w:tcPr>
            <w:tcW w:w="9767"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purchase of non-current assets of $2.23 million (43.42%) is due to the deferral of budgeted capital expenditure including the purchase of a high speed printer for the State Law Publisher to 2016.</w:t>
            </w:r>
          </w:p>
        </w:tc>
      </w:tr>
      <w:tr w:rsidR="00836D4B" w:rsidRPr="00836D4B" w:rsidTr="009A36D1">
        <w:trPr>
          <w:trHeight w:val="1014"/>
        </w:trPr>
        <w:tc>
          <w:tcPr>
            <w:tcW w:w="599" w:type="dxa"/>
            <w:gridSpan w:val="2"/>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29.</w:t>
            </w:r>
          </w:p>
        </w:tc>
        <w:tc>
          <w:tcPr>
            <w:tcW w:w="9767"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the net increase in cash of $5.38 million (117.32%) is mainly due to the deferral of expenditure on Native Title Unit grants which were to have been paid out of cash reserves.</w:t>
            </w:r>
          </w:p>
        </w:tc>
      </w:tr>
      <w:tr w:rsidR="00836D4B" w:rsidRPr="00836D4B" w:rsidTr="009A36D1">
        <w:trPr>
          <w:trHeight w:val="1014"/>
        </w:trPr>
        <w:tc>
          <w:tcPr>
            <w:tcW w:w="599" w:type="dxa"/>
            <w:gridSpan w:val="2"/>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30.</w:t>
            </w:r>
          </w:p>
        </w:tc>
        <w:tc>
          <w:tcPr>
            <w:tcW w:w="9767" w:type="dxa"/>
            <w:gridSpan w:val="2"/>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cash balances held in foreign currency from the effects of exchange rate changes of $0.03 million is due to no budget being provided for this as it is unable to be estimated until the end of the financial year and is not material.</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p w:rsidR="00FC4E35" w:rsidRDefault="00FC4E35" w:rsidP="00836D4B">
      <w:pPr>
        <w:pStyle w:val="Heading8"/>
      </w:pPr>
      <w:r w:rsidRPr="00FC4E35">
        <w:t>Variances between actual results for 2015 and 2014</w:t>
      </w:r>
    </w:p>
    <w:tbl>
      <w:tblPr>
        <w:tblW w:w="10366" w:type="dxa"/>
        <w:tblInd w:w="8" w:type="dxa"/>
        <w:tblLayout w:type="fixed"/>
        <w:tblCellMar>
          <w:left w:w="0" w:type="dxa"/>
          <w:right w:w="0" w:type="dxa"/>
        </w:tblCellMar>
        <w:tblLook w:val="0000" w:firstRow="0" w:lastRow="0" w:firstColumn="0" w:lastColumn="0" w:noHBand="0" w:noVBand="0"/>
      </w:tblPr>
      <w:tblGrid>
        <w:gridCol w:w="599"/>
        <w:gridCol w:w="9767"/>
      </w:tblGrid>
      <w:tr w:rsidR="00836D4B" w:rsidRPr="00836D4B" w:rsidTr="009A36D1">
        <w:trPr>
          <w:trHeight w:val="78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A.</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depreciation and amortisation expense of $0.24 million (13.82%) is mainly due to depreciation on Ministerial office accommodation establishment costs during 2015.</w:t>
            </w:r>
          </w:p>
        </w:tc>
      </w:tr>
      <w:tr w:rsidR="00836D4B" w:rsidRPr="00836D4B" w:rsidTr="009A36D1">
        <w:trPr>
          <w:trHeight w:val="326"/>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B.</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grants expense of $22.75 million (41.6%) is due to decreases in Native Title Unit grants for Yawaru implementation $2 million, South West Settlement Implementation $2.4 million, Land &amp; Equity Fund ILUA negotiations $2.6 million together with decreases in Community grants for the ANZAC Centenary $5.6 million, Parkerville Bushfire $1.5 million and decreases in Office of Science grants of $5.3 million for Scitech and $1.6 million for the Integrated Marine Observing System.</w:t>
            </w:r>
          </w:p>
        </w:tc>
      </w:tr>
      <w:tr w:rsidR="00836D4B" w:rsidRPr="00836D4B" w:rsidTr="009A36D1">
        <w:trPr>
          <w:trHeight w:val="73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C.</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the loss on disposal of assets of $0.003 million (15.0%) is due to lower written down value of assets disposed.</w:t>
            </w:r>
          </w:p>
        </w:tc>
      </w:tr>
      <w:tr w:rsidR="00836D4B" w:rsidRPr="00836D4B" w:rsidTr="009A36D1">
        <w:trPr>
          <w:trHeight w:val="1048"/>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D.</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loss on foreign operation translation of $0.02 million (100%) is due to a gain being recognised on foreign operation translation in 2015 and classified as a revenue item.</w:t>
            </w:r>
          </w:p>
        </w:tc>
      </w:tr>
      <w:tr w:rsidR="00836D4B" w:rsidRPr="00836D4B" w:rsidTr="009A36D1">
        <w:trPr>
          <w:trHeight w:val="73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E.</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losses on hedging of $0.25 million (69.06%) are in relation to changes to forecasted foreign currency exposures.</w:t>
            </w:r>
          </w:p>
        </w:tc>
      </w:tr>
      <w:tr w:rsidR="00836D4B" w:rsidRPr="00836D4B" w:rsidTr="009A36D1">
        <w:trPr>
          <w:trHeight w:val="793"/>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F.</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loss of other financial assets of $1.10 million (124.60%) is due to an additional investment of $1 million in the WAMSI joint venture compared to the previous year.</w:t>
            </w:r>
          </w:p>
        </w:tc>
      </w:tr>
      <w:tr w:rsidR="00836D4B" w:rsidRPr="00836D4B" w:rsidTr="009A36D1">
        <w:trPr>
          <w:trHeight w:val="793"/>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G.</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other expenses of $0.19 million (45.78%) is mainly due to an increase in workers compensation insurance premiums.</w:t>
            </w:r>
          </w:p>
        </w:tc>
      </w:tr>
      <w:tr w:rsidR="00836D4B" w:rsidRPr="00836D4B" w:rsidTr="009A36D1">
        <w:trPr>
          <w:trHeight w:val="1048"/>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H.</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interest revenue of $0.37 million (75.7%) is due to the Browse Trust Account being opened in December 2014 and accruing interest for six months only in the prior year.</w:t>
            </w:r>
          </w:p>
        </w:tc>
      </w:tr>
      <w:tr w:rsidR="00836D4B" w:rsidRPr="00836D4B" w:rsidTr="009A36D1">
        <w:trPr>
          <w:trHeight w:val="1020"/>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I.</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Service Appropriation of $55.38 million (26.2%) is mainly due to reduction in funding for Browse LNG Precinct Project $30.9 million, Community grants $8.7 million, Native Title Unit grants $9.3 million, Office of Science grants $5.7 million.</w:t>
            </w:r>
          </w:p>
        </w:tc>
      </w:tr>
      <w:tr w:rsidR="00836D4B" w:rsidRPr="00836D4B" w:rsidTr="009A36D1">
        <w:trPr>
          <w:trHeight w:val="1075"/>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J.</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Royalties for Regions funding of $0.04 million (29.75%) is due to a revised expenditure profile for Regional Workers Incentives Allowance Payments resulting in decreased funding from 2014–15 as part of the 2014–15 Budget Bilateral Process.</w:t>
            </w:r>
          </w:p>
        </w:tc>
      </w:tr>
      <w:tr w:rsidR="00836D4B" w:rsidRPr="00836D4B" w:rsidTr="009A36D1">
        <w:trPr>
          <w:trHeight w:val="1014"/>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K.</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gains on foreign exchange of $1.03 million (208.9%) is due to reductions in cash flow hedges deferred in equity in relation to aircraft leases denominated in US dollars and due to expire in 2017 (refer Note 36).</w:t>
            </w:r>
          </w:p>
        </w:tc>
      </w:tr>
      <w:tr w:rsidR="00836D4B" w:rsidRPr="00836D4B" w:rsidTr="009A36D1">
        <w:trPr>
          <w:trHeight w:val="714"/>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L.</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inventories of $0.02 million (32.76%) is due to small movements in publications stock on hand for the State Law Publisher.</w:t>
            </w:r>
          </w:p>
        </w:tc>
      </w:tr>
      <w:tr w:rsidR="00836D4B" w:rsidRPr="00836D4B" w:rsidTr="009A36D1">
        <w:trPr>
          <w:trHeight w:val="714"/>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M.</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current receivables of $0.94 million (38.8%) is mainly due to a reduction in GST receivable.</w:t>
            </w:r>
          </w:p>
        </w:tc>
      </w:tr>
      <w:tr w:rsidR="00836D4B" w:rsidRPr="00836D4B" w:rsidTr="009A36D1">
        <w:trPr>
          <w:trHeight w:val="1354"/>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N.</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current amounts receivable for services of $1.3 million (61.1%) is due to approved increases in 2016 draw-downs from the holding account to fund increases in 2016 projected ICT capital expenditure including SAN replacement and relocation of the secondary data centre to Dumas House.</w:t>
            </w:r>
          </w:p>
        </w:tc>
      </w:tr>
      <w:tr w:rsidR="00836D4B" w:rsidRPr="00836D4B" w:rsidTr="009A36D1">
        <w:trPr>
          <w:trHeight w:val="73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O.</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other current assets of $0.39 million (42.6%) is due to a decrease in prepayments for electorate office accommodation expenses.</w:t>
            </w:r>
          </w:p>
        </w:tc>
      </w:tr>
      <w:tr w:rsidR="00836D4B" w:rsidRPr="00836D4B" w:rsidTr="009A36D1">
        <w:trPr>
          <w:trHeight w:val="73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P.</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property, plant and equipment of $1.09 million (32.0%) is mainly due to an increase in office establishment costs for the relocation of two Ministers to Dumas House.</w:t>
            </w:r>
          </w:p>
        </w:tc>
      </w:tr>
      <w:tr w:rsidR="00836D4B" w:rsidRPr="00836D4B" w:rsidTr="009A36D1">
        <w:trPr>
          <w:trHeight w:val="73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Q.</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payables of $0.81 million (17.50%) represents a decrease in accrued expenses.</w:t>
            </w:r>
          </w:p>
        </w:tc>
      </w:tr>
      <w:tr w:rsidR="00836D4B" w:rsidRPr="00836D4B" w:rsidTr="009A36D1">
        <w:trPr>
          <w:trHeight w:val="73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R.</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Increases in current leave provisions of $2.11 million (13.69%) is mainly due to the impact of increases in indexation of salary rates and lower than expected leave taken in 2015.</w:t>
            </w:r>
          </w:p>
        </w:tc>
      </w:tr>
      <w:tr w:rsidR="00836D4B" w:rsidRPr="00836D4B" w:rsidTr="009A36D1">
        <w:trPr>
          <w:trHeight w:val="1020"/>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S.</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other current liabilities of $1.42 million (99.79%) is due to  a reduction in derivative financial liability in relation to the foreign exchange hedge for the aircraft lease contract.</w:t>
            </w:r>
          </w:p>
        </w:tc>
      </w:tr>
      <w:tr w:rsidR="00836D4B" w:rsidRPr="00836D4B" w:rsidTr="009A36D1">
        <w:trPr>
          <w:trHeight w:val="765"/>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T.</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contributed equity of $3.0 million (8.31%) is due to a capital contribution received for the relocation and fit out of two ministerial offices at Dumas House.</w:t>
            </w:r>
          </w:p>
        </w:tc>
      </w:tr>
      <w:tr w:rsidR="00836D4B" w:rsidRPr="00836D4B" w:rsidTr="009A36D1">
        <w:trPr>
          <w:trHeight w:val="1020"/>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U.</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movement in hedging reserves of $1.53 million (77.89%) represents the reduction in unrealised losses under forward foreign exchange contracts deferred in the hedging reserve.</w:t>
            </w:r>
          </w:p>
        </w:tc>
      </w:tr>
      <w:tr w:rsidR="00836D4B" w:rsidRPr="00836D4B" w:rsidTr="009A36D1">
        <w:trPr>
          <w:trHeight w:val="1020"/>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V.</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increase in holding account draw-downs of $1.5 million (243.13%) is mainly due to increased capital funding for the replacement of the high speed copier for the State Law Publisher.</w:t>
            </w:r>
          </w:p>
        </w:tc>
      </w:tr>
      <w:tr w:rsidR="00836D4B" w:rsidRPr="00836D4B" w:rsidTr="009A36D1">
        <w:trPr>
          <w:trHeight w:val="1077"/>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W.</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receipts from Commonwealth grants of $0.18 million (28.59%) is due to an additional two quarterly payments in 2014 for the Indian Ocean Territories relating to the prior year due to delays receiving payment from the Commonwealth.</w:t>
            </w:r>
          </w:p>
        </w:tc>
      </w:tr>
      <w:tr w:rsidR="00836D4B" w:rsidRPr="00836D4B" w:rsidTr="009A36D1">
        <w:trPr>
          <w:trHeight w:val="746"/>
        </w:trPr>
        <w:tc>
          <w:tcPr>
            <w:tcW w:w="599" w:type="dxa"/>
            <w:shd w:val="solid" w:color="FFFFFF" w:fill="auto"/>
            <w:tcMar>
              <w:top w:w="85" w:type="dxa"/>
              <w:left w:w="0" w:type="dxa"/>
              <w:bottom w:w="85" w:type="dxa"/>
              <w:right w:w="0" w:type="dxa"/>
            </w:tcMar>
          </w:tcPr>
          <w:p w:rsidR="00836D4B" w:rsidRPr="00836D4B" w:rsidRDefault="00836D4B" w:rsidP="00836D4B">
            <w:pPr>
              <w:spacing w:after="0"/>
              <w:rPr>
                <w:lang w:val="en-US"/>
              </w:rPr>
            </w:pPr>
            <w:r w:rsidRPr="00836D4B">
              <w:rPr>
                <w:lang w:val="en-US"/>
              </w:rPr>
              <w:t>X.</w:t>
            </w:r>
          </w:p>
        </w:tc>
        <w:tc>
          <w:tcPr>
            <w:tcW w:w="9767" w:type="dxa"/>
            <w:shd w:val="solid" w:color="FFFFFF" w:fill="auto"/>
            <w:tcMar>
              <w:top w:w="85" w:type="dxa"/>
              <w:left w:w="80" w:type="dxa"/>
              <w:bottom w:w="85" w:type="dxa"/>
              <w:right w:w="80" w:type="dxa"/>
            </w:tcMar>
          </w:tcPr>
          <w:p w:rsidR="00836D4B" w:rsidRPr="00836D4B" w:rsidRDefault="00836D4B" w:rsidP="00836D4B">
            <w:pPr>
              <w:spacing w:after="0"/>
              <w:rPr>
                <w:lang w:val="en-US"/>
              </w:rPr>
            </w:pPr>
            <w:r w:rsidRPr="00836D4B">
              <w:rPr>
                <w:lang w:val="en-US"/>
              </w:rPr>
              <w:t>The decrease in GST receipts on sales of $0.09 million (32.58%) is mainly due to a decrease in sales.</w:t>
            </w:r>
          </w:p>
        </w:tc>
      </w:tr>
      <w:tr w:rsidR="00FC4E35" w:rsidRPr="00FC4E35" w:rsidTr="00836D4B">
        <w:trPr>
          <w:trHeight w:val="764"/>
        </w:trPr>
        <w:tc>
          <w:tcPr>
            <w:tcW w:w="599" w:type="dxa"/>
            <w:shd w:val="solid" w:color="FFFFFF" w:fill="auto"/>
            <w:tcMar>
              <w:top w:w="85" w:type="dxa"/>
              <w:left w:w="0" w:type="dxa"/>
              <w:bottom w:w="85" w:type="dxa"/>
              <w:right w:w="0" w:type="dxa"/>
            </w:tcMar>
          </w:tcPr>
          <w:p w:rsidR="00FC4E35" w:rsidRPr="00FC4E35" w:rsidRDefault="00FC4E35" w:rsidP="00836D4B">
            <w:pPr>
              <w:spacing w:after="0"/>
              <w:rPr>
                <w:lang w:val="en-US"/>
              </w:rPr>
            </w:pPr>
            <w:r w:rsidRPr="00FC4E35">
              <w:rPr>
                <w:lang w:val="en-US"/>
              </w:rPr>
              <w:t>Y.</w:t>
            </w:r>
          </w:p>
        </w:tc>
        <w:tc>
          <w:tcPr>
            <w:tcW w:w="9767" w:type="dxa"/>
            <w:shd w:val="solid" w:color="FFFFFF" w:fill="auto"/>
            <w:tcMar>
              <w:top w:w="85" w:type="dxa"/>
              <w:left w:w="80" w:type="dxa"/>
              <w:bottom w:w="85" w:type="dxa"/>
              <w:right w:w="80" w:type="dxa"/>
            </w:tcMar>
          </w:tcPr>
          <w:p w:rsidR="00FC4E35" w:rsidRPr="00FC4E35" w:rsidRDefault="00FC4E35" w:rsidP="00836D4B">
            <w:pPr>
              <w:spacing w:after="0"/>
              <w:rPr>
                <w:lang w:val="en-US"/>
              </w:rPr>
            </w:pPr>
            <w:r w:rsidRPr="00FC4E35">
              <w:rPr>
                <w:lang w:val="en-US"/>
              </w:rPr>
              <w:t>The decrease in proceeds from the sale of non-current assets of $0.03 million (100%) is due to no proceeds received during 2015.</w:t>
            </w:r>
          </w:p>
        </w:tc>
      </w:tr>
      <w:tr w:rsidR="00FC4E35" w:rsidRPr="00FC4E35" w:rsidTr="00836D4B">
        <w:trPr>
          <w:trHeight w:val="1020"/>
        </w:trPr>
        <w:tc>
          <w:tcPr>
            <w:tcW w:w="599" w:type="dxa"/>
            <w:shd w:val="solid" w:color="FFFFFF" w:fill="auto"/>
            <w:tcMar>
              <w:top w:w="85" w:type="dxa"/>
              <w:left w:w="0" w:type="dxa"/>
              <w:bottom w:w="85" w:type="dxa"/>
              <w:right w:w="0" w:type="dxa"/>
            </w:tcMar>
          </w:tcPr>
          <w:p w:rsidR="00FC4E35" w:rsidRPr="00FC4E35" w:rsidRDefault="00FC4E35" w:rsidP="00836D4B">
            <w:pPr>
              <w:spacing w:after="0"/>
              <w:rPr>
                <w:lang w:val="en-US"/>
              </w:rPr>
            </w:pPr>
            <w:r w:rsidRPr="00FC4E35">
              <w:rPr>
                <w:lang w:val="en-US"/>
              </w:rPr>
              <w:t>Z.</w:t>
            </w:r>
          </w:p>
        </w:tc>
        <w:tc>
          <w:tcPr>
            <w:tcW w:w="9767" w:type="dxa"/>
            <w:shd w:val="solid" w:color="FFFFFF" w:fill="auto"/>
            <w:tcMar>
              <w:top w:w="85" w:type="dxa"/>
              <w:left w:w="80" w:type="dxa"/>
              <w:bottom w:w="85" w:type="dxa"/>
              <w:right w:w="80" w:type="dxa"/>
            </w:tcMar>
          </w:tcPr>
          <w:p w:rsidR="00FC4E35" w:rsidRPr="00FC4E35" w:rsidRDefault="00FC4E35" w:rsidP="00836D4B">
            <w:pPr>
              <w:spacing w:after="0"/>
              <w:rPr>
                <w:lang w:val="en-US"/>
              </w:rPr>
            </w:pPr>
            <w:r w:rsidRPr="00FC4E35">
              <w:rPr>
                <w:lang w:val="en-US"/>
              </w:rPr>
              <w:t>The decrease in the payments for the purchase of non-current assets of $0.47 million (19.45%) is mainly due to reductions in capital expenditure on refurbishments of electorate offices.</w:t>
            </w:r>
          </w:p>
        </w:tc>
      </w:tr>
      <w:tr w:rsidR="00FC4E35" w:rsidRPr="00FC4E35" w:rsidTr="00836D4B">
        <w:trPr>
          <w:trHeight w:val="1048"/>
        </w:trPr>
        <w:tc>
          <w:tcPr>
            <w:tcW w:w="599" w:type="dxa"/>
            <w:shd w:val="solid" w:color="FFFFFF" w:fill="auto"/>
            <w:tcMar>
              <w:top w:w="85" w:type="dxa"/>
              <w:left w:w="0" w:type="dxa"/>
              <w:bottom w:w="85" w:type="dxa"/>
              <w:right w:w="0" w:type="dxa"/>
            </w:tcMar>
          </w:tcPr>
          <w:p w:rsidR="00FC4E35" w:rsidRPr="00FC4E35" w:rsidRDefault="00FC4E35" w:rsidP="00836D4B">
            <w:pPr>
              <w:spacing w:after="0"/>
              <w:rPr>
                <w:lang w:val="en-US"/>
              </w:rPr>
            </w:pPr>
            <w:r w:rsidRPr="00FC4E35">
              <w:rPr>
                <w:lang w:val="en-US"/>
              </w:rPr>
              <w:t>AA.</w:t>
            </w:r>
          </w:p>
        </w:tc>
        <w:tc>
          <w:tcPr>
            <w:tcW w:w="9767" w:type="dxa"/>
            <w:shd w:val="solid" w:color="FFFFFF" w:fill="auto"/>
            <w:tcMar>
              <w:top w:w="85" w:type="dxa"/>
              <w:left w:w="80" w:type="dxa"/>
              <w:bottom w:w="85" w:type="dxa"/>
              <w:right w:w="80" w:type="dxa"/>
            </w:tcMar>
          </w:tcPr>
          <w:p w:rsidR="00FC4E35" w:rsidRPr="00FC4E35" w:rsidRDefault="00FC4E35" w:rsidP="00836D4B">
            <w:pPr>
              <w:spacing w:after="0"/>
              <w:rPr>
                <w:lang w:val="en-US"/>
              </w:rPr>
            </w:pPr>
            <w:r w:rsidRPr="00FC4E35">
              <w:rPr>
                <w:lang w:val="en-US"/>
              </w:rPr>
              <w:t>The decrease in net movement of cash of $24.94 million (96.91%) is mainly due to appropriation received during 2014 for the Browse LNG precinct project of $30.9 million, transferred to a Trust account, that will not be expensed until 2017.</w:t>
            </w:r>
          </w:p>
        </w:tc>
      </w:tr>
      <w:tr w:rsidR="00FC4E35" w:rsidRPr="00FC4E35" w:rsidTr="00836D4B">
        <w:trPr>
          <w:trHeight w:val="1048"/>
        </w:trPr>
        <w:tc>
          <w:tcPr>
            <w:tcW w:w="599" w:type="dxa"/>
            <w:shd w:val="solid" w:color="FFFFFF" w:fill="auto"/>
            <w:tcMar>
              <w:top w:w="85" w:type="dxa"/>
              <w:left w:w="0" w:type="dxa"/>
              <w:bottom w:w="85" w:type="dxa"/>
              <w:right w:w="0" w:type="dxa"/>
            </w:tcMar>
          </w:tcPr>
          <w:p w:rsidR="00FC4E35" w:rsidRPr="00FC4E35" w:rsidRDefault="00FC4E35" w:rsidP="00836D4B">
            <w:pPr>
              <w:spacing w:after="0"/>
              <w:rPr>
                <w:lang w:val="en-US"/>
              </w:rPr>
            </w:pPr>
            <w:r w:rsidRPr="00FC4E35">
              <w:rPr>
                <w:lang w:val="en-US"/>
              </w:rPr>
              <w:t>AB.</w:t>
            </w:r>
          </w:p>
        </w:tc>
        <w:tc>
          <w:tcPr>
            <w:tcW w:w="9767" w:type="dxa"/>
            <w:shd w:val="solid" w:color="FFFFFF" w:fill="auto"/>
            <w:tcMar>
              <w:top w:w="85" w:type="dxa"/>
              <w:left w:w="80" w:type="dxa"/>
              <w:bottom w:w="85" w:type="dxa"/>
              <w:right w:w="80" w:type="dxa"/>
            </w:tcMar>
          </w:tcPr>
          <w:p w:rsidR="00FC4E35" w:rsidRPr="00FC4E35" w:rsidRDefault="00FC4E35" w:rsidP="00836D4B">
            <w:pPr>
              <w:spacing w:after="0"/>
              <w:rPr>
                <w:lang w:val="en-US"/>
              </w:rPr>
            </w:pPr>
            <w:r w:rsidRPr="00FC4E35">
              <w:rPr>
                <w:lang w:val="en-US"/>
              </w:rPr>
              <w:t>The increase in opening cash balances of $25.72 million (67.19%) is mainly due to appropriation received during 2014 for the Browse LNG precinct project, transferred to a Trust account, that will not be expensed until 2017.</w:t>
            </w:r>
          </w:p>
        </w:tc>
      </w:tr>
      <w:tr w:rsidR="00FC4E35" w:rsidRPr="00FC4E35" w:rsidTr="00836D4B">
        <w:trPr>
          <w:trHeight w:val="1048"/>
        </w:trPr>
        <w:tc>
          <w:tcPr>
            <w:tcW w:w="599" w:type="dxa"/>
            <w:shd w:val="solid" w:color="FFFFFF" w:fill="auto"/>
            <w:tcMar>
              <w:top w:w="85" w:type="dxa"/>
              <w:left w:w="0" w:type="dxa"/>
              <w:bottom w:w="85" w:type="dxa"/>
              <w:right w:w="0" w:type="dxa"/>
            </w:tcMar>
          </w:tcPr>
          <w:p w:rsidR="00FC4E35" w:rsidRPr="00FC4E35" w:rsidRDefault="00FC4E35" w:rsidP="00836D4B">
            <w:pPr>
              <w:spacing w:after="0"/>
              <w:rPr>
                <w:lang w:val="en-US"/>
              </w:rPr>
            </w:pPr>
            <w:r w:rsidRPr="00FC4E35">
              <w:rPr>
                <w:lang w:val="en-US"/>
              </w:rPr>
              <w:t>AC.</w:t>
            </w:r>
          </w:p>
        </w:tc>
        <w:tc>
          <w:tcPr>
            <w:tcW w:w="9767" w:type="dxa"/>
            <w:shd w:val="solid" w:color="FFFFFF" w:fill="auto"/>
            <w:tcMar>
              <w:top w:w="85" w:type="dxa"/>
              <w:left w:w="80" w:type="dxa"/>
              <w:bottom w:w="85" w:type="dxa"/>
              <w:right w:w="80" w:type="dxa"/>
            </w:tcMar>
          </w:tcPr>
          <w:p w:rsidR="00FC4E35" w:rsidRPr="00FC4E35" w:rsidRDefault="00FC4E35" w:rsidP="00836D4B">
            <w:pPr>
              <w:spacing w:after="0"/>
              <w:rPr>
                <w:lang w:val="en-US"/>
              </w:rPr>
            </w:pPr>
            <w:r w:rsidRPr="00FC4E35">
              <w:rPr>
                <w:lang w:val="en-US"/>
              </w:rPr>
              <w:t xml:space="preserve">The small increase in cash balances held in foreign currency from the effects of exchange rate changes of $0.05 million (240%) is due to movements in exchange rates for the </w:t>
            </w:r>
            <w:r w:rsidRPr="00FC4E35">
              <w:rPr>
                <w:lang w:val="en-US"/>
              </w:rPr>
              <w:br/>
              <w:t>three overseas offices.</w:t>
            </w:r>
          </w:p>
        </w:tc>
      </w:tr>
    </w:tbl>
    <w:p w:rsidR="00FC4E35" w:rsidRPr="00836D4B" w:rsidRDefault="00FC4E35" w:rsidP="00AE75A9">
      <w:pPr>
        <w:pStyle w:val="Heading4"/>
        <w:numPr>
          <w:ilvl w:val="0"/>
          <w:numId w:val="76"/>
        </w:numPr>
      </w:pPr>
      <w:r w:rsidRPr="00836D4B">
        <w:t>Special purpose accounts</w:t>
      </w:r>
    </w:p>
    <w:p w:rsidR="00FC4E35" w:rsidRPr="00FC4E35" w:rsidRDefault="00FC4E35" w:rsidP="00836D4B">
      <w:pPr>
        <w:pStyle w:val="Heading5"/>
        <w:rPr>
          <w:color w:val="000000"/>
          <w:lang w:val="en-US"/>
        </w:rPr>
      </w:pPr>
      <w:r w:rsidRPr="00FC4E35">
        <w:rPr>
          <w:lang w:val="en-US"/>
        </w:rPr>
        <w:t>The Gerald Frank Brown Memorial Trust</w:t>
      </w:r>
    </w:p>
    <w:p w:rsidR="00FC4E35" w:rsidRPr="00836D4B" w:rsidRDefault="00FC4E35" w:rsidP="00836D4B">
      <w:pPr>
        <w:rPr>
          <w:lang w:val="en-US"/>
        </w:rPr>
      </w:pPr>
      <w:r w:rsidRPr="00836D4B">
        <w:rPr>
          <w:lang w:val="en-US"/>
        </w:rPr>
        <w:t>Purpose of the Trust</w:t>
      </w:r>
    </w:p>
    <w:p w:rsidR="00FC4E35" w:rsidRPr="00FC4E35" w:rsidRDefault="00FC4E35" w:rsidP="00836D4B">
      <w:pPr>
        <w:rPr>
          <w:lang w:val="en-US"/>
        </w:rPr>
      </w:pPr>
      <w:r w:rsidRPr="00FC4E35">
        <w:rPr>
          <w:lang w:val="en-US"/>
        </w:rPr>
        <w:t>To hold money:</w:t>
      </w:r>
    </w:p>
    <w:p w:rsidR="00FC4E35" w:rsidRPr="00836D4B" w:rsidRDefault="00FC4E35" w:rsidP="00AE75A9">
      <w:pPr>
        <w:pStyle w:val="ListParagraph"/>
        <w:numPr>
          <w:ilvl w:val="0"/>
          <w:numId w:val="90"/>
        </w:numPr>
        <w:rPr>
          <w:lang w:val="en-US"/>
        </w:rPr>
      </w:pPr>
      <w:r w:rsidRPr="00836D4B">
        <w:rPr>
          <w:lang w:val="en-US"/>
        </w:rPr>
        <w:t>bequeathed to the Government of Western Australia by Gerald Frank Brown and subsequently appropriated by Parliament;  and</w:t>
      </w:r>
    </w:p>
    <w:p w:rsidR="00FC4E35" w:rsidRPr="00836D4B" w:rsidRDefault="00FC4E35" w:rsidP="00AE75A9">
      <w:pPr>
        <w:pStyle w:val="ListParagraph"/>
        <w:numPr>
          <w:ilvl w:val="0"/>
          <w:numId w:val="90"/>
        </w:numPr>
        <w:rPr>
          <w:lang w:val="en-US"/>
        </w:rPr>
      </w:pPr>
      <w:r w:rsidRPr="00836D4B">
        <w:rPr>
          <w:lang w:val="en-US"/>
        </w:rPr>
        <w:t>received from private organisations and persons for the provision of scholarships and studentships to young persons from the European Union to visit Western Australia and/or young persons from Western Australia to visit countries within the European Union to undertake approved educational activities for the purpose of promoting and enhancing the social, cultural, historical and economic ties between Western Australia and Europe.</w:t>
      </w:r>
    </w:p>
    <w:tbl>
      <w:tblPr>
        <w:tblW w:w="8804" w:type="dxa"/>
        <w:tblInd w:w="93" w:type="dxa"/>
        <w:tblLook w:val="04A0" w:firstRow="1" w:lastRow="0" w:firstColumn="1" w:lastColumn="0" w:noHBand="0" w:noVBand="1"/>
      </w:tblPr>
      <w:tblGrid>
        <w:gridCol w:w="6536"/>
        <w:gridCol w:w="1134"/>
        <w:gridCol w:w="1134"/>
      </w:tblGrid>
      <w:tr w:rsidR="00836D4B" w:rsidRPr="00836D4B" w:rsidTr="00836D4B">
        <w:trPr>
          <w:trHeight w:val="570"/>
        </w:trPr>
        <w:tc>
          <w:tcPr>
            <w:tcW w:w="6536" w:type="dxa"/>
            <w:tcBorders>
              <w:top w:val="nil"/>
              <w:left w:val="nil"/>
              <w:bottom w:val="nil"/>
              <w:right w:val="nil"/>
            </w:tcBorders>
            <w:shd w:val="clear" w:color="auto" w:fill="auto"/>
            <w:vAlign w:val="center"/>
            <w:hideMark/>
          </w:tcPr>
          <w:p w:rsidR="00836D4B" w:rsidRPr="00836D4B" w:rsidRDefault="00836D4B" w:rsidP="00836D4B">
            <w:pPr>
              <w:spacing w:after="0"/>
              <w:rPr>
                <w:b/>
                <w:lang w:eastAsia="en-AU"/>
              </w:rPr>
            </w:pPr>
          </w:p>
        </w:tc>
        <w:tc>
          <w:tcPr>
            <w:tcW w:w="1134" w:type="dxa"/>
            <w:tcBorders>
              <w:top w:val="nil"/>
              <w:left w:val="nil"/>
              <w:bottom w:val="nil"/>
              <w:right w:val="nil"/>
            </w:tcBorders>
            <w:shd w:val="clear" w:color="auto" w:fill="F2F2F2" w:themeFill="background1" w:themeFillShade="F2"/>
            <w:vAlign w:val="center"/>
            <w:hideMark/>
          </w:tcPr>
          <w:p w:rsidR="00836D4B" w:rsidRPr="00836D4B" w:rsidRDefault="00836D4B" w:rsidP="00836D4B">
            <w:pPr>
              <w:spacing w:after="0"/>
              <w:jc w:val="right"/>
              <w:rPr>
                <w:b/>
                <w:lang w:eastAsia="en-AU"/>
              </w:rPr>
            </w:pPr>
            <w:r w:rsidRPr="00836D4B">
              <w:rPr>
                <w:b/>
                <w:lang w:eastAsia="en-AU"/>
              </w:rPr>
              <w:t>2015 $000</w:t>
            </w:r>
          </w:p>
        </w:tc>
        <w:tc>
          <w:tcPr>
            <w:tcW w:w="1134" w:type="dxa"/>
            <w:tcBorders>
              <w:top w:val="nil"/>
              <w:left w:val="nil"/>
              <w:bottom w:val="nil"/>
              <w:right w:val="nil"/>
            </w:tcBorders>
            <w:shd w:val="clear" w:color="auto" w:fill="auto"/>
            <w:vAlign w:val="center"/>
            <w:hideMark/>
          </w:tcPr>
          <w:p w:rsidR="00836D4B" w:rsidRPr="00836D4B" w:rsidRDefault="00836D4B" w:rsidP="00836D4B">
            <w:pPr>
              <w:spacing w:after="0"/>
              <w:jc w:val="right"/>
              <w:rPr>
                <w:b/>
                <w:lang w:eastAsia="en-AU"/>
              </w:rPr>
            </w:pPr>
            <w:r w:rsidRPr="00836D4B">
              <w:rPr>
                <w:b/>
                <w:lang w:eastAsia="en-AU"/>
              </w:rPr>
              <w:t>2014 $000</w:t>
            </w:r>
          </w:p>
        </w:tc>
      </w:tr>
      <w:tr w:rsidR="00836D4B" w:rsidRPr="00836D4B" w:rsidTr="00836D4B">
        <w:trPr>
          <w:trHeight w:val="285"/>
        </w:trPr>
        <w:tc>
          <w:tcPr>
            <w:tcW w:w="6536" w:type="dxa"/>
            <w:tcBorders>
              <w:top w:val="nil"/>
              <w:left w:val="nil"/>
              <w:bottom w:val="nil"/>
              <w:right w:val="nil"/>
            </w:tcBorders>
            <w:shd w:val="clear" w:color="auto" w:fill="auto"/>
            <w:vAlign w:val="center"/>
            <w:hideMark/>
          </w:tcPr>
          <w:p w:rsidR="00836D4B" w:rsidRPr="00836D4B" w:rsidRDefault="00836D4B" w:rsidP="00836D4B">
            <w:pPr>
              <w:spacing w:after="0"/>
              <w:rPr>
                <w:lang w:eastAsia="en-AU"/>
              </w:rPr>
            </w:pPr>
            <w:r w:rsidRPr="00836D4B">
              <w:rPr>
                <w:lang w:eastAsia="en-AU"/>
              </w:rPr>
              <w:t>Balance at the start of the year</w:t>
            </w:r>
          </w:p>
        </w:tc>
        <w:tc>
          <w:tcPr>
            <w:tcW w:w="1134" w:type="dxa"/>
            <w:tcBorders>
              <w:top w:val="nil"/>
              <w:left w:val="nil"/>
              <w:bottom w:val="nil"/>
              <w:right w:val="nil"/>
            </w:tcBorders>
            <w:shd w:val="clear" w:color="auto" w:fill="F2F2F2" w:themeFill="background1" w:themeFillShade="F2"/>
            <w:noWrap/>
            <w:vAlign w:val="center"/>
            <w:hideMark/>
          </w:tcPr>
          <w:p w:rsidR="00836D4B" w:rsidRPr="00836D4B" w:rsidRDefault="00836D4B" w:rsidP="00836D4B">
            <w:pPr>
              <w:spacing w:after="0"/>
              <w:jc w:val="right"/>
              <w:rPr>
                <w:lang w:eastAsia="en-AU"/>
              </w:rPr>
            </w:pPr>
            <w:r w:rsidRPr="00836D4B">
              <w:rPr>
                <w:lang w:eastAsia="en-AU"/>
              </w:rPr>
              <w:t>214</w:t>
            </w:r>
          </w:p>
        </w:tc>
        <w:tc>
          <w:tcPr>
            <w:tcW w:w="1134" w:type="dxa"/>
            <w:tcBorders>
              <w:top w:val="nil"/>
              <w:left w:val="nil"/>
              <w:bottom w:val="nil"/>
              <w:right w:val="nil"/>
            </w:tcBorders>
            <w:shd w:val="clear" w:color="auto" w:fill="auto"/>
            <w:noWrap/>
            <w:vAlign w:val="center"/>
            <w:hideMark/>
          </w:tcPr>
          <w:p w:rsidR="00836D4B" w:rsidRPr="00836D4B" w:rsidRDefault="00836D4B" w:rsidP="00836D4B">
            <w:pPr>
              <w:spacing w:after="0"/>
              <w:jc w:val="right"/>
              <w:rPr>
                <w:lang w:eastAsia="en-AU"/>
              </w:rPr>
            </w:pPr>
            <w:r w:rsidRPr="00836D4B">
              <w:rPr>
                <w:lang w:eastAsia="en-AU"/>
              </w:rPr>
              <w:t>201</w:t>
            </w:r>
          </w:p>
        </w:tc>
      </w:tr>
      <w:tr w:rsidR="00836D4B" w:rsidRPr="00836D4B" w:rsidTr="00836D4B">
        <w:trPr>
          <w:trHeight w:val="285"/>
        </w:trPr>
        <w:tc>
          <w:tcPr>
            <w:tcW w:w="6536" w:type="dxa"/>
            <w:tcBorders>
              <w:top w:val="nil"/>
              <w:left w:val="nil"/>
              <w:bottom w:val="nil"/>
              <w:right w:val="nil"/>
            </w:tcBorders>
            <w:shd w:val="clear" w:color="auto" w:fill="auto"/>
            <w:vAlign w:val="center"/>
            <w:hideMark/>
          </w:tcPr>
          <w:p w:rsidR="00836D4B" w:rsidRPr="00836D4B" w:rsidRDefault="00836D4B" w:rsidP="00836D4B">
            <w:pPr>
              <w:spacing w:after="0"/>
              <w:rPr>
                <w:lang w:eastAsia="en-AU"/>
              </w:rPr>
            </w:pPr>
            <w:r w:rsidRPr="00836D4B">
              <w:rPr>
                <w:lang w:eastAsia="en-AU"/>
              </w:rPr>
              <w:t>Receipts</w:t>
            </w:r>
          </w:p>
        </w:tc>
        <w:tc>
          <w:tcPr>
            <w:tcW w:w="1134" w:type="dxa"/>
            <w:tcBorders>
              <w:top w:val="nil"/>
              <w:left w:val="nil"/>
              <w:bottom w:val="nil"/>
              <w:right w:val="nil"/>
            </w:tcBorders>
            <w:shd w:val="clear" w:color="auto" w:fill="F2F2F2" w:themeFill="background1" w:themeFillShade="F2"/>
            <w:noWrap/>
            <w:vAlign w:val="center"/>
            <w:hideMark/>
          </w:tcPr>
          <w:p w:rsidR="00836D4B" w:rsidRPr="00836D4B" w:rsidRDefault="00836D4B" w:rsidP="00836D4B">
            <w:pPr>
              <w:spacing w:after="0"/>
              <w:jc w:val="right"/>
              <w:rPr>
                <w:lang w:eastAsia="en-AU"/>
              </w:rPr>
            </w:pPr>
            <w:r w:rsidRPr="00836D4B">
              <w:rPr>
                <w:lang w:eastAsia="en-AU"/>
              </w:rPr>
              <w:t>-</w:t>
            </w:r>
          </w:p>
        </w:tc>
        <w:tc>
          <w:tcPr>
            <w:tcW w:w="1134" w:type="dxa"/>
            <w:tcBorders>
              <w:top w:val="nil"/>
              <w:left w:val="nil"/>
              <w:bottom w:val="nil"/>
              <w:right w:val="nil"/>
            </w:tcBorders>
            <w:shd w:val="clear" w:color="auto" w:fill="auto"/>
            <w:noWrap/>
            <w:vAlign w:val="center"/>
            <w:hideMark/>
          </w:tcPr>
          <w:p w:rsidR="00836D4B" w:rsidRPr="00836D4B" w:rsidRDefault="00836D4B" w:rsidP="00836D4B">
            <w:pPr>
              <w:spacing w:after="0"/>
              <w:jc w:val="right"/>
              <w:rPr>
                <w:lang w:eastAsia="en-AU"/>
              </w:rPr>
            </w:pPr>
            <w:r w:rsidRPr="00836D4B">
              <w:rPr>
                <w:lang w:eastAsia="en-AU"/>
              </w:rPr>
              <w:t>1</w:t>
            </w:r>
          </w:p>
        </w:tc>
      </w:tr>
      <w:tr w:rsidR="00836D4B" w:rsidRPr="00836D4B" w:rsidTr="00836D4B">
        <w:trPr>
          <w:trHeight w:val="285"/>
        </w:trPr>
        <w:tc>
          <w:tcPr>
            <w:tcW w:w="6536" w:type="dxa"/>
            <w:tcBorders>
              <w:top w:val="nil"/>
              <w:left w:val="nil"/>
              <w:bottom w:val="nil"/>
              <w:right w:val="nil"/>
            </w:tcBorders>
            <w:shd w:val="clear" w:color="auto" w:fill="auto"/>
            <w:vAlign w:val="center"/>
            <w:hideMark/>
          </w:tcPr>
          <w:p w:rsidR="00836D4B" w:rsidRPr="00836D4B" w:rsidRDefault="00836D4B" w:rsidP="00836D4B">
            <w:pPr>
              <w:spacing w:after="0"/>
              <w:rPr>
                <w:lang w:eastAsia="en-AU"/>
              </w:rPr>
            </w:pPr>
            <w:r w:rsidRPr="00836D4B">
              <w:rPr>
                <w:lang w:eastAsia="en-AU"/>
              </w:rPr>
              <w:t>Payments</w:t>
            </w:r>
          </w:p>
        </w:tc>
        <w:tc>
          <w:tcPr>
            <w:tcW w:w="1134" w:type="dxa"/>
            <w:tcBorders>
              <w:top w:val="nil"/>
              <w:left w:val="nil"/>
              <w:bottom w:val="nil"/>
              <w:right w:val="nil"/>
            </w:tcBorders>
            <w:shd w:val="clear" w:color="auto" w:fill="F2F2F2" w:themeFill="background1" w:themeFillShade="F2"/>
            <w:noWrap/>
            <w:vAlign w:val="center"/>
            <w:hideMark/>
          </w:tcPr>
          <w:p w:rsidR="00836D4B" w:rsidRPr="00836D4B" w:rsidRDefault="00836D4B" w:rsidP="00836D4B">
            <w:pPr>
              <w:spacing w:after="0"/>
              <w:jc w:val="right"/>
              <w:rPr>
                <w:lang w:eastAsia="en-AU"/>
              </w:rPr>
            </w:pPr>
            <w:r w:rsidRPr="00836D4B">
              <w:rPr>
                <w:lang w:eastAsia="en-AU"/>
              </w:rPr>
              <w:t>-5</w:t>
            </w:r>
          </w:p>
        </w:tc>
        <w:tc>
          <w:tcPr>
            <w:tcW w:w="1134" w:type="dxa"/>
            <w:tcBorders>
              <w:top w:val="nil"/>
              <w:left w:val="nil"/>
              <w:bottom w:val="nil"/>
              <w:right w:val="nil"/>
            </w:tcBorders>
            <w:shd w:val="clear" w:color="auto" w:fill="auto"/>
            <w:noWrap/>
            <w:vAlign w:val="center"/>
            <w:hideMark/>
          </w:tcPr>
          <w:p w:rsidR="00836D4B" w:rsidRPr="00836D4B" w:rsidRDefault="00836D4B" w:rsidP="00836D4B">
            <w:pPr>
              <w:spacing w:after="0"/>
              <w:jc w:val="right"/>
              <w:rPr>
                <w:lang w:eastAsia="en-AU"/>
              </w:rPr>
            </w:pPr>
            <w:r w:rsidRPr="00836D4B">
              <w:rPr>
                <w:lang w:eastAsia="en-AU"/>
              </w:rPr>
              <w:t>-8</w:t>
            </w:r>
          </w:p>
        </w:tc>
      </w:tr>
      <w:tr w:rsidR="00836D4B" w:rsidRPr="00836D4B" w:rsidTr="00836D4B">
        <w:trPr>
          <w:trHeight w:val="285"/>
        </w:trPr>
        <w:tc>
          <w:tcPr>
            <w:tcW w:w="6536" w:type="dxa"/>
            <w:tcBorders>
              <w:top w:val="nil"/>
              <w:left w:val="nil"/>
              <w:bottom w:val="nil"/>
              <w:right w:val="nil"/>
            </w:tcBorders>
            <w:shd w:val="clear" w:color="auto" w:fill="auto"/>
            <w:vAlign w:val="center"/>
            <w:hideMark/>
          </w:tcPr>
          <w:p w:rsidR="00836D4B" w:rsidRPr="00836D4B" w:rsidRDefault="00836D4B" w:rsidP="00836D4B">
            <w:pPr>
              <w:spacing w:after="0"/>
              <w:rPr>
                <w:lang w:eastAsia="en-AU"/>
              </w:rPr>
            </w:pPr>
            <w:r w:rsidRPr="00836D4B">
              <w:rPr>
                <w:lang w:eastAsia="en-AU"/>
              </w:rPr>
              <w:t>Unrealised gain/(loss) on translation</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836D4B" w:rsidRPr="00836D4B" w:rsidRDefault="00836D4B" w:rsidP="00836D4B">
            <w:pPr>
              <w:spacing w:after="0"/>
              <w:jc w:val="right"/>
              <w:rPr>
                <w:lang w:eastAsia="en-AU"/>
              </w:rPr>
            </w:pPr>
            <w:r w:rsidRPr="00836D4B">
              <w:rPr>
                <w:lang w:eastAsia="en-AU"/>
              </w:rPr>
              <w:t>25</w:t>
            </w:r>
          </w:p>
        </w:tc>
        <w:tc>
          <w:tcPr>
            <w:tcW w:w="1134" w:type="dxa"/>
            <w:tcBorders>
              <w:top w:val="nil"/>
              <w:left w:val="nil"/>
              <w:bottom w:val="single" w:sz="4" w:space="0" w:color="auto"/>
              <w:right w:val="nil"/>
            </w:tcBorders>
            <w:shd w:val="clear" w:color="auto" w:fill="auto"/>
            <w:noWrap/>
            <w:vAlign w:val="center"/>
            <w:hideMark/>
          </w:tcPr>
          <w:p w:rsidR="00836D4B" w:rsidRPr="00836D4B" w:rsidRDefault="00836D4B" w:rsidP="00836D4B">
            <w:pPr>
              <w:spacing w:after="0"/>
              <w:jc w:val="right"/>
              <w:rPr>
                <w:lang w:eastAsia="en-AU"/>
              </w:rPr>
            </w:pPr>
            <w:r w:rsidRPr="00836D4B">
              <w:rPr>
                <w:lang w:eastAsia="en-AU"/>
              </w:rPr>
              <w:t>20</w:t>
            </w:r>
          </w:p>
        </w:tc>
      </w:tr>
      <w:tr w:rsidR="00836D4B" w:rsidRPr="00836D4B" w:rsidTr="00836D4B">
        <w:trPr>
          <w:trHeight w:val="285"/>
        </w:trPr>
        <w:tc>
          <w:tcPr>
            <w:tcW w:w="6536" w:type="dxa"/>
            <w:tcBorders>
              <w:top w:val="nil"/>
              <w:left w:val="nil"/>
              <w:bottom w:val="nil"/>
              <w:right w:val="nil"/>
            </w:tcBorders>
            <w:shd w:val="clear" w:color="auto" w:fill="auto"/>
            <w:vAlign w:val="center"/>
            <w:hideMark/>
          </w:tcPr>
          <w:p w:rsidR="00836D4B" w:rsidRPr="00836D4B" w:rsidRDefault="00836D4B" w:rsidP="00836D4B">
            <w:pPr>
              <w:spacing w:after="0"/>
              <w:rPr>
                <w:lang w:eastAsia="en-AU"/>
              </w:rPr>
            </w:pPr>
            <w:r w:rsidRPr="00836D4B">
              <w:rPr>
                <w:lang w:eastAsia="en-AU"/>
              </w:rPr>
              <w:t>Balance at the end of the year</w:t>
            </w:r>
          </w:p>
        </w:tc>
        <w:tc>
          <w:tcPr>
            <w:tcW w:w="1134" w:type="dxa"/>
            <w:tcBorders>
              <w:top w:val="single" w:sz="4" w:space="0" w:color="auto"/>
              <w:left w:val="nil"/>
              <w:bottom w:val="double" w:sz="4" w:space="0" w:color="auto"/>
              <w:right w:val="nil"/>
            </w:tcBorders>
            <w:shd w:val="clear" w:color="auto" w:fill="F2F2F2" w:themeFill="background1" w:themeFillShade="F2"/>
            <w:noWrap/>
            <w:vAlign w:val="center"/>
            <w:hideMark/>
          </w:tcPr>
          <w:p w:rsidR="00836D4B" w:rsidRPr="00836D4B" w:rsidRDefault="00836D4B" w:rsidP="00836D4B">
            <w:pPr>
              <w:spacing w:after="0"/>
              <w:jc w:val="right"/>
              <w:rPr>
                <w:lang w:eastAsia="en-AU"/>
              </w:rPr>
            </w:pPr>
            <w:r w:rsidRPr="00836D4B">
              <w:rPr>
                <w:lang w:eastAsia="en-AU"/>
              </w:rPr>
              <w:t>234</w:t>
            </w:r>
          </w:p>
        </w:tc>
        <w:tc>
          <w:tcPr>
            <w:tcW w:w="1134" w:type="dxa"/>
            <w:tcBorders>
              <w:top w:val="single" w:sz="4" w:space="0" w:color="auto"/>
              <w:left w:val="nil"/>
              <w:bottom w:val="double" w:sz="4" w:space="0" w:color="auto"/>
              <w:right w:val="nil"/>
            </w:tcBorders>
            <w:shd w:val="clear" w:color="auto" w:fill="auto"/>
            <w:noWrap/>
            <w:vAlign w:val="center"/>
            <w:hideMark/>
          </w:tcPr>
          <w:p w:rsidR="00836D4B" w:rsidRPr="00836D4B" w:rsidRDefault="00836D4B" w:rsidP="00836D4B">
            <w:pPr>
              <w:spacing w:after="0"/>
              <w:jc w:val="right"/>
              <w:rPr>
                <w:lang w:eastAsia="en-AU"/>
              </w:rPr>
            </w:pPr>
            <w:r w:rsidRPr="00836D4B">
              <w:rPr>
                <w:lang w:eastAsia="en-AU"/>
              </w:rPr>
              <w:t>214</w:t>
            </w:r>
          </w:p>
        </w:tc>
      </w:tr>
    </w:tbl>
    <w:p w:rsidR="00FC4E35" w:rsidRDefault="00FC4E35" w:rsidP="00836D4B">
      <w:pPr>
        <w:rPr>
          <w:lang w:val="en-US"/>
        </w:rPr>
      </w:pPr>
    </w:p>
    <w:p w:rsidR="00FC4E35" w:rsidRPr="00FC4E35" w:rsidRDefault="00FC4E35" w:rsidP="00836D4B">
      <w:pPr>
        <w:rPr>
          <w:lang w:val="en-US"/>
        </w:rPr>
      </w:pPr>
      <w:r w:rsidRPr="00FC4E35">
        <w:rPr>
          <w:lang w:val="en-US"/>
        </w:rPr>
        <w:t xml:space="preserve">Overseas transactions have been translated in accordance with </w:t>
      </w:r>
      <w:r w:rsidRPr="00FC4E35">
        <w:rPr>
          <w:i/>
          <w:iCs/>
          <w:lang w:val="en-US"/>
        </w:rPr>
        <w:t>AASB 121 ‘The Effects of Changes in Foreign Exchange Rates’</w:t>
      </w:r>
      <w:r w:rsidRPr="00FC4E35">
        <w:rPr>
          <w:lang w:val="en-US"/>
        </w:rPr>
        <w:t>.</w:t>
      </w:r>
    </w:p>
    <w:p w:rsidR="00FC4E35" w:rsidRPr="00FC4E35" w:rsidRDefault="00FC4E35" w:rsidP="00836D4B">
      <w:pPr>
        <w:pStyle w:val="Heading5"/>
        <w:rPr>
          <w:color w:val="000000"/>
          <w:lang w:val="en-US"/>
        </w:rPr>
      </w:pPr>
      <w:r w:rsidRPr="00FC4E35">
        <w:rPr>
          <w:lang w:val="en-US"/>
        </w:rPr>
        <w:t>Murchison Radio-astronomy Observatory ILUA - Benefits Package</w:t>
      </w:r>
    </w:p>
    <w:p w:rsidR="00FC4E35" w:rsidRPr="00836D4B" w:rsidRDefault="00FC4E35" w:rsidP="00836D4B">
      <w:pPr>
        <w:rPr>
          <w:u w:val="single"/>
          <w:lang w:val="en-US"/>
        </w:rPr>
      </w:pPr>
      <w:r w:rsidRPr="00836D4B">
        <w:rPr>
          <w:u w:val="single"/>
          <w:lang w:val="en-US"/>
        </w:rPr>
        <w:t>Purpose of the Trust</w:t>
      </w:r>
    </w:p>
    <w:p w:rsidR="00FC4E35" w:rsidRPr="00FC4E35" w:rsidRDefault="00FC4E35" w:rsidP="00836D4B">
      <w:pPr>
        <w:rPr>
          <w:lang w:val="en-US"/>
        </w:rPr>
      </w:pPr>
      <w:r w:rsidRPr="00FC4E35">
        <w:rPr>
          <w:lang w:val="en-US"/>
        </w:rPr>
        <w:t>The purpose of this account is to hold moneys on behalf of the WY Claim Group pending execution of a Trust Deed under the Murchison Radio-astronomy Indigenous Land Use Agreement.</w:t>
      </w:r>
    </w:p>
    <w:tbl>
      <w:tblPr>
        <w:tblW w:w="8804" w:type="dxa"/>
        <w:tblInd w:w="93" w:type="dxa"/>
        <w:tblLook w:val="04A0" w:firstRow="1" w:lastRow="0" w:firstColumn="1" w:lastColumn="0" w:noHBand="0" w:noVBand="1"/>
      </w:tblPr>
      <w:tblGrid>
        <w:gridCol w:w="6536"/>
        <w:gridCol w:w="1134"/>
        <w:gridCol w:w="1134"/>
      </w:tblGrid>
      <w:tr w:rsidR="001F663B" w:rsidRPr="001F663B" w:rsidTr="001F663B">
        <w:trPr>
          <w:trHeight w:val="570"/>
        </w:trPr>
        <w:tc>
          <w:tcPr>
            <w:tcW w:w="6536" w:type="dxa"/>
            <w:tcBorders>
              <w:top w:val="nil"/>
              <w:left w:val="nil"/>
              <w:bottom w:val="nil"/>
              <w:right w:val="nil"/>
            </w:tcBorders>
            <w:shd w:val="clear" w:color="auto" w:fill="auto"/>
            <w:vAlign w:val="bottom"/>
            <w:hideMark/>
          </w:tcPr>
          <w:p w:rsidR="001F663B" w:rsidRPr="001F663B" w:rsidRDefault="001F663B" w:rsidP="001F663B">
            <w:pPr>
              <w:spacing w:after="0"/>
              <w:rPr>
                <w:lang w:eastAsia="en-AU"/>
              </w:rPr>
            </w:pPr>
          </w:p>
        </w:tc>
        <w:tc>
          <w:tcPr>
            <w:tcW w:w="1134" w:type="dxa"/>
            <w:tcBorders>
              <w:top w:val="nil"/>
              <w:left w:val="nil"/>
              <w:bottom w:val="nil"/>
              <w:right w:val="nil"/>
            </w:tcBorders>
            <w:shd w:val="clear" w:color="auto" w:fill="auto"/>
            <w:vAlign w:val="bottom"/>
            <w:hideMark/>
          </w:tcPr>
          <w:p w:rsidR="001F663B" w:rsidRPr="001F663B" w:rsidRDefault="001F663B" w:rsidP="001F663B">
            <w:pPr>
              <w:spacing w:after="0"/>
              <w:jc w:val="right"/>
              <w:rPr>
                <w:lang w:eastAsia="en-AU"/>
              </w:rPr>
            </w:pPr>
            <w:r w:rsidRPr="001F663B">
              <w:rPr>
                <w:lang w:eastAsia="en-AU"/>
              </w:rPr>
              <w:t>2015 $000</w:t>
            </w:r>
          </w:p>
        </w:tc>
        <w:tc>
          <w:tcPr>
            <w:tcW w:w="1134" w:type="dxa"/>
            <w:tcBorders>
              <w:top w:val="nil"/>
              <w:left w:val="nil"/>
              <w:bottom w:val="nil"/>
              <w:right w:val="nil"/>
            </w:tcBorders>
            <w:shd w:val="clear" w:color="auto" w:fill="auto"/>
            <w:vAlign w:val="bottom"/>
            <w:hideMark/>
          </w:tcPr>
          <w:p w:rsidR="001F663B" w:rsidRPr="001F663B" w:rsidRDefault="001F663B" w:rsidP="001F663B">
            <w:pPr>
              <w:spacing w:after="0"/>
              <w:jc w:val="right"/>
              <w:rPr>
                <w:lang w:eastAsia="en-AU"/>
              </w:rPr>
            </w:pPr>
            <w:r w:rsidRPr="001F663B">
              <w:rPr>
                <w:lang w:eastAsia="en-AU"/>
              </w:rPr>
              <w:t>2014 $000</w:t>
            </w:r>
          </w:p>
        </w:tc>
      </w:tr>
      <w:tr w:rsidR="001F663B" w:rsidRPr="001F663B" w:rsidTr="001F663B">
        <w:trPr>
          <w:trHeight w:val="285"/>
        </w:trPr>
        <w:tc>
          <w:tcPr>
            <w:tcW w:w="6536" w:type="dxa"/>
            <w:tcBorders>
              <w:top w:val="nil"/>
              <w:left w:val="nil"/>
              <w:bottom w:val="nil"/>
              <w:right w:val="nil"/>
            </w:tcBorders>
            <w:shd w:val="clear" w:color="auto" w:fill="auto"/>
            <w:vAlign w:val="bottom"/>
            <w:hideMark/>
          </w:tcPr>
          <w:p w:rsidR="001F663B" w:rsidRPr="001F663B" w:rsidRDefault="001F663B" w:rsidP="001F663B">
            <w:pPr>
              <w:spacing w:after="0"/>
              <w:rPr>
                <w:lang w:eastAsia="en-AU"/>
              </w:rPr>
            </w:pPr>
            <w:r w:rsidRPr="001F663B">
              <w:rPr>
                <w:lang w:eastAsia="en-AU"/>
              </w:rPr>
              <w:t>Balance at the start of the year</w:t>
            </w:r>
          </w:p>
        </w:tc>
        <w:tc>
          <w:tcPr>
            <w:tcW w:w="1134" w:type="dxa"/>
            <w:tcBorders>
              <w:top w:val="nil"/>
              <w:left w:val="nil"/>
              <w:bottom w:val="nil"/>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w:t>
            </w:r>
          </w:p>
        </w:tc>
        <w:tc>
          <w:tcPr>
            <w:tcW w:w="1134" w:type="dxa"/>
            <w:tcBorders>
              <w:top w:val="nil"/>
              <w:left w:val="nil"/>
              <w:bottom w:val="nil"/>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9,296</w:t>
            </w:r>
          </w:p>
        </w:tc>
      </w:tr>
      <w:tr w:rsidR="001F663B" w:rsidRPr="001F663B" w:rsidTr="001F663B">
        <w:trPr>
          <w:trHeight w:val="285"/>
        </w:trPr>
        <w:tc>
          <w:tcPr>
            <w:tcW w:w="6536" w:type="dxa"/>
            <w:tcBorders>
              <w:top w:val="nil"/>
              <w:left w:val="nil"/>
              <w:bottom w:val="nil"/>
              <w:right w:val="nil"/>
            </w:tcBorders>
            <w:shd w:val="clear" w:color="auto" w:fill="auto"/>
            <w:vAlign w:val="bottom"/>
            <w:hideMark/>
          </w:tcPr>
          <w:p w:rsidR="001F663B" w:rsidRPr="001F663B" w:rsidRDefault="001F663B" w:rsidP="001F663B">
            <w:pPr>
              <w:spacing w:after="0"/>
              <w:rPr>
                <w:lang w:eastAsia="en-AU"/>
              </w:rPr>
            </w:pPr>
            <w:r w:rsidRPr="001F663B">
              <w:rPr>
                <w:lang w:eastAsia="en-AU"/>
              </w:rPr>
              <w:t>Receipts</w:t>
            </w:r>
          </w:p>
        </w:tc>
        <w:tc>
          <w:tcPr>
            <w:tcW w:w="1134" w:type="dxa"/>
            <w:tcBorders>
              <w:top w:val="nil"/>
              <w:left w:val="nil"/>
              <w:bottom w:val="nil"/>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w:t>
            </w:r>
          </w:p>
        </w:tc>
        <w:tc>
          <w:tcPr>
            <w:tcW w:w="1134" w:type="dxa"/>
            <w:tcBorders>
              <w:top w:val="nil"/>
              <w:left w:val="nil"/>
              <w:bottom w:val="nil"/>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114</w:t>
            </w:r>
          </w:p>
        </w:tc>
      </w:tr>
      <w:tr w:rsidR="001F663B" w:rsidRPr="001F663B" w:rsidTr="001F663B">
        <w:trPr>
          <w:trHeight w:val="285"/>
        </w:trPr>
        <w:tc>
          <w:tcPr>
            <w:tcW w:w="6536" w:type="dxa"/>
            <w:tcBorders>
              <w:top w:val="nil"/>
              <w:left w:val="nil"/>
              <w:bottom w:val="nil"/>
              <w:right w:val="nil"/>
            </w:tcBorders>
            <w:shd w:val="clear" w:color="auto" w:fill="auto"/>
            <w:vAlign w:val="bottom"/>
            <w:hideMark/>
          </w:tcPr>
          <w:p w:rsidR="001F663B" w:rsidRPr="001F663B" w:rsidRDefault="001F663B" w:rsidP="001F663B">
            <w:pPr>
              <w:spacing w:after="0"/>
              <w:rPr>
                <w:lang w:eastAsia="en-AU"/>
              </w:rPr>
            </w:pPr>
            <w:r w:rsidRPr="001F663B">
              <w:rPr>
                <w:lang w:eastAsia="en-AU"/>
              </w:rPr>
              <w:t>Payments</w:t>
            </w:r>
          </w:p>
        </w:tc>
        <w:tc>
          <w:tcPr>
            <w:tcW w:w="1134" w:type="dxa"/>
            <w:tcBorders>
              <w:top w:val="nil"/>
              <w:left w:val="nil"/>
              <w:bottom w:val="single" w:sz="4" w:space="0" w:color="auto"/>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w:t>
            </w:r>
          </w:p>
        </w:tc>
        <w:tc>
          <w:tcPr>
            <w:tcW w:w="1134" w:type="dxa"/>
            <w:tcBorders>
              <w:top w:val="nil"/>
              <w:left w:val="nil"/>
              <w:bottom w:val="single" w:sz="4" w:space="0" w:color="auto"/>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-9,410</w:t>
            </w:r>
          </w:p>
        </w:tc>
      </w:tr>
      <w:tr w:rsidR="001F663B" w:rsidRPr="001F663B" w:rsidTr="001F663B">
        <w:trPr>
          <w:trHeight w:val="285"/>
        </w:trPr>
        <w:tc>
          <w:tcPr>
            <w:tcW w:w="6536" w:type="dxa"/>
            <w:tcBorders>
              <w:top w:val="nil"/>
              <w:left w:val="nil"/>
              <w:bottom w:val="nil"/>
              <w:right w:val="nil"/>
            </w:tcBorders>
            <w:shd w:val="clear" w:color="auto" w:fill="auto"/>
            <w:vAlign w:val="bottom"/>
            <w:hideMark/>
          </w:tcPr>
          <w:p w:rsidR="001F663B" w:rsidRPr="001F663B" w:rsidRDefault="001F663B" w:rsidP="001F663B">
            <w:pPr>
              <w:spacing w:after="0"/>
              <w:rPr>
                <w:lang w:eastAsia="en-AU"/>
              </w:rPr>
            </w:pPr>
            <w:r w:rsidRPr="001F663B">
              <w:rPr>
                <w:lang w:eastAsia="en-AU"/>
              </w:rPr>
              <w:t>Balance at the end of the year</w:t>
            </w:r>
          </w:p>
        </w:tc>
        <w:tc>
          <w:tcPr>
            <w:tcW w:w="1134" w:type="dxa"/>
            <w:tcBorders>
              <w:top w:val="single" w:sz="4" w:space="0" w:color="auto"/>
              <w:left w:val="nil"/>
              <w:bottom w:val="double" w:sz="4" w:space="0" w:color="auto"/>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w:t>
            </w:r>
          </w:p>
        </w:tc>
        <w:tc>
          <w:tcPr>
            <w:tcW w:w="1134" w:type="dxa"/>
            <w:tcBorders>
              <w:top w:val="single" w:sz="4" w:space="0" w:color="auto"/>
              <w:left w:val="nil"/>
              <w:bottom w:val="double" w:sz="4" w:space="0" w:color="auto"/>
              <w:right w:val="nil"/>
            </w:tcBorders>
            <w:shd w:val="clear" w:color="auto" w:fill="auto"/>
            <w:noWrap/>
            <w:vAlign w:val="bottom"/>
            <w:hideMark/>
          </w:tcPr>
          <w:p w:rsidR="001F663B" w:rsidRPr="001F663B" w:rsidRDefault="001F663B" w:rsidP="001F663B">
            <w:pPr>
              <w:spacing w:after="0"/>
              <w:jc w:val="right"/>
              <w:rPr>
                <w:lang w:eastAsia="en-AU"/>
              </w:rPr>
            </w:pPr>
            <w:r w:rsidRPr="001F663B">
              <w:rPr>
                <w:lang w:eastAsia="en-AU"/>
              </w:rPr>
              <w:t>-</w:t>
            </w:r>
          </w:p>
        </w:tc>
      </w:tr>
    </w:tbl>
    <w:p w:rsidR="00FC4E35" w:rsidRDefault="00FC4E35" w:rsidP="00836D4B">
      <w:pPr>
        <w:rPr>
          <w:lang w:val="en-US"/>
        </w:rPr>
      </w:pPr>
    </w:p>
    <w:p w:rsidR="00FC4E35" w:rsidRPr="00FC4E35" w:rsidRDefault="00FC4E35" w:rsidP="001F663B">
      <w:pPr>
        <w:pStyle w:val="Heading5"/>
        <w:rPr>
          <w:color w:val="000000"/>
          <w:lang w:val="en-US"/>
        </w:rPr>
      </w:pPr>
      <w:r w:rsidRPr="00FC4E35">
        <w:rPr>
          <w:lang w:val="en-US"/>
        </w:rPr>
        <w:t>DPC Esperance Nyungar Government Indigenous Land Use Agreement</w:t>
      </w:r>
    </w:p>
    <w:p w:rsidR="00FC4E35" w:rsidRPr="001F663B" w:rsidRDefault="00FC4E35" w:rsidP="001F663B">
      <w:pPr>
        <w:rPr>
          <w:u w:val="single"/>
          <w:lang w:val="en-US"/>
        </w:rPr>
      </w:pPr>
      <w:r w:rsidRPr="001F663B">
        <w:rPr>
          <w:u w:val="single"/>
          <w:lang w:val="en-US"/>
        </w:rPr>
        <w:t>Purpose of the Trust</w:t>
      </w:r>
    </w:p>
    <w:p w:rsidR="00FC4E35" w:rsidRDefault="00FC4E35" w:rsidP="001F663B">
      <w:pPr>
        <w:rPr>
          <w:lang w:val="en-US"/>
        </w:rPr>
      </w:pPr>
      <w:r w:rsidRPr="00FC4E35">
        <w:rPr>
          <w:lang w:val="en-US"/>
        </w:rPr>
        <w:t>The purpose of this account is to hold the State’s contribution of $2.4m in an interest bearing trust account for and on behalf of the Native Title Claim Group or the Prescribed Body Corporate until such time as the Prescribed Body Corporate has submitted a budget and that budget is approved in accordance with</w:t>
      </w:r>
      <w:r w:rsidR="001F663B">
        <w:rPr>
          <w:lang w:val="en-US"/>
        </w:rPr>
        <w:t xml:space="preserve"> clause 19.2 of the Agreement.</w:t>
      </w:r>
    </w:p>
    <w:tbl>
      <w:tblPr>
        <w:tblW w:w="8804" w:type="dxa"/>
        <w:tblInd w:w="93" w:type="dxa"/>
        <w:tblLook w:val="04A0" w:firstRow="1" w:lastRow="0" w:firstColumn="1" w:lastColumn="0" w:noHBand="0" w:noVBand="1"/>
      </w:tblPr>
      <w:tblGrid>
        <w:gridCol w:w="6536"/>
        <w:gridCol w:w="1134"/>
        <w:gridCol w:w="1134"/>
      </w:tblGrid>
      <w:tr w:rsidR="001F663B" w:rsidRPr="00081605" w:rsidTr="00081605">
        <w:trPr>
          <w:trHeight w:val="570"/>
        </w:trPr>
        <w:tc>
          <w:tcPr>
            <w:tcW w:w="6536" w:type="dxa"/>
            <w:tcBorders>
              <w:top w:val="nil"/>
              <w:left w:val="nil"/>
              <w:bottom w:val="nil"/>
              <w:right w:val="nil"/>
            </w:tcBorders>
            <w:shd w:val="clear" w:color="auto" w:fill="auto"/>
            <w:vAlign w:val="bottom"/>
            <w:hideMark/>
          </w:tcPr>
          <w:p w:rsidR="001F663B" w:rsidRPr="00081605" w:rsidRDefault="001F663B" w:rsidP="00081605">
            <w:pPr>
              <w:spacing w:after="0"/>
              <w:rPr>
                <w:b/>
                <w:lang w:eastAsia="en-AU"/>
              </w:rPr>
            </w:pPr>
          </w:p>
        </w:tc>
        <w:tc>
          <w:tcPr>
            <w:tcW w:w="1134" w:type="dxa"/>
            <w:tcBorders>
              <w:top w:val="nil"/>
              <w:left w:val="nil"/>
              <w:bottom w:val="nil"/>
              <w:right w:val="nil"/>
            </w:tcBorders>
            <w:shd w:val="clear" w:color="auto" w:fill="F2F2F2" w:themeFill="background1" w:themeFillShade="F2"/>
            <w:vAlign w:val="bottom"/>
            <w:hideMark/>
          </w:tcPr>
          <w:p w:rsidR="001F663B" w:rsidRPr="00081605" w:rsidRDefault="001F663B" w:rsidP="00081605">
            <w:pPr>
              <w:spacing w:after="0"/>
              <w:jc w:val="right"/>
              <w:rPr>
                <w:b/>
                <w:lang w:eastAsia="en-AU"/>
              </w:rPr>
            </w:pPr>
            <w:r w:rsidRPr="00081605">
              <w:rPr>
                <w:b/>
                <w:lang w:eastAsia="en-AU"/>
              </w:rPr>
              <w:t>2015 $000</w:t>
            </w:r>
          </w:p>
        </w:tc>
        <w:tc>
          <w:tcPr>
            <w:tcW w:w="1134" w:type="dxa"/>
            <w:tcBorders>
              <w:top w:val="nil"/>
              <w:left w:val="nil"/>
              <w:bottom w:val="nil"/>
              <w:right w:val="nil"/>
            </w:tcBorders>
            <w:shd w:val="clear" w:color="auto" w:fill="auto"/>
            <w:vAlign w:val="bottom"/>
            <w:hideMark/>
          </w:tcPr>
          <w:p w:rsidR="001F663B" w:rsidRPr="00081605" w:rsidRDefault="001F663B" w:rsidP="00081605">
            <w:pPr>
              <w:spacing w:after="0"/>
              <w:jc w:val="right"/>
              <w:rPr>
                <w:b/>
                <w:lang w:eastAsia="en-AU"/>
              </w:rPr>
            </w:pPr>
            <w:r w:rsidRPr="00081605">
              <w:rPr>
                <w:b/>
                <w:lang w:eastAsia="en-AU"/>
              </w:rPr>
              <w:t>2014 $000</w:t>
            </w:r>
          </w:p>
        </w:tc>
      </w:tr>
      <w:tr w:rsidR="001F663B" w:rsidRPr="001F663B" w:rsidTr="00081605">
        <w:trPr>
          <w:trHeight w:val="285"/>
        </w:trPr>
        <w:tc>
          <w:tcPr>
            <w:tcW w:w="6536" w:type="dxa"/>
            <w:tcBorders>
              <w:top w:val="nil"/>
              <w:left w:val="nil"/>
              <w:bottom w:val="nil"/>
              <w:right w:val="nil"/>
            </w:tcBorders>
            <w:shd w:val="clear" w:color="auto" w:fill="auto"/>
            <w:vAlign w:val="bottom"/>
            <w:hideMark/>
          </w:tcPr>
          <w:p w:rsidR="001F663B" w:rsidRPr="001F663B" w:rsidRDefault="001F663B" w:rsidP="00081605">
            <w:pPr>
              <w:spacing w:after="0"/>
              <w:rPr>
                <w:lang w:eastAsia="en-AU"/>
              </w:rPr>
            </w:pPr>
            <w:r w:rsidRPr="001F663B">
              <w:rPr>
                <w:lang w:eastAsia="en-AU"/>
              </w:rPr>
              <w:t>Balance at the start of the year</w:t>
            </w:r>
          </w:p>
        </w:tc>
        <w:tc>
          <w:tcPr>
            <w:tcW w:w="1134" w:type="dxa"/>
            <w:tcBorders>
              <w:top w:val="nil"/>
              <w:left w:val="nil"/>
              <w:bottom w:val="nil"/>
              <w:right w:val="nil"/>
            </w:tcBorders>
            <w:shd w:val="clear" w:color="auto" w:fill="F2F2F2" w:themeFill="background1" w:themeFillShade="F2"/>
            <w:noWrap/>
            <w:vAlign w:val="bottom"/>
            <w:hideMark/>
          </w:tcPr>
          <w:p w:rsidR="001F663B" w:rsidRPr="001F663B" w:rsidRDefault="001F663B" w:rsidP="00081605">
            <w:pPr>
              <w:spacing w:after="0"/>
              <w:jc w:val="right"/>
              <w:rPr>
                <w:lang w:eastAsia="en-AU"/>
              </w:rPr>
            </w:pPr>
            <w:r w:rsidRPr="001F663B">
              <w:rPr>
                <w:lang w:eastAsia="en-AU"/>
              </w:rPr>
              <w:t>2,400</w:t>
            </w:r>
          </w:p>
        </w:tc>
        <w:tc>
          <w:tcPr>
            <w:tcW w:w="1134" w:type="dxa"/>
            <w:tcBorders>
              <w:top w:val="nil"/>
              <w:left w:val="nil"/>
              <w:bottom w:val="nil"/>
              <w:right w:val="nil"/>
            </w:tcBorders>
            <w:shd w:val="clear" w:color="auto" w:fill="auto"/>
            <w:noWrap/>
            <w:vAlign w:val="bottom"/>
            <w:hideMark/>
          </w:tcPr>
          <w:p w:rsidR="001F663B" w:rsidRPr="001F663B" w:rsidRDefault="001F663B" w:rsidP="00081605">
            <w:pPr>
              <w:spacing w:after="0"/>
              <w:jc w:val="right"/>
              <w:rPr>
                <w:lang w:eastAsia="en-AU"/>
              </w:rPr>
            </w:pPr>
            <w:r w:rsidRPr="001F663B">
              <w:rPr>
                <w:lang w:eastAsia="en-AU"/>
              </w:rPr>
              <w:t>-</w:t>
            </w:r>
          </w:p>
        </w:tc>
      </w:tr>
      <w:tr w:rsidR="001F663B" w:rsidRPr="001F663B" w:rsidTr="00081605">
        <w:trPr>
          <w:trHeight w:val="285"/>
        </w:trPr>
        <w:tc>
          <w:tcPr>
            <w:tcW w:w="6536" w:type="dxa"/>
            <w:tcBorders>
              <w:top w:val="nil"/>
              <w:left w:val="nil"/>
              <w:bottom w:val="nil"/>
              <w:right w:val="nil"/>
            </w:tcBorders>
            <w:shd w:val="clear" w:color="auto" w:fill="auto"/>
            <w:vAlign w:val="bottom"/>
            <w:hideMark/>
          </w:tcPr>
          <w:p w:rsidR="001F663B" w:rsidRPr="001F663B" w:rsidRDefault="001F663B" w:rsidP="00081605">
            <w:pPr>
              <w:spacing w:after="0"/>
              <w:rPr>
                <w:lang w:eastAsia="en-AU"/>
              </w:rPr>
            </w:pPr>
            <w:r w:rsidRPr="001F663B">
              <w:rPr>
                <w:lang w:eastAsia="en-AU"/>
              </w:rPr>
              <w:t>Receipts</w:t>
            </w:r>
          </w:p>
        </w:tc>
        <w:tc>
          <w:tcPr>
            <w:tcW w:w="1134" w:type="dxa"/>
            <w:tcBorders>
              <w:top w:val="nil"/>
              <w:left w:val="nil"/>
              <w:bottom w:val="nil"/>
              <w:right w:val="nil"/>
            </w:tcBorders>
            <w:shd w:val="clear" w:color="auto" w:fill="F2F2F2" w:themeFill="background1" w:themeFillShade="F2"/>
            <w:noWrap/>
            <w:vAlign w:val="bottom"/>
            <w:hideMark/>
          </w:tcPr>
          <w:p w:rsidR="001F663B" w:rsidRPr="001F663B" w:rsidRDefault="001F663B" w:rsidP="00081605">
            <w:pPr>
              <w:spacing w:after="0"/>
              <w:jc w:val="right"/>
              <w:rPr>
                <w:lang w:eastAsia="en-AU"/>
              </w:rPr>
            </w:pPr>
            <w:r w:rsidRPr="001F663B">
              <w:rPr>
                <w:lang w:eastAsia="en-AU"/>
              </w:rPr>
              <w:t>63</w:t>
            </w:r>
          </w:p>
        </w:tc>
        <w:tc>
          <w:tcPr>
            <w:tcW w:w="1134" w:type="dxa"/>
            <w:tcBorders>
              <w:top w:val="nil"/>
              <w:left w:val="nil"/>
              <w:bottom w:val="nil"/>
              <w:right w:val="nil"/>
            </w:tcBorders>
            <w:shd w:val="clear" w:color="auto" w:fill="auto"/>
            <w:noWrap/>
            <w:vAlign w:val="bottom"/>
            <w:hideMark/>
          </w:tcPr>
          <w:p w:rsidR="001F663B" w:rsidRPr="001F663B" w:rsidRDefault="001F663B" w:rsidP="00081605">
            <w:pPr>
              <w:spacing w:after="0"/>
              <w:jc w:val="right"/>
              <w:rPr>
                <w:lang w:eastAsia="en-AU"/>
              </w:rPr>
            </w:pPr>
            <w:r w:rsidRPr="001F663B">
              <w:rPr>
                <w:lang w:eastAsia="en-AU"/>
              </w:rPr>
              <w:t>2,400</w:t>
            </w:r>
          </w:p>
        </w:tc>
      </w:tr>
      <w:tr w:rsidR="001F663B" w:rsidRPr="001F663B" w:rsidTr="00081605">
        <w:trPr>
          <w:trHeight w:val="285"/>
        </w:trPr>
        <w:tc>
          <w:tcPr>
            <w:tcW w:w="6536" w:type="dxa"/>
            <w:tcBorders>
              <w:top w:val="nil"/>
              <w:left w:val="nil"/>
              <w:bottom w:val="nil"/>
              <w:right w:val="nil"/>
            </w:tcBorders>
            <w:shd w:val="clear" w:color="auto" w:fill="auto"/>
            <w:vAlign w:val="bottom"/>
            <w:hideMark/>
          </w:tcPr>
          <w:p w:rsidR="001F663B" w:rsidRPr="001F663B" w:rsidRDefault="001F663B" w:rsidP="00081605">
            <w:pPr>
              <w:spacing w:after="0"/>
              <w:rPr>
                <w:lang w:eastAsia="en-AU"/>
              </w:rPr>
            </w:pPr>
            <w:r w:rsidRPr="001F663B">
              <w:rPr>
                <w:lang w:eastAsia="en-AU"/>
              </w:rPr>
              <w:t>Payments</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1F663B" w:rsidRPr="001F663B" w:rsidRDefault="001F663B" w:rsidP="00081605">
            <w:pPr>
              <w:spacing w:after="0"/>
              <w:jc w:val="right"/>
              <w:rPr>
                <w:lang w:eastAsia="en-AU"/>
              </w:rPr>
            </w:pPr>
            <w:r w:rsidRPr="001F663B">
              <w:rPr>
                <w:lang w:eastAsia="en-AU"/>
              </w:rPr>
              <w:t>-</w:t>
            </w:r>
          </w:p>
        </w:tc>
        <w:tc>
          <w:tcPr>
            <w:tcW w:w="1134" w:type="dxa"/>
            <w:tcBorders>
              <w:top w:val="nil"/>
              <w:left w:val="nil"/>
              <w:bottom w:val="single" w:sz="4" w:space="0" w:color="auto"/>
              <w:right w:val="nil"/>
            </w:tcBorders>
            <w:shd w:val="clear" w:color="auto" w:fill="auto"/>
            <w:noWrap/>
            <w:vAlign w:val="bottom"/>
            <w:hideMark/>
          </w:tcPr>
          <w:p w:rsidR="001F663B" w:rsidRPr="001F663B" w:rsidRDefault="001F663B" w:rsidP="00081605">
            <w:pPr>
              <w:spacing w:after="0"/>
              <w:jc w:val="right"/>
              <w:rPr>
                <w:lang w:eastAsia="en-AU"/>
              </w:rPr>
            </w:pPr>
          </w:p>
        </w:tc>
      </w:tr>
      <w:tr w:rsidR="001F663B" w:rsidRPr="001F663B" w:rsidTr="00081605">
        <w:trPr>
          <w:trHeight w:val="285"/>
        </w:trPr>
        <w:tc>
          <w:tcPr>
            <w:tcW w:w="6536" w:type="dxa"/>
            <w:tcBorders>
              <w:top w:val="nil"/>
              <w:left w:val="nil"/>
              <w:bottom w:val="nil"/>
              <w:right w:val="nil"/>
            </w:tcBorders>
            <w:shd w:val="clear" w:color="auto" w:fill="auto"/>
            <w:vAlign w:val="bottom"/>
            <w:hideMark/>
          </w:tcPr>
          <w:p w:rsidR="001F663B" w:rsidRPr="001F663B" w:rsidRDefault="001F663B" w:rsidP="00081605">
            <w:pPr>
              <w:spacing w:after="0"/>
              <w:rPr>
                <w:lang w:eastAsia="en-AU"/>
              </w:rPr>
            </w:pPr>
            <w:r w:rsidRPr="001F663B">
              <w:rPr>
                <w:lang w:eastAsia="en-AU"/>
              </w:rPr>
              <w:t>Balance at the end of the year</w:t>
            </w:r>
          </w:p>
        </w:tc>
        <w:tc>
          <w:tcPr>
            <w:tcW w:w="1134" w:type="dxa"/>
            <w:tcBorders>
              <w:top w:val="single" w:sz="4" w:space="0" w:color="auto"/>
              <w:left w:val="nil"/>
              <w:bottom w:val="double" w:sz="4" w:space="0" w:color="auto"/>
              <w:right w:val="nil"/>
            </w:tcBorders>
            <w:shd w:val="clear" w:color="auto" w:fill="F2F2F2" w:themeFill="background1" w:themeFillShade="F2"/>
            <w:noWrap/>
            <w:vAlign w:val="bottom"/>
            <w:hideMark/>
          </w:tcPr>
          <w:p w:rsidR="001F663B" w:rsidRPr="001F663B" w:rsidRDefault="001F663B" w:rsidP="00081605">
            <w:pPr>
              <w:spacing w:after="0"/>
              <w:jc w:val="right"/>
              <w:rPr>
                <w:lang w:eastAsia="en-AU"/>
              </w:rPr>
            </w:pPr>
            <w:r w:rsidRPr="001F663B">
              <w:rPr>
                <w:lang w:eastAsia="en-AU"/>
              </w:rPr>
              <w:t>2,463</w:t>
            </w:r>
          </w:p>
        </w:tc>
        <w:tc>
          <w:tcPr>
            <w:tcW w:w="1134" w:type="dxa"/>
            <w:tcBorders>
              <w:top w:val="single" w:sz="4" w:space="0" w:color="auto"/>
              <w:left w:val="nil"/>
              <w:bottom w:val="double" w:sz="4" w:space="0" w:color="auto"/>
              <w:right w:val="nil"/>
            </w:tcBorders>
            <w:shd w:val="clear" w:color="auto" w:fill="auto"/>
            <w:noWrap/>
            <w:vAlign w:val="bottom"/>
            <w:hideMark/>
          </w:tcPr>
          <w:p w:rsidR="001F663B" w:rsidRPr="001F663B" w:rsidRDefault="001F663B" w:rsidP="00081605">
            <w:pPr>
              <w:spacing w:after="0"/>
              <w:jc w:val="right"/>
              <w:rPr>
                <w:lang w:eastAsia="en-AU"/>
              </w:rPr>
            </w:pPr>
            <w:r w:rsidRPr="001F663B">
              <w:rPr>
                <w:lang w:eastAsia="en-AU"/>
              </w:rPr>
              <w:t>2,400</w:t>
            </w:r>
          </w:p>
        </w:tc>
      </w:tr>
    </w:tbl>
    <w:p w:rsidR="00081605" w:rsidRDefault="00081605" w:rsidP="00081605">
      <w:pPr>
        <w:pStyle w:val="NoSpacing"/>
        <w:rPr>
          <w:lang w:val="en-US"/>
        </w:rPr>
      </w:pPr>
    </w:p>
    <w:p w:rsidR="00FC4E35" w:rsidRDefault="00FC4E35" w:rsidP="00081605">
      <w:pPr>
        <w:rPr>
          <w:lang w:val="en-US"/>
        </w:rPr>
      </w:pPr>
      <w:r w:rsidRPr="00FC4E35">
        <w:rPr>
          <w:lang w:val="en-US"/>
        </w:rPr>
        <w:t xml:space="preserve">The account was set up in April 2014. </w:t>
      </w:r>
    </w:p>
    <w:p w:rsidR="00FC4E35" w:rsidRPr="00FC4E35" w:rsidRDefault="00FC4E35" w:rsidP="00081605">
      <w:pPr>
        <w:pStyle w:val="Heading5"/>
        <w:rPr>
          <w:color w:val="000000"/>
          <w:lang w:val="en-US"/>
        </w:rPr>
      </w:pPr>
      <w:r w:rsidRPr="00FC4E35">
        <w:rPr>
          <w:lang w:val="en-US"/>
        </w:rPr>
        <w:t>DPC - Browse LNG Precinct Project Agreement Native Title Beneficiaries’ Interest Bearing Trust A/C</w:t>
      </w:r>
    </w:p>
    <w:p w:rsidR="00FC4E35" w:rsidRPr="00081605" w:rsidRDefault="00FC4E35" w:rsidP="00081605">
      <w:pPr>
        <w:rPr>
          <w:u w:val="single"/>
          <w:lang w:val="en-US"/>
        </w:rPr>
      </w:pPr>
      <w:r w:rsidRPr="00081605">
        <w:rPr>
          <w:u w:val="single"/>
          <w:lang w:val="en-US"/>
        </w:rPr>
        <w:t>Purpose of the Trust</w:t>
      </w:r>
    </w:p>
    <w:p w:rsidR="00FC4E35" w:rsidRDefault="00FC4E35" w:rsidP="00081605">
      <w:pPr>
        <w:rPr>
          <w:lang w:val="en-US"/>
        </w:rPr>
      </w:pPr>
      <w:r w:rsidRPr="00FC4E35">
        <w:rPr>
          <w:lang w:val="en-US"/>
        </w:rPr>
        <w:t>The purpose of this account is to hold $30m being the State’s contribution of $10m to the Economic Development Fund and $20m to the Indigenous Housing Fund pursuant to the Browse L</w:t>
      </w:r>
      <w:r w:rsidR="00081605">
        <w:rPr>
          <w:lang w:val="en-US"/>
        </w:rPr>
        <w:t>NG Precinct Project Agreement.</w:t>
      </w:r>
    </w:p>
    <w:tbl>
      <w:tblPr>
        <w:tblW w:w="8804" w:type="dxa"/>
        <w:tblInd w:w="93" w:type="dxa"/>
        <w:tblLook w:val="04A0" w:firstRow="1" w:lastRow="0" w:firstColumn="1" w:lastColumn="0" w:noHBand="0" w:noVBand="1"/>
      </w:tblPr>
      <w:tblGrid>
        <w:gridCol w:w="6536"/>
        <w:gridCol w:w="1134"/>
        <w:gridCol w:w="1134"/>
      </w:tblGrid>
      <w:tr w:rsidR="00081605" w:rsidRPr="00081605" w:rsidTr="00081605">
        <w:trPr>
          <w:trHeight w:val="570"/>
        </w:trPr>
        <w:tc>
          <w:tcPr>
            <w:tcW w:w="6536" w:type="dxa"/>
            <w:tcBorders>
              <w:top w:val="nil"/>
              <w:left w:val="nil"/>
              <w:bottom w:val="nil"/>
              <w:right w:val="nil"/>
            </w:tcBorders>
            <w:shd w:val="clear" w:color="auto" w:fill="auto"/>
            <w:vAlign w:val="bottom"/>
            <w:hideMark/>
          </w:tcPr>
          <w:p w:rsidR="00081605" w:rsidRPr="00081605" w:rsidRDefault="00081605" w:rsidP="00081605">
            <w:pPr>
              <w:spacing w:after="0"/>
              <w:rPr>
                <w:b/>
                <w:lang w:eastAsia="en-AU"/>
              </w:rPr>
            </w:pPr>
          </w:p>
        </w:tc>
        <w:tc>
          <w:tcPr>
            <w:tcW w:w="1134" w:type="dxa"/>
            <w:tcBorders>
              <w:top w:val="nil"/>
              <w:left w:val="nil"/>
              <w:bottom w:val="nil"/>
              <w:right w:val="nil"/>
            </w:tcBorders>
            <w:shd w:val="clear" w:color="auto" w:fill="F2F2F2" w:themeFill="background1" w:themeFillShade="F2"/>
            <w:vAlign w:val="bottom"/>
            <w:hideMark/>
          </w:tcPr>
          <w:p w:rsidR="00081605" w:rsidRPr="00081605" w:rsidRDefault="00081605" w:rsidP="00081605">
            <w:pPr>
              <w:spacing w:after="0"/>
              <w:jc w:val="right"/>
              <w:rPr>
                <w:b/>
                <w:lang w:eastAsia="en-AU"/>
              </w:rPr>
            </w:pPr>
            <w:r w:rsidRPr="00081605">
              <w:rPr>
                <w:b/>
                <w:lang w:eastAsia="en-AU"/>
              </w:rPr>
              <w:t>2015 $000</w:t>
            </w:r>
          </w:p>
        </w:tc>
        <w:tc>
          <w:tcPr>
            <w:tcW w:w="1134" w:type="dxa"/>
            <w:tcBorders>
              <w:top w:val="nil"/>
              <w:left w:val="nil"/>
              <w:bottom w:val="nil"/>
              <w:right w:val="nil"/>
            </w:tcBorders>
            <w:shd w:val="clear" w:color="auto" w:fill="auto"/>
            <w:vAlign w:val="bottom"/>
            <w:hideMark/>
          </w:tcPr>
          <w:p w:rsidR="00081605" w:rsidRPr="00081605" w:rsidRDefault="00081605" w:rsidP="00081605">
            <w:pPr>
              <w:spacing w:after="0"/>
              <w:jc w:val="right"/>
              <w:rPr>
                <w:b/>
                <w:lang w:eastAsia="en-AU"/>
              </w:rPr>
            </w:pPr>
            <w:r w:rsidRPr="00081605">
              <w:rPr>
                <w:b/>
                <w:lang w:eastAsia="en-AU"/>
              </w:rPr>
              <w:t>2014 $000</w:t>
            </w:r>
          </w:p>
        </w:tc>
      </w:tr>
      <w:tr w:rsidR="00081605" w:rsidRPr="00081605" w:rsidTr="00081605">
        <w:trPr>
          <w:trHeight w:val="285"/>
        </w:trPr>
        <w:tc>
          <w:tcPr>
            <w:tcW w:w="6536" w:type="dxa"/>
            <w:tcBorders>
              <w:top w:val="nil"/>
              <w:left w:val="nil"/>
              <w:bottom w:val="nil"/>
              <w:right w:val="nil"/>
            </w:tcBorders>
            <w:shd w:val="clear" w:color="auto" w:fill="auto"/>
            <w:vAlign w:val="bottom"/>
            <w:hideMark/>
          </w:tcPr>
          <w:p w:rsidR="00081605" w:rsidRPr="00081605" w:rsidRDefault="00081605" w:rsidP="00081605">
            <w:pPr>
              <w:spacing w:after="0"/>
              <w:rPr>
                <w:lang w:eastAsia="en-AU"/>
              </w:rPr>
            </w:pPr>
            <w:r w:rsidRPr="00081605">
              <w:rPr>
                <w:lang w:eastAsia="en-AU"/>
              </w:rPr>
              <w:t>Balance at the start of the year</w:t>
            </w:r>
          </w:p>
        </w:tc>
        <w:tc>
          <w:tcPr>
            <w:tcW w:w="1134" w:type="dxa"/>
            <w:tcBorders>
              <w:top w:val="nil"/>
              <w:left w:val="nil"/>
              <w:bottom w:val="nil"/>
              <w:right w:val="nil"/>
            </w:tcBorders>
            <w:shd w:val="clear" w:color="auto" w:fill="F2F2F2" w:themeFill="background1" w:themeFillShade="F2"/>
            <w:noWrap/>
            <w:vAlign w:val="bottom"/>
            <w:hideMark/>
          </w:tcPr>
          <w:p w:rsidR="00081605" w:rsidRPr="00081605" w:rsidRDefault="00081605" w:rsidP="00081605">
            <w:pPr>
              <w:spacing w:after="0"/>
              <w:jc w:val="right"/>
              <w:rPr>
                <w:lang w:eastAsia="en-AU"/>
              </w:rPr>
            </w:pPr>
            <w:r w:rsidRPr="00081605">
              <w:rPr>
                <w:lang w:eastAsia="en-AU"/>
              </w:rPr>
              <w:t>31,166</w:t>
            </w:r>
          </w:p>
        </w:tc>
        <w:tc>
          <w:tcPr>
            <w:tcW w:w="1134" w:type="dxa"/>
            <w:tcBorders>
              <w:top w:val="nil"/>
              <w:left w:val="nil"/>
              <w:bottom w:val="nil"/>
              <w:right w:val="nil"/>
            </w:tcBorders>
            <w:shd w:val="clear" w:color="auto" w:fill="auto"/>
            <w:noWrap/>
            <w:vAlign w:val="bottom"/>
            <w:hideMark/>
          </w:tcPr>
          <w:p w:rsidR="00081605" w:rsidRPr="00081605" w:rsidRDefault="00081605" w:rsidP="00081605">
            <w:pPr>
              <w:spacing w:after="0"/>
              <w:jc w:val="right"/>
              <w:rPr>
                <w:lang w:eastAsia="en-AU"/>
              </w:rPr>
            </w:pPr>
            <w:r w:rsidRPr="00081605">
              <w:rPr>
                <w:lang w:eastAsia="en-AU"/>
              </w:rPr>
              <w:t>-</w:t>
            </w:r>
          </w:p>
        </w:tc>
      </w:tr>
      <w:tr w:rsidR="00081605" w:rsidRPr="00081605" w:rsidTr="00081605">
        <w:trPr>
          <w:trHeight w:val="285"/>
        </w:trPr>
        <w:tc>
          <w:tcPr>
            <w:tcW w:w="6536" w:type="dxa"/>
            <w:tcBorders>
              <w:top w:val="nil"/>
              <w:left w:val="nil"/>
              <w:bottom w:val="nil"/>
              <w:right w:val="nil"/>
            </w:tcBorders>
            <w:shd w:val="clear" w:color="auto" w:fill="auto"/>
            <w:vAlign w:val="bottom"/>
            <w:hideMark/>
          </w:tcPr>
          <w:p w:rsidR="00081605" w:rsidRPr="00081605" w:rsidRDefault="00081605" w:rsidP="00081605">
            <w:pPr>
              <w:spacing w:after="0"/>
              <w:rPr>
                <w:lang w:eastAsia="en-AU"/>
              </w:rPr>
            </w:pPr>
            <w:r w:rsidRPr="00081605">
              <w:rPr>
                <w:lang w:eastAsia="en-AU"/>
              </w:rPr>
              <w:t>Receipts</w:t>
            </w:r>
          </w:p>
        </w:tc>
        <w:tc>
          <w:tcPr>
            <w:tcW w:w="1134" w:type="dxa"/>
            <w:tcBorders>
              <w:top w:val="nil"/>
              <w:left w:val="nil"/>
              <w:bottom w:val="nil"/>
              <w:right w:val="nil"/>
            </w:tcBorders>
            <w:shd w:val="clear" w:color="auto" w:fill="F2F2F2" w:themeFill="background1" w:themeFillShade="F2"/>
            <w:noWrap/>
            <w:vAlign w:val="bottom"/>
            <w:hideMark/>
          </w:tcPr>
          <w:p w:rsidR="00081605" w:rsidRPr="00081605" w:rsidRDefault="00081605" w:rsidP="00081605">
            <w:pPr>
              <w:spacing w:after="0"/>
              <w:jc w:val="right"/>
              <w:rPr>
                <w:lang w:eastAsia="en-AU"/>
              </w:rPr>
            </w:pPr>
            <w:r w:rsidRPr="00081605">
              <w:rPr>
                <w:lang w:eastAsia="en-AU"/>
              </w:rPr>
              <w:t>879</w:t>
            </w:r>
          </w:p>
        </w:tc>
        <w:tc>
          <w:tcPr>
            <w:tcW w:w="1134" w:type="dxa"/>
            <w:tcBorders>
              <w:top w:val="nil"/>
              <w:left w:val="nil"/>
              <w:bottom w:val="nil"/>
              <w:right w:val="nil"/>
            </w:tcBorders>
            <w:shd w:val="clear" w:color="auto" w:fill="auto"/>
            <w:noWrap/>
            <w:vAlign w:val="bottom"/>
            <w:hideMark/>
          </w:tcPr>
          <w:p w:rsidR="00081605" w:rsidRPr="00081605" w:rsidRDefault="00081605" w:rsidP="00081605">
            <w:pPr>
              <w:spacing w:after="0"/>
              <w:jc w:val="right"/>
              <w:rPr>
                <w:lang w:eastAsia="en-AU"/>
              </w:rPr>
            </w:pPr>
            <w:r w:rsidRPr="00081605">
              <w:rPr>
                <w:lang w:eastAsia="en-AU"/>
              </w:rPr>
              <w:t>31,166</w:t>
            </w:r>
          </w:p>
        </w:tc>
      </w:tr>
      <w:tr w:rsidR="00081605" w:rsidRPr="00081605" w:rsidTr="00081605">
        <w:trPr>
          <w:trHeight w:val="285"/>
        </w:trPr>
        <w:tc>
          <w:tcPr>
            <w:tcW w:w="6536" w:type="dxa"/>
            <w:tcBorders>
              <w:top w:val="nil"/>
              <w:left w:val="nil"/>
              <w:bottom w:val="nil"/>
              <w:right w:val="nil"/>
            </w:tcBorders>
            <w:shd w:val="clear" w:color="auto" w:fill="auto"/>
            <w:vAlign w:val="bottom"/>
            <w:hideMark/>
          </w:tcPr>
          <w:p w:rsidR="00081605" w:rsidRPr="00081605" w:rsidRDefault="00081605" w:rsidP="00081605">
            <w:pPr>
              <w:spacing w:after="0"/>
              <w:rPr>
                <w:lang w:eastAsia="en-AU"/>
              </w:rPr>
            </w:pPr>
            <w:r w:rsidRPr="00081605">
              <w:rPr>
                <w:lang w:eastAsia="en-AU"/>
              </w:rPr>
              <w:t>Payments</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081605" w:rsidRPr="00081605" w:rsidRDefault="00081605" w:rsidP="00081605">
            <w:pPr>
              <w:spacing w:after="0"/>
              <w:jc w:val="right"/>
              <w:rPr>
                <w:lang w:eastAsia="en-AU"/>
              </w:rPr>
            </w:pPr>
            <w:r w:rsidRPr="00081605">
              <w:rPr>
                <w:lang w:eastAsia="en-AU"/>
              </w:rPr>
              <w:t>-</w:t>
            </w:r>
          </w:p>
        </w:tc>
        <w:tc>
          <w:tcPr>
            <w:tcW w:w="1134" w:type="dxa"/>
            <w:tcBorders>
              <w:top w:val="nil"/>
              <w:left w:val="nil"/>
              <w:bottom w:val="single" w:sz="4" w:space="0" w:color="auto"/>
              <w:right w:val="nil"/>
            </w:tcBorders>
            <w:shd w:val="clear" w:color="auto" w:fill="auto"/>
            <w:noWrap/>
            <w:vAlign w:val="bottom"/>
            <w:hideMark/>
          </w:tcPr>
          <w:p w:rsidR="00081605" w:rsidRPr="00081605" w:rsidRDefault="00081605" w:rsidP="00081605">
            <w:pPr>
              <w:spacing w:after="0"/>
              <w:jc w:val="right"/>
              <w:rPr>
                <w:lang w:eastAsia="en-AU"/>
              </w:rPr>
            </w:pPr>
            <w:r w:rsidRPr="00081605">
              <w:rPr>
                <w:lang w:eastAsia="en-AU"/>
              </w:rPr>
              <w:t>-</w:t>
            </w:r>
          </w:p>
        </w:tc>
      </w:tr>
      <w:tr w:rsidR="00081605" w:rsidRPr="00081605" w:rsidTr="00081605">
        <w:trPr>
          <w:trHeight w:val="285"/>
        </w:trPr>
        <w:tc>
          <w:tcPr>
            <w:tcW w:w="6536" w:type="dxa"/>
            <w:tcBorders>
              <w:top w:val="nil"/>
              <w:left w:val="nil"/>
              <w:bottom w:val="nil"/>
              <w:right w:val="nil"/>
            </w:tcBorders>
            <w:shd w:val="clear" w:color="auto" w:fill="auto"/>
            <w:vAlign w:val="bottom"/>
            <w:hideMark/>
          </w:tcPr>
          <w:p w:rsidR="00081605" w:rsidRPr="00081605" w:rsidRDefault="00081605" w:rsidP="00081605">
            <w:pPr>
              <w:spacing w:after="0"/>
              <w:rPr>
                <w:lang w:eastAsia="en-AU"/>
              </w:rPr>
            </w:pPr>
            <w:r w:rsidRPr="00081605">
              <w:rPr>
                <w:lang w:eastAsia="en-AU"/>
              </w:rPr>
              <w:t>Balance at the end of the year</w:t>
            </w:r>
          </w:p>
        </w:tc>
        <w:tc>
          <w:tcPr>
            <w:tcW w:w="1134" w:type="dxa"/>
            <w:tcBorders>
              <w:top w:val="single" w:sz="4" w:space="0" w:color="auto"/>
              <w:left w:val="nil"/>
              <w:bottom w:val="double" w:sz="4" w:space="0" w:color="auto"/>
              <w:right w:val="nil"/>
            </w:tcBorders>
            <w:shd w:val="clear" w:color="auto" w:fill="F2F2F2" w:themeFill="background1" w:themeFillShade="F2"/>
            <w:noWrap/>
            <w:vAlign w:val="bottom"/>
            <w:hideMark/>
          </w:tcPr>
          <w:p w:rsidR="00081605" w:rsidRPr="00081605" w:rsidRDefault="00081605" w:rsidP="00081605">
            <w:pPr>
              <w:spacing w:after="0"/>
              <w:jc w:val="right"/>
              <w:rPr>
                <w:lang w:eastAsia="en-AU"/>
              </w:rPr>
            </w:pPr>
            <w:r w:rsidRPr="00081605">
              <w:rPr>
                <w:lang w:eastAsia="en-AU"/>
              </w:rPr>
              <w:t>32,045</w:t>
            </w:r>
          </w:p>
        </w:tc>
        <w:tc>
          <w:tcPr>
            <w:tcW w:w="1134" w:type="dxa"/>
            <w:tcBorders>
              <w:top w:val="single" w:sz="4" w:space="0" w:color="auto"/>
              <w:left w:val="nil"/>
              <w:bottom w:val="double" w:sz="4" w:space="0" w:color="auto"/>
              <w:right w:val="nil"/>
            </w:tcBorders>
            <w:shd w:val="clear" w:color="auto" w:fill="auto"/>
            <w:noWrap/>
            <w:vAlign w:val="bottom"/>
            <w:hideMark/>
          </w:tcPr>
          <w:p w:rsidR="00081605" w:rsidRPr="00081605" w:rsidRDefault="00081605" w:rsidP="00081605">
            <w:pPr>
              <w:spacing w:after="0"/>
              <w:jc w:val="right"/>
              <w:rPr>
                <w:lang w:eastAsia="en-AU"/>
              </w:rPr>
            </w:pPr>
            <w:r w:rsidRPr="00081605">
              <w:rPr>
                <w:lang w:eastAsia="en-AU"/>
              </w:rPr>
              <w:t>31,166</w:t>
            </w:r>
          </w:p>
        </w:tc>
      </w:tr>
    </w:tbl>
    <w:p w:rsidR="00081605" w:rsidRDefault="00081605" w:rsidP="00081605">
      <w:pPr>
        <w:rPr>
          <w:lang w:val="en-US"/>
        </w:rPr>
      </w:pPr>
    </w:p>
    <w:p w:rsidR="00FC4E35" w:rsidRDefault="00FC4E35" w:rsidP="00081605">
      <w:pPr>
        <w:rPr>
          <w:color w:val="000000"/>
          <w:lang w:val="en-US"/>
        </w:rPr>
      </w:pPr>
      <w:r w:rsidRPr="00FC4E35">
        <w:rPr>
          <w:color w:val="000000"/>
          <w:lang w:val="en-US"/>
        </w:rPr>
        <w:t>The account was set up in December 2013.</w:t>
      </w:r>
    </w:p>
    <w:p w:rsidR="00681CE5" w:rsidRPr="00FC4E35" w:rsidRDefault="00681CE5" w:rsidP="00081605">
      <w:pPr>
        <w:rPr>
          <w:color w:val="000000"/>
          <w:lang w:val="en-US"/>
        </w:rPr>
      </w:pPr>
    </w:p>
    <w:p w:rsidR="00FC4E35" w:rsidRPr="00FC4E35" w:rsidRDefault="00FC4E35" w:rsidP="00081605">
      <w:pPr>
        <w:pStyle w:val="Heading5"/>
        <w:rPr>
          <w:color w:val="000000"/>
          <w:lang w:val="en-US"/>
        </w:rPr>
      </w:pPr>
      <w:r w:rsidRPr="00FC4E35">
        <w:rPr>
          <w:lang w:val="en-US"/>
        </w:rPr>
        <w:t>Exmouth Land Agreement - Gnulli Claim Group</w:t>
      </w:r>
    </w:p>
    <w:p w:rsidR="00FC4E35" w:rsidRPr="00081605" w:rsidRDefault="00FC4E35" w:rsidP="00081605">
      <w:pPr>
        <w:rPr>
          <w:u w:val="single"/>
          <w:lang w:val="en-US"/>
        </w:rPr>
      </w:pPr>
      <w:r w:rsidRPr="00081605">
        <w:rPr>
          <w:u w:val="single"/>
          <w:lang w:val="en-US"/>
        </w:rPr>
        <w:t>Purpose of the Trust</w:t>
      </w:r>
    </w:p>
    <w:p w:rsidR="00081605" w:rsidRDefault="00FC4E35" w:rsidP="00081605">
      <w:pPr>
        <w:rPr>
          <w:lang w:val="en-US"/>
        </w:rPr>
      </w:pPr>
      <w:r w:rsidRPr="00FC4E35">
        <w:rPr>
          <w:lang w:val="en-US"/>
        </w:rPr>
        <w:t>The purpose of this account is to hold monies pursuant to  clauses 7 and 9(1)(c) of the Exmouth Land Agreement (the Agreement) dated 24 May 2014.  All monies required to be paid by the body corporate Minister for Lands and Western Australian Land Authority (LandCorp) (Government Parties) and the Developer under the Agreement are to be held in trust in an interest</w:t>
      </w:r>
      <w:r w:rsidRPr="00FC4E35">
        <w:rPr>
          <w:lang w:val="en-US"/>
        </w:rPr>
        <w:noBreakHyphen/>
        <w:t>bearing account until such time as a Favourable or Unfavourable Final Determination is made, at which time moneys are to be disbursed under clauses 9.2 or 9.3 of the Agreement, as is applicable.  No monies have been paid into the trust account as at 30 June 2015.</w:t>
      </w:r>
    </w:p>
    <w:tbl>
      <w:tblPr>
        <w:tblW w:w="8804" w:type="dxa"/>
        <w:tblInd w:w="93" w:type="dxa"/>
        <w:tblLook w:val="04A0" w:firstRow="1" w:lastRow="0" w:firstColumn="1" w:lastColumn="0" w:noHBand="0" w:noVBand="1"/>
      </w:tblPr>
      <w:tblGrid>
        <w:gridCol w:w="6536"/>
        <w:gridCol w:w="1134"/>
        <w:gridCol w:w="1134"/>
      </w:tblGrid>
      <w:tr w:rsidR="00081605" w:rsidRPr="00081605" w:rsidTr="00046BEF">
        <w:trPr>
          <w:trHeight w:val="570"/>
        </w:trPr>
        <w:tc>
          <w:tcPr>
            <w:tcW w:w="6536" w:type="dxa"/>
            <w:tcBorders>
              <w:top w:val="nil"/>
              <w:left w:val="nil"/>
              <w:bottom w:val="nil"/>
              <w:right w:val="nil"/>
            </w:tcBorders>
            <w:shd w:val="clear" w:color="auto" w:fill="auto"/>
            <w:vAlign w:val="bottom"/>
            <w:hideMark/>
          </w:tcPr>
          <w:p w:rsidR="00081605" w:rsidRPr="00081605" w:rsidRDefault="00081605" w:rsidP="00046BEF">
            <w:pPr>
              <w:spacing w:after="0"/>
              <w:rPr>
                <w:b/>
                <w:lang w:eastAsia="en-AU"/>
              </w:rPr>
            </w:pPr>
          </w:p>
        </w:tc>
        <w:tc>
          <w:tcPr>
            <w:tcW w:w="1134" w:type="dxa"/>
            <w:tcBorders>
              <w:top w:val="nil"/>
              <w:left w:val="nil"/>
              <w:bottom w:val="nil"/>
              <w:right w:val="nil"/>
            </w:tcBorders>
            <w:shd w:val="clear" w:color="auto" w:fill="F2F2F2" w:themeFill="background1" w:themeFillShade="F2"/>
            <w:vAlign w:val="bottom"/>
            <w:hideMark/>
          </w:tcPr>
          <w:p w:rsidR="00081605" w:rsidRPr="00081605" w:rsidRDefault="00081605" w:rsidP="00046BEF">
            <w:pPr>
              <w:spacing w:after="0"/>
              <w:jc w:val="right"/>
              <w:rPr>
                <w:b/>
                <w:lang w:eastAsia="en-AU"/>
              </w:rPr>
            </w:pPr>
            <w:r w:rsidRPr="00081605">
              <w:rPr>
                <w:b/>
                <w:lang w:eastAsia="en-AU"/>
              </w:rPr>
              <w:t>2015 $000</w:t>
            </w:r>
          </w:p>
        </w:tc>
        <w:tc>
          <w:tcPr>
            <w:tcW w:w="1134" w:type="dxa"/>
            <w:tcBorders>
              <w:top w:val="nil"/>
              <w:left w:val="nil"/>
              <w:bottom w:val="nil"/>
              <w:right w:val="nil"/>
            </w:tcBorders>
            <w:shd w:val="clear" w:color="auto" w:fill="auto"/>
            <w:vAlign w:val="bottom"/>
            <w:hideMark/>
          </w:tcPr>
          <w:p w:rsidR="00081605" w:rsidRPr="00081605" w:rsidRDefault="00081605" w:rsidP="00046BEF">
            <w:pPr>
              <w:spacing w:after="0"/>
              <w:jc w:val="right"/>
              <w:rPr>
                <w:b/>
                <w:lang w:eastAsia="en-AU"/>
              </w:rPr>
            </w:pPr>
            <w:r w:rsidRPr="00081605">
              <w:rPr>
                <w:b/>
                <w:lang w:eastAsia="en-AU"/>
              </w:rPr>
              <w:t>2014 $000</w:t>
            </w:r>
          </w:p>
        </w:tc>
      </w:tr>
      <w:tr w:rsidR="00081605" w:rsidRPr="00081605" w:rsidTr="00046BEF">
        <w:trPr>
          <w:trHeight w:val="285"/>
        </w:trPr>
        <w:tc>
          <w:tcPr>
            <w:tcW w:w="6536" w:type="dxa"/>
            <w:tcBorders>
              <w:top w:val="nil"/>
              <w:left w:val="nil"/>
              <w:bottom w:val="nil"/>
              <w:right w:val="nil"/>
            </w:tcBorders>
            <w:shd w:val="clear" w:color="auto" w:fill="auto"/>
            <w:vAlign w:val="bottom"/>
            <w:hideMark/>
          </w:tcPr>
          <w:p w:rsidR="00081605" w:rsidRPr="00081605" w:rsidRDefault="00081605" w:rsidP="00046BEF">
            <w:pPr>
              <w:spacing w:after="0"/>
              <w:rPr>
                <w:lang w:eastAsia="en-AU"/>
              </w:rPr>
            </w:pPr>
            <w:r w:rsidRPr="00081605">
              <w:rPr>
                <w:lang w:eastAsia="en-AU"/>
              </w:rPr>
              <w:t>Balance at the start of the year</w:t>
            </w:r>
          </w:p>
        </w:tc>
        <w:tc>
          <w:tcPr>
            <w:tcW w:w="1134" w:type="dxa"/>
            <w:tcBorders>
              <w:top w:val="nil"/>
              <w:left w:val="nil"/>
              <w:bottom w:val="nil"/>
              <w:right w:val="nil"/>
            </w:tcBorders>
            <w:shd w:val="clear" w:color="auto" w:fill="F2F2F2" w:themeFill="background1" w:themeFillShade="F2"/>
            <w:noWrap/>
            <w:vAlign w:val="bottom"/>
            <w:hideMark/>
          </w:tcPr>
          <w:p w:rsidR="00081605" w:rsidRPr="00081605" w:rsidRDefault="00081605" w:rsidP="00046BEF">
            <w:pPr>
              <w:spacing w:after="0"/>
              <w:jc w:val="right"/>
              <w:rPr>
                <w:lang w:eastAsia="en-AU"/>
              </w:rPr>
            </w:pPr>
            <w:r>
              <w:rPr>
                <w:lang w:eastAsia="en-AU"/>
              </w:rPr>
              <w:t>-</w:t>
            </w:r>
          </w:p>
        </w:tc>
        <w:tc>
          <w:tcPr>
            <w:tcW w:w="1134" w:type="dxa"/>
            <w:tcBorders>
              <w:top w:val="nil"/>
              <w:left w:val="nil"/>
              <w:bottom w:val="nil"/>
              <w:right w:val="nil"/>
            </w:tcBorders>
            <w:shd w:val="clear" w:color="auto" w:fill="auto"/>
            <w:noWrap/>
            <w:vAlign w:val="bottom"/>
            <w:hideMark/>
          </w:tcPr>
          <w:p w:rsidR="00081605" w:rsidRPr="00081605" w:rsidRDefault="00081605" w:rsidP="00046BEF">
            <w:pPr>
              <w:spacing w:after="0"/>
              <w:jc w:val="right"/>
              <w:rPr>
                <w:lang w:eastAsia="en-AU"/>
              </w:rPr>
            </w:pPr>
            <w:r>
              <w:rPr>
                <w:lang w:eastAsia="en-AU"/>
              </w:rPr>
              <w:t>-</w:t>
            </w:r>
          </w:p>
        </w:tc>
      </w:tr>
      <w:tr w:rsidR="00081605" w:rsidRPr="00081605" w:rsidTr="00046BEF">
        <w:trPr>
          <w:trHeight w:val="285"/>
        </w:trPr>
        <w:tc>
          <w:tcPr>
            <w:tcW w:w="6536" w:type="dxa"/>
            <w:tcBorders>
              <w:top w:val="nil"/>
              <w:left w:val="nil"/>
              <w:bottom w:val="nil"/>
              <w:right w:val="nil"/>
            </w:tcBorders>
            <w:shd w:val="clear" w:color="auto" w:fill="auto"/>
            <w:vAlign w:val="bottom"/>
            <w:hideMark/>
          </w:tcPr>
          <w:p w:rsidR="00081605" w:rsidRPr="00081605" w:rsidRDefault="00081605" w:rsidP="00046BEF">
            <w:pPr>
              <w:spacing w:after="0"/>
              <w:rPr>
                <w:lang w:eastAsia="en-AU"/>
              </w:rPr>
            </w:pPr>
            <w:r w:rsidRPr="00081605">
              <w:rPr>
                <w:lang w:eastAsia="en-AU"/>
              </w:rPr>
              <w:t>Receipts</w:t>
            </w:r>
          </w:p>
        </w:tc>
        <w:tc>
          <w:tcPr>
            <w:tcW w:w="1134" w:type="dxa"/>
            <w:tcBorders>
              <w:top w:val="nil"/>
              <w:left w:val="nil"/>
              <w:bottom w:val="nil"/>
              <w:right w:val="nil"/>
            </w:tcBorders>
            <w:shd w:val="clear" w:color="auto" w:fill="F2F2F2" w:themeFill="background1" w:themeFillShade="F2"/>
            <w:noWrap/>
            <w:vAlign w:val="bottom"/>
            <w:hideMark/>
          </w:tcPr>
          <w:p w:rsidR="00081605" w:rsidRPr="00081605" w:rsidRDefault="00081605" w:rsidP="00046BEF">
            <w:pPr>
              <w:spacing w:after="0"/>
              <w:jc w:val="right"/>
              <w:rPr>
                <w:lang w:eastAsia="en-AU"/>
              </w:rPr>
            </w:pPr>
            <w:r>
              <w:rPr>
                <w:lang w:eastAsia="en-AU"/>
              </w:rPr>
              <w:t>-</w:t>
            </w:r>
          </w:p>
        </w:tc>
        <w:tc>
          <w:tcPr>
            <w:tcW w:w="1134" w:type="dxa"/>
            <w:tcBorders>
              <w:top w:val="nil"/>
              <w:left w:val="nil"/>
              <w:bottom w:val="nil"/>
              <w:right w:val="nil"/>
            </w:tcBorders>
            <w:shd w:val="clear" w:color="auto" w:fill="auto"/>
            <w:noWrap/>
            <w:vAlign w:val="bottom"/>
            <w:hideMark/>
          </w:tcPr>
          <w:p w:rsidR="00081605" w:rsidRPr="00081605" w:rsidRDefault="00081605" w:rsidP="00046BEF">
            <w:pPr>
              <w:spacing w:after="0"/>
              <w:jc w:val="right"/>
              <w:rPr>
                <w:lang w:eastAsia="en-AU"/>
              </w:rPr>
            </w:pPr>
            <w:r>
              <w:rPr>
                <w:lang w:eastAsia="en-AU"/>
              </w:rPr>
              <w:t>-</w:t>
            </w:r>
          </w:p>
        </w:tc>
      </w:tr>
      <w:tr w:rsidR="00081605" w:rsidRPr="00081605" w:rsidTr="00046BEF">
        <w:trPr>
          <w:trHeight w:val="285"/>
        </w:trPr>
        <w:tc>
          <w:tcPr>
            <w:tcW w:w="6536" w:type="dxa"/>
            <w:tcBorders>
              <w:top w:val="nil"/>
              <w:left w:val="nil"/>
              <w:bottom w:val="nil"/>
              <w:right w:val="nil"/>
            </w:tcBorders>
            <w:shd w:val="clear" w:color="auto" w:fill="auto"/>
            <w:vAlign w:val="bottom"/>
            <w:hideMark/>
          </w:tcPr>
          <w:p w:rsidR="00081605" w:rsidRPr="00081605" w:rsidRDefault="00081605" w:rsidP="00046BEF">
            <w:pPr>
              <w:spacing w:after="0"/>
              <w:rPr>
                <w:lang w:eastAsia="en-AU"/>
              </w:rPr>
            </w:pPr>
            <w:r w:rsidRPr="00081605">
              <w:rPr>
                <w:lang w:eastAsia="en-AU"/>
              </w:rPr>
              <w:t>Payments</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081605" w:rsidRPr="00081605" w:rsidRDefault="00081605" w:rsidP="00046BEF">
            <w:pPr>
              <w:spacing w:after="0"/>
              <w:jc w:val="right"/>
              <w:rPr>
                <w:lang w:eastAsia="en-AU"/>
              </w:rPr>
            </w:pPr>
            <w:r w:rsidRPr="00081605">
              <w:rPr>
                <w:lang w:eastAsia="en-AU"/>
              </w:rPr>
              <w:t>-</w:t>
            </w:r>
          </w:p>
        </w:tc>
        <w:tc>
          <w:tcPr>
            <w:tcW w:w="1134" w:type="dxa"/>
            <w:tcBorders>
              <w:top w:val="nil"/>
              <w:left w:val="nil"/>
              <w:bottom w:val="single" w:sz="4" w:space="0" w:color="auto"/>
              <w:right w:val="nil"/>
            </w:tcBorders>
            <w:shd w:val="clear" w:color="auto" w:fill="auto"/>
            <w:noWrap/>
            <w:vAlign w:val="bottom"/>
            <w:hideMark/>
          </w:tcPr>
          <w:p w:rsidR="00081605" w:rsidRPr="00081605" w:rsidRDefault="00081605" w:rsidP="00046BEF">
            <w:pPr>
              <w:spacing w:after="0"/>
              <w:jc w:val="right"/>
              <w:rPr>
                <w:lang w:eastAsia="en-AU"/>
              </w:rPr>
            </w:pPr>
            <w:r w:rsidRPr="00081605">
              <w:rPr>
                <w:lang w:eastAsia="en-AU"/>
              </w:rPr>
              <w:t>-</w:t>
            </w:r>
          </w:p>
        </w:tc>
      </w:tr>
      <w:tr w:rsidR="00081605" w:rsidRPr="00081605" w:rsidTr="00046BEF">
        <w:trPr>
          <w:trHeight w:val="285"/>
        </w:trPr>
        <w:tc>
          <w:tcPr>
            <w:tcW w:w="6536" w:type="dxa"/>
            <w:tcBorders>
              <w:top w:val="nil"/>
              <w:left w:val="nil"/>
              <w:bottom w:val="nil"/>
              <w:right w:val="nil"/>
            </w:tcBorders>
            <w:shd w:val="clear" w:color="auto" w:fill="auto"/>
            <w:vAlign w:val="bottom"/>
            <w:hideMark/>
          </w:tcPr>
          <w:p w:rsidR="00081605" w:rsidRPr="00081605" w:rsidRDefault="00081605" w:rsidP="00046BEF">
            <w:pPr>
              <w:spacing w:after="0"/>
              <w:rPr>
                <w:lang w:eastAsia="en-AU"/>
              </w:rPr>
            </w:pPr>
            <w:r w:rsidRPr="00081605">
              <w:rPr>
                <w:lang w:eastAsia="en-AU"/>
              </w:rPr>
              <w:t>Balance at the end of the year</w:t>
            </w:r>
          </w:p>
        </w:tc>
        <w:tc>
          <w:tcPr>
            <w:tcW w:w="1134" w:type="dxa"/>
            <w:tcBorders>
              <w:top w:val="single" w:sz="4" w:space="0" w:color="auto"/>
              <w:left w:val="nil"/>
              <w:bottom w:val="double" w:sz="4" w:space="0" w:color="auto"/>
              <w:right w:val="nil"/>
            </w:tcBorders>
            <w:shd w:val="clear" w:color="auto" w:fill="F2F2F2" w:themeFill="background1" w:themeFillShade="F2"/>
            <w:noWrap/>
            <w:vAlign w:val="bottom"/>
            <w:hideMark/>
          </w:tcPr>
          <w:p w:rsidR="00081605" w:rsidRPr="00081605" w:rsidRDefault="00081605" w:rsidP="00046BEF">
            <w:pPr>
              <w:spacing w:after="0"/>
              <w:jc w:val="right"/>
              <w:rPr>
                <w:lang w:eastAsia="en-AU"/>
              </w:rPr>
            </w:pPr>
            <w:r>
              <w:rPr>
                <w:lang w:eastAsia="en-AU"/>
              </w:rPr>
              <w:t>-</w:t>
            </w:r>
          </w:p>
        </w:tc>
        <w:tc>
          <w:tcPr>
            <w:tcW w:w="1134" w:type="dxa"/>
            <w:tcBorders>
              <w:top w:val="single" w:sz="4" w:space="0" w:color="auto"/>
              <w:left w:val="nil"/>
              <w:bottom w:val="double" w:sz="4" w:space="0" w:color="auto"/>
              <w:right w:val="nil"/>
            </w:tcBorders>
            <w:shd w:val="clear" w:color="auto" w:fill="auto"/>
            <w:noWrap/>
            <w:vAlign w:val="bottom"/>
            <w:hideMark/>
          </w:tcPr>
          <w:p w:rsidR="00081605" w:rsidRPr="00081605" w:rsidRDefault="00081605" w:rsidP="00046BEF">
            <w:pPr>
              <w:spacing w:after="0"/>
              <w:jc w:val="right"/>
              <w:rPr>
                <w:lang w:eastAsia="en-AU"/>
              </w:rPr>
            </w:pPr>
            <w:r>
              <w:rPr>
                <w:lang w:eastAsia="en-AU"/>
              </w:rPr>
              <w:t>-</w:t>
            </w:r>
          </w:p>
        </w:tc>
      </w:tr>
    </w:tbl>
    <w:p w:rsidR="00FC4E35" w:rsidRDefault="00FC4E35" w:rsidP="00081605">
      <w:pPr>
        <w:spacing w:before="240"/>
        <w:rPr>
          <w:lang w:val="en-US"/>
        </w:rPr>
      </w:pPr>
      <w:r w:rsidRPr="00FC4E35">
        <w:rPr>
          <w:lang w:val="en-US"/>
        </w:rPr>
        <w:t>The accou</w:t>
      </w:r>
      <w:r w:rsidR="00081605">
        <w:rPr>
          <w:lang w:val="en-US"/>
        </w:rPr>
        <w:t>nt was set up in November 2014.</w:t>
      </w:r>
    </w:p>
    <w:p w:rsidR="009A36D1" w:rsidRDefault="009A36D1">
      <w:pPr>
        <w:spacing w:line="276" w:lineRule="auto"/>
        <w:rPr>
          <w:lang w:val="en-US"/>
        </w:rPr>
      </w:pPr>
      <w:r>
        <w:rPr>
          <w:lang w:val="en-US"/>
        </w:rPr>
        <w:br w:type="page"/>
      </w:r>
    </w:p>
    <w:p w:rsidR="00FC4E35" w:rsidRPr="00081605" w:rsidRDefault="00FC4E35" w:rsidP="00AE75A9">
      <w:pPr>
        <w:pStyle w:val="Heading4"/>
        <w:numPr>
          <w:ilvl w:val="0"/>
          <w:numId w:val="76"/>
        </w:numPr>
      </w:pPr>
      <w:r w:rsidRPr="00081605">
        <w:t>Financial Instruments</w:t>
      </w:r>
    </w:p>
    <w:p w:rsidR="00FC4E35" w:rsidRPr="00046BEF" w:rsidRDefault="00FC4E35" w:rsidP="00AE75A9">
      <w:pPr>
        <w:pStyle w:val="Heading5"/>
        <w:numPr>
          <w:ilvl w:val="0"/>
          <w:numId w:val="91"/>
        </w:numPr>
      </w:pPr>
      <w:r w:rsidRPr="00046BEF">
        <w:t>Financial Risk Management Objectives and Policies</w:t>
      </w:r>
    </w:p>
    <w:p w:rsidR="00FC4E35" w:rsidRPr="00FC4E35" w:rsidRDefault="00FC4E35" w:rsidP="00081605">
      <w:pPr>
        <w:rPr>
          <w:lang w:val="en-US"/>
        </w:rPr>
      </w:pPr>
      <w:r w:rsidRPr="00FC4E35">
        <w:rPr>
          <w:lang w:val="en-US"/>
        </w:rPr>
        <w:t>Financial instruments held by the Department are cash and cash equivalents, restricted cash and cash equivalents, receivables, payables and forward foreign-exchange contracts.  All of the Department’s cash is held in the public bank account (non-interest bearing) apart from restricted cash held in a special purpose account. The Department has limited exposure to financial risks.  The Department’s overall risk management programme focuses on managing the risks identified below.</w:t>
      </w:r>
    </w:p>
    <w:p w:rsidR="00FC4E35" w:rsidRPr="00FC4E35" w:rsidRDefault="00FC4E35" w:rsidP="00081605">
      <w:pPr>
        <w:pStyle w:val="Heading7"/>
        <w:rPr>
          <w:color w:val="000000"/>
          <w:lang w:val="en-US"/>
        </w:rPr>
      </w:pPr>
      <w:r w:rsidRPr="00FC4E35">
        <w:rPr>
          <w:lang w:val="en-GB"/>
        </w:rPr>
        <w:t>Credit risk</w:t>
      </w:r>
    </w:p>
    <w:p w:rsidR="00FC4E35" w:rsidRPr="00FC4E35" w:rsidRDefault="00FC4E35" w:rsidP="00081605">
      <w:pPr>
        <w:rPr>
          <w:lang w:val="en-US"/>
        </w:rPr>
      </w:pPr>
      <w:r w:rsidRPr="00FC4E35">
        <w:rPr>
          <w:lang w:val="en-US"/>
        </w:rPr>
        <w:t>Credit risk arises when there is the possibility of the Department’s receivables defaulting on their contractual obligations resulting in financial loss to the Department. The Department measures credit risk on a fair value basis and monitors risk on a regular basis.</w:t>
      </w:r>
    </w:p>
    <w:p w:rsidR="00FC4E35" w:rsidRPr="00FC4E35" w:rsidRDefault="00FC4E35" w:rsidP="00081605">
      <w:pPr>
        <w:rPr>
          <w:color w:val="000000"/>
          <w:lang w:val="en-US"/>
        </w:rPr>
      </w:pPr>
      <w:r w:rsidRPr="00FC4E35">
        <w:rPr>
          <w:color w:val="000000"/>
          <w:lang w:val="en-US"/>
        </w:rPr>
        <w:t>The maximum exposure to credit risk at the end of the reporting period in relation to each class of recognised financial assets is the gross carrying amount of those assets inclusive of any provisions for impairment, as shown in the table at note 36(c).</w:t>
      </w:r>
    </w:p>
    <w:p w:rsidR="00FC4E35" w:rsidRPr="00FC4E35" w:rsidRDefault="00FC4E35" w:rsidP="00081605">
      <w:pPr>
        <w:rPr>
          <w:color w:val="000000"/>
          <w:lang w:val="en-US"/>
        </w:rPr>
      </w:pPr>
      <w:r w:rsidRPr="00FC4E35">
        <w:rPr>
          <w:color w:val="000000"/>
          <w:lang w:val="en-US"/>
        </w:rPr>
        <w:t>Credit risk associated with the Department’s financial assets is minimal because the main receivable is the amounts receivable for services (holding account). For receivables other than government, the Department trades only with recognised, creditworthy third parties. The Department has policies in place to ensure that sales of products and services are made to customers with an appropriate credit history. In addition, receivable balances are monitored on an ongoing basis with the result that the Department’s exposure to bad debts is minimal. There are no significant concentrations of credit risk.</w:t>
      </w:r>
    </w:p>
    <w:p w:rsidR="00FC4E35" w:rsidRPr="00FC4E35" w:rsidRDefault="00FC4E35" w:rsidP="00081605">
      <w:pPr>
        <w:rPr>
          <w:color w:val="000000"/>
          <w:lang w:val="en-US"/>
        </w:rPr>
      </w:pPr>
      <w:r w:rsidRPr="00FC4E35">
        <w:rPr>
          <w:color w:val="000000"/>
          <w:lang w:val="en-US"/>
        </w:rPr>
        <w:t>Allowance for impairment of financial assets is calculated based on objective evidence such as observable data in client credit ratings. For financial assets that are either past due or impaired, refer to note 36(c) “Financial Instrument Disclosures”.</w:t>
      </w:r>
    </w:p>
    <w:p w:rsidR="00FC4E35" w:rsidRPr="00FC4E35" w:rsidRDefault="00FC4E35" w:rsidP="00081605">
      <w:pPr>
        <w:pStyle w:val="Heading7"/>
        <w:rPr>
          <w:color w:val="000000"/>
          <w:lang w:val="en-US"/>
        </w:rPr>
      </w:pPr>
      <w:r w:rsidRPr="00FC4E35">
        <w:rPr>
          <w:lang w:val="en-GB"/>
        </w:rPr>
        <w:t>Liquidity risk</w:t>
      </w:r>
    </w:p>
    <w:p w:rsidR="00FC4E35" w:rsidRPr="00FC4E35" w:rsidRDefault="00FC4E35" w:rsidP="00081605">
      <w:pPr>
        <w:rPr>
          <w:color w:val="000000"/>
          <w:lang w:val="en-US"/>
        </w:rPr>
      </w:pPr>
      <w:r w:rsidRPr="00FC4E35">
        <w:rPr>
          <w:color w:val="000000"/>
          <w:lang w:val="en-US"/>
        </w:rPr>
        <w:t>The Department is exposed to liquidity risk through its trading in the normal course of business. Liquidity risk arises when the Department is unable to meet its financial obligations as they fall due.</w:t>
      </w:r>
    </w:p>
    <w:p w:rsidR="00FC4E35" w:rsidRPr="00FC4E35" w:rsidRDefault="00FC4E35" w:rsidP="00081605">
      <w:pPr>
        <w:rPr>
          <w:color w:val="000000"/>
          <w:lang w:val="en-US"/>
        </w:rPr>
      </w:pPr>
      <w:r w:rsidRPr="00FC4E35">
        <w:rPr>
          <w:color w:val="000000"/>
          <w:lang w:val="en-US"/>
        </w:rPr>
        <w:t>The Department has appropriate procedures to manage cash flows including drawdowns of appropriations by monitoring forecast cash flows to ensure that sufficient funds are available to meet its commitments.</w:t>
      </w:r>
    </w:p>
    <w:p w:rsidR="00FC4E35" w:rsidRPr="00FC4E35" w:rsidRDefault="00FC4E35" w:rsidP="00081605">
      <w:pPr>
        <w:pStyle w:val="Heading7"/>
        <w:rPr>
          <w:color w:val="000000"/>
          <w:lang w:val="en-US"/>
        </w:rPr>
      </w:pPr>
      <w:r w:rsidRPr="00FC4E35">
        <w:rPr>
          <w:lang w:val="en-GB"/>
        </w:rPr>
        <w:t>Market risk</w:t>
      </w:r>
    </w:p>
    <w:p w:rsidR="00FC4E35" w:rsidRPr="00FC4E35" w:rsidRDefault="00FC4E35" w:rsidP="00081605">
      <w:pPr>
        <w:rPr>
          <w:color w:val="000000"/>
          <w:lang w:val="en-US"/>
        </w:rPr>
      </w:pPr>
      <w:r w:rsidRPr="00FC4E35">
        <w:rPr>
          <w:color w:val="000000"/>
          <w:lang w:val="en-US"/>
        </w:rPr>
        <w:t>Market risk is the risk that changes in market prices such as foreign exchange rates and interest rates will affect the Department income or the value of its holdings of financial instruments. There has been no change to the Department’s exposure to market risks or the manner in which it manages and measures the risk.</w:t>
      </w:r>
    </w:p>
    <w:p w:rsidR="009A36D1" w:rsidRDefault="009A36D1">
      <w:pPr>
        <w:spacing w:line="276" w:lineRule="auto"/>
        <w:rPr>
          <w:rFonts w:ascii="Arial" w:hAnsi="Arial" w:cs="Arial"/>
          <w:i/>
          <w:color w:val="193A68"/>
          <w:lang w:val="en-GB"/>
        </w:rPr>
      </w:pPr>
      <w:r>
        <w:rPr>
          <w:i/>
          <w:lang w:val="en-GB"/>
        </w:rPr>
        <w:br w:type="page"/>
      </w:r>
    </w:p>
    <w:p w:rsidR="00081605" w:rsidRPr="00081605" w:rsidRDefault="00FC4E35" w:rsidP="00081605">
      <w:pPr>
        <w:pStyle w:val="Heading7"/>
        <w:rPr>
          <w:i/>
          <w:color w:val="000000"/>
          <w:lang w:val="en-US"/>
        </w:rPr>
      </w:pPr>
      <w:r w:rsidRPr="00081605">
        <w:rPr>
          <w:i/>
          <w:lang w:val="en-GB"/>
        </w:rPr>
        <w:t>Interest</w:t>
      </w:r>
    </w:p>
    <w:p w:rsidR="00FC4E35" w:rsidRPr="00FC4E35" w:rsidRDefault="00FC4E35" w:rsidP="00081605">
      <w:pPr>
        <w:rPr>
          <w:color w:val="000000"/>
          <w:lang w:val="en-US"/>
        </w:rPr>
      </w:pPr>
      <w:r w:rsidRPr="00FC4E35">
        <w:rPr>
          <w:color w:val="000000"/>
          <w:lang w:val="en-US"/>
        </w:rPr>
        <w:t>Other than as detailed in the interest rate sensitivity analysis table at note 36(c), the Department is not exposed to interest risk because apart from amounts in restricted cash, all other cash and cash equivalents are non-interest bearing, and have no borrowing.</w:t>
      </w:r>
    </w:p>
    <w:p w:rsidR="00081605" w:rsidRPr="00081605" w:rsidRDefault="00FC4E35" w:rsidP="00081605">
      <w:pPr>
        <w:pStyle w:val="Heading7"/>
        <w:rPr>
          <w:i/>
          <w:color w:val="000000"/>
          <w:lang w:val="en-US"/>
        </w:rPr>
      </w:pPr>
      <w:r w:rsidRPr="00081605">
        <w:rPr>
          <w:i/>
          <w:lang w:val="en-GB"/>
        </w:rPr>
        <w:t>Foreign Currency</w:t>
      </w:r>
    </w:p>
    <w:p w:rsidR="00FC4E35" w:rsidRPr="00FC4E35" w:rsidRDefault="00FC4E35" w:rsidP="00081605">
      <w:pPr>
        <w:rPr>
          <w:color w:val="000000"/>
          <w:lang w:val="en-US"/>
        </w:rPr>
      </w:pPr>
      <w:r w:rsidRPr="00FC4E35">
        <w:rPr>
          <w:color w:val="000000"/>
          <w:lang w:val="en-US"/>
        </w:rPr>
        <w:t>The Department undertakes certain transactions denominated in foreign currencies, hence exposures to exchange rate fluctuations arise. This is managed within approved policy parameters such as utilising forward foreign exchange contracts to hedge the exchange rate risk arising from foreign currency denominated lease and service contracts.</w:t>
      </w:r>
    </w:p>
    <w:p w:rsidR="00FC4E35" w:rsidRPr="00081605" w:rsidRDefault="00FC4E35" w:rsidP="00081605">
      <w:pPr>
        <w:rPr>
          <w:color w:val="000000"/>
          <w:u w:val="single"/>
          <w:lang w:val="en-US"/>
        </w:rPr>
      </w:pPr>
      <w:r w:rsidRPr="00081605">
        <w:rPr>
          <w:color w:val="000000"/>
          <w:u w:val="single"/>
          <w:lang w:val="en-US"/>
        </w:rPr>
        <w:t>Forward foreign exchange contracts</w:t>
      </w:r>
    </w:p>
    <w:p w:rsidR="00FC4E35" w:rsidRPr="00FC4E35" w:rsidRDefault="00FC4E35" w:rsidP="00081605">
      <w:pPr>
        <w:rPr>
          <w:color w:val="000000"/>
          <w:lang w:val="en-US"/>
        </w:rPr>
      </w:pPr>
      <w:r w:rsidRPr="00FC4E35">
        <w:rPr>
          <w:color w:val="000000"/>
          <w:lang w:val="en-US"/>
        </w:rPr>
        <w:t>The Department has entered into aircraft leases in USD with commitments to purchase aircraft spare parts and meet maintenance costs in USD over the life of the aircraft leases. The Department has entered into forward foreign exchange contracts to hedge the exchange rate risk arising from these anticipated future transactions, which where appropriate, are designated as cash flow hedges. In the circumstances where the Department is unable to designate the forward exchange contracts as a cash flow hedge, the contract by default, is categorised as Fair Value Through Profit or Loss (FVTPL).</w:t>
      </w:r>
    </w:p>
    <w:p w:rsidR="00FC4E35" w:rsidRPr="00081605" w:rsidRDefault="00FC4E35" w:rsidP="00081605">
      <w:pPr>
        <w:rPr>
          <w:color w:val="000000"/>
          <w:u w:val="single"/>
          <w:lang w:val="en-US"/>
        </w:rPr>
      </w:pPr>
      <w:r w:rsidRPr="00081605">
        <w:rPr>
          <w:color w:val="000000"/>
          <w:u w:val="single"/>
          <w:lang w:val="en-US"/>
        </w:rPr>
        <w:t>Cash flow hedge</w:t>
      </w:r>
    </w:p>
    <w:p w:rsidR="00FC4E35" w:rsidRPr="00FC4E35" w:rsidRDefault="00FC4E35" w:rsidP="00081605">
      <w:pPr>
        <w:rPr>
          <w:color w:val="000000"/>
          <w:lang w:val="en-US"/>
        </w:rPr>
      </w:pPr>
      <w:r w:rsidRPr="00FC4E35">
        <w:rPr>
          <w:color w:val="000000"/>
          <w:lang w:val="en-US"/>
        </w:rPr>
        <w:t>The effective portion of changes in the fair value of derivatives that are designated and qualify as cash flow hedges are deferred in equity. The gain or loss relating to the ineffective portion is recognised immediately in profit or loss as part of other expenses or other income.</w:t>
      </w:r>
    </w:p>
    <w:p w:rsidR="00FC4E35" w:rsidRPr="00FC4E35" w:rsidRDefault="00FC4E35" w:rsidP="00081605">
      <w:pPr>
        <w:rPr>
          <w:color w:val="000000"/>
          <w:lang w:val="en-US"/>
        </w:rPr>
      </w:pPr>
      <w:r w:rsidRPr="00FC4E35">
        <w:rPr>
          <w:color w:val="000000"/>
          <w:lang w:val="en-US"/>
        </w:rPr>
        <w:t>Amounts deferred in equity are recycled in profit or loss in the periods when the hedged item is recognised in profit or loss.  However, when the forecast transaction that is hedged results in the recognition of a non-financial asset or a non-financial liability, the gains and losses previously deferred in equity are transferred from equity and included in the initial measurement of the cost of the asset or liability.</w:t>
      </w:r>
    </w:p>
    <w:p w:rsidR="00FC4E35" w:rsidRPr="00FC4E35" w:rsidRDefault="00FC4E35" w:rsidP="00081605">
      <w:pPr>
        <w:pStyle w:val="Heading8"/>
      </w:pPr>
      <w:r w:rsidRPr="00FC4E35">
        <w:t>2015 Recycled from Equity to Profit or Loss</w:t>
      </w:r>
    </w:p>
    <w:tbl>
      <w:tblPr>
        <w:tblW w:w="0" w:type="auto"/>
        <w:tblInd w:w="8" w:type="dxa"/>
        <w:tblLayout w:type="fixed"/>
        <w:tblCellMar>
          <w:left w:w="0" w:type="dxa"/>
          <w:right w:w="0" w:type="dxa"/>
        </w:tblCellMar>
        <w:tblLook w:val="0000" w:firstRow="0" w:lastRow="0" w:firstColumn="0" w:lastColumn="0" w:noHBand="0" w:noVBand="0"/>
      </w:tblPr>
      <w:tblGrid>
        <w:gridCol w:w="1708"/>
        <w:gridCol w:w="1708"/>
        <w:gridCol w:w="1708"/>
        <w:gridCol w:w="1707"/>
        <w:gridCol w:w="1708"/>
        <w:gridCol w:w="1708"/>
      </w:tblGrid>
      <w:tr w:rsidR="00FC4E35" w:rsidRPr="00081605" w:rsidTr="00081605">
        <w:trPr>
          <w:trHeight w:val="60"/>
        </w:trPr>
        <w:tc>
          <w:tcPr>
            <w:tcW w:w="1708" w:type="dxa"/>
            <w:tcBorders>
              <w:bottom w:val="single" w:sz="4" w:space="0" w:color="auto"/>
            </w:tcBorders>
            <w:tcMar>
              <w:top w:w="85" w:type="dxa"/>
              <w:left w:w="0" w:type="dxa"/>
              <w:bottom w:w="85" w:type="dxa"/>
              <w:right w:w="0" w:type="dxa"/>
            </w:tcMar>
            <w:vAlign w:val="bottom"/>
          </w:tcPr>
          <w:p w:rsidR="00FC4E35" w:rsidRPr="00081605" w:rsidRDefault="00FC4E35" w:rsidP="00081605">
            <w:pPr>
              <w:spacing w:after="0"/>
              <w:jc w:val="center"/>
              <w:rPr>
                <w:b/>
                <w:lang w:val="en-US"/>
              </w:rPr>
            </w:pPr>
            <w:r w:rsidRPr="00081605">
              <w:rPr>
                <w:b/>
                <w:lang w:val="en-US"/>
              </w:rPr>
              <w:t>Balance</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&lt;1 year</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1-2 years</w:t>
            </w:r>
          </w:p>
        </w:tc>
        <w:tc>
          <w:tcPr>
            <w:tcW w:w="1707"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2-3 years</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3-4 years</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4-5 years</w:t>
            </w:r>
          </w:p>
        </w:tc>
      </w:tr>
      <w:tr w:rsidR="00FC4E35" w:rsidRPr="00FC4E35" w:rsidTr="00081605">
        <w:trPr>
          <w:trHeight w:val="60"/>
        </w:trPr>
        <w:tc>
          <w:tcPr>
            <w:tcW w:w="1708" w:type="dxa"/>
            <w:tcBorders>
              <w:top w:val="single" w:sz="4" w:space="0" w:color="auto"/>
              <w:bottom w:val="single" w:sz="4" w:space="0" w:color="auto"/>
            </w:tcBorders>
            <w:tcMar>
              <w:top w:w="85" w:type="dxa"/>
              <w:left w:w="0" w:type="dxa"/>
              <w:bottom w:w="85" w:type="dxa"/>
              <w:right w:w="0" w:type="dxa"/>
            </w:tcMar>
            <w:vAlign w:val="bottom"/>
          </w:tcPr>
          <w:p w:rsidR="00FC4E35" w:rsidRPr="00FC4E35" w:rsidRDefault="00FC4E35" w:rsidP="00081605">
            <w:pPr>
              <w:spacing w:after="0"/>
              <w:jc w:val="center"/>
              <w:rPr>
                <w:lang w:val="en-US"/>
              </w:rPr>
            </w:pPr>
            <w:r w:rsidRPr="00FC4E35">
              <w:rPr>
                <w:lang w:val="en-US"/>
              </w:rPr>
              <w:t>DR 439</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299</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140</w:t>
            </w:r>
          </w:p>
        </w:tc>
        <w:tc>
          <w:tcPr>
            <w:tcW w:w="1707"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0</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0</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0</w:t>
            </w:r>
          </w:p>
        </w:tc>
      </w:tr>
    </w:tbl>
    <w:p w:rsidR="00FC4E35" w:rsidRPr="00FC4E35" w:rsidRDefault="00FC4E35" w:rsidP="00FC4E35">
      <w:pPr>
        <w:suppressAutoHyphens/>
        <w:autoSpaceDE w:val="0"/>
        <w:autoSpaceDN w:val="0"/>
        <w:adjustRightInd w:val="0"/>
        <w:spacing w:line="288" w:lineRule="auto"/>
        <w:textAlignment w:val="center"/>
        <w:rPr>
          <w:color w:val="000000"/>
          <w:lang w:val="en-US"/>
        </w:rPr>
      </w:pPr>
    </w:p>
    <w:p w:rsidR="00FC4E35" w:rsidRPr="00FC4E35" w:rsidRDefault="00FC4E35" w:rsidP="00FC4E35">
      <w:pPr>
        <w:suppressAutoHyphens/>
        <w:autoSpaceDE w:val="0"/>
        <w:autoSpaceDN w:val="0"/>
        <w:adjustRightInd w:val="0"/>
        <w:spacing w:line="288" w:lineRule="auto"/>
        <w:textAlignment w:val="center"/>
        <w:rPr>
          <w:color w:val="000000"/>
          <w:lang w:val="en-US"/>
        </w:rPr>
      </w:pPr>
      <w:r w:rsidRPr="00FC4E35">
        <w:rPr>
          <w:rFonts w:ascii="Arial" w:hAnsi="Arial" w:cs="Arial"/>
          <w:b/>
          <w:bCs/>
          <w:color w:val="000000"/>
          <w:lang w:val="en-US"/>
        </w:rPr>
        <w:t>2014 Recycled from Equity to Profit or Loss</w:t>
      </w:r>
    </w:p>
    <w:tbl>
      <w:tblPr>
        <w:tblW w:w="0" w:type="auto"/>
        <w:tblLayout w:type="fixed"/>
        <w:tblCellMar>
          <w:left w:w="0" w:type="dxa"/>
          <w:right w:w="0" w:type="dxa"/>
        </w:tblCellMar>
        <w:tblLook w:val="0000" w:firstRow="0" w:lastRow="0" w:firstColumn="0" w:lastColumn="0" w:noHBand="0" w:noVBand="0"/>
      </w:tblPr>
      <w:tblGrid>
        <w:gridCol w:w="1708"/>
        <w:gridCol w:w="1708"/>
        <w:gridCol w:w="1708"/>
        <w:gridCol w:w="1707"/>
        <w:gridCol w:w="1708"/>
        <w:gridCol w:w="1708"/>
      </w:tblGrid>
      <w:tr w:rsidR="00FC4E35" w:rsidRPr="00FC4E35" w:rsidTr="00081605">
        <w:trPr>
          <w:trHeight w:val="60"/>
        </w:trPr>
        <w:tc>
          <w:tcPr>
            <w:tcW w:w="1708" w:type="dxa"/>
            <w:tcBorders>
              <w:bottom w:val="single" w:sz="4" w:space="0" w:color="auto"/>
            </w:tcBorders>
            <w:tcMar>
              <w:top w:w="85" w:type="dxa"/>
              <w:left w:w="0" w:type="dxa"/>
              <w:bottom w:w="85" w:type="dxa"/>
              <w:right w:w="0" w:type="dxa"/>
            </w:tcMar>
            <w:vAlign w:val="bottom"/>
          </w:tcPr>
          <w:p w:rsidR="00FC4E35" w:rsidRPr="00081605" w:rsidRDefault="00FC4E35" w:rsidP="00081605">
            <w:pPr>
              <w:spacing w:after="0"/>
              <w:jc w:val="center"/>
              <w:rPr>
                <w:b/>
                <w:lang w:val="en-US"/>
              </w:rPr>
            </w:pPr>
            <w:r w:rsidRPr="00081605">
              <w:rPr>
                <w:b/>
                <w:lang w:val="en-US"/>
              </w:rPr>
              <w:t>Balance</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&lt;1 year</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1-2 years</w:t>
            </w:r>
          </w:p>
        </w:tc>
        <w:tc>
          <w:tcPr>
            <w:tcW w:w="1707"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2-3 years</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3-4 years</w:t>
            </w:r>
          </w:p>
        </w:tc>
        <w:tc>
          <w:tcPr>
            <w:tcW w:w="1708" w:type="dxa"/>
            <w:tcBorders>
              <w:bottom w:val="single" w:sz="4" w:space="0" w:color="auto"/>
            </w:tcBorders>
            <w:tcMar>
              <w:top w:w="85" w:type="dxa"/>
              <w:left w:w="80" w:type="dxa"/>
              <w:bottom w:w="85" w:type="dxa"/>
              <w:right w:w="80" w:type="dxa"/>
            </w:tcMar>
            <w:vAlign w:val="center"/>
          </w:tcPr>
          <w:p w:rsidR="00FC4E35" w:rsidRPr="00081605" w:rsidRDefault="00FC4E35" w:rsidP="00081605">
            <w:pPr>
              <w:spacing w:after="0"/>
              <w:jc w:val="center"/>
              <w:rPr>
                <w:b/>
                <w:lang w:val="en-US"/>
              </w:rPr>
            </w:pPr>
            <w:r w:rsidRPr="00081605">
              <w:rPr>
                <w:b/>
                <w:lang w:val="en-US"/>
              </w:rPr>
              <w:t>4-5 years</w:t>
            </w:r>
          </w:p>
        </w:tc>
      </w:tr>
      <w:tr w:rsidR="00FC4E35" w:rsidRPr="00FC4E35" w:rsidTr="00081605">
        <w:trPr>
          <w:trHeight w:val="60"/>
        </w:trPr>
        <w:tc>
          <w:tcPr>
            <w:tcW w:w="1708" w:type="dxa"/>
            <w:tcBorders>
              <w:top w:val="single" w:sz="4" w:space="0" w:color="auto"/>
              <w:bottom w:val="single" w:sz="4" w:space="0" w:color="auto"/>
            </w:tcBorders>
            <w:tcMar>
              <w:top w:w="85" w:type="dxa"/>
              <w:left w:w="0" w:type="dxa"/>
              <w:bottom w:w="85" w:type="dxa"/>
              <w:right w:w="0" w:type="dxa"/>
            </w:tcMar>
            <w:vAlign w:val="bottom"/>
          </w:tcPr>
          <w:p w:rsidR="00FC4E35" w:rsidRPr="00FC4E35" w:rsidRDefault="00FC4E35" w:rsidP="00081605">
            <w:pPr>
              <w:spacing w:after="0"/>
              <w:jc w:val="center"/>
              <w:rPr>
                <w:lang w:val="en-US"/>
              </w:rPr>
            </w:pPr>
            <w:r w:rsidRPr="00FC4E35">
              <w:rPr>
                <w:lang w:val="en-US"/>
              </w:rPr>
              <w:t>DR 1,968</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832</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772</w:t>
            </w:r>
          </w:p>
        </w:tc>
        <w:tc>
          <w:tcPr>
            <w:tcW w:w="1707"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364</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0</w:t>
            </w:r>
          </w:p>
        </w:tc>
        <w:tc>
          <w:tcPr>
            <w:tcW w:w="1708" w:type="dxa"/>
            <w:tcBorders>
              <w:top w:val="single" w:sz="4" w:space="0" w:color="auto"/>
              <w:bottom w:val="single" w:sz="4" w:space="0" w:color="auto"/>
            </w:tcBorders>
            <w:tcMar>
              <w:top w:w="85" w:type="dxa"/>
              <w:left w:w="80" w:type="dxa"/>
              <w:bottom w:w="85" w:type="dxa"/>
              <w:right w:w="80" w:type="dxa"/>
            </w:tcMar>
            <w:vAlign w:val="center"/>
          </w:tcPr>
          <w:p w:rsidR="00FC4E35" w:rsidRPr="00FC4E35" w:rsidRDefault="00FC4E35" w:rsidP="00081605">
            <w:pPr>
              <w:spacing w:after="0"/>
              <w:jc w:val="center"/>
              <w:rPr>
                <w:lang w:val="en-US"/>
              </w:rPr>
            </w:pPr>
            <w:r w:rsidRPr="00FC4E35">
              <w:rPr>
                <w:lang w:val="en-US"/>
              </w:rPr>
              <w:t>0</w:t>
            </w:r>
          </w:p>
        </w:tc>
      </w:tr>
    </w:tbl>
    <w:p w:rsidR="00FC4E35" w:rsidRPr="00FC4E35" w:rsidRDefault="00FC4E35" w:rsidP="00081605">
      <w:pPr>
        <w:rPr>
          <w:lang w:val="en-US"/>
        </w:rPr>
      </w:pPr>
    </w:p>
    <w:p w:rsidR="00FC4E35" w:rsidRPr="00FC4E35" w:rsidRDefault="00FC4E35" w:rsidP="00081605">
      <w:pPr>
        <w:rPr>
          <w:lang w:val="en-US"/>
        </w:rPr>
      </w:pPr>
      <w:r w:rsidRPr="00FC4E35">
        <w:rPr>
          <w:lang w:val="en-US"/>
        </w:rPr>
        <w:t>As at reporting date the aggregate amount of unrealised losses under forward foreign exchange contracts deferred in the hedging reserve relating to the exposure on these anticipated future transactions is DR $439,324 (2014: DR $1,968,292).  It is anticipated that the purchases will take place during the next 2 years at which stage the amount deferred in equity will be reclassified into profit or loss.  The Department updates its forecast of foreign currency exposures at least as often as it performs hedge effectiveness testing and in accordance with accounting policy the Department reclassifies from the Cash Flow Reserve to Profit or Loss to the extent that foreign currency hedges are in excess of highly probable forecast transactions.</w:t>
      </w:r>
    </w:p>
    <w:p w:rsidR="00FC4E35" w:rsidRPr="00FC4E35" w:rsidRDefault="00FC4E35" w:rsidP="00081605">
      <w:pPr>
        <w:rPr>
          <w:lang w:val="en-US"/>
        </w:rPr>
      </w:pPr>
      <w:r w:rsidRPr="00FC4E35">
        <w:rPr>
          <w:lang w:val="en-US"/>
        </w:rPr>
        <w:t>It is the policy of the Department to enter into forward foreign exchange contracts to cover specific foreign currency payments and receipts to approximately 100% of the exposure generated. To the extent the foreign currency payments and receipts are no longer expected to occur the Department may from time to time have forward foreign exchange contracts in excess of the forecast foreign currency payments or receipts as originally forecast.</w:t>
      </w:r>
    </w:p>
    <w:p w:rsidR="00FC4E35" w:rsidRDefault="00FC4E35" w:rsidP="00081605">
      <w:pPr>
        <w:rPr>
          <w:lang w:val="en-US"/>
        </w:rPr>
      </w:pPr>
      <w:r w:rsidRPr="00FC4E35">
        <w:rPr>
          <w:lang w:val="en-US"/>
        </w:rPr>
        <w:t>The following table details the forward foreign currency contracts outstanding as at reporting date:</w:t>
      </w:r>
    </w:p>
    <w:tbl>
      <w:tblPr>
        <w:tblW w:w="10260" w:type="dxa"/>
        <w:tblInd w:w="93" w:type="dxa"/>
        <w:tblLook w:val="04A0" w:firstRow="1" w:lastRow="0" w:firstColumn="1" w:lastColumn="0" w:noHBand="0" w:noVBand="1"/>
      </w:tblPr>
      <w:tblGrid>
        <w:gridCol w:w="2260"/>
        <w:gridCol w:w="1000"/>
        <w:gridCol w:w="1000"/>
        <w:gridCol w:w="1000"/>
        <w:gridCol w:w="1000"/>
        <w:gridCol w:w="1000"/>
        <w:gridCol w:w="1000"/>
        <w:gridCol w:w="1000"/>
        <w:gridCol w:w="1000"/>
      </w:tblGrid>
      <w:tr w:rsidR="00046BEF" w:rsidRPr="00046BEF" w:rsidTr="00046BEF">
        <w:trPr>
          <w:trHeight w:val="519"/>
        </w:trPr>
        <w:tc>
          <w:tcPr>
            <w:tcW w:w="2260" w:type="dxa"/>
            <w:vMerge w:val="restart"/>
            <w:tcBorders>
              <w:top w:val="nil"/>
              <w:left w:val="nil"/>
              <w:bottom w:val="nil"/>
              <w:right w:val="nil"/>
            </w:tcBorders>
            <w:shd w:val="clear" w:color="auto" w:fill="auto"/>
            <w:vAlign w:val="center"/>
            <w:hideMark/>
          </w:tcPr>
          <w:p w:rsidR="00046BEF" w:rsidRPr="00046BEF" w:rsidRDefault="00046BEF" w:rsidP="00046BEF">
            <w:pPr>
              <w:spacing w:after="0"/>
              <w:rPr>
                <w:b/>
                <w:lang w:eastAsia="en-AU"/>
              </w:rPr>
            </w:pPr>
          </w:p>
        </w:tc>
        <w:tc>
          <w:tcPr>
            <w:tcW w:w="2000" w:type="dxa"/>
            <w:gridSpan w:val="2"/>
            <w:vMerge w:val="restart"/>
            <w:tcBorders>
              <w:top w:val="nil"/>
              <w:left w:val="nil"/>
              <w:bottom w:val="nil"/>
              <w:right w:val="nil"/>
            </w:tcBorders>
            <w:shd w:val="clear" w:color="auto" w:fill="auto"/>
            <w:vAlign w:val="center"/>
            <w:hideMark/>
          </w:tcPr>
          <w:p w:rsidR="00046BEF" w:rsidRPr="00046BEF" w:rsidRDefault="00046BEF" w:rsidP="00046BEF">
            <w:pPr>
              <w:spacing w:after="0"/>
              <w:jc w:val="center"/>
              <w:rPr>
                <w:b/>
                <w:sz w:val="22"/>
                <w:szCs w:val="22"/>
                <w:lang w:eastAsia="en-AU"/>
              </w:rPr>
            </w:pPr>
            <w:r w:rsidRPr="00046BEF">
              <w:rPr>
                <w:b/>
                <w:sz w:val="22"/>
                <w:szCs w:val="22"/>
                <w:lang w:eastAsia="en-AU"/>
              </w:rPr>
              <w:t>Average Exchange Rate</w:t>
            </w:r>
          </w:p>
        </w:tc>
        <w:tc>
          <w:tcPr>
            <w:tcW w:w="2000" w:type="dxa"/>
            <w:gridSpan w:val="2"/>
            <w:vMerge w:val="restart"/>
            <w:tcBorders>
              <w:top w:val="nil"/>
              <w:left w:val="nil"/>
              <w:bottom w:val="nil"/>
              <w:right w:val="nil"/>
            </w:tcBorders>
            <w:shd w:val="clear" w:color="auto" w:fill="auto"/>
            <w:vAlign w:val="center"/>
            <w:hideMark/>
          </w:tcPr>
          <w:p w:rsidR="00046BEF" w:rsidRPr="00046BEF" w:rsidRDefault="00046BEF" w:rsidP="00046BEF">
            <w:pPr>
              <w:spacing w:after="0"/>
              <w:jc w:val="center"/>
              <w:rPr>
                <w:b/>
                <w:sz w:val="22"/>
                <w:szCs w:val="22"/>
                <w:lang w:eastAsia="en-AU"/>
              </w:rPr>
            </w:pPr>
            <w:r w:rsidRPr="00046BEF">
              <w:rPr>
                <w:b/>
                <w:sz w:val="22"/>
                <w:szCs w:val="22"/>
                <w:lang w:val="en-US" w:eastAsia="en-AU"/>
              </w:rPr>
              <w:t>Foreign Currency Purchased</w:t>
            </w:r>
          </w:p>
        </w:tc>
        <w:tc>
          <w:tcPr>
            <w:tcW w:w="2000" w:type="dxa"/>
            <w:gridSpan w:val="2"/>
            <w:vMerge w:val="restart"/>
            <w:tcBorders>
              <w:top w:val="nil"/>
              <w:left w:val="nil"/>
              <w:bottom w:val="nil"/>
              <w:right w:val="nil"/>
            </w:tcBorders>
            <w:shd w:val="clear" w:color="auto" w:fill="auto"/>
            <w:vAlign w:val="center"/>
            <w:hideMark/>
          </w:tcPr>
          <w:p w:rsidR="00046BEF" w:rsidRPr="00046BEF" w:rsidRDefault="00046BEF" w:rsidP="00046BEF">
            <w:pPr>
              <w:spacing w:after="0"/>
              <w:jc w:val="center"/>
              <w:rPr>
                <w:b/>
                <w:sz w:val="22"/>
                <w:szCs w:val="22"/>
                <w:lang w:eastAsia="en-AU"/>
              </w:rPr>
            </w:pPr>
            <w:r w:rsidRPr="00046BEF">
              <w:rPr>
                <w:b/>
                <w:sz w:val="22"/>
                <w:szCs w:val="22"/>
                <w:lang w:val="en-US" w:eastAsia="en-AU"/>
              </w:rPr>
              <w:t>Contract Value</w:t>
            </w:r>
          </w:p>
        </w:tc>
        <w:tc>
          <w:tcPr>
            <w:tcW w:w="2000" w:type="dxa"/>
            <w:gridSpan w:val="2"/>
            <w:vMerge w:val="restart"/>
            <w:tcBorders>
              <w:top w:val="nil"/>
              <w:left w:val="nil"/>
              <w:bottom w:val="nil"/>
              <w:right w:val="nil"/>
            </w:tcBorders>
            <w:shd w:val="clear" w:color="auto" w:fill="auto"/>
            <w:vAlign w:val="center"/>
            <w:hideMark/>
          </w:tcPr>
          <w:p w:rsidR="00046BEF" w:rsidRPr="00046BEF" w:rsidRDefault="00046BEF" w:rsidP="00046BEF">
            <w:pPr>
              <w:spacing w:after="0"/>
              <w:jc w:val="center"/>
              <w:rPr>
                <w:b/>
                <w:sz w:val="22"/>
                <w:szCs w:val="22"/>
                <w:lang w:eastAsia="en-AU"/>
              </w:rPr>
            </w:pPr>
            <w:r w:rsidRPr="00046BEF">
              <w:rPr>
                <w:b/>
                <w:sz w:val="22"/>
                <w:szCs w:val="22"/>
                <w:lang w:val="en-US" w:eastAsia="en-AU"/>
              </w:rPr>
              <w:t>Fair Value</w:t>
            </w:r>
          </w:p>
        </w:tc>
      </w:tr>
      <w:tr w:rsidR="00046BEF" w:rsidRPr="00046BEF" w:rsidTr="009A36D1">
        <w:trPr>
          <w:trHeight w:val="319"/>
        </w:trPr>
        <w:tc>
          <w:tcPr>
            <w:tcW w:w="2260" w:type="dxa"/>
            <w:vMerge/>
            <w:tcBorders>
              <w:top w:val="nil"/>
              <w:left w:val="nil"/>
              <w:bottom w:val="single" w:sz="4" w:space="0" w:color="auto"/>
              <w:right w:val="nil"/>
            </w:tcBorders>
            <w:vAlign w:val="center"/>
            <w:hideMark/>
          </w:tcPr>
          <w:p w:rsidR="00046BEF" w:rsidRPr="00046BEF" w:rsidRDefault="00046BEF" w:rsidP="00046BEF">
            <w:pPr>
              <w:spacing w:after="0"/>
              <w:rPr>
                <w:lang w:eastAsia="en-AU"/>
              </w:rPr>
            </w:pPr>
          </w:p>
        </w:tc>
        <w:tc>
          <w:tcPr>
            <w:tcW w:w="2000" w:type="dxa"/>
            <w:gridSpan w:val="2"/>
            <w:vMerge/>
            <w:tcBorders>
              <w:top w:val="nil"/>
              <w:left w:val="nil"/>
              <w:bottom w:val="single" w:sz="4" w:space="0" w:color="auto"/>
              <w:right w:val="nil"/>
            </w:tcBorders>
            <w:vAlign w:val="center"/>
            <w:hideMark/>
          </w:tcPr>
          <w:p w:rsidR="00046BEF" w:rsidRPr="00046BEF" w:rsidRDefault="00046BEF" w:rsidP="00046BEF">
            <w:pPr>
              <w:spacing w:after="0"/>
              <w:rPr>
                <w:sz w:val="22"/>
                <w:szCs w:val="22"/>
                <w:lang w:eastAsia="en-AU"/>
              </w:rPr>
            </w:pPr>
          </w:p>
        </w:tc>
        <w:tc>
          <w:tcPr>
            <w:tcW w:w="2000" w:type="dxa"/>
            <w:gridSpan w:val="2"/>
            <w:vMerge/>
            <w:tcBorders>
              <w:top w:val="nil"/>
              <w:left w:val="nil"/>
              <w:bottom w:val="single" w:sz="4" w:space="0" w:color="auto"/>
              <w:right w:val="nil"/>
            </w:tcBorders>
            <w:vAlign w:val="center"/>
            <w:hideMark/>
          </w:tcPr>
          <w:p w:rsidR="00046BEF" w:rsidRPr="00046BEF" w:rsidRDefault="00046BEF" w:rsidP="00046BEF">
            <w:pPr>
              <w:spacing w:after="0"/>
              <w:rPr>
                <w:sz w:val="22"/>
                <w:szCs w:val="22"/>
                <w:lang w:eastAsia="en-AU"/>
              </w:rPr>
            </w:pPr>
          </w:p>
        </w:tc>
        <w:tc>
          <w:tcPr>
            <w:tcW w:w="2000" w:type="dxa"/>
            <w:gridSpan w:val="2"/>
            <w:vMerge/>
            <w:tcBorders>
              <w:top w:val="nil"/>
              <w:left w:val="nil"/>
              <w:bottom w:val="single" w:sz="4" w:space="0" w:color="auto"/>
              <w:right w:val="nil"/>
            </w:tcBorders>
            <w:vAlign w:val="center"/>
            <w:hideMark/>
          </w:tcPr>
          <w:p w:rsidR="00046BEF" w:rsidRPr="00046BEF" w:rsidRDefault="00046BEF" w:rsidP="00046BEF">
            <w:pPr>
              <w:spacing w:after="0"/>
              <w:rPr>
                <w:sz w:val="22"/>
                <w:szCs w:val="22"/>
                <w:lang w:eastAsia="en-AU"/>
              </w:rPr>
            </w:pPr>
          </w:p>
        </w:tc>
        <w:tc>
          <w:tcPr>
            <w:tcW w:w="2000" w:type="dxa"/>
            <w:gridSpan w:val="2"/>
            <w:vMerge/>
            <w:tcBorders>
              <w:top w:val="nil"/>
              <w:left w:val="nil"/>
              <w:bottom w:val="single" w:sz="4" w:space="0" w:color="auto"/>
              <w:right w:val="nil"/>
            </w:tcBorders>
            <w:vAlign w:val="center"/>
            <w:hideMark/>
          </w:tcPr>
          <w:p w:rsidR="00046BEF" w:rsidRPr="00046BEF" w:rsidRDefault="00046BEF" w:rsidP="00046BEF">
            <w:pPr>
              <w:spacing w:after="0"/>
              <w:rPr>
                <w:sz w:val="22"/>
                <w:szCs w:val="22"/>
                <w:lang w:eastAsia="en-AU"/>
              </w:rPr>
            </w:pPr>
          </w:p>
        </w:tc>
      </w:tr>
      <w:tr w:rsidR="00046BEF" w:rsidRPr="00046BEF" w:rsidTr="00046BEF">
        <w:trPr>
          <w:trHeight w:val="570"/>
        </w:trPr>
        <w:tc>
          <w:tcPr>
            <w:tcW w:w="2260" w:type="dxa"/>
            <w:tcBorders>
              <w:top w:val="single" w:sz="4" w:space="0" w:color="auto"/>
              <w:left w:val="nil"/>
              <w:bottom w:val="single" w:sz="4" w:space="0" w:color="auto"/>
              <w:right w:val="nil"/>
            </w:tcBorders>
            <w:shd w:val="clear" w:color="auto" w:fill="auto"/>
            <w:vAlign w:val="center"/>
            <w:hideMark/>
          </w:tcPr>
          <w:p w:rsidR="00046BEF" w:rsidRPr="00046BEF" w:rsidRDefault="00046BEF" w:rsidP="00046BEF">
            <w:pPr>
              <w:spacing w:after="0"/>
              <w:rPr>
                <w:b/>
                <w:lang w:eastAsia="en-AU"/>
              </w:rPr>
            </w:pPr>
            <w:r w:rsidRPr="00046BEF">
              <w:rPr>
                <w:b/>
                <w:lang w:val="en-US" w:eastAsia="en-AU"/>
              </w:rPr>
              <w:t>Outstanding Contracts</w:t>
            </w:r>
          </w:p>
        </w:tc>
        <w:tc>
          <w:tcPr>
            <w:tcW w:w="1000" w:type="dxa"/>
            <w:tcBorders>
              <w:top w:val="single" w:sz="4" w:space="0" w:color="auto"/>
              <w:left w:val="nil"/>
              <w:bottom w:val="single" w:sz="4" w:space="0" w:color="auto"/>
              <w:right w:val="nil"/>
            </w:tcBorders>
            <w:shd w:val="clear" w:color="auto" w:fill="F2F2F2" w:themeFill="background1" w:themeFillShade="F2"/>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2015 $000</w:t>
            </w:r>
          </w:p>
        </w:tc>
        <w:tc>
          <w:tcPr>
            <w:tcW w:w="1000" w:type="dxa"/>
            <w:tcBorders>
              <w:top w:val="single" w:sz="4" w:space="0" w:color="auto"/>
              <w:left w:val="nil"/>
              <w:bottom w:val="single" w:sz="4" w:space="0" w:color="auto"/>
              <w:right w:val="nil"/>
            </w:tcBorders>
            <w:shd w:val="clear" w:color="auto" w:fill="auto"/>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2014 $000</w:t>
            </w:r>
          </w:p>
        </w:tc>
        <w:tc>
          <w:tcPr>
            <w:tcW w:w="1000" w:type="dxa"/>
            <w:tcBorders>
              <w:top w:val="single" w:sz="4" w:space="0" w:color="auto"/>
              <w:left w:val="nil"/>
              <w:bottom w:val="single" w:sz="4" w:space="0" w:color="auto"/>
              <w:right w:val="nil"/>
            </w:tcBorders>
            <w:shd w:val="clear" w:color="auto" w:fill="F2F2F2" w:themeFill="background1" w:themeFillShade="F2"/>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2015 $000</w:t>
            </w:r>
          </w:p>
        </w:tc>
        <w:tc>
          <w:tcPr>
            <w:tcW w:w="1000" w:type="dxa"/>
            <w:tcBorders>
              <w:top w:val="single" w:sz="4" w:space="0" w:color="auto"/>
              <w:left w:val="nil"/>
              <w:bottom w:val="single" w:sz="4" w:space="0" w:color="auto"/>
              <w:right w:val="nil"/>
            </w:tcBorders>
            <w:shd w:val="clear" w:color="auto" w:fill="auto"/>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2014 $000</w:t>
            </w:r>
          </w:p>
        </w:tc>
        <w:tc>
          <w:tcPr>
            <w:tcW w:w="1000" w:type="dxa"/>
            <w:tcBorders>
              <w:top w:val="single" w:sz="4" w:space="0" w:color="auto"/>
              <w:left w:val="nil"/>
              <w:bottom w:val="single" w:sz="4" w:space="0" w:color="auto"/>
              <w:right w:val="nil"/>
            </w:tcBorders>
            <w:shd w:val="clear" w:color="auto" w:fill="F2F2F2" w:themeFill="background1" w:themeFillShade="F2"/>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2015 $000</w:t>
            </w:r>
          </w:p>
        </w:tc>
        <w:tc>
          <w:tcPr>
            <w:tcW w:w="1000" w:type="dxa"/>
            <w:tcBorders>
              <w:top w:val="single" w:sz="4" w:space="0" w:color="auto"/>
              <w:left w:val="nil"/>
              <w:bottom w:val="single" w:sz="4" w:space="0" w:color="auto"/>
              <w:right w:val="nil"/>
            </w:tcBorders>
            <w:shd w:val="clear" w:color="auto" w:fill="auto"/>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2014 $000</w:t>
            </w:r>
          </w:p>
        </w:tc>
        <w:tc>
          <w:tcPr>
            <w:tcW w:w="1000" w:type="dxa"/>
            <w:tcBorders>
              <w:top w:val="single" w:sz="4" w:space="0" w:color="auto"/>
              <w:left w:val="nil"/>
              <w:bottom w:val="single" w:sz="4" w:space="0" w:color="auto"/>
              <w:right w:val="nil"/>
            </w:tcBorders>
            <w:shd w:val="clear" w:color="auto" w:fill="F2F2F2" w:themeFill="background1" w:themeFillShade="F2"/>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2015 $000</w:t>
            </w:r>
          </w:p>
        </w:tc>
        <w:tc>
          <w:tcPr>
            <w:tcW w:w="1000" w:type="dxa"/>
            <w:tcBorders>
              <w:top w:val="single" w:sz="4" w:space="0" w:color="auto"/>
              <w:left w:val="nil"/>
              <w:bottom w:val="single" w:sz="4" w:space="0" w:color="auto"/>
              <w:right w:val="nil"/>
            </w:tcBorders>
            <w:shd w:val="clear" w:color="auto" w:fill="auto"/>
            <w:vAlign w:val="center"/>
            <w:hideMark/>
          </w:tcPr>
          <w:p w:rsidR="00046BEF" w:rsidRPr="00046BEF" w:rsidRDefault="00046BEF" w:rsidP="00046BEF">
            <w:pPr>
              <w:spacing w:after="0"/>
              <w:jc w:val="right"/>
              <w:rPr>
                <w:b/>
                <w:sz w:val="22"/>
                <w:szCs w:val="22"/>
                <w:lang w:eastAsia="en-AU"/>
              </w:rPr>
            </w:pPr>
            <w:r w:rsidRPr="00046BEF">
              <w:rPr>
                <w:b/>
                <w:sz w:val="22"/>
                <w:szCs w:val="22"/>
                <w:lang w:eastAsia="en-AU"/>
              </w:rPr>
              <w:t>2014 $000</w:t>
            </w:r>
          </w:p>
        </w:tc>
      </w:tr>
      <w:tr w:rsidR="00046BEF" w:rsidRPr="00046BEF" w:rsidTr="00046BEF">
        <w:trPr>
          <w:trHeight w:val="345"/>
        </w:trPr>
        <w:tc>
          <w:tcPr>
            <w:tcW w:w="2260" w:type="dxa"/>
            <w:tcBorders>
              <w:top w:val="single" w:sz="4" w:space="0" w:color="auto"/>
              <w:left w:val="nil"/>
              <w:bottom w:val="nil"/>
              <w:right w:val="nil"/>
            </w:tcBorders>
            <w:shd w:val="clear" w:color="auto" w:fill="auto"/>
            <w:vAlign w:val="center"/>
            <w:hideMark/>
          </w:tcPr>
          <w:p w:rsidR="00046BEF" w:rsidRPr="00046BEF" w:rsidRDefault="00046BEF" w:rsidP="00046BEF">
            <w:pPr>
              <w:spacing w:after="0"/>
              <w:rPr>
                <w:sz w:val="22"/>
                <w:szCs w:val="22"/>
                <w:lang w:eastAsia="en-AU"/>
              </w:rPr>
            </w:pPr>
            <w:r w:rsidRPr="00046BEF">
              <w:rPr>
                <w:sz w:val="22"/>
                <w:szCs w:val="22"/>
                <w:lang w:eastAsia="en-AU"/>
              </w:rPr>
              <w:t>&lt;1 year</w:t>
            </w:r>
          </w:p>
        </w:tc>
        <w:tc>
          <w:tcPr>
            <w:tcW w:w="1000" w:type="dxa"/>
            <w:tcBorders>
              <w:top w:val="single" w:sz="4" w:space="0" w:color="auto"/>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sz w:val="22"/>
                <w:szCs w:val="22"/>
                <w:lang w:eastAsia="en-AU"/>
              </w:rPr>
            </w:pPr>
            <w:r w:rsidRPr="00046BEF">
              <w:rPr>
                <w:sz w:val="22"/>
                <w:szCs w:val="22"/>
                <w:lang w:eastAsia="en-AU"/>
              </w:rPr>
              <w:t>0.7569</w:t>
            </w:r>
          </w:p>
        </w:tc>
        <w:tc>
          <w:tcPr>
            <w:tcW w:w="1000" w:type="dxa"/>
            <w:tcBorders>
              <w:top w:val="single" w:sz="4" w:space="0" w:color="auto"/>
              <w:left w:val="nil"/>
              <w:bottom w:val="nil"/>
              <w:right w:val="nil"/>
            </w:tcBorders>
            <w:shd w:val="clear" w:color="auto" w:fill="auto"/>
            <w:noWrap/>
            <w:vAlign w:val="center"/>
            <w:hideMark/>
          </w:tcPr>
          <w:p w:rsidR="00046BEF" w:rsidRPr="00046BEF" w:rsidRDefault="00046BEF" w:rsidP="00046BEF">
            <w:pPr>
              <w:spacing w:after="0"/>
              <w:jc w:val="right"/>
              <w:rPr>
                <w:sz w:val="22"/>
                <w:szCs w:val="22"/>
                <w:lang w:eastAsia="en-AU"/>
              </w:rPr>
            </w:pPr>
            <w:r w:rsidRPr="00046BEF">
              <w:rPr>
                <w:sz w:val="22"/>
                <w:szCs w:val="22"/>
                <w:lang w:eastAsia="en-AU"/>
              </w:rPr>
              <w:t>0.761</w:t>
            </w:r>
          </w:p>
        </w:tc>
        <w:tc>
          <w:tcPr>
            <w:tcW w:w="1000" w:type="dxa"/>
            <w:tcBorders>
              <w:top w:val="single" w:sz="4" w:space="0" w:color="auto"/>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3,289</w:t>
            </w:r>
          </w:p>
        </w:tc>
        <w:tc>
          <w:tcPr>
            <w:tcW w:w="1000" w:type="dxa"/>
            <w:tcBorders>
              <w:top w:val="single" w:sz="4" w:space="0" w:color="auto"/>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2,601</w:t>
            </w:r>
          </w:p>
        </w:tc>
        <w:tc>
          <w:tcPr>
            <w:tcW w:w="1000" w:type="dxa"/>
            <w:tcBorders>
              <w:top w:val="single" w:sz="4" w:space="0" w:color="auto"/>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4,346</w:t>
            </w:r>
          </w:p>
        </w:tc>
        <w:tc>
          <w:tcPr>
            <w:tcW w:w="1000" w:type="dxa"/>
            <w:tcBorders>
              <w:top w:val="single" w:sz="4" w:space="0" w:color="auto"/>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3,417</w:t>
            </w:r>
          </w:p>
        </w:tc>
        <w:tc>
          <w:tcPr>
            <w:tcW w:w="1000" w:type="dxa"/>
            <w:tcBorders>
              <w:top w:val="single" w:sz="4" w:space="0" w:color="auto"/>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-21</w:t>
            </w:r>
          </w:p>
        </w:tc>
        <w:tc>
          <w:tcPr>
            <w:tcW w:w="1000" w:type="dxa"/>
            <w:tcBorders>
              <w:top w:val="single" w:sz="4" w:space="0" w:color="auto"/>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-611</w:t>
            </w:r>
          </w:p>
        </w:tc>
      </w:tr>
      <w:tr w:rsidR="00046BEF" w:rsidRPr="00046BEF" w:rsidTr="00046BEF">
        <w:trPr>
          <w:trHeight w:val="285"/>
        </w:trPr>
        <w:tc>
          <w:tcPr>
            <w:tcW w:w="2260" w:type="dxa"/>
            <w:tcBorders>
              <w:top w:val="nil"/>
              <w:left w:val="nil"/>
              <w:bottom w:val="nil"/>
              <w:right w:val="nil"/>
            </w:tcBorders>
            <w:shd w:val="clear" w:color="auto" w:fill="auto"/>
            <w:vAlign w:val="center"/>
            <w:hideMark/>
          </w:tcPr>
          <w:p w:rsidR="00046BEF" w:rsidRPr="00046BEF" w:rsidRDefault="00046BEF" w:rsidP="00046BEF">
            <w:pPr>
              <w:spacing w:after="0"/>
              <w:rPr>
                <w:sz w:val="22"/>
                <w:szCs w:val="22"/>
                <w:lang w:eastAsia="en-AU"/>
              </w:rPr>
            </w:pPr>
            <w:r w:rsidRPr="00046BEF">
              <w:rPr>
                <w:sz w:val="22"/>
                <w:szCs w:val="22"/>
                <w:lang w:eastAsia="en-AU"/>
              </w:rPr>
              <w:t>1 to 2 years</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sz w:val="22"/>
                <w:szCs w:val="22"/>
                <w:lang w:eastAsia="en-AU"/>
              </w:rPr>
            </w:pPr>
            <w:r w:rsidRPr="00046BEF">
              <w:rPr>
                <w:sz w:val="22"/>
                <w:szCs w:val="22"/>
                <w:lang w:eastAsia="en-AU"/>
              </w:rPr>
              <w:t>1</w:t>
            </w: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sz w:val="22"/>
                <w:szCs w:val="22"/>
                <w:lang w:eastAsia="en-AU"/>
              </w:rPr>
            </w:pPr>
            <w:r w:rsidRPr="00046BEF">
              <w:rPr>
                <w:sz w:val="22"/>
                <w:szCs w:val="22"/>
                <w:lang w:eastAsia="en-AU"/>
              </w:rPr>
              <w:t>1</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1,121</w:t>
            </w: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2,917</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1,473</w:t>
            </w: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3,845</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18</w:t>
            </w: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-603</w:t>
            </w:r>
          </w:p>
        </w:tc>
      </w:tr>
      <w:tr w:rsidR="00046BEF" w:rsidRPr="00046BEF" w:rsidTr="00046BEF">
        <w:trPr>
          <w:trHeight w:val="285"/>
        </w:trPr>
        <w:tc>
          <w:tcPr>
            <w:tcW w:w="2260" w:type="dxa"/>
            <w:tcBorders>
              <w:top w:val="nil"/>
              <w:left w:val="nil"/>
              <w:bottom w:val="nil"/>
              <w:right w:val="nil"/>
            </w:tcBorders>
            <w:shd w:val="clear" w:color="auto" w:fill="auto"/>
            <w:vAlign w:val="center"/>
            <w:hideMark/>
          </w:tcPr>
          <w:p w:rsidR="00046BEF" w:rsidRPr="00046BEF" w:rsidRDefault="00046BEF" w:rsidP="00046BEF">
            <w:pPr>
              <w:spacing w:after="0"/>
              <w:rPr>
                <w:color w:val="000000"/>
                <w:sz w:val="22"/>
                <w:szCs w:val="22"/>
                <w:lang w:eastAsia="en-AU"/>
              </w:rPr>
            </w:pPr>
            <w:r w:rsidRPr="00046BEF">
              <w:rPr>
                <w:color w:val="000000"/>
                <w:sz w:val="22"/>
                <w:szCs w:val="22"/>
                <w:lang w:eastAsia="en-AU"/>
              </w:rPr>
              <w:t>2 to 3 years</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0.761</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1,121</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1,473</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r w:rsidRPr="00046BEF">
              <w:rPr>
                <w:color w:val="000000"/>
                <w:sz w:val="22"/>
                <w:szCs w:val="22"/>
                <w:lang w:eastAsia="en-AU"/>
              </w:rPr>
              <w:t>-206</w:t>
            </w:r>
          </w:p>
        </w:tc>
      </w:tr>
      <w:tr w:rsidR="00046BEF" w:rsidRPr="00046BEF" w:rsidTr="00046BEF">
        <w:trPr>
          <w:trHeight w:val="285"/>
        </w:trPr>
        <w:tc>
          <w:tcPr>
            <w:tcW w:w="2260" w:type="dxa"/>
            <w:tcBorders>
              <w:top w:val="nil"/>
              <w:left w:val="nil"/>
              <w:bottom w:val="nil"/>
              <w:right w:val="nil"/>
            </w:tcBorders>
            <w:shd w:val="clear" w:color="auto" w:fill="auto"/>
            <w:vAlign w:val="center"/>
            <w:hideMark/>
          </w:tcPr>
          <w:p w:rsidR="00046BEF" w:rsidRPr="00046BEF" w:rsidRDefault="00046BEF" w:rsidP="00046BEF">
            <w:pPr>
              <w:spacing w:after="0"/>
              <w:rPr>
                <w:color w:val="000000"/>
                <w:sz w:val="22"/>
                <w:szCs w:val="22"/>
                <w:lang w:eastAsia="en-AU"/>
              </w:rPr>
            </w:pPr>
            <w:r w:rsidRPr="00046BEF">
              <w:rPr>
                <w:color w:val="000000"/>
                <w:sz w:val="22"/>
                <w:szCs w:val="22"/>
                <w:lang w:eastAsia="en-AU"/>
              </w:rPr>
              <w:t>3 to 4 years</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r>
      <w:tr w:rsidR="00046BEF" w:rsidRPr="00046BEF" w:rsidTr="00046BEF">
        <w:trPr>
          <w:trHeight w:val="285"/>
        </w:trPr>
        <w:tc>
          <w:tcPr>
            <w:tcW w:w="2260" w:type="dxa"/>
            <w:tcBorders>
              <w:top w:val="nil"/>
              <w:left w:val="nil"/>
              <w:bottom w:val="nil"/>
              <w:right w:val="nil"/>
            </w:tcBorders>
            <w:shd w:val="clear" w:color="auto" w:fill="auto"/>
            <w:vAlign w:val="center"/>
            <w:hideMark/>
          </w:tcPr>
          <w:p w:rsidR="00046BEF" w:rsidRPr="00046BEF" w:rsidRDefault="00046BEF" w:rsidP="00046BEF">
            <w:pPr>
              <w:spacing w:after="0"/>
              <w:rPr>
                <w:color w:val="000000"/>
                <w:sz w:val="22"/>
                <w:szCs w:val="22"/>
                <w:lang w:eastAsia="en-AU"/>
              </w:rPr>
            </w:pPr>
            <w:r w:rsidRPr="00046BEF">
              <w:rPr>
                <w:color w:val="000000"/>
                <w:sz w:val="22"/>
                <w:szCs w:val="22"/>
                <w:lang w:eastAsia="en-AU"/>
              </w:rPr>
              <w:t>4 to 5 years</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r>
      <w:tr w:rsidR="00046BEF" w:rsidRPr="00046BEF" w:rsidTr="00046BEF">
        <w:trPr>
          <w:trHeight w:val="285"/>
        </w:trPr>
        <w:tc>
          <w:tcPr>
            <w:tcW w:w="2260" w:type="dxa"/>
            <w:tcBorders>
              <w:top w:val="nil"/>
              <w:left w:val="nil"/>
              <w:bottom w:val="nil"/>
              <w:right w:val="nil"/>
            </w:tcBorders>
            <w:shd w:val="clear" w:color="auto" w:fill="auto"/>
            <w:vAlign w:val="center"/>
            <w:hideMark/>
          </w:tcPr>
          <w:p w:rsidR="00046BEF" w:rsidRPr="00046BEF" w:rsidRDefault="00046BEF" w:rsidP="00046BEF">
            <w:pPr>
              <w:spacing w:after="0"/>
              <w:rPr>
                <w:color w:val="000000"/>
                <w:sz w:val="22"/>
                <w:szCs w:val="22"/>
                <w:lang w:eastAsia="en-AU"/>
              </w:rPr>
            </w:pPr>
            <w:r w:rsidRPr="00046BEF">
              <w:rPr>
                <w:color w:val="000000"/>
                <w:sz w:val="22"/>
                <w:szCs w:val="22"/>
                <w:lang w:eastAsia="en-AU"/>
              </w:rPr>
              <w:t>&gt;5 years</w:t>
            </w: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F2F2F2" w:themeFill="background1" w:themeFillShade="F2"/>
            <w:noWrap/>
            <w:vAlign w:val="center"/>
            <w:hideMark/>
          </w:tcPr>
          <w:p w:rsidR="00046BEF" w:rsidRPr="00046BEF" w:rsidRDefault="00046BEF" w:rsidP="00046BEF">
            <w:pPr>
              <w:spacing w:after="0"/>
              <w:jc w:val="right"/>
              <w:rPr>
                <w:color w:val="000000"/>
                <w:sz w:val="22"/>
                <w:szCs w:val="22"/>
                <w:lang w:eastAsia="en-AU"/>
              </w:rPr>
            </w:pPr>
          </w:p>
        </w:tc>
        <w:tc>
          <w:tcPr>
            <w:tcW w:w="1000" w:type="dxa"/>
            <w:tcBorders>
              <w:top w:val="nil"/>
              <w:left w:val="nil"/>
              <w:bottom w:val="nil"/>
              <w:right w:val="nil"/>
            </w:tcBorders>
            <w:shd w:val="clear" w:color="auto" w:fill="auto"/>
            <w:noWrap/>
            <w:vAlign w:val="center"/>
            <w:hideMark/>
          </w:tcPr>
          <w:p w:rsidR="00046BEF" w:rsidRPr="00046BEF" w:rsidRDefault="00046BEF" w:rsidP="00046BEF">
            <w:pPr>
              <w:spacing w:after="0"/>
              <w:jc w:val="right"/>
              <w:rPr>
                <w:color w:val="000000"/>
                <w:sz w:val="22"/>
                <w:szCs w:val="22"/>
                <w:lang w:eastAsia="en-AU"/>
              </w:rPr>
            </w:pPr>
          </w:p>
        </w:tc>
      </w:tr>
    </w:tbl>
    <w:p w:rsidR="00FC4E35" w:rsidRPr="00FC4E35" w:rsidRDefault="00FC4E35" w:rsidP="00046BEF">
      <w:pPr>
        <w:rPr>
          <w:color w:val="000000"/>
          <w:lang w:val="en-US"/>
        </w:rPr>
      </w:pPr>
    </w:p>
    <w:p w:rsidR="00FC4E35" w:rsidRPr="00046BEF" w:rsidRDefault="00FC4E35" w:rsidP="00AE75A9">
      <w:pPr>
        <w:pStyle w:val="Heading5"/>
        <w:numPr>
          <w:ilvl w:val="0"/>
          <w:numId w:val="91"/>
        </w:numPr>
      </w:pPr>
      <w:r w:rsidRPr="00046BEF">
        <w:t>Categories of Financial Instruments</w:t>
      </w:r>
    </w:p>
    <w:p w:rsidR="00FC4E35" w:rsidRDefault="00FC4E35" w:rsidP="00046BEF">
      <w:pPr>
        <w:rPr>
          <w:lang w:val="en-US"/>
        </w:rPr>
      </w:pPr>
      <w:r w:rsidRPr="00FC4E35">
        <w:rPr>
          <w:lang w:val="en-US"/>
        </w:rPr>
        <w:t>The carrying amounts of each of the following categories of financial assets and financial liabilities at the balance sheet date are as follows:</w:t>
      </w:r>
    </w:p>
    <w:tbl>
      <w:tblPr>
        <w:tblW w:w="8804" w:type="dxa"/>
        <w:tblInd w:w="93" w:type="dxa"/>
        <w:tblLook w:val="04A0" w:firstRow="1" w:lastRow="0" w:firstColumn="1" w:lastColumn="0" w:noHBand="0" w:noVBand="1"/>
      </w:tblPr>
      <w:tblGrid>
        <w:gridCol w:w="6536"/>
        <w:gridCol w:w="1134"/>
        <w:gridCol w:w="1134"/>
      </w:tblGrid>
      <w:tr w:rsidR="00046BEF" w:rsidRPr="00046BEF" w:rsidTr="00046BEF">
        <w:trPr>
          <w:trHeight w:val="570"/>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b/>
                <w:lang w:eastAsia="en-AU"/>
              </w:rPr>
            </w:pPr>
          </w:p>
        </w:tc>
        <w:tc>
          <w:tcPr>
            <w:tcW w:w="1134" w:type="dxa"/>
            <w:tcBorders>
              <w:top w:val="nil"/>
              <w:left w:val="nil"/>
              <w:bottom w:val="nil"/>
              <w:right w:val="nil"/>
            </w:tcBorders>
            <w:shd w:val="clear" w:color="auto" w:fill="F2F2F2" w:themeFill="background1" w:themeFillShade="F2"/>
            <w:vAlign w:val="bottom"/>
            <w:hideMark/>
          </w:tcPr>
          <w:p w:rsidR="00046BEF" w:rsidRPr="00046BEF" w:rsidRDefault="00046BEF" w:rsidP="00046BEF">
            <w:pPr>
              <w:spacing w:after="0"/>
              <w:jc w:val="right"/>
              <w:rPr>
                <w:b/>
                <w:lang w:eastAsia="en-AU"/>
              </w:rPr>
            </w:pPr>
            <w:r w:rsidRPr="00046BEF">
              <w:rPr>
                <w:b/>
                <w:lang w:eastAsia="en-AU"/>
              </w:rPr>
              <w:t>2015 $000</w:t>
            </w:r>
          </w:p>
        </w:tc>
        <w:tc>
          <w:tcPr>
            <w:tcW w:w="1134" w:type="dxa"/>
            <w:tcBorders>
              <w:top w:val="nil"/>
              <w:left w:val="nil"/>
              <w:bottom w:val="nil"/>
              <w:right w:val="nil"/>
            </w:tcBorders>
            <w:shd w:val="clear" w:color="auto" w:fill="auto"/>
            <w:vAlign w:val="bottom"/>
            <w:hideMark/>
          </w:tcPr>
          <w:p w:rsidR="00046BEF" w:rsidRPr="00046BEF" w:rsidRDefault="00046BEF" w:rsidP="00046BEF">
            <w:pPr>
              <w:spacing w:after="0"/>
              <w:jc w:val="right"/>
              <w:rPr>
                <w:b/>
                <w:lang w:eastAsia="en-AU"/>
              </w:rPr>
            </w:pPr>
            <w:r w:rsidRPr="00046BEF">
              <w:rPr>
                <w:b/>
                <w:lang w:eastAsia="en-AU"/>
              </w:rPr>
              <w:t>2014 $000</w:t>
            </w:r>
          </w:p>
        </w:tc>
      </w:tr>
      <w:tr w:rsidR="00046BEF" w:rsidRPr="00046BEF" w:rsidTr="00046BEF">
        <w:trPr>
          <w:trHeight w:val="28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Financial Assets</w:t>
            </w:r>
          </w:p>
        </w:tc>
        <w:tc>
          <w:tcPr>
            <w:tcW w:w="1134" w:type="dxa"/>
            <w:tcBorders>
              <w:top w:val="nil"/>
              <w:left w:val="nil"/>
              <w:bottom w:val="nil"/>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p>
        </w:tc>
        <w:tc>
          <w:tcPr>
            <w:tcW w:w="1134" w:type="dxa"/>
            <w:tcBorders>
              <w:top w:val="nil"/>
              <w:left w:val="nil"/>
              <w:bottom w:val="nil"/>
              <w:right w:val="nil"/>
            </w:tcBorders>
            <w:shd w:val="clear" w:color="auto" w:fill="auto"/>
            <w:noWrap/>
            <w:vAlign w:val="bottom"/>
            <w:hideMark/>
          </w:tcPr>
          <w:p w:rsidR="00046BEF" w:rsidRPr="00046BEF" w:rsidRDefault="00046BEF" w:rsidP="00046BEF">
            <w:pPr>
              <w:spacing w:after="0"/>
              <w:jc w:val="right"/>
              <w:rPr>
                <w:lang w:eastAsia="en-AU"/>
              </w:rPr>
            </w:pPr>
          </w:p>
        </w:tc>
      </w:tr>
      <w:tr w:rsidR="00046BEF" w:rsidRPr="00046BEF" w:rsidTr="00046BEF">
        <w:trPr>
          <w:trHeight w:val="28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Cash and cash equivalents</w:t>
            </w:r>
          </w:p>
        </w:tc>
        <w:tc>
          <w:tcPr>
            <w:tcW w:w="1134" w:type="dxa"/>
            <w:tcBorders>
              <w:top w:val="nil"/>
              <w:left w:val="nil"/>
              <w:bottom w:val="nil"/>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30,162</w:t>
            </w:r>
          </w:p>
        </w:tc>
        <w:tc>
          <w:tcPr>
            <w:tcW w:w="1134" w:type="dxa"/>
            <w:tcBorders>
              <w:top w:val="nil"/>
              <w:left w:val="nil"/>
              <w:bottom w:val="nil"/>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30,729</w:t>
            </w:r>
          </w:p>
        </w:tc>
      </w:tr>
      <w:tr w:rsidR="00046BEF" w:rsidRPr="00046BEF" w:rsidTr="00046BEF">
        <w:trPr>
          <w:trHeight w:val="28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Restricted Cash and cash equivalents</w:t>
            </w:r>
          </w:p>
        </w:tc>
        <w:tc>
          <w:tcPr>
            <w:tcW w:w="1134" w:type="dxa"/>
            <w:tcBorders>
              <w:top w:val="nil"/>
              <w:left w:val="nil"/>
              <w:bottom w:val="nil"/>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34,652</w:t>
            </w:r>
          </w:p>
        </w:tc>
        <w:tc>
          <w:tcPr>
            <w:tcW w:w="1134" w:type="dxa"/>
            <w:tcBorders>
              <w:top w:val="nil"/>
              <w:left w:val="nil"/>
              <w:bottom w:val="nil"/>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33,261</w:t>
            </w:r>
          </w:p>
        </w:tc>
      </w:tr>
      <w:tr w:rsidR="00046BEF" w:rsidRPr="00046BEF" w:rsidTr="00046BEF">
        <w:trPr>
          <w:trHeight w:val="28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Receivables</w:t>
            </w:r>
            <w:r w:rsidRPr="00046BEF">
              <w:rPr>
                <w:vertAlign w:val="superscript"/>
                <w:lang w:eastAsia="en-AU"/>
              </w:rPr>
              <w:t>(a)</w:t>
            </w:r>
          </w:p>
        </w:tc>
        <w:tc>
          <w:tcPr>
            <w:tcW w:w="1134" w:type="dxa"/>
            <w:tcBorders>
              <w:top w:val="nil"/>
              <w:left w:val="nil"/>
              <w:bottom w:val="nil"/>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1,169</w:t>
            </w:r>
          </w:p>
        </w:tc>
        <w:tc>
          <w:tcPr>
            <w:tcW w:w="1134" w:type="dxa"/>
            <w:tcBorders>
              <w:top w:val="nil"/>
              <w:left w:val="nil"/>
              <w:bottom w:val="nil"/>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1,361</w:t>
            </w:r>
          </w:p>
        </w:tc>
      </w:tr>
      <w:tr w:rsidR="00046BEF" w:rsidRPr="00046BEF" w:rsidTr="00046BEF">
        <w:trPr>
          <w:trHeight w:val="330"/>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Derivatives – Cash Flow</w:t>
            </w:r>
          </w:p>
        </w:tc>
        <w:tc>
          <w:tcPr>
            <w:tcW w:w="1134" w:type="dxa"/>
            <w:tcBorders>
              <w:top w:val="nil"/>
              <w:left w:val="nil"/>
              <w:bottom w:val="nil"/>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22</w:t>
            </w:r>
          </w:p>
        </w:tc>
        <w:tc>
          <w:tcPr>
            <w:tcW w:w="1134" w:type="dxa"/>
            <w:tcBorders>
              <w:top w:val="nil"/>
              <w:left w:val="nil"/>
              <w:bottom w:val="nil"/>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w:t>
            </w:r>
          </w:p>
        </w:tc>
      </w:tr>
      <w:tr w:rsidR="00046BEF" w:rsidRPr="00046BEF" w:rsidTr="00046BEF">
        <w:trPr>
          <w:trHeight w:val="34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Amount receivable for services</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3,422</w:t>
            </w:r>
          </w:p>
        </w:tc>
        <w:tc>
          <w:tcPr>
            <w:tcW w:w="1134" w:type="dxa"/>
            <w:tcBorders>
              <w:top w:val="nil"/>
              <w:left w:val="nil"/>
              <w:bottom w:val="single" w:sz="4" w:space="0" w:color="auto"/>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27,060</w:t>
            </w:r>
          </w:p>
        </w:tc>
      </w:tr>
      <w:tr w:rsidR="00046BEF" w:rsidRPr="00046BEF" w:rsidTr="00046BEF">
        <w:trPr>
          <w:trHeight w:val="330"/>
        </w:trPr>
        <w:tc>
          <w:tcPr>
            <w:tcW w:w="6536" w:type="dxa"/>
            <w:tcBorders>
              <w:top w:val="nil"/>
              <w:left w:val="nil"/>
              <w:bottom w:val="nil"/>
              <w:right w:val="nil"/>
            </w:tcBorders>
            <w:shd w:val="clear" w:color="auto" w:fill="auto"/>
            <w:vAlign w:val="center"/>
            <w:hideMark/>
          </w:tcPr>
          <w:p w:rsidR="00046BEF" w:rsidRPr="00046BEF" w:rsidRDefault="00046BEF" w:rsidP="00046BEF">
            <w:pPr>
              <w:spacing w:after="0"/>
              <w:rPr>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vAlign w:val="bottom"/>
            <w:hideMark/>
          </w:tcPr>
          <w:p w:rsidR="00046BEF" w:rsidRPr="00046BEF" w:rsidRDefault="00046BEF" w:rsidP="00046BEF">
            <w:pPr>
              <w:spacing w:after="0"/>
              <w:jc w:val="right"/>
              <w:rPr>
                <w:lang w:eastAsia="en-AU"/>
              </w:rPr>
            </w:pPr>
            <w:r w:rsidRPr="00046BEF">
              <w:rPr>
                <w:lang w:eastAsia="en-AU"/>
              </w:rPr>
              <w:t>69,427</w:t>
            </w:r>
          </w:p>
        </w:tc>
        <w:tc>
          <w:tcPr>
            <w:tcW w:w="1134" w:type="dxa"/>
            <w:tcBorders>
              <w:top w:val="single" w:sz="4" w:space="0" w:color="auto"/>
              <w:left w:val="nil"/>
              <w:bottom w:val="double" w:sz="4" w:space="0" w:color="auto"/>
              <w:right w:val="nil"/>
            </w:tcBorders>
            <w:shd w:val="clear" w:color="auto" w:fill="auto"/>
            <w:vAlign w:val="bottom"/>
            <w:hideMark/>
          </w:tcPr>
          <w:p w:rsidR="00046BEF" w:rsidRPr="00046BEF" w:rsidRDefault="00046BEF" w:rsidP="00046BEF">
            <w:pPr>
              <w:spacing w:after="0"/>
              <w:jc w:val="right"/>
              <w:rPr>
                <w:lang w:eastAsia="en-AU"/>
              </w:rPr>
            </w:pPr>
            <w:r w:rsidRPr="00046BEF">
              <w:rPr>
                <w:lang w:eastAsia="en-AU"/>
              </w:rPr>
              <w:t>92,411</w:t>
            </w:r>
          </w:p>
        </w:tc>
      </w:tr>
      <w:tr w:rsidR="00046BEF" w:rsidRPr="00046BEF" w:rsidTr="00046BEF">
        <w:trPr>
          <w:trHeight w:val="330"/>
        </w:trPr>
        <w:tc>
          <w:tcPr>
            <w:tcW w:w="6536" w:type="dxa"/>
            <w:tcBorders>
              <w:top w:val="nil"/>
              <w:left w:val="nil"/>
              <w:bottom w:val="nil"/>
              <w:right w:val="nil"/>
            </w:tcBorders>
            <w:shd w:val="clear" w:color="auto" w:fill="auto"/>
            <w:vAlign w:val="center"/>
            <w:hideMark/>
          </w:tcPr>
          <w:p w:rsidR="00046BEF" w:rsidRPr="00046BEF" w:rsidRDefault="00046BEF" w:rsidP="00046BEF">
            <w:pPr>
              <w:spacing w:after="0"/>
              <w:rPr>
                <w:lang w:eastAsia="en-AU"/>
              </w:rPr>
            </w:pPr>
            <w:r w:rsidRPr="00046BEF">
              <w:rPr>
                <w:lang w:eastAsia="en-AU"/>
              </w:rPr>
              <w:t>Financial Liabilities</w:t>
            </w:r>
          </w:p>
        </w:tc>
        <w:tc>
          <w:tcPr>
            <w:tcW w:w="1134" w:type="dxa"/>
            <w:tcBorders>
              <w:top w:val="double" w:sz="4" w:space="0" w:color="auto"/>
              <w:left w:val="nil"/>
              <w:bottom w:val="nil"/>
              <w:right w:val="nil"/>
            </w:tcBorders>
            <w:shd w:val="clear" w:color="auto" w:fill="F2F2F2" w:themeFill="background1" w:themeFillShade="F2"/>
            <w:vAlign w:val="bottom"/>
            <w:hideMark/>
          </w:tcPr>
          <w:p w:rsidR="00046BEF" w:rsidRPr="00046BEF" w:rsidRDefault="00046BEF" w:rsidP="00046BEF">
            <w:pPr>
              <w:spacing w:after="0"/>
              <w:jc w:val="right"/>
              <w:rPr>
                <w:lang w:eastAsia="en-AU"/>
              </w:rPr>
            </w:pPr>
          </w:p>
        </w:tc>
        <w:tc>
          <w:tcPr>
            <w:tcW w:w="1134" w:type="dxa"/>
            <w:tcBorders>
              <w:top w:val="double" w:sz="4" w:space="0" w:color="auto"/>
              <w:left w:val="nil"/>
              <w:bottom w:val="nil"/>
              <w:right w:val="nil"/>
            </w:tcBorders>
            <w:shd w:val="clear" w:color="auto" w:fill="auto"/>
            <w:vAlign w:val="bottom"/>
            <w:hideMark/>
          </w:tcPr>
          <w:p w:rsidR="00046BEF" w:rsidRPr="00046BEF" w:rsidRDefault="00046BEF" w:rsidP="00046BEF">
            <w:pPr>
              <w:spacing w:after="0"/>
              <w:jc w:val="right"/>
              <w:rPr>
                <w:lang w:eastAsia="en-AU"/>
              </w:rPr>
            </w:pPr>
          </w:p>
        </w:tc>
      </w:tr>
      <w:tr w:rsidR="00046BEF" w:rsidRPr="00046BEF" w:rsidTr="00046BEF">
        <w:trPr>
          <w:trHeight w:val="345"/>
        </w:trPr>
        <w:tc>
          <w:tcPr>
            <w:tcW w:w="6536" w:type="dxa"/>
            <w:tcBorders>
              <w:top w:val="nil"/>
              <w:left w:val="nil"/>
              <w:bottom w:val="nil"/>
              <w:right w:val="nil"/>
            </w:tcBorders>
            <w:shd w:val="clear" w:color="auto" w:fill="auto"/>
            <w:vAlign w:val="center"/>
            <w:hideMark/>
          </w:tcPr>
          <w:p w:rsidR="00046BEF" w:rsidRPr="00046BEF" w:rsidRDefault="00046BEF" w:rsidP="00046BEF">
            <w:pPr>
              <w:spacing w:after="0"/>
              <w:rPr>
                <w:lang w:eastAsia="en-AU"/>
              </w:rPr>
            </w:pPr>
            <w:r w:rsidRPr="00046BEF">
              <w:rPr>
                <w:lang w:eastAsia="en-AU"/>
              </w:rPr>
              <w:t>Payables</w:t>
            </w:r>
          </w:p>
        </w:tc>
        <w:tc>
          <w:tcPr>
            <w:tcW w:w="1134" w:type="dxa"/>
            <w:tcBorders>
              <w:top w:val="nil"/>
              <w:left w:val="nil"/>
              <w:bottom w:val="nil"/>
              <w:right w:val="nil"/>
            </w:tcBorders>
            <w:shd w:val="clear" w:color="auto" w:fill="F2F2F2" w:themeFill="background1" w:themeFillShade="F2"/>
            <w:vAlign w:val="bottom"/>
            <w:hideMark/>
          </w:tcPr>
          <w:p w:rsidR="00046BEF" w:rsidRPr="00046BEF" w:rsidRDefault="00046BEF" w:rsidP="00046BEF">
            <w:pPr>
              <w:spacing w:after="0"/>
              <w:jc w:val="right"/>
              <w:rPr>
                <w:lang w:eastAsia="en-AU"/>
              </w:rPr>
            </w:pPr>
            <w:r w:rsidRPr="00046BEF">
              <w:rPr>
                <w:lang w:eastAsia="en-AU"/>
              </w:rPr>
              <w:t>3,815</w:t>
            </w:r>
          </w:p>
        </w:tc>
        <w:tc>
          <w:tcPr>
            <w:tcW w:w="1134" w:type="dxa"/>
            <w:tcBorders>
              <w:top w:val="nil"/>
              <w:left w:val="nil"/>
              <w:bottom w:val="nil"/>
              <w:right w:val="nil"/>
            </w:tcBorders>
            <w:shd w:val="clear" w:color="auto" w:fill="auto"/>
            <w:vAlign w:val="bottom"/>
            <w:hideMark/>
          </w:tcPr>
          <w:p w:rsidR="00046BEF" w:rsidRPr="00046BEF" w:rsidRDefault="00046BEF" w:rsidP="00046BEF">
            <w:pPr>
              <w:spacing w:after="0"/>
              <w:jc w:val="right"/>
              <w:rPr>
                <w:lang w:eastAsia="en-AU"/>
              </w:rPr>
            </w:pPr>
            <w:r w:rsidRPr="00046BEF">
              <w:rPr>
                <w:lang w:eastAsia="en-AU"/>
              </w:rPr>
              <w:t>4,624</w:t>
            </w:r>
          </w:p>
        </w:tc>
      </w:tr>
      <w:tr w:rsidR="00046BEF" w:rsidRPr="00046BEF" w:rsidTr="00046BEF">
        <w:trPr>
          <w:trHeight w:val="34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Derivatives – Cash Flow</w:t>
            </w:r>
          </w:p>
        </w:tc>
        <w:tc>
          <w:tcPr>
            <w:tcW w:w="1134" w:type="dxa"/>
            <w:tcBorders>
              <w:top w:val="nil"/>
              <w:left w:val="nil"/>
              <w:bottom w:val="nil"/>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8</w:t>
            </w:r>
          </w:p>
        </w:tc>
        <w:tc>
          <w:tcPr>
            <w:tcW w:w="1134" w:type="dxa"/>
            <w:tcBorders>
              <w:top w:val="nil"/>
              <w:left w:val="nil"/>
              <w:bottom w:val="nil"/>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1,223</w:t>
            </w:r>
          </w:p>
        </w:tc>
      </w:tr>
      <w:tr w:rsidR="00046BEF" w:rsidRPr="00046BEF" w:rsidTr="00046BEF">
        <w:trPr>
          <w:trHeight w:val="28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lang w:eastAsia="en-AU"/>
              </w:rPr>
            </w:pPr>
            <w:r w:rsidRPr="00046BEF">
              <w:rPr>
                <w:lang w:eastAsia="en-AU"/>
              </w:rPr>
              <w:t>Derivatives – FVTPL</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046BEF" w:rsidRPr="00046BEF" w:rsidRDefault="00046BEF" w:rsidP="00046BEF">
            <w:pPr>
              <w:spacing w:after="0"/>
              <w:jc w:val="right"/>
              <w:rPr>
                <w:lang w:eastAsia="en-AU"/>
              </w:rPr>
            </w:pPr>
            <w:r w:rsidRPr="00046BEF">
              <w:rPr>
                <w:lang w:eastAsia="en-AU"/>
              </w:rPr>
              <w:t>17</w:t>
            </w:r>
          </w:p>
        </w:tc>
        <w:tc>
          <w:tcPr>
            <w:tcW w:w="1134" w:type="dxa"/>
            <w:tcBorders>
              <w:top w:val="nil"/>
              <w:left w:val="nil"/>
              <w:bottom w:val="single" w:sz="4" w:space="0" w:color="auto"/>
              <w:right w:val="nil"/>
            </w:tcBorders>
            <w:shd w:val="clear" w:color="auto" w:fill="auto"/>
            <w:noWrap/>
            <w:vAlign w:val="bottom"/>
            <w:hideMark/>
          </w:tcPr>
          <w:p w:rsidR="00046BEF" w:rsidRPr="00046BEF" w:rsidRDefault="00046BEF" w:rsidP="00046BEF">
            <w:pPr>
              <w:spacing w:after="0"/>
              <w:jc w:val="right"/>
              <w:rPr>
                <w:lang w:eastAsia="en-AU"/>
              </w:rPr>
            </w:pPr>
            <w:r w:rsidRPr="00046BEF">
              <w:rPr>
                <w:lang w:eastAsia="en-AU"/>
              </w:rPr>
              <w:t>197</w:t>
            </w:r>
          </w:p>
        </w:tc>
      </w:tr>
      <w:tr w:rsidR="00046BEF" w:rsidRPr="00046BEF" w:rsidTr="00046BEF">
        <w:trPr>
          <w:trHeight w:val="285"/>
        </w:trPr>
        <w:tc>
          <w:tcPr>
            <w:tcW w:w="6536" w:type="dxa"/>
            <w:tcBorders>
              <w:top w:val="nil"/>
              <w:left w:val="nil"/>
              <w:bottom w:val="nil"/>
              <w:right w:val="nil"/>
            </w:tcBorders>
            <w:shd w:val="clear" w:color="auto" w:fill="auto"/>
            <w:vAlign w:val="bottom"/>
            <w:hideMark/>
          </w:tcPr>
          <w:p w:rsidR="00046BEF" w:rsidRPr="00046BEF" w:rsidRDefault="00046BEF" w:rsidP="00046BEF">
            <w:pPr>
              <w:spacing w:after="0"/>
              <w:rPr>
                <w:color w:val="000000"/>
                <w:lang w:eastAsia="en-AU"/>
              </w:rPr>
            </w:pPr>
          </w:p>
        </w:tc>
        <w:tc>
          <w:tcPr>
            <w:tcW w:w="1134" w:type="dxa"/>
            <w:tcBorders>
              <w:top w:val="single" w:sz="4" w:space="0" w:color="auto"/>
              <w:left w:val="nil"/>
              <w:bottom w:val="double" w:sz="4" w:space="0" w:color="auto"/>
              <w:right w:val="nil"/>
            </w:tcBorders>
            <w:shd w:val="clear" w:color="auto" w:fill="F2F2F2" w:themeFill="background1" w:themeFillShade="F2"/>
            <w:noWrap/>
            <w:vAlign w:val="bottom"/>
            <w:hideMark/>
          </w:tcPr>
          <w:p w:rsidR="00046BEF" w:rsidRPr="00046BEF" w:rsidRDefault="00046BEF" w:rsidP="00046BEF">
            <w:pPr>
              <w:spacing w:after="0"/>
              <w:jc w:val="right"/>
              <w:rPr>
                <w:color w:val="000000"/>
                <w:lang w:eastAsia="en-AU"/>
              </w:rPr>
            </w:pPr>
            <w:r w:rsidRPr="00046BEF">
              <w:rPr>
                <w:color w:val="000000"/>
                <w:lang w:eastAsia="en-AU"/>
              </w:rPr>
              <w:t>3,840</w:t>
            </w:r>
          </w:p>
        </w:tc>
        <w:tc>
          <w:tcPr>
            <w:tcW w:w="1134" w:type="dxa"/>
            <w:tcBorders>
              <w:top w:val="single" w:sz="4" w:space="0" w:color="auto"/>
              <w:left w:val="nil"/>
              <w:bottom w:val="double" w:sz="4" w:space="0" w:color="auto"/>
              <w:right w:val="nil"/>
            </w:tcBorders>
            <w:shd w:val="clear" w:color="auto" w:fill="auto"/>
            <w:noWrap/>
            <w:vAlign w:val="bottom"/>
            <w:hideMark/>
          </w:tcPr>
          <w:p w:rsidR="00046BEF" w:rsidRPr="00046BEF" w:rsidRDefault="00046BEF" w:rsidP="00046BEF">
            <w:pPr>
              <w:spacing w:after="0"/>
              <w:jc w:val="right"/>
              <w:rPr>
                <w:color w:val="000000"/>
                <w:lang w:eastAsia="en-AU"/>
              </w:rPr>
            </w:pPr>
            <w:r w:rsidRPr="00046BEF">
              <w:rPr>
                <w:color w:val="000000"/>
                <w:lang w:eastAsia="en-AU"/>
              </w:rPr>
              <w:t>6,044</w:t>
            </w:r>
          </w:p>
        </w:tc>
      </w:tr>
    </w:tbl>
    <w:p w:rsidR="00FC4E35" w:rsidRPr="00FC4E35" w:rsidRDefault="00FC4E35" w:rsidP="00046BEF">
      <w:pPr>
        <w:suppressAutoHyphens/>
        <w:autoSpaceDE w:val="0"/>
        <w:autoSpaceDN w:val="0"/>
        <w:adjustRightInd w:val="0"/>
        <w:spacing w:before="240" w:line="288" w:lineRule="auto"/>
        <w:textAlignment w:val="center"/>
        <w:rPr>
          <w:color w:val="000000"/>
          <w:lang w:val="en-US"/>
        </w:rPr>
      </w:pPr>
      <w:r w:rsidRPr="00FC4E35">
        <w:rPr>
          <w:color w:val="000000"/>
          <w:lang w:val="en-US"/>
        </w:rPr>
        <w:t>(a)  The amount of receivables excludes GST recoverable from ATO (statutory receivable).</w:t>
      </w:r>
    </w:p>
    <w:p w:rsidR="00FC4E35" w:rsidRPr="00D30975" w:rsidRDefault="00FC4E35" w:rsidP="00AE75A9">
      <w:pPr>
        <w:pStyle w:val="Heading5"/>
        <w:numPr>
          <w:ilvl w:val="0"/>
          <w:numId w:val="91"/>
        </w:numPr>
      </w:pPr>
      <w:r w:rsidRPr="00D30975">
        <w:t>Financial Instrument Disclosures</w:t>
      </w:r>
    </w:p>
    <w:p w:rsidR="00FC4E35" w:rsidRPr="00FC4E35" w:rsidRDefault="00FC4E35" w:rsidP="00D30975">
      <w:pPr>
        <w:pStyle w:val="Heading7"/>
        <w:rPr>
          <w:color w:val="000000"/>
          <w:lang w:val="en-US"/>
        </w:rPr>
      </w:pPr>
      <w:r w:rsidRPr="00FC4E35">
        <w:rPr>
          <w:lang w:val="en-GB"/>
        </w:rPr>
        <w:t>Credit Risk, Liquidity Risk and Interest Rate Risk Exposures</w:t>
      </w:r>
    </w:p>
    <w:p w:rsidR="00FC4E35" w:rsidRPr="00FC4E35" w:rsidRDefault="00FC4E35" w:rsidP="00D30975">
      <w:pPr>
        <w:rPr>
          <w:lang w:val="en-US"/>
        </w:rPr>
      </w:pPr>
      <w:r w:rsidRPr="00FC4E35">
        <w:rPr>
          <w:lang w:val="en-US"/>
        </w:rPr>
        <w:t>The following table details the Department’s exposure to liquidity risk and interest rate risk at the balance sheet date.  The Department’s maximum exposure to credit risk at the balance sheet date is the carrying amount of the financial assets as shown on the following date.  The table is based on information provided to senior management of the Department.  The contractual maturity amounts in the table are representative  of the undiscounted amounts at the balance sheet date. An adjustment for discounting has been made where material.</w:t>
      </w:r>
    </w:p>
    <w:p w:rsidR="00FC4E35" w:rsidRPr="00FC4E35" w:rsidRDefault="00FC4E35" w:rsidP="00D30975">
      <w:pPr>
        <w:rPr>
          <w:lang w:val="en-US"/>
        </w:rPr>
      </w:pPr>
      <w:r w:rsidRPr="00FC4E35">
        <w:rPr>
          <w:lang w:val="en-US"/>
        </w:rPr>
        <w:t>The Department does not hold any collateral as security or other credit enhancements relating to the financial assets it holds.</w:t>
      </w:r>
    </w:p>
    <w:p w:rsidR="00FC4E35" w:rsidRDefault="00FC4E35" w:rsidP="00D30975">
      <w:pPr>
        <w:rPr>
          <w:lang w:val="en-US"/>
        </w:rPr>
      </w:pPr>
      <w:r w:rsidRPr="00FC4E35">
        <w:rPr>
          <w:lang w:val="en-US"/>
        </w:rPr>
        <w:t>The Department does not hold any financial assets that had to have their terms renegotiated that would have otherwise resulted in them being past due or impaired.</w:t>
      </w:r>
    </w:p>
    <w:p w:rsidR="00D30975" w:rsidRPr="00FC4E35" w:rsidRDefault="00D30975" w:rsidP="00D30975">
      <w:pPr>
        <w:rPr>
          <w:lang w:val="en-US"/>
        </w:rPr>
      </w:pPr>
    </w:p>
    <w:p w:rsidR="00D30975" w:rsidRDefault="00D30975" w:rsidP="00D30975">
      <w:pPr>
        <w:rPr>
          <w:lang w:val="en-US"/>
        </w:rPr>
        <w:sectPr w:rsidR="00D30975" w:rsidSect="009A36D1">
          <w:footerReference w:type="default" r:id="rId16"/>
          <w:pgSz w:w="11906" w:h="16838"/>
          <w:pgMar w:top="993" w:right="991" w:bottom="709" w:left="993" w:header="709" w:footer="404" w:gutter="0"/>
          <w:cols w:space="708"/>
          <w:docGrid w:linePitch="360"/>
        </w:sectPr>
      </w:pPr>
    </w:p>
    <w:tbl>
      <w:tblPr>
        <w:tblW w:w="15309" w:type="dxa"/>
        <w:tblInd w:w="8" w:type="dxa"/>
        <w:tblLayout w:type="fixed"/>
        <w:tblCellMar>
          <w:left w:w="0" w:type="dxa"/>
          <w:right w:w="0" w:type="dxa"/>
        </w:tblCellMar>
        <w:tblLook w:val="0000" w:firstRow="0" w:lastRow="0" w:firstColumn="0" w:lastColumn="0" w:noHBand="0" w:noVBand="0"/>
      </w:tblPr>
      <w:tblGrid>
        <w:gridCol w:w="3686"/>
        <w:gridCol w:w="1276"/>
        <w:gridCol w:w="1134"/>
        <w:gridCol w:w="992"/>
        <w:gridCol w:w="1134"/>
        <w:gridCol w:w="1134"/>
        <w:gridCol w:w="992"/>
        <w:gridCol w:w="992"/>
        <w:gridCol w:w="993"/>
        <w:gridCol w:w="850"/>
        <w:gridCol w:w="851"/>
        <w:gridCol w:w="1275"/>
      </w:tblGrid>
      <w:tr w:rsidR="00D30975" w:rsidRPr="00D30975" w:rsidTr="00D30975">
        <w:trPr>
          <w:trHeight w:val="42"/>
        </w:trPr>
        <w:tc>
          <w:tcPr>
            <w:tcW w:w="15309" w:type="dxa"/>
            <w:gridSpan w:val="12"/>
            <w:tcMar>
              <w:top w:w="57" w:type="dxa"/>
              <w:left w:w="0" w:type="dxa"/>
              <w:bottom w:w="57" w:type="dxa"/>
              <w:right w:w="0" w:type="dxa"/>
            </w:tcMar>
            <w:vAlign w:val="center"/>
          </w:tcPr>
          <w:p w:rsidR="00FC4E35" w:rsidRPr="00D30975" w:rsidRDefault="00FC4E35" w:rsidP="00D30975">
            <w:pPr>
              <w:spacing w:after="0"/>
              <w:rPr>
                <w:b/>
                <w:color w:val="244061" w:themeColor="accent1" w:themeShade="80"/>
                <w:lang w:val="en-US"/>
              </w:rPr>
            </w:pPr>
            <w:r w:rsidRPr="00D30975">
              <w:rPr>
                <w:b/>
                <w:color w:val="244061" w:themeColor="accent1" w:themeShade="80"/>
                <w:lang w:val="en-US"/>
              </w:rPr>
              <w:t>Interest rate exposures and ageing analysis of financial assets</w:t>
            </w:r>
            <w:r w:rsidRPr="00D30975">
              <w:rPr>
                <w:b/>
                <w:color w:val="244061" w:themeColor="accent1" w:themeShade="80"/>
                <w:vertAlign w:val="superscript"/>
                <w:lang w:val="en-US"/>
              </w:rPr>
              <w:t>(a)</w:t>
            </w:r>
          </w:p>
        </w:tc>
      </w:tr>
      <w:tr w:rsidR="00FC4E35" w:rsidRPr="00D30975" w:rsidTr="00D30975">
        <w:trPr>
          <w:trHeight w:val="106"/>
        </w:trPr>
        <w:tc>
          <w:tcPr>
            <w:tcW w:w="3686" w:type="dxa"/>
            <w:tcMar>
              <w:top w:w="57" w:type="dxa"/>
              <w:left w:w="0" w:type="dxa"/>
              <w:bottom w:w="57" w:type="dxa"/>
              <w:right w:w="0" w:type="dxa"/>
            </w:tcMar>
            <w:vAlign w:val="center"/>
          </w:tcPr>
          <w:p w:rsidR="00FC4E35" w:rsidRPr="00D30975" w:rsidRDefault="00FC4E35" w:rsidP="00D30975">
            <w:pPr>
              <w:spacing w:after="0"/>
              <w:rPr>
                <w:rFonts w:ascii="Arial" w:hAnsi="Arial" w:cs="Arial"/>
                <w:b/>
              </w:rPr>
            </w:pPr>
          </w:p>
        </w:tc>
        <w:tc>
          <w:tcPr>
            <w:tcW w:w="5670" w:type="dxa"/>
            <w:gridSpan w:val="5"/>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lang w:val="en-US"/>
              </w:rPr>
              <w:t>Interest Rate exposure</w:t>
            </w:r>
          </w:p>
        </w:tc>
        <w:tc>
          <w:tcPr>
            <w:tcW w:w="5953" w:type="dxa"/>
            <w:gridSpan w:val="6"/>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lang w:val="en-US"/>
              </w:rPr>
              <w:t>Past due but not impaired</w:t>
            </w:r>
          </w:p>
        </w:tc>
      </w:tr>
      <w:tr w:rsidR="00D30975" w:rsidRPr="00D30975" w:rsidTr="00D30975">
        <w:trPr>
          <w:trHeight w:val="1020"/>
        </w:trPr>
        <w:tc>
          <w:tcPr>
            <w:tcW w:w="3686" w:type="dxa"/>
            <w:tcMar>
              <w:top w:w="57" w:type="dxa"/>
              <w:left w:w="0" w:type="dxa"/>
              <w:bottom w:w="57" w:type="dxa"/>
              <w:right w:w="0" w:type="dxa"/>
            </w:tcMar>
            <w:vAlign w:val="center"/>
          </w:tcPr>
          <w:p w:rsidR="00FC4E35" w:rsidRPr="00D30975" w:rsidRDefault="00FC4E35" w:rsidP="00D30975">
            <w:pPr>
              <w:spacing w:after="0"/>
              <w:rPr>
                <w:rFonts w:ascii="Arial" w:hAnsi="Arial" w:cs="Arial"/>
                <w:b/>
              </w:rPr>
            </w:pPr>
          </w:p>
        </w:tc>
        <w:tc>
          <w:tcPr>
            <w:tcW w:w="1276"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Weighted average effective interest rate %</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Carrying amount $000</w:t>
            </w:r>
          </w:p>
        </w:tc>
        <w:tc>
          <w:tcPr>
            <w:tcW w:w="992"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Fixed interest rate $000</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Variable interest rate $000</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Non-</w:t>
            </w:r>
            <w:r w:rsidRPr="00D30975">
              <w:rPr>
                <w:b/>
                <w:color w:val="000000"/>
                <w:sz w:val="22"/>
                <w:szCs w:val="22"/>
                <w:lang w:val="en-US"/>
              </w:rPr>
              <w:br/>
              <w:t>interest bearing $000</w:t>
            </w:r>
          </w:p>
        </w:tc>
        <w:tc>
          <w:tcPr>
            <w:tcW w:w="992"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Up to 3 months $000</w:t>
            </w:r>
          </w:p>
        </w:tc>
        <w:tc>
          <w:tcPr>
            <w:tcW w:w="992"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3-12 months $000</w:t>
            </w:r>
          </w:p>
        </w:tc>
        <w:tc>
          <w:tcPr>
            <w:tcW w:w="993"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1-2 years $000</w:t>
            </w:r>
          </w:p>
        </w:tc>
        <w:tc>
          <w:tcPr>
            <w:tcW w:w="850"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2-5 years $000</w:t>
            </w:r>
          </w:p>
        </w:tc>
        <w:tc>
          <w:tcPr>
            <w:tcW w:w="851"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More than 5 years $000</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b/>
                <w:color w:val="000000"/>
                <w:lang w:val="en-US"/>
              </w:rPr>
            </w:pPr>
            <w:r w:rsidRPr="00D30975">
              <w:rPr>
                <w:b/>
                <w:color w:val="000000"/>
                <w:sz w:val="22"/>
                <w:szCs w:val="22"/>
                <w:lang w:val="en-US"/>
              </w:rPr>
              <w:t>Impaired financial assets $000</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u w:val="single"/>
                <w:lang w:val="en-US"/>
              </w:rPr>
            </w:pPr>
            <w:r w:rsidRPr="00D30975">
              <w:rPr>
                <w:color w:val="000000"/>
                <w:sz w:val="22"/>
                <w:szCs w:val="22"/>
                <w:u w:val="single"/>
                <w:lang w:val="en-US"/>
              </w:rPr>
              <w:t>30-Jun-15</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3"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0"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1"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275"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Financial Assets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3"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0"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1"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275"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Cash and cash equivalents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30,162</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30,162</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Restricted cash and cash equivalents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2.71</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34,652</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32,045</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2,607</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Receivables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1,169</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1,169</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1,169</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Derivatives - Cash Flow</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22</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22</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22</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Amount receivable for services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3,422</w:t>
            </w:r>
          </w:p>
        </w:tc>
        <w:tc>
          <w:tcPr>
            <w:tcW w:w="992"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3,422</w:t>
            </w:r>
          </w:p>
        </w:tc>
        <w:tc>
          <w:tcPr>
            <w:tcW w:w="992"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rFonts w:ascii="Arial" w:hAnsi="Arial" w:cs="Arial"/>
                <w:sz w:val="22"/>
                <w:szCs w:val="22"/>
              </w:rPr>
            </w:pP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69,427</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32,045</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37,382</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1,169</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22</w:t>
            </w:r>
          </w:p>
        </w:tc>
        <w:tc>
          <w:tcPr>
            <w:tcW w:w="993"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u w:val="single"/>
                <w:lang w:val="en-US"/>
              </w:rPr>
            </w:pPr>
            <w:r w:rsidRPr="00D30975">
              <w:rPr>
                <w:color w:val="000000"/>
                <w:sz w:val="22"/>
                <w:szCs w:val="22"/>
                <w:u w:val="single"/>
                <w:lang w:val="en-US"/>
              </w:rPr>
              <w:t>30-Jun-14</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3"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0"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1"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275" w:type="dxa"/>
            <w:tcBorders>
              <w:top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Financial Assets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2"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993"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0"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851"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275"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Cash and cash equivalents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30,729</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30,729</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Restricted cash and cash equivalents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2.80</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33,261</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31,166</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2,095</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Receivables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1,361</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1,361</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1,361</w:t>
            </w:r>
          </w:p>
        </w:tc>
        <w:tc>
          <w:tcPr>
            <w:tcW w:w="992"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color w:val="000000"/>
                <w:sz w:val="22"/>
                <w:szCs w:val="22"/>
                <w:lang w:val="en-US"/>
              </w:rPr>
            </w:pPr>
            <w:r w:rsidRPr="00D30975">
              <w:rPr>
                <w:color w:val="000000"/>
                <w:sz w:val="22"/>
                <w:szCs w:val="22"/>
                <w:lang w:val="en-US"/>
              </w:rPr>
              <w:t>Amounts receivable for services</w:t>
            </w: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27,060</w:t>
            </w:r>
          </w:p>
        </w:tc>
        <w:tc>
          <w:tcPr>
            <w:tcW w:w="992"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27,060</w:t>
            </w:r>
          </w:p>
        </w:tc>
        <w:tc>
          <w:tcPr>
            <w:tcW w:w="992"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2"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Borders>
              <w:bottom w:val="sing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r w:rsidR="00D30975" w:rsidRPr="00D30975" w:rsidTr="00D30975">
        <w:trPr>
          <w:trHeight w:val="60"/>
        </w:trPr>
        <w:tc>
          <w:tcPr>
            <w:tcW w:w="3686" w:type="dxa"/>
            <w:tcMar>
              <w:top w:w="57" w:type="dxa"/>
              <w:left w:w="0" w:type="dxa"/>
              <w:bottom w:w="57" w:type="dxa"/>
              <w:right w:w="0" w:type="dxa"/>
            </w:tcMar>
            <w:vAlign w:val="center"/>
          </w:tcPr>
          <w:p w:rsidR="00FC4E35" w:rsidRPr="00D30975" w:rsidRDefault="00FC4E35" w:rsidP="00D30975">
            <w:pPr>
              <w:spacing w:after="0"/>
              <w:rPr>
                <w:rFonts w:ascii="Arial" w:hAnsi="Arial" w:cs="Arial"/>
                <w:sz w:val="22"/>
                <w:szCs w:val="22"/>
              </w:rPr>
            </w:pPr>
          </w:p>
        </w:tc>
        <w:tc>
          <w:tcPr>
            <w:tcW w:w="1276" w:type="dxa"/>
            <w:tcMar>
              <w:top w:w="57" w:type="dxa"/>
              <w:left w:w="80" w:type="dxa"/>
              <w:bottom w:w="57" w:type="dxa"/>
              <w:right w:w="80" w:type="dxa"/>
            </w:tcMar>
            <w:vAlign w:val="center"/>
          </w:tcPr>
          <w:p w:rsidR="00FC4E35" w:rsidRPr="00D30975" w:rsidRDefault="00FC4E35" w:rsidP="00D30975">
            <w:pPr>
              <w:spacing w:after="0"/>
              <w:jc w:val="center"/>
              <w:rPr>
                <w:rFonts w:ascii="Arial" w:hAnsi="Arial" w:cs="Arial"/>
                <w:sz w:val="22"/>
                <w:szCs w:val="22"/>
              </w:rPr>
            </w:pPr>
          </w:p>
        </w:tc>
        <w:tc>
          <w:tcPr>
            <w:tcW w:w="1134"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92,411</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31,166</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61,245</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1,361</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993"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0"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851"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c>
          <w:tcPr>
            <w:tcW w:w="1275" w:type="dxa"/>
            <w:tcBorders>
              <w:top w:val="single" w:sz="4" w:space="0" w:color="auto"/>
              <w:bottom w:val="double" w:sz="4" w:space="0" w:color="auto"/>
            </w:tcBorders>
            <w:tcMar>
              <w:top w:w="57" w:type="dxa"/>
              <w:left w:w="80" w:type="dxa"/>
              <w:bottom w:w="57" w:type="dxa"/>
              <w:right w:w="80" w:type="dxa"/>
            </w:tcMar>
            <w:vAlign w:val="center"/>
          </w:tcPr>
          <w:p w:rsidR="00FC4E35" w:rsidRPr="00D30975" w:rsidRDefault="00FC4E35" w:rsidP="00D30975">
            <w:pPr>
              <w:spacing w:after="0"/>
              <w:jc w:val="center"/>
              <w:rPr>
                <w:color w:val="000000"/>
                <w:sz w:val="22"/>
                <w:szCs w:val="22"/>
                <w:lang w:val="en-US"/>
              </w:rPr>
            </w:pPr>
            <w:r w:rsidRPr="00D30975">
              <w:rPr>
                <w:color w:val="000000"/>
                <w:sz w:val="22"/>
                <w:szCs w:val="22"/>
                <w:lang w:val="en-US"/>
              </w:rPr>
              <w:t>-</w:t>
            </w:r>
          </w:p>
        </w:tc>
      </w:tr>
    </w:tbl>
    <w:p w:rsidR="00FC4E35" w:rsidRPr="00D30975" w:rsidRDefault="00FC4E35" w:rsidP="00AE75A9">
      <w:pPr>
        <w:pStyle w:val="ListParagraph"/>
        <w:numPr>
          <w:ilvl w:val="0"/>
          <w:numId w:val="92"/>
        </w:numPr>
        <w:suppressAutoHyphens/>
        <w:autoSpaceDE w:val="0"/>
        <w:autoSpaceDN w:val="0"/>
        <w:adjustRightInd w:val="0"/>
        <w:spacing w:before="142" w:line="288" w:lineRule="auto"/>
        <w:textAlignment w:val="center"/>
        <w:rPr>
          <w:color w:val="000000"/>
          <w:lang w:val="en-US"/>
        </w:rPr>
      </w:pPr>
      <w:r w:rsidRPr="00D30975">
        <w:rPr>
          <w:color w:val="000000"/>
          <w:lang w:val="en-US"/>
        </w:rPr>
        <w:t>The amount of receivables excludes the GST recoverable from the ATO (statutory receivable).</w:t>
      </w:r>
    </w:p>
    <w:p w:rsidR="00D30975" w:rsidRDefault="00D30975" w:rsidP="00D30975">
      <w:pPr>
        <w:suppressAutoHyphens/>
        <w:autoSpaceDE w:val="0"/>
        <w:autoSpaceDN w:val="0"/>
        <w:adjustRightInd w:val="0"/>
        <w:spacing w:before="142" w:line="288" w:lineRule="auto"/>
        <w:textAlignment w:val="center"/>
        <w:rPr>
          <w:color w:val="000000"/>
          <w:lang w:val="en-US"/>
        </w:rPr>
      </w:pPr>
    </w:p>
    <w:tbl>
      <w:tblPr>
        <w:tblW w:w="15026" w:type="dxa"/>
        <w:tblInd w:w="-284" w:type="dxa"/>
        <w:tblLayout w:type="fixed"/>
        <w:tblCellMar>
          <w:left w:w="0" w:type="dxa"/>
          <w:right w:w="0" w:type="dxa"/>
        </w:tblCellMar>
        <w:tblLook w:val="0000" w:firstRow="0" w:lastRow="0" w:firstColumn="0" w:lastColumn="0" w:noHBand="0" w:noVBand="0"/>
      </w:tblPr>
      <w:tblGrid>
        <w:gridCol w:w="2127"/>
        <w:gridCol w:w="1276"/>
        <w:gridCol w:w="1134"/>
        <w:gridCol w:w="1134"/>
        <w:gridCol w:w="1134"/>
        <w:gridCol w:w="992"/>
        <w:gridCol w:w="1418"/>
        <w:gridCol w:w="1134"/>
        <w:gridCol w:w="992"/>
        <w:gridCol w:w="992"/>
        <w:gridCol w:w="851"/>
        <w:gridCol w:w="850"/>
        <w:gridCol w:w="992"/>
      </w:tblGrid>
      <w:tr w:rsidR="009433C4" w:rsidRPr="00D30975" w:rsidTr="009433C4">
        <w:trPr>
          <w:trHeight w:val="369"/>
        </w:trPr>
        <w:tc>
          <w:tcPr>
            <w:tcW w:w="15026" w:type="dxa"/>
            <w:gridSpan w:val="13"/>
            <w:tcMar>
              <w:top w:w="57" w:type="dxa"/>
              <w:left w:w="0" w:type="dxa"/>
              <w:bottom w:w="57" w:type="dxa"/>
              <w:right w:w="0" w:type="dxa"/>
            </w:tcMar>
            <w:vAlign w:val="center"/>
          </w:tcPr>
          <w:p w:rsidR="009433C4" w:rsidRPr="00D30975" w:rsidRDefault="009433C4" w:rsidP="009433C4">
            <w:pPr>
              <w:spacing w:after="0"/>
              <w:rPr>
                <w:color w:val="000000"/>
                <w:sz w:val="22"/>
                <w:szCs w:val="22"/>
                <w:lang w:val="en-US"/>
              </w:rPr>
            </w:pPr>
            <w:r w:rsidRPr="00713596">
              <w:rPr>
                <w:b/>
                <w:color w:val="244061" w:themeColor="accent1" w:themeShade="80"/>
                <w:lang w:val="en-US"/>
              </w:rPr>
              <w:t>Interest rate exposure and maturity analysis of financial liabilities</w:t>
            </w:r>
            <w:r w:rsidRPr="00713596">
              <w:rPr>
                <w:b/>
                <w:color w:val="244061" w:themeColor="accent1" w:themeShade="80"/>
                <w:vertAlign w:val="superscript"/>
                <w:lang w:val="en-US"/>
              </w:rPr>
              <w:t>(a)</w:t>
            </w:r>
          </w:p>
        </w:tc>
      </w:tr>
      <w:tr w:rsidR="009433C4" w:rsidRPr="00D30975" w:rsidTr="009433C4">
        <w:trPr>
          <w:trHeight w:val="461"/>
        </w:trPr>
        <w:tc>
          <w:tcPr>
            <w:tcW w:w="2127" w:type="dxa"/>
            <w:tcMar>
              <w:top w:w="57" w:type="dxa"/>
              <w:left w:w="0" w:type="dxa"/>
              <w:bottom w:w="57" w:type="dxa"/>
              <w:right w:w="0" w:type="dxa"/>
            </w:tcMar>
            <w:vAlign w:val="center"/>
          </w:tcPr>
          <w:p w:rsidR="009433C4" w:rsidRPr="00D30975" w:rsidRDefault="009433C4" w:rsidP="009433C4">
            <w:pPr>
              <w:spacing w:after="0"/>
            </w:pPr>
          </w:p>
        </w:tc>
        <w:tc>
          <w:tcPr>
            <w:tcW w:w="8222" w:type="dxa"/>
            <w:gridSpan w:val="7"/>
            <w:tcMar>
              <w:top w:w="57" w:type="dxa"/>
              <w:left w:w="80" w:type="dxa"/>
              <w:bottom w:w="57" w:type="dxa"/>
              <w:right w:w="80" w:type="dxa"/>
            </w:tcMar>
            <w:vAlign w:val="center"/>
          </w:tcPr>
          <w:p w:rsidR="009433C4" w:rsidRPr="00D30975" w:rsidRDefault="009433C4" w:rsidP="000F01AB">
            <w:pPr>
              <w:spacing w:after="0"/>
              <w:jc w:val="center"/>
              <w:rPr>
                <w:b/>
                <w:color w:val="000000"/>
                <w:lang w:val="en-US"/>
              </w:rPr>
            </w:pPr>
            <w:r w:rsidRPr="00D30975">
              <w:rPr>
                <w:b/>
                <w:color w:val="000000"/>
                <w:lang w:val="en-US"/>
              </w:rPr>
              <w:t>Interest Rate exposure</w:t>
            </w:r>
          </w:p>
        </w:tc>
        <w:tc>
          <w:tcPr>
            <w:tcW w:w="4677" w:type="dxa"/>
            <w:gridSpan w:val="5"/>
            <w:tcMar>
              <w:top w:w="57" w:type="dxa"/>
              <w:left w:w="80" w:type="dxa"/>
              <w:bottom w:w="57" w:type="dxa"/>
              <w:right w:w="80" w:type="dxa"/>
            </w:tcMar>
            <w:vAlign w:val="center"/>
          </w:tcPr>
          <w:p w:rsidR="009433C4" w:rsidRPr="00D30975" w:rsidRDefault="009433C4" w:rsidP="000F01AB">
            <w:pPr>
              <w:spacing w:after="0"/>
              <w:jc w:val="center"/>
              <w:rPr>
                <w:b/>
                <w:color w:val="000000"/>
                <w:lang w:val="en-US"/>
              </w:rPr>
            </w:pPr>
            <w:r w:rsidRPr="00713596">
              <w:rPr>
                <w:b/>
                <w:color w:val="000000"/>
                <w:lang w:val="en-US"/>
              </w:rPr>
              <w:t>Maturity Date</w:t>
            </w:r>
          </w:p>
        </w:tc>
      </w:tr>
      <w:tr w:rsidR="00713596" w:rsidRPr="00D30975" w:rsidTr="00713596">
        <w:trPr>
          <w:trHeight w:val="1020"/>
        </w:trPr>
        <w:tc>
          <w:tcPr>
            <w:tcW w:w="2127" w:type="dxa"/>
            <w:tcMar>
              <w:top w:w="57" w:type="dxa"/>
              <w:left w:w="0" w:type="dxa"/>
              <w:bottom w:w="57" w:type="dxa"/>
              <w:right w:w="0" w:type="dxa"/>
            </w:tcMar>
            <w:vAlign w:val="center"/>
          </w:tcPr>
          <w:p w:rsidR="00713596" w:rsidRPr="00D30975" w:rsidRDefault="00713596" w:rsidP="009433C4">
            <w:pPr>
              <w:spacing w:after="0"/>
            </w:pPr>
          </w:p>
        </w:tc>
        <w:tc>
          <w:tcPr>
            <w:tcW w:w="1276" w:type="dxa"/>
            <w:tcMar>
              <w:top w:w="57" w:type="dxa"/>
              <w:left w:w="80" w:type="dxa"/>
              <w:bottom w:w="57" w:type="dxa"/>
              <w:right w:w="80" w:type="dxa"/>
            </w:tcMar>
            <w:vAlign w:val="bottom"/>
          </w:tcPr>
          <w:p w:rsidR="00713596" w:rsidRPr="009433C4" w:rsidRDefault="00713596" w:rsidP="009433C4">
            <w:pPr>
              <w:spacing w:after="0"/>
              <w:jc w:val="center"/>
              <w:rPr>
                <w:b/>
                <w:color w:val="000000"/>
                <w:lang w:val="en-US"/>
              </w:rPr>
            </w:pPr>
            <w:r w:rsidRPr="009433C4">
              <w:rPr>
                <w:b/>
                <w:bCs/>
                <w:color w:val="000000"/>
                <w:sz w:val="22"/>
                <w:szCs w:val="22"/>
                <w:lang w:val="en-US"/>
              </w:rPr>
              <w:t>Weighted average effective interest rate %</w:t>
            </w:r>
          </w:p>
        </w:tc>
        <w:tc>
          <w:tcPr>
            <w:tcW w:w="1134"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Carrying amount</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1134"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Fixed interest rate</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1134"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Variable interest rate</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992"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Non-</w:t>
            </w:r>
            <w:r w:rsidRPr="009433C4">
              <w:rPr>
                <w:b/>
                <w:bCs/>
                <w:color w:val="000000"/>
                <w:sz w:val="22"/>
                <w:szCs w:val="22"/>
                <w:lang w:val="en-US"/>
              </w:rPr>
              <w:br/>
              <w:t>interest bearing</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1418"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 xml:space="preserve">Adjustment for </w:t>
            </w:r>
            <w:r w:rsidRPr="009433C4">
              <w:rPr>
                <w:b/>
                <w:bCs/>
                <w:color w:val="000000"/>
                <w:sz w:val="22"/>
                <w:szCs w:val="22"/>
                <w:lang w:val="en-US"/>
              </w:rPr>
              <w:br/>
              <w:t>discounting</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1134"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Total Nominal Amount</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992"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Up to 3 months</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992"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3-12 months</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851"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1-2 years</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850" w:type="dxa"/>
            <w:tcMar>
              <w:top w:w="57" w:type="dxa"/>
              <w:left w:w="80" w:type="dxa"/>
              <w:bottom w:w="57" w:type="dxa"/>
              <w:right w:w="80" w:type="dxa"/>
            </w:tcMar>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2-5 years</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c>
          <w:tcPr>
            <w:tcW w:w="992" w:type="dxa"/>
            <w:vAlign w:val="bottom"/>
          </w:tcPr>
          <w:p w:rsidR="00713596" w:rsidRPr="009433C4" w:rsidRDefault="00713596" w:rsidP="009433C4">
            <w:pPr>
              <w:spacing w:after="0"/>
              <w:jc w:val="center"/>
              <w:rPr>
                <w:b/>
                <w:bCs/>
                <w:color w:val="000000"/>
                <w:sz w:val="22"/>
                <w:szCs w:val="22"/>
                <w:lang w:val="en-US"/>
              </w:rPr>
            </w:pPr>
            <w:r w:rsidRPr="009433C4">
              <w:rPr>
                <w:b/>
                <w:bCs/>
                <w:color w:val="000000"/>
                <w:sz w:val="22"/>
                <w:szCs w:val="22"/>
                <w:lang w:val="en-US"/>
              </w:rPr>
              <w:t>More than 5 years</w:t>
            </w:r>
          </w:p>
          <w:p w:rsidR="00713596" w:rsidRPr="009433C4" w:rsidRDefault="00713596" w:rsidP="009433C4">
            <w:pPr>
              <w:spacing w:after="0"/>
              <w:jc w:val="center"/>
              <w:rPr>
                <w:b/>
                <w:color w:val="000000"/>
                <w:lang w:val="en-US"/>
              </w:rPr>
            </w:pPr>
            <w:r w:rsidRPr="009433C4">
              <w:rPr>
                <w:b/>
                <w:bCs/>
                <w:color w:val="000000"/>
                <w:sz w:val="22"/>
                <w:szCs w:val="22"/>
                <w:lang w:val="en-US"/>
              </w:rPr>
              <w:t>$000</w:t>
            </w:r>
          </w:p>
        </w:tc>
      </w:tr>
      <w:tr w:rsidR="00713596" w:rsidRPr="00D30975" w:rsidTr="009433C4">
        <w:trPr>
          <w:trHeight w:val="60"/>
        </w:trPr>
        <w:tc>
          <w:tcPr>
            <w:tcW w:w="2127" w:type="dxa"/>
            <w:tcMar>
              <w:top w:w="57" w:type="dxa"/>
              <w:left w:w="0" w:type="dxa"/>
              <w:bottom w:w="57" w:type="dxa"/>
              <w:right w:w="0" w:type="dxa"/>
            </w:tcMar>
            <w:vAlign w:val="center"/>
          </w:tcPr>
          <w:p w:rsidR="00713596" w:rsidRPr="009433C4" w:rsidRDefault="00713596" w:rsidP="009433C4">
            <w:pPr>
              <w:spacing w:after="0"/>
              <w:rPr>
                <w:b/>
                <w:color w:val="000000"/>
                <w:u w:val="single"/>
              </w:rPr>
            </w:pPr>
            <w:r w:rsidRPr="009433C4">
              <w:rPr>
                <w:b/>
                <w:color w:val="000000"/>
                <w:u w:val="single"/>
                <w:lang w:val="en-US"/>
              </w:rPr>
              <w:t>30-Jun-15</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vAlign w:val="center"/>
          </w:tcPr>
          <w:p w:rsidR="00713596" w:rsidRDefault="00713596" w:rsidP="009433C4">
            <w:pPr>
              <w:spacing w:after="0"/>
              <w:jc w:val="right"/>
              <w:rPr>
                <w:color w:val="000000"/>
              </w:rPr>
            </w:pPr>
          </w:p>
        </w:tc>
      </w:tr>
      <w:tr w:rsidR="00713596" w:rsidRPr="00D30975" w:rsidTr="009433C4">
        <w:trPr>
          <w:trHeight w:val="60"/>
        </w:trPr>
        <w:tc>
          <w:tcPr>
            <w:tcW w:w="2127" w:type="dxa"/>
            <w:tcMar>
              <w:top w:w="57" w:type="dxa"/>
              <w:left w:w="0" w:type="dxa"/>
              <w:bottom w:w="57" w:type="dxa"/>
              <w:right w:w="0" w:type="dxa"/>
            </w:tcMar>
            <w:vAlign w:val="center"/>
          </w:tcPr>
          <w:p w:rsidR="00713596" w:rsidRPr="009433C4" w:rsidRDefault="00713596" w:rsidP="009433C4">
            <w:pPr>
              <w:spacing w:after="0"/>
              <w:rPr>
                <w:b/>
                <w:color w:val="000000"/>
              </w:rPr>
            </w:pPr>
            <w:r w:rsidRPr="009433C4">
              <w:rPr>
                <w:b/>
                <w:color w:val="000000"/>
                <w:lang w:val="en-US"/>
              </w:rPr>
              <w:t xml:space="preserve">Financial </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 xml:space="preserve"> </w:t>
            </w: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vAlign w:val="center"/>
          </w:tcPr>
          <w:p w:rsidR="00713596" w:rsidRDefault="00713596" w:rsidP="009433C4">
            <w:pPr>
              <w:spacing w:after="0"/>
              <w:jc w:val="right"/>
              <w:rPr>
                <w:color w:val="000000"/>
              </w:rPr>
            </w:pPr>
          </w:p>
        </w:tc>
      </w:tr>
      <w:tr w:rsidR="00713596" w:rsidRPr="00D30975" w:rsidTr="009433C4">
        <w:trPr>
          <w:trHeight w:val="60"/>
        </w:trPr>
        <w:tc>
          <w:tcPr>
            <w:tcW w:w="2127" w:type="dxa"/>
            <w:tcMar>
              <w:top w:w="57" w:type="dxa"/>
              <w:left w:w="0" w:type="dxa"/>
              <w:bottom w:w="57" w:type="dxa"/>
              <w:right w:w="0" w:type="dxa"/>
            </w:tcMar>
            <w:vAlign w:val="center"/>
          </w:tcPr>
          <w:p w:rsidR="00713596" w:rsidRPr="009433C4" w:rsidRDefault="00713596" w:rsidP="009433C4">
            <w:pPr>
              <w:spacing w:after="0"/>
              <w:rPr>
                <w:b/>
                <w:color w:val="000000"/>
              </w:rPr>
            </w:pPr>
            <w:r w:rsidRPr="009433C4">
              <w:rPr>
                <w:b/>
                <w:color w:val="000000"/>
                <w:lang w:val="en-US"/>
              </w:rPr>
              <w:t>Liabilities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vAlign w:val="center"/>
          </w:tcPr>
          <w:p w:rsidR="00713596" w:rsidRDefault="00713596" w:rsidP="009433C4">
            <w:pPr>
              <w:spacing w:after="0"/>
              <w:jc w:val="right"/>
              <w:rPr>
                <w:color w:val="000000"/>
              </w:rPr>
            </w:pP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r>
              <w:rPr>
                <w:color w:val="000000"/>
                <w:lang w:val="en-US"/>
              </w:rPr>
              <w:t>Payables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3,815</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3,815</w:t>
            </w: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3,815</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vAlign w:val="center"/>
          </w:tcPr>
          <w:p w:rsidR="00713596" w:rsidRDefault="00713596" w:rsidP="009433C4">
            <w:pPr>
              <w:spacing w:after="0"/>
              <w:jc w:val="right"/>
              <w:rPr>
                <w:color w:val="000000"/>
              </w:rPr>
            </w:pPr>
            <w:r>
              <w:rPr>
                <w:color w:val="000000"/>
                <w:lang w:val="en-US"/>
              </w:rPr>
              <w:t>-</w:t>
            </w: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r>
              <w:rPr>
                <w:color w:val="000000"/>
                <w:lang w:val="en-US"/>
              </w:rPr>
              <w:t>Other liabilities - Derivatives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25</w:t>
            </w: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25</w:t>
            </w:r>
          </w:p>
        </w:tc>
        <w:tc>
          <w:tcPr>
            <w:tcW w:w="1418"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w:t>
            </w: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25</w:t>
            </w:r>
          </w:p>
        </w:tc>
        <w:tc>
          <w:tcPr>
            <w:tcW w:w="851"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w:t>
            </w:r>
          </w:p>
        </w:tc>
        <w:tc>
          <w:tcPr>
            <w:tcW w:w="850"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vAlign w:val="center"/>
          </w:tcPr>
          <w:p w:rsidR="00713596" w:rsidRDefault="00713596" w:rsidP="009433C4">
            <w:pPr>
              <w:spacing w:after="0"/>
              <w:jc w:val="right"/>
              <w:rPr>
                <w:color w:val="000000"/>
              </w:rPr>
            </w:pPr>
            <w:r>
              <w:rPr>
                <w:color w:val="000000"/>
                <w:lang w:val="en-US"/>
              </w:rPr>
              <w:t>-</w:t>
            </w: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3,840</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3,840</w:t>
            </w:r>
          </w:p>
        </w:tc>
        <w:tc>
          <w:tcPr>
            <w:tcW w:w="1418"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3,815</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25</w:t>
            </w:r>
          </w:p>
        </w:tc>
        <w:tc>
          <w:tcPr>
            <w:tcW w:w="851"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w:t>
            </w:r>
          </w:p>
        </w:tc>
        <w:tc>
          <w:tcPr>
            <w:tcW w:w="850"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top w:val="single" w:sz="4" w:space="0" w:color="auto"/>
              <w:bottom w:val="double" w:sz="4" w:space="0" w:color="auto"/>
            </w:tcBorders>
            <w:vAlign w:val="center"/>
          </w:tcPr>
          <w:p w:rsidR="00713596" w:rsidRDefault="00713596" w:rsidP="009433C4">
            <w:pPr>
              <w:spacing w:after="0"/>
              <w:jc w:val="right"/>
              <w:rPr>
                <w:color w:val="000000"/>
              </w:rPr>
            </w:pPr>
            <w:r>
              <w:rPr>
                <w:color w:val="000000"/>
                <w:lang w:val="en-US"/>
              </w:rPr>
              <w:t>-</w:t>
            </w:r>
          </w:p>
        </w:tc>
      </w:tr>
      <w:tr w:rsidR="00713596" w:rsidRPr="00D30975" w:rsidTr="009433C4">
        <w:trPr>
          <w:trHeight w:val="60"/>
        </w:trPr>
        <w:tc>
          <w:tcPr>
            <w:tcW w:w="2127" w:type="dxa"/>
            <w:tcMar>
              <w:top w:w="57" w:type="dxa"/>
              <w:left w:w="0" w:type="dxa"/>
              <w:bottom w:w="57" w:type="dxa"/>
              <w:right w:w="0" w:type="dxa"/>
            </w:tcMar>
            <w:vAlign w:val="center"/>
          </w:tcPr>
          <w:p w:rsidR="00713596" w:rsidRPr="009433C4" w:rsidRDefault="00713596" w:rsidP="009433C4">
            <w:pPr>
              <w:spacing w:after="0"/>
              <w:rPr>
                <w:b/>
                <w:color w:val="000000"/>
                <w:u w:val="single"/>
              </w:rPr>
            </w:pPr>
            <w:r w:rsidRPr="009433C4">
              <w:rPr>
                <w:b/>
                <w:color w:val="000000"/>
                <w:u w:val="single"/>
                <w:lang w:val="en-US"/>
              </w:rPr>
              <w:t>30-Jun-14</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1418"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851"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850" w:type="dxa"/>
            <w:tcBorders>
              <w:top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Borders>
              <w:top w:val="double" w:sz="4" w:space="0" w:color="auto"/>
            </w:tcBorders>
            <w:vAlign w:val="center"/>
          </w:tcPr>
          <w:p w:rsidR="00713596" w:rsidRDefault="00713596" w:rsidP="009433C4">
            <w:pPr>
              <w:spacing w:after="0"/>
              <w:jc w:val="right"/>
              <w:rPr>
                <w:color w:val="000000"/>
              </w:rPr>
            </w:pPr>
          </w:p>
        </w:tc>
      </w:tr>
      <w:tr w:rsidR="00713596" w:rsidRPr="00D30975" w:rsidTr="009433C4">
        <w:trPr>
          <w:trHeight w:val="60"/>
        </w:trPr>
        <w:tc>
          <w:tcPr>
            <w:tcW w:w="2127" w:type="dxa"/>
            <w:tcMar>
              <w:top w:w="57" w:type="dxa"/>
              <w:left w:w="0" w:type="dxa"/>
              <w:bottom w:w="57" w:type="dxa"/>
              <w:right w:w="0" w:type="dxa"/>
            </w:tcMar>
            <w:vAlign w:val="center"/>
          </w:tcPr>
          <w:p w:rsidR="00713596" w:rsidRPr="009433C4" w:rsidRDefault="00713596" w:rsidP="009433C4">
            <w:pPr>
              <w:spacing w:after="0"/>
              <w:rPr>
                <w:b/>
                <w:color w:val="000000"/>
              </w:rPr>
            </w:pPr>
            <w:r w:rsidRPr="009433C4">
              <w:rPr>
                <w:b/>
                <w:color w:val="000000"/>
                <w:lang w:val="en-US"/>
              </w:rPr>
              <w:t xml:space="preserve">Financial </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vAlign w:val="center"/>
          </w:tcPr>
          <w:p w:rsidR="00713596" w:rsidRDefault="00713596" w:rsidP="009433C4">
            <w:pPr>
              <w:spacing w:after="0"/>
              <w:jc w:val="right"/>
              <w:rPr>
                <w:color w:val="000000"/>
              </w:rPr>
            </w:pPr>
          </w:p>
        </w:tc>
      </w:tr>
      <w:tr w:rsidR="00713596" w:rsidRPr="00D30975" w:rsidTr="009433C4">
        <w:trPr>
          <w:trHeight w:val="60"/>
        </w:trPr>
        <w:tc>
          <w:tcPr>
            <w:tcW w:w="2127" w:type="dxa"/>
            <w:tcMar>
              <w:top w:w="57" w:type="dxa"/>
              <w:left w:w="0" w:type="dxa"/>
              <w:bottom w:w="57" w:type="dxa"/>
              <w:right w:w="0" w:type="dxa"/>
            </w:tcMar>
            <w:vAlign w:val="center"/>
          </w:tcPr>
          <w:p w:rsidR="00713596" w:rsidRPr="009433C4" w:rsidRDefault="00713596" w:rsidP="009433C4">
            <w:pPr>
              <w:spacing w:after="0"/>
              <w:rPr>
                <w:b/>
                <w:color w:val="000000"/>
              </w:rPr>
            </w:pPr>
            <w:r w:rsidRPr="009433C4">
              <w:rPr>
                <w:b/>
                <w:color w:val="000000"/>
                <w:lang w:val="en-US"/>
              </w:rPr>
              <w:t>Liabilities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p>
        </w:tc>
        <w:tc>
          <w:tcPr>
            <w:tcW w:w="992" w:type="dxa"/>
            <w:vAlign w:val="center"/>
          </w:tcPr>
          <w:p w:rsidR="00713596" w:rsidRDefault="00713596" w:rsidP="009433C4">
            <w:pPr>
              <w:spacing w:after="0"/>
              <w:jc w:val="right"/>
              <w:rPr>
                <w:color w:val="000000"/>
              </w:rPr>
            </w:pP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r>
              <w:rPr>
                <w:color w:val="000000"/>
                <w:lang w:val="en-US"/>
              </w:rPr>
              <w:t>Payables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4,624</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4,624</w:t>
            </w: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4,624</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4,624</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vAlign w:val="center"/>
          </w:tcPr>
          <w:p w:rsidR="00713596" w:rsidRDefault="00713596" w:rsidP="009433C4">
            <w:pPr>
              <w:spacing w:after="0"/>
              <w:jc w:val="right"/>
              <w:rPr>
                <w:color w:val="000000"/>
              </w:rPr>
            </w:pPr>
            <w:r>
              <w:rPr>
                <w:color w:val="000000"/>
                <w:lang w:val="en-US"/>
              </w:rPr>
              <w:t>-</w:t>
            </w: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r>
              <w:rPr>
                <w:color w:val="000000"/>
                <w:lang w:val="en-US"/>
              </w:rPr>
              <w:t>Other liabilities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418"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851"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850" w:type="dxa"/>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vAlign w:val="center"/>
          </w:tcPr>
          <w:p w:rsidR="00713596" w:rsidRDefault="00713596" w:rsidP="009433C4">
            <w:pPr>
              <w:spacing w:after="0"/>
              <w:jc w:val="right"/>
              <w:rPr>
                <w:color w:val="000000"/>
              </w:rPr>
            </w:pPr>
            <w:r>
              <w:rPr>
                <w:color w:val="000000"/>
                <w:lang w:val="en-US"/>
              </w:rPr>
              <w:t>-</w:t>
            </w: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r>
              <w:rPr>
                <w:color w:val="000000"/>
                <w:lang w:val="en-US"/>
              </w:rPr>
              <w:t>Other liabilities - Derivatives</w:t>
            </w: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1,420</w:t>
            </w: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1,420</w:t>
            </w:r>
          </w:p>
        </w:tc>
        <w:tc>
          <w:tcPr>
            <w:tcW w:w="1418"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-74</w:t>
            </w:r>
          </w:p>
        </w:tc>
        <w:tc>
          <w:tcPr>
            <w:tcW w:w="1134"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629</w:t>
            </w:r>
          </w:p>
        </w:tc>
        <w:tc>
          <w:tcPr>
            <w:tcW w:w="851"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639</w:t>
            </w:r>
          </w:p>
        </w:tc>
        <w:tc>
          <w:tcPr>
            <w:tcW w:w="850" w:type="dxa"/>
            <w:tcBorders>
              <w:bottom w:val="sing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226</w:t>
            </w:r>
          </w:p>
        </w:tc>
        <w:tc>
          <w:tcPr>
            <w:tcW w:w="992" w:type="dxa"/>
            <w:tcBorders>
              <w:bottom w:val="single" w:sz="4" w:space="0" w:color="auto"/>
            </w:tcBorders>
            <w:vAlign w:val="center"/>
          </w:tcPr>
          <w:p w:rsidR="00713596" w:rsidRDefault="00713596" w:rsidP="009433C4">
            <w:pPr>
              <w:spacing w:after="0"/>
              <w:jc w:val="right"/>
              <w:rPr>
                <w:color w:val="000000"/>
              </w:rPr>
            </w:pPr>
            <w:r>
              <w:rPr>
                <w:color w:val="000000"/>
                <w:lang w:val="en-US"/>
              </w:rPr>
              <w:t>-</w:t>
            </w:r>
          </w:p>
        </w:tc>
      </w:tr>
      <w:tr w:rsidR="00713596" w:rsidRPr="00D30975" w:rsidTr="009433C4">
        <w:trPr>
          <w:trHeight w:val="60"/>
        </w:trPr>
        <w:tc>
          <w:tcPr>
            <w:tcW w:w="2127" w:type="dxa"/>
            <w:tcMar>
              <w:top w:w="57" w:type="dxa"/>
              <w:left w:w="0" w:type="dxa"/>
              <w:bottom w:w="57" w:type="dxa"/>
              <w:right w:w="0" w:type="dxa"/>
            </w:tcMar>
            <w:vAlign w:val="center"/>
          </w:tcPr>
          <w:p w:rsidR="00713596" w:rsidRDefault="00713596" w:rsidP="009433C4">
            <w:pPr>
              <w:spacing w:after="0"/>
              <w:rPr>
                <w:color w:val="000000"/>
              </w:rPr>
            </w:pPr>
          </w:p>
        </w:tc>
        <w:tc>
          <w:tcPr>
            <w:tcW w:w="1276" w:type="dxa"/>
            <w:tcMar>
              <w:top w:w="57" w:type="dxa"/>
              <w:left w:w="80" w:type="dxa"/>
              <w:bottom w:w="57" w:type="dxa"/>
              <w:right w:w="80" w:type="dxa"/>
            </w:tcMar>
            <w:vAlign w:val="center"/>
          </w:tcPr>
          <w:p w:rsidR="00713596" w:rsidRDefault="00713596" w:rsidP="009433C4">
            <w:pPr>
              <w:spacing w:after="0"/>
              <w:jc w:val="right"/>
              <w:rPr>
                <w:color w:val="000000"/>
              </w:rPr>
            </w:pP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6,044</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1,420</w:t>
            </w:r>
          </w:p>
        </w:tc>
        <w:tc>
          <w:tcPr>
            <w:tcW w:w="1418"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-74</w:t>
            </w:r>
          </w:p>
        </w:tc>
        <w:tc>
          <w:tcPr>
            <w:tcW w:w="1134"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4,624</w:t>
            </w:r>
          </w:p>
        </w:tc>
        <w:tc>
          <w:tcPr>
            <w:tcW w:w="992"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629</w:t>
            </w:r>
          </w:p>
        </w:tc>
        <w:tc>
          <w:tcPr>
            <w:tcW w:w="851"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639</w:t>
            </w:r>
          </w:p>
        </w:tc>
        <w:tc>
          <w:tcPr>
            <w:tcW w:w="850" w:type="dxa"/>
            <w:tcBorders>
              <w:top w:val="single" w:sz="4" w:space="0" w:color="auto"/>
              <w:bottom w:val="double" w:sz="4" w:space="0" w:color="auto"/>
            </w:tcBorders>
            <w:tcMar>
              <w:top w:w="57" w:type="dxa"/>
              <w:left w:w="80" w:type="dxa"/>
              <w:bottom w:w="57" w:type="dxa"/>
              <w:right w:w="80" w:type="dxa"/>
            </w:tcMar>
            <w:vAlign w:val="center"/>
          </w:tcPr>
          <w:p w:rsidR="00713596" w:rsidRDefault="00713596" w:rsidP="009433C4">
            <w:pPr>
              <w:spacing w:after="0"/>
              <w:jc w:val="right"/>
              <w:rPr>
                <w:color w:val="000000"/>
              </w:rPr>
            </w:pPr>
            <w:r>
              <w:rPr>
                <w:color w:val="000000"/>
                <w:lang w:val="en-US"/>
              </w:rPr>
              <w:t>226</w:t>
            </w:r>
          </w:p>
        </w:tc>
        <w:tc>
          <w:tcPr>
            <w:tcW w:w="992" w:type="dxa"/>
            <w:tcBorders>
              <w:top w:val="single" w:sz="4" w:space="0" w:color="auto"/>
              <w:bottom w:val="double" w:sz="4" w:space="0" w:color="auto"/>
            </w:tcBorders>
            <w:vAlign w:val="center"/>
          </w:tcPr>
          <w:p w:rsidR="00713596" w:rsidRDefault="00713596" w:rsidP="009433C4">
            <w:pPr>
              <w:spacing w:after="0"/>
              <w:jc w:val="right"/>
              <w:rPr>
                <w:color w:val="000000"/>
              </w:rPr>
            </w:pPr>
            <w:r>
              <w:rPr>
                <w:color w:val="000000"/>
                <w:lang w:val="en-US"/>
              </w:rPr>
              <w:t>-</w:t>
            </w:r>
          </w:p>
        </w:tc>
      </w:tr>
    </w:tbl>
    <w:p w:rsidR="00D30975" w:rsidRDefault="00D30975" w:rsidP="00D30975">
      <w:pPr>
        <w:suppressAutoHyphens/>
        <w:autoSpaceDE w:val="0"/>
        <w:autoSpaceDN w:val="0"/>
        <w:adjustRightInd w:val="0"/>
        <w:spacing w:before="142" w:line="288" w:lineRule="auto"/>
        <w:textAlignment w:val="center"/>
        <w:rPr>
          <w:color w:val="000000"/>
          <w:lang w:val="en-US"/>
        </w:rPr>
      </w:pPr>
    </w:p>
    <w:p w:rsidR="00D30975" w:rsidRDefault="00D30975" w:rsidP="00FC4E35">
      <w:pPr>
        <w:suppressAutoHyphens/>
        <w:autoSpaceDE w:val="0"/>
        <w:autoSpaceDN w:val="0"/>
        <w:adjustRightInd w:val="0"/>
        <w:spacing w:before="142" w:line="288" w:lineRule="auto"/>
        <w:textAlignment w:val="center"/>
        <w:rPr>
          <w:color w:val="000000"/>
          <w:lang w:val="en-US"/>
        </w:rPr>
        <w:sectPr w:rsidR="00D30975" w:rsidSect="00D30975">
          <w:pgSz w:w="16838" w:h="11906" w:orient="landscape"/>
          <w:pgMar w:top="993" w:right="1440" w:bottom="991" w:left="851" w:header="709" w:footer="404" w:gutter="0"/>
          <w:cols w:space="708"/>
          <w:docGrid w:linePitch="360"/>
        </w:sectPr>
      </w:pPr>
    </w:p>
    <w:p w:rsidR="00FC4E35" w:rsidRPr="00FC4E35" w:rsidRDefault="00FC4E35" w:rsidP="009433C4">
      <w:pPr>
        <w:pStyle w:val="Heading7"/>
        <w:rPr>
          <w:color w:val="000000"/>
          <w:lang w:val="en-US"/>
        </w:rPr>
      </w:pPr>
      <w:r w:rsidRPr="00FC4E35">
        <w:rPr>
          <w:lang w:val="en-GB"/>
        </w:rPr>
        <w:t>Interest rate and foreign exchange rate sensitivity analysis</w:t>
      </w:r>
    </w:p>
    <w:p w:rsidR="008A4149" w:rsidRDefault="00FC4E35" w:rsidP="009433C4">
      <w:pPr>
        <w:rPr>
          <w:lang w:val="en-US"/>
        </w:rPr>
      </w:pPr>
      <w:r w:rsidRPr="00FC4E35">
        <w:rPr>
          <w:lang w:val="en-US"/>
        </w:rPr>
        <w:t>The following tables represent a summary of the interest rate and foreign exchange rate sensitivity of the Department’s financial assets and liabilities at the balance sheet date on the surplus for the period and equity for a 100 basis points change in interest rates and 10% change in foreign exchange rates. It is assumed that the change in interest rates is held constant throughout the reporting period.</w:t>
      </w:r>
    </w:p>
    <w:tbl>
      <w:tblPr>
        <w:tblW w:w="10040" w:type="dxa"/>
        <w:tblInd w:w="93" w:type="dxa"/>
        <w:tblLook w:val="04A0" w:firstRow="1" w:lastRow="0" w:firstColumn="1" w:lastColumn="0" w:noHBand="0" w:noVBand="1"/>
      </w:tblPr>
      <w:tblGrid>
        <w:gridCol w:w="4242"/>
        <w:gridCol w:w="1178"/>
        <w:gridCol w:w="1280"/>
        <w:gridCol w:w="1000"/>
        <w:gridCol w:w="1340"/>
        <w:gridCol w:w="1000"/>
      </w:tblGrid>
      <w:tr w:rsidR="008A4149" w:rsidRPr="008A4149" w:rsidTr="008A4149">
        <w:trPr>
          <w:trHeight w:val="429"/>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244061" w:themeColor="accent1" w:themeShade="80"/>
                <w:lang w:eastAsia="en-AU"/>
              </w:rPr>
            </w:pPr>
            <w:r w:rsidRPr="008A4149">
              <w:rPr>
                <w:b/>
                <w:color w:val="244061" w:themeColor="accent1" w:themeShade="80"/>
                <w:lang w:eastAsia="en-AU"/>
              </w:rPr>
              <w:t>Interest Rate</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244061" w:themeColor="accent1" w:themeShade="80"/>
                <w:lang w:eastAsia="en-AU"/>
              </w:rPr>
            </w:pP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244061" w:themeColor="accent1" w:themeShade="8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244061" w:themeColor="accent1" w:themeShade="80"/>
                <w:lang w:eastAsia="en-AU"/>
              </w:rPr>
            </w:pP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244061" w:themeColor="accent1" w:themeShade="8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244061" w:themeColor="accent1" w:themeShade="80"/>
                <w:lang w:eastAsia="en-AU"/>
              </w:rPr>
            </w:pPr>
          </w:p>
        </w:tc>
      </w:tr>
      <w:tr w:rsidR="008A4149" w:rsidRPr="008A4149" w:rsidTr="000F01AB">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lang w:eastAsia="en-AU"/>
              </w:rPr>
            </w:pP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000000"/>
                <w:lang w:eastAsia="en-AU"/>
              </w:rPr>
            </w:pPr>
          </w:p>
        </w:tc>
        <w:tc>
          <w:tcPr>
            <w:tcW w:w="2280" w:type="dxa"/>
            <w:gridSpan w:val="2"/>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000000"/>
                <w:lang w:eastAsia="en-AU"/>
              </w:rPr>
            </w:pPr>
            <w:r w:rsidRPr="008A4149">
              <w:rPr>
                <w:b/>
                <w:color w:val="000000"/>
                <w:lang w:eastAsia="en-AU"/>
              </w:rPr>
              <w:t>-1% change</w:t>
            </w:r>
          </w:p>
        </w:tc>
        <w:tc>
          <w:tcPr>
            <w:tcW w:w="2340" w:type="dxa"/>
            <w:gridSpan w:val="2"/>
            <w:tcBorders>
              <w:top w:val="nil"/>
              <w:left w:val="nil"/>
              <w:bottom w:val="nil"/>
              <w:right w:val="nil"/>
            </w:tcBorders>
            <w:shd w:val="clear" w:color="auto" w:fill="auto"/>
            <w:noWrap/>
            <w:vAlign w:val="bottom"/>
            <w:hideMark/>
          </w:tcPr>
          <w:p w:rsidR="008A4149" w:rsidRPr="008A4149" w:rsidRDefault="008A4149" w:rsidP="008A4149">
            <w:pPr>
              <w:spacing w:after="0"/>
              <w:jc w:val="center"/>
              <w:rPr>
                <w:b/>
                <w:color w:val="000000"/>
                <w:lang w:eastAsia="en-AU"/>
              </w:rPr>
            </w:pPr>
            <w:r w:rsidRPr="008A4149">
              <w:rPr>
                <w:b/>
                <w:color w:val="000000"/>
                <w:lang w:eastAsia="en-AU"/>
              </w:rPr>
              <w:t>+1% change</w:t>
            </w:r>
          </w:p>
        </w:tc>
      </w:tr>
      <w:tr w:rsidR="008A4149" w:rsidRPr="008A4149" w:rsidTr="008A4149">
        <w:trPr>
          <w:trHeight w:val="85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lang w:eastAsia="en-AU"/>
              </w:rPr>
            </w:pPr>
          </w:p>
        </w:tc>
        <w:tc>
          <w:tcPr>
            <w:tcW w:w="1178" w:type="dxa"/>
            <w:tcBorders>
              <w:top w:val="nil"/>
              <w:left w:val="nil"/>
              <w:bottom w:val="nil"/>
              <w:right w:val="nil"/>
            </w:tcBorders>
            <w:shd w:val="clear" w:color="auto" w:fill="auto"/>
            <w:vAlign w:val="bottom"/>
            <w:hideMark/>
          </w:tcPr>
          <w:p w:rsidR="008A4149" w:rsidRPr="008A4149" w:rsidRDefault="008A4149" w:rsidP="008A4149">
            <w:pPr>
              <w:spacing w:after="0"/>
              <w:jc w:val="center"/>
              <w:rPr>
                <w:b/>
                <w:color w:val="000000"/>
                <w:lang w:eastAsia="en-AU"/>
              </w:rPr>
            </w:pPr>
            <w:r w:rsidRPr="008A4149">
              <w:rPr>
                <w:b/>
                <w:color w:val="000000"/>
                <w:lang w:eastAsia="en-AU"/>
              </w:rPr>
              <w:t>Carrying amount $000</w:t>
            </w:r>
          </w:p>
        </w:tc>
        <w:tc>
          <w:tcPr>
            <w:tcW w:w="1280" w:type="dxa"/>
            <w:tcBorders>
              <w:top w:val="nil"/>
              <w:left w:val="nil"/>
              <w:bottom w:val="nil"/>
              <w:right w:val="nil"/>
            </w:tcBorders>
            <w:shd w:val="clear" w:color="auto" w:fill="auto"/>
            <w:vAlign w:val="bottom"/>
            <w:hideMark/>
          </w:tcPr>
          <w:p w:rsidR="008A4149" w:rsidRPr="008A4149" w:rsidRDefault="008A4149" w:rsidP="008A4149">
            <w:pPr>
              <w:spacing w:after="0"/>
              <w:jc w:val="center"/>
              <w:rPr>
                <w:b/>
                <w:color w:val="000000"/>
                <w:lang w:eastAsia="en-AU"/>
              </w:rPr>
            </w:pPr>
            <w:r w:rsidRPr="008A4149">
              <w:rPr>
                <w:b/>
                <w:color w:val="000000"/>
                <w:lang w:eastAsia="en-AU"/>
              </w:rPr>
              <w:t>Profit $000</w:t>
            </w:r>
          </w:p>
        </w:tc>
        <w:tc>
          <w:tcPr>
            <w:tcW w:w="1000" w:type="dxa"/>
            <w:tcBorders>
              <w:top w:val="nil"/>
              <w:left w:val="nil"/>
              <w:bottom w:val="nil"/>
              <w:right w:val="nil"/>
            </w:tcBorders>
            <w:shd w:val="clear" w:color="auto" w:fill="auto"/>
            <w:vAlign w:val="bottom"/>
            <w:hideMark/>
          </w:tcPr>
          <w:p w:rsidR="008A4149" w:rsidRPr="008A4149" w:rsidRDefault="008A4149" w:rsidP="008A4149">
            <w:pPr>
              <w:spacing w:after="0"/>
              <w:jc w:val="center"/>
              <w:rPr>
                <w:b/>
                <w:color w:val="000000"/>
                <w:lang w:eastAsia="en-AU"/>
              </w:rPr>
            </w:pPr>
            <w:r w:rsidRPr="008A4149">
              <w:rPr>
                <w:b/>
                <w:color w:val="000000"/>
                <w:lang w:eastAsia="en-AU"/>
              </w:rPr>
              <w:t>Equity $000</w:t>
            </w:r>
          </w:p>
        </w:tc>
        <w:tc>
          <w:tcPr>
            <w:tcW w:w="1340" w:type="dxa"/>
            <w:tcBorders>
              <w:top w:val="nil"/>
              <w:left w:val="nil"/>
              <w:bottom w:val="nil"/>
              <w:right w:val="nil"/>
            </w:tcBorders>
            <w:shd w:val="clear" w:color="auto" w:fill="auto"/>
            <w:vAlign w:val="bottom"/>
            <w:hideMark/>
          </w:tcPr>
          <w:p w:rsidR="008A4149" w:rsidRPr="008A4149" w:rsidRDefault="008A4149" w:rsidP="008A4149">
            <w:pPr>
              <w:spacing w:after="0"/>
              <w:jc w:val="center"/>
              <w:rPr>
                <w:b/>
                <w:color w:val="000000"/>
                <w:lang w:eastAsia="en-AU"/>
              </w:rPr>
            </w:pPr>
            <w:r w:rsidRPr="008A4149">
              <w:rPr>
                <w:b/>
                <w:color w:val="000000"/>
                <w:lang w:eastAsia="en-AU"/>
              </w:rPr>
              <w:t>Profit $000</w:t>
            </w:r>
          </w:p>
        </w:tc>
        <w:tc>
          <w:tcPr>
            <w:tcW w:w="1000" w:type="dxa"/>
            <w:tcBorders>
              <w:top w:val="nil"/>
              <w:left w:val="nil"/>
              <w:bottom w:val="nil"/>
              <w:right w:val="nil"/>
            </w:tcBorders>
            <w:shd w:val="clear" w:color="auto" w:fill="auto"/>
            <w:vAlign w:val="bottom"/>
            <w:hideMark/>
          </w:tcPr>
          <w:p w:rsidR="008A4149" w:rsidRPr="008A4149" w:rsidRDefault="008A4149" w:rsidP="008A4149">
            <w:pPr>
              <w:spacing w:after="0"/>
              <w:jc w:val="center"/>
              <w:rPr>
                <w:b/>
                <w:color w:val="000000"/>
                <w:lang w:eastAsia="en-AU"/>
              </w:rPr>
            </w:pPr>
            <w:r w:rsidRPr="008A4149">
              <w:rPr>
                <w:b/>
                <w:color w:val="000000"/>
                <w:lang w:eastAsia="en-AU"/>
              </w:rPr>
              <w:t>Equity $000</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u w:val="single"/>
                <w:lang w:eastAsia="en-AU"/>
              </w:rPr>
            </w:pPr>
            <w:r w:rsidRPr="008A4149">
              <w:rPr>
                <w:b/>
                <w:color w:val="000000"/>
                <w:u w:val="single"/>
                <w:lang w:eastAsia="en-AU"/>
              </w:rPr>
              <w:t>30-Jun-15</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lang w:eastAsia="en-AU"/>
              </w:rPr>
            </w:pPr>
            <w:r w:rsidRPr="008A4149">
              <w:rPr>
                <w:b/>
                <w:color w:val="000000"/>
                <w:lang w:eastAsia="en-AU"/>
              </w:rPr>
              <w:t>Financial Assets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 xml:space="preserve"> </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Restricted Cash and cash equivalents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32,045</w:t>
            </w: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Receivables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Other Financial Assets</w:t>
            </w:r>
          </w:p>
        </w:tc>
        <w:tc>
          <w:tcPr>
            <w:tcW w:w="1178"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p>
        </w:tc>
        <w:tc>
          <w:tcPr>
            <w:tcW w:w="1178"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32,045</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320</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lang w:eastAsia="en-AU"/>
              </w:rPr>
            </w:pPr>
            <w:r w:rsidRPr="008A4149">
              <w:rPr>
                <w:b/>
                <w:color w:val="000000"/>
                <w:lang w:eastAsia="en-AU"/>
              </w:rPr>
              <w:t>Financial Liabilities</w:t>
            </w:r>
          </w:p>
        </w:tc>
        <w:tc>
          <w:tcPr>
            <w:tcW w:w="1178"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28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34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 xml:space="preserve"> </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Payables</w:t>
            </w:r>
          </w:p>
        </w:tc>
        <w:tc>
          <w:tcPr>
            <w:tcW w:w="1178"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Other liabilities</w:t>
            </w:r>
          </w:p>
        </w:tc>
        <w:tc>
          <w:tcPr>
            <w:tcW w:w="1178"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p>
        </w:tc>
        <w:tc>
          <w:tcPr>
            <w:tcW w:w="1178"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u w:val="single"/>
                <w:lang w:eastAsia="en-AU"/>
              </w:rPr>
            </w:pPr>
            <w:r w:rsidRPr="008A4149">
              <w:rPr>
                <w:b/>
                <w:color w:val="000000"/>
                <w:u w:val="single"/>
                <w:lang w:eastAsia="en-AU"/>
              </w:rPr>
              <w:t>30-Jun-14</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lang w:eastAsia="en-AU"/>
              </w:rPr>
            </w:pPr>
            <w:r w:rsidRPr="008A4149">
              <w:rPr>
                <w:b/>
                <w:color w:val="000000"/>
                <w:lang w:eastAsia="en-AU"/>
              </w:rPr>
              <w:t>Financial Assets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Restricted Cash and cash equivalents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31,166</w:t>
            </w: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Receivables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Other Financial Assets</w:t>
            </w:r>
          </w:p>
        </w:tc>
        <w:tc>
          <w:tcPr>
            <w:tcW w:w="1178"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p>
        </w:tc>
        <w:tc>
          <w:tcPr>
            <w:tcW w:w="1178"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31,166</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312</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b/>
                <w:color w:val="000000"/>
                <w:lang w:eastAsia="en-AU"/>
              </w:rPr>
            </w:pPr>
            <w:r w:rsidRPr="008A4149">
              <w:rPr>
                <w:b/>
                <w:color w:val="000000"/>
                <w:lang w:eastAsia="en-AU"/>
              </w:rPr>
              <w:t>Financial Liabilities</w:t>
            </w:r>
          </w:p>
        </w:tc>
        <w:tc>
          <w:tcPr>
            <w:tcW w:w="1178"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28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34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c>
          <w:tcPr>
            <w:tcW w:w="1000" w:type="dxa"/>
            <w:tcBorders>
              <w:top w:val="double" w:sz="4" w:space="0" w:color="auto"/>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Payables</w:t>
            </w:r>
          </w:p>
        </w:tc>
        <w:tc>
          <w:tcPr>
            <w:tcW w:w="1178"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nil"/>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r w:rsidRPr="008A4149">
              <w:rPr>
                <w:color w:val="000000"/>
                <w:lang w:eastAsia="en-AU"/>
              </w:rPr>
              <w:t>Other liabilities</w:t>
            </w:r>
          </w:p>
        </w:tc>
        <w:tc>
          <w:tcPr>
            <w:tcW w:w="1178"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nil"/>
              <w:left w:val="nil"/>
              <w:bottom w:val="sing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r w:rsidR="008A4149" w:rsidRPr="008A4149" w:rsidTr="008A4149">
        <w:trPr>
          <w:trHeight w:val="285"/>
        </w:trPr>
        <w:tc>
          <w:tcPr>
            <w:tcW w:w="4242" w:type="dxa"/>
            <w:tcBorders>
              <w:top w:val="nil"/>
              <w:left w:val="nil"/>
              <w:bottom w:val="nil"/>
              <w:right w:val="nil"/>
            </w:tcBorders>
            <w:shd w:val="clear" w:color="auto" w:fill="auto"/>
            <w:vAlign w:val="bottom"/>
            <w:hideMark/>
          </w:tcPr>
          <w:p w:rsidR="008A4149" w:rsidRPr="008A4149" w:rsidRDefault="008A4149" w:rsidP="008A4149">
            <w:pPr>
              <w:spacing w:after="0"/>
              <w:rPr>
                <w:color w:val="000000"/>
                <w:lang w:eastAsia="en-AU"/>
              </w:rPr>
            </w:pPr>
          </w:p>
        </w:tc>
        <w:tc>
          <w:tcPr>
            <w:tcW w:w="1178"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Pr="008A4149" w:rsidRDefault="008A4149" w:rsidP="008A4149">
            <w:pPr>
              <w:spacing w:after="0"/>
              <w:rPr>
                <w:color w:val="000000"/>
                <w:lang w:eastAsia="en-AU"/>
              </w:rPr>
            </w:pPr>
            <w:r w:rsidRPr="008A4149">
              <w:rPr>
                <w:color w:val="000000"/>
                <w:lang w:eastAsia="en-AU"/>
              </w:rPr>
              <w:t>-</w:t>
            </w:r>
          </w:p>
        </w:tc>
      </w:tr>
    </w:tbl>
    <w:p w:rsidR="009A36D1" w:rsidRDefault="009A36D1" w:rsidP="009433C4">
      <w:pPr>
        <w:rPr>
          <w:lang w:val="en-US"/>
        </w:rPr>
      </w:pPr>
    </w:p>
    <w:p w:rsidR="009A36D1" w:rsidRDefault="009A36D1">
      <w:pPr>
        <w:spacing w:line="276" w:lineRule="auto"/>
        <w:rPr>
          <w:lang w:val="en-US"/>
        </w:rPr>
      </w:pPr>
      <w:r>
        <w:rPr>
          <w:lang w:val="en-US"/>
        </w:rPr>
        <w:br w:type="page"/>
      </w:r>
    </w:p>
    <w:tbl>
      <w:tblPr>
        <w:tblW w:w="10040" w:type="dxa"/>
        <w:tblInd w:w="93" w:type="dxa"/>
        <w:tblLook w:val="04A0" w:firstRow="1" w:lastRow="0" w:firstColumn="1" w:lastColumn="0" w:noHBand="0" w:noVBand="1"/>
      </w:tblPr>
      <w:tblGrid>
        <w:gridCol w:w="4171"/>
        <w:gridCol w:w="1249"/>
        <w:gridCol w:w="1280"/>
        <w:gridCol w:w="1000"/>
        <w:gridCol w:w="1340"/>
        <w:gridCol w:w="1000"/>
      </w:tblGrid>
      <w:tr w:rsidR="008A4149" w:rsidRPr="008A4149" w:rsidTr="008A4149">
        <w:trPr>
          <w:trHeight w:val="429"/>
        </w:trPr>
        <w:tc>
          <w:tcPr>
            <w:tcW w:w="4171" w:type="dxa"/>
            <w:tcBorders>
              <w:top w:val="nil"/>
              <w:left w:val="nil"/>
              <w:bottom w:val="nil"/>
              <w:right w:val="nil"/>
            </w:tcBorders>
            <w:shd w:val="clear" w:color="auto" w:fill="auto"/>
            <w:vAlign w:val="bottom"/>
            <w:hideMark/>
          </w:tcPr>
          <w:p w:rsidR="008A4149" w:rsidRPr="008A4149" w:rsidRDefault="008A4149" w:rsidP="000F01AB">
            <w:pPr>
              <w:spacing w:after="0"/>
              <w:rPr>
                <w:b/>
                <w:color w:val="244061" w:themeColor="accent1" w:themeShade="80"/>
                <w:lang w:eastAsia="en-AU"/>
              </w:rPr>
            </w:pPr>
            <w:r w:rsidRPr="008A4149">
              <w:rPr>
                <w:b/>
                <w:color w:val="244061" w:themeColor="accent1" w:themeShade="80"/>
                <w:lang w:eastAsia="en-AU"/>
              </w:rPr>
              <w:t>Foreign Exchange Rate</w:t>
            </w:r>
          </w:p>
        </w:tc>
        <w:tc>
          <w:tcPr>
            <w:tcW w:w="1249" w:type="dxa"/>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244061" w:themeColor="accent1" w:themeShade="80"/>
                <w:lang w:eastAsia="en-AU"/>
              </w:rPr>
            </w:pPr>
          </w:p>
        </w:tc>
        <w:tc>
          <w:tcPr>
            <w:tcW w:w="1280" w:type="dxa"/>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244061" w:themeColor="accent1" w:themeShade="8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244061" w:themeColor="accent1" w:themeShade="80"/>
                <w:lang w:eastAsia="en-AU"/>
              </w:rPr>
            </w:pPr>
          </w:p>
        </w:tc>
        <w:tc>
          <w:tcPr>
            <w:tcW w:w="1340" w:type="dxa"/>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244061" w:themeColor="accent1" w:themeShade="80"/>
                <w:lang w:eastAsia="en-AU"/>
              </w:rPr>
            </w:pPr>
          </w:p>
        </w:tc>
        <w:tc>
          <w:tcPr>
            <w:tcW w:w="1000" w:type="dxa"/>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244061" w:themeColor="accent1" w:themeShade="80"/>
                <w:lang w:eastAsia="en-AU"/>
              </w:rPr>
            </w:pPr>
          </w:p>
        </w:tc>
      </w:tr>
      <w:tr w:rsidR="008A4149" w:rsidRPr="008A4149" w:rsidTr="008A4149">
        <w:trPr>
          <w:trHeight w:val="285"/>
        </w:trPr>
        <w:tc>
          <w:tcPr>
            <w:tcW w:w="4171" w:type="dxa"/>
            <w:tcBorders>
              <w:top w:val="nil"/>
              <w:left w:val="nil"/>
              <w:bottom w:val="nil"/>
              <w:right w:val="nil"/>
            </w:tcBorders>
            <w:shd w:val="clear" w:color="auto" w:fill="auto"/>
            <w:vAlign w:val="bottom"/>
            <w:hideMark/>
          </w:tcPr>
          <w:p w:rsidR="008A4149" w:rsidRPr="008A4149" w:rsidRDefault="008A4149" w:rsidP="000F01AB">
            <w:pPr>
              <w:spacing w:after="0"/>
              <w:rPr>
                <w:b/>
                <w:color w:val="000000"/>
                <w:lang w:eastAsia="en-AU"/>
              </w:rPr>
            </w:pPr>
          </w:p>
        </w:tc>
        <w:tc>
          <w:tcPr>
            <w:tcW w:w="1249" w:type="dxa"/>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000000"/>
                <w:lang w:eastAsia="en-AU"/>
              </w:rPr>
            </w:pPr>
          </w:p>
        </w:tc>
        <w:tc>
          <w:tcPr>
            <w:tcW w:w="2280" w:type="dxa"/>
            <w:gridSpan w:val="2"/>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000000"/>
                <w:lang w:eastAsia="en-AU"/>
              </w:rPr>
            </w:pPr>
            <w:r w:rsidRPr="008A4149">
              <w:rPr>
                <w:b/>
                <w:color w:val="000000"/>
                <w:lang w:eastAsia="en-AU"/>
              </w:rPr>
              <w:t>-1</w:t>
            </w:r>
            <w:r>
              <w:rPr>
                <w:b/>
                <w:color w:val="000000"/>
                <w:lang w:eastAsia="en-AU"/>
              </w:rPr>
              <w:t>0</w:t>
            </w:r>
            <w:r w:rsidRPr="008A4149">
              <w:rPr>
                <w:b/>
                <w:color w:val="000000"/>
                <w:lang w:eastAsia="en-AU"/>
              </w:rPr>
              <w:t>% change</w:t>
            </w:r>
          </w:p>
        </w:tc>
        <w:tc>
          <w:tcPr>
            <w:tcW w:w="2340" w:type="dxa"/>
            <w:gridSpan w:val="2"/>
            <w:tcBorders>
              <w:top w:val="nil"/>
              <w:left w:val="nil"/>
              <w:bottom w:val="nil"/>
              <w:right w:val="nil"/>
            </w:tcBorders>
            <w:shd w:val="clear" w:color="auto" w:fill="auto"/>
            <w:noWrap/>
            <w:vAlign w:val="bottom"/>
            <w:hideMark/>
          </w:tcPr>
          <w:p w:rsidR="008A4149" w:rsidRPr="008A4149" w:rsidRDefault="008A4149" w:rsidP="000F01AB">
            <w:pPr>
              <w:spacing w:after="0"/>
              <w:jc w:val="center"/>
              <w:rPr>
                <w:b/>
                <w:color w:val="000000"/>
                <w:lang w:eastAsia="en-AU"/>
              </w:rPr>
            </w:pPr>
            <w:r w:rsidRPr="008A4149">
              <w:rPr>
                <w:b/>
                <w:color w:val="000000"/>
                <w:lang w:eastAsia="en-AU"/>
              </w:rPr>
              <w:t>+1</w:t>
            </w:r>
            <w:r>
              <w:rPr>
                <w:b/>
                <w:color w:val="000000"/>
                <w:lang w:eastAsia="en-AU"/>
              </w:rPr>
              <w:t>0</w:t>
            </w:r>
            <w:r w:rsidRPr="008A4149">
              <w:rPr>
                <w:b/>
                <w:color w:val="000000"/>
                <w:lang w:eastAsia="en-AU"/>
              </w:rPr>
              <w:t>% change</w:t>
            </w:r>
          </w:p>
        </w:tc>
      </w:tr>
      <w:tr w:rsidR="008A4149" w:rsidRPr="008A4149" w:rsidTr="008A4149">
        <w:trPr>
          <w:trHeight w:val="855"/>
        </w:trPr>
        <w:tc>
          <w:tcPr>
            <w:tcW w:w="4171" w:type="dxa"/>
            <w:tcBorders>
              <w:top w:val="nil"/>
              <w:left w:val="nil"/>
              <w:bottom w:val="nil"/>
              <w:right w:val="nil"/>
            </w:tcBorders>
            <w:shd w:val="clear" w:color="auto" w:fill="auto"/>
            <w:vAlign w:val="bottom"/>
            <w:hideMark/>
          </w:tcPr>
          <w:p w:rsidR="008A4149" w:rsidRPr="008A4149" w:rsidRDefault="008A4149" w:rsidP="000F01AB">
            <w:pPr>
              <w:spacing w:after="0"/>
              <w:rPr>
                <w:b/>
                <w:color w:val="000000"/>
                <w:lang w:eastAsia="en-AU"/>
              </w:rPr>
            </w:pPr>
          </w:p>
        </w:tc>
        <w:tc>
          <w:tcPr>
            <w:tcW w:w="1249" w:type="dxa"/>
            <w:tcBorders>
              <w:top w:val="nil"/>
              <w:left w:val="nil"/>
              <w:bottom w:val="nil"/>
              <w:right w:val="nil"/>
            </w:tcBorders>
            <w:shd w:val="clear" w:color="auto" w:fill="auto"/>
            <w:vAlign w:val="bottom"/>
            <w:hideMark/>
          </w:tcPr>
          <w:p w:rsidR="008A4149" w:rsidRPr="008A4149" w:rsidRDefault="008A4149" w:rsidP="000F01AB">
            <w:pPr>
              <w:spacing w:after="0"/>
              <w:jc w:val="center"/>
              <w:rPr>
                <w:b/>
                <w:color w:val="000000"/>
                <w:lang w:eastAsia="en-AU"/>
              </w:rPr>
            </w:pPr>
            <w:r w:rsidRPr="008A4149">
              <w:rPr>
                <w:b/>
                <w:color w:val="000000"/>
                <w:lang w:eastAsia="en-AU"/>
              </w:rPr>
              <w:t>Carrying amount $000</w:t>
            </w:r>
          </w:p>
        </w:tc>
        <w:tc>
          <w:tcPr>
            <w:tcW w:w="1280" w:type="dxa"/>
            <w:tcBorders>
              <w:top w:val="nil"/>
              <w:left w:val="nil"/>
              <w:bottom w:val="nil"/>
              <w:right w:val="nil"/>
            </w:tcBorders>
            <w:shd w:val="clear" w:color="auto" w:fill="auto"/>
            <w:vAlign w:val="bottom"/>
            <w:hideMark/>
          </w:tcPr>
          <w:p w:rsidR="008A4149" w:rsidRPr="008A4149" w:rsidRDefault="008A4149" w:rsidP="000F01AB">
            <w:pPr>
              <w:spacing w:after="0"/>
              <w:jc w:val="center"/>
              <w:rPr>
                <w:b/>
                <w:color w:val="000000"/>
                <w:lang w:eastAsia="en-AU"/>
              </w:rPr>
            </w:pPr>
            <w:r w:rsidRPr="008A4149">
              <w:rPr>
                <w:b/>
                <w:color w:val="000000"/>
                <w:lang w:eastAsia="en-AU"/>
              </w:rPr>
              <w:t>Profit $000</w:t>
            </w:r>
          </w:p>
        </w:tc>
        <w:tc>
          <w:tcPr>
            <w:tcW w:w="1000" w:type="dxa"/>
            <w:tcBorders>
              <w:top w:val="nil"/>
              <w:left w:val="nil"/>
              <w:bottom w:val="nil"/>
              <w:right w:val="nil"/>
            </w:tcBorders>
            <w:shd w:val="clear" w:color="auto" w:fill="auto"/>
            <w:vAlign w:val="bottom"/>
            <w:hideMark/>
          </w:tcPr>
          <w:p w:rsidR="008A4149" w:rsidRPr="008A4149" w:rsidRDefault="008A4149" w:rsidP="000F01AB">
            <w:pPr>
              <w:spacing w:after="0"/>
              <w:jc w:val="center"/>
              <w:rPr>
                <w:b/>
                <w:color w:val="000000"/>
                <w:lang w:eastAsia="en-AU"/>
              </w:rPr>
            </w:pPr>
            <w:r w:rsidRPr="008A4149">
              <w:rPr>
                <w:b/>
                <w:color w:val="000000"/>
                <w:lang w:eastAsia="en-AU"/>
              </w:rPr>
              <w:t>Equity $000</w:t>
            </w:r>
          </w:p>
        </w:tc>
        <w:tc>
          <w:tcPr>
            <w:tcW w:w="1340" w:type="dxa"/>
            <w:tcBorders>
              <w:top w:val="nil"/>
              <w:left w:val="nil"/>
              <w:bottom w:val="nil"/>
              <w:right w:val="nil"/>
            </w:tcBorders>
            <w:shd w:val="clear" w:color="auto" w:fill="auto"/>
            <w:vAlign w:val="bottom"/>
            <w:hideMark/>
          </w:tcPr>
          <w:p w:rsidR="008A4149" w:rsidRPr="008A4149" w:rsidRDefault="008A4149" w:rsidP="000F01AB">
            <w:pPr>
              <w:spacing w:after="0"/>
              <w:jc w:val="center"/>
              <w:rPr>
                <w:b/>
                <w:color w:val="000000"/>
                <w:lang w:eastAsia="en-AU"/>
              </w:rPr>
            </w:pPr>
            <w:r w:rsidRPr="008A4149">
              <w:rPr>
                <w:b/>
                <w:color w:val="000000"/>
                <w:lang w:eastAsia="en-AU"/>
              </w:rPr>
              <w:t>Profit $000</w:t>
            </w:r>
          </w:p>
        </w:tc>
        <w:tc>
          <w:tcPr>
            <w:tcW w:w="1000" w:type="dxa"/>
            <w:tcBorders>
              <w:top w:val="nil"/>
              <w:left w:val="nil"/>
              <w:bottom w:val="nil"/>
              <w:right w:val="nil"/>
            </w:tcBorders>
            <w:shd w:val="clear" w:color="auto" w:fill="auto"/>
            <w:vAlign w:val="bottom"/>
            <w:hideMark/>
          </w:tcPr>
          <w:p w:rsidR="008A4149" w:rsidRPr="008A4149" w:rsidRDefault="008A4149" w:rsidP="000F01AB">
            <w:pPr>
              <w:spacing w:after="0"/>
              <w:jc w:val="center"/>
              <w:rPr>
                <w:b/>
                <w:color w:val="000000"/>
                <w:lang w:eastAsia="en-AU"/>
              </w:rPr>
            </w:pPr>
            <w:r w:rsidRPr="008A4149">
              <w:rPr>
                <w:b/>
                <w:color w:val="000000"/>
                <w:lang w:eastAsia="en-AU"/>
              </w:rPr>
              <w:t>Equity $000</w:t>
            </w: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Pr="008A4149" w:rsidRDefault="008A4149" w:rsidP="008A4149">
            <w:pPr>
              <w:spacing w:after="0"/>
              <w:rPr>
                <w:b/>
                <w:u w:val="single"/>
              </w:rPr>
            </w:pPr>
            <w:r w:rsidRPr="008A4149">
              <w:rPr>
                <w:b/>
                <w:u w:val="single"/>
              </w:rPr>
              <w:t>30-Jun-15</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Pr="008A4149" w:rsidRDefault="008A4149" w:rsidP="008A4149">
            <w:pPr>
              <w:spacing w:after="0"/>
              <w:rPr>
                <w:b/>
              </w:rPr>
            </w:pPr>
            <w:r w:rsidRPr="008A4149">
              <w:rPr>
                <w:b/>
              </w:rPr>
              <w:t>Financial Assets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Cash and cash equivalents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r>
              <w:t>589</w:t>
            </w: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r>
              <w:t>65</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65</w:t>
            </w: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r>
              <w:t>-54</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-54</w:t>
            </w: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Receivables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r>
              <w:t>18</w:t>
            </w: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r>
              <w:t>2</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2</w:t>
            </w: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r>
              <w:t>-0.1</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-1</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Other Financial Assets - Derivatives</w:t>
            </w:r>
          </w:p>
        </w:tc>
        <w:tc>
          <w:tcPr>
            <w:tcW w:w="1249"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22.3</w:t>
            </w:r>
          </w:p>
        </w:tc>
        <w:tc>
          <w:tcPr>
            <w:tcW w:w="128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0</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394.5</w:t>
            </w:r>
          </w:p>
        </w:tc>
        <w:tc>
          <w:tcPr>
            <w:tcW w:w="134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0</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-321.9</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p>
        </w:tc>
        <w:tc>
          <w:tcPr>
            <w:tcW w:w="1249"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629</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67</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461.5</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-55</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-376.9</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Pr="008A4149" w:rsidRDefault="008A4149" w:rsidP="008A4149">
            <w:pPr>
              <w:spacing w:after="0"/>
              <w:rPr>
                <w:b/>
              </w:rPr>
            </w:pPr>
            <w:r w:rsidRPr="008A4149">
              <w:rPr>
                <w:b/>
              </w:rPr>
              <w:t>Financial Liabilities</w:t>
            </w:r>
          </w:p>
        </w:tc>
        <w:tc>
          <w:tcPr>
            <w:tcW w:w="1249"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28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34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Payables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r>
              <w:t>13</w:t>
            </w: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r>
              <w:t>-1</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-1</w:t>
            </w: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r>
              <w:t>1.1</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1.1</w:t>
            </w: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Provisions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r>
              <w:t>370</w:t>
            </w: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r>
              <w:t>-41</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-41</w:t>
            </w: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r>
              <w:t>33.6</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33.6</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Other Financial Liabilities - Derivatives</w:t>
            </w:r>
          </w:p>
        </w:tc>
        <w:tc>
          <w:tcPr>
            <w:tcW w:w="1249"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-25</w:t>
            </w:r>
          </w:p>
        </w:tc>
        <w:tc>
          <w:tcPr>
            <w:tcW w:w="128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86</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109</w:t>
            </w:r>
          </w:p>
        </w:tc>
        <w:tc>
          <w:tcPr>
            <w:tcW w:w="134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-70.2</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-88.9</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p>
        </w:tc>
        <w:tc>
          <w:tcPr>
            <w:tcW w:w="1249"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357.7</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43.8</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67.1</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-35</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-54</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Pr="000F01AB" w:rsidRDefault="008A4149" w:rsidP="008A4149">
            <w:pPr>
              <w:spacing w:after="0"/>
              <w:rPr>
                <w:b/>
                <w:u w:val="single"/>
              </w:rPr>
            </w:pPr>
            <w:r w:rsidRPr="000F01AB">
              <w:rPr>
                <w:b/>
                <w:u w:val="single"/>
              </w:rPr>
              <w:t>30-Jun-14</w:t>
            </w:r>
          </w:p>
        </w:tc>
        <w:tc>
          <w:tcPr>
            <w:tcW w:w="1249"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28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34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Pr="008A4149" w:rsidRDefault="008A4149" w:rsidP="008A4149">
            <w:pPr>
              <w:spacing w:after="0"/>
              <w:rPr>
                <w:b/>
              </w:rPr>
            </w:pPr>
            <w:r w:rsidRPr="008A4149">
              <w:rPr>
                <w:b/>
              </w:rPr>
              <w:t>Financial Assets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Cash and cash equivalents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r>
              <w:t>603</w:t>
            </w: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r>
              <w:t>60</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60</w:t>
            </w: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r>
              <w:t>-60</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-60</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Receivables</w:t>
            </w:r>
          </w:p>
        </w:tc>
        <w:tc>
          <w:tcPr>
            <w:tcW w:w="1249"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171</w:t>
            </w:r>
          </w:p>
        </w:tc>
        <w:tc>
          <w:tcPr>
            <w:tcW w:w="128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17</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17</w:t>
            </w:r>
          </w:p>
        </w:tc>
        <w:tc>
          <w:tcPr>
            <w:tcW w:w="134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-17</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-17</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p>
        </w:tc>
        <w:tc>
          <w:tcPr>
            <w:tcW w:w="1249"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774</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77</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77</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-77</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-77</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Pr="008A4149" w:rsidRDefault="008A4149" w:rsidP="008A4149">
            <w:pPr>
              <w:spacing w:after="0"/>
              <w:rPr>
                <w:b/>
              </w:rPr>
            </w:pPr>
            <w:r w:rsidRPr="008A4149">
              <w:rPr>
                <w:b/>
              </w:rPr>
              <w:t>Financial Liabilities</w:t>
            </w:r>
          </w:p>
        </w:tc>
        <w:tc>
          <w:tcPr>
            <w:tcW w:w="1249"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28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34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c>
          <w:tcPr>
            <w:tcW w:w="1000" w:type="dxa"/>
            <w:tcBorders>
              <w:top w:val="double" w:sz="4" w:space="0" w:color="auto"/>
              <w:left w:val="nil"/>
              <w:bottom w:val="nil"/>
              <w:right w:val="nil"/>
            </w:tcBorders>
            <w:shd w:val="clear" w:color="auto" w:fill="auto"/>
            <w:noWrap/>
            <w:vAlign w:val="bottom"/>
            <w:hideMark/>
          </w:tcPr>
          <w:p w:rsidR="008A4149" w:rsidRDefault="008A4149" w:rsidP="008A4149">
            <w:pPr>
              <w:spacing w:after="0"/>
              <w:jc w:val="right"/>
            </w:pPr>
          </w:p>
        </w:tc>
      </w:tr>
      <w:tr w:rsidR="008A4149" w:rsidTr="008A4149">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Payables</w:t>
            </w:r>
          </w:p>
        </w:tc>
        <w:tc>
          <w:tcPr>
            <w:tcW w:w="1249" w:type="dxa"/>
            <w:tcBorders>
              <w:top w:val="nil"/>
              <w:left w:val="nil"/>
              <w:bottom w:val="nil"/>
              <w:right w:val="nil"/>
            </w:tcBorders>
            <w:shd w:val="clear" w:color="auto" w:fill="auto"/>
            <w:noWrap/>
            <w:vAlign w:val="bottom"/>
            <w:hideMark/>
          </w:tcPr>
          <w:p w:rsidR="008A4149" w:rsidRDefault="008A4149" w:rsidP="008A4149">
            <w:pPr>
              <w:spacing w:after="0"/>
              <w:jc w:val="right"/>
            </w:pPr>
            <w:r>
              <w:t>4</w:t>
            </w:r>
          </w:p>
        </w:tc>
        <w:tc>
          <w:tcPr>
            <w:tcW w:w="1280" w:type="dxa"/>
            <w:tcBorders>
              <w:top w:val="nil"/>
              <w:left w:val="nil"/>
              <w:bottom w:val="nil"/>
              <w:right w:val="nil"/>
            </w:tcBorders>
            <w:shd w:val="clear" w:color="auto" w:fill="auto"/>
            <w:noWrap/>
            <w:vAlign w:val="bottom"/>
            <w:hideMark/>
          </w:tcPr>
          <w:p w:rsidR="008A4149" w:rsidRDefault="008A4149" w:rsidP="008A4149">
            <w:pPr>
              <w:spacing w:after="0"/>
              <w:jc w:val="right"/>
            </w:pPr>
            <w:r>
              <w:t>-0.4</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-0.4</w:t>
            </w:r>
          </w:p>
        </w:tc>
        <w:tc>
          <w:tcPr>
            <w:tcW w:w="1340" w:type="dxa"/>
            <w:tcBorders>
              <w:top w:val="nil"/>
              <w:left w:val="nil"/>
              <w:bottom w:val="nil"/>
              <w:right w:val="nil"/>
            </w:tcBorders>
            <w:shd w:val="clear" w:color="auto" w:fill="auto"/>
            <w:noWrap/>
            <w:vAlign w:val="bottom"/>
            <w:hideMark/>
          </w:tcPr>
          <w:p w:rsidR="008A4149" w:rsidRDefault="008A4149" w:rsidP="008A4149">
            <w:pPr>
              <w:spacing w:after="0"/>
              <w:jc w:val="right"/>
            </w:pPr>
            <w:r>
              <w:t>0.4</w:t>
            </w:r>
          </w:p>
        </w:tc>
        <w:tc>
          <w:tcPr>
            <w:tcW w:w="1000" w:type="dxa"/>
            <w:tcBorders>
              <w:top w:val="nil"/>
              <w:left w:val="nil"/>
              <w:bottom w:val="nil"/>
              <w:right w:val="nil"/>
            </w:tcBorders>
            <w:shd w:val="clear" w:color="auto" w:fill="auto"/>
            <w:noWrap/>
            <w:vAlign w:val="bottom"/>
            <w:hideMark/>
          </w:tcPr>
          <w:p w:rsidR="008A4149" w:rsidRDefault="008A4149" w:rsidP="008A4149">
            <w:pPr>
              <w:spacing w:after="0"/>
              <w:jc w:val="right"/>
            </w:pPr>
            <w:r>
              <w:t>0.4</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r>
              <w:t>Other Financial Liabilities - Derivatives</w:t>
            </w:r>
          </w:p>
        </w:tc>
        <w:tc>
          <w:tcPr>
            <w:tcW w:w="1249"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1,420.00</w:t>
            </w:r>
          </w:p>
        </w:tc>
        <w:tc>
          <w:tcPr>
            <w:tcW w:w="128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-82</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-689</w:t>
            </w:r>
          </w:p>
        </w:tc>
        <w:tc>
          <w:tcPr>
            <w:tcW w:w="134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66</w:t>
            </w:r>
          </w:p>
        </w:tc>
        <w:tc>
          <w:tcPr>
            <w:tcW w:w="1000" w:type="dxa"/>
            <w:tcBorders>
              <w:top w:val="nil"/>
              <w:left w:val="nil"/>
              <w:bottom w:val="single" w:sz="4" w:space="0" w:color="auto"/>
              <w:right w:val="nil"/>
            </w:tcBorders>
            <w:shd w:val="clear" w:color="auto" w:fill="auto"/>
            <w:noWrap/>
            <w:vAlign w:val="bottom"/>
            <w:hideMark/>
          </w:tcPr>
          <w:p w:rsidR="008A4149" w:rsidRDefault="008A4149" w:rsidP="008A4149">
            <w:pPr>
              <w:spacing w:after="0"/>
              <w:jc w:val="right"/>
            </w:pPr>
            <w:r>
              <w:t>-563</w:t>
            </w:r>
          </w:p>
        </w:tc>
      </w:tr>
      <w:tr w:rsidR="008A4149" w:rsidTr="000F01AB">
        <w:trPr>
          <w:trHeight w:val="285"/>
        </w:trPr>
        <w:tc>
          <w:tcPr>
            <w:tcW w:w="4171" w:type="dxa"/>
            <w:tcBorders>
              <w:top w:val="nil"/>
              <w:left w:val="nil"/>
              <w:bottom w:val="nil"/>
              <w:right w:val="nil"/>
            </w:tcBorders>
            <w:shd w:val="clear" w:color="auto" w:fill="auto"/>
            <w:vAlign w:val="bottom"/>
            <w:hideMark/>
          </w:tcPr>
          <w:p w:rsidR="008A4149" w:rsidRDefault="008A4149" w:rsidP="008A4149">
            <w:pPr>
              <w:spacing w:after="0"/>
            </w:pPr>
          </w:p>
        </w:tc>
        <w:tc>
          <w:tcPr>
            <w:tcW w:w="1249"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1,424.00</w:t>
            </w:r>
          </w:p>
        </w:tc>
        <w:tc>
          <w:tcPr>
            <w:tcW w:w="128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-82.4</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-689.4</w:t>
            </w:r>
          </w:p>
        </w:tc>
        <w:tc>
          <w:tcPr>
            <w:tcW w:w="134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66.4</w:t>
            </w:r>
          </w:p>
        </w:tc>
        <w:tc>
          <w:tcPr>
            <w:tcW w:w="1000" w:type="dxa"/>
            <w:tcBorders>
              <w:top w:val="single" w:sz="4" w:space="0" w:color="auto"/>
              <w:left w:val="nil"/>
              <w:bottom w:val="double" w:sz="4" w:space="0" w:color="auto"/>
              <w:right w:val="nil"/>
            </w:tcBorders>
            <w:shd w:val="clear" w:color="auto" w:fill="auto"/>
            <w:noWrap/>
            <w:vAlign w:val="bottom"/>
            <w:hideMark/>
          </w:tcPr>
          <w:p w:rsidR="008A4149" w:rsidRDefault="008A4149" w:rsidP="008A4149">
            <w:pPr>
              <w:spacing w:after="0"/>
              <w:jc w:val="right"/>
            </w:pPr>
            <w:r>
              <w:t>-562.6</w:t>
            </w:r>
          </w:p>
        </w:tc>
      </w:tr>
    </w:tbl>
    <w:p w:rsidR="00FC4E35" w:rsidRPr="00FC4E35" w:rsidRDefault="00FC4E35" w:rsidP="000F01AB">
      <w:pPr>
        <w:rPr>
          <w:lang w:val="en-US"/>
        </w:rPr>
      </w:pPr>
    </w:p>
    <w:p w:rsidR="00FC4E35" w:rsidRPr="00FC4E35" w:rsidRDefault="00FC4E35" w:rsidP="000F01AB">
      <w:pPr>
        <w:rPr>
          <w:lang w:val="en-US"/>
        </w:rPr>
      </w:pPr>
      <w:r w:rsidRPr="00FC4E35">
        <w:rPr>
          <w:b/>
          <w:bCs/>
          <w:lang w:val="en-US"/>
        </w:rPr>
        <w:t>Fair Values</w:t>
      </w:r>
    </w:p>
    <w:p w:rsidR="00560220" w:rsidRDefault="00FC4E35" w:rsidP="000F01AB">
      <w:pPr>
        <w:rPr>
          <w:lang w:val="en-US"/>
        </w:rPr>
      </w:pPr>
      <w:r w:rsidRPr="00FC4E35">
        <w:rPr>
          <w:lang w:val="en-US"/>
        </w:rPr>
        <w:t>All financial assets and liabilities recognised in the balance sheet, whether they are carried at cost or fair value, are recognised at amounts that represent a reasonable approximation of fair value unless otherwise stated in the applicable notes. Foreign exchange contracts,  are classified as Level 2 within the fair value hierarchy. The valuation technique is a discounted cash flow method where future cash flows are estimated based on forward exchange rates (from observable forward exchange rates at the end of the reporting period) and contract forward rates, discounted at a rate that reflects the credit risk of various counterparties.</w:t>
      </w:r>
      <w:r w:rsidRPr="00FC4E35">
        <w:rPr>
          <w:lang w:val="en-US"/>
        </w:rPr>
        <w:br/>
      </w:r>
    </w:p>
    <w:p w:rsidR="00560220" w:rsidRDefault="00560220">
      <w:pPr>
        <w:spacing w:line="276" w:lineRule="auto"/>
        <w:rPr>
          <w:lang w:val="en-US"/>
        </w:rPr>
      </w:pPr>
      <w:r>
        <w:rPr>
          <w:lang w:val="en-US"/>
        </w:rPr>
        <w:br w:type="page"/>
      </w:r>
    </w:p>
    <w:p w:rsidR="00FC4E35" w:rsidRPr="000F01AB" w:rsidRDefault="00FC4E35" w:rsidP="00AE75A9">
      <w:pPr>
        <w:pStyle w:val="Heading4"/>
        <w:numPr>
          <w:ilvl w:val="0"/>
          <w:numId w:val="76"/>
        </w:numPr>
      </w:pPr>
      <w:r w:rsidRPr="000F01AB">
        <w:t>Events occurring after the balance sheet date</w:t>
      </w:r>
    </w:p>
    <w:p w:rsidR="00FC4E35" w:rsidRPr="00FC4E35" w:rsidRDefault="00FC4E35" w:rsidP="000F01AB">
      <w:pPr>
        <w:rPr>
          <w:lang w:val="en-US"/>
        </w:rPr>
      </w:pPr>
      <w:r w:rsidRPr="00FC4E35">
        <w:rPr>
          <w:lang w:val="en-US"/>
        </w:rPr>
        <w:t>There were no significant events affecting the operations of the Department of the Premier and Cabinet after the balance date.</w:t>
      </w:r>
      <w:r w:rsidRPr="00FC4E35">
        <w:rPr>
          <w:lang w:val="en-US"/>
        </w:rPr>
        <w:br/>
      </w:r>
    </w:p>
    <w:p w:rsidR="00FC4E35" w:rsidRPr="000F01AB" w:rsidRDefault="00FC4E35" w:rsidP="00AE75A9">
      <w:pPr>
        <w:pStyle w:val="Heading4"/>
        <w:numPr>
          <w:ilvl w:val="0"/>
          <w:numId w:val="76"/>
        </w:numPr>
      </w:pPr>
      <w:r w:rsidRPr="000F01AB">
        <w:t>Contingent liabilities and contingent assets</w:t>
      </w:r>
    </w:p>
    <w:p w:rsidR="00FC4E35" w:rsidRPr="00FC4E35" w:rsidRDefault="00FC4E35" w:rsidP="000F01AB">
      <w:pPr>
        <w:pStyle w:val="Heading7"/>
        <w:rPr>
          <w:color w:val="000000"/>
          <w:lang w:val="en-US"/>
        </w:rPr>
      </w:pPr>
      <w:r w:rsidRPr="00FC4E35">
        <w:rPr>
          <w:lang w:val="en-GB"/>
        </w:rPr>
        <w:t>Contingent Liabilities</w:t>
      </w:r>
    </w:p>
    <w:p w:rsidR="00FC4E35" w:rsidRPr="00FC4E35" w:rsidRDefault="00FC4E35" w:rsidP="000F01AB">
      <w:pPr>
        <w:rPr>
          <w:lang w:val="en-US"/>
        </w:rPr>
      </w:pPr>
      <w:r w:rsidRPr="00FC4E35">
        <w:rPr>
          <w:lang w:val="en-US"/>
        </w:rPr>
        <w:t>There were no contingent liabilities at the report date.</w:t>
      </w:r>
    </w:p>
    <w:p w:rsidR="00FC4E35" w:rsidRPr="00FC4E35" w:rsidRDefault="00FC4E35" w:rsidP="000F01AB">
      <w:pPr>
        <w:pStyle w:val="Heading7"/>
        <w:rPr>
          <w:color w:val="000000"/>
          <w:lang w:val="en-US"/>
        </w:rPr>
      </w:pPr>
      <w:r w:rsidRPr="00FC4E35">
        <w:rPr>
          <w:lang w:val="en-GB"/>
        </w:rPr>
        <w:t>Contingent Assets</w:t>
      </w:r>
    </w:p>
    <w:p w:rsidR="00FC4E35" w:rsidRPr="00FC4E35" w:rsidRDefault="00FC4E35" w:rsidP="000F01AB">
      <w:pPr>
        <w:rPr>
          <w:lang w:val="en-US"/>
        </w:rPr>
      </w:pPr>
      <w:r w:rsidRPr="00FC4E35">
        <w:rPr>
          <w:lang w:val="en-US"/>
        </w:rPr>
        <w:t>There were no contingent assets at the report date.</w:t>
      </w:r>
    </w:p>
    <w:p w:rsidR="00FC4E35" w:rsidRPr="00FC4E35" w:rsidRDefault="00FC4E35" w:rsidP="000F01AB">
      <w:pPr>
        <w:pStyle w:val="Heading7"/>
        <w:rPr>
          <w:color w:val="000000"/>
          <w:lang w:val="en-US"/>
        </w:rPr>
      </w:pPr>
      <w:r w:rsidRPr="00FC4E35">
        <w:rPr>
          <w:lang w:val="en-GB"/>
        </w:rPr>
        <w:t>Contaminated sites</w:t>
      </w:r>
    </w:p>
    <w:p w:rsidR="00FC4E35" w:rsidRPr="00FC4E35" w:rsidRDefault="00FC4E35" w:rsidP="000F01AB">
      <w:pPr>
        <w:rPr>
          <w:lang w:val="en-US"/>
        </w:rPr>
      </w:pPr>
      <w:r w:rsidRPr="00FC4E35">
        <w:rPr>
          <w:lang w:val="en-US"/>
        </w:rPr>
        <w:t>Under the Contaminated Sites Act 2003, the Department is required to report known and suspected contaminated sites to the Department of Environment and Regulation (DER). In accordance with the Act, DER classifies these sites on the basis of the risk to human health, the environment and environmental values. Where sites are classified as contaminated - remediation required or possibly contaminated - investigation required, the Department may have a liability in respect of investigation or remediation expenses. The Department has no known or suspected contaminated sites.</w:t>
      </w:r>
      <w:r w:rsidRPr="00FC4E35">
        <w:rPr>
          <w:lang w:val="en-US"/>
        </w:rPr>
        <w:br/>
      </w:r>
    </w:p>
    <w:p w:rsidR="00FC4E35" w:rsidRPr="000F01AB" w:rsidRDefault="00FC4E35" w:rsidP="00AE75A9">
      <w:pPr>
        <w:pStyle w:val="Heading4"/>
        <w:numPr>
          <w:ilvl w:val="0"/>
          <w:numId w:val="76"/>
        </w:numPr>
      </w:pPr>
      <w:r w:rsidRPr="000F01AB">
        <w:t>Administered assets and liabilities</w:t>
      </w:r>
    </w:p>
    <w:tbl>
      <w:tblPr>
        <w:tblW w:w="8804" w:type="dxa"/>
        <w:tblInd w:w="93" w:type="dxa"/>
        <w:tblLook w:val="04A0" w:firstRow="1" w:lastRow="0" w:firstColumn="1" w:lastColumn="0" w:noHBand="0" w:noVBand="1"/>
      </w:tblPr>
      <w:tblGrid>
        <w:gridCol w:w="6536"/>
        <w:gridCol w:w="1134"/>
        <w:gridCol w:w="1134"/>
      </w:tblGrid>
      <w:tr w:rsidR="000F01AB" w:rsidRPr="000F01AB" w:rsidTr="00AE617E">
        <w:trPr>
          <w:trHeight w:val="570"/>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lang w:eastAsia="en-AU"/>
              </w:rPr>
            </w:pPr>
          </w:p>
        </w:tc>
        <w:tc>
          <w:tcPr>
            <w:tcW w:w="1134" w:type="dxa"/>
            <w:tcBorders>
              <w:top w:val="nil"/>
              <w:left w:val="nil"/>
              <w:bottom w:val="nil"/>
              <w:right w:val="nil"/>
            </w:tcBorders>
            <w:shd w:val="clear" w:color="auto" w:fill="F2F2F2" w:themeFill="background1" w:themeFillShade="F2"/>
            <w:vAlign w:val="bottom"/>
            <w:hideMark/>
          </w:tcPr>
          <w:p w:rsidR="000F01AB" w:rsidRPr="000F01AB" w:rsidRDefault="000F01AB" w:rsidP="000F01AB">
            <w:pPr>
              <w:spacing w:after="0"/>
              <w:jc w:val="right"/>
              <w:rPr>
                <w:b/>
                <w:lang w:eastAsia="en-AU"/>
              </w:rPr>
            </w:pPr>
            <w:r w:rsidRPr="000F01AB">
              <w:rPr>
                <w:b/>
                <w:lang w:eastAsia="en-AU"/>
              </w:rPr>
              <w:t>2015 $000</w:t>
            </w:r>
          </w:p>
        </w:tc>
        <w:tc>
          <w:tcPr>
            <w:tcW w:w="1134" w:type="dxa"/>
            <w:tcBorders>
              <w:top w:val="nil"/>
              <w:left w:val="nil"/>
              <w:bottom w:val="nil"/>
              <w:right w:val="nil"/>
            </w:tcBorders>
            <w:shd w:val="clear" w:color="auto" w:fill="auto"/>
            <w:vAlign w:val="bottom"/>
            <w:hideMark/>
          </w:tcPr>
          <w:p w:rsidR="000F01AB" w:rsidRPr="000F01AB" w:rsidRDefault="000F01AB" w:rsidP="000F01AB">
            <w:pPr>
              <w:spacing w:after="0"/>
              <w:jc w:val="right"/>
              <w:rPr>
                <w:b/>
                <w:lang w:eastAsia="en-AU"/>
              </w:rPr>
            </w:pPr>
            <w:r w:rsidRPr="000F01AB">
              <w:rPr>
                <w:b/>
                <w:lang w:eastAsia="en-AU"/>
              </w:rPr>
              <w:t>2014 $000</w:t>
            </w:r>
          </w:p>
        </w:tc>
      </w:tr>
      <w:tr w:rsidR="000F01AB" w:rsidRPr="000F01AB" w:rsidTr="00AE617E">
        <w:trPr>
          <w:trHeight w:val="285"/>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b/>
                <w:lang w:eastAsia="en-AU"/>
              </w:rPr>
            </w:pPr>
            <w:r w:rsidRPr="000F01AB">
              <w:rPr>
                <w:b/>
                <w:lang w:eastAsia="en-AU"/>
              </w:rPr>
              <w:t>Current Assets</w:t>
            </w:r>
          </w:p>
        </w:tc>
        <w:tc>
          <w:tcPr>
            <w:tcW w:w="1134" w:type="dxa"/>
            <w:tcBorders>
              <w:top w:val="nil"/>
              <w:left w:val="nil"/>
              <w:bottom w:val="nil"/>
              <w:right w:val="nil"/>
            </w:tcBorders>
            <w:shd w:val="clear" w:color="auto" w:fill="F2F2F2" w:themeFill="background1" w:themeFillShade="F2"/>
            <w:noWrap/>
            <w:vAlign w:val="bottom"/>
            <w:hideMark/>
          </w:tcPr>
          <w:p w:rsidR="000F01AB" w:rsidRPr="000F01AB" w:rsidRDefault="000F01AB" w:rsidP="000F01AB">
            <w:pPr>
              <w:spacing w:after="0"/>
              <w:jc w:val="right"/>
              <w:rPr>
                <w:lang w:eastAsia="en-AU"/>
              </w:rPr>
            </w:pPr>
          </w:p>
        </w:tc>
        <w:tc>
          <w:tcPr>
            <w:tcW w:w="1134" w:type="dxa"/>
            <w:tcBorders>
              <w:top w:val="nil"/>
              <w:left w:val="nil"/>
              <w:bottom w:val="nil"/>
              <w:right w:val="nil"/>
            </w:tcBorders>
            <w:shd w:val="clear" w:color="auto" w:fill="auto"/>
            <w:noWrap/>
            <w:vAlign w:val="bottom"/>
            <w:hideMark/>
          </w:tcPr>
          <w:p w:rsidR="000F01AB" w:rsidRPr="000F01AB" w:rsidRDefault="000F01AB" w:rsidP="000F01AB">
            <w:pPr>
              <w:spacing w:after="0"/>
              <w:jc w:val="right"/>
              <w:rPr>
                <w:lang w:eastAsia="en-AU"/>
              </w:rPr>
            </w:pPr>
          </w:p>
        </w:tc>
      </w:tr>
      <w:tr w:rsidR="000F01AB" w:rsidRPr="000F01AB" w:rsidTr="00AE617E">
        <w:trPr>
          <w:trHeight w:val="285"/>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lang w:eastAsia="en-AU"/>
              </w:rPr>
            </w:pPr>
            <w:r w:rsidRPr="000F01AB">
              <w:rPr>
                <w:lang w:eastAsia="en-AU"/>
              </w:rPr>
              <w:t>Cash and cash equivalents - WANDRRA</w:t>
            </w:r>
            <w:r w:rsidRPr="000F01AB">
              <w:rPr>
                <w:vertAlign w:val="superscript"/>
                <w:lang w:eastAsia="en-AU"/>
              </w:rPr>
              <w:t>(a)</w:t>
            </w:r>
          </w:p>
        </w:tc>
        <w:tc>
          <w:tcPr>
            <w:tcW w:w="1134" w:type="dxa"/>
            <w:tcBorders>
              <w:top w:val="nil"/>
              <w:left w:val="nil"/>
              <w:right w:val="nil"/>
            </w:tcBorders>
            <w:shd w:val="clear" w:color="auto" w:fill="F2F2F2" w:themeFill="background1" w:themeFillShade="F2"/>
            <w:noWrap/>
            <w:vAlign w:val="bottom"/>
            <w:hideMark/>
          </w:tcPr>
          <w:p w:rsidR="000F01AB" w:rsidRPr="000F01AB" w:rsidRDefault="000F01AB" w:rsidP="000F01AB">
            <w:pPr>
              <w:spacing w:after="0"/>
              <w:jc w:val="right"/>
              <w:rPr>
                <w:lang w:eastAsia="en-AU"/>
              </w:rPr>
            </w:pPr>
            <w:r w:rsidRPr="000F01AB">
              <w:rPr>
                <w:lang w:eastAsia="en-AU"/>
              </w:rPr>
              <w:t>17,059</w:t>
            </w:r>
          </w:p>
        </w:tc>
        <w:tc>
          <w:tcPr>
            <w:tcW w:w="1134" w:type="dxa"/>
            <w:tcBorders>
              <w:top w:val="nil"/>
              <w:left w:val="nil"/>
              <w:right w:val="nil"/>
            </w:tcBorders>
            <w:shd w:val="clear" w:color="auto" w:fill="auto"/>
            <w:noWrap/>
            <w:vAlign w:val="bottom"/>
            <w:hideMark/>
          </w:tcPr>
          <w:p w:rsidR="000F01AB" w:rsidRPr="000F01AB" w:rsidRDefault="000F01AB" w:rsidP="000F01AB">
            <w:pPr>
              <w:spacing w:after="0"/>
              <w:jc w:val="right"/>
              <w:rPr>
                <w:lang w:eastAsia="en-AU"/>
              </w:rPr>
            </w:pPr>
            <w:r w:rsidRPr="000F01AB">
              <w:rPr>
                <w:lang w:eastAsia="en-AU"/>
              </w:rPr>
              <w:t>9,388</w:t>
            </w:r>
          </w:p>
        </w:tc>
      </w:tr>
      <w:tr w:rsidR="000F01AB" w:rsidRPr="000F01AB" w:rsidTr="00AE617E">
        <w:trPr>
          <w:trHeight w:val="285"/>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lang w:eastAsia="en-AU"/>
              </w:rPr>
            </w:pPr>
            <w:r w:rsidRPr="000F01AB">
              <w:rPr>
                <w:lang w:eastAsia="en-AU"/>
              </w:rPr>
              <w:t>Overseas Offices - cash and cash equivalents</w:t>
            </w:r>
          </w:p>
        </w:tc>
        <w:tc>
          <w:tcPr>
            <w:tcW w:w="1134" w:type="dxa"/>
            <w:tcBorders>
              <w:top w:val="nil"/>
              <w:left w:val="nil"/>
              <w:bottom w:val="single" w:sz="4" w:space="0" w:color="auto"/>
              <w:right w:val="nil"/>
            </w:tcBorders>
            <w:shd w:val="clear" w:color="auto" w:fill="F2F2F2" w:themeFill="background1" w:themeFillShade="F2"/>
            <w:noWrap/>
            <w:vAlign w:val="bottom"/>
            <w:hideMark/>
          </w:tcPr>
          <w:p w:rsidR="000F01AB" w:rsidRPr="000F01AB" w:rsidRDefault="000F01AB" w:rsidP="000F01AB">
            <w:pPr>
              <w:spacing w:after="0"/>
              <w:jc w:val="right"/>
              <w:rPr>
                <w:lang w:eastAsia="en-AU"/>
              </w:rPr>
            </w:pPr>
            <w:r w:rsidRPr="000F01AB">
              <w:rPr>
                <w:lang w:eastAsia="en-AU"/>
              </w:rPr>
              <w:t>133</w:t>
            </w:r>
          </w:p>
        </w:tc>
        <w:tc>
          <w:tcPr>
            <w:tcW w:w="1134" w:type="dxa"/>
            <w:tcBorders>
              <w:top w:val="nil"/>
              <w:left w:val="nil"/>
              <w:bottom w:val="single" w:sz="4" w:space="0" w:color="auto"/>
              <w:right w:val="nil"/>
            </w:tcBorders>
            <w:shd w:val="clear" w:color="auto" w:fill="auto"/>
            <w:noWrap/>
            <w:vAlign w:val="bottom"/>
            <w:hideMark/>
          </w:tcPr>
          <w:p w:rsidR="000F01AB" w:rsidRPr="000F01AB" w:rsidRDefault="000F01AB" w:rsidP="000F01AB">
            <w:pPr>
              <w:spacing w:after="0"/>
              <w:jc w:val="right"/>
              <w:rPr>
                <w:lang w:eastAsia="en-AU"/>
              </w:rPr>
            </w:pPr>
            <w:r w:rsidRPr="000F01AB">
              <w:rPr>
                <w:lang w:eastAsia="en-AU"/>
              </w:rPr>
              <w:t>112</w:t>
            </w:r>
          </w:p>
        </w:tc>
      </w:tr>
      <w:tr w:rsidR="000F01AB" w:rsidRPr="000F01AB" w:rsidTr="00AE617E">
        <w:trPr>
          <w:trHeight w:val="285"/>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lang w:eastAsia="en-AU"/>
              </w:rPr>
            </w:pPr>
          </w:p>
        </w:tc>
        <w:tc>
          <w:tcPr>
            <w:tcW w:w="1134" w:type="dxa"/>
            <w:tcBorders>
              <w:top w:val="single" w:sz="4" w:space="0" w:color="auto"/>
              <w:left w:val="nil"/>
              <w:bottom w:val="nil"/>
              <w:right w:val="nil"/>
            </w:tcBorders>
            <w:shd w:val="clear" w:color="auto" w:fill="F2F2F2" w:themeFill="background1" w:themeFillShade="F2"/>
            <w:noWrap/>
            <w:vAlign w:val="bottom"/>
            <w:hideMark/>
          </w:tcPr>
          <w:p w:rsidR="000F01AB" w:rsidRPr="000F01AB" w:rsidRDefault="000F01AB" w:rsidP="000F01AB">
            <w:pPr>
              <w:spacing w:after="0"/>
              <w:jc w:val="right"/>
              <w:rPr>
                <w:lang w:eastAsia="en-AU"/>
              </w:rPr>
            </w:pPr>
            <w:r w:rsidRPr="000F01AB">
              <w:rPr>
                <w:lang w:eastAsia="en-AU"/>
              </w:rPr>
              <w:t>17,192</w:t>
            </w:r>
          </w:p>
        </w:tc>
        <w:tc>
          <w:tcPr>
            <w:tcW w:w="1134" w:type="dxa"/>
            <w:tcBorders>
              <w:top w:val="single" w:sz="4" w:space="0" w:color="auto"/>
              <w:left w:val="nil"/>
              <w:bottom w:val="nil"/>
              <w:right w:val="nil"/>
            </w:tcBorders>
            <w:shd w:val="clear" w:color="auto" w:fill="auto"/>
            <w:noWrap/>
            <w:vAlign w:val="bottom"/>
            <w:hideMark/>
          </w:tcPr>
          <w:p w:rsidR="000F01AB" w:rsidRPr="000F01AB" w:rsidRDefault="000F01AB" w:rsidP="000F01AB">
            <w:pPr>
              <w:spacing w:after="0"/>
              <w:jc w:val="right"/>
              <w:rPr>
                <w:lang w:eastAsia="en-AU"/>
              </w:rPr>
            </w:pPr>
            <w:r w:rsidRPr="000F01AB">
              <w:rPr>
                <w:lang w:eastAsia="en-AU"/>
              </w:rPr>
              <w:t>9,500</w:t>
            </w:r>
          </w:p>
        </w:tc>
      </w:tr>
      <w:tr w:rsidR="000F01AB" w:rsidRPr="000F01AB" w:rsidTr="00AE617E">
        <w:trPr>
          <w:trHeight w:val="330"/>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b/>
                <w:lang w:eastAsia="en-AU"/>
              </w:rPr>
            </w:pPr>
            <w:r w:rsidRPr="000F01AB">
              <w:rPr>
                <w:b/>
                <w:lang w:eastAsia="en-AU"/>
              </w:rPr>
              <w:t>Current Liabilities</w:t>
            </w:r>
          </w:p>
        </w:tc>
        <w:tc>
          <w:tcPr>
            <w:tcW w:w="1134" w:type="dxa"/>
            <w:tcBorders>
              <w:top w:val="nil"/>
              <w:left w:val="nil"/>
              <w:right w:val="nil"/>
            </w:tcBorders>
            <w:shd w:val="clear" w:color="auto" w:fill="F2F2F2" w:themeFill="background1" w:themeFillShade="F2"/>
            <w:noWrap/>
            <w:vAlign w:val="bottom"/>
            <w:hideMark/>
          </w:tcPr>
          <w:p w:rsidR="000F01AB" w:rsidRPr="000F01AB" w:rsidRDefault="000F01AB" w:rsidP="000F01AB">
            <w:pPr>
              <w:spacing w:after="0"/>
              <w:jc w:val="right"/>
              <w:rPr>
                <w:lang w:eastAsia="en-AU"/>
              </w:rPr>
            </w:pPr>
          </w:p>
        </w:tc>
        <w:tc>
          <w:tcPr>
            <w:tcW w:w="1134" w:type="dxa"/>
            <w:tcBorders>
              <w:top w:val="nil"/>
              <w:left w:val="nil"/>
              <w:right w:val="nil"/>
            </w:tcBorders>
            <w:shd w:val="clear" w:color="auto" w:fill="auto"/>
            <w:noWrap/>
            <w:vAlign w:val="bottom"/>
            <w:hideMark/>
          </w:tcPr>
          <w:p w:rsidR="000F01AB" w:rsidRPr="000F01AB" w:rsidRDefault="000F01AB" w:rsidP="000F01AB">
            <w:pPr>
              <w:spacing w:after="0"/>
              <w:jc w:val="right"/>
              <w:rPr>
                <w:lang w:eastAsia="en-AU"/>
              </w:rPr>
            </w:pPr>
          </w:p>
        </w:tc>
      </w:tr>
      <w:tr w:rsidR="000F01AB" w:rsidRPr="000F01AB" w:rsidTr="00AE617E">
        <w:trPr>
          <w:trHeight w:val="345"/>
        </w:trPr>
        <w:tc>
          <w:tcPr>
            <w:tcW w:w="6536" w:type="dxa"/>
            <w:tcBorders>
              <w:top w:val="nil"/>
              <w:left w:val="nil"/>
              <w:bottom w:val="nil"/>
              <w:right w:val="nil"/>
            </w:tcBorders>
            <w:shd w:val="clear" w:color="auto" w:fill="auto"/>
            <w:vAlign w:val="bottom"/>
            <w:hideMark/>
          </w:tcPr>
          <w:p w:rsidR="000F01AB" w:rsidRPr="000F01AB" w:rsidRDefault="000F01AB" w:rsidP="000F01AB">
            <w:pPr>
              <w:spacing w:after="0"/>
              <w:rPr>
                <w:lang w:eastAsia="en-AU"/>
              </w:rPr>
            </w:pPr>
            <w:r w:rsidRPr="000F01AB">
              <w:rPr>
                <w:lang w:eastAsia="en-AU"/>
              </w:rPr>
              <w:t>Payables - WANDRRA</w:t>
            </w:r>
            <w:r w:rsidRPr="000F01AB">
              <w:rPr>
                <w:vertAlign w:val="superscript"/>
                <w:lang w:eastAsia="en-AU"/>
              </w:rPr>
              <w:t>(a)</w:t>
            </w:r>
          </w:p>
        </w:tc>
        <w:tc>
          <w:tcPr>
            <w:tcW w:w="1134" w:type="dxa"/>
            <w:tcBorders>
              <w:top w:val="nil"/>
              <w:left w:val="nil"/>
              <w:bottom w:val="double" w:sz="4" w:space="0" w:color="auto"/>
              <w:right w:val="nil"/>
            </w:tcBorders>
            <w:shd w:val="clear" w:color="auto" w:fill="F2F2F2" w:themeFill="background1" w:themeFillShade="F2"/>
            <w:noWrap/>
            <w:vAlign w:val="bottom"/>
            <w:hideMark/>
          </w:tcPr>
          <w:p w:rsidR="000F01AB" w:rsidRPr="000F01AB" w:rsidRDefault="000F01AB" w:rsidP="000F01AB">
            <w:pPr>
              <w:spacing w:after="0"/>
              <w:jc w:val="right"/>
              <w:rPr>
                <w:lang w:eastAsia="en-AU"/>
              </w:rPr>
            </w:pPr>
            <w:r w:rsidRPr="000F01AB">
              <w:rPr>
                <w:lang w:eastAsia="en-AU"/>
              </w:rPr>
              <w:t>26,568</w:t>
            </w:r>
          </w:p>
        </w:tc>
        <w:tc>
          <w:tcPr>
            <w:tcW w:w="1134" w:type="dxa"/>
            <w:tcBorders>
              <w:top w:val="nil"/>
              <w:left w:val="nil"/>
              <w:bottom w:val="double" w:sz="4" w:space="0" w:color="auto"/>
              <w:right w:val="nil"/>
            </w:tcBorders>
            <w:shd w:val="clear" w:color="auto" w:fill="auto"/>
            <w:noWrap/>
            <w:vAlign w:val="bottom"/>
            <w:hideMark/>
          </w:tcPr>
          <w:p w:rsidR="000F01AB" w:rsidRPr="000F01AB" w:rsidRDefault="000F01AB" w:rsidP="000F01AB">
            <w:pPr>
              <w:spacing w:after="0"/>
              <w:jc w:val="right"/>
              <w:rPr>
                <w:lang w:eastAsia="en-AU"/>
              </w:rPr>
            </w:pPr>
            <w:r w:rsidRPr="000F01AB">
              <w:rPr>
                <w:lang w:eastAsia="en-AU"/>
              </w:rPr>
              <w:t>9,224</w:t>
            </w:r>
          </w:p>
        </w:tc>
      </w:tr>
    </w:tbl>
    <w:p w:rsidR="00FC4E35" w:rsidRPr="00FC4E35" w:rsidRDefault="00FC4E35" w:rsidP="000F01AB">
      <w:pPr>
        <w:rPr>
          <w:color w:val="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0F01AB">
        <w:trPr>
          <w:trHeight w:val="1043"/>
        </w:trPr>
        <w:tc>
          <w:tcPr>
            <w:tcW w:w="370" w:type="dxa"/>
            <w:tcMar>
              <w:top w:w="85" w:type="dxa"/>
              <w:left w:w="0" w:type="dxa"/>
              <w:bottom w:w="85" w:type="dxa"/>
              <w:right w:w="0" w:type="dxa"/>
            </w:tcMar>
          </w:tcPr>
          <w:p w:rsidR="00FC4E35" w:rsidRPr="00FC4E35" w:rsidRDefault="00FC4E35" w:rsidP="000F01AB">
            <w:pPr>
              <w:spacing w:after="0"/>
              <w:rPr>
                <w:color w:val="000000"/>
                <w:lang w:val="en-US"/>
              </w:rPr>
            </w:pPr>
            <w:r w:rsidRPr="00FC4E35">
              <w:rPr>
                <w:color w:val="000000"/>
                <w:lang w:val="en-US"/>
              </w:rPr>
              <w:t>(a)</w:t>
            </w:r>
          </w:p>
        </w:tc>
        <w:tc>
          <w:tcPr>
            <w:tcW w:w="9996" w:type="dxa"/>
            <w:tcMar>
              <w:top w:w="85" w:type="dxa"/>
              <w:left w:w="80" w:type="dxa"/>
              <w:bottom w:w="85" w:type="dxa"/>
              <w:right w:w="80" w:type="dxa"/>
            </w:tcMar>
          </w:tcPr>
          <w:p w:rsidR="00FC4E35" w:rsidRPr="00FC4E35" w:rsidRDefault="00FC4E35" w:rsidP="000F01AB">
            <w:pPr>
              <w:spacing w:after="0"/>
              <w:rPr>
                <w:color w:val="000000"/>
                <w:lang w:val="en-US"/>
              </w:rPr>
            </w:pPr>
            <w:r w:rsidRPr="00FC4E35">
              <w:rPr>
                <w:color w:val="000000"/>
                <w:lang w:val="en-US"/>
              </w:rPr>
              <w:t>The Department administers the payment of claims from government agencies and local authorities with funding of such claims being processed pursuant to the Western Australian Natural Disaster Relief and Recovery Arrangements.</w:t>
            </w:r>
          </w:p>
        </w:tc>
      </w:tr>
    </w:tbl>
    <w:p w:rsidR="009A36D1" w:rsidRDefault="009A36D1" w:rsidP="00FC4E35">
      <w:pPr>
        <w:suppressAutoHyphens/>
        <w:autoSpaceDE w:val="0"/>
        <w:autoSpaceDN w:val="0"/>
        <w:adjustRightInd w:val="0"/>
        <w:spacing w:after="0" w:line="288" w:lineRule="auto"/>
        <w:textAlignment w:val="center"/>
        <w:rPr>
          <w:color w:val="000000"/>
          <w:lang w:val="en-US"/>
        </w:rPr>
      </w:pPr>
    </w:p>
    <w:p w:rsidR="009A36D1" w:rsidRDefault="009A36D1">
      <w:pPr>
        <w:spacing w:line="276" w:lineRule="auto"/>
        <w:rPr>
          <w:color w:val="000000"/>
          <w:lang w:val="en-US"/>
        </w:rPr>
      </w:pPr>
      <w:r>
        <w:rPr>
          <w:color w:val="000000"/>
          <w:lang w:val="en-US"/>
        </w:rPr>
        <w:br w:type="page"/>
      </w:r>
    </w:p>
    <w:p w:rsidR="00FC4E35" w:rsidRDefault="00FC4E35" w:rsidP="00AE75A9">
      <w:pPr>
        <w:pStyle w:val="Heading4"/>
        <w:numPr>
          <w:ilvl w:val="0"/>
          <w:numId w:val="76"/>
        </w:numPr>
      </w:pPr>
      <w:r w:rsidRPr="000F01AB">
        <w:t>Disclosure of administered income and expenses by service</w:t>
      </w:r>
    </w:p>
    <w:tbl>
      <w:tblPr>
        <w:tblW w:w="9820" w:type="dxa"/>
        <w:tblInd w:w="93" w:type="dxa"/>
        <w:tblLook w:val="04A0" w:firstRow="1" w:lastRow="0" w:firstColumn="1" w:lastColumn="0" w:noHBand="0" w:noVBand="1"/>
      </w:tblPr>
      <w:tblGrid>
        <w:gridCol w:w="2890"/>
        <w:gridCol w:w="1155"/>
        <w:gridCol w:w="1155"/>
        <w:gridCol w:w="1155"/>
        <w:gridCol w:w="1155"/>
        <w:gridCol w:w="1155"/>
        <w:gridCol w:w="1155"/>
      </w:tblGrid>
      <w:tr w:rsidR="000F01AB" w:rsidRPr="00A21BB5" w:rsidTr="00AE617E">
        <w:trPr>
          <w:trHeight w:val="1438"/>
        </w:trPr>
        <w:tc>
          <w:tcPr>
            <w:tcW w:w="2890" w:type="dxa"/>
            <w:tcBorders>
              <w:top w:val="nil"/>
              <w:left w:val="nil"/>
              <w:bottom w:val="nil"/>
              <w:right w:val="nil"/>
            </w:tcBorders>
            <w:shd w:val="clear" w:color="auto" w:fill="auto"/>
            <w:vAlign w:val="center"/>
            <w:hideMark/>
          </w:tcPr>
          <w:p w:rsidR="000F01AB" w:rsidRPr="00A21BB5" w:rsidRDefault="000F01AB" w:rsidP="00AE617E">
            <w:pPr>
              <w:spacing w:after="0"/>
              <w:jc w:val="center"/>
              <w:rPr>
                <w:b/>
                <w:lang w:eastAsia="en-AU"/>
              </w:rPr>
            </w:pPr>
          </w:p>
        </w:tc>
        <w:tc>
          <w:tcPr>
            <w:tcW w:w="2310" w:type="dxa"/>
            <w:gridSpan w:val="2"/>
            <w:tcBorders>
              <w:top w:val="nil"/>
              <w:left w:val="nil"/>
              <w:bottom w:val="nil"/>
              <w:right w:val="nil"/>
            </w:tcBorders>
            <w:shd w:val="clear" w:color="auto" w:fill="auto"/>
            <w:vAlign w:val="bottom"/>
            <w:hideMark/>
          </w:tcPr>
          <w:p w:rsidR="000F01AB" w:rsidRPr="00A21BB5" w:rsidRDefault="000F01AB" w:rsidP="00AE617E">
            <w:pPr>
              <w:spacing w:after="0"/>
              <w:jc w:val="center"/>
              <w:rPr>
                <w:b/>
                <w:lang w:eastAsia="en-AU"/>
              </w:rPr>
            </w:pPr>
            <w:r w:rsidRPr="00A21BB5">
              <w:rPr>
                <w:b/>
                <w:lang w:eastAsia="en-AU"/>
              </w:rPr>
              <w:t>Administration of Executive Government Services</w:t>
            </w:r>
          </w:p>
        </w:tc>
        <w:tc>
          <w:tcPr>
            <w:tcW w:w="2310" w:type="dxa"/>
            <w:gridSpan w:val="2"/>
            <w:tcBorders>
              <w:top w:val="nil"/>
              <w:left w:val="nil"/>
              <w:bottom w:val="nil"/>
              <w:right w:val="nil"/>
            </w:tcBorders>
            <w:shd w:val="clear" w:color="auto" w:fill="auto"/>
            <w:vAlign w:val="bottom"/>
            <w:hideMark/>
          </w:tcPr>
          <w:p w:rsidR="000F01AB" w:rsidRPr="00A21BB5" w:rsidRDefault="000F01AB" w:rsidP="00AE617E">
            <w:pPr>
              <w:spacing w:after="0"/>
              <w:jc w:val="center"/>
              <w:rPr>
                <w:b/>
                <w:lang w:eastAsia="en-AU"/>
              </w:rPr>
            </w:pPr>
            <w:r w:rsidRPr="00A21BB5">
              <w:rPr>
                <w:b/>
                <w:lang w:eastAsia="en-AU"/>
              </w:rPr>
              <w:t>Government Policy Management</w:t>
            </w:r>
          </w:p>
        </w:tc>
        <w:tc>
          <w:tcPr>
            <w:tcW w:w="2310" w:type="dxa"/>
            <w:gridSpan w:val="2"/>
            <w:tcBorders>
              <w:top w:val="nil"/>
              <w:left w:val="nil"/>
              <w:bottom w:val="nil"/>
              <w:right w:val="nil"/>
            </w:tcBorders>
            <w:shd w:val="clear" w:color="auto" w:fill="auto"/>
            <w:vAlign w:val="bottom"/>
            <w:hideMark/>
          </w:tcPr>
          <w:p w:rsidR="000F01AB" w:rsidRPr="00A21BB5" w:rsidRDefault="000F01AB" w:rsidP="00AE617E">
            <w:pPr>
              <w:spacing w:after="0"/>
              <w:jc w:val="center"/>
              <w:rPr>
                <w:b/>
                <w:lang w:eastAsia="en-AU"/>
              </w:rPr>
            </w:pPr>
            <w:r w:rsidRPr="00A21BB5">
              <w:rPr>
                <w:b/>
                <w:lang w:eastAsia="en-AU"/>
              </w:rPr>
              <w:t>Total</w:t>
            </w:r>
          </w:p>
        </w:tc>
      </w:tr>
      <w:tr w:rsidR="000F01AB" w:rsidRPr="00A21BB5" w:rsidTr="00AE617E">
        <w:trPr>
          <w:trHeight w:val="720"/>
        </w:trPr>
        <w:tc>
          <w:tcPr>
            <w:tcW w:w="2890" w:type="dxa"/>
            <w:tcBorders>
              <w:top w:val="nil"/>
              <w:left w:val="nil"/>
              <w:bottom w:val="nil"/>
              <w:right w:val="nil"/>
            </w:tcBorders>
            <w:shd w:val="clear" w:color="auto" w:fill="auto"/>
            <w:vAlign w:val="bottom"/>
            <w:hideMark/>
          </w:tcPr>
          <w:p w:rsidR="000F01AB" w:rsidRPr="00A21BB5" w:rsidRDefault="00A21BB5" w:rsidP="00A21BB5">
            <w:pPr>
              <w:suppressAutoHyphens/>
              <w:autoSpaceDE w:val="0"/>
              <w:autoSpaceDN w:val="0"/>
              <w:adjustRightInd w:val="0"/>
              <w:spacing w:after="0" w:line="288" w:lineRule="auto"/>
              <w:textAlignment w:val="center"/>
              <w:rPr>
                <w:b/>
                <w:bCs/>
                <w:color w:val="000000"/>
                <w:lang w:val="en-US"/>
              </w:rPr>
            </w:pPr>
            <w:r w:rsidRPr="00A21BB5">
              <w:rPr>
                <w:b/>
                <w:bCs/>
                <w:color w:val="000000"/>
                <w:lang w:val="en-US"/>
              </w:rPr>
              <w:t>COST OF SERVICES</w:t>
            </w:r>
          </w:p>
        </w:tc>
        <w:tc>
          <w:tcPr>
            <w:tcW w:w="1155" w:type="dxa"/>
            <w:tcBorders>
              <w:top w:val="nil"/>
              <w:left w:val="nil"/>
              <w:bottom w:val="nil"/>
              <w:right w:val="nil"/>
            </w:tcBorders>
            <w:shd w:val="clear" w:color="auto" w:fill="F2F2F2" w:themeFill="background1" w:themeFillShade="F2"/>
            <w:vAlign w:val="bottom"/>
            <w:hideMark/>
          </w:tcPr>
          <w:p w:rsidR="000F01AB" w:rsidRPr="00A21BB5" w:rsidRDefault="000F01AB" w:rsidP="00A21BB5">
            <w:pPr>
              <w:spacing w:after="0"/>
              <w:jc w:val="right"/>
              <w:rPr>
                <w:b/>
                <w:lang w:eastAsia="en-AU"/>
              </w:rPr>
            </w:pPr>
            <w:r w:rsidRPr="00A21BB5">
              <w:rPr>
                <w:b/>
                <w:lang w:eastAsia="en-AU"/>
              </w:rPr>
              <w:t>2015 $000</w:t>
            </w:r>
          </w:p>
        </w:tc>
        <w:tc>
          <w:tcPr>
            <w:tcW w:w="1155" w:type="dxa"/>
            <w:tcBorders>
              <w:top w:val="nil"/>
              <w:left w:val="nil"/>
              <w:bottom w:val="nil"/>
              <w:right w:val="nil"/>
            </w:tcBorders>
            <w:shd w:val="clear" w:color="auto" w:fill="auto"/>
            <w:vAlign w:val="bottom"/>
            <w:hideMark/>
          </w:tcPr>
          <w:p w:rsidR="000F01AB" w:rsidRPr="00A21BB5" w:rsidRDefault="000F01AB" w:rsidP="00A21BB5">
            <w:pPr>
              <w:spacing w:after="0"/>
              <w:jc w:val="right"/>
              <w:rPr>
                <w:b/>
                <w:lang w:eastAsia="en-AU"/>
              </w:rPr>
            </w:pPr>
            <w:r w:rsidRPr="00A21BB5">
              <w:rPr>
                <w:b/>
                <w:lang w:eastAsia="en-AU"/>
              </w:rPr>
              <w:t>2014 $000</w:t>
            </w:r>
          </w:p>
        </w:tc>
        <w:tc>
          <w:tcPr>
            <w:tcW w:w="1155" w:type="dxa"/>
            <w:tcBorders>
              <w:top w:val="nil"/>
              <w:left w:val="nil"/>
              <w:bottom w:val="nil"/>
              <w:right w:val="nil"/>
            </w:tcBorders>
            <w:shd w:val="clear" w:color="auto" w:fill="F2F2F2" w:themeFill="background1" w:themeFillShade="F2"/>
            <w:vAlign w:val="bottom"/>
            <w:hideMark/>
          </w:tcPr>
          <w:p w:rsidR="000F01AB" w:rsidRPr="00A21BB5" w:rsidRDefault="000F01AB" w:rsidP="00A21BB5">
            <w:pPr>
              <w:spacing w:after="0"/>
              <w:jc w:val="right"/>
              <w:rPr>
                <w:b/>
                <w:lang w:eastAsia="en-AU"/>
              </w:rPr>
            </w:pPr>
            <w:r w:rsidRPr="00A21BB5">
              <w:rPr>
                <w:b/>
                <w:lang w:eastAsia="en-AU"/>
              </w:rPr>
              <w:t>2015 $000</w:t>
            </w:r>
          </w:p>
        </w:tc>
        <w:tc>
          <w:tcPr>
            <w:tcW w:w="1155" w:type="dxa"/>
            <w:tcBorders>
              <w:top w:val="nil"/>
              <w:left w:val="nil"/>
              <w:bottom w:val="nil"/>
              <w:right w:val="nil"/>
            </w:tcBorders>
            <w:shd w:val="clear" w:color="auto" w:fill="auto"/>
            <w:vAlign w:val="bottom"/>
            <w:hideMark/>
          </w:tcPr>
          <w:p w:rsidR="000F01AB" w:rsidRPr="00A21BB5" w:rsidRDefault="000F01AB" w:rsidP="00A21BB5">
            <w:pPr>
              <w:spacing w:after="0"/>
              <w:jc w:val="right"/>
              <w:rPr>
                <w:b/>
                <w:lang w:eastAsia="en-AU"/>
              </w:rPr>
            </w:pPr>
            <w:r w:rsidRPr="00A21BB5">
              <w:rPr>
                <w:b/>
                <w:lang w:eastAsia="en-AU"/>
              </w:rPr>
              <w:t>2014 $000</w:t>
            </w:r>
          </w:p>
        </w:tc>
        <w:tc>
          <w:tcPr>
            <w:tcW w:w="1155" w:type="dxa"/>
            <w:tcBorders>
              <w:top w:val="nil"/>
              <w:left w:val="nil"/>
              <w:bottom w:val="nil"/>
              <w:right w:val="nil"/>
            </w:tcBorders>
            <w:shd w:val="clear" w:color="auto" w:fill="F2F2F2" w:themeFill="background1" w:themeFillShade="F2"/>
            <w:vAlign w:val="bottom"/>
            <w:hideMark/>
          </w:tcPr>
          <w:p w:rsidR="000F01AB" w:rsidRPr="00A21BB5" w:rsidRDefault="000F01AB" w:rsidP="00A21BB5">
            <w:pPr>
              <w:spacing w:after="0"/>
              <w:jc w:val="right"/>
              <w:rPr>
                <w:b/>
                <w:lang w:eastAsia="en-AU"/>
              </w:rPr>
            </w:pPr>
            <w:r w:rsidRPr="00A21BB5">
              <w:rPr>
                <w:b/>
                <w:lang w:eastAsia="en-AU"/>
              </w:rPr>
              <w:t>2015 $000</w:t>
            </w:r>
          </w:p>
        </w:tc>
        <w:tc>
          <w:tcPr>
            <w:tcW w:w="1155" w:type="dxa"/>
            <w:tcBorders>
              <w:top w:val="nil"/>
              <w:left w:val="nil"/>
              <w:bottom w:val="nil"/>
              <w:right w:val="nil"/>
            </w:tcBorders>
            <w:shd w:val="clear" w:color="auto" w:fill="auto"/>
            <w:vAlign w:val="bottom"/>
            <w:hideMark/>
          </w:tcPr>
          <w:p w:rsidR="000F01AB" w:rsidRPr="00A21BB5" w:rsidRDefault="000F01AB" w:rsidP="00A21BB5">
            <w:pPr>
              <w:spacing w:after="0"/>
              <w:jc w:val="right"/>
              <w:rPr>
                <w:b/>
                <w:lang w:eastAsia="en-AU"/>
              </w:rPr>
            </w:pPr>
            <w:r w:rsidRPr="00A21BB5">
              <w:rPr>
                <w:b/>
                <w:lang w:eastAsia="en-AU"/>
              </w:rPr>
              <w:t>2014 $000</w:t>
            </w:r>
          </w:p>
        </w:tc>
      </w:tr>
      <w:tr w:rsidR="00A21BB5" w:rsidRPr="00A21BB5" w:rsidTr="00AE617E">
        <w:trPr>
          <w:trHeight w:val="285"/>
        </w:trPr>
        <w:tc>
          <w:tcPr>
            <w:tcW w:w="2890" w:type="dxa"/>
            <w:tcBorders>
              <w:top w:val="nil"/>
              <w:left w:val="nil"/>
              <w:bottom w:val="nil"/>
              <w:right w:val="nil"/>
            </w:tcBorders>
            <w:shd w:val="clear" w:color="auto" w:fill="auto"/>
            <w:vAlign w:val="bottom"/>
          </w:tcPr>
          <w:p w:rsidR="00A21BB5" w:rsidRPr="00A21BB5" w:rsidRDefault="00A21BB5" w:rsidP="00A21BB5">
            <w:pPr>
              <w:spacing w:after="0"/>
              <w:rPr>
                <w:b/>
                <w:lang w:eastAsia="en-AU"/>
              </w:rPr>
            </w:pPr>
            <w:r w:rsidRPr="00A21BB5">
              <w:rPr>
                <w:b/>
                <w:lang w:eastAsia="en-AU"/>
              </w:rPr>
              <w:t>Income</w:t>
            </w:r>
          </w:p>
        </w:tc>
        <w:tc>
          <w:tcPr>
            <w:tcW w:w="1155" w:type="dxa"/>
            <w:tcBorders>
              <w:top w:val="nil"/>
              <w:left w:val="nil"/>
              <w:bottom w:val="nil"/>
              <w:right w:val="nil"/>
            </w:tcBorders>
            <w:shd w:val="clear" w:color="auto" w:fill="F2F2F2" w:themeFill="background1" w:themeFillShade="F2"/>
            <w:vAlign w:val="bottom"/>
          </w:tcPr>
          <w:p w:rsidR="00A21BB5" w:rsidRPr="00A21BB5" w:rsidRDefault="00A21BB5" w:rsidP="00A21BB5">
            <w:pPr>
              <w:spacing w:after="0"/>
              <w:jc w:val="right"/>
              <w:rPr>
                <w:b/>
                <w:lang w:eastAsia="en-AU"/>
              </w:rPr>
            </w:pPr>
          </w:p>
        </w:tc>
        <w:tc>
          <w:tcPr>
            <w:tcW w:w="1155" w:type="dxa"/>
            <w:tcBorders>
              <w:top w:val="nil"/>
              <w:left w:val="nil"/>
              <w:bottom w:val="nil"/>
              <w:right w:val="nil"/>
            </w:tcBorders>
            <w:shd w:val="clear" w:color="auto" w:fill="auto"/>
            <w:vAlign w:val="bottom"/>
          </w:tcPr>
          <w:p w:rsidR="00A21BB5" w:rsidRPr="00A21BB5" w:rsidRDefault="00A21BB5" w:rsidP="00A21BB5">
            <w:pPr>
              <w:spacing w:after="0"/>
              <w:jc w:val="right"/>
              <w:rPr>
                <w:b/>
                <w:lang w:eastAsia="en-AU"/>
              </w:rPr>
            </w:pPr>
          </w:p>
        </w:tc>
        <w:tc>
          <w:tcPr>
            <w:tcW w:w="1155" w:type="dxa"/>
            <w:tcBorders>
              <w:top w:val="nil"/>
              <w:left w:val="nil"/>
              <w:bottom w:val="nil"/>
              <w:right w:val="nil"/>
            </w:tcBorders>
            <w:shd w:val="clear" w:color="auto" w:fill="F2F2F2" w:themeFill="background1" w:themeFillShade="F2"/>
            <w:vAlign w:val="bottom"/>
          </w:tcPr>
          <w:p w:rsidR="00A21BB5" w:rsidRPr="00A21BB5" w:rsidRDefault="00A21BB5" w:rsidP="00A21BB5">
            <w:pPr>
              <w:spacing w:after="0"/>
              <w:jc w:val="right"/>
              <w:rPr>
                <w:b/>
                <w:lang w:eastAsia="en-AU"/>
              </w:rPr>
            </w:pPr>
          </w:p>
        </w:tc>
        <w:tc>
          <w:tcPr>
            <w:tcW w:w="1155" w:type="dxa"/>
            <w:tcBorders>
              <w:top w:val="nil"/>
              <w:left w:val="nil"/>
              <w:bottom w:val="nil"/>
              <w:right w:val="nil"/>
            </w:tcBorders>
            <w:shd w:val="clear" w:color="auto" w:fill="auto"/>
            <w:vAlign w:val="bottom"/>
          </w:tcPr>
          <w:p w:rsidR="00A21BB5" w:rsidRPr="00A21BB5" w:rsidRDefault="00A21BB5" w:rsidP="00A21BB5">
            <w:pPr>
              <w:spacing w:after="0"/>
              <w:jc w:val="right"/>
              <w:rPr>
                <w:b/>
                <w:lang w:eastAsia="en-AU"/>
              </w:rPr>
            </w:pPr>
          </w:p>
        </w:tc>
        <w:tc>
          <w:tcPr>
            <w:tcW w:w="1155" w:type="dxa"/>
            <w:tcBorders>
              <w:top w:val="nil"/>
              <w:left w:val="nil"/>
              <w:bottom w:val="nil"/>
              <w:right w:val="nil"/>
            </w:tcBorders>
            <w:shd w:val="clear" w:color="auto" w:fill="F2F2F2" w:themeFill="background1" w:themeFillShade="F2"/>
            <w:vAlign w:val="bottom"/>
          </w:tcPr>
          <w:p w:rsidR="00A21BB5" w:rsidRPr="00A21BB5" w:rsidRDefault="00A21BB5" w:rsidP="00A21BB5">
            <w:pPr>
              <w:spacing w:after="0"/>
              <w:jc w:val="right"/>
              <w:rPr>
                <w:b/>
                <w:lang w:eastAsia="en-AU"/>
              </w:rPr>
            </w:pPr>
          </w:p>
        </w:tc>
        <w:tc>
          <w:tcPr>
            <w:tcW w:w="1155" w:type="dxa"/>
            <w:tcBorders>
              <w:top w:val="nil"/>
              <w:left w:val="nil"/>
              <w:bottom w:val="nil"/>
              <w:right w:val="nil"/>
            </w:tcBorders>
            <w:shd w:val="clear" w:color="auto" w:fill="auto"/>
            <w:vAlign w:val="bottom"/>
          </w:tcPr>
          <w:p w:rsidR="00A21BB5" w:rsidRPr="00A21BB5" w:rsidRDefault="00A21BB5" w:rsidP="00A21BB5">
            <w:pPr>
              <w:spacing w:after="0"/>
              <w:jc w:val="right"/>
              <w:rPr>
                <w:b/>
                <w:lang w:eastAsia="en-AU"/>
              </w:rPr>
            </w:pPr>
          </w:p>
        </w:tc>
      </w:tr>
      <w:tr w:rsidR="000F01AB" w:rsidRPr="000F01AB" w:rsidTr="00AE617E">
        <w:trPr>
          <w:trHeight w:val="285"/>
        </w:trPr>
        <w:tc>
          <w:tcPr>
            <w:tcW w:w="2890" w:type="dxa"/>
            <w:tcBorders>
              <w:top w:val="nil"/>
              <w:left w:val="nil"/>
              <w:bottom w:val="nil"/>
              <w:right w:val="nil"/>
            </w:tcBorders>
            <w:shd w:val="clear" w:color="auto" w:fill="auto"/>
            <w:vAlign w:val="bottom"/>
            <w:hideMark/>
          </w:tcPr>
          <w:p w:rsidR="000F01AB" w:rsidRPr="000F01AB" w:rsidRDefault="000F01AB" w:rsidP="00A21BB5">
            <w:pPr>
              <w:spacing w:after="0"/>
              <w:rPr>
                <w:lang w:eastAsia="en-AU"/>
              </w:rPr>
            </w:pPr>
            <w:r w:rsidRPr="000F01AB">
              <w:rPr>
                <w:lang w:eastAsia="en-AU"/>
              </w:rPr>
              <w:t>Administration appropriation(a)</w:t>
            </w:r>
          </w:p>
        </w:tc>
        <w:tc>
          <w:tcPr>
            <w:tcW w:w="1155" w:type="dxa"/>
            <w:tcBorders>
              <w:top w:val="nil"/>
              <w:left w:val="nil"/>
              <w:bottom w:val="nil"/>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nil"/>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nil"/>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45,000</w:t>
            </w:r>
          </w:p>
        </w:tc>
        <w:tc>
          <w:tcPr>
            <w:tcW w:w="1155" w:type="dxa"/>
            <w:tcBorders>
              <w:top w:val="nil"/>
              <w:left w:val="nil"/>
              <w:bottom w:val="nil"/>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46,105</w:t>
            </w:r>
          </w:p>
        </w:tc>
        <w:tc>
          <w:tcPr>
            <w:tcW w:w="1155" w:type="dxa"/>
            <w:tcBorders>
              <w:top w:val="nil"/>
              <w:left w:val="nil"/>
              <w:bottom w:val="nil"/>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45,000</w:t>
            </w:r>
          </w:p>
        </w:tc>
        <w:tc>
          <w:tcPr>
            <w:tcW w:w="1155" w:type="dxa"/>
            <w:tcBorders>
              <w:top w:val="nil"/>
              <w:left w:val="nil"/>
              <w:bottom w:val="nil"/>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46,105</w:t>
            </w:r>
          </w:p>
        </w:tc>
      </w:tr>
      <w:tr w:rsidR="000F01AB" w:rsidRPr="000F01AB" w:rsidTr="00AE617E">
        <w:trPr>
          <w:trHeight w:val="855"/>
        </w:trPr>
        <w:tc>
          <w:tcPr>
            <w:tcW w:w="2890" w:type="dxa"/>
            <w:tcBorders>
              <w:top w:val="nil"/>
              <w:left w:val="nil"/>
              <w:bottom w:val="nil"/>
              <w:right w:val="nil"/>
            </w:tcBorders>
            <w:shd w:val="clear" w:color="auto" w:fill="auto"/>
            <w:vAlign w:val="bottom"/>
            <w:hideMark/>
          </w:tcPr>
          <w:p w:rsidR="000F01AB" w:rsidRPr="000F01AB" w:rsidRDefault="000F01AB" w:rsidP="00A21BB5">
            <w:pPr>
              <w:spacing w:after="0"/>
              <w:rPr>
                <w:lang w:eastAsia="en-AU"/>
              </w:rPr>
            </w:pPr>
            <w:r w:rsidRPr="000F01AB">
              <w:rPr>
                <w:lang w:eastAsia="en-AU"/>
              </w:rPr>
              <w:t>Refund of prior year expenditure received from Main Roads WA (MRWA)(b)</w:t>
            </w:r>
          </w:p>
        </w:tc>
        <w:tc>
          <w:tcPr>
            <w:tcW w:w="1155" w:type="dxa"/>
            <w:tcBorders>
              <w:top w:val="nil"/>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5,308</w:t>
            </w:r>
          </w:p>
        </w:tc>
        <w:tc>
          <w:tcPr>
            <w:tcW w:w="1155" w:type="dxa"/>
            <w:tcBorders>
              <w:top w:val="nil"/>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5,308</w:t>
            </w:r>
          </w:p>
        </w:tc>
        <w:tc>
          <w:tcPr>
            <w:tcW w:w="1155" w:type="dxa"/>
            <w:tcBorders>
              <w:top w:val="nil"/>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r>
      <w:tr w:rsidR="000F01AB" w:rsidRPr="000F01AB" w:rsidTr="00AE617E">
        <w:trPr>
          <w:trHeight w:val="285"/>
        </w:trPr>
        <w:tc>
          <w:tcPr>
            <w:tcW w:w="2890" w:type="dxa"/>
            <w:tcBorders>
              <w:top w:val="nil"/>
              <w:left w:val="nil"/>
              <w:bottom w:val="nil"/>
              <w:right w:val="nil"/>
            </w:tcBorders>
            <w:shd w:val="clear" w:color="auto" w:fill="auto"/>
            <w:vAlign w:val="bottom"/>
            <w:hideMark/>
          </w:tcPr>
          <w:p w:rsidR="000F01AB" w:rsidRPr="000F01AB" w:rsidRDefault="000F01AB" w:rsidP="00A21BB5">
            <w:pPr>
              <w:spacing w:after="0"/>
              <w:rPr>
                <w:lang w:eastAsia="en-AU"/>
              </w:rPr>
            </w:pPr>
          </w:p>
        </w:tc>
        <w:tc>
          <w:tcPr>
            <w:tcW w:w="1155" w:type="dxa"/>
            <w:tcBorders>
              <w:top w:val="single" w:sz="4" w:space="0" w:color="auto"/>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single" w:sz="4" w:space="0" w:color="auto"/>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single" w:sz="4" w:space="0" w:color="auto"/>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50,308</w:t>
            </w:r>
          </w:p>
        </w:tc>
        <w:tc>
          <w:tcPr>
            <w:tcW w:w="1155" w:type="dxa"/>
            <w:tcBorders>
              <w:top w:val="single" w:sz="4" w:space="0" w:color="auto"/>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46,105</w:t>
            </w:r>
          </w:p>
        </w:tc>
        <w:tc>
          <w:tcPr>
            <w:tcW w:w="1155" w:type="dxa"/>
            <w:tcBorders>
              <w:top w:val="single" w:sz="4" w:space="0" w:color="auto"/>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50,308</w:t>
            </w:r>
          </w:p>
        </w:tc>
        <w:tc>
          <w:tcPr>
            <w:tcW w:w="1155" w:type="dxa"/>
            <w:tcBorders>
              <w:top w:val="single" w:sz="4" w:space="0" w:color="auto"/>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46,105</w:t>
            </w:r>
          </w:p>
        </w:tc>
      </w:tr>
      <w:tr w:rsidR="000F01AB" w:rsidRPr="000F01AB" w:rsidTr="00AE617E">
        <w:trPr>
          <w:trHeight w:val="285"/>
        </w:trPr>
        <w:tc>
          <w:tcPr>
            <w:tcW w:w="2890" w:type="dxa"/>
            <w:tcBorders>
              <w:top w:val="nil"/>
              <w:left w:val="nil"/>
              <w:bottom w:val="nil"/>
              <w:right w:val="nil"/>
            </w:tcBorders>
            <w:shd w:val="clear" w:color="auto" w:fill="auto"/>
            <w:vAlign w:val="bottom"/>
            <w:hideMark/>
          </w:tcPr>
          <w:p w:rsidR="000F01AB" w:rsidRPr="00A21BB5" w:rsidRDefault="000F01AB" w:rsidP="00A21BB5">
            <w:pPr>
              <w:spacing w:after="0"/>
              <w:rPr>
                <w:b/>
                <w:lang w:eastAsia="en-AU"/>
              </w:rPr>
            </w:pPr>
            <w:r w:rsidRPr="00A21BB5">
              <w:rPr>
                <w:b/>
                <w:lang w:eastAsia="en-AU"/>
              </w:rPr>
              <w:t>Expenses</w:t>
            </w:r>
          </w:p>
        </w:tc>
        <w:tc>
          <w:tcPr>
            <w:tcW w:w="1155" w:type="dxa"/>
            <w:tcBorders>
              <w:top w:val="single" w:sz="4" w:space="0" w:color="auto"/>
              <w:left w:val="nil"/>
              <w:bottom w:val="nil"/>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p>
        </w:tc>
        <w:tc>
          <w:tcPr>
            <w:tcW w:w="1155" w:type="dxa"/>
            <w:tcBorders>
              <w:top w:val="single" w:sz="4" w:space="0" w:color="auto"/>
              <w:left w:val="nil"/>
              <w:bottom w:val="nil"/>
              <w:right w:val="nil"/>
            </w:tcBorders>
            <w:shd w:val="clear" w:color="auto" w:fill="auto"/>
            <w:vAlign w:val="bottom"/>
            <w:hideMark/>
          </w:tcPr>
          <w:p w:rsidR="000F01AB" w:rsidRPr="000F01AB" w:rsidRDefault="000F01AB" w:rsidP="00A21BB5">
            <w:pPr>
              <w:spacing w:after="0"/>
              <w:jc w:val="right"/>
              <w:rPr>
                <w:lang w:eastAsia="en-AU"/>
              </w:rPr>
            </w:pPr>
          </w:p>
        </w:tc>
        <w:tc>
          <w:tcPr>
            <w:tcW w:w="1155" w:type="dxa"/>
            <w:tcBorders>
              <w:top w:val="single" w:sz="4" w:space="0" w:color="auto"/>
              <w:left w:val="nil"/>
              <w:bottom w:val="nil"/>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p>
        </w:tc>
        <w:tc>
          <w:tcPr>
            <w:tcW w:w="1155" w:type="dxa"/>
            <w:tcBorders>
              <w:top w:val="single" w:sz="4" w:space="0" w:color="auto"/>
              <w:left w:val="nil"/>
              <w:bottom w:val="nil"/>
              <w:right w:val="nil"/>
            </w:tcBorders>
            <w:shd w:val="clear" w:color="auto" w:fill="auto"/>
            <w:vAlign w:val="bottom"/>
            <w:hideMark/>
          </w:tcPr>
          <w:p w:rsidR="000F01AB" w:rsidRPr="000F01AB" w:rsidRDefault="000F01AB" w:rsidP="00A21BB5">
            <w:pPr>
              <w:spacing w:after="0"/>
              <w:jc w:val="right"/>
              <w:rPr>
                <w:lang w:eastAsia="en-AU"/>
              </w:rPr>
            </w:pPr>
          </w:p>
        </w:tc>
        <w:tc>
          <w:tcPr>
            <w:tcW w:w="1155" w:type="dxa"/>
            <w:tcBorders>
              <w:top w:val="single" w:sz="4" w:space="0" w:color="auto"/>
              <w:left w:val="nil"/>
              <w:bottom w:val="nil"/>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p>
        </w:tc>
        <w:tc>
          <w:tcPr>
            <w:tcW w:w="1155" w:type="dxa"/>
            <w:tcBorders>
              <w:top w:val="single" w:sz="4" w:space="0" w:color="auto"/>
              <w:left w:val="nil"/>
              <w:bottom w:val="nil"/>
              <w:right w:val="nil"/>
            </w:tcBorders>
            <w:shd w:val="clear" w:color="auto" w:fill="auto"/>
            <w:vAlign w:val="bottom"/>
            <w:hideMark/>
          </w:tcPr>
          <w:p w:rsidR="000F01AB" w:rsidRPr="000F01AB" w:rsidRDefault="000F01AB" w:rsidP="00A21BB5">
            <w:pPr>
              <w:spacing w:after="0"/>
              <w:jc w:val="right"/>
              <w:rPr>
                <w:lang w:eastAsia="en-AU"/>
              </w:rPr>
            </w:pPr>
          </w:p>
        </w:tc>
      </w:tr>
      <w:tr w:rsidR="000F01AB" w:rsidRPr="000F01AB" w:rsidTr="00AE617E">
        <w:trPr>
          <w:trHeight w:val="285"/>
        </w:trPr>
        <w:tc>
          <w:tcPr>
            <w:tcW w:w="2890" w:type="dxa"/>
            <w:tcBorders>
              <w:top w:val="nil"/>
              <w:left w:val="nil"/>
              <w:bottom w:val="nil"/>
              <w:right w:val="nil"/>
            </w:tcBorders>
            <w:shd w:val="clear" w:color="auto" w:fill="auto"/>
            <w:vAlign w:val="bottom"/>
            <w:hideMark/>
          </w:tcPr>
          <w:p w:rsidR="000F01AB" w:rsidRPr="000F01AB" w:rsidRDefault="000F01AB" w:rsidP="00A21BB5">
            <w:pPr>
              <w:spacing w:after="0"/>
              <w:rPr>
                <w:lang w:eastAsia="en-AU"/>
              </w:rPr>
            </w:pPr>
            <w:r w:rsidRPr="000F01AB">
              <w:rPr>
                <w:lang w:eastAsia="en-AU"/>
              </w:rPr>
              <w:t>Grants and subsidies</w:t>
            </w:r>
          </w:p>
        </w:tc>
        <w:tc>
          <w:tcPr>
            <w:tcW w:w="1155" w:type="dxa"/>
            <w:tcBorders>
              <w:top w:val="nil"/>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nil"/>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59,981</w:t>
            </w:r>
          </w:p>
        </w:tc>
        <w:tc>
          <w:tcPr>
            <w:tcW w:w="1155" w:type="dxa"/>
            <w:tcBorders>
              <w:top w:val="nil"/>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45,941</w:t>
            </w:r>
          </w:p>
        </w:tc>
        <w:tc>
          <w:tcPr>
            <w:tcW w:w="1155" w:type="dxa"/>
            <w:tcBorders>
              <w:top w:val="nil"/>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59,981</w:t>
            </w:r>
          </w:p>
        </w:tc>
        <w:tc>
          <w:tcPr>
            <w:tcW w:w="1155" w:type="dxa"/>
            <w:tcBorders>
              <w:top w:val="nil"/>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45,941</w:t>
            </w:r>
          </w:p>
        </w:tc>
      </w:tr>
      <w:tr w:rsidR="000F01AB" w:rsidRPr="000F01AB" w:rsidTr="00AE617E">
        <w:trPr>
          <w:trHeight w:val="285"/>
        </w:trPr>
        <w:tc>
          <w:tcPr>
            <w:tcW w:w="2890" w:type="dxa"/>
            <w:tcBorders>
              <w:top w:val="nil"/>
              <w:left w:val="nil"/>
              <w:bottom w:val="nil"/>
              <w:right w:val="nil"/>
            </w:tcBorders>
            <w:shd w:val="clear" w:color="auto" w:fill="auto"/>
            <w:vAlign w:val="bottom"/>
            <w:hideMark/>
          </w:tcPr>
          <w:p w:rsidR="000F01AB" w:rsidRPr="00A21BB5" w:rsidRDefault="000F01AB" w:rsidP="00A21BB5">
            <w:pPr>
              <w:spacing w:after="0"/>
              <w:rPr>
                <w:b/>
                <w:lang w:eastAsia="en-AU"/>
              </w:rPr>
            </w:pPr>
            <w:r w:rsidRPr="00A21BB5">
              <w:rPr>
                <w:b/>
                <w:lang w:eastAsia="en-AU"/>
              </w:rPr>
              <w:t>Total cost of services</w:t>
            </w:r>
          </w:p>
        </w:tc>
        <w:tc>
          <w:tcPr>
            <w:tcW w:w="1155" w:type="dxa"/>
            <w:tcBorders>
              <w:top w:val="single" w:sz="4" w:space="0" w:color="auto"/>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single" w:sz="4" w:space="0" w:color="auto"/>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w:t>
            </w:r>
          </w:p>
        </w:tc>
        <w:tc>
          <w:tcPr>
            <w:tcW w:w="1155" w:type="dxa"/>
            <w:tcBorders>
              <w:top w:val="single" w:sz="4" w:space="0" w:color="auto"/>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59,981</w:t>
            </w:r>
          </w:p>
        </w:tc>
        <w:tc>
          <w:tcPr>
            <w:tcW w:w="1155" w:type="dxa"/>
            <w:tcBorders>
              <w:top w:val="single" w:sz="4" w:space="0" w:color="auto"/>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45,941</w:t>
            </w:r>
          </w:p>
        </w:tc>
        <w:tc>
          <w:tcPr>
            <w:tcW w:w="1155" w:type="dxa"/>
            <w:tcBorders>
              <w:top w:val="single" w:sz="4" w:space="0" w:color="auto"/>
              <w:left w:val="nil"/>
              <w:bottom w:val="single" w:sz="4" w:space="0" w:color="auto"/>
              <w:right w:val="nil"/>
            </w:tcBorders>
            <w:shd w:val="clear" w:color="auto" w:fill="F2F2F2" w:themeFill="background1" w:themeFillShade="F2"/>
            <w:vAlign w:val="bottom"/>
            <w:hideMark/>
          </w:tcPr>
          <w:p w:rsidR="000F01AB" w:rsidRPr="000F01AB" w:rsidRDefault="000F01AB" w:rsidP="00A21BB5">
            <w:pPr>
              <w:spacing w:after="0"/>
              <w:jc w:val="right"/>
              <w:rPr>
                <w:lang w:eastAsia="en-AU"/>
              </w:rPr>
            </w:pPr>
            <w:r w:rsidRPr="000F01AB">
              <w:rPr>
                <w:lang w:eastAsia="en-AU"/>
              </w:rPr>
              <w:t>59,981</w:t>
            </w:r>
          </w:p>
        </w:tc>
        <w:tc>
          <w:tcPr>
            <w:tcW w:w="1155" w:type="dxa"/>
            <w:tcBorders>
              <w:top w:val="single" w:sz="4" w:space="0" w:color="auto"/>
              <w:left w:val="nil"/>
              <w:bottom w:val="single" w:sz="4" w:space="0" w:color="auto"/>
              <w:right w:val="nil"/>
            </w:tcBorders>
            <w:shd w:val="clear" w:color="auto" w:fill="auto"/>
            <w:vAlign w:val="bottom"/>
            <w:hideMark/>
          </w:tcPr>
          <w:p w:rsidR="000F01AB" w:rsidRPr="000F01AB" w:rsidRDefault="000F01AB" w:rsidP="00A21BB5">
            <w:pPr>
              <w:spacing w:after="0"/>
              <w:jc w:val="right"/>
              <w:rPr>
                <w:lang w:eastAsia="en-AU"/>
              </w:rPr>
            </w:pPr>
            <w:r w:rsidRPr="000F01AB">
              <w:rPr>
                <w:lang w:eastAsia="en-AU"/>
              </w:rPr>
              <w:t>45,941</w:t>
            </w:r>
          </w:p>
        </w:tc>
      </w:tr>
    </w:tbl>
    <w:p w:rsidR="000F01AB" w:rsidRDefault="000F01AB" w:rsidP="00A21BB5">
      <w:pPr>
        <w:rPr>
          <w:lang w:eastAsia="en-AU"/>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FC4E35" w:rsidRPr="00FC4E35" w:rsidTr="00A21BB5">
        <w:trPr>
          <w:trHeight w:val="1122"/>
        </w:trPr>
        <w:tc>
          <w:tcPr>
            <w:tcW w:w="370" w:type="dxa"/>
            <w:tcMar>
              <w:top w:w="85" w:type="dxa"/>
              <w:left w:w="0" w:type="dxa"/>
              <w:bottom w:w="85" w:type="dxa"/>
              <w:right w:w="0" w:type="dxa"/>
            </w:tcMar>
          </w:tcPr>
          <w:p w:rsidR="00FC4E35" w:rsidRPr="00FC4E35" w:rsidRDefault="00FC4E35" w:rsidP="00A21BB5">
            <w:pPr>
              <w:spacing w:after="0"/>
              <w:rPr>
                <w:color w:val="000000"/>
                <w:lang w:val="en-US"/>
              </w:rPr>
            </w:pPr>
            <w:r w:rsidRPr="00FC4E35">
              <w:rPr>
                <w:color w:val="000000"/>
                <w:lang w:val="en-US"/>
              </w:rPr>
              <w:t>(a)</w:t>
            </w:r>
          </w:p>
        </w:tc>
        <w:tc>
          <w:tcPr>
            <w:tcW w:w="9996" w:type="dxa"/>
            <w:tcMar>
              <w:top w:w="85" w:type="dxa"/>
              <w:left w:w="80" w:type="dxa"/>
              <w:bottom w:w="85" w:type="dxa"/>
              <w:right w:w="80" w:type="dxa"/>
            </w:tcMar>
          </w:tcPr>
          <w:p w:rsidR="00FC4E35" w:rsidRPr="00FC4E35" w:rsidRDefault="00FC4E35" w:rsidP="00A21BB5">
            <w:pPr>
              <w:spacing w:after="0"/>
              <w:rPr>
                <w:color w:val="000000"/>
                <w:lang w:val="en-US"/>
              </w:rPr>
            </w:pPr>
            <w:r w:rsidRPr="00FC4E35">
              <w:rPr>
                <w:color w:val="000000"/>
                <w:lang w:val="en-US"/>
              </w:rPr>
              <w:t>The Department administers the payment of claims from government agencies and local authorities with funding of such claims being processed pursuant to the Western Australian Natural Disaster Relief and Recovery Arrangements.</w:t>
            </w:r>
          </w:p>
        </w:tc>
      </w:tr>
      <w:tr w:rsidR="00FC4E35" w:rsidRPr="00FC4E35" w:rsidTr="00A21BB5">
        <w:trPr>
          <w:trHeight w:val="1043"/>
        </w:trPr>
        <w:tc>
          <w:tcPr>
            <w:tcW w:w="370" w:type="dxa"/>
            <w:tcMar>
              <w:top w:w="85" w:type="dxa"/>
              <w:left w:w="0" w:type="dxa"/>
              <w:bottom w:w="85" w:type="dxa"/>
              <w:right w:w="0" w:type="dxa"/>
            </w:tcMar>
          </w:tcPr>
          <w:p w:rsidR="00FC4E35" w:rsidRPr="00FC4E35" w:rsidRDefault="00FC4E35" w:rsidP="00A21BB5">
            <w:pPr>
              <w:spacing w:after="0"/>
              <w:rPr>
                <w:color w:val="000000"/>
                <w:lang w:val="en-US"/>
              </w:rPr>
            </w:pPr>
            <w:r w:rsidRPr="00FC4E35">
              <w:rPr>
                <w:color w:val="000000"/>
                <w:lang w:val="en-US"/>
              </w:rPr>
              <w:t>(b)</w:t>
            </w:r>
          </w:p>
        </w:tc>
        <w:tc>
          <w:tcPr>
            <w:tcW w:w="9996" w:type="dxa"/>
            <w:tcMar>
              <w:top w:w="85" w:type="dxa"/>
              <w:left w:w="80" w:type="dxa"/>
              <w:bottom w:w="85" w:type="dxa"/>
              <w:right w:w="80" w:type="dxa"/>
            </w:tcMar>
          </w:tcPr>
          <w:p w:rsidR="00FC4E35" w:rsidRPr="00FC4E35" w:rsidRDefault="00FC4E35" w:rsidP="00A21BB5">
            <w:pPr>
              <w:spacing w:after="0"/>
              <w:rPr>
                <w:color w:val="000000"/>
                <w:lang w:val="en-US"/>
              </w:rPr>
            </w:pPr>
            <w:r w:rsidRPr="00FC4E35">
              <w:rPr>
                <w:color w:val="000000"/>
                <w:lang w:val="en-US"/>
              </w:rPr>
              <w:t>Income received includes a refund of prior year expenditure of $5.308 million incorrectly paid to MRWA as a reimbursement of National Disaster and Relief and Recovery Arrangements (NDRRA) expenditure by both Department of Fire and Emergency Services and Department of the Premier and Cabinet (DPC).  This amount was paid by DPC in 2013–14 and refund received from MRWA in 2014–15.</w:t>
            </w:r>
          </w:p>
        </w:tc>
      </w:tr>
    </w:tbl>
    <w:p w:rsidR="009A36D1" w:rsidRDefault="009A36D1" w:rsidP="00AE617E">
      <w:pPr>
        <w:rPr>
          <w:lang w:eastAsia="en-AU"/>
        </w:rPr>
      </w:pPr>
    </w:p>
    <w:p w:rsidR="009A36D1" w:rsidRDefault="009A36D1">
      <w:pPr>
        <w:spacing w:line="276" w:lineRule="auto"/>
        <w:rPr>
          <w:lang w:eastAsia="en-AU"/>
        </w:rPr>
      </w:pPr>
      <w:r>
        <w:rPr>
          <w:lang w:eastAsia="en-AU"/>
        </w:rPr>
        <w:br w:type="page"/>
      </w:r>
    </w:p>
    <w:bookmarkEnd w:id="483"/>
    <w:bookmarkEnd w:id="484"/>
    <w:bookmarkEnd w:id="485"/>
    <w:p w:rsidR="00F11F44" w:rsidRDefault="00F11F44" w:rsidP="00AE75A9">
      <w:pPr>
        <w:pStyle w:val="Heading4"/>
        <w:numPr>
          <w:ilvl w:val="0"/>
          <w:numId w:val="76"/>
        </w:numPr>
      </w:pPr>
      <w:r w:rsidRPr="00F11F44">
        <w:t>Explanatory Statement for Administered items</w:t>
      </w:r>
    </w:p>
    <w:tbl>
      <w:tblPr>
        <w:tblW w:w="10632" w:type="dxa"/>
        <w:tblInd w:w="-176" w:type="dxa"/>
        <w:tblLayout w:type="fixed"/>
        <w:tblLook w:val="04A0" w:firstRow="1" w:lastRow="0" w:firstColumn="1" w:lastColumn="0" w:noHBand="0" w:noVBand="1"/>
      </w:tblPr>
      <w:tblGrid>
        <w:gridCol w:w="3545"/>
        <w:gridCol w:w="1275"/>
        <w:gridCol w:w="1134"/>
        <w:gridCol w:w="1134"/>
        <w:gridCol w:w="993"/>
        <w:gridCol w:w="1275"/>
        <w:gridCol w:w="1276"/>
      </w:tblGrid>
      <w:tr w:rsidR="00AE617E" w:rsidRPr="00AE617E" w:rsidTr="00D76FD7">
        <w:trPr>
          <w:trHeight w:val="2070"/>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jc w:val="center"/>
              <w:rPr>
                <w:lang w:eastAsia="en-AU"/>
              </w:rPr>
            </w:pPr>
          </w:p>
        </w:tc>
        <w:tc>
          <w:tcPr>
            <w:tcW w:w="1275" w:type="dxa"/>
            <w:tcBorders>
              <w:top w:val="nil"/>
              <w:left w:val="nil"/>
              <w:bottom w:val="nil"/>
              <w:right w:val="nil"/>
            </w:tcBorders>
            <w:shd w:val="clear" w:color="auto" w:fill="auto"/>
            <w:vAlign w:val="bottom"/>
            <w:hideMark/>
          </w:tcPr>
          <w:p w:rsidR="00AE617E" w:rsidRPr="00AE617E" w:rsidRDefault="00AE617E" w:rsidP="00AE617E">
            <w:pPr>
              <w:spacing w:after="0"/>
              <w:jc w:val="center"/>
              <w:rPr>
                <w:b/>
                <w:bCs/>
                <w:lang w:eastAsia="en-AU"/>
              </w:rPr>
            </w:pPr>
            <w:r w:rsidRPr="00AE617E">
              <w:rPr>
                <w:b/>
                <w:bCs/>
                <w:lang w:eastAsia="en-AU"/>
              </w:rPr>
              <w:t>Variance Note</w:t>
            </w:r>
          </w:p>
        </w:tc>
        <w:tc>
          <w:tcPr>
            <w:tcW w:w="1134" w:type="dxa"/>
            <w:tcBorders>
              <w:top w:val="nil"/>
              <w:left w:val="nil"/>
              <w:bottom w:val="nil"/>
              <w:right w:val="nil"/>
            </w:tcBorders>
            <w:shd w:val="clear" w:color="auto" w:fill="auto"/>
            <w:vAlign w:val="bottom"/>
            <w:hideMark/>
          </w:tcPr>
          <w:p w:rsidR="00AE617E" w:rsidRPr="00AE617E" w:rsidRDefault="00AE617E" w:rsidP="00AE617E">
            <w:pPr>
              <w:spacing w:after="0"/>
              <w:jc w:val="center"/>
              <w:rPr>
                <w:b/>
                <w:bCs/>
                <w:lang w:eastAsia="en-AU"/>
              </w:rPr>
            </w:pPr>
            <w:r w:rsidRPr="00AE617E">
              <w:rPr>
                <w:b/>
                <w:bCs/>
                <w:lang w:eastAsia="en-AU"/>
              </w:rPr>
              <w:t xml:space="preserve">Original Budget </w:t>
            </w:r>
            <w:r w:rsidRPr="00AE617E">
              <w:rPr>
                <w:b/>
                <w:bCs/>
                <w:vertAlign w:val="superscript"/>
                <w:lang w:eastAsia="en-AU"/>
              </w:rPr>
              <w:t>(a)</w:t>
            </w:r>
            <w:r w:rsidRPr="00AE617E">
              <w:rPr>
                <w:b/>
                <w:bCs/>
                <w:lang w:eastAsia="en-AU"/>
              </w:rPr>
              <w:t xml:space="preserve"> 2015 $000</w:t>
            </w:r>
          </w:p>
        </w:tc>
        <w:tc>
          <w:tcPr>
            <w:tcW w:w="1134" w:type="dxa"/>
            <w:tcBorders>
              <w:top w:val="nil"/>
              <w:left w:val="nil"/>
              <w:bottom w:val="nil"/>
              <w:right w:val="nil"/>
            </w:tcBorders>
            <w:shd w:val="clear" w:color="000000" w:fill="F2F2F2"/>
            <w:vAlign w:val="bottom"/>
            <w:hideMark/>
          </w:tcPr>
          <w:p w:rsidR="00AE617E" w:rsidRPr="00AE617E" w:rsidRDefault="00AE617E" w:rsidP="00AE617E">
            <w:pPr>
              <w:spacing w:after="0"/>
              <w:jc w:val="center"/>
              <w:rPr>
                <w:b/>
                <w:bCs/>
                <w:lang w:eastAsia="en-AU"/>
              </w:rPr>
            </w:pPr>
            <w:r w:rsidRPr="00AE617E">
              <w:rPr>
                <w:b/>
                <w:bCs/>
                <w:lang w:eastAsia="en-AU"/>
              </w:rPr>
              <w:t>Actual 2015 $000</w:t>
            </w:r>
          </w:p>
        </w:tc>
        <w:tc>
          <w:tcPr>
            <w:tcW w:w="993" w:type="dxa"/>
            <w:tcBorders>
              <w:top w:val="nil"/>
              <w:left w:val="nil"/>
              <w:bottom w:val="nil"/>
              <w:right w:val="nil"/>
            </w:tcBorders>
            <w:shd w:val="clear" w:color="auto" w:fill="auto"/>
            <w:vAlign w:val="bottom"/>
            <w:hideMark/>
          </w:tcPr>
          <w:p w:rsidR="00AE617E" w:rsidRPr="00AE617E" w:rsidRDefault="00AE617E" w:rsidP="00AE617E">
            <w:pPr>
              <w:spacing w:after="0"/>
              <w:jc w:val="center"/>
              <w:rPr>
                <w:b/>
                <w:bCs/>
                <w:lang w:eastAsia="en-AU"/>
              </w:rPr>
            </w:pPr>
            <w:r w:rsidRPr="00AE617E">
              <w:rPr>
                <w:b/>
                <w:bCs/>
                <w:lang w:eastAsia="en-AU"/>
              </w:rPr>
              <w:t>Actual 2014 $000</w:t>
            </w:r>
          </w:p>
        </w:tc>
        <w:tc>
          <w:tcPr>
            <w:tcW w:w="1275" w:type="dxa"/>
            <w:tcBorders>
              <w:top w:val="nil"/>
              <w:left w:val="nil"/>
              <w:bottom w:val="nil"/>
              <w:right w:val="nil"/>
            </w:tcBorders>
            <w:shd w:val="clear" w:color="auto" w:fill="auto"/>
            <w:vAlign w:val="bottom"/>
            <w:hideMark/>
          </w:tcPr>
          <w:p w:rsidR="00AE617E" w:rsidRPr="00AE617E" w:rsidRDefault="00AE617E" w:rsidP="00AE617E">
            <w:pPr>
              <w:spacing w:after="0"/>
              <w:jc w:val="center"/>
              <w:rPr>
                <w:b/>
                <w:bCs/>
                <w:lang w:eastAsia="en-AU"/>
              </w:rPr>
            </w:pPr>
            <w:r w:rsidRPr="00AE617E">
              <w:rPr>
                <w:b/>
                <w:bCs/>
                <w:lang w:eastAsia="en-AU"/>
              </w:rPr>
              <w:t>Variance between estimate and actual $000</w:t>
            </w:r>
          </w:p>
        </w:tc>
        <w:tc>
          <w:tcPr>
            <w:tcW w:w="1276" w:type="dxa"/>
            <w:tcBorders>
              <w:top w:val="nil"/>
              <w:left w:val="nil"/>
              <w:bottom w:val="nil"/>
              <w:right w:val="nil"/>
            </w:tcBorders>
            <w:shd w:val="clear" w:color="auto" w:fill="auto"/>
            <w:vAlign w:val="bottom"/>
            <w:hideMark/>
          </w:tcPr>
          <w:p w:rsidR="00AE617E" w:rsidRPr="00AE617E" w:rsidRDefault="00AE617E" w:rsidP="00AE617E">
            <w:pPr>
              <w:spacing w:after="0"/>
              <w:jc w:val="center"/>
              <w:rPr>
                <w:b/>
                <w:bCs/>
                <w:lang w:eastAsia="en-AU"/>
              </w:rPr>
            </w:pPr>
            <w:r w:rsidRPr="00AE617E">
              <w:rPr>
                <w:b/>
                <w:bCs/>
                <w:lang w:eastAsia="en-AU"/>
              </w:rPr>
              <w:t>Variance between actual results for 2015 and 2014</w:t>
            </w:r>
          </w:p>
        </w:tc>
      </w:tr>
      <w:tr w:rsidR="00AE617E" w:rsidRPr="00AE617E" w:rsidTr="00D76FD7">
        <w:trPr>
          <w:trHeight w:val="518"/>
        </w:trPr>
        <w:tc>
          <w:tcPr>
            <w:tcW w:w="10632" w:type="dxa"/>
            <w:gridSpan w:val="7"/>
            <w:tcBorders>
              <w:top w:val="nil"/>
              <w:left w:val="nil"/>
              <w:bottom w:val="nil"/>
              <w:right w:val="nil"/>
            </w:tcBorders>
            <w:shd w:val="clear" w:color="auto" w:fill="auto"/>
            <w:vAlign w:val="center"/>
            <w:hideMark/>
          </w:tcPr>
          <w:p w:rsidR="00AE617E" w:rsidRPr="00AE617E" w:rsidRDefault="00AE617E" w:rsidP="00AE617E">
            <w:pPr>
              <w:spacing w:after="0"/>
              <w:rPr>
                <w:b/>
                <w:lang w:eastAsia="en-AU"/>
              </w:rPr>
            </w:pPr>
            <w:r w:rsidRPr="00AE617E">
              <w:rPr>
                <w:b/>
                <w:lang w:eastAsia="en-AU"/>
              </w:rPr>
              <w:t>INCOME FROM ADMINISTERED ITEMS</w:t>
            </w: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b/>
                <w:lang w:eastAsia="en-AU"/>
              </w:rPr>
            </w:pPr>
            <w:r w:rsidRPr="00AE617E">
              <w:rPr>
                <w:b/>
                <w:lang w:eastAsia="en-AU"/>
              </w:rPr>
              <w:t xml:space="preserve">Income </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nil"/>
              <w:left w:val="nil"/>
              <w:bottom w:val="nil"/>
              <w:right w:val="nil"/>
            </w:tcBorders>
            <w:shd w:val="clear" w:color="auto" w:fill="auto"/>
            <w:noWrap/>
            <w:vAlign w:val="bottom"/>
            <w:hideMark/>
          </w:tcPr>
          <w:p w:rsidR="00AE617E" w:rsidRPr="00AE617E" w:rsidRDefault="00AE617E" w:rsidP="00AE617E">
            <w:pPr>
              <w:spacing w:after="0"/>
              <w:rPr>
                <w:lang w:eastAsia="en-AU"/>
              </w:rPr>
            </w:pPr>
          </w:p>
        </w:tc>
        <w:tc>
          <w:tcPr>
            <w:tcW w:w="1134" w:type="dxa"/>
            <w:tcBorders>
              <w:top w:val="nil"/>
              <w:left w:val="nil"/>
              <w:bottom w:val="nil"/>
              <w:right w:val="nil"/>
            </w:tcBorders>
            <w:shd w:val="clear" w:color="auto" w:fill="auto"/>
            <w:noWrap/>
            <w:vAlign w:val="bottom"/>
            <w:hideMark/>
          </w:tcPr>
          <w:p w:rsidR="00AE617E" w:rsidRPr="00AE617E" w:rsidRDefault="00AE617E" w:rsidP="00AE617E">
            <w:pPr>
              <w:spacing w:after="0"/>
              <w:rPr>
                <w:lang w:eastAsia="en-AU"/>
              </w:rPr>
            </w:pPr>
          </w:p>
        </w:tc>
        <w:tc>
          <w:tcPr>
            <w:tcW w:w="993" w:type="dxa"/>
            <w:tcBorders>
              <w:top w:val="nil"/>
              <w:left w:val="nil"/>
              <w:bottom w:val="nil"/>
              <w:right w:val="nil"/>
            </w:tcBorders>
            <w:shd w:val="clear" w:color="auto" w:fill="auto"/>
            <w:noWrap/>
            <w:vAlign w:val="bottom"/>
            <w:hideMark/>
          </w:tcPr>
          <w:p w:rsidR="00AE617E" w:rsidRPr="00AE617E" w:rsidRDefault="00AE617E" w:rsidP="00AE617E">
            <w:pPr>
              <w:spacing w:after="0"/>
              <w:rPr>
                <w:lang w:eastAsia="en-AU"/>
              </w:rPr>
            </w:pPr>
          </w:p>
        </w:tc>
        <w:tc>
          <w:tcPr>
            <w:tcW w:w="1275" w:type="dxa"/>
            <w:tcBorders>
              <w:top w:val="nil"/>
              <w:left w:val="nil"/>
              <w:bottom w:val="nil"/>
              <w:right w:val="nil"/>
            </w:tcBorders>
            <w:shd w:val="clear" w:color="auto" w:fill="auto"/>
            <w:noWrap/>
            <w:vAlign w:val="bottom"/>
            <w:hideMark/>
          </w:tcPr>
          <w:p w:rsidR="00AE617E" w:rsidRPr="00AE617E" w:rsidRDefault="00AE617E" w:rsidP="00AE617E">
            <w:pPr>
              <w:spacing w:after="0"/>
              <w:rPr>
                <w:lang w:eastAsia="en-AU"/>
              </w:rPr>
            </w:pPr>
          </w:p>
        </w:tc>
        <w:tc>
          <w:tcPr>
            <w:tcW w:w="1276" w:type="dxa"/>
            <w:tcBorders>
              <w:top w:val="nil"/>
              <w:left w:val="nil"/>
              <w:bottom w:val="nil"/>
              <w:right w:val="nil"/>
            </w:tcBorders>
            <w:shd w:val="clear" w:color="auto" w:fill="auto"/>
            <w:noWrap/>
            <w:vAlign w:val="bottom"/>
            <w:hideMark/>
          </w:tcPr>
          <w:p w:rsidR="00AE617E" w:rsidRPr="00AE617E" w:rsidRDefault="00AE617E" w:rsidP="00AE617E">
            <w:pPr>
              <w:spacing w:after="0"/>
              <w:rPr>
                <w:lang w:eastAsia="en-AU"/>
              </w:rPr>
            </w:pP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lang w:eastAsia="en-AU"/>
              </w:rPr>
            </w:pPr>
            <w:r w:rsidRPr="00AE617E">
              <w:rPr>
                <w:lang w:eastAsia="en-AU"/>
              </w:rPr>
              <w:t>Administered appropriation</w:t>
            </w:r>
            <w:r w:rsidRPr="00D76FD7">
              <w:rPr>
                <w:vertAlign w:val="superscript"/>
                <w:lang w:eastAsia="en-AU"/>
              </w:rPr>
              <w:t>(a)</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r w:rsidRPr="00AE617E">
              <w:rPr>
                <w:lang w:eastAsia="en-AU"/>
              </w:rPr>
              <w:t>1</w:t>
            </w:r>
          </w:p>
        </w:tc>
        <w:tc>
          <w:tcPr>
            <w:tcW w:w="1134" w:type="dxa"/>
            <w:tcBorders>
              <w:top w:val="nil"/>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15,000</w:t>
            </w:r>
          </w:p>
        </w:tc>
        <w:tc>
          <w:tcPr>
            <w:tcW w:w="1134" w:type="dxa"/>
            <w:tcBorders>
              <w:top w:val="nil"/>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45,000</w:t>
            </w:r>
          </w:p>
        </w:tc>
        <w:tc>
          <w:tcPr>
            <w:tcW w:w="993" w:type="dxa"/>
            <w:tcBorders>
              <w:top w:val="nil"/>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46,105</w:t>
            </w:r>
          </w:p>
        </w:tc>
        <w:tc>
          <w:tcPr>
            <w:tcW w:w="1275" w:type="dxa"/>
            <w:tcBorders>
              <w:top w:val="nil"/>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30,000</w:t>
            </w:r>
          </w:p>
        </w:tc>
        <w:tc>
          <w:tcPr>
            <w:tcW w:w="1276" w:type="dxa"/>
            <w:tcBorders>
              <w:top w:val="nil"/>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-1,105</w:t>
            </w: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b/>
                <w:lang w:eastAsia="en-AU"/>
              </w:rPr>
            </w:pPr>
            <w:r w:rsidRPr="00AE617E">
              <w:rPr>
                <w:b/>
                <w:lang w:eastAsia="en-AU"/>
              </w:rPr>
              <w:t>Total Administered Income</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15,000</w:t>
            </w:r>
          </w:p>
        </w:tc>
        <w:tc>
          <w:tcPr>
            <w:tcW w:w="1134"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45,000</w:t>
            </w:r>
          </w:p>
        </w:tc>
        <w:tc>
          <w:tcPr>
            <w:tcW w:w="993"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46,105</w:t>
            </w:r>
          </w:p>
        </w:tc>
        <w:tc>
          <w:tcPr>
            <w:tcW w:w="1275"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30,000</w:t>
            </w:r>
          </w:p>
        </w:tc>
        <w:tc>
          <w:tcPr>
            <w:tcW w:w="1276"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-1,105</w:t>
            </w: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lang w:eastAsia="en-AU"/>
              </w:rPr>
            </w:pP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single" w:sz="4" w:space="0" w:color="auto"/>
              <w:left w:val="nil"/>
              <w:bottom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1134" w:type="dxa"/>
            <w:tcBorders>
              <w:top w:val="single" w:sz="4" w:space="0" w:color="auto"/>
              <w:left w:val="nil"/>
              <w:bottom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993" w:type="dxa"/>
            <w:tcBorders>
              <w:top w:val="single" w:sz="4" w:space="0" w:color="auto"/>
              <w:left w:val="nil"/>
              <w:bottom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1275" w:type="dxa"/>
            <w:tcBorders>
              <w:top w:val="single" w:sz="4" w:space="0" w:color="auto"/>
              <w:left w:val="nil"/>
              <w:bottom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1276" w:type="dxa"/>
            <w:tcBorders>
              <w:top w:val="single" w:sz="4" w:space="0" w:color="auto"/>
              <w:left w:val="nil"/>
              <w:bottom w:val="nil"/>
              <w:right w:val="nil"/>
            </w:tcBorders>
            <w:shd w:val="clear" w:color="auto" w:fill="auto"/>
            <w:noWrap/>
            <w:vAlign w:val="bottom"/>
            <w:hideMark/>
          </w:tcPr>
          <w:p w:rsidR="00AE617E" w:rsidRPr="00AE617E" w:rsidRDefault="00AE617E" w:rsidP="00D76FD7">
            <w:pPr>
              <w:spacing w:after="0"/>
              <w:jc w:val="right"/>
              <w:rPr>
                <w:lang w:eastAsia="en-AU"/>
              </w:rPr>
            </w:pP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lang w:eastAsia="en-AU"/>
              </w:rPr>
            </w:pPr>
            <w:r w:rsidRPr="00AE617E">
              <w:rPr>
                <w:lang w:eastAsia="en-AU"/>
              </w:rPr>
              <w:t>Expenses</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nil"/>
              <w:left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1134" w:type="dxa"/>
            <w:tcBorders>
              <w:top w:val="nil"/>
              <w:left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993" w:type="dxa"/>
            <w:tcBorders>
              <w:top w:val="nil"/>
              <w:left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1275" w:type="dxa"/>
            <w:tcBorders>
              <w:top w:val="nil"/>
              <w:left w:val="nil"/>
              <w:right w:val="nil"/>
            </w:tcBorders>
            <w:shd w:val="clear" w:color="auto" w:fill="auto"/>
            <w:noWrap/>
            <w:vAlign w:val="bottom"/>
            <w:hideMark/>
          </w:tcPr>
          <w:p w:rsidR="00AE617E" w:rsidRPr="00AE617E" w:rsidRDefault="00AE617E" w:rsidP="00D76FD7">
            <w:pPr>
              <w:spacing w:after="0"/>
              <w:jc w:val="right"/>
              <w:rPr>
                <w:lang w:eastAsia="en-AU"/>
              </w:rPr>
            </w:pPr>
          </w:p>
        </w:tc>
        <w:tc>
          <w:tcPr>
            <w:tcW w:w="1276" w:type="dxa"/>
            <w:tcBorders>
              <w:top w:val="nil"/>
              <w:left w:val="nil"/>
              <w:right w:val="nil"/>
            </w:tcBorders>
            <w:shd w:val="clear" w:color="auto" w:fill="auto"/>
            <w:noWrap/>
            <w:vAlign w:val="bottom"/>
            <w:hideMark/>
          </w:tcPr>
          <w:p w:rsidR="00AE617E" w:rsidRPr="00AE617E" w:rsidRDefault="00AE617E" w:rsidP="00D76FD7">
            <w:pPr>
              <w:spacing w:after="0"/>
              <w:jc w:val="right"/>
              <w:rPr>
                <w:lang w:eastAsia="en-AU"/>
              </w:rPr>
            </w:pP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lang w:eastAsia="en-AU"/>
              </w:rPr>
            </w:pPr>
            <w:r w:rsidRPr="00AE617E">
              <w:rPr>
                <w:lang w:eastAsia="en-AU"/>
              </w:rPr>
              <w:t>Grants and subsidies</w:t>
            </w:r>
            <w:r w:rsidRPr="00D76FD7">
              <w:rPr>
                <w:vertAlign w:val="superscript"/>
                <w:lang w:eastAsia="en-AU"/>
              </w:rPr>
              <w:t>(a)</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r w:rsidRPr="00AE617E">
              <w:rPr>
                <w:lang w:eastAsia="en-AU"/>
              </w:rPr>
              <w:t>2, A</w:t>
            </w:r>
          </w:p>
        </w:tc>
        <w:tc>
          <w:tcPr>
            <w:tcW w:w="1134" w:type="dxa"/>
            <w:tcBorders>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15,000</w:t>
            </w:r>
          </w:p>
        </w:tc>
        <w:tc>
          <w:tcPr>
            <w:tcW w:w="1134" w:type="dxa"/>
            <w:tcBorders>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59,981</w:t>
            </w:r>
          </w:p>
        </w:tc>
        <w:tc>
          <w:tcPr>
            <w:tcW w:w="993" w:type="dxa"/>
            <w:tcBorders>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45,941</w:t>
            </w:r>
          </w:p>
        </w:tc>
        <w:tc>
          <w:tcPr>
            <w:tcW w:w="1275" w:type="dxa"/>
            <w:tcBorders>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44,981</w:t>
            </w:r>
          </w:p>
        </w:tc>
        <w:tc>
          <w:tcPr>
            <w:tcW w:w="1276" w:type="dxa"/>
            <w:tcBorders>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14,040</w:t>
            </w: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b/>
                <w:lang w:eastAsia="en-AU"/>
              </w:rPr>
            </w:pPr>
            <w:r w:rsidRPr="00AE617E">
              <w:rPr>
                <w:b/>
                <w:lang w:eastAsia="en-AU"/>
              </w:rPr>
              <w:t>Total Administered Expenses</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15,000</w:t>
            </w:r>
          </w:p>
        </w:tc>
        <w:tc>
          <w:tcPr>
            <w:tcW w:w="1134"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59,981</w:t>
            </w:r>
          </w:p>
        </w:tc>
        <w:tc>
          <w:tcPr>
            <w:tcW w:w="993"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45,941</w:t>
            </w:r>
          </w:p>
        </w:tc>
        <w:tc>
          <w:tcPr>
            <w:tcW w:w="1275"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44,981</w:t>
            </w:r>
          </w:p>
        </w:tc>
        <w:tc>
          <w:tcPr>
            <w:tcW w:w="1276" w:type="dxa"/>
            <w:tcBorders>
              <w:top w:val="single" w:sz="4" w:space="0" w:color="auto"/>
              <w:left w:val="nil"/>
              <w:bottom w:val="single" w:sz="4" w:space="0" w:color="auto"/>
              <w:right w:val="nil"/>
            </w:tcBorders>
            <w:shd w:val="clear" w:color="auto" w:fill="auto"/>
            <w:noWrap/>
            <w:vAlign w:val="center"/>
            <w:hideMark/>
          </w:tcPr>
          <w:p w:rsidR="00AE617E" w:rsidRPr="00AE617E" w:rsidRDefault="00AE617E" w:rsidP="00D76FD7">
            <w:pPr>
              <w:spacing w:after="0"/>
              <w:jc w:val="right"/>
              <w:rPr>
                <w:lang w:eastAsia="en-AU"/>
              </w:rPr>
            </w:pPr>
            <w:r w:rsidRPr="00AE617E">
              <w:rPr>
                <w:lang w:eastAsia="en-AU"/>
              </w:rPr>
              <w:t>14,040</w:t>
            </w: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b/>
                <w:lang w:eastAsia="en-AU"/>
              </w:rPr>
            </w:pPr>
            <w:r w:rsidRPr="00AE617E">
              <w:rPr>
                <w:b/>
                <w:lang w:eastAsia="en-AU"/>
              </w:rPr>
              <w:t>NET INCOME FROM</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p>
        </w:tc>
        <w:tc>
          <w:tcPr>
            <w:tcW w:w="993"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p>
        </w:tc>
        <w:tc>
          <w:tcPr>
            <w:tcW w:w="1275"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p>
        </w:tc>
        <w:tc>
          <w:tcPr>
            <w:tcW w:w="1276"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p>
        </w:tc>
      </w:tr>
      <w:tr w:rsidR="00AE617E" w:rsidRPr="00AE617E" w:rsidTr="00D76FD7">
        <w:trPr>
          <w:trHeight w:val="285"/>
        </w:trPr>
        <w:tc>
          <w:tcPr>
            <w:tcW w:w="3545" w:type="dxa"/>
            <w:tcBorders>
              <w:top w:val="nil"/>
              <w:left w:val="nil"/>
              <w:bottom w:val="nil"/>
              <w:right w:val="nil"/>
            </w:tcBorders>
            <w:shd w:val="clear" w:color="auto" w:fill="auto"/>
            <w:vAlign w:val="bottom"/>
            <w:hideMark/>
          </w:tcPr>
          <w:p w:rsidR="00AE617E" w:rsidRPr="00AE617E" w:rsidRDefault="00AE617E" w:rsidP="00AE617E">
            <w:pPr>
              <w:spacing w:after="0"/>
              <w:rPr>
                <w:b/>
                <w:lang w:eastAsia="en-AU"/>
              </w:rPr>
            </w:pPr>
            <w:r w:rsidRPr="00AE617E">
              <w:rPr>
                <w:b/>
                <w:lang w:eastAsia="en-AU"/>
              </w:rPr>
              <w:t>ADMINISTERED ITEMS</w:t>
            </w:r>
          </w:p>
        </w:tc>
        <w:tc>
          <w:tcPr>
            <w:tcW w:w="1275" w:type="dxa"/>
            <w:tcBorders>
              <w:top w:val="nil"/>
              <w:left w:val="nil"/>
              <w:bottom w:val="nil"/>
              <w:right w:val="nil"/>
            </w:tcBorders>
            <w:shd w:val="clear" w:color="auto" w:fill="auto"/>
            <w:noWrap/>
            <w:vAlign w:val="bottom"/>
            <w:hideMark/>
          </w:tcPr>
          <w:p w:rsidR="00AE617E" w:rsidRPr="00AE617E" w:rsidRDefault="00AE617E" w:rsidP="00D76FD7">
            <w:pPr>
              <w:spacing w:after="0"/>
              <w:jc w:val="center"/>
              <w:rPr>
                <w:lang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w:t>
            </w:r>
          </w:p>
        </w:tc>
        <w:tc>
          <w:tcPr>
            <w:tcW w:w="1134"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-14,981</w:t>
            </w:r>
          </w:p>
        </w:tc>
        <w:tc>
          <w:tcPr>
            <w:tcW w:w="993"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164</w:t>
            </w:r>
          </w:p>
        </w:tc>
        <w:tc>
          <w:tcPr>
            <w:tcW w:w="1275"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-14,981</w:t>
            </w:r>
          </w:p>
        </w:tc>
        <w:tc>
          <w:tcPr>
            <w:tcW w:w="1276" w:type="dxa"/>
            <w:tcBorders>
              <w:top w:val="single" w:sz="4" w:space="0" w:color="auto"/>
              <w:left w:val="nil"/>
              <w:bottom w:val="single" w:sz="4" w:space="0" w:color="auto"/>
              <w:right w:val="nil"/>
            </w:tcBorders>
            <w:shd w:val="clear" w:color="auto" w:fill="auto"/>
            <w:noWrap/>
            <w:vAlign w:val="bottom"/>
            <w:hideMark/>
          </w:tcPr>
          <w:p w:rsidR="00AE617E" w:rsidRPr="00AE617E" w:rsidRDefault="00AE617E" w:rsidP="00D76FD7">
            <w:pPr>
              <w:spacing w:after="0"/>
              <w:jc w:val="right"/>
              <w:rPr>
                <w:lang w:eastAsia="en-AU"/>
              </w:rPr>
            </w:pPr>
            <w:r w:rsidRPr="00AE617E">
              <w:rPr>
                <w:lang w:eastAsia="en-AU"/>
              </w:rPr>
              <w:t>-15,145</w:t>
            </w:r>
          </w:p>
        </w:tc>
      </w:tr>
    </w:tbl>
    <w:p w:rsidR="00AE617E" w:rsidRDefault="00AE617E" w:rsidP="00D76FD7">
      <w:pPr>
        <w:rPr>
          <w:lang w:eastAsia="en-AU"/>
        </w:rPr>
      </w:pPr>
    </w:p>
    <w:tbl>
      <w:tblPr>
        <w:tblW w:w="10366" w:type="dxa"/>
        <w:tblInd w:w="8" w:type="dxa"/>
        <w:tblLayout w:type="fixed"/>
        <w:tblCellMar>
          <w:left w:w="0" w:type="dxa"/>
          <w:right w:w="0" w:type="dxa"/>
        </w:tblCellMar>
        <w:tblLook w:val="0000" w:firstRow="0" w:lastRow="0" w:firstColumn="0" w:lastColumn="0" w:noHBand="0" w:noVBand="0"/>
      </w:tblPr>
      <w:tblGrid>
        <w:gridCol w:w="370"/>
        <w:gridCol w:w="9996"/>
      </w:tblGrid>
      <w:tr w:rsidR="00D76FD7" w:rsidRPr="00FC4E35" w:rsidTr="00D76FD7">
        <w:trPr>
          <w:trHeight w:val="419"/>
        </w:trPr>
        <w:tc>
          <w:tcPr>
            <w:tcW w:w="370" w:type="dxa"/>
            <w:tcMar>
              <w:top w:w="85" w:type="dxa"/>
              <w:left w:w="0" w:type="dxa"/>
              <w:bottom w:w="85" w:type="dxa"/>
              <w:right w:w="0" w:type="dxa"/>
            </w:tcMar>
          </w:tcPr>
          <w:p w:rsidR="00D76FD7" w:rsidRPr="00FC4E35" w:rsidRDefault="00D76FD7" w:rsidP="00D76FD7">
            <w:pPr>
              <w:spacing w:after="0"/>
              <w:rPr>
                <w:lang w:val="en-US"/>
              </w:rPr>
            </w:pPr>
            <w:r w:rsidRPr="00FC4E35">
              <w:rPr>
                <w:lang w:val="en-US"/>
              </w:rPr>
              <w:t>(a)</w:t>
            </w:r>
          </w:p>
        </w:tc>
        <w:tc>
          <w:tcPr>
            <w:tcW w:w="9996" w:type="dxa"/>
            <w:tcMar>
              <w:top w:w="85" w:type="dxa"/>
              <w:left w:w="80" w:type="dxa"/>
              <w:bottom w:w="85" w:type="dxa"/>
              <w:right w:w="80" w:type="dxa"/>
            </w:tcMar>
          </w:tcPr>
          <w:p w:rsidR="00D76FD7" w:rsidRPr="00FC4E35" w:rsidRDefault="00D76FD7" w:rsidP="00D76FD7">
            <w:pPr>
              <w:spacing w:after="0"/>
              <w:rPr>
                <w:lang w:val="en-US"/>
              </w:rPr>
            </w:pPr>
            <w:r w:rsidRPr="009A0B1C">
              <w:t>The Grants and Subsidies have been restated for the year 2014.  It excludes $5.3 million of overpayment made in prior year reported under Grants and Subsidies.</w:t>
            </w:r>
          </w:p>
        </w:tc>
      </w:tr>
    </w:tbl>
    <w:p w:rsidR="009A0B1C" w:rsidRDefault="009A0B1C" w:rsidP="00D76FD7"/>
    <w:p w:rsidR="009A0B1C" w:rsidRPr="009A0B1C" w:rsidRDefault="009A0B1C" w:rsidP="00D76FD7">
      <w:pPr>
        <w:pStyle w:val="Heading7"/>
      </w:pPr>
      <w:r w:rsidRPr="009A0B1C">
        <w:t>Major Variance Narratives (Administered Items)</w:t>
      </w:r>
    </w:p>
    <w:p w:rsidR="009A0B1C" w:rsidRPr="009A0B1C" w:rsidRDefault="009A0B1C" w:rsidP="00D76FD7">
      <w:pPr>
        <w:pStyle w:val="Heading8"/>
      </w:pPr>
      <w:r w:rsidRPr="009A0B1C">
        <w:t>Variances between estimate and actual</w:t>
      </w:r>
    </w:p>
    <w:p w:rsidR="009A0B1C" w:rsidRDefault="009A0B1C" w:rsidP="00AE75A9">
      <w:pPr>
        <w:pStyle w:val="ListParagraph"/>
        <w:numPr>
          <w:ilvl w:val="0"/>
          <w:numId w:val="93"/>
        </w:numPr>
      </w:pPr>
      <w:r>
        <w:t>The increase in Administered Appropriation of $30.0 million (300%) is due to supplementation funding to top up base finding of $15 million, for natural disaster events that occur during the year.</w:t>
      </w:r>
    </w:p>
    <w:p w:rsidR="009A0B1C" w:rsidRDefault="009A0B1C" w:rsidP="00AE75A9">
      <w:pPr>
        <w:pStyle w:val="ListParagraph"/>
        <w:numPr>
          <w:ilvl w:val="0"/>
          <w:numId w:val="93"/>
        </w:numPr>
      </w:pPr>
      <w:r>
        <w:t>The increase in Administered Grants of $44.98 million (299.87%) is mainly due to additional claims for the restoration of public infrastructure as a result of natural disaster events.</w:t>
      </w:r>
    </w:p>
    <w:p w:rsidR="009A0B1C" w:rsidRPr="009A0B1C" w:rsidRDefault="009A0B1C" w:rsidP="00D76FD7">
      <w:pPr>
        <w:pStyle w:val="Heading8"/>
      </w:pPr>
      <w:r w:rsidRPr="009A0B1C">
        <w:t>Variances between actual results for 2015 and 2014</w:t>
      </w:r>
    </w:p>
    <w:p w:rsidR="00D76FD7" w:rsidRDefault="009A0B1C" w:rsidP="00AE75A9">
      <w:pPr>
        <w:pStyle w:val="ListParagraph"/>
        <w:numPr>
          <w:ilvl w:val="0"/>
          <w:numId w:val="94"/>
        </w:numPr>
      </w:pPr>
      <w:r>
        <w:t>The increase in Administered Grants of $19.35 million (47.62%) is mainly due to additional claims for the restoration of public infrastructure as a result of natural disaster events.</w:t>
      </w:r>
    </w:p>
    <w:p w:rsidR="009A36D1" w:rsidRDefault="009A36D1">
      <w:pPr>
        <w:spacing w:line="276" w:lineRule="auto"/>
      </w:pPr>
      <w:r>
        <w:br w:type="page"/>
      </w:r>
    </w:p>
    <w:p w:rsidR="009A0B1C" w:rsidRDefault="009A0B1C" w:rsidP="00AE75A9">
      <w:pPr>
        <w:pStyle w:val="Heading4"/>
        <w:numPr>
          <w:ilvl w:val="0"/>
          <w:numId w:val="76"/>
        </w:numPr>
      </w:pPr>
      <w:r w:rsidRPr="009A0B1C">
        <w:t>Joint operations</w:t>
      </w:r>
    </w:p>
    <w:tbl>
      <w:tblPr>
        <w:tblW w:w="10221" w:type="dxa"/>
        <w:tblInd w:w="93" w:type="dxa"/>
        <w:tblLook w:val="04A0" w:firstRow="1" w:lastRow="0" w:firstColumn="1" w:lastColumn="0" w:noHBand="0" w:noVBand="1"/>
      </w:tblPr>
      <w:tblGrid>
        <w:gridCol w:w="8237"/>
        <w:gridCol w:w="1034"/>
        <w:gridCol w:w="950"/>
      </w:tblGrid>
      <w:tr w:rsidR="00D76FD7" w:rsidRPr="00D76FD7" w:rsidTr="00AE75A9">
        <w:trPr>
          <w:trHeight w:val="455"/>
        </w:trPr>
        <w:tc>
          <w:tcPr>
            <w:tcW w:w="8237" w:type="dxa"/>
            <w:tcBorders>
              <w:top w:val="nil"/>
              <w:left w:val="nil"/>
              <w:bottom w:val="nil"/>
              <w:right w:val="nil"/>
            </w:tcBorders>
            <w:shd w:val="clear" w:color="auto" w:fill="auto"/>
            <w:vAlign w:val="bottom"/>
            <w:hideMark/>
          </w:tcPr>
          <w:p w:rsidR="00D76FD7" w:rsidRPr="00AE75A9" w:rsidRDefault="00D76FD7" w:rsidP="00AE75A9">
            <w:pPr>
              <w:spacing w:after="0"/>
              <w:rPr>
                <w:u w:val="single"/>
                <w:lang w:eastAsia="en-AU"/>
              </w:rPr>
            </w:pPr>
            <w:r w:rsidRPr="00AE75A9">
              <w:rPr>
                <w:u w:val="single"/>
                <w:lang w:eastAsia="en-AU"/>
              </w:rPr>
              <w:t>Name of operation:</w:t>
            </w:r>
          </w:p>
        </w:tc>
        <w:tc>
          <w:tcPr>
            <w:tcW w:w="1984" w:type="dxa"/>
            <w:gridSpan w:val="2"/>
            <w:tcBorders>
              <w:top w:val="nil"/>
              <w:left w:val="nil"/>
              <w:bottom w:val="nil"/>
              <w:right w:val="nil"/>
            </w:tcBorders>
            <w:shd w:val="clear" w:color="auto" w:fill="auto"/>
            <w:noWrap/>
            <w:vAlign w:val="bottom"/>
            <w:hideMark/>
          </w:tcPr>
          <w:p w:rsidR="00D76FD7" w:rsidRPr="00D76FD7" w:rsidRDefault="00D76FD7" w:rsidP="00AE75A9">
            <w:pPr>
              <w:spacing w:after="0"/>
              <w:jc w:val="center"/>
              <w:rPr>
                <w:lang w:eastAsia="en-AU"/>
              </w:rPr>
            </w:pPr>
            <w:r w:rsidRPr="00D76FD7">
              <w:rPr>
                <w:lang w:eastAsia="en-AU"/>
              </w:rPr>
              <w:t>Output Interest</w:t>
            </w:r>
          </w:p>
        </w:tc>
      </w:tr>
      <w:tr w:rsidR="00D76FD7" w:rsidRPr="00D76FD7" w:rsidTr="00D76FD7">
        <w:trPr>
          <w:trHeight w:val="303"/>
        </w:trPr>
        <w:tc>
          <w:tcPr>
            <w:tcW w:w="8237" w:type="dxa"/>
            <w:tcBorders>
              <w:top w:val="nil"/>
              <w:left w:val="nil"/>
              <w:bottom w:val="nil"/>
              <w:right w:val="nil"/>
            </w:tcBorders>
            <w:shd w:val="clear" w:color="auto" w:fill="auto"/>
            <w:vAlign w:val="center"/>
            <w:hideMark/>
          </w:tcPr>
          <w:p w:rsidR="00D76FD7" w:rsidRPr="00D76FD7" w:rsidRDefault="00D76FD7" w:rsidP="00AE75A9">
            <w:pPr>
              <w:spacing w:after="0"/>
              <w:rPr>
                <w:lang w:eastAsia="en-AU"/>
              </w:rPr>
            </w:pPr>
            <w:r w:rsidRPr="00D76FD7">
              <w:rPr>
                <w:lang w:eastAsia="en-AU"/>
              </w:rPr>
              <w:t>The Western Australian Marine Science Institution (WAMSI)</w:t>
            </w:r>
          </w:p>
        </w:tc>
        <w:tc>
          <w:tcPr>
            <w:tcW w:w="1984" w:type="dxa"/>
            <w:gridSpan w:val="2"/>
            <w:tcBorders>
              <w:top w:val="nil"/>
              <w:left w:val="nil"/>
              <w:bottom w:val="nil"/>
              <w:right w:val="nil"/>
            </w:tcBorders>
            <w:shd w:val="clear" w:color="auto" w:fill="auto"/>
            <w:noWrap/>
            <w:vAlign w:val="center"/>
            <w:hideMark/>
          </w:tcPr>
          <w:p w:rsidR="00D76FD7" w:rsidRPr="00D76FD7" w:rsidRDefault="00D76FD7" w:rsidP="00AE75A9">
            <w:pPr>
              <w:spacing w:after="0"/>
              <w:jc w:val="center"/>
              <w:rPr>
                <w:lang w:eastAsia="en-AU"/>
              </w:rPr>
            </w:pPr>
            <w:r w:rsidRPr="00D76FD7">
              <w:rPr>
                <w:lang w:eastAsia="en-AU"/>
              </w:rPr>
              <w:t>11%</w:t>
            </w:r>
          </w:p>
        </w:tc>
      </w:tr>
      <w:tr w:rsidR="00D76FD7" w:rsidRPr="00D76FD7" w:rsidTr="00D76FD7">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p>
        </w:tc>
        <w:tc>
          <w:tcPr>
            <w:tcW w:w="1034" w:type="dxa"/>
            <w:tcBorders>
              <w:top w:val="nil"/>
              <w:left w:val="nil"/>
              <w:bottom w:val="nil"/>
              <w:right w:val="nil"/>
            </w:tcBorders>
            <w:shd w:val="clear" w:color="auto" w:fill="auto"/>
            <w:noWrap/>
            <w:vAlign w:val="bottom"/>
            <w:hideMark/>
          </w:tcPr>
          <w:p w:rsidR="00D76FD7" w:rsidRPr="00D76FD7" w:rsidRDefault="00D76FD7" w:rsidP="00AE75A9">
            <w:pPr>
              <w:spacing w:after="0"/>
              <w:rPr>
                <w:lang w:eastAsia="en-AU"/>
              </w:rPr>
            </w:pP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rPr>
                <w:lang w:eastAsia="en-AU"/>
              </w:rPr>
            </w:pP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AE75A9" w:rsidRDefault="00D76FD7" w:rsidP="00AE75A9">
            <w:pPr>
              <w:spacing w:after="0"/>
              <w:rPr>
                <w:u w:val="single"/>
                <w:lang w:eastAsia="en-AU"/>
              </w:rPr>
            </w:pPr>
            <w:r w:rsidRPr="00AE75A9">
              <w:rPr>
                <w:u w:val="single"/>
                <w:lang w:eastAsia="en-AU"/>
              </w:rPr>
              <w:t>Principal Activity:</w:t>
            </w:r>
          </w:p>
        </w:tc>
        <w:tc>
          <w:tcPr>
            <w:tcW w:w="1034" w:type="dxa"/>
            <w:tcBorders>
              <w:top w:val="nil"/>
              <w:left w:val="nil"/>
              <w:bottom w:val="nil"/>
              <w:right w:val="nil"/>
            </w:tcBorders>
            <w:shd w:val="clear" w:color="auto" w:fill="auto"/>
            <w:noWrap/>
            <w:vAlign w:val="bottom"/>
            <w:hideMark/>
          </w:tcPr>
          <w:p w:rsidR="00D76FD7" w:rsidRPr="00D76FD7" w:rsidRDefault="00D76FD7" w:rsidP="00AE75A9">
            <w:pPr>
              <w:spacing w:after="0"/>
              <w:rPr>
                <w:lang w:eastAsia="en-AU"/>
              </w:rPr>
            </w:pP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rPr>
                <w:lang w:eastAsia="en-AU"/>
              </w:rPr>
            </w:pPr>
          </w:p>
        </w:tc>
      </w:tr>
      <w:tr w:rsidR="00AE75A9" w:rsidRPr="00D76FD7" w:rsidTr="00D76FD7">
        <w:trPr>
          <w:trHeight w:val="982"/>
        </w:trPr>
        <w:tc>
          <w:tcPr>
            <w:tcW w:w="8237" w:type="dxa"/>
            <w:tcBorders>
              <w:top w:val="nil"/>
              <w:left w:val="nil"/>
              <w:bottom w:val="nil"/>
              <w:right w:val="nil"/>
            </w:tcBorders>
            <w:shd w:val="clear" w:color="auto" w:fill="auto"/>
            <w:vAlign w:val="center"/>
            <w:hideMark/>
          </w:tcPr>
          <w:p w:rsidR="00D76FD7" w:rsidRPr="00D76FD7" w:rsidRDefault="00D76FD7" w:rsidP="00AE75A9">
            <w:pPr>
              <w:spacing w:after="0"/>
              <w:rPr>
                <w:lang w:eastAsia="en-AU"/>
              </w:rPr>
            </w:pPr>
            <w:r w:rsidRPr="00D76FD7">
              <w:rPr>
                <w:lang w:eastAsia="en-AU"/>
              </w:rPr>
              <w:t>To establish Western Australia as a world-leading centre in marine science, education, innovation-based regional marine enterprise generation and knowledge-based marine resource management</w:t>
            </w:r>
          </w:p>
        </w:tc>
        <w:tc>
          <w:tcPr>
            <w:tcW w:w="1034" w:type="dxa"/>
            <w:tcBorders>
              <w:top w:val="nil"/>
              <w:left w:val="nil"/>
              <w:bottom w:val="nil"/>
              <w:right w:val="nil"/>
            </w:tcBorders>
            <w:shd w:val="clear" w:color="auto" w:fill="auto"/>
            <w:noWrap/>
            <w:vAlign w:val="center"/>
            <w:hideMark/>
          </w:tcPr>
          <w:p w:rsidR="00D76FD7" w:rsidRPr="00D76FD7" w:rsidRDefault="00D76FD7" w:rsidP="00AE75A9">
            <w:pPr>
              <w:spacing w:after="0"/>
              <w:rPr>
                <w:lang w:eastAsia="en-AU"/>
              </w:rPr>
            </w:pPr>
          </w:p>
        </w:tc>
        <w:tc>
          <w:tcPr>
            <w:tcW w:w="950" w:type="dxa"/>
            <w:tcBorders>
              <w:top w:val="nil"/>
              <w:left w:val="nil"/>
              <w:bottom w:val="nil"/>
              <w:right w:val="nil"/>
            </w:tcBorders>
            <w:shd w:val="clear" w:color="auto" w:fill="auto"/>
            <w:noWrap/>
            <w:vAlign w:val="center"/>
            <w:hideMark/>
          </w:tcPr>
          <w:p w:rsidR="00D76FD7" w:rsidRPr="00D76FD7" w:rsidRDefault="00D76FD7" w:rsidP="00AE75A9">
            <w:pPr>
              <w:spacing w:after="0"/>
              <w:rPr>
                <w:lang w:eastAsia="en-AU"/>
              </w:rPr>
            </w:pPr>
          </w:p>
        </w:tc>
      </w:tr>
      <w:tr w:rsidR="00AE75A9" w:rsidRPr="00D76FD7" w:rsidTr="00D76FD7">
        <w:trPr>
          <w:trHeight w:val="711"/>
        </w:trPr>
        <w:tc>
          <w:tcPr>
            <w:tcW w:w="8237" w:type="dxa"/>
            <w:tcBorders>
              <w:top w:val="nil"/>
              <w:left w:val="nil"/>
              <w:bottom w:val="nil"/>
              <w:right w:val="nil"/>
            </w:tcBorders>
            <w:shd w:val="clear" w:color="auto" w:fill="auto"/>
            <w:vAlign w:val="center"/>
            <w:hideMark/>
          </w:tcPr>
          <w:p w:rsidR="00D76FD7" w:rsidRPr="00D76FD7" w:rsidRDefault="00D76FD7" w:rsidP="00AE75A9">
            <w:pPr>
              <w:spacing w:after="0"/>
              <w:rPr>
                <w:lang w:eastAsia="en-AU"/>
              </w:rPr>
            </w:pPr>
            <w:r w:rsidRPr="00D76FD7">
              <w:rPr>
                <w:lang w:eastAsia="en-AU"/>
              </w:rPr>
              <w:t>The following amounts represent the Department’s assets employed in the above jointly controlled operations, which are included in the financial statements.</w:t>
            </w:r>
          </w:p>
        </w:tc>
        <w:tc>
          <w:tcPr>
            <w:tcW w:w="1034" w:type="dxa"/>
            <w:tcBorders>
              <w:top w:val="nil"/>
              <w:left w:val="nil"/>
              <w:bottom w:val="nil"/>
              <w:right w:val="nil"/>
            </w:tcBorders>
            <w:shd w:val="clear" w:color="auto" w:fill="auto"/>
            <w:noWrap/>
            <w:vAlign w:val="center"/>
            <w:hideMark/>
          </w:tcPr>
          <w:p w:rsidR="00D76FD7" w:rsidRPr="00D76FD7" w:rsidRDefault="00D76FD7" w:rsidP="00AE75A9">
            <w:pPr>
              <w:spacing w:after="0"/>
              <w:rPr>
                <w:lang w:eastAsia="en-AU"/>
              </w:rPr>
            </w:pPr>
          </w:p>
        </w:tc>
        <w:tc>
          <w:tcPr>
            <w:tcW w:w="950" w:type="dxa"/>
            <w:tcBorders>
              <w:top w:val="nil"/>
              <w:left w:val="nil"/>
              <w:bottom w:val="nil"/>
              <w:right w:val="nil"/>
            </w:tcBorders>
            <w:shd w:val="clear" w:color="auto" w:fill="auto"/>
            <w:noWrap/>
            <w:vAlign w:val="center"/>
            <w:hideMark/>
          </w:tcPr>
          <w:p w:rsidR="00D76FD7" w:rsidRPr="00D76FD7" w:rsidRDefault="00D76FD7" w:rsidP="00AE75A9">
            <w:pPr>
              <w:spacing w:after="0"/>
              <w:rPr>
                <w:lang w:eastAsia="en-AU"/>
              </w:rPr>
            </w:pPr>
          </w:p>
        </w:tc>
      </w:tr>
      <w:tr w:rsidR="00D76FD7" w:rsidRPr="00D76FD7" w:rsidTr="00D76FD7">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p>
        </w:tc>
        <w:tc>
          <w:tcPr>
            <w:tcW w:w="1034" w:type="dxa"/>
            <w:tcBorders>
              <w:top w:val="nil"/>
              <w:left w:val="nil"/>
              <w:bottom w:val="nil"/>
              <w:right w:val="nil"/>
            </w:tcBorders>
            <w:shd w:val="clear" w:color="auto" w:fill="auto"/>
            <w:noWrap/>
            <w:vAlign w:val="bottom"/>
            <w:hideMark/>
          </w:tcPr>
          <w:p w:rsidR="00D76FD7" w:rsidRPr="00D76FD7" w:rsidRDefault="00D76FD7" w:rsidP="00AE75A9">
            <w:pPr>
              <w:spacing w:after="0"/>
              <w:rPr>
                <w:lang w:eastAsia="en-AU"/>
              </w:rPr>
            </w:pP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rPr>
                <w:lang w:eastAsia="en-AU"/>
              </w:rPr>
            </w:pP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p>
        </w:tc>
        <w:tc>
          <w:tcPr>
            <w:tcW w:w="1034" w:type="dxa"/>
            <w:tcBorders>
              <w:top w:val="nil"/>
              <w:left w:val="nil"/>
              <w:bottom w:val="nil"/>
              <w:right w:val="nil"/>
            </w:tcBorders>
            <w:shd w:val="clear" w:color="auto" w:fill="F2F2F2" w:themeFill="background1" w:themeFillShade="F2"/>
            <w:noWrap/>
            <w:vAlign w:val="bottom"/>
            <w:hideMark/>
          </w:tcPr>
          <w:p w:rsidR="00D76FD7" w:rsidRPr="00AE75A9" w:rsidRDefault="00D76FD7" w:rsidP="00AE75A9">
            <w:pPr>
              <w:spacing w:after="0"/>
              <w:jc w:val="right"/>
              <w:rPr>
                <w:b/>
                <w:lang w:eastAsia="en-AU"/>
              </w:rPr>
            </w:pPr>
            <w:r w:rsidRPr="00AE75A9">
              <w:rPr>
                <w:b/>
                <w:lang w:eastAsia="en-AU"/>
              </w:rPr>
              <w:t>2015 $000</w:t>
            </w:r>
          </w:p>
        </w:tc>
        <w:tc>
          <w:tcPr>
            <w:tcW w:w="950" w:type="dxa"/>
            <w:tcBorders>
              <w:top w:val="nil"/>
              <w:left w:val="nil"/>
              <w:bottom w:val="nil"/>
              <w:right w:val="nil"/>
            </w:tcBorders>
            <w:shd w:val="clear" w:color="auto" w:fill="auto"/>
            <w:noWrap/>
            <w:vAlign w:val="bottom"/>
            <w:hideMark/>
          </w:tcPr>
          <w:p w:rsidR="00D76FD7" w:rsidRPr="00AE75A9" w:rsidRDefault="00D76FD7" w:rsidP="00AE75A9">
            <w:pPr>
              <w:spacing w:after="0"/>
              <w:jc w:val="right"/>
              <w:rPr>
                <w:b/>
                <w:lang w:eastAsia="en-AU"/>
              </w:rPr>
            </w:pPr>
            <w:r w:rsidRPr="00AE75A9">
              <w:rPr>
                <w:b/>
                <w:lang w:eastAsia="en-AU"/>
              </w:rPr>
              <w:t>2014 $000</w:t>
            </w: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AE75A9" w:rsidRDefault="00D76FD7" w:rsidP="00AE75A9">
            <w:pPr>
              <w:spacing w:after="0"/>
              <w:rPr>
                <w:b/>
                <w:lang w:eastAsia="en-AU"/>
              </w:rPr>
            </w:pPr>
            <w:r w:rsidRPr="00AE75A9">
              <w:rPr>
                <w:b/>
                <w:lang w:eastAsia="en-AU"/>
              </w:rPr>
              <w:t>Current Assets</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Other financial assets(a)</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r w:rsidRPr="00D76FD7">
              <w:rPr>
                <w:lang w:eastAsia="en-AU"/>
              </w:rPr>
              <w:t>124</w:t>
            </w: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r w:rsidRPr="00D76FD7">
              <w:rPr>
                <w:lang w:eastAsia="en-AU"/>
              </w:rPr>
              <w:t>114</w:t>
            </w:r>
          </w:p>
        </w:tc>
      </w:tr>
      <w:tr w:rsidR="00AE75A9" w:rsidRPr="00D76FD7" w:rsidTr="00AE75A9">
        <w:trPr>
          <w:trHeight w:val="34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During the reporting period the Department recognised a loss as follows:</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Loss on other financial assets</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r w:rsidRPr="00D76FD7">
              <w:rPr>
                <w:lang w:eastAsia="en-AU"/>
              </w:rPr>
              <w:t>1,990</w:t>
            </w: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r w:rsidRPr="00D76FD7">
              <w:rPr>
                <w:lang w:eastAsia="en-AU"/>
              </w:rPr>
              <w:t>886</w:t>
            </w: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(a) Net investment in Joint Venture</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Opening Balance</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r w:rsidRPr="00D76FD7">
              <w:rPr>
                <w:lang w:eastAsia="en-AU"/>
              </w:rPr>
              <w:t>114</w:t>
            </w: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r w:rsidRPr="00D76FD7">
              <w:rPr>
                <w:lang w:eastAsia="en-AU"/>
              </w:rPr>
              <w:t>-</w:t>
            </w: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Investment in Joint Venture</w:t>
            </w:r>
          </w:p>
        </w:tc>
        <w:tc>
          <w:tcPr>
            <w:tcW w:w="1034" w:type="dxa"/>
            <w:tcBorders>
              <w:top w:val="nil"/>
              <w:left w:val="nil"/>
              <w:bottom w:val="nil"/>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r w:rsidRPr="00D76FD7">
              <w:rPr>
                <w:lang w:eastAsia="en-AU"/>
              </w:rPr>
              <w:t>2,000</w:t>
            </w:r>
          </w:p>
        </w:tc>
        <w:tc>
          <w:tcPr>
            <w:tcW w:w="950" w:type="dxa"/>
            <w:tcBorders>
              <w:top w:val="nil"/>
              <w:left w:val="nil"/>
              <w:bottom w:val="nil"/>
              <w:right w:val="nil"/>
            </w:tcBorders>
            <w:shd w:val="clear" w:color="auto" w:fill="auto"/>
            <w:noWrap/>
            <w:vAlign w:val="bottom"/>
            <w:hideMark/>
          </w:tcPr>
          <w:p w:rsidR="00D76FD7" w:rsidRPr="00D76FD7" w:rsidRDefault="00D76FD7" w:rsidP="00AE75A9">
            <w:pPr>
              <w:spacing w:after="0"/>
              <w:jc w:val="right"/>
              <w:rPr>
                <w:lang w:eastAsia="en-AU"/>
              </w:rPr>
            </w:pPr>
            <w:r w:rsidRPr="00D76FD7">
              <w:rPr>
                <w:lang w:eastAsia="en-AU"/>
              </w:rPr>
              <w:t>1,000</w:t>
            </w: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Loss on Joint Venture</w:t>
            </w:r>
          </w:p>
        </w:tc>
        <w:tc>
          <w:tcPr>
            <w:tcW w:w="1034" w:type="dxa"/>
            <w:tcBorders>
              <w:top w:val="nil"/>
              <w:left w:val="nil"/>
              <w:bottom w:val="single" w:sz="4" w:space="0" w:color="auto"/>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r w:rsidRPr="00D76FD7">
              <w:rPr>
                <w:lang w:eastAsia="en-AU"/>
              </w:rPr>
              <w:t>-1,990</w:t>
            </w:r>
          </w:p>
        </w:tc>
        <w:tc>
          <w:tcPr>
            <w:tcW w:w="950" w:type="dxa"/>
            <w:tcBorders>
              <w:top w:val="nil"/>
              <w:left w:val="nil"/>
              <w:bottom w:val="single" w:sz="4" w:space="0" w:color="auto"/>
              <w:right w:val="nil"/>
            </w:tcBorders>
            <w:shd w:val="clear" w:color="auto" w:fill="auto"/>
            <w:noWrap/>
            <w:vAlign w:val="bottom"/>
            <w:hideMark/>
          </w:tcPr>
          <w:p w:rsidR="00D76FD7" w:rsidRPr="00D76FD7" w:rsidRDefault="00D76FD7" w:rsidP="00AE75A9">
            <w:pPr>
              <w:spacing w:after="0"/>
              <w:jc w:val="right"/>
              <w:rPr>
                <w:lang w:eastAsia="en-AU"/>
              </w:rPr>
            </w:pPr>
            <w:r w:rsidRPr="00D76FD7">
              <w:rPr>
                <w:lang w:eastAsia="en-AU"/>
              </w:rPr>
              <w:t>-886</w:t>
            </w:r>
          </w:p>
        </w:tc>
      </w:tr>
      <w:tr w:rsidR="00AE75A9" w:rsidRPr="00D76FD7" w:rsidTr="00AE75A9">
        <w:trPr>
          <w:trHeight w:val="285"/>
        </w:trPr>
        <w:tc>
          <w:tcPr>
            <w:tcW w:w="8237" w:type="dxa"/>
            <w:tcBorders>
              <w:top w:val="nil"/>
              <w:left w:val="nil"/>
              <w:bottom w:val="nil"/>
              <w:right w:val="nil"/>
            </w:tcBorders>
            <w:shd w:val="clear" w:color="auto" w:fill="auto"/>
            <w:vAlign w:val="bottom"/>
            <w:hideMark/>
          </w:tcPr>
          <w:p w:rsidR="00D76FD7" w:rsidRPr="00D76FD7" w:rsidRDefault="00D76FD7" w:rsidP="00AE75A9">
            <w:pPr>
              <w:spacing w:after="0"/>
              <w:rPr>
                <w:lang w:eastAsia="en-AU"/>
              </w:rPr>
            </w:pPr>
            <w:r w:rsidRPr="00D76FD7">
              <w:rPr>
                <w:lang w:eastAsia="en-AU"/>
              </w:rPr>
              <w:t>Net Investment</w:t>
            </w:r>
          </w:p>
        </w:tc>
        <w:tc>
          <w:tcPr>
            <w:tcW w:w="1034" w:type="dxa"/>
            <w:tcBorders>
              <w:top w:val="single" w:sz="4" w:space="0" w:color="auto"/>
              <w:left w:val="nil"/>
              <w:bottom w:val="single" w:sz="4" w:space="0" w:color="auto"/>
              <w:right w:val="nil"/>
            </w:tcBorders>
            <w:shd w:val="clear" w:color="auto" w:fill="F2F2F2" w:themeFill="background1" w:themeFillShade="F2"/>
            <w:noWrap/>
            <w:vAlign w:val="bottom"/>
            <w:hideMark/>
          </w:tcPr>
          <w:p w:rsidR="00D76FD7" w:rsidRPr="00D76FD7" w:rsidRDefault="00D76FD7" w:rsidP="00AE75A9">
            <w:pPr>
              <w:spacing w:after="0"/>
              <w:jc w:val="right"/>
              <w:rPr>
                <w:lang w:eastAsia="en-AU"/>
              </w:rPr>
            </w:pPr>
            <w:r w:rsidRPr="00D76FD7">
              <w:rPr>
                <w:lang w:eastAsia="en-AU"/>
              </w:rPr>
              <w:t>124</w:t>
            </w:r>
          </w:p>
        </w:tc>
        <w:tc>
          <w:tcPr>
            <w:tcW w:w="950" w:type="dxa"/>
            <w:tcBorders>
              <w:top w:val="single" w:sz="4" w:space="0" w:color="auto"/>
              <w:left w:val="nil"/>
              <w:bottom w:val="single" w:sz="4" w:space="0" w:color="auto"/>
              <w:right w:val="nil"/>
            </w:tcBorders>
            <w:shd w:val="clear" w:color="auto" w:fill="auto"/>
            <w:noWrap/>
            <w:vAlign w:val="bottom"/>
            <w:hideMark/>
          </w:tcPr>
          <w:p w:rsidR="00D76FD7" w:rsidRPr="00D76FD7" w:rsidRDefault="00D76FD7" w:rsidP="00AE75A9">
            <w:pPr>
              <w:spacing w:after="0"/>
              <w:jc w:val="right"/>
              <w:rPr>
                <w:lang w:eastAsia="en-AU"/>
              </w:rPr>
            </w:pPr>
            <w:r w:rsidRPr="00D76FD7">
              <w:rPr>
                <w:lang w:eastAsia="en-AU"/>
              </w:rPr>
              <w:t>114</w:t>
            </w:r>
          </w:p>
        </w:tc>
      </w:tr>
    </w:tbl>
    <w:p w:rsidR="00D76FD7" w:rsidRDefault="00D76FD7" w:rsidP="00AE75A9">
      <w:pPr>
        <w:rPr>
          <w:lang w:eastAsia="en-AU"/>
        </w:rPr>
      </w:pPr>
    </w:p>
    <w:p w:rsidR="009A36D1" w:rsidRDefault="009A36D1">
      <w:pPr>
        <w:spacing w:line="276" w:lineRule="auto"/>
        <w:rPr>
          <w:rStyle w:val="Heading2Char"/>
        </w:rPr>
      </w:pPr>
      <w:bookmarkStart w:id="486" w:name="_Toc425370402"/>
      <w:bookmarkStart w:id="487" w:name="_Toc425607428"/>
      <w:bookmarkStart w:id="488" w:name="_Toc426104631"/>
      <w:bookmarkStart w:id="489" w:name="_Toc426637608"/>
      <w:r>
        <w:rPr>
          <w:rStyle w:val="Heading2Char"/>
        </w:rPr>
        <w:br w:type="page"/>
      </w:r>
    </w:p>
    <w:p w:rsidR="00C66AB6" w:rsidRPr="004D666C" w:rsidRDefault="004D666C" w:rsidP="00AE75A9">
      <w:pPr>
        <w:pStyle w:val="Heading2"/>
      </w:pPr>
      <w:bookmarkStart w:id="490" w:name="_Toc430547910"/>
      <w:r w:rsidRPr="007A052B">
        <w:rPr>
          <w:rStyle w:val="Heading2Char"/>
        </w:rPr>
        <w:t>Audited Key Performance Indicator Information</w:t>
      </w:r>
      <w:bookmarkEnd w:id="486"/>
      <w:bookmarkEnd w:id="487"/>
      <w:bookmarkEnd w:id="488"/>
      <w:bookmarkEnd w:id="489"/>
      <w:bookmarkEnd w:id="490"/>
    </w:p>
    <w:p w:rsidR="00AE75A9" w:rsidRDefault="00AE75A9" w:rsidP="00AE75A9">
      <w:pPr>
        <w:rPr>
          <w:lang w:val="en-US"/>
        </w:rPr>
      </w:pPr>
    </w:p>
    <w:p w:rsidR="00AE75A9" w:rsidRPr="00AE75A9" w:rsidRDefault="00AE75A9" w:rsidP="009A36D1">
      <w:pPr>
        <w:pStyle w:val="Heading3"/>
        <w:rPr>
          <w:lang w:val="en-GB"/>
        </w:rPr>
      </w:pPr>
      <w:r w:rsidRPr="00AE75A9">
        <w:rPr>
          <w:lang w:val="en-GB"/>
        </w:rPr>
        <w:t>Certification of Key Performance Indicators</w:t>
      </w:r>
    </w:p>
    <w:p w:rsidR="00AE75A9" w:rsidRPr="009A36D1" w:rsidRDefault="00AE75A9" w:rsidP="00AE75A9">
      <w:pPr>
        <w:suppressAutoHyphens/>
        <w:autoSpaceDE w:val="0"/>
        <w:autoSpaceDN w:val="0"/>
        <w:adjustRightInd w:val="0"/>
        <w:spacing w:line="288" w:lineRule="auto"/>
        <w:textAlignment w:val="center"/>
        <w:rPr>
          <w:rFonts w:ascii="Arial" w:hAnsi="Arial" w:cs="Arial"/>
          <w:color w:val="193A67"/>
          <w:sz w:val="28"/>
          <w:szCs w:val="32"/>
          <w:lang w:val="en-US"/>
        </w:rPr>
      </w:pPr>
      <w:r w:rsidRPr="009A36D1">
        <w:rPr>
          <w:rFonts w:ascii="Arial" w:hAnsi="Arial" w:cs="Arial"/>
          <w:color w:val="193A67"/>
          <w:sz w:val="32"/>
          <w:szCs w:val="36"/>
          <w:lang w:val="en-US"/>
        </w:rPr>
        <w:t>Department of the Premier and Cabinet</w:t>
      </w:r>
      <w:r w:rsidRPr="009A36D1">
        <w:rPr>
          <w:rFonts w:ascii="Arial" w:hAnsi="Arial" w:cs="Arial"/>
          <w:color w:val="193A67"/>
          <w:sz w:val="32"/>
          <w:szCs w:val="36"/>
          <w:lang w:val="en-US"/>
        </w:rPr>
        <w:br/>
      </w:r>
      <w:r w:rsidRPr="009A36D1">
        <w:rPr>
          <w:rFonts w:ascii="Arial" w:hAnsi="Arial" w:cs="Arial"/>
          <w:color w:val="193A67"/>
          <w:sz w:val="28"/>
          <w:szCs w:val="32"/>
          <w:lang w:val="en-US"/>
        </w:rPr>
        <w:t>for the year ending 30 June 2015</w:t>
      </w:r>
    </w:p>
    <w:p w:rsidR="00AE75A9" w:rsidRDefault="00AE75A9" w:rsidP="00AE75A9"/>
    <w:p w:rsidR="00C66AB6" w:rsidRDefault="00A73C0A" w:rsidP="00AE75A9">
      <w:r>
        <w:t>I hereby certify that the performance indicators are based on proper records, are relevant and appropriate for assisting users to assess the Department of the Premier and Cabinet’s performance, and fairly represent the performance of the Department of the Premier and Cabinet for the financial year ended 30 June 2015.</w:t>
      </w:r>
    </w:p>
    <w:p w:rsidR="00C66AB6" w:rsidRDefault="00C66AB6" w:rsidP="00AE75A9"/>
    <w:p w:rsidR="00AE75A9" w:rsidRDefault="00AE75A9" w:rsidP="00AE75A9"/>
    <w:p w:rsidR="00AE75A9" w:rsidRDefault="00AE75A9" w:rsidP="00AE75A9"/>
    <w:p w:rsidR="00AE75A9" w:rsidRPr="00AE75A9" w:rsidRDefault="00AE75A9" w:rsidP="00AE75A9">
      <w:pPr>
        <w:rPr>
          <w:color w:val="000000"/>
          <w:lang w:val="en-US"/>
        </w:rPr>
      </w:pPr>
      <w:r w:rsidRPr="00AE75A9">
        <w:rPr>
          <w:color w:val="000000"/>
          <w:lang w:val="en-US"/>
        </w:rPr>
        <w:t>PETER CONRAN</w:t>
      </w:r>
      <w:r w:rsidRPr="00AE75A9">
        <w:rPr>
          <w:color w:val="000000"/>
          <w:lang w:val="en-US"/>
        </w:rPr>
        <w:br/>
      </w:r>
      <w:r w:rsidRPr="00AE75A9">
        <w:rPr>
          <w:b/>
          <w:bCs/>
          <w:color w:val="000000"/>
          <w:lang w:val="en-US"/>
        </w:rPr>
        <w:t>ACCOUNTABLE AUTHORITY</w:t>
      </w:r>
    </w:p>
    <w:p w:rsidR="00AE75A9" w:rsidRDefault="00AE75A9" w:rsidP="00AE75A9">
      <w:r w:rsidRPr="00AE75A9">
        <w:rPr>
          <w:color w:val="000000"/>
          <w:lang w:val="en-US"/>
        </w:rPr>
        <w:t>30 July 2015</w:t>
      </w:r>
      <w:bookmarkStart w:id="491" w:name="_Toc425370403"/>
      <w:bookmarkStart w:id="492" w:name="_Toc426104632"/>
      <w:bookmarkStart w:id="493" w:name="_Toc426397390"/>
      <w:bookmarkStart w:id="494" w:name="_Toc426637364"/>
      <w:bookmarkStart w:id="495" w:name="_Toc426637609"/>
    </w:p>
    <w:p w:rsidR="009A6187" w:rsidRDefault="009A6187">
      <w:pPr>
        <w:spacing w:line="276" w:lineRule="auto"/>
      </w:pPr>
      <w:r>
        <w:br w:type="page"/>
      </w:r>
    </w:p>
    <w:p w:rsidR="009A6187" w:rsidRPr="009A6187" w:rsidRDefault="009A6187" w:rsidP="009A6187">
      <w:pPr>
        <w:pStyle w:val="Heading3"/>
        <w:rPr>
          <w:color w:val="000000"/>
          <w:lang w:val="en-US"/>
        </w:rPr>
      </w:pPr>
      <w:r w:rsidRPr="009A6187">
        <w:rPr>
          <w:lang w:val="en-GB"/>
        </w:rPr>
        <w:t>Performance Indicators</w:t>
      </w:r>
    </w:p>
    <w:p w:rsidR="009A6187" w:rsidRPr="009A6187" w:rsidRDefault="009A6187" w:rsidP="009A6187">
      <w:pPr>
        <w:rPr>
          <w:color w:val="000000"/>
          <w:lang w:val="en-US"/>
        </w:rPr>
      </w:pPr>
      <w:r w:rsidRPr="009A6187">
        <w:rPr>
          <w:color w:val="000000"/>
          <w:lang w:val="en-US"/>
        </w:rPr>
        <w:t>The Department delivers services to achieve the following Government Goal, which is:</w:t>
      </w:r>
    </w:p>
    <w:p w:rsidR="009A6187" w:rsidRPr="009A6187" w:rsidRDefault="009A6187" w:rsidP="009A6187">
      <w:pPr>
        <w:pStyle w:val="ListParagraph"/>
        <w:numPr>
          <w:ilvl w:val="0"/>
          <w:numId w:val="95"/>
        </w:numPr>
        <w:rPr>
          <w:color w:val="000000"/>
          <w:lang w:val="en-US"/>
        </w:rPr>
      </w:pPr>
      <w:r w:rsidRPr="009A6187">
        <w:rPr>
          <w:color w:val="000000"/>
          <w:lang w:val="en-US"/>
        </w:rPr>
        <w:t>Results-based service delivery — Greater focus on achieving results in key service delivery areas for the benefit of all Western Australians.</w:t>
      </w:r>
      <w:r w:rsidRPr="009A6187">
        <w:rPr>
          <w:color w:val="000000"/>
          <w:lang w:val="en-US"/>
        </w:rPr>
        <w:br/>
      </w:r>
    </w:p>
    <w:p w:rsidR="009A6187" w:rsidRPr="009A6187" w:rsidRDefault="009A6187" w:rsidP="009A6187">
      <w:pPr>
        <w:rPr>
          <w:color w:val="000000"/>
          <w:lang w:val="en-US"/>
        </w:rPr>
      </w:pPr>
      <w:r w:rsidRPr="009A6187">
        <w:rPr>
          <w:color w:val="000000"/>
          <w:lang w:val="en-US"/>
        </w:rPr>
        <w:t>The Department’s Outcome Based Management (OBM) structure consists of two agency-level outcomes, and two agency-level services, which are:</w:t>
      </w:r>
    </w:p>
    <w:p w:rsidR="009A6187" w:rsidRPr="009A6187" w:rsidRDefault="009A6187" w:rsidP="009A6187">
      <w:pPr>
        <w:pStyle w:val="ListParagraph"/>
        <w:numPr>
          <w:ilvl w:val="0"/>
          <w:numId w:val="95"/>
        </w:numPr>
        <w:rPr>
          <w:color w:val="000000"/>
          <w:lang w:val="en-US"/>
        </w:rPr>
      </w:pPr>
      <w:r w:rsidRPr="009A6187">
        <w:rPr>
          <w:color w:val="000000"/>
          <w:lang w:val="en-US"/>
        </w:rPr>
        <w:t>Outcome 1:  Executive Government receives appropriate support.</w:t>
      </w:r>
    </w:p>
    <w:p w:rsidR="009A6187" w:rsidRPr="009A6187" w:rsidRDefault="009A6187" w:rsidP="009A6187">
      <w:pPr>
        <w:pStyle w:val="ListParagraph"/>
        <w:numPr>
          <w:ilvl w:val="0"/>
          <w:numId w:val="95"/>
        </w:numPr>
        <w:rPr>
          <w:color w:val="000000"/>
          <w:lang w:val="en-US"/>
        </w:rPr>
      </w:pPr>
      <w:r w:rsidRPr="009A6187">
        <w:rPr>
          <w:color w:val="000000"/>
          <w:lang w:val="en-US"/>
        </w:rPr>
        <w:t>Outcome 2:  The Premier and Ministers receive high quality, rigorous and timely policy advice.</w:t>
      </w:r>
    </w:p>
    <w:p w:rsidR="009A6187" w:rsidRPr="009A6187" w:rsidRDefault="009A6187" w:rsidP="009A6187">
      <w:pPr>
        <w:pStyle w:val="NoSpacing"/>
        <w:rPr>
          <w:lang w:val="en-US"/>
        </w:rPr>
      </w:pPr>
    </w:p>
    <w:p w:rsidR="009A6187" w:rsidRPr="009A6187" w:rsidRDefault="009A6187" w:rsidP="009A6187">
      <w:pPr>
        <w:pStyle w:val="ListParagraph"/>
        <w:numPr>
          <w:ilvl w:val="0"/>
          <w:numId w:val="95"/>
        </w:numPr>
        <w:rPr>
          <w:color w:val="000000"/>
          <w:lang w:val="en-US"/>
        </w:rPr>
      </w:pPr>
      <w:r w:rsidRPr="009A6187">
        <w:rPr>
          <w:color w:val="000000"/>
          <w:lang w:val="en-US"/>
        </w:rPr>
        <w:t>Service 1:  Administration of Executive Government services.</w:t>
      </w:r>
    </w:p>
    <w:p w:rsidR="009A6187" w:rsidRPr="009A6187" w:rsidRDefault="009A6187" w:rsidP="009A6187">
      <w:pPr>
        <w:pStyle w:val="ListParagraph"/>
        <w:numPr>
          <w:ilvl w:val="0"/>
          <w:numId w:val="95"/>
        </w:numPr>
        <w:rPr>
          <w:color w:val="000000"/>
          <w:lang w:val="en-US"/>
        </w:rPr>
      </w:pPr>
      <w:r w:rsidRPr="009A6187">
        <w:rPr>
          <w:color w:val="000000"/>
          <w:lang w:val="en-US"/>
        </w:rPr>
        <w:t>Service 2:  Government Policy Management.</w:t>
      </w:r>
    </w:p>
    <w:p w:rsidR="009A6187" w:rsidRPr="009A6187" w:rsidRDefault="009A6187" w:rsidP="009A6187">
      <w:pPr>
        <w:rPr>
          <w:color w:val="000000"/>
          <w:lang w:val="en-US"/>
        </w:rPr>
      </w:pPr>
    </w:p>
    <w:p w:rsidR="009A6187" w:rsidRPr="009A6187" w:rsidRDefault="009A6187" w:rsidP="009A6187">
      <w:pPr>
        <w:pStyle w:val="Heading3"/>
        <w:rPr>
          <w:color w:val="000000"/>
          <w:lang w:val="en-US"/>
        </w:rPr>
      </w:pPr>
      <w:r w:rsidRPr="009A6187">
        <w:rPr>
          <w:lang w:val="en-GB"/>
        </w:rPr>
        <w:t>Key Effectiveness Indicators</w:t>
      </w:r>
    </w:p>
    <w:p w:rsidR="009A6187" w:rsidRDefault="009A6187" w:rsidP="009A6187">
      <w:pPr>
        <w:rPr>
          <w:color w:val="000000"/>
          <w:lang w:val="en-US"/>
        </w:rPr>
      </w:pPr>
      <w:r w:rsidRPr="009A6187">
        <w:rPr>
          <w:color w:val="000000"/>
          <w:lang w:val="en-US"/>
        </w:rPr>
        <w:t>The key effectiveness indicators reported were chosen for their ability to enable assessment to be made of the extent to which the Department’s activities are achieving, or have made substantial progress towards achieving Outcome 1 and Outcome 2.  Results are following.  Further explanation is provided where there are significant variances between Actual and Target indicators.  Variances greater than 10% are considered significant.</w:t>
      </w:r>
    </w:p>
    <w:p w:rsidR="009A6187" w:rsidRDefault="009A6187" w:rsidP="009A6187">
      <w:pPr>
        <w:rPr>
          <w:color w:val="000000"/>
          <w:lang w:val="en-US"/>
        </w:rPr>
      </w:pPr>
    </w:p>
    <w:p w:rsidR="00681CE5" w:rsidRDefault="00681CE5">
      <w:pPr>
        <w:spacing w:line="276" w:lineRule="auto"/>
        <w:rPr>
          <w:rFonts w:ascii="Arial" w:eastAsia="Segoe UI" w:hAnsi="Arial" w:cs="Arial"/>
          <w:noProof/>
          <w:color w:val="003366"/>
          <w:kern w:val="24"/>
          <w:sz w:val="36"/>
          <w:szCs w:val="36"/>
          <w:lang w:val="en-US" w:eastAsia="en-AU"/>
        </w:rPr>
      </w:pPr>
      <w:r>
        <w:rPr>
          <w:lang w:val="en-US"/>
        </w:rPr>
        <w:br w:type="page"/>
      </w:r>
    </w:p>
    <w:p w:rsidR="009A6187" w:rsidRPr="009A6187" w:rsidRDefault="009A6187" w:rsidP="009A6187">
      <w:pPr>
        <w:pStyle w:val="Heading4"/>
        <w:rPr>
          <w:lang w:val="en-US"/>
        </w:rPr>
      </w:pPr>
      <w:r w:rsidRPr="009A6187">
        <w:rPr>
          <w:lang w:val="en-US"/>
        </w:rPr>
        <w:t>Outcome 1 - Executive government receives appropriate support</w:t>
      </w:r>
    </w:p>
    <w:tbl>
      <w:tblPr>
        <w:tblW w:w="0" w:type="auto"/>
        <w:tblInd w:w="8" w:type="dxa"/>
        <w:tblBorders>
          <w:bottom w:val="single" w:sz="2" w:space="0" w:color="808080" w:themeColor="background1" w:themeShade="80"/>
          <w:insideH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497"/>
        <w:gridCol w:w="5244"/>
        <w:gridCol w:w="1148"/>
        <w:gridCol w:w="1148"/>
        <w:gridCol w:w="1148"/>
        <w:gridCol w:w="1181"/>
      </w:tblGrid>
      <w:tr w:rsidR="009A6187" w:rsidRPr="009A6187" w:rsidTr="000115F1">
        <w:trPr>
          <w:trHeight w:val="793"/>
        </w:trPr>
        <w:tc>
          <w:tcPr>
            <w:tcW w:w="497" w:type="dxa"/>
            <w:tcMar>
              <w:top w:w="85" w:type="dxa"/>
              <w:left w:w="0" w:type="dxa"/>
              <w:bottom w:w="85" w:type="dxa"/>
              <w:right w:w="0" w:type="dxa"/>
            </w:tcMar>
            <w:vAlign w:val="bottom"/>
          </w:tcPr>
          <w:p w:rsidR="009A6187" w:rsidRPr="009A6187" w:rsidRDefault="009A6187" w:rsidP="009A6187">
            <w:pPr>
              <w:spacing w:after="0"/>
            </w:pPr>
          </w:p>
        </w:tc>
        <w:tc>
          <w:tcPr>
            <w:tcW w:w="5244" w:type="dxa"/>
            <w:tcMar>
              <w:top w:w="85" w:type="dxa"/>
              <w:left w:w="0" w:type="dxa"/>
              <w:bottom w:w="85" w:type="dxa"/>
              <w:right w:w="0" w:type="dxa"/>
            </w:tcMar>
            <w:vAlign w:val="bottom"/>
          </w:tcPr>
          <w:p w:rsidR="009A6187" w:rsidRPr="009A6187" w:rsidRDefault="009A6187" w:rsidP="009A6187">
            <w:pPr>
              <w:spacing w:after="0"/>
            </w:pPr>
          </w:p>
        </w:tc>
        <w:tc>
          <w:tcPr>
            <w:tcW w:w="1148" w:type="dxa"/>
            <w:tcMar>
              <w:top w:w="85" w:type="dxa"/>
              <w:left w:w="0" w:type="dxa"/>
              <w:bottom w:w="85" w:type="dxa"/>
              <w:right w:w="0" w:type="dxa"/>
            </w:tcMar>
            <w:vAlign w:val="center"/>
          </w:tcPr>
          <w:p w:rsidR="009A6187" w:rsidRPr="009A6187" w:rsidRDefault="009A6187" w:rsidP="009A6187">
            <w:pPr>
              <w:spacing w:after="0"/>
              <w:jc w:val="right"/>
              <w:rPr>
                <w:color w:val="000000"/>
                <w:lang w:val="en-US"/>
              </w:rPr>
            </w:pPr>
            <w:r w:rsidRPr="009A6187">
              <w:rPr>
                <w:b/>
                <w:bCs/>
                <w:color w:val="000000"/>
                <w:lang w:val="en-US"/>
              </w:rPr>
              <w:t>2012–13 Actual</w:t>
            </w:r>
          </w:p>
        </w:tc>
        <w:tc>
          <w:tcPr>
            <w:tcW w:w="1148" w:type="dxa"/>
            <w:tcMar>
              <w:top w:w="85" w:type="dxa"/>
              <w:left w:w="0" w:type="dxa"/>
              <w:bottom w:w="85" w:type="dxa"/>
              <w:right w:w="0" w:type="dxa"/>
            </w:tcMar>
            <w:vAlign w:val="center"/>
          </w:tcPr>
          <w:p w:rsidR="009A6187" w:rsidRPr="009A6187" w:rsidRDefault="009A6187" w:rsidP="009A6187">
            <w:pPr>
              <w:spacing w:after="0"/>
              <w:jc w:val="right"/>
              <w:rPr>
                <w:color w:val="000000"/>
                <w:lang w:val="en-US"/>
              </w:rPr>
            </w:pPr>
            <w:r w:rsidRPr="009A6187">
              <w:rPr>
                <w:b/>
                <w:bCs/>
                <w:color w:val="000000"/>
                <w:lang w:val="en-US"/>
              </w:rPr>
              <w:t>2013–14 Actual</w:t>
            </w:r>
          </w:p>
        </w:tc>
        <w:tc>
          <w:tcPr>
            <w:tcW w:w="1148" w:type="dxa"/>
            <w:shd w:val="clear" w:color="auto" w:fill="F2F2F2" w:themeFill="background1" w:themeFillShade="F2"/>
            <w:tcMar>
              <w:top w:w="85" w:type="dxa"/>
              <w:left w:w="0" w:type="dxa"/>
              <w:bottom w:w="85" w:type="dxa"/>
              <w:right w:w="0" w:type="dxa"/>
            </w:tcMar>
            <w:vAlign w:val="center"/>
          </w:tcPr>
          <w:p w:rsidR="009A6187" w:rsidRPr="009A6187" w:rsidRDefault="009A6187" w:rsidP="009A6187">
            <w:pPr>
              <w:spacing w:after="0"/>
              <w:jc w:val="right"/>
              <w:rPr>
                <w:color w:val="000000"/>
                <w:lang w:val="en-US"/>
              </w:rPr>
            </w:pPr>
            <w:r w:rsidRPr="009A6187">
              <w:rPr>
                <w:b/>
                <w:bCs/>
                <w:color w:val="000000"/>
                <w:lang w:val="en-US"/>
              </w:rPr>
              <w:t>2014–15 Actual</w:t>
            </w:r>
          </w:p>
        </w:tc>
        <w:tc>
          <w:tcPr>
            <w:tcW w:w="1181" w:type="dxa"/>
            <w:tcMar>
              <w:top w:w="85" w:type="dxa"/>
              <w:left w:w="80" w:type="dxa"/>
              <w:bottom w:w="85" w:type="dxa"/>
              <w:right w:w="80" w:type="dxa"/>
            </w:tcMar>
            <w:vAlign w:val="center"/>
          </w:tcPr>
          <w:p w:rsidR="009A6187" w:rsidRPr="009A6187" w:rsidRDefault="009A6187" w:rsidP="009A6187">
            <w:pPr>
              <w:spacing w:after="0"/>
              <w:jc w:val="right"/>
              <w:rPr>
                <w:color w:val="000000"/>
                <w:lang w:val="en-US"/>
              </w:rPr>
            </w:pPr>
            <w:r w:rsidRPr="009A6187">
              <w:rPr>
                <w:b/>
                <w:bCs/>
                <w:color w:val="000000"/>
                <w:lang w:val="en-US"/>
              </w:rPr>
              <w:t>2014–15 Target</w:t>
            </w:r>
          </w:p>
        </w:tc>
      </w:tr>
      <w:tr w:rsidR="009A6187" w:rsidRPr="009A6187" w:rsidTr="000115F1">
        <w:trPr>
          <w:trHeight w:val="506"/>
        </w:trPr>
        <w:tc>
          <w:tcPr>
            <w:tcW w:w="497" w:type="dxa"/>
            <w:tcMar>
              <w:top w:w="85" w:type="dxa"/>
              <w:left w:w="0" w:type="dxa"/>
              <w:bottom w:w="85" w:type="dxa"/>
              <w:right w:w="0" w:type="dxa"/>
            </w:tcMar>
          </w:tcPr>
          <w:p w:rsidR="009A6187" w:rsidRPr="009A6187" w:rsidRDefault="009A6187" w:rsidP="009A6187">
            <w:pPr>
              <w:spacing w:after="0"/>
              <w:rPr>
                <w:color w:val="000000"/>
                <w:lang w:val="en-US"/>
              </w:rPr>
            </w:pPr>
            <w:r w:rsidRPr="009A6187">
              <w:rPr>
                <w:color w:val="000000"/>
                <w:lang w:val="en-US"/>
              </w:rPr>
              <w:t>1.1</w:t>
            </w:r>
          </w:p>
        </w:tc>
        <w:tc>
          <w:tcPr>
            <w:tcW w:w="5244" w:type="dxa"/>
            <w:tcMar>
              <w:top w:w="85" w:type="dxa"/>
              <w:left w:w="0" w:type="dxa"/>
              <w:bottom w:w="85" w:type="dxa"/>
              <w:right w:w="0" w:type="dxa"/>
            </w:tcMar>
          </w:tcPr>
          <w:p w:rsidR="009A6187" w:rsidRPr="009A6187" w:rsidRDefault="009A6187" w:rsidP="009A6187">
            <w:pPr>
              <w:spacing w:after="0"/>
              <w:rPr>
                <w:color w:val="000000"/>
                <w:lang w:val="en-US"/>
              </w:rPr>
            </w:pPr>
            <w:r w:rsidRPr="009A6187">
              <w:rPr>
                <w:color w:val="000000"/>
                <w:lang w:val="en-US"/>
              </w:rPr>
              <w:t>Targets for support services are met or exceeded</w:t>
            </w:r>
          </w:p>
        </w:tc>
        <w:tc>
          <w:tcPr>
            <w:tcW w:w="1148" w:type="dxa"/>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96%</w:t>
            </w:r>
          </w:p>
        </w:tc>
        <w:tc>
          <w:tcPr>
            <w:tcW w:w="1148" w:type="dxa"/>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97%</w:t>
            </w:r>
          </w:p>
        </w:tc>
        <w:tc>
          <w:tcPr>
            <w:tcW w:w="1148" w:type="dxa"/>
            <w:shd w:val="clear" w:color="auto" w:fill="F2F2F2" w:themeFill="background1" w:themeFillShade="F2"/>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99%</w:t>
            </w:r>
          </w:p>
        </w:tc>
        <w:tc>
          <w:tcPr>
            <w:tcW w:w="1181" w:type="dxa"/>
            <w:tcMar>
              <w:top w:w="85" w:type="dxa"/>
              <w:left w:w="80" w:type="dxa"/>
              <w:bottom w:w="85" w:type="dxa"/>
              <w:right w:w="80" w:type="dxa"/>
            </w:tcMar>
          </w:tcPr>
          <w:p w:rsidR="009A6187" w:rsidRPr="009A6187" w:rsidRDefault="009A6187" w:rsidP="009A6187">
            <w:pPr>
              <w:spacing w:after="0"/>
              <w:jc w:val="right"/>
              <w:rPr>
                <w:color w:val="000000"/>
                <w:lang w:val="en-US"/>
              </w:rPr>
            </w:pPr>
            <w:r w:rsidRPr="009A6187">
              <w:rPr>
                <w:color w:val="000000"/>
                <w:lang w:val="en-US"/>
              </w:rPr>
              <w:t>94%</w:t>
            </w:r>
          </w:p>
        </w:tc>
      </w:tr>
      <w:tr w:rsidR="009A6187" w:rsidRPr="009A6187" w:rsidTr="000115F1">
        <w:trPr>
          <w:trHeight w:val="979"/>
        </w:trPr>
        <w:tc>
          <w:tcPr>
            <w:tcW w:w="497" w:type="dxa"/>
            <w:tcMar>
              <w:top w:w="85" w:type="dxa"/>
              <w:left w:w="0" w:type="dxa"/>
              <w:bottom w:w="85" w:type="dxa"/>
              <w:right w:w="0" w:type="dxa"/>
            </w:tcMar>
          </w:tcPr>
          <w:p w:rsidR="009A6187" w:rsidRPr="009A6187" w:rsidRDefault="009A6187" w:rsidP="009A6187">
            <w:pPr>
              <w:spacing w:after="0"/>
              <w:rPr>
                <w:color w:val="000000"/>
                <w:lang w:val="en-US"/>
              </w:rPr>
            </w:pPr>
            <w:r w:rsidRPr="009A6187">
              <w:rPr>
                <w:color w:val="000000"/>
                <w:lang w:val="en-US"/>
              </w:rPr>
              <w:t>1.2</w:t>
            </w:r>
          </w:p>
        </w:tc>
        <w:tc>
          <w:tcPr>
            <w:tcW w:w="5244" w:type="dxa"/>
            <w:tcMar>
              <w:top w:w="85" w:type="dxa"/>
              <w:left w:w="0" w:type="dxa"/>
              <w:bottom w:w="85" w:type="dxa"/>
              <w:right w:w="0" w:type="dxa"/>
            </w:tcMar>
          </w:tcPr>
          <w:p w:rsidR="009A6187" w:rsidRPr="009A6187" w:rsidRDefault="009A6187" w:rsidP="009A6187">
            <w:pPr>
              <w:spacing w:after="0"/>
              <w:rPr>
                <w:color w:val="000000"/>
                <w:lang w:val="en-US"/>
              </w:rPr>
            </w:pPr>
            <w:r w:rsidRPr="009A6187">
              <w:rPr>
                <w:color w:val="000000"/>
                <w:lang w:val="en-US"/>
              </w:rPr>
              <w:t>Service recipient’s confirmation that services provided enable them to meet Executive Government’s obligations</w:t>
            </w:r>
          </w:p>
        </w:tc>
        <w:tc>
          <w:tcPr>
            <w:tcW w:w="1148" w:type="dxa"/>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3.7</w:t>
            </w:r>
          </w:p>
        </w:tc>
        <w:tc>
          <w:tcPr>
            <w:tcW w:w="1148" w:type="dxa"/>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4.0</w:t>
            </w:r>
          </w:p>
        </w:tc>
        <w:tc>
          <w:tcPr>
            <w:tcW w:w="1148" w:type="dxa"/>
            <w:shd w:val="clear" w:color="auto" w:fill="F2F2F2" w:themeFill="background1" w:themeFillShade="F2"/>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4.0</w:t>
            </w:r>
          </w:p>
        </w:tc>
        <w:tc>
          <w:tcPr>
            <w:tcW w:w="1181" w:type="dxa"/>
            <w:tcMar>
              <w:top w:w="85" w:type="dxa"/>
              <w:left w:w="80" w:type="dxa"/>
              <w:bottom w:w="85" w:type="dxa"/>
              <w:right w:w="80" w:type="dxa"/>
            </w:tcMar>
          </w:tcPr>
          <w:p w:rsidR="009A6187" w:rsidRPr="009A6187" w:rsidRDefault="009A6187" w:rsidP="009A6187">
            <w:pPr>
              <w:spacing w:after="0"/>
              <w:jc w:val="right"/>
              <w:rPr>
                <w:color w:val="000000"/>
                <w:lang w:val="en-US"/>
              </w:rPr>
            </w:pPr>
            <w:r w:rsidRPr="009A6187">
              <w:rPr>
                <w:color w:val="000000"/>
                <w:lang w:val="en-US"/>
              </w:rPr>
              <w:t>3.8</w:t>
            </w:r>
          </w:p>
        </w:tc>
      </w:tr>
    </w:tbl>
    <w:p w:rsidR="009A6187" w:rsidRPr="009A6187" w:rsidRDefault="009A6187" w:rsidP="009A6187">
      <w:pPr>
        <w:rPr>
          <w:color w:val="000000"/>
          <w:lang w:val="en-US"/>
        </w:rPr>
      </w:pPr>
    </w:p>
    <w:p w:rsidR="009A6187" w:rsidRPr="009A6187" w:rsidRDefault="009A6187" w:rsidP="009A6187">
      <w:pPr>
        <w:pStyle w:val="Heading5"/>
        <w:rPr>
          <w:color w:val="000000"/>
          <w:lang w:val="en-US"/>
        </w:rPr>
      </w:pPr>
      <w:r w:rsidRPr="009A6187">
        <w:rPr>
          <w:lang w:val="en-US"/>
        </w:rPr>
        <w:t>Outcome 1 - Key Effectiveness Indicators Explanatory Notes</w:t>
      </w:r>
    </w:p>
    <w:p w:rsidR="009A6187" w:rsidRPr="009A6187" w:rsidRDefault="009A6187" w:rsidP="009A6187">
      <w:pPr>
        <w:rPr>
          <w:b/>
          <w:bCs/>
          <w:i/>
          <w:iCs/>
          <w:color w:val="000000"/>
          <w:lang w:val="en-US"/>
        </w:rPr>
      </w:pPr>
      <w:r w:rsidRPr="009A6187">
        <w:rPr>
          <w:b/>
          <w:bCs/>
          <w:color w:val="000000"/>
          <w:lang w:val="en-US"/>
        </w:rPr>
        <w:t xml:space="preserve">1.1 Targets for support services are met or exceeded - </w:t>
      </w:r>
      <w:r w:rsidRPr="009A6187">
        <w:rPr>
          <w:b/>
          <w:bCs/>
          <w:i/>
          <w:iCs/>
          <w:color w:val="000000"/>
          <w:lang w:val="en-US"/>
        </w:rPr>
        <w:t>Target 94%</w:t>
      </w:r>
    </w:p>
    <w:p w:rsidR="009A6187" w:rsidRPr="009A6187" w:rsidRDefault="009A6187" w:rsidP="009A6187">
      <w:pPr>
        <w:rPr>
          <w:color w:val="000000"/>
          <w:lang w:val="en-US"/>
        </w:rPr>
      </w:pPr>
      <w:r w:rsidRPr="009A6187">
        <w:rPr>
          <w:color w:val="000000"/>
          <w:lang w:val="en-US"/>
        </w:rPr>
        <w:t>This indicator reports the percentage of essential services delivered within designated timeframes. Data for this indicator is derived from transaction records maintained by the Department on a range of essential services provided to the Premier and Ministers, all of which bear equal importance. The timeliness of service targets has been determined based on: a) resources available to deliver each service, and b) client expectations.</w:t>
      </w:r>
    </w:p>
    <w:p w:rsidR="009A6187" w:rsidRPr="009A6187" w:rsidRDefault="009A6187" w:rsidP="009A6187">
      <w:pPr>
        <w:rPr>
          <w:b/>
          <w:bCs/>
          <w:color w:val="000000"/>
          <w:lang w:val="en-US"/>
        </w:rPr>
      </w:pPr>
      <w:r w:rsidRPr="009A6187">
        <w:rPr>
          <w:b/>
          <w:bCs/>
          <w:color w:val="000000"/>
          <w:lang w:val="en-US"/>
        </w:rPr>
        <w:t xml:space="preserve">1.2 Service recipient’s confirmation that services provided enable them to meet Executive Government’s obligations – </w:t>
      </w:r>
      <w:r w:rsidRPr="009A6187">
        <w:rPr>
          <w:b/>
          <w:bCs/>
          <w:i/>
          <w:iCs/>
          <w:color w:val="000000"/>
          <w:lang w:val="en-US"/>
        </w:rPr>
        <w:t>Target 3.8</w:t>
      </w:r>
    </w:p>
    <w:p w:rsidR="009A6187" w:rsidRPr="009A6187" w:rsidRDefault="009A6187" w:rsidP="009A6187">
      <w:pPr>
        <w:rPr>
          <w:color w:val="000000"/>
          <w:lang w:val="en-US"/>
        </w:rPr>
      </w:pPr>
      <w:r w:rsidRPr="009A6187">
        <w:rPr>
          <w:color w:val="000000"/>
          <w:lang w:val="en-US"/>
        </w:rPr>
        <w:t xml:space="preserve">This indicator reports the satisfaction levels of services delivered to the Premier’s Office, Ministerial Offices and the Leader of the Opposition’s Office. Service recipients are provided with the option to provide their responses as ratings via either an online survey or hard copy survey. Responses measure the extent to which the expectations of service delivery by the Department were met. The rating is a value between one and five, where a value of one indicates that services were well below expectations and five that services were well above expectations, while a value of three indicates that services met expectations. The data is reported in accordance with recommendations of the Australian Bureau of Statistics. </w:t>
      </w:r>
    </w:p>
    <w:p w:rsidR="009A6187" w:rsidRDefault="009A6187" w:rsidP="009A6187">
      <w:pPr>
        <w:rPr>
          <w:color w:val="000000"/>
          <w:lang w:val="en-US"/>
        </w:rPr>
      </w:pPr>
      <w:r w:rsidRPr="009A6187">
        <w:rPr>
          <w:color w:val="000000"/>
          <w:lang w:val="en-US"/>
        </w:rPr>
        <w:t>Responses were received from the Office of the Premier and 14 of the 16 Ministerial Offices, as well as the Leader of the Opposition’s Office. Responses from each respondent were averaged, with the final result being the aggregation of all averages from across the total number of respondents. The Department is unaware of any circumstances that might have caused the non-respondents to respond differently to those that did.</w:t>
      </w:r>
    </w:p>
    <w:p w:rsidR="00681CE5" w:rsidRDefault="00681CE5">
      <w:pPr>
        <w:spacing w:line="276" w:lineRule="auto"/>
        <w:rPr>
          <w:color w:val="000000"/>
          <w:lang w:val="en-US"/>
        </w:rPr>
      </w:pPr>
      <w:r>
        <w:rPr>
          <w:color w:val="000000"/>
          <w:lang w:val="en-US"/>
        </w:rPr>
        <w:br w:type="page"/>
      </w:r>
    </w:p>
    <w:p w:rsidR="009A6187" w:rsidRPr="009A6187" w:rsidRDefault="009A6187" w:rsidP="009A6187">
      <w:pPr>
        <w:rPr>
          <w:rFonts w:ascii="Arial" w:eastAsia="Segoe UI" w:hAnsi="Arial" w:cs="Arial"/>
          <w:noProof/>
          <w:color w:val="003366"/>
          <w:kern w:val="24"/>
          <w:sz w:val="36"/>
          <w:szCs w:val="36"/>
          <w:lang w:val="en-US" w:eastAsia="en-AU"/>
        </w:rPr>
      </w:pPr>
      <w:r w:rsidRPr="009A6187">
        <w:rPr>
          <w:rFonts w:ascii="Arial" w:eastAsia="Segoe UI" w:hAnsi="Arial" w:cs="Arial"/>
          <w:noProof/>
          <w:color w:val="003366"/>
          <w:kern w:val="24"/>
          <w:sz w:val="36"/>
          <w:szCs w:val="36"/>
          <w:lang w:val="en-US" w:eastAsia="en-AU"/>
        </w:rPr>
        <w:t xml:space="preserve">Outcome 2: The Premier and </w:t>
      </w:r>
      <w:r>
        <w:rPr>
          <w:rFonts w:ascii="Arial" w:eastAsia="Segoe UI" w:hAnsi="Arial" w:cs="Arial"/>
          <w:noProof/>
          <w:color w:val="003366"/>
          <w:kern w:val="24"/>
          <w:sz w:val="36"/>
          <w:szCs w:val="36"/>
          <w:lang w:val="en-US" w:eastAsia="en-AU"/>
        </w:rPr>
        <w:t xml:space="preserve">Ministers receive high quality, </w:t>
      </w:r>
      <w:r w:rsidRPr="009A6187">
        <w:rPr>
          <w:rFonts w:ascii="Arial" w:eastAsia="Segoe UI" w:hAnsi="Arial" w:cs="Arial"/>
          <w:noProof/>
          <w:color w:val="003366"/>
          <w:kern w:val="24"/>
          <w:sz w:val="36"/>
          <w:szCs w:val="36"/>
          <w:lang w:val="en-US" w:eastAsia="en-AU"/>
        </w:rPr>
        <w:t>rigorous and timely policy advice</w:t>
      </w:r>
    </w:p>
    <w:tbl>
      <w:tblPr>
        <w:tblW w:w="0" w:type="auto"/>
        <w:tblInd w:w="8" w:type="dxa"/>
        <w:tblBorders>
          <w:bottom w:val="single" w:sz="2" w:space="0" w:color="808080" w:themeColor="background1" w:themeShade="80"/>
          <w:insideH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497"/>
        <w:gridCol w:w="5244"/>
        <w:gridCol w:w="1148"/>
        <w:gridCol w:w="1148"/>
        <w:gridCol w:w="1148"/>
        <w:gridCol w:w="1181"/>
      </w:tblGrid>
      <w:tr w:rsidR="009A6187" w:rsidRPr="009A6187" w:rsidTr="000115F1">
        <w:trPr>
          <w:trHeight w:val="822"/>
        </w:trPr>
        <w:tc>
          <w:tcPr>
            <w:tcW w:w="497" w:type="dxa"/>
            <w:tcMar>
              <w:top w:w="85" w:type="dxa"/>
              <w:left w:w="0" w:type="dxa"/>
              <w:bottom w:w="85" w:type="dxa"/>
              <w:right w:w="0" w:type="dxa"/>
            </w:tcMar>
            <w:vAlign w:val="bottom"/>
          </w:tcPr>
          <w:p w:rsidR="009A6187" w:rsidRPr="009A6187" w:rsidRDefault="009A6187" w:rsidP="009A6187">
            <w:pPr>
              <w:spacing w:after="0"/>
            </w:pPr>
          </w:p>
        </w:tc>
        <w:tc>
          <w:tcPr>
            <w:tcW w:w="5244" w:type="dxa"/>
            <w:tcMar>
              <w:top w:w="85" w:type="dxa"/>
              <w:left w:w="0" w:type="dxa"/>
              <w:bottom w:w="85" w:type="dxa"/>
              <w:right w:w="0" w:type="dxa"/>
            </w:tcMar>
            <w:vAlign w:val="bottom"/>
          </w:tcPr>
          <w:p w:rsidR="009A6187" w:rsidRPr="009A6187" w:rsidRDefault="009A6187" w:rsidP="009A6187">
            <w:pPr>
              <w:spacing w:after="0"/>
            </w:pPr>
          </w:p>
        </w:tc>
        <w:tc>
          <w:tcPr>
            <w:tcW w:w="1148" w:type="dxa"/>
            <w:tcMar>
              <w:top w:w="85" w:type="dxa"/>
              <w:left w:w="0" w:type="dxa"/>
              <w:bottom w:w="85" w:type="dxa"/>
              <w:right w:w="0" w:type="dxa"/>
            </w:tcMar>
            <w:vAlign w:val="center"/>
          </w:tcPr>
          <w:p w:rsidR="009A6187" w:rsidRPr="009A6187" w:rsidRDefault="009A6187" w:rsidP="009A6187">
            <w:pPr>
              <w:spacing w:after="0"/>
              <w:jc w:val="right"/>
              <w:rPr>
                <w:color w:val="000000"/>
                <w:lang w:val="en-US"/>
              </w:rPr>
            </w:pPr>
            <w:r w:rsidRPr="009A6187">
              <w:rPr>
                <w:b/>
                <w:bCs/>
                <w:color w:val="000000"/>
                <w:lang w:val="en-US"/>
              </w:rPr>
              <w:t>2012–13 Actual</w:t>
            </w:r>
          </w:p>
        </w:tc>
        <w:tc>
          <w:tcPr>
            <w:tcW w:w="1148" w:type="dxa"/>
            <w:tcMar>
              <w:top w:w="85" w:type="dxa"/>
              <w:left w:w="0" w:type="dxa"/>
              <w:bottom w:w="85" w:type="dxa"/>
              <w:right w:w="0" w:type="dxa"/>
            </w:tcMar>
            <w:vAlign w:val="center"/>
          </w:tcPr>
          <w:p w:rsidR="009A6187" w:rsidRPr="009A6187" w:rsidRDefault="009A6187" w:rsidP="009A6187">
            <w:pPr>
              <w:spacing w:after="0"/>
              <w:jc w:val="right"/>
              <w:rPr>
                <w:color w:val="000000"/>
                <w:lang w:val="en-US"/>
              </w:rPr>
            </w:pPr>
            <w:r w:rsidRPr="009A6187">
              <w:rPr>
                <w:b/>
                <w:bCs/>
                <w:color w:val="000000"/>
                <w:lang w:val="en-US"/>
              </w:rPr>
              <w:t>2013–14 Actual</w:t>
            </w:r>
          </w:p>
        </w:tc>
        <w:tc>
          <w:tcPr>
            <w:tcW w:w="1148" w:type="dxa"/>
            <w:shd w:val="clear" w:color="auto" w:fill="F2F2F2" w:themeFill="background1" w:themeFillShade="F2"/>
            <w:tcMar>
              <w:top w:w="85" w:type="dxa"/>
              <w:left w:w="0" w:type="dxa"/>
              <w:bottom w:w="85" w:type="dxa"/>
              <w:right w:w="0" w:type="dxa"/>
            </w:tcMar>
            <w:vAlign w:val="center"/>
          </w:tcPr>
          <w:p w:rsidR="009A6187" w:rsidRPr="009A6187" w:rsidRDefault="009A6187" w:rsidP="009A6187">
            <w:pPr>
              <w:spacing w:after="0"/>
              <w:jc w:val="right"/>
              <w:rPr>
                <w:color w:val="000000"/>
                <w:lang w:val="en-US"/>
              </w:rPr>
            </w:pPr>
            <w:r w:rsidRPr="009A6187">
              <w:rPr>
                <w:b/>
                <w:bCs/>
                <w:color w:val="000000"/>
                <w:lang w:val="en-US"/>
              </w:rPr>
              <w:t>2014–15 Actual</w:t>
            </w:r>
          </w:p>
        </w:tc>
        <w:tc>
          <w:tcPr>
            <w:tcW w:w="1181" w:type="dxa"/>
            <w:tcMar>
              <w:top w:w="85" w:type="dxa"/>
              <w:left w:w="80" w:type="dxa"/>
              <w:bottom w:w="85" w:type="dxa"/>
              <w:right w:w="80" w:type="dxa"/>
            </w:tcMar>
            <w:vAlign w:val="center"/>
          </w:tcPr>
          <w:p w:rsidR="009A6187" w:rsidRPr="009A6187" w:rsidRDefault="009A6187" w:rsidP="009A6187">
            <w:pPr>
              <w:spacing w:after="0"/>
              <w:jc w:val="right"/>
              <w:rPr>
                <w:color w:val="000000"/>
                <w:lang w:val="en-US"/>
              </w:rPr>
            </w:pPr>
            <w:r w:rsidRPr="009A6187">
              <w:rPr>
                <w:b/>
                <w:bCs/>
                <w:color w:val="000000"/>
                <w:lang w:val="en-US"/>
              </w:rPr>
              <w:t>2014–15 Target</w:t>
            </w:r>
          </w:p>
        </w:tc>
      </w:tr>
      <w:tr w:rsidR="009A6187" w:rsidRPr="009A6187" w:rsidTr="000115F1">
        <w:trPr>
          <w:trHeight w:val="741"/>
        </w:trPr>
        <w:tc>
          <w:tcPr>
            <w:tcW w:w="497" w:type="dxa"/>
            <w:tcMar>
              <w:top w:w="85" w:type="dxa"/>
              <w:left w:w="0" w:type="dxa"/>
              <w:bottom w:w="85" w:type="dxa"/>
              <w:right w:w="0" w:type="dxa"/>
            </w:tcMar>
          </w:tcPr>
          <w:p w:rsidR="009A6187" w:rsidRPr="009A6187" w:rsidRDefault="009A6187" w:rsidP="009A6187">
            <w:pPr>
              <w:spacing w:after="0"/>
              <w:rPr>
                <w:color w:val="000000"/>
                <w:lang w:val="en-US"/>
              </w:rPr>
            </w:pPr>
            <w:r w:rsidRPr="009A6187">
              <w:rPr>
                <w:color w:val="000000"/>
                <w:lang w:val="en-US"/>
              </w:rPr>
              <w:t>2.1</w:t>
            </w:r>
          </w:p>
        </w:tc>
        <w:tc>
          <w:tcPr>
            <w:tcW w:w="5244" w:type="dxa"/>
            <w:tcMar>
              <w:top w:w="85" w:type="dxa"/>
              <w:left w:w="0" w:type="dxa"/>
              <w:bottom w:w="85" w:type="dxa"/>
              <w:right w:w="0" w:type="dxa"/>
            </w:tcMar>
          </w:tcPr>
          <w:p w:rsidR="009A6187" w:rsidRPr="009A6187" w:rsidRDefault="009A6187" w:rsidP="009A6187">
            <w:pPr>
              <w:spacing w:after="0"/>
              <w:rPr>
                <w:color w:val="000000"/>
                <w:lang w:val="en-US"/>
              </w:rPr>
            </w:pPr>
            <w:r w:rsidRPr="009A6187">
              <w:rPr>
                <w:color w:val="000000"/>
                <w:lang w:val="en-US"/>
              </w:rPr>
              <w:t>Service recipient’s confirmation that high quality and timely policy advice is provided</w:t>
            </w:r>
          </w:p>
        </w:tc>
        <w:tc>
          <w:tcPr>
            <w:tcW w:w="1148" w:type="dxa"/>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3.7</w:t>
            </w:r>
          </w:p>
        </w:tc>
        <w:tc>
          <w:tcPr>
            <w:tcW w:w="1148" w:type="dxa"/>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4.0</w:t>
            </w:r>
          </w:p>
        </w:tc>
        <w:tc>
          <w:tcPr>
            <w:tcW w:w="1148" w:type="dxa"/>
            <w:shd w:val="clear" w:color="auto" w:fill="F2F2F2" w:themeFill="background1" w:themeFillShade="F2"/>
            <w:tcMar>
              <w:top w:w="85" w:type="dxa"/>
              <w:left w:w="0" w:type="dxa"/>
              <w:bottom w:w="85" w:type="dxa"/>
              <w:right w:w="0" w:type="dxa"/>
            </w:tcMar>
          </w:tcPr>
          <w:p w:rsidR="009A6187" w:rsidRPr="009A6187" w:rsidRDefault="009A6187" w:rsidP="009A6187">
            <w:pPr>
              <w:spacing w:after="0"/>
              <w:jc w:val="right"/>
              <w:rPr>
                <w:color w:val="000000"/>
                <w:lang w:val="en-US"/>
              </w:rPr>
            </w:pPr>
            <w:r w:rsidRPr="009A6187">
              <w:rPr>
                <w:color w:val="000000"/>
                <w:lang w:val="en-US"/>
              </w:rPr>
              <w:t>4.0</w:t>
            </w:r>
          </w:p>
        </w:tc>
        <w:tc>
          <w:tcPr>
            <w:tcW w:w="1181" w:type="dxa"/>
            <w:tcMar>
              <w:top w:w="85" w:type="dxa"/>
              <w:left w:w="80" w:type="dxa"/>
              <w:bottom w:w="85" w:type="dxa"/>
              <w:right w:w="80" w:type="dxa"/>
            </w:tcMar>
          </w:tcPr>
          <w:p w:rsidR="009A6187" w:rsidRPr="009A6187" w:rsidRDefault="009A6187" w:rsidP="009A6187">
            <w:pPr>
              <w:spacing w:after="0"/>
              <w:jc w:val="right"/>
              <w:rPr>
                <w:color w:val="000000"/>
                <w:lang w:val="en-US"/>
              </w:rPr>
            </w:pPr>
            <w:r w:rsidRPr="009A6187">
              <w:rPr>
                <w:color w:val="000000"/>
                <w:lang w:val="en-US"/>
              </w:rPr>
              <w:t>4.3</w:t>
            </w:r>
          </w:p>
        </w:tc>
      </w:tr>
    </w:tbl>
    <w:p w:rsidR="009A6187" w:rsidRDefault="009A6187" w:rsidP="009A6187">
      <w:pPr>
        <w:rPr>
          <w:lang w:val="en-US"/>
        </w:rPr>
      </w:pPr>
    </w:p>
    <w:p w:rsidR="009A6187" w:rsidRPr="009A6187" w:rsidRDefault="009A6187" w:rsidP="009A6187">
      <w:pPr>
        <w:pStyle w:val="Heading5"/>
        <w:rPr>
          <w:color w:val="000000"/>
          <w:lang w:val="en-US"/>
        </w:rPr>
      </w:pPr>
      <w:r w:rsidRPr="009A6187">
        <w:rPr>
          <w:lang w:val="en-US"/>
        </w:rPr>
        <w:t>Outcome 2 - Key Effectiveness Indicators Explanatory Notes</w:t>
      </w:r>
    </w:p>
    <w:p w:rsidR="009A6187" w:rsidRPr="009A6187" w:rsidRDefault="009A6187" w:rsidP="009A6187">
      <w:pPr>
        <w:rPr>
          <w:b/>
          <w:lang w:val="en-US"/>
        </w:rPr>
      </w:pPr>
      <w:r w:rsidRPr="009A6187">
        <w:rPr>
          <w:b/>
          <w:lang w:val="en-US"/>
        </w:rPr>
        <w:t xml:space="preserve">2.1  Service recipient’s confirmation that high quality and timely policy advice is provided </w:t>
      </w:r>
    </w:p>
    <w:p w:rsidR="009A6187" w:rsidRPr="009A6187" w:rsidRDefault="009A6187" w:rsidP="009A6187">
      <w:pPr>
        <w:rPr>
          <w:lang w:val="en-US"/>
        </w:rPr>
      </w:pPr>
      <w:r w:rsidRPr="009A6187">
        <w:rPr>
          <w:lang w:val="en-US"/>
        </w:rPr>
        <w:t>This indicator reports the satisfaction levels of services delivered to the Premier’s Office and Ministerial Offices. Service recipients are provided with the option to provide their responses as ratings via either an online survey or hard copy survey.  Responses measure the extent to which the expectations of service delivery by the Department were met. The rating is a value between one and five, where a value of one indicates that services were well below expectations and five that services were well above expectations, while a value of three indicates that services met expectations. The data is reported in accordance with recommendations of the Australian Bureau of Statistics.</w:t>
      </w:r>
    </w:p>
    <w:p w:rsidR="009A6187" w:rsidRDefault="009A6187" w:rsidP="009A6187">
      <w:pPr>
        <w:rPr>
          <w:lang w:val="en-US"/>
        </w:rPr>
      </w:pPr>
      <w:r w:rsidRPr="009A6187">
        <w:rPr>
          <w:lang w:val="en-US"/>
        </w:rPr>
        <w:t>Responses were received from the Office of the Premier and 14 of the 16 Ministerial Offices, as well as the Leader of the Opposition’s Office.  Responses from each respondent were averaged, with the final result being the aggregation of all averages from across the total number of respondents.  The Department is unaware of any circumstances that might have caused the non-respondents to respond</w:t>
      </w:r>
      <w:r>
        <w:rPr>
          <w:lang w:val="en-US"/>
        </w:rPr>
        <w:t xml:space="preserve"> differently to those that did.</w:t>
      </w:r>
    </w:p>
    <w:p w:rsidR="009A6187" w:rsidRPr="009A6187" w:rsidRDefault="009A6187" w:rsidP="009A6187">
      <w:pPr>
        <w:pStyle w:val="Heading4"/>
        <w:rPr>
          <w:color w:val="000000"/>
          <w:lang w:val="en-US"/>
        </w:rPr>
      </w:pPr>
      <w:r w:rsidRPr="009A6187">
        <w:rPr>
          <w:lang w:val="en-US"/>
        </w:rPr>
        <w:t>Agency Services and Key Efficiency Indicators</w:t>
      </w:r>
    </w:p>
    <w:p w:rsidR="009A6187" w:rsidRPr="009A6187" w:rsidRDefault="009A6187" w:rsidP="009A6187">
      <w:pPr>
        <w:rPr>
          <w:color w:val="000000"/>
          <w:lang w:val="en-US"/>
        </w:rPr>
      </w:pPr>
      <w:r w:rsidRPr="009A6187">
        <w:rPr>
          <w:color w:val="000000"/>
          <w:lang w:val="en-US"/>
        </w:rPr>
        <w:t>The following two services directly support the delivery of agency-level outcomes and the Department’s strategic goals:</w:t>
      </w:r>
    </w:p>
    <w:p w:rsidR="009A6187" w:rsidRPr="009A6187" w:rsidRDefault="009A6187" w:rsidP="009A6187">
      <w:pPr>
        <w:pStyle w:val="ListParagraph"/>
        <w:numPr>
          <w:ilvl w:val="0"/>
          <w:numId w:val="96"/>
        </w:numPr>
        <w:rPr>
          <w:color w:val="000000"/>
          <w:lang w:val="en-US"/>
        </w:rPr>
      </w:pPr>
      <w:r w:rsidRPr="009A6187">
        <w:rPr>
          <w:color w:val="000000"/>
          <w:lang w:val="en-US"/>
        </w:rPr>
        <w:t>Service 1:  Administration of Executive Government Services</w:t>
      </w:r>
    </w:p>
    <w:p w:rsidR="009A6187" w:rsidRPr="009A6187" w:rsidRDefault="009A6187" w:rsidP="009A6187">
      <w:pPr>
        <w:pStyle w:val="ListParagraph"/>
        <w:numPr>
          <w:ilvl w:val="0"/>
          <w:numId w:val="96"/>
        </w:numPr>
        <w:rPr>
          <w:color w:val="000000"/>
          <w:lang w:val="en-US"/>
        </w:rPr>
      </w:pPr>
      <w:r w:rsidRPr="009A6187">
        <w:rPr>
          <w:color w:val="000000"/>
          <w:lang w:val="en-US"/>
        </w:rPr>
        <w:t>Service 2:  Government Policy Management</w:t>
      </w:r>
    </w:p>
    <w:p w:rsidR="009A6187" w:rsidRPr="009A6187" w:rsidRDefault="009A6187" w:rsidP="009A6187">
      <w:pPr>
        <w:rPr>
          <w:color w:val="000000"/>
          <w:lang w:val="en-US"/>
        </w:rPr>
      </w:pPr>
      <w:r w:rsidRPr="009A6187">
        <w:rPr>
          <w:color w:val="000000"/>
          <w:lang w:val="en-US"/>
        </w:rPr>
        <w:t>The key efficiency indicators provide information on the cost of inputs required to deliver outcomes, and include all costs associated with the specific service. To report the total cost of service, corporate and executive support expenses are distributed across services on an FTE basis and incorporated in reported key efficiency indicators. Grants and donations administered, and employee severances paid, are excluded from key efficiency indicators (as appropriate) where these expenses are not considered to be a cost of service delivery.</w:t>
      </w:r>
    </w:p>
    <w:p w:rsidR="009A6187" w:rsidRDefault="009A6187" w:rsidP="009A6187">
      <w:pPr>
        <w:rPr>
          <w:color w:val="000000"/>
          <w:lang w:val="en-US"/>
        </w:rPr>
      </w:pPr>
      <w:r w:rsidRPr="009A6187">
        <w:rPr>
          <w:color w:val="000000"/>
          <w:lang w:val="en-US"/>
        </w:rPr>
        <w:t>The following expenditures have been excluded in calculating efficiency indicators as they do not directly relate to the servi</w:t>
      </w:r>
      <w:r w:rsidR="001F6C32">
        <w:rPr>
          <w:color w:val="000000"/>
          <w:lang w:val="en-US"/>
        </w:rPr>
        <w:t>ces provided by the Department.</w:t>
      </w:r>
    </w:p>
    <w:p w:rsidR="009A36D1" w:rsidRPr="009A6187" w:rsidRDefault="009A36D1" w:rsidP="009A6187">
      <w:pPr>
        <w:rPr>
          <w:color w:val="000000"/>
          <w:lang w:val="en-US"/>
        </w:rPr>
      </w:pPr>
    </w:p>
    <w:tbl>
      <w:tblPr>
        <w:tblW w:w="0" w:type="auto"/>
        <w:tblInd w:w="85" w:type="dxa"/>
        <w:tblBorders>
          <w:insideH w:val="single" w:sz="2" w:space="0" w:color="BCD331"/>
        </w:tblBorders>
        <w:tblLayout w:type="fixed"/>
        <w:tblCellMar>
          <w:left w:w="0" w:type="dxa"/>
          <w:right w:w="0" w:type="dxa"/>
        </w:tblCellMar>
        <w:tblLook w:val="0000" w:firstRow="0" w:lastRow="0" w:firstColumn="0" w:lastColumn="0" w:noHBand="0" w:noVBand="0"/>
      </w:tblPr>
      <w:tblGrid>
        <w:gridCol w:w="4114"/>
        <w:gridCol w:w="1354"/>
        <w:gridCol w:w="1353"/>
        <w:gridCol w:w="1354"/>
        <w:gridCol w:w="1353"/>
      </w:tblGrid>
      <w:tr w:rsidR="009A6187" w:rsidRPr="009A6187" w:rsidTr="000115F1">
        <w:trPr>
          <w:trHeight w:val="793"/>
        </w:trPr>
        <w:tc>
          <w:tcPr>
            <w:tcW w:w="4114" w:type="dxa"/>
            <w:tcBorders>
              <w:top w:val="nil"/>
              <w:bottom w:val="single" w:sz="2" w:space="0" w:color="808080" w:themeColor="background1" w:themeShade="80"/>
            </w:tcBorders>
            <w:tcMar>
              <w:top w:w="85" w:type="dxa"/>
              <w:left w:w="85" w:type="dxa"/>
              <w:bottom w:w="85" w:type="dxa"/>
              <w:right w:w="85" w:type="dxa"/>
            </w:tcMar>
            <w:vAlign w:val="center"/>
          </w:tcPr>
          <w:p w:rsidR="009A6187" w:rsidRPr="001F6C32" w:rsidRDefault="009A6187" w:rsidP="001F6C32">
            <w:pPr>
              <w:spacing w:after="0"/>
              <w:rPr>
                <w:b/>
                <w:lang w:val="en-US"/>
              </w:rPr>
            </w:pPr>
            <w:r w:rsidRPr="001F6C32">
              <w:rPr>
                <w:b/>
                <w:lang w:val="en-US"/>
              </w:rPr>
              <w:t>Excluded Expenditures</w:t>
            </w:r>
          </w:p>
        </w:tc>
        <w:tc>
          <w:tcPr>
            <w:tcW w:w="1354" w:type="dxa"/>
            <w:tcBorders>
              <w:top w:val="nil"/>
              <w:bottom w:val="single" w:sz="2" w:space="0" w:color="808080" w:themeColor="background1" w:themeShade="80"/>
            </w:tcBorders>
            <w:tcMar>
              <w:top w:w="85" w:type="dxa"/>
              <w:left w:w="85" w:type="dxa"/>
              <w:bottom w:w="85" w:type="dxa"/>
              <w:right w:w="85" w:type="dxa"/>
            </w:tcMar>
            <w:vAlign w:val="center"/>
          </w:tcPr>
          <w:p w:rsidR="009A6187" w:rsidRPr="001F6C32" w:rsidRDefault="009A6187" w:rsidP="001F6C32">
            <w:pPr>
              <w:spacing w:after="0"/>
              <w:jc w:val="right"/>
              <w:rPr>
                <w:b/>
                <w:lang w:val="en-US"/>
              </w:rPr>
            </w:pPr>
            <w:r w:rsidRPr="001F6C32">
              <w:rPr>
                <w:b/>
                <w:lang w:val="en-US"/>
              </w:rPr>
              <w:t>2012–13 Actual</w:t>
            </w:r>
          </w:p>
          <w:p w:rsidR="009A6187" w:rsidRPr="001F6C32" w:rsidRDefault="009A6187" w:rsidP="001F6C32">
            <w:pPr>
              <w:spacing w:after="0"/>
              <w:jc w:val="right"/>
              <w:rPr>
                <w:b/>
                <w:lang w:val="en-US"/>
              </w:rPr>
            </w:pPr>
            <w:r w:rsidRPr="001F6C32">
              <w:rPr>
                <w:b/>
                <w:lang w:val="en-US"/>
              </w:rPr>
              <w:t>$000</w:t>
            </w:r>
          </w:p>
        </w:tc>
        <w:tc>
          <w:tcPr>
            <w:tcW w:w="1353" w:type="dxa"/>
            <w:tcBorders>
              <w:top w:val="nil"/>
              <w:bottom w:val="single" w:sz="2" w:space="0" w:color="808080" w:themeColor="background1" w:themeShade="80"/>
            </w:tcBorders>
            <w:tcMar>
              <w:top w:w="85" w:type="dxa"/>
              <w:left w:w="85" w:type="dxa"/>
              <w:bottom w:w="85" w:type="dxa"/>
              <w:right w:w="85" w:type="dxa"/>
            </w:tcMar>
            <w:vAlign w:val="center"/>
          </w:tcPr>
          <w:p w:rsidR="009A6187" w:rsidRPr="001F6C32" w:rsidRDefault="009A6187" w:rsidP="001F6C32">
            <w:pPr>
              <w:spacing w:after="0"/>
              <w:jc w:val="right"/>
              <w:rPr>
                <w:b/>
                <w:lang w:val="en-US"/>
              </w:rPr>
            </w:pPr>
            <w:r w:rsidRPr="001F6C32">
              <w:rPr>
                <w:b/>
                <w:lang w:val="en-US"/>
              </w:rPr>
              <w:t>2013–14 Actual</w:t>
            </w:r>
          </w:p>
          <w:p w:rsidR="009A6187" w:rsidRPr="001F6C32" w:rsidRDefault="009A6187" w:rsidP="001F6C32">
            <w:pPr>
              <w:spacing w:after="0"/>
              <w:jc w:val="right"/>
              <w:rPr>
                <w:b/>
                <w:lang w:val="en-US"/>
              </w:rPr>
            </w:pPr>
            <w:r w:rsidRPr="001F6C32">
              <w:rPr>
                <w:b/>
                <w:lang w:val="en-US"/>
              </w:rPr>
              <w:t>$000</w:t>
            </w:r>
          </w:p>
        </w:tc>
        <w:tc>
          <w:tcPr>
            <w:tcW w:w="1354" w:type="dxa"/>
            <w:tcBorders>
              <w:top w:val="nil"/>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center"/>
          </w:tcPr>
          <w:p w:rsidR="009A6187" w:rsidRPr="001F6C32" w:rsidRDefault="009A6187" w:rsidP="001F6C32">
            <w:pPr>
              <w:spacing w:after="0"/>
              <w:jc w:val="right"/>
              <w:rPr>
                <w:b/>
                <w:lang w:val="en-US"/>
              </w:rPr>
            </w:pPr>
            <w:r w:rsidRPr="001F6C32">
              <w:rPr>
                <w:b/>
                <w:lang w:val="en-US"/>
              </w:rPr>
              <w:t>2014–15 Actual</w:t>
            </w:r>
            <w:r w:rsidRPr="001F6C32">
              <w:rPr>
                <w:b/>
                <w:lang w:val="en-US"/>
              </w:rPr>
              <w:br/>
              <w:t>$000</w:t>
            </w:r>
          </w:p>
        </w:tc>
        <w:tc>
          <w:tcPr>
            <w:tcW w:w="1353" w:type="dxa"/>
            <w:tcBorders>
              <w:top w:val="nil"/>
              <w:bottom w:val="single" w:sz="2" w:space="0" w:color="808080" w:themeColor="background1" w:themeShade="80"/>
            </w:tcBorders>
            <w:tcMar>
              <w:top w:w="85" w:type="dxa"/>
              <w:left w:w="85" w:type="dxa"/>
              <w:bottom w:w="85" w:type="dxa"/>
              <w:right w:w="85" w:type="dxa"/>
            </w:tcMar>
            <w:vAlign w:val="center"/>
          </w:tcPr>
          <w:p w:rsidR="009A6187" w:rsidRPr="001F6C32" w:rsidRDefault="009A6187" w:rsidP="001F6C32">
            <w:pPr>
              <w:spacing w:after="0"/>
              <w:jc w:val="right"/>
              <w:rPr>
                <w:b/>
                <w:lang w:val="en-US"/>
              </w:rPr>
            </w:pPr>
            <w:r w:rsidRPr="001F6C32">
              <w:rPr>
                <w:b/>
                <w:lang w:val="en-US"/>
              </w:rPr>
              <w:t>2014–15 Target</w:t>
            </w:r>
            <w:r w:rsidRPr="001F6C32">
              <w:rPr>
                <w:b/>
                <w:lang w:val="en-US"/>
              </w:rPr>
              <w:br/>
              <w:t>$000</w:t>
            </w:r>
          </w:p>
        </w:tc>
      </w:tr>
      <w:tr w:rsidR="009A6187" w:rsidRPr="009A6187" w:rsidTr="000115F1">
        <w:trPr>
          <w:trHeight w:val="365"/>
        </w:trPr>
        <w:tc>
          <w:tcPr>
            <w:tcW w:w="411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rPr>
                <w:lang w:val="en-US"/>
              </w:rPr>
            </w:pPr>
            <w:r w:rsidRPr="009A6187">
              <w:rPr>
                <w:lang w:val="en-US"/>
              </w:rPr>
              <w:t>Services provided free of charge</w:t>
            </w:r>
          </w:p>
        </w:tc>
        <w:tc>
          <w:tcPr>
            <w:tcW w:w="13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1,365</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1,529</w:t>
            </w:r>
          </w:p>
        </w:tc>
        <w:tc>
          <w:tcPr>
            <w:tcW w:w="1354"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1,212</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1,363</w:t>
            </w:r>
          </w:p>
        </w:tc>
      </w:tr>
      <w:tr w:rsidR="009A6187" w:rsidRPr="009A6187" w:rsidTr="000115F1">
        <w:trPr>
          <w:trHeight w:val="365"/>
        </w:trPr>
        <w:tc>
          <w:tcPr>
            <w:tcW w:w="411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rPr>
                <w:lang w:val="en-US"/>
              </w:rPr>
            </w:pPr>
            <w:r w:rsidRPr="009A6187">
              <w:rPr>
                <w:lang w:val="en-US"/>
              </w:rPr>
              <w:t>Community service obligations</w:t>
            </w:r>
          </w:p>
        </w:tc>
        <w:tc>
          <w:tcPr>
            <w:tcW w:w="13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385</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393</w:t>
            </w:r>
          </w:p>
        </w:tc>
        <w:tc>
          <w:tcPr>
            <w:tcW w:w="1354"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563</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857</w:t>
            </w:r>
          </w:p>
        </w:tc>
      </w:tr>
      <w:tr w:rsidR="009A6187" w:rsidRPr="009A6187" w:rsidTr="000115F1">
        <w:trPr>
          <w:trHeight w:val="365"/>
        </w:trPr>
        <w:tc>
          <w:tcPr>
            <w:tcW w:w="411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rPr>
                <w:lang w:val="en-US"/>
              </w:rPr>
            </w:pPr>
            <w:r w:rsidRPr="009A6187">
              <w:rPr>
                <w:lang w:val="en-US"/>
              </w:rPr>
              <w:t>Grants and donations</w:t>
            </w:r>
          </w:p>
        </w:tc>
        <w:tc>
          <w:tcPr>
            <w:tcW w:w="13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27,070</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54,706</w:t>
            </w:r>
          </w:p>
        </w:tc>
        <w:tc>
          <w:tcPr>
            <w:tcW w:w="1354"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31,957</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45,068</w:t>
            </w:r>
          </w:p>
        </w:tc>
      </w:tr>
      <w:tr w:rsidR="009A6187" w:rsidRPr="009A6187" w:rsidTr="000115F1">
        <w:trPr>
          <w:trHeight w:val="365"/>
        </w:trPr>
        <w:tc>
          <w:tcPr>
            <w:tcW w:w="411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rPr>
                <w:lang w:val="en-US"/>
              </w:rPr>
            </w:pPr>
            <w:r w:rsidRPr="009A6187">
              <w:rPr>
                <w:lang w:val="en-US"/>
              </w:rPr>
              <w:t>Non-core operations</w:t>
            </w:r>
          </w:p>
        </w:tc>
        <w:tc>
          <w:tcPr>
            <w:tcW w:w="13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3,870</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3,545</w:t>
            </w:r>
          </w:p>
        </w:tc>
        <w:tc>
          <w:tcPr>
            <w:tcW w:w="1354"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7,445</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3,871</w:t>
            </w:r>
          </w:p>
        </w:tc>
      </w:tr>
      <w:tr w:rsidR="009A6187" w:rsidRPr="009A6187" w:rsidTr="000115F1">
        <w:trPr>
          <w:trHeight w:val="365"/>
        </w:trPr>
        <w:tc>
          <w:tcPr>
            <w:tcW w:w="411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rPr>
                <w:lang w:val="en-US"/>
              </w:rPr>
            </w:pPr>
            <w:r w:rsidRPr="009A6187">
              <w:rPr>
                <w:lang w:val="en-US"/>
              </w:rPr>
              <w:t>End of contract excluded</w:t>
            </w:r>
          </w:p>
        </w:tc>
        <w:tc>
          <w:tcPr>
            <w:tcW w:w="13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3,312</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w:t>
            </w:r>
          </w:p>
        </w:tc>
        <w:tc>
          <w:tcPr>
            <w:tcW w:w="1354"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w:t>
            </w:r>
          </w:p>
        </w:tc>
        <w:tc>
          <w:tcPr>
            <w:tcW w:w="1353"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vAlign w:val="bottom"/>
          </w:tcPr>
          <w:p w:rsidR="009A6187" w:rsidRPr="009A6187" w:rsidRDefault="009A6187" w:rsidP="001F6C32">
            <w:pPr>
              <w:spacing w:after="0"/>
              <w:jc w:val="right"/>
              <w:rPr>
                <w:lang w:val="en-US"/>
              </w:rPr>
            </w:pPr>
            <w:r w:rsidRPr="009A6187">
              <w:rPr>
                <w:lang w:val="en-US"/>
              </w:rPr>
              <w:t>-</w:t>
            </w:r>
          </w:p>
        </w:tc>
      </w:tr>
      <w:tr w:rsidR="009A6187" w:rsidRPr="001F6C32" w:rsidTr="000115F1">
        <w:trPr>
          <w:trHeight w:val="365"/>
        </w:trPr>
        <w:tc>
          <w:tcPr>
            <w:tcW w:w="4114" w:type="dxa"/>
            <w:tcBorders>
              <w:top w:val="single" w:sz="2" w:space="0" w:color="808080" w:themeColor="background1" w:themeShade="80"/>
            </w:tcBorders>
            <w:tcMar>
              <w:top w:w="85" w:type="dxa"/>
              <w:left w:w="85" w:type="dxa"/>
              <w:bottom w:w="85" w:type="dxa"/>
              <w:right w:w="85" w:type="dxa"/>
            </w:tcMar>
            <w:vAlign w:val="bottom"/>
          </w:tcPr>
          <w:p w:rsidR="009A6187" w:rsidRPr="001F6C32" w:rsidRDefault="009A6187" w:rsidP="001F6C32">
            <w:pPr>
              <w:spacing w:after="0"/>
              <w:rPr>
                <w:b/>
                <w:lang w:val="en-US"/>
              </w:rPr>
            </w:pPr>
            <w:r w:rsidRPr="001F6C32">
              <w:rPr>
                <w:b/>
                <w:lang w:val="en-US"/>
              </w:rPr>
              <w:t>Total</w:t>
            </w:r>
          </w:p>
        </w:tc>
        <w:tc>
          <w:tcPr>
            <w:tcW w:w="1354" w:type="dxa"/>
            <w:tcBorders>
              <w:top w:val="single" w:sz="2" w:space="0" w:color="808080" w:themeColor="background1" w:themeShade="80"/>
            </w:tcBorders>
            <w:tcMar>
              <w:top w:w="85" w:type="dxa"/>
              <w:left w:w="85" w:type="dxa"/>
              <w:bottom w:w="85" w:type="dxa"/>
              <w:right w:w="85" w:type="dxa"/>
            </w:tcMar>
            <w:vAlign w:val="bottom"/>
          </w:tcPr>
          <w:p w:rsidR="009A6187" w:rsidRPr="001F6C32" w:rsidRDefault="009A6187" w:rsidP="001F6C32">
            <w:pPr>
              <w:spacing w:after="0"/>
              <w:jc w:val="right"/>
              <w:rPr>
                <w:b/>
                <w:lang w:val="en-US"/>
              </w:rPr>
            </w:pPr>
            <w:r w:rsidRPr="001F6C32">
              <w:rPr>
                <w:b/>
                <w:lang w:val="en-US"/>
              </w:rPr>
              <w:t>36,002</w:t>
            </w:r>
          </w:p>
        </w:tc>
        <w:tc>
          <w:tcPr>
            <w:tcW w:w="1353" w:type="dxa"/>
            <w:tcBorders>
              <w:top w:val="single" w:sz="2" w:space="0" w:color="808080" w:themeColor="background1" w:themeShade="80"/>
            </w:tcBorders>
            <w:tcMar>
              <w:top w:w="85" w:type="dxa"/>
              <w:left w:w="85" w:type="dxa"/>
              <w:bottom w:w="85" w:type="dxa"/>
              <w:right w:w="85" w:type="dxa"/>
            </w:tcMar>
            <w:vAlign w:val="bottom"/>
          </w:tcPr>
          <w:p w:rsidR="009A6187" w:rsidRPr="001F6C32" w:rsidRDefault="009A6187" w:rsidP="001F6C32">
            <w:pPr>
              <w:spacing w:after="0"/>
              <w:jc w:val="right"/>
              <w:rPr>
                <w:b/>
                <w:lang w:val="en-US"/>
              </w:rPr>
            </w:pPr>
            <w:r w:rsidRPr="001F6C32">
              <w:rPr>
                <w:b/>
                <w:lang w:val="en-US"/>
              </w:rPr>
              <w:t>60,173</w:t>
            </w:r>
          </w:p>
        </w:tc>
        <w:tc>
          <w:tcPr>
            <w:tcW w:w="1354" w:type="dxa"/>
            <w:tcBorders>
              <w:top w:val="single" w:sz="2" w:space="0" w:color="808080" w:themeColor="background1" w:themeShade="80"/>
            </w:tcBorders>
            <w:shd w:val="clear" w:color="auto" w:fill="F2F2F2" w:themeFill="background1" w:themeFillShade="F2"/>
            <w:tcMar>
              <w:top w:w="85" w:type="dxa"/>
              <w:left w:w="85" w:type="dxa"/>
              <w:bottom w:w="85" w:type="dxa"/>
              <w:right w:w="85" w:type="dxa"/>
            </w:tcMar>
            <w:vAlign w:val="bottom"/>
          </w:tcPr>
          <w:p w:rsidR="009A6187" w:rsidRPr="001F6C32" w:rsidRDefault="009A6187" w:rsidP="001F6C32">
            <w:pPr>
              <w:spacing w:after="0"/>
              <w:jc w:val="right"/>
              <w:rPr>
                <w:b/>
                <w:lang w:val="en-US"/>
              </w:rPr>
            </w:pPr>
            <w:r w:rsidRPr="001F6C32">
              <w:rPr>
                <w:b/>
                <w:lang w:val="en-US"/>
              </w:rPr>
              <w:t>41,177</w:t>
            </w:r>
          </w:p>
        </w:tc>
        <w:tc>
          <w:tcPr>
            <w:tcW w:w="1353" w:type="dxa"/>
            <w:tcBorders>
              <w:top w:val="single" w:sz="2" w:space="0" w:color="808080" w:themeColor="background1" w:themeShade="80"/>
            </w:tcBorders>
            <w:tcMar>
              <w:top w:w="85" w:type="dxa"/>
              <w:left w:w="85" w:type="dxa"/>
              <w:bottom w:w="85" w:type="dxa"/>
              <w:right w:w="85" w:type="dxa"/>
            </w:tcMar>
            <w:vAlign w:val="bottom"/>
          </w:tcPr>
          <w:p w:rsidR="009A6187" w:rsidRPr="001F6C32" w:rsidRDefault="009A6187" w:rsidP="001F6C32">
            <w:pPr>
              <w:spacing w:after="0"/>
              <w:jc w:val="right"/>
              <w:rPr>
                <w:b/>
                <w:lang w:val="en-US"/>
              </w:rPr>
            </w:pPr>
            <w:r w:rsidRPr="001F6C32">
              <w:rPr>
                <w:b/>
                <w:lang w:val="en-US"/>
              </w:rPr>
              <w:t>51,159</w:t>
            </w:r>
          </w:p>
        </w:tc>
      </w:tr>
    </w:tbl>
    <w:p w:rsidR="009A6187" w:rsidRPr="009A6187" w:rsidRDefault="009A6187" w:rsidP="009A6187">
      <w:pPr>
        <w:rPr>
          <w:b/>
          <w:bCs/>
          <w:color w:val="000000"/>
          <w:lang w:val="en-US"/>
        </w:rPr>
      </w:pPr>
    </w:p>
    <w:p w:rsidR="009A6187" w:rsidRPr="009A6187" w:rsidRDefault="009A6187" w:rsidP="009A6187">
      <w:pPr>
        <w:rPr>
          <w:color w:val="000000"/>
          <w:lang w:val="en-US"/>
        </w:rPr>
      </w:pPr>
      <w:r w:rsidRPr="009A6187">
        <w:rPr>
          <w:color w:val="000000"/>
          <w:lang w:val="en-US"/>
        </w:rPr>
        <w:t>The corporate services costing allocation methodology applied since 1999–2000, to derive the estimated value of corporate services provided free of charge to external client agencies, is subject to regular review to ensure its efficacy.</w:t>
      </w:r>
    </w:p>
    <w:p w:rsidR="009A6187" w:rsidRPr="009A6187" w:rsidRDefault="009A6187" w:rsidP="001F6C32">
      <w:pPr>
        <w:pStyle w:val="Heading5"/>
        <w:rPr>
          <w:color w:val="000000"/>
          <w:lang w:val="en-US"/>
        </w:rPr>
      </w:pPr>
      <w:r w:rsidRPr="009A6187">
        <w:rPr>
          <w:lang w:val="en-US"/>
        </w:rPr>
        <w:t>Service 1: Administration of Executive Government Services</w:t>
      </w:r>
    </w:p>
    <w:p w:rsidR="009A6187" w:rsidRPr="009A6187" w:rsidRDefault="009A6187" w:rsidP="009A6187">
      <w:pPr>
        <w:rPr>
          <w:color w:val="000000"/>
          <w:lang w:val="en-US"/>
        </w:rPr>
      </w:pPr>
      <w:r w:rsidRPr="009A6187">
        <w:rPr>
          <w:color w:val="000000"/>
          <w:lang w:val="en-US"/>
        </w:rPr>
        <w:t>The Department’s principal client for these services is the Premier as the Head of Government, Cabinet Ministers and Members of Parliament. Services provided include, but are not limited to:</w:t>
      </w:r>
    </w:p>
    <w:p w:rsidR="009A6187" w:rsidRPr="001F6C32" w:rsidRDefault="009A6187" w:rsidP="001F6C32">
      <w:pPr>
        <w:pStyle w:val="ListParagraph"/>
        <w:numPr>
          <w:ilvl w:val="0"/>
          <w:numId w:val="97"/>
        </w:numPr>
        <w:rPr>
          <w:color w:val="000000"/>
          <w:lang w:val="en-US"/>
        </w:rPr>
      </w:pPr>
      <w:r w:rsidRPr="001F6C32">
        <w:rPr>
          <w:color w:val="000000"/>
          <w:lang w:val="en-US"/>
        </w:rPr>
        <w:t>administrative support to the Premier;</w:t>
      </w:r>
    </w:p>
    <w:p w:rsidR="009A6187" w:rsidRPr="001F6C32" w:rsidRDefault="009A6187" w:rsidP="001F6C32">
      <w:pPr>
        <w:pStyle w:val="ListParagraph"/>
        <w:numPr>
          <w:ilvl w:val="0"/>
          <w:numId w:val="97"/>
        </w:numPr>
        <w:rPr>
          <w:color w:val="000000"/>
          <w:lang w:val="en-US"/>
        </w:rPr>
      </w:pPr>
      <w:r w:rsidRPr="001F6C32">
        <w:rPr>
          <w:color w:val="000000"/>
          <w:lang w:val="en-US"/>
        </w:rPr>
        <w:t>administrative policy advice and support to the Ministerial Offices and the Leader of the Opposition;</w:t>
      </w:r>
    </w:p>
    <w:p w:rsidR="009A6187" w:rsidRPr="001F6C32" w:rsidRDefault="009A6187" w:rsidP="001F6C32">
      <w:pPr>
        <w:pStyle w:val="ListParagraph"/>
        <w:numPr>
          <w:ilvl w:val="0"/>
          <w:numId w:val="97"/>
        </w:numPr>
        <w:rPr>
          <w:color w:val="000000"/>
          <w:lang w:val="en-US"/>
        </w:rPr>
      </w:pPr>
      <w:r w:rsidRPr="001F6C32">
        <w:rPr>
          <w:color w:val="000000"/>
          <w:lang w:val="en-US"/>
        </w:rPr>
        <w:t>promotion of Western Australia’s interests overseas;</w:t>
      </w:r>
    </w:p>
    <w:p w:rsidR="009A6187" w:rsidRPr="001F6C32" w:rsidRDefault="009A6187" w:rsidP="001F6C32">
      <w:pPr>
        <w:pStyle w:val="ListParagraph"/>
        <w:numPr>
          <w:ilvl w:val="0"/>
          <w:numId w:val="97"/>
        </w:numPr>
        <w:rPr>
          <w:color w:val="000000"/>
          <w:lang w:val="en-US"/>
        </w:rPr>
      </w:pPr>
      <w:r w:rsidRPr="001F6C32">
        <w:rPr>
          <w:color w:val="000000"/>
          <w:lang w:val="en-US"/>
        </w:rPr>
        <w:t>communication of Government policies and activities;</w:t>
      </w:r>
    </w:p>
    <w:p w:rsidR="009A6187" w:rsidRPr="001F6C32" w:rsidRDefault="009A6187" w:rsidP="001F6C32">
      <w:pPr>
        <w:pStyle w:val="ListParagraph"/>
        <w:numPr>
          <w:ilvl w:val="0"/>
          <w:numId w:val="97"/>
        </w:numPr>
        <w:rPr>
          <w:color w:val="000000"/>
          <w:lang w:val="en-US"/>
        </w:rPr>
      </w:pPr>
      <w:r w:rsidRPr="001F6C32">
        <w:rPr>
          <w:color w:val="000000"/>
          <w:lang w:val="en-US"/>
        </w:rPr>
        <w:t>support for the Executive Council;</w:t>
      </w:r>
    </w:p>
    <w:p w:rsidR="009A6187" w:rsidRPr="001F6C32" w:rsidRDefault="009A6187" w:rsidP="001F6C32">
      <w:pPr>
        <w:pStyle w:val="ListParagraph"/>
        <w:numPr>
          <w:ilvl w:val="0"/>
          <w:numId w:val="97"/>
        </w:numPr>
        <w:rPr>
          <w:color w:val="000000"/>
          <w:lang w:val="en-US"/>
        </w:rPr>
      </w:pPr>
      <w:r w:rsidRPr="001F6C32">
        <w:rPr>
          <w:color w:val="000000"/>
          <w:lang w:val="en-US"/>
        </w:rPr>
        <w:t>administration of entitlements for Members and former Members of Parliament;</w:t>
      </w:r>
    </w:p>
    <w:p w:rsidR="009A6187" w:rsidRPr="001F6C32" w:rsidRDefault="009A6187" w:rsidP="001F6C32">
      <w:pPr>
        <w:pStyle w:val="ListParagraph"/>
        <w:numPr>
          <w:ilvl w:val="0"/>
          <w:numId w:val="97"/>
        </w:numPr>
        <w:rPr>
          <w:color w:val="000000"/>
          <w:lang w:val="en-US"/>
        </w:rPr>
      </w:pPr>
      <w:r w:rsidRPr="001F6C32">
        <w:rPr>
          <w:color w:val="000000"/>
          <w:lang w:val="en-US"/>
        </w:rPr>
        <w:t>management of the State occasions and official visits programme;</w:t>
      </w:r>
    </w:p>
    <w:p w:rsidR="009A6187" w:rsidRPr="001F6C32" w:rsidRDefault="009A6187" w:rsidP="001F6C32">
      <w:pPr>
        <w:pStyle w:val="ListParagraph"/>
        <w:numPr>
          <w:ilvl w:val="0"/>
          <w:numId w:val="97"/>
        </w:numPr>
        <w:rPr>
          <w:color w:val="000000"/>
          <w:lang w:val="en-US"/>
        </w:rPr>
      </w:pPr>
      <w:r w:rsidRPr="001F6C32">
        <w:rPr>
          <w:color w:val="000000"/>
          <w:lang w:val="en-US"/>
        </w:rPr>
        <w:t>a secure, confidential and time-critical printing and publishing service for Parliament and Government; and</w:t>
      </w:r>
    </w:p>
    <w:p w:rsidR="009A6187" w:rsidRPr="001F6C32" w:rsidRDefault="009A6187" w:rsidP="001F6C32">
      <w:pPr>
        <w:pStyle w:val="ListParagraph"/>
        <w:numPr>
          <w:ilvl w:val="0"/>
          <w:numId w:val="97"/>
        </w:numPr>
        <w:rPr>
          <w:color w:val="000000"/>
          <w:lang w:val="en-US"/>
        </w:rPr>
      </w:pPr>
      <w:r w:rsidRPr="001F6C32">
        <w:rPr>
          <w:color w:val="000000"/>
          <w:lang w:val="en-US"/>
        </w:rPr>
        <w:t>management of exhibitions and programmes at the Constitutional Centre.</w:t>
      </w:r>
    </w:p>
    <w:p w:rsidR="009A6187" w:rsidRPr="009A6187" w:rsidRDefault="009A6187" w:rsidP="009A6187">
      <w:pPr>
        <w:rPr>
          <w:color w:val="000000"/>
          <w:lang w:val="en-US"/>
        </w:rPr>
      </w:pPr>
      <w:r w:rsidRPr="009A6187">
        <w:rPr>
          <w:color w:val="000000"/>
          <w:lang w:val="en-US"/>
        </w:rPr>
        <w:t>The major activities undertaken in Service 1 are reflected in the following key efficiency indicators. Explanations for e</w:t>
      </w:r>
      <w:r w:rsidR="001F6C32">
        <w:rPr>
          <w:color w:val="000000"/>
          <w:lang w:val="en-US"/>
        </w:rPr>
        <w:t>ach indicator follow the table.</w:t>
      </w:r>
    </w:p>
    <w:p w:rsidR="009A36D1" w:rsidRDefault="009A36D1">
      <w:pPr>
        <w:spacing w:line="276" w:lineRule="auto"/>
        <w:rPr>
          <w:rFonts w:ascii="Arial" w:hAnsi="Arial" w:cs="Arial"/>
          <w:color w:val="193A68"/>
          <w:sz w:val="28"/>
          <w:lang w:val="en-US"/>
        </w:rPr>
      </w:pPr>
      <w:r>
        <w:rPr>
          <w:sz w:val="28"/>
          <w:lang w:val="en-US"/>
        </w:rPr>
        <w:br w:type="page"/>
      </w:r>
    </w:p>
    <w:p w:rsidR="009A6187" w:rsidRPr="001F6C32" w:rsidRDefault="009A6187" w:rsidP="001F6C32">
      <w:pPr>
        <w:pStyle w:val="Heading7"/>
        <w:rPr>
          <w:color w:val="000000"/>
          <w:sz w:val="28"/>
          <w:lang w:val="en-US"/>
        </w:rPr>
      </w:pPr>
      <w:r w:rsidRPr="001F6C32">
        <w:rPr>
          <w:sz w:val="28"/>
          <w:lang w:val="en-US"/>
        </w:rPr>
        <w:t>Service 1:  Administration of Executive Government Services</w:t>
      </w:r>
    </w:p>
    <w:tbl>
      <w:tblPr>
        <w:tblW w:w="0" w:type="auto"/>
        <w:tblInd w:w="85" w:type="dxa"/>
        <w:tblBorders>
          <w:bottom w:val="single" w:sz="2" w:space="0" w:color="BCD331"/>
          <w:insideH w:val="single" w:sz="2" w:space="0" w:color="BCD331"/>
        </w:tblBorders>
        <w:tblLayout w:type="fixed"/>
        <w:tblCellMar>
          <w:left w:w="0" w:type="dxa"/>
          <w:right w:w="0" w:type="dxa"/>
        </w:tblCellMar>
        <w:tblLook w:val="0000" w:firstRow="0" w:lastRow="0" w:firstColumn="0" w:lastColumn="0" w:noHBand="0" w:noVBand="0"/>
      </w:tblPr>
      <w:tblGrid>
        <w:gridCol w:w="554"/>
        <w:gridCol w:w="5159"/>
        <w:gridCol w:w="1148"/>
        <w:gridCol w:w="1148"/>
        <w:gridCol w:w="1148"/>
        <w:gridCol w:w="1148"/>
      </w:tblGrid>
      <w:tr w:rsidR="009A6187" w:rsidRPr="009A6187" w:rsidTr="000115F1">
        <w:trPr>
          <w:trHeight w:val="793"/>
        </w:trPr>
        <w:tc>
          <w:tcPr>
            <w:tcW w:w="554" w:type="dxa"/>
            <w:tcBorders>
              <w:bottom w:val="single" w:sz="2" w:space="0" w:color="808080" w:themeColor="background1" w:themeShade="80"/>
            </w:tcBorders>
            <w:tcMar>
              <w:top w:w="85" w:type="dxa"/>
              <w:left w:w="85" w:type="dxa"/>
              <w:bottom w:w="85" w:type="dxa"/>
              <w:right w:w="85" w:type="dxa"/>
            </w:tcMar>
            <w:vAlign w:val="center"/>
          </w:tcPr>
          <w:p w:rsidR="009A6187" w:rsidRPr="009A6187" w:rsidRDefault="009A6187" w:rsidP="001F6C32">
            <w:pPr>
              <w:spacing w:after="0"/>
            </w:pPr>
          </w:p>
        </w:tc>
        <w:tc>
          <w:tcPr>
            <w:tcW w:w="5159" w:type="dxa"/>
            <w:tcBorders>
              <w:bottom w:val="single" w:sz="2" w:space="0" w:color="808080" w:themeColor="background1" w:themeShade="80"/>
            </w:tcBorders>
            <w:tcMar>
              <w:top w:w="85" w:type="dxa"/>
              <w:left w:w="85" w:type="dxa"/>
              <w:bottom w:w="85" w:type="dxa"/>
              <w:right w:w="85" w:type="dxa"/>
            </w:tcMar>
            <w:vAlign w:val="center"/>
          </w:tcPr>
          <w:p w:rsidR="009A6187" w:rsidRPr="009A6187" w:rsidRDefault="009A6187" w:rsidP="001F6C32">
            <w:pPr>
              <w:spacing w:after="0"/>
            </w:pPr>
          </w:p>
        </w:tc>
        <w:tc>
          <w:tcPr>
            <w:tcW w:w="1148" w:type="dxa"/>
            <w:tcBorders>
              <w:bottom w:val="single" w:sz="2" w:space="0" w:color="808080" w:themeColor="background1" w:themeShade="80"/>
            </w:tcBorders>
            <w:tcMar>
              <w:top w:w="85" w:type="dxa"/>
              <w:left w:w="85" w:type="dxa"/>
              <w:bottom w:w="85" w:type="dxa"/>
              <w:right w:w="85" w:type="dxa"/>
            </w:tcMar>
            <w:vAlign w:val="center"/>
          </w:tcPr>
          <w:p w:rsidR="009A6187" w:rsidRPr="009A6187" w:rsidRDefault="009A6187" w:rsidP="001F6C32">
            <w:pPr>
              <w:spacing w:after="0"/>
              <w:jc w:val="right"/>
              <w:rPr>
                <w:b/>
                <w:bCs/>
                <w:color w:val="000000"/>
                <w:lang w:val="en-US"/>
              </w:rPr>
            </w:pPr>
            <w:r w:rsidRPr="009A6187">
              <w:rPr>
                <w:b/>
                <w:bCs/>
                <w:color w:val="000000"/>
                <w:lang w:val="en-US"/>
              </w:rPr>
              <w:t>2012–13 Actual</w:t>
            </w:r>
          </w:p>
          <w:p w:rsidR="009A6187" w:rsidRPr="009A6187" w:rsidRDefault="009A6187" w:rsidP="001F6C32">
            <w:pPr>
              <w:spacing w:after="0"/>
              <w:jc w:val="right"/>
              <w:rPr>
                <w:color w:val="000000"/>
                <w:lang w:val="en-US"/>
              </w:rPr>
            </w:pPr>
            <w:r w:rsidRPr="009A6187">
              <w:rPr>
                <w:b/>
                <w:bCs/>
                <w:color w:val="000000"/>
                <w:lang w:val="en-US"/>
              </w:rPr>
              <w:t>$000</w:t>
            </w:r>
          </w:p>
        </w:tc>
        <w:tc>
          <w:tcPr>
            <w:tcW w:w="1148" w:type="dxa"/>
            <w:tcBorders>
              <w:bottom w:val="single" w:sz="2" w:space="0" w:color="808080" w:themeColor="background1" w:themeShade="80"/>
            </w:tcBorders>
            <w:tcMar>
              <w:top w:w="85" w:type="dxa"/>
              <w:left w:w="85" w:type="dxa"/>
              <w:bottom w:w="85" w:type="dxa"/>
              <w:right w:w="85" w:type="dxa"/>
            </w:tcMar>
            <w:vAlign w:val="center"/>
          </w:tcPr>
          <w:p w:rsidR="009A6187" w:rsidRPr="009A6187" w:rsidRDefault="009A6187" w:rsidP="001F6C32">
            <w:pPr>
              <w:spacing w:after="0"/>
              <w:jc w:val="right"/>
              <w:rPr>
                <w:b/>
                <w:bCs/>
                <w:color w:val="000000"/>
                <w:lang w:val="en-US"/>
              </w:rPr>
            </w:pPr>
            <w:r w:rsidRPr="009A6187">
              <w:rPr>
                <w:b/>
                <w:bCs/>
                <w:color w:val="000000"/>
                <w:lang w:val="en-US"/>
              </w:rPr>
              <w:t>2013–14 Actual</w:t>
            </w:r>
          </w:p>
          <w:p w:rsidR="009A6187" w:rsidRPr="009A6187" w:rsidRDefault="009A6187" w:rsidP="001F6C32">
            <w:pPr>
              <w:spacing w:after="0"/>
              <w:jc w:val="right"/>
              <w:rPr>
                <w:color w:val="000000"/>
                <w:lang w:val="en-US"/>
              </w:rPr>
            </w:pPr>
            <w:r w:rsidRPr="009A6187">
              <w:rPr>
                <w:b/>
                <w:bCs/>
                <w:color w:val="000000"/>
                <w:lang w:val="en-US"/>
              </w:rPr>
              <w:t>$000</w:t>
            </w:r>
          </w:p>
        </w:tc>
        <w:tc>
          <w:tcPr>
            <w:tcW w:w="1148" w:type="dxa"/>
            <w:tcBorders>
              <w:bottom w:val="single" w:sz="2" w:space="0" w:color="808080" w:themeColor="background1" w:themeShade="80"/>
            </w:tcBorders>
            <w:shd w:val="clear" w:color="auto" w:fill="F2F2F2" w:themeFill="background1" w:themeFillShade="F2"/>
            <w:tcMar>
              <w:top w:w="85" w:type="dxa"/>
              <w:left w:w="85" w:type="dxa"/>
              <w:bottom w:w="85" w:type="dxa"/>
              <w:right w:w="85" w:type="dxa"/>
            </w:tcMar>
            <w:vAlign w:val="center"/>
          </w:tcPr>
          <w:p w:rsidR="009A6187" w:rsidRPr="009A6187" w:rsidRDefault="009A6187" w:rsidP="001F6C32">
            <w:pPr>
              <w:spacing w:after="0"/>
              <w:jc w:val="right"/>
              <w:rPr>
                <w:color w:val="000000"/>
                <w:lang w:val="en-US"/>
              </w:rPr>
            </w:pPr>
            <w:r w:rsidRPr="009A6187">
              <w:rPr>
                <w:b/>
                <w:bCs/>
                <w:color w:val="000000"/>
                <w:lang w:val="en-US"/>
              </w:rPr>
              <w:t>2014–15 Actual</w:t>
            </w:r>
            <w:r w:rsidRPr="009A6187">
              <w:rPr>
                <w:b/>
                <w:bCs/>
                <w:color w:val="000000"/>
                <w:lang w:val="en-US"/>
              </w:rPr>
              <w:br/>
              <w:t>$000</w:t>
            </w:r>
          </w:p>
        </w:tc>
        <w:tc>
          <w:tcPr>
            <w:tcW w:w="1148" w:type="dxa"/>
            <w:tcBorders>
              <w:bottom w:val="single" w:sz="2" w:space="0" w:color="808080" w:themeColor="background1" w:themeShade="80"/>
            </w:tcBorders>
            <w:tcMar>
              <w:top w:w="85" w:type="dxa"/>
              <w:left w:w="85" w:type="dxa"/>
              <w:bottom w:w="85" w:type="dxa"/>
              <w:right w:w="85" w:type="dxa"/>
            </w:tcMar>
            <w:vAlign w:val="center"/>
          </w:tcPr>
          <w:p w:rsidR="009A6187" w:rsidRPr="009A6187" w:rsidRDefault="009A6187" w:rsidP="001F6C32">
            <w:pPr>
              <w:spacing w:after="0"/>
              <w:jc w:val="right"/>
              <w:rPr>
                <w:color w:val="000000"/>
                <w:lang w:val="en-US"/>
              </w:rPr>
            </w:pPr>
            <w:r w:rsidRPr="009A6187">
              <w:rPr>
                <w:b/>
                <w:bCs/>
                <w:color w:val="000000"/>
                <w:lang w:val="en-US"/>
              </w:rPr>
              <w:t>2014–15 Target</w:t>
            </w:r>
            <w:r w:rsidRPr="009A6187">
              <w:rPr>
                <w:b/>
                <w:bCs/>
                <w:color w:val="000000"/>
                <w:lang w:val="en-US"/>
              </w:rPr>
              <w:br/>
              <w:t>$000</w:t>
            </w:r>
          </w:p>
        </w:tc>
      </w:tr>
      <w:tr w:rsidR="009A6187" w:rsidRPr="009A6187" w:rsidTr="000115F1">
        <w:trPr>
          <w:trHeight w:val="1048"/>
        </w:trPr>
        <w:tc>
          <w:tcPr>
            <w:tcW w:w="5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1.1</w:t>
            </w:r>
          </w:p>
        </w:tc>
        <w:tc>
          <w:tcPr>
            <w:tcW w:w="5159"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operating cost per Ministerial Office (including Premier’s Office and Leader of the Opposition)</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2,537</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2,626</w:t>
            </w:r>
          </w:p>
        </w:tc>
        <w:tc>
          <w:tcPr>
            <w:tcW w:w="1148"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2,657</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2,557</w:t>
            </w:r>
          </w:p>
        </w:tc>
      </w:tr>
      <w:tr w:rsidR="009A6187" w:rsidRPr="009A6187" w:rsidTr="000115F1">
        <w:trPr>
          <w:trHeight w:val="992"/>
        </w:trPr>
        <w:tc>
          <w:tcPr>
            <w:tcW w:w="5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1.2</w:t>
            </w:r>
          </w:p>
        </w:tc>
        <w:tc>
          <w:tcPr>
            <w:tcW w:w="5159"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cost of support provided per Ministerial Office (including Premier’s Office and Leader of the Opposition)</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500</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1,692</w:t>
            </w:r>
          </w:p>
        </w:tc>
        <w:tc>
          <w:tcPr>
            <w:tcW w:w="1148"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1,434</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393</w:t>
            </w:r>
          </w:p>
        </w:tc>
      </w:tr>
      <w:tr w:rsidR="009A6187" w:rsidRPr="009A6187" w:rsidTr="000115F1">
        <w:trPr>
          <w:trHeight w:val="737"/>
        </w:trPr>
        <w:tc>
          <w:tcPr>
            <w:tcW w:w="5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1.3</w:t>
            </w:r>
          </w:p>
        </w:tc>
        <w:tc>
          <w:tcPr>
            <w:tcW w:w="5159"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cost representing Western Australia’s interests overseas (per region)</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1,478</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1,491</w:t>
            </w:r>
          </w:p>
        </w:tc>
        <w:tc>
          <w:tcPr>
            <w:tcW w:w="1148"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1,663</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1,411</w:t>
            </w:r>
          </w:p>
        </w:tc>
      </w:tr>
      <w:tr w:rsidR="009A6187" w:rsidRPr="009A6187" w:rsidTr="000115F1">
        <w:trPr>
          <w:trHeight w:val="708"/>
        </w:trPr>
        <w:tc>
          <w:tcPr>
            <w:tcW w:w="5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1.4</w:t>
            </w:r>
          </w:p>
        </w:tc>
        <w:tc>
          <w:tcPr>
            <w:tcW w:w="5159"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cost of entitlements per Member of Parliament</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370</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391</w:t>
            </w:r>
          </w:p>
        </w:tc>
        <w:tc>
          <w:tcPr>
            <w:tcW w:w="1148"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401</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371</w:t>
            </w:r>
          </w:p>
        </w:tc>
      </w:tr>
      <w:tr w:rsidR="009A6187" w:rsidRPr="009A6187" w:rsidTr="000115F1">
        <w:trPr>
          <w:trHeight w:val="698"/>
        </w:trPr>
        <w:tc>
          <w:tcPr>
            <w:tcW w:w="554"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1.5</w:t>
            </w:r>
          </w:p>
        </w:tc>
        <w:tc>
          <w:tcPr>
            <w:tcW w:w="5159"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cost of support provided per Member of Parliament</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18</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16</w:t>
            </w:r>
          </w:p>
        </w:tc>
        <w:tc>
          <w:tcPr>
            <w:tcW w:w="1148" w:type="dxa"/>
            <w:tcBorders>
              <w:top w:val="single" w:sz="2" w:space="0" w:color="808080" w:themeColor="background1" w:themeShade="80"/>
              <w:bottom w:val="single" w:sz="2" w:space="0" w:color="808080" w:themeColor="background1" w:themeShade="80"/>
            </w:tcBorders>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18</w:t>
            </w:r>
          </w:p>
        </w:tc>
        <w:tc>
          <w:tcPr>
            <w:tcW w:w="1148" w:type="dxa"/>
            <w:tcBorders>
              <w:top w:val="single" w:sz="2" w:space="0" w:color="808080" w:themeColor="background1" w:themeShade="80"/>
              <w:bottom w:val="single" w:sz="2" w:space="0" w:color="808080" w:themeColor="background1" w:themeShade="80"/>
            </w:tcBorders>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17</w:t>
            </w:r>
          </w:p>
        </w:tc>
      </w:tr>
    </w:tbl>
    <w:p w:rsidR="009A6187" w:rsidRPr="009A6187" w:rsidRDefault="009A6187" w:rsidP="009A6187">
      <w:pPr>
        <w:rPr>
          <w:color w:val="000000"/>
          <w:lang w:val="en-US"/>
        </w:rPr>
      </w:pPr>
    </w:p>
    <w:p w:rsidR="009A6187" w:rsidRPr="009A6187" w:rsidRDefault="009A6187" w:rsidP="001F6C32">
      <w:pPr>
        <w:pStyle w:val="Heading5"/>
        <w:rPr>
          <w:color w:val="000000"/>
          <w:lang w:val="en-US"/>
        </w:rPr>
      </w:pPr>
      <w:r w:rsidRPr="009A6187">
        <w:rPr>
          <w:lang w:val="en-US"/>
        </w:rPr>
        <w:t>Service 1: Key Efficiency Indicators Explanatory Notes</w:t>
      </w:r>
    </w:p>
    <w:p w:rsidR="009A6187" w:rsidRPr="009A6187" w:rsidRDefault="009A6187" w:rsidP="009A6187">
      <w:pPr>
        <w:rPr>
          <w:color w:val="000000"/>
          <w:lang w:val="en-US"/>
        </w:rPr>
      </w:pPr>
      <w:r w:rsidRPr="009A6187">
        <w:rPr>
          <w:b/>
          <w:bCs/>
          <w:color w:val="000000"/>
          <w:lang w:val="en-US"/>
        </w:rPr>
        <w:t>1.1 Average operating cost per Ministerial Office (including the Premier’s Office and Leader of the Opposition)</w:t>
      </w:r>
    </w:p>
    <w:p w:rsidR="009A6187" w:rsidRPr="009A6187" w:rsidRDefault="009A6187" w:rsidP="009A6187">
      <w:pPr>
        <w:rPr>
          <w:color w:val="000000"/>
          <w:lang w:val="en-US"/>
        </w:rPr>
      </w:pPr>
      <w:r w:rsidRPr="009A6187">
        <w:rPr>
          <w:color w:val="000000"/>
          <w:lang w:val="en-US"/>
        </w:rPr>
        <w:t>This indicator reports the average operational expense for each office (including the Premier’s Office and Leader of the Opposition) plus a proportion of the cost of executive support and corporate services allocated on an FTE basis.</w:t>
      </w:r>
    </w:p>
    <w:p w:rsidR="009A6187" w:rsidRPr="009A6187" w:rsidRDefault="009A6187" w:rsidP="009A6187">
      <w:pPr>
        <w:rPr>
          <w:color w:val="000000"/>
          <w:lang w:val="en-US"/>
        </w:rPr>
      </w:pPr>
      <w:r w:rsidRPr="009A6187">
        <w:rPr>
          <w:color w:val="000000"/>
          <w:lang w:val="en-US"/>
        </w:rPr>
        <w:t>This efficiency indicator includes all costs associated with the day-to-day operation of the ministerial offices including the Premier’s Office and the Leader of the Opposition.</w:t>
      </w:r>
    </w:p>
    <w:p w:rsidR="009A6187" w:rsidRPr="009A6187" w:rsidRDefault="009A6187" w:rsidP="009A6187">
      <w:pPr>
        <w:rPr>
          <w:color w:val="000000"/>
          <w:lang w:val="en-US"/>
        </w:rPr>
      </w:pPr>
      <w:r w:rsidRPr="009A6187">
        <w:rPr>
          <w:b/>
          <w:bCs/>
          <w:color w:val="000000"/>
          <w:lang w:val="en-US"/>
        </w:rPr>
        <w:t>1.2 Average cost of support provided per Ministerial Office (including the Premier’s Office and Leader of the Opposition)</w:t>
      </w:r>
    </w:p>
    <w:p w:rsidR="009A6187" w:rsidRPr="009A6187" w:rsidRDefault="009A6187" w:rsidP="009A6187">
      <w:pPr>
        <w:rPr>
          <w:color w:val="000000"/>
          <w:lang w:val="en-US"/>
        </w:rPr>
      </w:pPr>
      <w:r w:rsidRPr="009A6187">
        <w:rPr>
          <w:color w:val="000000"/>
          <w:lang w:val="en-US"/>
        </w:rPr>
        <w:t>This indicator reports the average expense for all Executive Government support functions per Ministerial Office (including the Premier’s Office and Leader of the Opposition) plus a proportion of the cost of executive support and corporate services allocated on an FTE basis.</w:t>
      </w:r>
    </w:p>
    <w:p w:rsidR="009A6187" w:rsidRPr="009A6187" w:rsidRDefault="009A6187" w:rsidP="009A6187">
      <w:pPr>
        <w:rPr>
          <w:color w:val="000000"/>
          <w:lang w:val="en-US"/>
        </w:rPr>
      </w:pPr>
      <w:r w:rsidRPr="009A6187">
        <w:rPr>
          <w:color w:val="000000"/>
          <w:lang w:val="en-US"/>
        </w:rPr>
        <w:t>Support to Ministerial Offices includes ceremonial and event advice; executive transport; and services related to Ministerial Office coordination, government media, correspondence, and the community access line.</w:t>
      </w:r>
    </w:p>
    <w:p w:rsidR="009A6187" w:rsidRPr="009A6187" w:rsidRDefault="009A6187" w:rsidP="009A6187">
      <w:pPr>
        <w:rPr>
          <w:color w:val="000000"/>
          <w:lang w:val="en-US"/>
        </w:rPr>
      </w:pPr>
      <w:r w:rsidRPr="009A6187">
        <w:rPr>
          <w:color w:val="000000"/>
          <w:lang w:val="en-US"/>
        </w:rPr>
        <w:t xml:space="preserve">The increase in the average cost of support provided to Ministerial Offices is as a result of the reclassification of costs previously attributable to performance indicators no longer reported, an approach which is consistent with prior years. </w:t>
      </w:r>
    </w:p>
    <w:p w:rsidR="009A6187" w:rsidRPr="009A6187" w:rsidRDefault="009A6187" w:rsidP="009A6187">
      <w:pPr>
        <w:rPr>
          <w:color w:val="000000"/>
          <w:lang w:val="en-US"/>
        </w:rPr>
      </w:pPr>
      <w:r w:rsidRPr="009A6187">
        <w:rPr>
          <w:b/>
          <w:bCs/>
          <w:color w:val="000000"/>
          <w:lang w:val="en-US"/>
        </w:rPr>
        <w:t>1.3 Average cost of representing Western Australia’s interests overseas (per region)</w:t>
      </w:r>
    </w:p>
    <w:p w:rsidR="009A6187" w:rsidRPr="009A6187" w:rsidRDefault="009A6187" w:rsidP="009A6187">
      <w:pPr>
        <w:rPr>
          <w:color w:val="000000"/>
          <w:lang w:val="en-US"/>
        </w:rPr>
      </w:pPr>
      <w:r w:rsidRPr="009A6187">
        <w:rPr>
          <w:color w:val="000000"/>
          <w:lang w:val="en-US"/>
        </w:rPr>
        <w:t xml:space="preserve">Overseas Offices are maintained in Europe (London), the Middle East (Dubai) and North Asia (Tokyo and Kobe) to attract foreign investment to Western Australia and promote Western Australian products and services.  The indicator is the average operational expense for all regions plus a proportion of the cost of executive support and corporate services allocated on an FTE basis. </w:t>
      </w:r>
    </w:p>
    <w:p w:rsidR="009A6187" w:rsidRPr="009A6187" w:rsidRDefault="009A6187" w:rsidP="009A6187">
      <w:pPr>
        <w:rPr>
          <w:color w:val="000000"/>
          <w:lang w:val="en-US"/>
        </w:rPr>
      </w:pPr>
      <w:r w:rsidRPr="009A6187">
        <w:rPr>
          <w:color w:val="000000"/>
          <w:lang w:val="en-US"/>
        </w:rPr>
        <w:t>Western Australia is represented in three regions: Europe, the Middle East and North Asia. The key efficiency indicator is average cost per region (the total cost divided by the number of regions). Expenditure for 2014–15 is greater than target primarily due to increased costs associated with maintaining the European office.</w:t>
      </w:r>
    </w:p>
    <w:p w:rsidR="009A6187" w:rsidRPr="009A6187" w:rsidRDefault="009A6187" w:rsidP="009A6187">
      <w:pPr>
        <w:rPr>
          <w:color w:val="000000"/>
          <w:lang w:val="en-US"/>
        </w:rPr>
      </w:pPr>
      <w:r w:rsidRPr="009A6187">
        <w:rPr>
          <w:b/>
          <w:bCs/>
          <w:color w:val="000000"/>
          <w:lang w:val="en-US"/>
        </w:rPr>
        <w:t>1.4 Average cost of entitlements per Member of Parliament</w:t>
      </w:r>
    </w:p>
    <w:p w:rsidR="009A6187" w:rsidRPr="009A6187" w:rsidRDefault="009A6187" w:rsidP="009A6187">
      <w:pPr>
        <w:rPr>
          <w:color w:val="000000"/>
          <w:lang w:val="en-US"/>
        </w:rPr>
      </w:pPr>
      <w:r w:rsidRPr="009A6187">
        <w:rPr>
          <w:color w:val="000000"/>
          <w:lang w:val="en-US"/>
        </w:rPr>
        <w:t>This indicator reports the average cost of entitlements per Member of Parliament. Entitlements are determined by the Salaries and Allowances Tribunal and include Electorate Office staffing and operational expenses, a fully serviced motor vehicle, imprest and electorate travel and Former Members’ entitlements. The indicator is the average cost per Member, including executive and corporate support overheads allocated on an FTE basis.</w:t>
      </w:r>
    </w:p>
    <w:p w:rsidR="009A6187" w:rsidRPr="009A6187" w:rsidRDefault="009A6187" w:rsidP="009A6187">
      <w:pPr>
        <w:rPr>
          <w:color w:val="000000"/>
          <w:lang w:val="en-US"/>
        </w:rPr>
      </w:pPr>
      <w:r w:rsidRPr="009A6187">
        <w:rPr>
          <w:color w:val="000000"/>
          <w:lang w:val="en-US"/>
        </w:rPr>
        <w:t>The efficiency indicator has increased from target as a technological refresh was undertaken during the year earlier than originally planned.</w:t>
      </w:r>
    </w:p>
    <w:p w:rsidR="009A6187" w:rsidRPr="009A6187" w:rsidRDefault="009A6187" w:rsidP="009A6187">
      <w:pPr>
        <w:rPr>
          <w:color w:val="000000"/>
          <w:lang w:val="en-US"/>
        </w:rPr>
      </w:pPr>
      <w:r w:rsidRPr="009A6187">
        <w:rPr>
          <w:b/>
          <w:bCs/>
          <w:color w:val="000000"/>
          <w:lang w:val="en-US"/>
        </w:rPr>
        <w:t xml:space="preserve">1.5 Average cost of support provided per Member of Parliament </w:t>
      </w:r>
    </w:p>
    <w:p w:rsidR="009A6187" w:rsidRPr="009A6187" w:rsidRDefault="009A6187" w:rsidP="009A6187">
      <w:pPr>
        <w:rPr>
          <w:color w:val="000000"/>
          <w:lang w:val="en-US"/>
        </w:rPr>
      </w:pPr>
      <w:r w:rsidRPr="009A6187">
        <w:rPr>
          <w:color w:val="000000"/>
          <w:lang w:val="en-US"/>
        </w:rPr>
        <w:t xml:space="preserve">This indicator reports the average expense for administrative support to Electorate Offices per Member, including a proportion of the cost of executive support and corporate services allocated on an FTE basis. </w:t>
      </w:r>
    </w:p>
    <w:p w:rsidR="009A6187" w:rsidRPr="009A6187" w:rsidRDefault="009A6187" w:rsidP="009A6187">
      <w:pPr>
        <w:rPr>
          <w:color w:val="000000"/>
          <w:lang w:val="en-US"/>
        </w:rPr>
      </w:pPr>
      <w:r w:rsidRPr="009A6187">
        <w:rPr>
          <w:color w:val="000000"/>
          <w:lang w:val="en-US"/>
        </w:rPr>
        <w:t>Average cost of support provided per Member of Parliament includes administration of entitlements, management of accommodation, and the salary of the assistant to the party whip, di</w:t>
      </w:r>
      <w:r w:rsidR="001F6C32">
        <w:rPr>
          <w:color w:val="000000"/>
          <w:lang w:val="en-US"/>
        </w:rPr>
        <w:t>vided by the number of Members.</w:t>
      </w:r>
    </w:p>
    <w:p w:rsidR="009A6187" w:rsidRPr="009A6187" w:rsidRDefault="009A6187" w:rsidP="001F6C32">
      <w:pPr>
        <w:pStyle w:val="Heading5"/>
        <w:rPr>
          <w:color w:val="000000"/>
          <w:lang w:val="en-US"/>
        </w:rPr>
      </w:pPr>
      <w:r w:rsidRPr="009A6187">
        <w:rPr>
          <w:lang w:val="en-US"/>
        </w:rPr>
        <w:t>Service 2: Government Policy Management</w:t>
      </w:r>
    </w:p>
    <w:p w:rsidR="009A6187" w:rsidRPr="009A6187" w:rsidRDefault="009A6187" w:rsidP="009A6187">
      <w:pPr>
        <w:rPr>
          <w:color w:val="000000"/>
          <w:lang w:val="en-US"/>
        </w:rPr>
      </w:pPr>
      <w:r w:rsidRPr="009A6187">
        <w:rPr>
          <w:color w:val="000000"/>
          <w:lang w:val="en-US"/>
        </w:rPr>
        <w:t>The Premier as the Head of Government and Minister for Science is the principal client for this service.  Services provided include, but are not limited to:</w:t>
      </w:r>
    </w:p>
    <w:p w:rsidR="009A6187" w:rsidRPr="009A6187" w:rsidRDefault="009A6187" w:rsidP="009A6187">
      <w:pPr>
        <w:rPr>
          <w:color w:val="000000"/>
          <w:lang w:val="en-US"/>
        </w:rPr>
      </w:pPr>
      <w:r w:rsidRPr="009A6187">
        <w:rPr>
          <w:color w:val="000000"/>
          <w:lang w:val="en-US"/>
        </w:rPr>
        <w:t>strategic policy advice and coordination to the Premier and Cabinet, leadership and coordination of cross-agency solutions to complex issues;</w:t>
      </w:r>
    </w:p>
    <w:p w:rsidR="009A6187" w:rsidRPr="009A6187" w:rsidRDefault="009A6187" w:rsidP="009A6187">
      <w:pPr>
        <w:rPr>
          <w:color w:val="000000"/>
          <w:lang w:val="en-US"/>
        </w:rPr>
      </w:pPr>
      <w:r w:rsidRPr="009A6187">
        <w:rPr>
          <w:color w:val="000000"/>
          <w:lang w:val="en-US"/>
        </w:rPr>
        <w:t xml:space="preserve">managing and coordinating Western Australian Government input into intergovernmental negotiations, and advice on Government positions on federal reform, treaties, </w:t>
      </w:r>
      <w:proofErr w:type="spellStart"/>
      <w:r w:rsidRPr="009A6187">
        <w:rPr>
          <w:color w:val="000000"/>
          <w:lang w:val="en-US"/>
        </w:rPr>
        <w:t>defence</w:t>
      </w:r>
      <w:proofErr w:type="spellEnd"/>
      <w:r w:rsidRPr="009A6187">
        <w:rPr>
          <w:color w:val="000000"/>
          <w:lang w:val="en-US"/>
        </w:rPr>
        <w:t xml:space="preserve"> and other matters raised through COAG and Council for Australian Federation; and</w:t>
      </w:r>
    </w:p>
    <w:p w:rsidR="009A6187" w:rsidRPr="009A6187" w:rsidRDefault="009A6187" w:rsidP="009A6187">
      <w:pPr>
        <w:rPr>
          <w:color w:val="000000"/>
          <w:lang w:val="en-US"/>
        </w:rPr>
      </w:pPr>
      <w:r w:rsidRPr="009A6187">
        <w:rPr>
          <w:color w:val="000000"/>
          <w:lang w:val="en-US"/>
        </w:rPr>
        <w:t>strategic, cross-portfolio advice on land, State and Commonwealth approvals and Indigenous issues.</w:t>
      </w:r>
    </w:p>
    <w:p w:rsidR="009A6187" w:rsidRPr="001F6C32" w:rsidRDefault="009A6187" w:rsidP="001F6C32">
      <w:pPr>
        <w:pStyle w:val="Heading7"/>
        <w:rPr>
          <w:color w:val="000000"/>
          <w:sz w:val="28"/>
          <w:lang w:val="en-US"/>
        </w:rPr>
      </w:pPr>
      <w:r w:rsidRPr="001F6C32">
        <w:rPr>
          <w:sz w:val="28"/>
          <w:lang w:val="en-US"/>
        </w:rPr>
        <w:t>Service 2:  Government Policy Management</w:t>
      </w:r>
    </w:p>
    <w:tbl>
      <w:tblPr>
        <w:tblW w:w="0" w:type="auto"/>
        <w:tblInd w:w="85" w:type="dxa"/>
        <w:tblBorders>
          <w:bottom w:val="single" w:sz="2" w:space="0" w:color="808080" w:themeColor="background1" w:themeShade="80"/>
          <w:insideH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554"/>
        <w:gridCol w:w="5159"/>
        <w:gridCol w:w="1148"/>
        <w:gridCol w:w="1148"/>
        <w:gridCol w:w="1148"/>
        <w:gridCol w:w="1148"/>
      </w:tblGrid>
      <w:tr w:rsidR="009A6187" w:rsidRPr="009A6187" w:rsidTr="000115F1">
        <w:trPr>
          <w:trHeight w:val="1029"/>
        </w:trPr>
        <w:tc>
          <w:tcPr>
            <w:tcW w:w="554" w:type="dxa"/>
            <w:tcMar>
              <w:top w:w="85" w:type="dxa"/>
              <w:left w:w="85" w:type="dxa"/>
              <w:bottom w:w="85" w:type="dxa"/>
              <w:right w:w="85" w:type="dxa"/>
            </w:tcMar>
            <w:vAlign w:val="center"/>
          </w:tcPr>
          <w:p w:rsidR="009A6187" w:rsidRPr="009A6187" w:rsidRDefault="009A6187" w:rsidP="001F6C32">
            <w:pPr>
              <w:spacing w:after="0"/>
            </w:pPr>
          </w:p>
        </w:tc>
        <w:tc>
          <w:tcPr>
            <w:tcW w:w="5159" w:type="dxa"/>
            <w:tcMar>
              <w:top w:w="85" w:type="dxa"/>
              <w:left w:w="85" w:type="dxa"/>
              <w:bottom w:w="85" w:type="dxa"/>
              <w:right w:w="85" w:type="dxa"/>
            </w:tcMar>
            <w:vAlign w:val="center"/>
          </w:tcPr>
          <w:p w:rsidR="009A6187" w:rsidRPr="009A6187" w:rsidRDefault="009A6187" w:rsidP="001F6C32">
            <w:pPr>
              <w:spacing w:after="0"/>
            </w:pPr>
          </w:p>
        </w:tc>
        <w:tc>
          <w:tcPr>
            <w:tcW w:w="1148" w:type="dxa"/>
            <w:tcMar>
              <w:top w:w="85" w:type="dxa"/>
              <w:left w:w="85" w:type="dxa"/>
              <w:bottom w:w="85" w:type="dxa"/>
              <w:right w:w="85" w:type="dxa"/>
            </w:tcMar>
            <w:vAlign w:val="center"/>
          </w:tcPr>
          <w:p w:rsidR="009A6187" w:rsidRPr="009A6187" w:rsidRDefault="009A6187" w:rsidP="001F6C32">
            <w:pPr>
              <w:spacing w:after="0"/>
              <w:jc w:val="right"/>
              <w:rPr>
                <w:b/>
                <w:bCs/>
                <w:color w:val="000000"/>
                <w:lang w:val="en-US"/>
              </w:rPr>
            </w:pPr>
            <w:r w:rsidRPr="009A6187">
              <w:rPr>
                <w:b/>
                <w:bCs/>
                <w:color w:val="000000"/>
                <w:lang w:val="en-US"/>
              </w:rPr>
              <w:t>2012–13 Actual</w:t>
            </w:r>
          </w:p>
          <w:p w:rsidR="009A6187" w:rsidRPr="009A6187" w:rsidRDefault="009A6187" w:rsidP="001F6C32">
            <w:pPr>
              <w:spacing w:after="0"/>
              <w:jc w:val="right"/>
              <w:rPr>
                <w:color w:val="000000"/>
                <w:lang w:val="en-US"/>
              </w:rPr>
            </w:pPr>
            <w:r w:rsidRPr="009A6187">
              <w:rPr>
                <w:b/>
                <w:bCs/>
                <w:color w:val="000000"/>
                <w:lang w:val="en-US"/>
              </w:rPr>
              <w:t>$000</w:t>
            </w:r>
          </w:p>
        </w:tc>
        <w:tc>
          <w:tcPr>
            <w:tcW w:w="1148" w:type="dxa"/>
            <w:tcMar>
              <w:top w:w="85" w:type="dxa"/>
              <w:left w:w="85" w:type="dxa"/>
              <w:bottom w:w="85" w:type="dxa"/>
              <w:right w:w="85" w:type="dxa"/>
            </w:tcMar>
            <w:vAlign w:val="center"/>
          </w:tcPr>
          <w:p w:rsidR="009A6187" w:rsidRPr="009A6187" w:rsidRDefault="009A6187" w:rsidP="001F6C32">
            <w:pPr>
              <w:spacing w:after="0"/>
              <w:jc w:val="right"/>
              <w:rPr>
                <w:b/>
                <w:bCs/>
                <w:color w:val="000000"/>
                <w:lang w:val="en-US"/>
              </w:rPr>
            </w:pPr>
            <w:r w:rsidRPr="009A6187">
              <w:rPr>
                <w:b/>
                <w:bCs/>
                <w:color w:val="000000"/>
                <w:lang w:val="en-US"/>
              </w:rPr>
              <w:t>2013–14 Actual</w:t>
            </w:r>
          </w:p>
          <w:p w:rsidR="009A6187" w:rsidRPr="009A6187" w:rsidRDefault="009A6187" w:rsidP="001F6C32">
            <w:pPr>
              <w:spacing w:after="0"/>
              <w:jc w:val="right"/>
              <w:rPr>
                <w:color w:val="000000"/>
                <w:lang w:val="en-US"/>
              </w:rPr>
            </w:pPr>
            <w:r w:rsidRPr="009A6187">
              <w:rPr>
                <w:b/>
                <w:bCs/>
                <w:color w:val="000000"/>
                <w:lang w:val="en-US"/>
              </w:rPr>
              <w:t>$000</w:t>
            </w:r>
          </w:p>
        </w:tc>
        <w:tc>
          <w:tcPr>
            <w:tcW w:w="1148" w:type="dxa"/>
            <w:shd w:val="clear" w:color="auto" w:fill="F2F2F2" w:themeFill="background1" w:themeFillShade="F2"/>
            <w:tcMar>
              <w:top w:w="85" w:type="dxa"/>
              <w:left w:w="85" w:type="dxa"/>
              <w:bottom w:w="85" w:type="dxa"/>
              <w:right w:w="85" w:type="dxa"/>
            </w:tcMar>
            <w:vAlign w:val="center"/>
          </w:tcPr>
          <w:p w:rsidR="009A6187" w:rsidRPr="009A6187" w:rsidRDefault="009A6187" w:rsidP="001F6C32">
            <w:pPr>
              <w:spacing w:after="0"/>
              <w:jc w:val="right"/>
              <w:rPr>
                <w:color w:val="000000"/>
                <w:lang w:val="en-US"/>
              </w:rPr>
            </w:pPr>
            <w:r w:rsidRPr="009A6187">
              <w:rPr>
                <w:b/>
                <w:bCs/>
                <w:color w:val="000000"/>
                <w:lang w:val="en-US"/>
              </w:rPr>
              <w:t>2014–15 Actual</w:t>
            </w:r>
            <w:r w:rsidRPr="009A6187">
              <w:rPr>
                <w:b/>
                <w:bCs/>
                <w:color w:val="000000"/>
                <w:lang w:val="en-US"/>
              </w:rPr>
              <w:br/>
              <w:t>$000</w:t>
            </w:r>
          </w:p>
        </w:tc>
        <w:tc>
          <w:tcPr>
            <w:tcW w:w="1148" w:type="dxa"/>
            <w:tcMar>
              <w:top w:w="85" w:type="dxa"/>
              <w:left w:w="85" w:type="dxa"/>
              <w:bottom w:w="85" w:type="dxa"/>
              <w:right w:w="85" w:type="dxa"/>
            </w:tcMar>
            <w:vAlign w:val="center"/>
          </w:tcPr>
          <w:p w:rsidR="009A6187" w:rsidRPr="009A6187" w:rsidRDefault="009A6187" w:rsidP="001F6C32">
            <w:pPr>
              <w:spacing w:after="0"/>
              <w:jc w:val="right"/>
              <w:rPr>
                <w:color w:val="000000"/>
                <w:lang w:val="en-US"/>
              </w:rPr>
            </w:pPr>
            <w:r w:rsidRPr="009A6187">
              <w:rPr>
                <w:b/>
                <w:bCs/>
                <w:color w:val="000000"/>
                <w:lang w:val="en-US"/>
              </w:rPr>
              <w:t>2014–15 Target</w:t>
            </w:r>
            <w:r w:rsidRPr="009A6187">
              <w:rPr>
                <w:b/>
                <w:bCs/>
                <w:color w:val="000000"/>
                <w:lang w:val="en-US"/>
              </w:rPr>
              <w:br/>
              <w:t>$000</w:t>
            </w:r>
          </w:p>
        </w:tc>
      </w:tr>
      <w:tr w:rsidR="009A6187" w:rsidRPr="009A6187" w:rsidTr="000115F1">
        <w:trPr>
          <w:trHeight w:val="708"/>
        </w:trPr>
        <w:tc>
          <w:tcPr>
            <w:tcW w:w="554" w:type="dxa"/>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2.1</w:t>
            </w:r>
          </w:p>
        </w:tc>
        <w:tc>
          <w:tcPr>
            <w:tcW w:w="5159" w:type="dxa"/>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cost per Government Indigenous Land Use Agreement (ILUA) managed</w:t>
            </w:r>
          </w:p>
        </w:tc>
        <w:tc>
          <w:tcPr>
            <w:tcW w:w="1148" w:type="dxa"/>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256</w:t>
            </w:r>
          </w:p>
        </w:tc>
        <w:tc>
          <w:tcPr>
            <w:tcW w:w="1148" w:type="dxa"/>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427</w:t>
            </w:r>
          </w:p>
        </w:tc>
        <w:tc>
          <w:tcPr>
            <w:tcW w:w="1148" w:type="dxa"/>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502</w:t>
            </w:r>
          </w:p>
        </w:tc>
        <w:tc>
          <w:tcPr>
            <w:tcW w:w="1148" w:type="dxa"/>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282</w:t>
            </w:r>
          </w:p>
        </w:tc>
      </w:tr>
      <w:tr w:rsidR="009A6187" w:rsidRPr="009A6187" w:rsidTr="000115F1">
        <w:trPr>
          <w:trHeight w:val="420"/>
        </w:trPr>
        <w:tc>
          <w:tcPr>
            <w:tcW w:w="554" w:type="dxa"/>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2.2</w:t>
            </w:r>
          </w:p>
        </w:tc>
        <w:tc>
          <w:tcPr>
            <w:tcW w:w="5159" w:type="dxa"/>
            <w:tcMar>
              <w:top w:w="85" w:type="dxa"/>
              <w:left w:w="85" w:type="dxa"/>
              <w:bottom w:w="85" w:type="dxa"/>
              <w:right w:w="85" w:type="dxa"/>
            </w:tcMar>
          </w:tcPr>
          <w:p w:rsidR="009A6187" w:rsidRPr="009A6187" w:rsidRDefault="009A6187" w:rsidP="001F6C32">
            <w:pPr>
              <w:spacing w:after="0"/>
              <w:rPr>
                <w:color w:val="000000"/>
                <w:lang w:val="en-US"/>
              </w:rPr>
            </w:pPr>
            <w:r w:rsidRPr="009A6187">
              <w:rPr>
                <w:color w:val="000000"/>
                <w:lang w:val="en-US"/>
              </w:rPr>
              <w:t>Average cost per Project ILUA managed</w:t>
            </w:r>
          </w:p>
        </w:tc>
        <w:tc>
          <w:tcPr>
            <w:tcW w:w="1148" w:type="dxa"/>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463</w:t>
            </w:r>
          </w:p>
        </w:tc>
        <w:tc>
          <w:tcPr>
            <w:tcW w:w="1148" w:type="dxa"/>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1,195</w:t>
            </w:r>
          </w:p>
        </w:tc>
        <w:tc>
          <w:tcPr>
            <w:tcW w:w="1148" w:type="dxa"/>
            <w:shd w:val="clear" w:color="auto" w:fill="F2F2F2" w:themeFill="background1" w:themeFillShade="F2"/>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908</w:t>
            </w:r>
          </w:p>
        </w:tc>
        <w:tc>
          <w:tcPr>
            <w:tcW w:w="1148" w:type="dxa"/>
            <w:tcMar>
              <w:top w:w="85" w:type="dxa"/>
              <w:left w:w="85" w:type="dxa"/>
              <w:bottom w:w="85" w:type="dxa"/>
              <w:right w:w="85" w:type="dxa"/>
            </w:tcMar>
          </w:tcPr>
          <w:p w:rsidR="009A6187" w:rsidRPr="009A6187" w:rsidRDefault="009A6187" w:rsidP="001F6C32">
            <w:pPr>
              <w:spacing w:after="0"/>
              <w:jc w:val="right"/>
              <w:rPr>
                <w:color w:val="000000"/>
                <w:lang w:val="en-US"/>
              </w:rPr>
            </w:pPr>
            <w:r w:rsidRPr="009A6187">
              <w:rPr>
                <w:color w:val="000000"/>
                <w:lang w:val="en-US"/>
              </w:rPr>
              <w:t>216</w:t>
            </w:r>
          </w:p>
        </w:tc>
      </w:tr>
    </w:tbl>
    <w:p w:rsidR="009A6187" w:rsidRPr="009A6187" w:rsidRDefault="009A6187" w:rsidP="009A6187">
      <w:pPr>
        <w:rPr>
          <w:color w:val="000000"/>
          <w:lang w:val="en-US"/>
        </w:rPr>
      </w:pPr>
    </w:p>
    <w:p w:rsidR="009A6187" w:rsidRPr="009A6187" w:rsidRDefault="009A6187" w:rsidP="001F6C32">
      <w:pPr>
        <w:pStyle w:val="Heading5"/>
        <w:rPr>
          <w:color w:val="000000"/>
          <w:lang w:val="en-US"/>
        </w:rPr>
      </w:pPr>
      <w:r w:rsidRPr="009A6187">
        <w:rPr>
          <w:lang w:val="en-US"/>
        </w:rPr>
        <w:t>Service 2: Key Efficiency Indicators Explanatory Notes</w:t>
      </w:r>
    </w:p>
    <w:p w:rsidR="009A6187" w:rsidRPr="009A6187" w:rsidRDefault="009A6187" w:rsidP="009A6187">
      <w:pPr>
        <w:rPr>
          <w:color w:val="000000"/>
          <w:lang w:val="en-US"/>
        </w:rPr>
      </w:pPr>
      <w:r w:rsidRPr="009A6187">
        <w:rPr>
          <w:b/>
          <w:bCs/>
          <w:color w:val="000000"/>
          <w:lang w:val="en-US"/>
        </w:rPr>
        <w:t>2.1 Average cost per Government Indigenous Land Use Agreement (ILUA) managed</w:t>
      </w:r>
    </w:p>
    <w:p w:rsidR="009A6187" w:rsidRPr="009A6187" w:rsidRDefault="009A6187" w:rsidP="009A6187">
      <w:pPr>
        <w:rPr>
          <w:color w:val="000000"/>
          <w:lang w:val="en-US"/>
        </w:rPr>
      </w:pPr>
      <w:r w:rsidRPr="009A6187">
        <w:rPr>
          <w:color w:val="000000"/>
          <w:lang w:val="en-US"/>
        </w:rPr>
        <w:t>The objectives of the Government ILUA process is consistent with the State’s strategic goal of Social and Environmental Responsibility: Ensuring that economic activity is managed in a socially and environmentally responsible manner for the long-term benefit of the State. It is anticipated that the Government ILUA will create greater efficiencies within Native Title approval processes, which in turn will promote economic activity and delivery of services to remote and regional areas of the State.</w:t>
      </w:r>
    </w:p>
    <w:p w:rsidR="009A6187" w:rsidRPr="009A6187" w:rsidRDefault="009A6187" w:rsidP="009A6187">
      <w:pPr>
        <w:rPr>
          <w:color w:val="000000"/>
          <w:lang w:val="en-US"/>
        </w:rPr>
      </w:pPr>
      <w:r w:rsidRPr="009A6187">
        <w:rPr>
          <w:color w:val="000000"/>
          <w:lang w:val="en-US"/>
        </w:rPr>
        <w:t>This efficiency indicator reports the cost of resources committed to the Department’s efforts in negotiating with native title claim groups towards an outcome, where a registered Government ILUA is anticipated.</w:t>
      </w:r>
    </w:p>
    <w:p w:rsidR="009A6187" w:rsidRPr="009A6187" w:rsidRDefault="009A6187" w:rsidP="009A6187">
      <w:pPr>
        <w:rPr>
          <w:color w:val="000000"/>
          <w:lang w:val="en-US"/>
        </w:rPr>
      </w:pPr>
      <w:r w:rsidRPr="009A6187">
        <w:rPr>
          <w:color w:val="000000"/>
          <w:lang w:val="en-US"/>
        </w:rPr>
        <w:t>A Government ILUA is an ILUA that addresses government business and specific future acts through the claims settlement process which are negotiated by the Land, Approvals and Native Title Unit.</w:t>
      </w:r>
    </w:p>
    <w:p w:rsidR="009A6187" w:rsidRPr="009A6187" w:rsidRDefault="009A6187" w:rsidP="009A6187">
      <w:pPr>
        <w:rPr>
          <w:color w:val="000000"/>
          <w:lang w:val="en-US"/>
        </w:rPr>
      </w:pPr>
      <w:r w:rsidRPr="009A6187">
        <w:rPr>
          <w:color w:val="000000"/>
          <w:lang w:val="en-US"/>
        </w:rPr>
        <w:t>The increase in the average cost per Government ILUA was primarily due to a decrease in the number of ILUAs managed from a target of 12 to an actual of 5 as at 30 June 2015.  An additional increase resulted from a reallocation of costs attributed to the Native Title functions of the Department, an approach which is consistent with prior years.</w:t>
      </w:r>
    </w:p>
    <w:p w:rsidR="009A6187" w:rsidRPr="009A6187" w:rsidRDefault="009A6187" w:rsidP="009A6187">
      <w:pPr>
        <w:rPr>
          <w:color w:val="000000"/>
          <w:lang w:val="en-US"/>
        </w:rPr>
      </w:pPr>
      <w:r w:rsidRPr="009A6187">
        <w:rPr>
          <w:b/>
          <w:bCs/>
          <w:color w:val="000000"/>
          <w:lang w:val="en-US"/>
        </w:rPr>
        <w:t>2.2 Average cost per Project ILUA managed</w:t>
      </w:r>
    </w:p>
    <w:p w:rsidR="009A6187" w:rsidRPr="009A6187" w:rsidRDefault="009A6187" w:rsidP="009A6187">
      <w:pPr>
        <w:rPr>
          <w:color w:val="000000"/>
          <w:lang w:val="en-US"/>
        </w:rPr>
      </w:pPr>
      <w:r w:rsidRPr="009A6187">
        <w:rPr>
          <w:color w:val="000000"/>
          <w:lang w:val="en-US"/>
        </w:rPr>
        <w:t xml:space="preserve">The Project ILUA process represents specific agreements negotiated with Native Title parties for either State significant projects or over smaller project areas. </w:t>
      </w:r>
    </w:p>
    <w:p w:rsidR="009A6187" w:rsidRPr="009A6187" w:rsidRDefault="009A6187" w:rsidP="009A6187">
      <w:pPr>
        <w:rPr>
          <w:color w:val="000000"/>
          <w:lang w:val="en-US"/>
        </w:rPr>
      </w:pPr>
      <w:r w:rsidRPr="009A6187">
        <w:rPr>
          <w:color w:val="000000"/>
          <w:lang w:val="en-US"/>
        </w:rPr>
        <w:t>This efficiency indicator reports on the cost of resources committed to:</w:t>
      </w:r>
    </w:p>
    <w:p w:rsidR="009A6187" w:rsidRPr="001F6C32" w:rsidRDefault="009A6187" w:rsidP="001F6C32">
      <w:pPr>
        <w:pStyle w:val="ListParagraph"/>
        <w:numPr>
          <w:ilvl w:val="0"/>
          <w:numId w:val="99"/>
        </w:numPr>
        <w:rPr>
          <w:color w:val="000000"/>
          <w:lang w:val="en-US"/>
        </w:rPr>
      </w:pPr>
      <w:r w:rsidRPr="001F6C32">
        <w:rPr>
          <w:color w:val="000000"/>
          <w:lang w:val="en-US"/>
        </w:rPr>
        <w:t>The negotiation of new Project ILUAs; and</w:t>
      </w:r>
    </w:p>
    <w:p w:rsidR="009A6187" w:rsidRPr="001F6C32" w:rsidRDefault="009A6187" w:rsidP="001F6C32">
      <w:pPr>
        <w:pStyle w:val="ListParagraph"/>
        <w:numPr>
          <w:ilvl w:val="0"/>
          <w:numId w:val="99"/>
        </w:numPr>
        <w:rPr>
          <w:color w:val="000000"/>
          <w:lang w:val="en-US"/>
        </w:rPr>
      </w:pPr>
      <w:r w:rsidRPr="001F6C32">
        <w:rPr>
          <w:color w:val="000000"/>
          <w:lang w:val="en-US"/>
        </w:rPr>
        <w:t>The management of existing Project ILUAs.</w:t>
      </w:r>
    </w:p>
    <w:p w:rsidR="009A6187" w:rsidRPr="009A6187" w:rsidRDefault="009A6187" w:rsidP="009A6187">
      <w:pPr>
        <w:rPr>
          <w:color w:val="000000"/>
          <w:lang w:val="en-US"/>
        </w:rPr>
      </w:pPr>
      <w:r w:rsidRPr="009A6187">
        <w:rPr>
          <w:color w:val="000000"/>
          <w:lang w:val="en-US"/>
        </w:rPr>
        <w:t xml:space="preserve">A Project ILUA is: </w:t>
      </w:r>
    </w:p>
    <w:p w:rsidR="009A6187" w:rsidRPr="001F6C32" w:rsidRDefault="009A6187" w:rsidP="001F6C32">
      <w:pPr>
        <w:pStyle w:val="ListParagraph"/>
        <w:numPr>
          <w:ilvl w:val="0"/>
          <w:numId w:val="98"/>
        </w:numPr>
        <w:rPr>
          <w:color w:val="000000"/>
          <w:lang w:val="en-US"/>
        </w:rPr>
      </w:pPr>
      <w:r w:rsidRPr="001F6C32">
        <w:rPr>
          <w:color w:val="000000"/>
          <w:lang w:val="en-US"/>
        </w:rPr>
        <w:t>a Government ILUA that has been registered by the National Native Title Tribunal, including as part of a claims settlement process;</w:t>
      </w:r>
    </w:p>
    <w:p w:rsidR="009A6187" w:rsidRPr="001F6C32" w:rsidRDefault="009A6187" w:rsidP="001F6C32">
      <w:pPr>
        <w:pStyle w:val="ListParagraph"/>
        <w:numPr>
          <w:ilvl w:val="0"/>
          <w:numId w:val="98"/>
        </w:numPr>
        <w:rPr>
          <w:color w:val="000000"/>
          <w:lang w:val="en-US"/>
        </w:rPr>
      </w:pPr>
      <w:r w:rsidRPr="001F6C32">
        <w:rPr>
          <w:color w:val="000000"/>
          <w:lang w:val="en-US"/>
        </w:rPr>
        <w:t>an ILUA related to a strategic  project being negotiated by the State  that involves a future act process; and/or</w:t>
      </w:r>
    </w:p>
    <w:p w:rsidR="009A6187" w:rsidRPr="001F6C32" w:rsidRDefault="009A6187" w:rsidP="001F6C32">
      <w:pPr>
        <w:pStyle w:val="ListParagraph"/>
        <w:numPr>
          <w:ilvl w:val="0"/>
          <w:numId w:val="98"/>
        </w:numPr>
        <w:rPr>
          <w:color w:val="000000"/>
          <w:lang w:val="en-US"/>
        </w:rPr>
      </w:pPr>
      <w:r w:rsidRPr="001F6C32">
        <w:rPr>
          <w:color w:val="000000"/>
          <w:lang w:val="en-US"/>
        </w:rPr>
        <w:t>an existing ILUA related to a strategic project that involves a future act process.</w:t>
      </w:r>
    </w:p>
    <w:p w:rsidR="009A6187" w:rsidRPr="009A6187" w:rsidRDefault="009A6187" w:rsidP="009A6187">
      <w:pPr>
        <w:rPr>
          <w:color w:val="000000"/>
          <w:lang w:val="en-US"/>
        </w:rPr>
      </w:pPr>
      <w:r w:rsidRPr="009A6187">
        <w:rPr>
          <w:color w:val="000000"/>
          <w:lang w:val="en-US"/>
        </w:rPr>
        <w:t>The increase in the average cost per project ILUA is as a result of a reallocation of costs attributed to the Native Title functions of the Department which is consistent with prior years.</w:t>
      </w:r>
    </w:p>
    <w:bookmarkEnd w:id="491"/>
    <w:bookmarkEnd w:id="492"/>
    <w:bookmarkEnd w:id="493"/>
    <w:bookmarkEnd w:id="494"/>
    <w:bookmarkEnd w:id="495"/>
    <w:p w:rsidR="0088045A" w:rsidRDefault="0088045A" w:rsidP="00064756">
      <w:r>
        <w:br w:type="page"/>
      </w:r>
    </w:p>
    <w:p w:rsidR="0088045A" w:rsidRPr="00E51E59" w:rsidRDefault="0088045A" w:rsidP="001F6C32">
      <w:pPr>
        <w:pStyle w:val="Heading2"/>
      </w:pPr>
      <w:bookmarkStart w:id="496" w:name="_Toc425370415"/>
      <w:bookmarkStart w:id="497" w:name="_Toc426104643"/>
      <w:bookmarkStart w:id="498" w:name="_Toc426397392"/>
      <w:bookmarkStart w:id="499" w:name="_Toc426637366"/>
      <w:bookmarkStart w:id="500" w:name="_Toc426637611"/>
      <w:bookmarkStart w:id="501" w:name="_Toc430547911"/>
      <w:r w:rsidRPr="00E51E59">
        <w:t>Other Financial Disclosures</w:t>
      </w:r>
      <w:bookmarkEnd w:id="496"/>
      <w:bookmarkEnd w:id="497"/>
      <w:bookmarkEnd w:id="498"/>
      <w:bookmarkEnd w:id="499"/>
      <w:bookmarkEnd w:id="500"/>
      <w:bookmarkEnd w:id="501"/>
    </w:p>
    <w:p w:rsidR="001F6C32" w:rsidRPr="001F6C32" w:rsidRDefault="001F6C32" w:rsidP="001F6C32">
      <w:pPr>
        <w:pStyle w:val="Heading3"/>
        <w:rPr>
          <w:color w:val="000000"/>
          <w:lang w:val="en-US"/>
        </w:rPr>
      </w:pPr>
      <w:r w:rsidRPr="001F6C32">
        <w:rPr>
          <w:lang w:val="en-GB"/>
        </w:rPr>
        <w:t>Pricing Policies</w:t>
      </w:r>
    </w:p>
    <w:p w:rsidR="001F6C32" w:rsidRPr="001F6C32" w:rsidRDefault="001F6C32" w:rsidP="001F6C32">
      <w:pPr>
        <w:rPr>
          <w:color w:val="000000"/>
          <w:lang w:val="en-US"/>
        </w:rPr>
      </w:pPr>
      <w:r w:rsidRPr="001F6C32">
        <w:rPr>
          <w:color w:val="000000"/>
          <w:lang w:val="en-US"/>
        </w:rPr>
        <w:t>Fees and charges for publications, Government Gazette advertising and subscription services are generally increased in line with the consumer price index as advised by the Department of Treasury.  Rates are structured to recover all costs including overheads and labour, and are part of the budget process with increases being approved by the responsible Minister (Premier) and Department of Treasury.</w:t>
      </w:r>
    </w:p>
    <w:p w:rsidR="001F6C32" w:rsidRPr="001F6C32" w:rsidRDefault="001F6C32" w:rsidP="001F6C32">
      <w:pPr>
        <w:pStyle w:val="Heading3"/>
        <w:rPr>
          <w:color w:val="000000"/>
          <w:lang w:val="en-US"/>
        </w:rPr>
      </w:pPr>
      <w:r w:rsidRPr="001F6C32">
        <w:rPr>
          <w:lang w:val="en-GB"/>
        </w:rPr>
        <w:t>Capital Works</w:t>
      </w:r>
    </w:p>
    <w:p w:rsidR="001F6C32" w:rsidRPr="001F6C32" w:rsidRDefault="001F6C32" w:rsidP="001F6C32">
      <w:pPr>
        <w:rPr>
          <w:color w:val="000000"/>
          <w:lang w:val="en-US"/>
        </w:rPr>
      </w:pPr>
      <w:r w:rsidRPr="001F6C32">
        <w:rPr>
          <w:color w:val="000000"/>
          <w:lang w:val="en-US"/>
        </w:rPr>
        <w:t>The Department incurred capital expenditure of $2.899 million during the financial year, predominately on ministerial office fit-outs.</w:t>
      </w:r>
    </w:p>
    <w:p w:rsidR="001F6C32" w:rsidRPr="001F6C32" w:rsidRDefault="001F6C32" w:rsidP="001F6C32">
      <w:pPr>
        <w:pStyle w:val="Heading3"/>
        <w:rPr>
          <w:color w:val="000000"/>
          <w:lang w:val="en-US"/>
        </w:rPr>
      </w:pPr>
      <w:r w:rsidRPr="001F6C32">
        <w:rPr>
          <w:lang w:val="en-GB"/>
        </w:rPr>
        <w:t>Employment and Industrial Relations</w:t>
      </w:r>
    </w:p>
    <w:p w:rsidR="001F6C32" w:rsidRPr="001F6C32" w:rsidRDefault="001F6C32" w:rsidP="001F6C32">
      <w:pPr>
        <w:pStyle w:val="Heading8"/>
      </w:pPr>
      <w:r w:rsidRPr="001F6C32">
        <w:t>Employee Profile</w:t>
      </w:r>
    </w:p>
    <w:p w:rsidR="001F6C32" w:rsidRPr="001F6C32" w:rsidRDefault="001F6C32" w:rsidP="001F6C32">
      <w:pPr>
        <w:rPr>
          <w:color w:val="000000"/>
          <w:lang w:val="en-US"/>
        </w:rPr>
      </w:pPr>
      <w:r w:rsidRPr="001F6C32">
        <w:rPr>
          <w:color w:val="000000"/>
          <w:lang w:val="en-US"/>
        </w:rPr>
        <w:t>The Department’s annual average full-time equivalent (FTE) employee figure for 2014–15 was 459, compared to the previous year’s average of 474.</w:t>
      </w:r>
    </w:p>
    <w:p w:rsidR="001F6C32" w:rsidRPr="001F6C32" w:rsidRDefault="001F6C32" w:rsidP="001F6C32">
      <w:pPr>
        <w:rPr>
          <w:color w:val="000000"/>
          <w:lang w:val="en-US"/>
        </w:rPr>
      </w:pPr>
      <w:r w:rsidRPr="001F6C32">
        <w:rPr>
          <w:color w:val="000000"/>
          <w:lang w:val="en-US"/>
        </w:rPr>
        <w:t xml:space="preserve">As at 30 June 2015, our workforce was comprised of 86 per cent permanent employees, 11 per cent fixed term employees and 3 per cent casual employees.  </w:t>
      </w:r>
    </w:p>
    <w:p w:rsidR="0088045A" w:rsidRPr="009A36D1" w:rsidRDefault="001F6C32" w:rsidP="001F6C32">
      <w:pPr>
        <w:rPr>
          <w:color w:val="000000"/>
          <w:lang w:val="en-US"/>
        </w:rPr>
      </w:pPr>
      <w:r w:rsidRPr="001F6C32">
        <w:rPr>
          <w:color w:val="000000"/>
          <w:lang w:val="en-US"/>
        </w:rPr>
        <w:t>In the Parliamentary Electorate Offices, an average of 191 FTE were engaged to support the State Members of Parliament during 2014–15, the same as the average of FTE</w:t>
      </w:r>
      <w:r w:rsidR="009A36D1">
        <w:rPr>
          <w:color w:val="000000"/>
          <w:lang w:val="en-US"/>
        </w:rPr>
        <w:t xml:space="preserve"> in the 2013–14 financial year.</w:t>
      </w:r>
    </w:p>
    <w:p w:rsidR="0088045A" w:rsidRPr="001F6C32" w:rsidRDefault="0088045A" w:rsidP="001F6C32">
      <w:pPr>
        <w:pStyle w:val="Heading3"/>
      </w:pPr>
      <w:bookmarkStart w:id="502" w:name="_Toc425370421"/>
      <w:bookmarkStart w:id="503" w:name="_Toc426104648"/>
      <w:bookmarkStart w:id="504" w:name="_Toc426397393"/>
      <w:bookmarkStart w:id="505" w:name="_Toc426637367"/>
      <w:bookmarkStart w:id="506" w:name="_Toc426637612"/>
      <w:r w:rsidRPr="001F6C32">
        <w:t>Ministerial Directions</w:t>
      </w:r>
      <w:bookmarkEnd w:id="502"/>
      <w:bookmarkEnd w:id="503"/>
      <w:bookmarkEnd w:id="504"/>
      <w:bookmarkEnd w:id="505"/>
      <w:bookmarkEnd w:id="506"/>
    </w:p>
    <w:p w:rsidR="0088045A" w:rsidRDefault="00E178DF" w:rsidP="00064756">
      <w:r>
        <w:t>No Ministerial directions</w:t>
      </w:r>
      <w:r w:rsidR="0088045A" w:rsidRPr="00E178DF">
        <w:t xml:space="preserve"> were received during the financial year.</w:t>
      </w:r>
    </w:p>
    <w:p w:rsidR="0088045A" w:rsidRDefault="0088045A" w:rsidP="00064756"/>
    <w:p w:rsidR="00681CE5" w:rsidRDefault="00681CE5">
      <w:pPr>
        <w:spacing w:line="276" w:lineRule="auto"/>
        <w:rPr>
          <w:rFonts w:ascii="Arial" w:eastAsia="Segoe UI" w:hAnsi="Arial" w:cs="Arial"/>
          <w:noProof/>
          <w:color w:val="365F91" w:themeColor="accent1" w:themeShade="BF"/>
          <w:kern w:val="24"/>
          <w:sz w:val="44"/>
          <w:szCs w:val="44"/>
          <w:lang w:eastAsia="en-AU"/>
        </w:rPr>
      </w:pPr>
      <w:bookmarkStart w:id="507" w:name="_Toc425370422"/>
      <w:bookmarkStart w:id="508" w:name="_Toc426104649"/>
      <w:bookmarkStart w:id="509" w:name="_Toc426397394"/>
      <w:bookmarkStart w:id="510" w:name="_Toc426637368"/>
      <w:bookmarkStart w:id="511" w:name="_Toc426637613"/>
      <w:bookmarkStart w:id="512" w:name="_Toc430547912"/>
      <w:r>
        <w:br w:type="page"/>
      </w:r>
    </w:p>
    <w:p w:rsidR="00DC2D59" w:rsidRPr="00E51E59" w:rsidRDefault="00DC2D59" w:rsidP="001465CA">
      <w:pPr>
        <w:pStyle w:val="Heading2"/>
      </w:pPr>
      <w:r w:rsidRPr="00E51E59">
        <w:t>Governance Disclosures</w:t>
      </w:r>
      <w:bookmarkEnd w:id="507"/>
      <w:bookmarkEnd w:id="508"/>
      <w:bookmarkEnd w:id="509"/>
      <w:bookmarkEnd w:id="510"/>
      <w:bookmarkEnd w:id="511"/>
      <w:bookmarkEnd w:id="512"/>
    </w:p>
    <w:p w:rsidR="001465CA" w:rsidRPr="001465CA" w:rsidRDefault="001465CA" w:rsidP="001465CA">
      <w:pPr>
        <w:pStyle w:val="Heading3"/>
        <w:rPr>
          <w:color w:val="000000"/>
          <w:lang w:val="en-US"/>
        </w:rPr>
      </w:pPr>
      <w:bookmarkStart w:id="513" w:name="_Toc425370429"/>
      <w:bookmarkStart w:id="514" w:name="_Toc426104656"/>
      <w:bookmarkStart w:id="515" w:name="_Toc426397395"/>
      <w:bookmarkStart w:id="516" w:name="_Toc426637369"/>
      <w:bookmarkStart w:id="517" w:name="_Toc426637614"/>
      <w:r w:rsidRPr="001465CA">
        <w:rPr>
          <w:lang w:val="en-GB"/>
        </w:rPr>
        <w:t>Conflicts of Interest</w:t>
      </w:r>
    </w:p>
    <w:p w:rsidR="001465CA" w:rsidRPr="001465CA" w:rsidRDefault="001465CA" w:rsidP="001465CA">
      <w:pPr>
        <w:rPr>
          <w:color w:val="000000"/>
          <w:lang w:val="en-US"/>
        </w:rPr>
      </w:pPr>
      <w:r w:rsidRPr="001465CA">
        <w:rPr>
          <w:color w:val="000000"/>
          <w:lang w:val="en-US"/>
        </w:rPr>
        <w:t>The Department placed a strong emphasis on the need for staff to comply with the Conflicts of Interest Policy, a commitment which has assisted in maintaining the Department’s impartiality and transparency of its business activities.</w:t>
      </w:r>
    </w:p>
    <w:p w:rsidR="001465CA" w:rsidRPr="001465CA" w:rsidRDefault="001465CA" w:rsidP="001465CA">
      <w:pPr>
        <w:rPr>
          <w:color w:val="000000"/>
          <w:lang w:val="en-US"/>
        </w:rPr>
      </w:pPr>
      <w:r w:rsidRPr="001465CA">
        <w:rPr>
          <w:color w:val="000000"/>
          <w:lang w:val="en-US"/>
        </w:rPr>
        <w:t>The Department educated and guided staff in the declaration and management of all actual, perceived and potential conflicts of interest.</w:t>
      </w:r>
    </w:p>
    <w:p w:rsidR="001465CA" w:rsidRPr="001465CA" w:rsidRDefault="001465CA" w:rsidP="001465CA">
      <w:pPr>
        <w:pStyle w:val="Heading3"/>
        <w:rPr>
          <w:color w:val="000000"/>
          <w:lang w:val="en-US"/>
        </w:rPr>
      </w:pPr>
      <w:r w:rsidRPr="001465CA">
        <w:rPr>
          <w:lang w:val="en-GB"/>
        </w:rPr>
        <w:t>Contracts with Senior Officers</w:t>
      </w:r>
    </w:p>
    <w:p w:rsidR="001465CA" w:rsidRPr="001465CA" w:rsidRDefault="001465CA" w:rsidP="001465CA">
      <w:pPr>
        <w:rPr>
          <w:color w:val="000000"/>
          <w:lang w:val="en-US"/>
        </w:rPr>
      </w:pPr>
      <w:r w:rsidRPr="001465CA">
        <w:rPr>
          <w:color w:val="000000"/>
          <w:lang w:val="en-US"/>
        </w:rPr>
        <w:t>At the date of reporting, other than normal contracts of employment of service, no senior officers or firms of which the senior officers are members, or entities in which senior officers have substantial interests, had any existing or proposed contracts with the Department and senior officers.</w:t>
      </w:r>
    </w:p>
    <w:p w:rsidR="001465CA" w:rsidRPr="001465CA" w:rsidRDefault="001465CA" w:rsidP="001465CA">
      <w:pPr>
        <w:pStyle w:val="Heading3"/>
        <w:rPr>
          <w:color w:val="000000"/>
          <w:lang w:val="en-US"/>
        </w:rPr>
      </w:pPr>
      <w:r w:rsidRPr="001465CA">
        <w:rPr>
          <w:lang w:val="en-GB"/>
        </w:rPr>
        <w:t>Internal Audit</w:t>
      </w:r>
    </w:p>
    <w:p w:rsidR="001465CA" w:rsidRPr="001465CA" w:rsidRDefault="001465CA" w:rsidP="001465CA">
      <w:pPr>
        <w:rPr>
          <w:color w:val="000000"/>
          <w:lang w:val="en-US"/>
        </w:rPr>
      </w:pPr>
      <w:r w:rsidRPr="001465CA">
        <w:rPr>
          <w:color w:val="000000"/>
          <w:lang w:val="en-US"/>
        </w:rPr>
        <w:t>The Department engaged an external contractor to undertake internal audit services for the year, activities which were overseen by the Internal Audit Committee and the Office of the Director General. The external contractor delivered eight internal audit reports on various aspects of the Department’s business.</w:t>
      </w:r>
    </w:p>
    <w:p w:rsidR="001465CA" w:rsidRPr="001465CA" w:rsidRDefault="001465CA" w:rsidP="001465CA">
      <w:pPr>
        <w:pStyle w:val="Heading3"/>
        <w:rPr>
          <w:color w:val="000000"/>
          <w:lang w:val="en-US"/>
        </w:rPr>
      </w:pPr>
      <w:r w:rsidRPr="001465CA">
        <w:rPr>
          <w:lang w:val="en-GB"/>
        </w:rPr>
        <w:t>External Audit</w:t>
      </w:r>
    </w:p>
    <w:p w:rsidR="001465CA" w:rsidRPr="001465CA" w:rsidRDefault="001465CA" w:rsidP="001465CA">
      <w:pPr>
        <w:rPr>
          <w:color w:val="000000"/>
          <w:lang w:val="en-US"/>
        </w:rPr>
      </w:pPr>
      <w:r w:rsidRPr="001465CA">
        <w:rPr>
          <w:color w:val="000000"/>
          <w:lang w:val="en-US"/>
        </w:rPr>
        <w:t>During 2014–15, the Department worked on addressing findings arising from a range of external audits conducted by the Office of the Auditor General, with a focus on improving processes and practices across the organisation.</w:t>
      </w:r>
    </w:p>
    <w:p w:rsidR="001465CA" w:rsidRPr="001465CA" w:rsidRDefault="001465CA" w:rsidP="001465CA">
      <w:pPr>
        <w:pStyle w:val="Heading3"/>
        <w:rPr>
          <w:color w:val="000000"/>
          <w:lang w:val="en-US"/>
        </w:rPr>
      </w:pPr>
      <w:r w:rsidRPr="001465CA">
        <w:rPr>
          <w:lang w:val="en-GB"/>
        </w:rPr>
        <w:t>Risk Management</w:t>
      </w:r>
    </w:p>
    <w:p w:rsidR="001465CA" w:rsidRPr="001465CA" w:rsidRDefault="001465CA" w:rsidP="001465CA">
      <w:pPr>
        <w:rPr>
          <w:color w:val="000000"/>
          <w:lang w:val="en-US"/>
        </w:rPr>
      </w:pPr>
      <w:r w:rsidRPr="001465CA">
        <w:rPr>
          <w:color w:val="000000"/>
          <w:lang w:val="en-US"/>
        </w:rPr>
        <w:t>The Department introduced a new risk management database and reporting tool. The new tool replaced the previous RiskBase system, owned and administered by RiskCover, and which is scheduled to be decommissioned in 2016. The reporting tool improves the way in which risk information is stored and reported across the organisation.</w:t>
      </w:r>
    </w:p>
    <w:p w:rsidR="001465CA" w:rsidRPr="001465CA" w:rsidRDefault="001465CA" w:rsidP="001465CA">
      <w:pPr>
        <w:pStyle w:val="Heading3"/>
        <w:rPr>
          <w:color w:val="000000"/>
          <w:lang w:val="en-US"/>
        </w:rPr>
      </w:pPr>
      <w:r w:rsidRPr="001465CA">
        <w:rPr>
          <w:lang w:val="en-GB"/>
        </w:rPr>
        <w:t>Contact with a Lobbyist</w:t>
      </w:r>
    </w:p>
    <w:p w:rsidR="001465CA" w:rsidRPr="001465CA" w:rsidRDefault="001465CA" w:rsidP="001465CA">
      <w:pPr>
        <w:rPr>
          <w:color w:val="000000"/>
          <w:lang w:val="en-US"/>
        </w:rPr>
      </w:pPr>
      <w:r w:rsidRPr="001465CA">
        <w:rPr>
          <w:color w:val="000000"/>
          <w:lang w:val="en-US"/>
        </w:rPr>
        <w:t xml:space="preserve">The Department ensured compliance with the Public Sector Commission’s </w:t>
      </w:r>
      <w:r w:rsidRPr="001465CA">
        <w:rPr>
          <w:i/>
          <w:color w:val="000000"/>
          <w:lang w:val="en-US"/>
        </w:rPr>
        <w:t>Contact with Lobbyist Code</w:t>
      </w:r>
      <w:r w:rsidRPr="001465CA">
        <w:rPr>
          <w:color w:val="000000"/>
          <w:lang w:val="en-US"/>
        </w:rPr>
        <w:t>.</w:t>
      </w:r>
    </w:p>
    <w:p w:rsidR="001465CA" w:rsidRDefault="001465CA">
      <w:pPr>
        <w:spacing w:line="276" w:lineRule="auto"/>
        <w:rPr>
          <w:rFonts w:ascii="Arial" w:eastAsia="Segoe UI" w:hAnsi="Arial" w:cs="Arial"/>
          <w:noProof/>
          <w:color w:val="006699"/>
          <w:kern w:val="24"/>
          <w:sz w:val="36"/>
          <w:szCs w:val="36"/>
          <w:lang w:eastAsia="en-AU"/>
        </w:rPr>
      </w:pPr>
      <w:r>
        <w:br w:type="page"/>
      </w:r>
    </w:p>
    <w:p w:rsidR="00DC2D59" w:rsidRPr="00E51E59" w:rsidRDefault="00DC2D59" w:rsidP="00C63A96">
      <w:pPr>
        <w:pStyle w:val="Heading3"/>
      </w:pPr>
      <w:r w:rsidRPr="00E51E59">
        <w:t>Board and Committee Remuneration</w:t>
      </w:r>
      <w:bookmarkEnd w:id="513"/>
      <w:bookmarkEnd w:id="514"/>
      <w:bookmarkEnd w:id="515"/>
      <w:bookmarkEnd w:id="516"/>
      <w:bookmarkEnd w:id="517"/>
    </w:p>
    <w:p w:rsidR="00DC2D59" w:rsidRPr="00E51E59" w:rsidRDefault="00DC2D59" w:rsidP="00C63A96">
      <w:pPr>
        <w:pStyle w:val="Heading4"/>
      </w:pPr>
      <w:bookmarkStart w:id="518" w:name="_Toc425370430"/>
      <w:bookmarkStart w:id="519" w:name="_Toc426104657"/>
      <w:r w:rsidRPr="00E51E59">
        <w:t>Constitutional Centre Advisory Board</w:t>
      </w:r>
      <w:bookmarkEnd w:id="518"/>
      <w:bookmarkEnd w:id="519"/>
    </w:p>
    <w:tbl>
      <w:tblPr>
        <w:tblW w:w="9938" w:type="dxa"/>
        <w:tblInd w:w="93" w:type="dxa"/>
        <w:tblBorders>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291"/>
        <w:gridCol w:w="2835"/>
        <w:gridCol w:w="2126"/>
        <w:gridCol w:w="1769"/>
        <w:gridCol w:w="1917"/>
      </w:tblGrid>
      <w:tr w:rsidR="00B9483C" w:rsidRPr="00BC76BB" w:rsidTr="000115F1">
        <w:trPr>
          <w:trHeight w:val="756"/>
        </w:trPr>
        <w:tc>
          <w:tcPr>
            <w:tcW w:w="1291" w:type="dxa"/>
            <w:shd w:val="clear" w:color="auto" w:fill="auto"/>
            <w:vAlign w:val="center"/>
            <w:hideMark/>
          </w:tcPr>
          <w:p w:rsidR="00B9483C" w:rsidRPr="00BC76BB" w:rsidRDefault="00B9483C" w:rsidP="007418B0">
            <w:pPr>
              <w:spacing w:after="0"/>
              <w:rPr>
                <w:b/>
                <w:lang w:eastAsia="en-AU"/>
              </w:rPr>
            </w:pPr>
            <w:r w:rsidRPr="00BC76BB">
              <w:rPr>
                <w:b/>
                <w:lang w:eastAsia="en-AU"/>
              </w:rPr>
              <w:t>Position</w:t>
            </w:r>
          </w:p>
        </w:tc>
        <w:tc>
          <w:tcPr>
            <w:tcW w:w="2835" w:type="dxa"/>
            <w:shd w:val="clear" w:color="auto" w:fill="auto"/>
            <w:vAlign w:val="center"/>
            <w:hideMark/>
          </w:tcPr>
          <w:p w:rsidR="00B9483C" w:rsidRPr="00BC76BB" w:rsidRDefault="00B9483C" w:rsidP="007418B0">
            <w:pPr>
              <w:spacing w:after="0"/>
              <w:rPr>
                <w:b/>
                <w:lang w:eastAsia="en-AU"/>
              </w:rPr>
            </w:pPr>
            <w:r w:rsidRPr="00BC76BB">
              <w:rPr>
                <w:b/>
                <w:lang w:eastAsia="en-AU"/>
              </w:rPr>
              <w:t>Name</w:t>
            </w:r>
          </w:p>
        </w:tc>
        <w:tc>
          <w:tcPr>
            <w:tcW w:w="2126" w:type="dxa"/>
            <w:shd w:val="clear" w:color="auto" w:fill="auto"/>
            <w:vAlign w:val="center"/>
            <w:hideMark/>
          </w:tcPr>
          <w:p w:rsidR="00B9483C" w:rsidRPr="00BC76BB" w:rsidRDefault="00B9483C" w:rsidP="007418B0">
            <w:pPr>
              <w:spacing w:after="0"/>
              <w:jc w:val="center"/>
              <w:rPr>
                <w:b/>
                <w:lang w:eastAsia="en-AU"/>
              </w:rPr>
            </w:pPr>
            <w:r w:rsidRPr="00BC76BB">
              <w:rPr>
                <w:b/>
                <w:lang w:eastAsia="en-AU"/>
              </w:rPr>
              <w:t>Type of remuneration</w:t>
            </w:r>
          </w:p>
        </w:tc>
        <w:tc>
          <w:tcPr>
            <w:tcW w:w="1769" w:type="dxa"/>
            <w:shd w:val="clear" w:color="auto" w:fill="auto"/>
            <w:vAlign w:val="center"/>
            <w:hideMark/>
          </w:tcPr>
          <w:p w:rsidR="00B9483C" w:rsidRPr="00BC76BB" w:rsidRDefault="00B9483C" w:rsidP="007418B0">
            <w:pPr>
              <w:spacing w:after="0"/>
              <w:jc w:val="center"/>
              <w:rPr>
                <w:b/>
                <w:lang w:eastAsia="en-AU"/>
              </w:rPr>
            </w:pPr>
            <w:r w:rsidRPr="00BC76BB">
              <w:rPr>
                <w:b/>
                <w:lang w:eastAsia="en-AU"/>
              </w:rPr>
              <w:t>Period of membership</w:t>
            </w:r>
          </w:p>
        </w:tc>
        <w:tc>
          <w:tcPr>
            <w:tcW w:w="1917" w:type="dxa"/>
            <w:shd w:val="clear" w:color="auto" w:fill="auto"/>
            <w:vAlign w:val="center"/>
            <w:hideMark/>
          </w:tcPr>
          <w:p w:rsidR="00B9483C" w:rsidRPr="00BC76BB" w:rsidRDefault="00B9483C" w:rsidP="007418B0">
            <w:pPr>
              <w:spacing w:after="0"/>
              <w:jc w:val="center"/>
              <w:rPr>
                <w:b/>
                <w:lang w:eastAsia="en-AU"/>
              </w:rPr>
            </w:pPr>
            <w:r w:rsidRPr="00BC76BB">
              <w:rPr>
                <w:b/>
                <w:lang w:eastAsia="en-AU"/>
              </w:rPr>
              <w:t>Gross/actual remuneration</w:t>
            </w:r>
          </w:p>
        </w:tc>
      </w:tr>
      <w:tr w:rsidR="00A427D4" w:rsidRPr="00B9483C" w:rsidTr="000115F1">
        <w:trPr>
          <w:trHeight w:val="688"/>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Chair</w:t>
            </w:r>
          </w:p>
        </w:tc>
        <w:tc>
          <w:tcPr>
            <w:tcW w:w="2835" w:type="dxa"/>
            <w:shd w:val="clear" w:color="auto" w:fill="auto"/>
            <w:vAlign w:val="center"/>
            <w:hideMark/>
          </w:tcPr>
          <w:p w:rsidR="00A427D4" w:rsidRPr="00B9483C" w:rsidRDefault="00A427D4" w:rsidP="00A25E19">
            <w:pPr>
              <w:spacing w:after="0"/>
              <w:rPr>
                <w:lang w:eastAsia="en-AU"/>
              </w:rPr>
            </w:pPr>
            <w:r>
              <w:rPr>
                <w:lang w:eastAsia="en-AU"/>
              </w:rPr>
              <w:t>Hon Bill Hassell</w:t>
            </w:r>
            <w:r w:rsidR="00A25E19">
              <w:rPr>
                <w:lang w:eastAsia="en-AU"/>
              </w:rPr>
              <w:t xml:space="preserve"> </w:t>
            </w:r>
            <w:r w:rsidRPr="00B9483C">
              <w:rPr>
                <w:lang w:eastAsia="en-AU"/>
              </w:rPr>
              <w:t>to 31 Oct 2014</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$306.00</w:t>
            </w:r>
          </w:p>
        </w:tc>
      </w:tr>
      <w:tr w:rsidR="00A427D4" w:rsidRPr="00B9483C" w:rsidTr="000115F1">
        <w:trPr>
          <w:trHeight w:val="561"/>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Chair/</w:t>
            </w:r>
            <w:r w:rsidR="007418B0">
              <w:rPr>
                <w:lang w:eastAsia="en-AU"/>
              </w:rPr>
              <w:t xml:space="preserve"> </w:t>
            </w:r>
            <w:r w:rsidRPr="00B9483C">
              <w:rPr>
                <w:lang w:eastAsia="en-AU"/>
              </w:rPr>
              <w:t>Deputy Chair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Hon Cheryl Edwardes</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$815.00</w:t>
            </w:r>
          </w:p>
        </w:tc>
      </w:tr>
      <w:tr w:rsidR="00A427D4" w:rsidRPr="00B9483C" w:rsidTr="000115F1">
        <w:trPr>
          <w:trHeight w:val="561"/>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Deputy Chair/</w:t>
            </w:r>
            <w:r w:rsidR="007418B0">
              <w:rPr>
                <w:lang w:eastAsia="en-AU"/>
              </w:rPr>
              <w:t xml:space="preserve"> </w:t>
            </w: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Prof Colleen Hayward</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$609.00</w:t>
            </w:r>
          </w:p>
        </w:tc>
      </w:tr>
      <w:tr w:rsidR="00A427D4" w:rsidRPr="00B9483C" w:rsidTr="000115F1">
        <w:trPr>
          <w:trHeight w:val="712"/>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A25E19">
            <w:pPr>
              <w:spacing w:after="0"/>
              <w:rPr>
                <w:lang w:eastAsia="en-AU"/>
              </w:rPr>
            </w:pPr>
            <w:r>
              <w:rPr>
                <w:lang w:eastAsia="en-AU"/>
              </w:rPr>
              <w:t>Mrs Anne Conti</w:t>
            </w:r>
            <w:r w:rsidR="00A25E19">
              <w:rPr>
                <w:lang w:eastAsia="en-AU"/>
              </w:rPr>
              <w:t xml:space="preserve"> </w:t>
            </w:r>
            <w:r w:rsidRPr="00B9483C">
              <w:rPr>
                <w:lang w:eastAsia="en-AU"/>
              </w:rPr>
              <w:t>to 31 Oct 2014</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$0.00</w:t>
            </w:r>
          </w:p>
        </w:tc>
      </w:tr>
      <w:tr w:rsidR="00A427D4" w:rsidRPr="00B9483C" w:rsidTr="000115F1">
        <w:trPr>
          <w:trHeight w:val="462"/>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Prof Harry Phillips</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$609.00</w:t>
            </w:r>
          </w:p>
        </w:tc>
      </w:tr>
      <w:tr w:rsidR="00A427D4" w:rsidRPr="00B9483C" w:rsidTr="000115F1">
        <w:trPr>
          <w:trHeight w:val="456"/>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Prof David Black</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$609.00</w:t>
            </w:r>
          </w:p>
        </w:tc>
      </w:tr>
      <w:tr w:rsidR="00A427D4" w:rsidRPr="00B9483C" w:rsidTr="000115F1">
        <w:trPr>
          <w:trHeight w:val="450"/>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Dr Janice Dudley *</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$669.90</w:t>
            </w:r>
          </w:p>
        </w:tc>
      </w:tr>
      <w:tr w:rsidR="00A427D4" w:rsidRPr="00B9483C" w:rsidTr="000115F1">
        <w:trPr>
          <w:trHeight w:val="444"/>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Ms Diana Warnock</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$609.00</w:t>
            </w:r>
          </w:p>
        </w:tc>
      </w:tr>
      <w:tr w:rsidR="00A427D4" w:rsidRPr="00B9483C" w:rsidTr="000115F1">
        <w:trPr>
          <w:trHeight w:val="452"/>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Hon John Cowdell</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$406.00</w:t>
            </w:r>
          </w:p>
        </w:tc>
      </w:tr>
      <w:tr w:rsidR="00A427D4" w:rsidRPr="00B9483C" w:rsidTr="000115F1">
        <w:trPr>
          <w:trHeight w:val="561"/>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25E19" w:rsidP="007418B0">
            <w:pPr>
              <w:spacing w:after="0"/>
              <w:rPr>
                <w:lang w:eastAsia="en-AU"/>
              </w:rPr>
            </w:pPr>
            <w:r>
              <w:rPr>
                <w:lang w:eastAsia="en-AU"/>
              </w:rPr>
              <w:t xml:space="preserve">Dr Sarah Murray </w:t>
            </w:r>
            <w:r w:rsidR="00A427D4" w:rsidRPr="00B9483C">
              <w:rPr>
                <w:lang w:eastAsia="en-AU"/>
              </w:rPr>
              <w:t>from 1 Nov 2014</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$406.00</w:t>
            </w:r>
          </w:p>
        </w:tc>
      </w:tr>
      <w:tr w:rsidR="00A427D4" w:rsidRPr="00B9483C" w:rsidTr="000115F1">
        <w:trPr>
          <w:trHeight w:val="754"/>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25E19" w:rsidP="007418B0">
            <w:pPr>
              <w:spacing w:after="0"/>
              <w:rPr>
                <w:lang w:eastAsia="en-AU"/>
              </w:rPr>
            </w:pPr>
            <w:r>
              <w:rPr>
                <w:lang w:eastAsia="en-AU"/>
              </w:rPr>
              <w:t xml:space="preserve">Hon Ray Halligan </w:t>
            </w:r>
            <w:r w:rsidR="00A427D4" w:rsidRPr="00B9483C">
              <w:rPr>
                <w:lang w:eastAsia="en-AU"/>
              </w:rPr>
              <w:t>from 1 Nov 2014</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Sitting Fee</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$406.00</w:t>
            </w:r>
          </w:p>
        </w:tc>
      </w:tr>
      <w:tr w:rsidR="00A427D4" w:rsidRPr="00B9483C" w:rsidTr="000115F1">
        <w:trPr>
          <w:trHeight w:val="431"/>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Hon Christine Wheeler</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N/A</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$0.00</w:t>
            </w:r>
          </w:p>
        </w:tc>
      </w:tr>
      <w:tr w:rsidR="00A427D4" w:rsidRPr="00B9483C" w:rsidTr="000115F1">
        <w:trPr>
          <w:trHeight w:val="409"/>
        </w:trPr>
        <w:tc>
          <w:tcPr>
            <w:tcW w:w="1291" w:type="dxa"/>
            <w:shd w:val="clear" w:color="auto" w:fill="auto"/>
            <w:vAlign w:val="center"/>
            <w:hideMark/>
          </w:tcPr>
          <w:p w:rsidR="00A427D4" w:rsidRPr="00B9483C" w:rsidRDefault="00A427D4" w:rsidP="007418B0">
            <w:pPr>
              <w:spacing w:after="0"/>
              <w:rPr>
                <w:lang w:eastAsia="en-AU"/>
              </w:rPr>
            </w:pPr>
            <w:r w:rsidRPr="00B9483C">
              <w:rPr>
                <w:lang w:eastAsia="en-AU"/>
              </w:rPr>
              <w:t>Member</w:t>
            </w:r>
          </w:p>
        </w:tc>
        <w:tc>
          <w:tcPr>
            <w:tcW w:w="2835" w:type="dxa"/>
            <w:shd w:val="clear" w:color="auto" w:fill="auto"/>
            <w:vAlign w:val="center"/>
            <w:hideMark/>
          </w:tcPr>
          <w:p w:rsidR="00A427D4" w:rsidRPr="00B9483C" w:rsidRDefault="00A427D4" w:rsidP="007418B0">
            <w:pPr>
              <w:spacing w:after="0"/>
              <w:rPr>
                <w:lang w:eastAsia="en-AU"/>
              </w:rPr>
            </w:pPr>
            <w:r w:rsidRPr="00B9483C">
              <w:rPr>
                <w:lang w:eastAsia="en-AU"/>
              </w:rPr>
              <w:t>Mr Grant Donaldson SC</w:t>
            </w:r>
          </w:p>
        </w:tc>
        <w:tc>
          <w:tcPr>
            <w:tcW w:w="2126" w:type="dxa"/>
            <w:shd w:val="clear" w:color="auto" w:fill="auto"/>
            <w:vAlign w:val="center"/>
            <w:hideMark/>
          </w:tcPr>
          <w:p w:rsidR="00A427D4" w:rsidRPr="00B9483C" w:rsidRDefault="00A427D4" w:rsidP="007418B0">
            <w:pPr>
              <w:spacing w:after="0"/>
              <w:jc w:val="center"/>
              <w:rPr>
                <w:lang w:eastAsia="en-AU"/>
              </w:rPr>
            </w:pPr>
            <w:r w:rsidRPr="00B9483C">
              <w:rPr>
                <w:lang w:eastAsia="en-AU"/>
              </w:rPr>
              <w:t>N/A</w:t>
            </w:r>
          </w:p>
        </w:tc>
        <w:tc>
          <w:tcPr>
            <w:tcW w:w="1769" w:type="dxa"/>
            <w:shd w:val="clear" w:color="auto" w:fill="auto"/>
            <w:vAlign w:val="center"/>
            <w:hideMark/>
          </w:tcPr>
          <w:p w:rsidR="00A427D4" w:rsidRPr="00B9483C" w:rsidRDefault="00A427D4" w:rsidP="007418B0">
            <w:pPr>
              <w:spacing w:after="0"/>
              <w:jc w:val="center"/>
              <w:rPr>
                <w:lang w:eastAsia="en-AU"/>
              </w:rPr>
            </w:pPr>
            <w:r w:rsidRPr="00B9483C">
              <w:rPr>
                <w:lang w:eastAsia="en-AU"/>
              </w:rPr>
              <w:t>3 years</w:t>
            </w:r>
          </w:p>
        </w:tc>
        <w:tc>
          <w:tcPr>
            <w:tcW w:w="1917" w:type="dxa"/>
            <w:shd w:val="clear" w:color="auto" w:fill="auto"/>
            <w:vAlign w:val="center"/>
            <w:hideMark/>
          </w:tcPr>
          <w:p w:rsidR="00A427D4" w:rsidRDefault="00A427D4" w:rsidP="007418B0">
            <w:pPr>
              <w:spacing w:after="0"/>
              <w:jc w:val="right"/>
            </w:pPr>
            <w:r>
              <w:t>$0.00</w:t>
            </w:r>
          </w:p>
        </w:tc>
      </w:tr>
      <w:tr w:rsidR="00BC76BB" w:rsidRPr="00BC76BB" w:rsidTr="000115F1">
        <w:trPr>
          <w:trHeight w:val="414"/>
        </w:trPr>
        <w:tc>
          <w:tcPr>
            <w:tcW w:w="1291" w:type="dxa"/>
            <w:shd w:val="clear" w:color="auto" w:fill="auto"/>
            <w:vAlign w:val="center"/>
            <w:hideMark/>
          </w:tcPr>
          <w:p w:rsidR="00A427D4" w:rsidRPr="00BC76BB" w:rsidRDefault="00A427D4" w:rsidP="007418B0">
            <w:pPr>
              <w:spacing w:after="0"/>
              <w:rPr>
                <w:b/>
                <w:lang w:eastAsia="en-AU"/>
              </w:rPr>
            </w:pPr>
          </w:p>
        </w:tc>
        <w:tc>
          <w:tcPr>
            <w:tcW w:w="2835" w:type="dxa"/>
            <w:shd w:val="clear" w:color="auto" w:fill="auto"/>
            <w:vAlign w:val="center"/>
            <w:hideMark/>
          </w:tcPr>
          <w:p w:rsidR="00A427D4" w:rsidRPr="00BC76BB" w:rsidRDefault="00A427D4" w:rsidP="007418B0">
            <w:pPr>
              <w:spacing w:after="0"/>
              <w:rPr>
                <w:b/>
                <w:lang w:eastAsia="en-AU"/>
              </w:rPr>
            </w:pPr>
          </w:p>
        </w:tc>
        <w:tc>
          <w:tcPr>
            <w:tcW w:w="2126" w:type="dxa"/>
            <w:shd w:val="clear" w:color="auto" w:fill="auto"/>
            <w:vAlign w:val="center"/>
            <w:hideMark/>
          </w:tcPr>
          <w:p w:rsidR="00A427D4" w:rsidRPr="00BC76BB" w:rsidRDefault="00A427D4" w:rsidP="007418B0">
            <w:pPr>
              <w:spacing w:after="0"/>
              <w:rPr>
                <w:b/>
                <w:lang w:eastAsia="en-AU"/>
              </w:rPr>
            </w:pPr>
          </w:p>
        </w:tc>
        <w:tc>
          <w:tcPr>
            <w:tcW w:w="1769" w:type="dxa"/>
            <w:shd w:val="clear" w:color="auto" w:fill="auto"/>
            <w:vAlign w:val="center"/>
            <w:hideMark/>
          </w:tcPr>
          <w:p w:rsidR="00A427D4" w:rsidRPr="00BC76BB" w:rsidRDefault="00A427D4" w:rsidP="002B7277">
            <w:pPr>
              <w:spacing w:after="0"/>
              <w:jc w:val="center"/>
              <w:rPr>
                <w:b/>
                <w:lang w:eastAsia="en-AU"/>
              </w:rPr>
            </w:pPr>
            <w:r w:rsidRPr="00BC76BB">
              <w:rPr>
                <w:b/>
                <w:lang w:eastAsia="en-AU"/>
              </w:rPr>
              <w:t>Total</w:t>
            </w:r>
          </w:p>
        </w:tc>
        <w:tc>
          <w:tcPr>
            <w:tcW w:w="1917" w:type="dxa"/>
            <w:shd w:val="clear" w:color="auto" w:fill="auto"/>
            <w:vAlign w:val="center"/>
            <w:hideMark/>
          </w:tcPr>
          <w:p w:rsidR="00A427D4" w:rsidRPr="00BC76BB" w:rsidRDefault="00A427D4" w:rsidP="007418B0">
            <w:pPr>
              <w:spacing w:after="0"/>
              <w:jc w:val="right"/>
              <w:rPr>
                <w:b/>
              </w:rPr>
            </w:pPr>
            <w:r w:rsidRPr="00BC76BB">
              <w:rPr>
                <w:b/>
              </w:rPr>
              <w:t>$5,444.90</w:t>
            </w:r>
          </w:p>
        </w:tc>
      </w:tr>
    </w:tbl>
    <w:p w:rsidR="00DC2D59" w:rsidRPr="00A97261" w:rsidRDefault="00A97261" w:rsidP="001465CA">
      <w:r>
        <w:br/>
      </w:r>
      <w:r w:rsidR="00A427D4" w:rsidRPr="00A97261">
        <w:t>* Fees paid to Murdoch University and incurs GST.</w:t>
      </w:r>
    </w:p>
    <w:p w:rsidR="00DC2D59" w:rsidRDefault="00DC2D59" w:rsidP="001465CA"/>
    <w:p w:rsidR="00DC2D59" w:rsidRDefault="00DC2D59" w:rsidP="00064756">
      <w:r>
        <w:br w:type="page"/>
      </w:r>
    </w:p>
    <w:p w:rsidR="00DC2D59" w:rsidRPr="00814289" w:rsidRDefault="00DC2D59" w:rsidP="00C63A96">
      <w:pPr>
        <w:pStyle w:val="Heading4"/>
      </w:pPr>
      <w:bookmarkStart w:id="520" w:name="_Toc425370431"/>
      <w:bookmarkStart w:id="521" w:name="_Toc426104658"/>
      <w:r w:rsidRPr="00E51E59">
        <w:t>Partnership Forum</w:t>
      </w:r>
      <w:bookmarkEnd w:id="520"/>
      <w:bookmarkEnd w:id="521"/>
    </w:p>
    <w:tbl>
      <w:tblPr>
        <w:tblW w:w="9938" w:type="dxa"/>
        <w:tblInd w:w="93" w:type="dxa"/>
        <w:tblBorders>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575"/>
        <w:gridCol w:w="2835"/>
        <w:gridCol w:w="1842"/>
        <w:gridCol w:w="1769"/>
        <w:gridCol w:w="1917"/>
      </w:tblGrid>
      <w:tr w:rsidR="00814289" w:rsidRPr="00BC76BB" w:rsidTr="000115F1">
        <w:trPr>
          <w:trHeight w:val="756"/>
        </w:trPr>
        <w:tc>
          <w:tcPr>
            <w:tcW w:w="1575" w:type="dxa"/>
            <w:shd w:val="clear" w:color="auto" w:fill="auto"/>
            <w:vAlign w:val="center"/>
            <w:hideMark/>
          </w:tcPr>
          <w:p w:rsidR="00814289" w:rsidRPr="00BC76BB" w:rsidRDefault="00814289" w:rsidP="00814289">
            <w:pPr>
              <w:spacing w:after="0"/>
              <w:rPr>
                <w:b/>
                <w:lang w:eastAsia="en-AU"/>
              </w:rPr>
            </w:pPr>
            <w:r w:rsidRPr="00BC76BB">
              <w:rPr>
                <w:b/>
                <w:lang w:eastAsia="en-AU"/>
              </w:rPr>
              <w:t>Position</w:t>
            </w:r>
          </w:p>
        </w:tc>
        <w:tc>
          <w:tcPr>
            <w:tcW w:w="2835" w:type="dxa"/>
            <w:shd w:val="clear" w:color="auto" w:fill="auto"/>
            <w:vAlign w:val="center"/>
            <w:hideMark/>
          </w:tcPr>
          <w:p w:rsidR="00814289" w:rsidRPr="00BC76BB" w:rsidRDefault="00814289" w:rsidP="00814289">
            <w:pPr>
              <w:spacing w:after="0"/>
              <w:rPr>
                <w:b/>
                <w:lang w:eastAsia="en-AU"/>
              </w:rPr>
            </w:pPr>
            <w:r w:rsidRPr="00BC76BB">
              <w:rPr>
                <w:b/>
                <w:lang w:eastAsia="en-AU"/>
              </w:rPr>
              <w:t>Name</w:t>
            </w:r>
          </w:p>
        </w:tc>
        <w:tc>
          <w:tcPr>
            <w:tcW w:w="1842" w:type="dxa"/>
            <w:shd w:val="clear" w:color="auto" w:fill="auto"/>
            <w:vAlign w:val="center"/>
            <w:hideMark/>
          </w:tcPr>
          <w:p w:rsidR="00814289" w:rsidRPr="00BC76BB" w:rsidRDefault="00814289" w:rsidP="00814289">
            <w:pPr>
              <w:spacing w:after="0"/>
              <w:jc w:val="center"/>
              <w:rPr>
                <w:b/>
                <w:lang w:eastAsia="en-AU"/>
              </w:rPr>
            </w:pPr>
            <w:r w:rsidRPr="00BC76BB">
              <w:rPr>
                <w:b/>
                <w:lang w:eastAsia="en-AU"/>
              </w:rPr>
              <w:t>Type of remuneration</w:t>
            </w:r>
          </w:p>
        </w:tc>
        <w:tc>
          <w:tcPr>
            <w:tcW w:w="1769" w:type="dxa"/>
            <w:shd w:val="clear" w:color="auto" w:fill="auto"/>
            <w:vAlign w:val="center"/>
            <w:hideMark/>
          </w:tcPr>
          <w:p w:rsidR="00814289" w:rsidRPr="00BC76BB" w:rsidRDefault="00814289" w:rsidP="00814289">
            <w:pPr>
              <w:spacing w:after="0"/>
              <w:jc w:val="center"/>
              <w:rPr>
                <w:b/>
                <w:lang w:eastAsia="en-AU"/>
              </w:rPr>
            </w:pPr>
            <w:r w:rsidRPr="00BC76BB">
              <w:rPr>
                <w:b/>
                <w:lang w:eastAsia="en-AU"/>
              </w:rPr>
              <w:t>Period of membership</w:t>
            </w:r>
          </w:p>
        </w:tc>
        <w:tc>
          <w:tcPr>
            <w:tcW w:w="1917" w:type="dxa"/>
            <w:shd w:val="clear" w:color="auto" w:fill="auto"/>
            <w:vAlign w:val="center"/>
            <w:hideMark/>
          </w:tcPr>
          <w:p w:rsidR="00814289" w:rsidRPr="00BC76BB" w:rsidRDefault="00814289" w:rsidP="00814289">
            <w:pPr>
              <w:spacing w:after="0"/>
              <w:jc w:val="center"/>
              <w:rPr>
                <w:b/>
                <w:lang w:eastAsia="en-AU"/>
              </w:rPr>
            </w:pPr>
            <w:r w:rsidRPr="00BC76BB">
              <w:rPr>
                <w:b/>
                <w:lang w:eastAsia="en-AU"/>
              </w:rPr>
              <w:t>Gross/actual remuneration</w:t>
            </w:r>
          </w:p>
        </w:tc>
      </w:tr>
      <w:tr w:rsidR="00814289" w:rsidRPr="00B9483C" w:rsidTr="000115F1">
        <w:trPr>
          <w:trHeight w:val="463"/>
        </w:trPr>
        <w:tc>
          <w:tcPr>
            <w:tcW w:w="1575" w:type="dxa"/>
            <w:shd w:val="clear" w:color="auto" w:fill="auto"/>
            <w:vAlign w:val="center"/>
          </w:tcPr>
          <w:p w:rsidR="00814289" w:rsidRPr="00B9483C" w:rsidRDefault="00814289" w:rsidP="00814289">
            <w:pPr>
              <w:spacing w:after="0"/>
              <w:rPr>
                <w:lang w:eastAsia="en-AU"/>
              </w:rPr>
            </w:pPr>
            <w:r>
              <w:rPr>
                <w:lang w:eastAsia="en-AU"/>
              </w:rPr>
              <w:t>Chair</w:t>
            </w:r>
          </w:p>
        </w:tc>
        <w:tc>
          <w:tcPr>
            <w:tcW w:w="2835" w:type="dxa"/>
            <w:shd w:val="clear" w:color="auto" w:fill="auto"/>
            <w:vAlign w:val="center"/>
          </w:tcPr>
          <w:p w:rsidR="00814289" w:rsidRPr="00B9483C" w:rsidRDefault="00814289" w:rsidP="00814289">
            <w:pPr>
              <w:spacing w:after="0"/>
              <w:rPr>
                <w:lang w:eastAsia="en-AU"/>
              </w:rPr>
            </w:pPr>
            <w:r>
              <w:rPr>
                <w:lang w:eastAsia="en-AU"/>
              </w:rPr>
              <w:t>Ms Robyn Kruk</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Annual</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$24,137</w:t>
            </w:r>
            <w:r w:rsidR="0003139F">
              <w:t>.00</w:t>
            </w:r>
          </w:p>
        </w:tc>
      </w:tr>
      <w:tr w:rsidR="00814289" w:rsidRPr="00B9483C" w:rsidTr="000115F1">
        <w:trPr>
          <w:trHeight w:val="561"/>
        </w:trPr>
        <w:tc>
          <w:tcPr>
            <w:tcW w:w="1575" w:type="dxa"/>
            <w:shd w:val="clear" w:color="auto" w:fill="auto"/>
            <w:vAlign w:val="center"/>
          </w:tcPr>
          <w:p w:rsidR="00814289" w:rsidRPr="00B9483C" w:rsidRDefault="00814289" w:rsidP="00814289">
            <w:pPr>
              <w:spacing w:after="0"/>
              <w:rPr>
                <w:lang w:eastAsia="en-AU"/>
              </w:rPr>
            </w:pPr>
            <w:r>
              <w:rPr>
                <w:lang w:eastAsia="en-AU"/>
              </w:rPr>
              <w:t>Deputy Chair</w:t>
            </w:r>
          </w:p>
        </w:tc>
        <w:tc>
          <w:tcPr>
            <w:tcW w:w="2835" w:type="dxa"/>
            <w:shd w:val="clear" w:color="auto" w:fill="auto"/>
            <w:vAlign w:val="center"/>
          </w:tcPr>
          <w:p w:rsidR="00814289" w:rsidRPr="00B9483C" w:rsidRDefault="00814289" w:rsidP="00814289">
            <w:pPr>
              <w:spacing w:after="0"/>
              <w:rPr>
                <w:lang w:eastAsia="en-AU"/>
              </w:rPr>
            </w:pPr>
            <w:r>
              <w:rPr>
                <w:lang w:eastAsia="en-AU"/>
              </w:rPr>
              <w:t>N/A</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917" w:type="dxa"/>
            <w:shd w:val="clear" w:color="auto" w:fill="auto"/>
            <w:vAlign w:val="center"/>
          </w:tcPr>
          <w:p w:rsidR="00814289" w:rsidRDefault="00814289" w:rsidP="00814289">
            <w:pPr>
              <w:spacing w:after="0"/>
              <w:jc w:val="right"/>
            </w:pPr>
            <w:r>
              <w:rPr>
                <w:lang w:eastAsia="en-AU"/>
              </w:rPr>
              <w:t>N/A</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Ms Sue Ash AO</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Mr Michael Barnes</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Ms Rebecca Brown</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Mr Ian Carter AM</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Ms Irina Cattalini</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Dr Ron Chalmers</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1465CA">
            <w:pPr>
              <w:spacing w:after="0"/>
              <w:rPr>
                <w:lang w:eastAsia="en-AU"/>
              </w:rPr>
            </w:pPr>
            <w:r>
              <w:rPr>
                <w:lang w:eastAsia="en-AU"/>
              </w:rPr>
              <w:t>Mr Peter Conra</w:t>
            </w:r>
            <w:r w:rsidR="001465CA">
              <w:rPr>
                <w:lang w:eastAsia="en-AU"/>
              </w:rPr>
              <w:t>n</w:t>
            </w:r>
            <w:r>
              <w:rPr>
                <w:lang w:eastAsia="en-AU"/>
              </w:rPr>
              <w:t xml:space="preserve"> AM</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Mr Chris Hall</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Ms Taryn Harvey</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Ms Deborah Karasinkski</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814289" w:rsidP="00814289">
            <w:pPr>
              <w:spacing w:after="0"/>
              <w:rPr>
                <w:lang w:eastAsia="en-AU"/>
              </w:rPr>
            </w:pPr>
            <w:r>
              <w:rPr>
                <w:lang w:eastAsia="en-AU"/>
              </w:rPr>
              <w:t>Professor Greg Lewis</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Ms L</w:t>
            </w:r>
            <w:r w:rsidR="00814289">
              <w:rPr>
                <w:lang w:eastAsia="en-AU"/>
              </w:rPr>
              <w:t>yn Mahboub</w:t>
            </w:r>
          </w:p>
        </w:tc>
        <w:tc>
          <w:tcPr>
            <w:tcW w:w="1842" w:type="dxa"/>
            <w:shd w:val="clear" w:color="auto" w:fill="auto"/>
            <w:vAlign w:val="center"/>
          </w:tcPr>
          <w:p w:rsidR="00814289" w:rsidRPr="00B9483C" w:rsidRDefault="00C21F5B" w:rsidP="00814289">
            <w:pPr>
              <w:spacing w:after="0"/>
              <w:jc w:val="center"/>
              <w:rPr>
                <w:lang w:eastAsia="en-AU"/>
              </w:rPr>
            </w:pPr>
            <w:r>
              <w:rPr>
                <w:lang w:eastAsia="en-AU"/>
              </w:rPr>
              <w:t>Sitting Fee</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r w:rsidR="0009143E">
              <w:t>921.83</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Mr Timothy Marney</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Ms Jennifer Mathews</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Ms Joan McKenna Kerr</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Ms Emma White</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Mr Ashley Reid</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Mr Grahame Searle</w:t>
            </w:r>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 xml:space="preserve">Mr Gordon </w:t>
            </w:r>
            <w:proofErr w:type="spellStart"/>
            <w:r>
              <w:rPr>
                <w:lang w:eastAsia="en-AU"/>
              </w:rPr>
              <w:t>Trewern</w:t>
            </w:r>
            <w:proofErr w:type="spellEnd"/>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9483C" w:rsidTr="000115F1">
        <w:trPr>
          <w:trHeight w:val="479"/>
        </w:trPr>
        <w:tc>
          <w:tcPr>
            <w:tcW w:w="1575" w:type="dxa"/>
            <w:shd w:val="clear" w:color="auto" w:fill="auto"/>
            <w:vAlign w:val="center"/>
          </w:tcPr>
          <w:p w:rsidR="00814289" w:rsidRPr="00B9483C" w:rsidRDefault="00814289" w:rsidP="00814289">
            <w:pPr>
              <w:spacing w:after="0"/>
              <w:rPr>
                <w:lang w:eastAsia="en-AU"/>
              </w:rPr>
            </w:pPr>
            <w:r>
              <w:rPr>
                <w:lang w:eastAsia="en-AU"/>
              </w:rPr>
              <w:t>Member</w:t>
            </w:r>
          </w:p>
        </w:tc>
        <w:tc>
          <w:tcPr>
            <w:tcW w:w="2835" w:type="dxa"/>
            <w:shd w:val="clear" w:color="auto" w:fill="auto"/>
            <w:vAlign w:val="center"/>
          </w:tcPr>
          <w:p w:rsidR="00814289" w:rsidRPr="00B9483C" w:rsidRDefault="0009143E" w:rsidP="00814289">
            <w:pPr>
              <w:spacing w:after="0"/>
              <w:rPr>
                <w:lang w:eastAsia="en-AU"/>
              </w:rPr>
            </w:pPr>
            <w:r>
              <w:rPr>
                <w:lang w:eastAsia="en-AU"/>
              </w:rPr>
              <w:t xml:space="preserve">Ms Debra </w:t>
            </w:r>
            <w:proofErr w:type="spellStart"/>
            <w:r>
              <w:rPr>
                <w:lang w:eastAsia="en-AU"/>
              </w:rPr>
              <w:t>Zanella</w:t>
            </w:r>
            <w:proofErr w:type="spellEnd"/>
          </w:p>
        </w:tc>
        <w:tc>
          <w:tcPr>
            <w:tcW w:w="1842" w:type="dxa"/>
            <w:shd w:val="clear" w:color="auto" w:fill="auto"/>
            <w:vAlign w:val="center"/>
          </w:tcPr>
          <w:p w:rsidR="00814289" w:rsidRPr="00B9483C" w:rsidRDefault="00814289" w:rsidP="00814289">
            <w:pPr>
              <w:spacing w:after="0"/>
              <w:jc w:val="center"/>
              <w:rPr>
                <w:lang w:eastAsia="en-AU"/>
              </w:rPr>
            </w:pPr>
            <w:r>
              <w:rPr>
                <w:lang w:eastAsia="en-AU"/>
              </w:rPr>
              <w:t>N/A</w:t>
            </w:r>
          </w:p>
        </w:tc>
        <w:tc>
          <w:tcPr>
            <w:tcW w:w="1769" w:type="dxa"/>
            <w:shd w:val="clear" w:color="auto" w:fill="auto"/>
            <w:vAlign w:val="center"/>
          </w:tcPr>
          <w:p w:rsidR="00814289" w:rsidRPr="00B9483C" w:rsidRDefault="00814289" w:rsidP="00814289">
            <w:pPr>
              <w:spacing w:after="0"/>
              <w:jc w:val="center"/>
              <w:rPr>
                <w:lang w:eastAsia="en-AU"/>
              </w:rPr>
            </w:pPr>
            <w:r>
              <w:rPr>
                <w:lang w:eastAsia="en-AU"/>
              </w:rPr>
              <w:t>2 years</w:t>
            </w:r>
          </w:p>
        </w:tc>
        <w:tc>
          <w:tcPr>
            <w:tcW w:w="1917" w:type="dxa"/>
            <w:shd w:val="clear" w:color="auto" w:fill="auto"/>
            <w:vAlign w:val="center"/>
          </w:tcPr>
          <w:p w:rsidR="00814289" w:rsidRDefault="00814289" w:rsidP="00814289">
            <w:pPr>
              <w:spacing w:after="0"/>
              <w:jc w:val="right"/>
            </w:pPr>
            <w:r>
              <w:t>-</w:t>
            </w:r>
          </w:p>
        </w:tc>
      </w:tr>
      <w:tr w:rsidR="00814289" w:rsidRPr="00BC76BB" w:rsidTr="000115F1">
        <w:trPr>
          <w:trHeight w:val="479"/>
        </w:trPr>
        <w:tc>
          <w:tcPr>
            <w:tcW w:w="1575" w:type="dxa"/>
            <w:shd w:val="clear" w:color="auto" w:fill="auto"/>
            <w:vAlign w:val="center"/>
            <w:hideMark/>
          </w:tcPr>
          <w:p w:rsidR="00814289" w:rsidRPr="00BC76BB" w:rsidRDefault="00814289" w:rsidP="00814289">
            <w:pPr>
              <w:spacing w:after="0"/>
              <w:rPr>
                <w:b/>
                <w:lang w:eastAsia="en-AU"/>
              </w:rPr>
            </w:pPr>
          </w:p>
        </w:tc>
        <w:tc>
          <w:tcPr>
            <w:tcW w:w="2835" w:type="dxa"/>
            <w:shd w:val="clear" w:color="auto" w:fill="auto"/>
            <w:vAlign w:val="center"/>
            <w:hideMark/>
          </w:tcPr>
          <w:p w:rsidR="00814289" w:rsidRPr="00BC76BB" w:rsidRDefault="00814289" w:rsidP="00814289">
            <w:pPr>
              <w:spacing w:after="0"/>
              <w:rPr>
                <w:b/>
                <w:lang w:eastAsia="en-AU"/>
              </w:rPr>
            </w:pPr>
          </w:p>
        </w:tc>
        <w:tc>
          <w:tcPr>
            <w:tcW w:w="1842" w:type="dxa"/>
            <w:shd w:val="clear" w:color="auto" w:fill="auto"/>
            <w:vAlign w:val="center"/>
            <w:hideMark/>
          </w:tcPr>
          <w:p w:rsidR="00814289" w:rsidRPr="00BC76BB" w:rsidRDefault="00814289" w:rsidP="00814289">
            <w:pPr>
              <w:spacing w:after="0"/>
              <w:rPr>
                <w:b/>
                <w:lang w:eastAsia="en-AU"/>
              </w:rPr>
            </w:pPr>
          </w:p>
        </w:tc>
        <w:tc>
          <w:tcPr>
            <w:tcW w:w="1769" w:type="dxa"/>
            <w:shd w:val="clear" w:color="auto" w:fill="auto"/>
            <w:vAlign w:val="center"/>
            <w:hideMark/>
          </w:tcPr>
          <w:p w:rsidR="00814289" w:rsidRPr="00BC76BB" w:rsidRDefault="00814289" w:rsidP="00814289">
            <w:pPr>
              <w:spacing w:after="0"/>
              <w:rPr>
                <w:b/>
                <w:lang w:eastAsia="en-AU"/>
              </w:rPr>
            </w:pPr>
            <w:r w:rsidRPr="00BC76BB">
              <w:rPr>
                <w:b/>
                <w:lang w:eastAsia="en-AU"/>
              </w:rPr>
              <w:t>Total</w:t>
            </w:r>
          </w:p>
        </w:tc>
        <w:tc>
          <w:tcPr>
            <w:tcW w:w="1917" w:type="dxa"/>
            <w:shd w:val="clear" w:color="auto" w:fill="auto"/>
            <w:vAlign w:val="center"/>
          </w:tcPr>
          <w:p w:rsidR="00814289" w:rsidRPr="00BC76BB" w:rsidRDefault="0009143E" w:rsidP="00814289">
            <w:pPr>
              <w:spacing w:after="0"/>
              <w:jc w:val="right"/>
              <w:rPr>
                <w:b/>
              </w:rPr>
            </w:pPr>
            <w:r>
              <w:rPr>
                <w:b/>
              </w:rPr>
              <w:t>$25,058.38</w:t>
            </w:r>
          </w:p>
        </w:tc>
      </w:tr>
    </w:tbl>
    <w:p w:rsidR="00DC2D59" w:rsidRDefault="00DC2D59" w:rsidP="00064756"/>
    <w:p w:rsidR="00DC2D59" w:rsidRDefault="00DC2D59" w:rsidP="00064756">
      <w:r>
        <w:br w:type="page"/>
      </w:r>
    </w:p>
    <w:p w:rsidR="00DC2D59" w:rsidRPr="00E51E59" w:rsidRDefault="00DC2D59" w:rsidP="00C63A96">
      <w:pPr>
        <w:pStyle w:val="Heading4"/>
      </w:pPr>
      <w:bookmarkStart w:id="522" w:name="_Toc425370432"/>
      <w:bookmarkStart w:id="523" w:name="_Toc426104659"/>
      <w:r w:rsidRPr="00E51E59">
        <w:t>Strategic Assessment Stakeholder Reference Group</w:t>
      </w:r>
      <w:bookmarkEnd w:id="522"/>
      <w:bookmarkEnd w:id="523"/>
    </w:p>
    <w:tbl>
      <w:tblPr>
        <w:tblW w:w="0" w:type="auto"/>
        <w:tblInd w:w="108" w:type="dxa"/>
        <w:tblBorders>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276"/>
        <w:gridCol w:w="2552"/>
        <w:gridCol w:w="1842"/>
        <w:gridCol w:w="1843"/>
        <w:gridCol w:w="2126"/>
      </w:tblGrid>
      <w:tr w:rsidR="00F27B2B" w:rsidRPr="00BC76BB" w:rsidTr="000115F1">
        <w:trPr>
          <w:trHeight w:val="743"/>
        </w:trPr>
        <w:tc>
          <w:tcPr>
            <w:tcW w:w="1276" w:type="dxa"/>
            <w:shd w:val="clear" w:color="auto" w:fill="auto"/>
            <w:vAlign w:val="center"/>
          </w:tcPr>
          <w:p w:rsidR="00F27B2B" w:rsidRPr="00BC76BB" w:rsidRDefault="00F27B2B" w:rsidP="00064756">
            <w:pPr>
              <w:rPr>
                <w:b/>
              </w:rPr>
            </w:pPr>
            <w:r w:rsidRPr="00BC76BB">
              <w:rPr>
                <w:b/>
              </w:rPr>
              <w:t>Position</w:t>
            </w:r>
          </w:p>
        </w:tc>
        <w:tc>
          <w:tcPr>
            <w:tcW w:w="2552" w:type="dxa"/>
            <w:shd w:val="clear" w:color="auto" w:fill="auto"/>
            <w:vAlign w:val="center"/>
          </w:tcPr>
          <w:p w:rsidR="00F27B2B" w:rsidRPr="00BC76BB" w:rsidRDefault="00F27B2B" w:rsidP="00064756">
            <w:pPr>
              <w:rPr>
                <w:b/>
              </w:rPr>
            </w:pPr>
            <w:r w:rsidRPr="00BC76BB">
              <w:rPr>
                <w:b/>
              </w:rPr>
              <w:t>Name</w:t>
            </w:r>
          </w:p>
        </w:tc>
        <w:tc>
          <w:tcPr>
            <w:tcW w:w="1842" w:type="dxa"/>
            <w:shd w:val="clear" w:color="auto" w:fill="auto"/>
            <w:vAlign w:val="center"/>
          </w:tcPr>
          <w:p w:rsidR="00F27B2B" w:rsidRPr="00BC76BB" w:rsidRDefault="00F27B2B" w:rsidP="007418B0">
            <w:pPr>
              <w:jc w:val="center"/>
              <w:rPr>
                <w:b/>
              </w:rPr>
            </w:pPr>
            <w:r w:rsidRPr="00BC76BB">
              <w:rPr>
                <w:b/>
              </w:rPr>
              <w:t>Type of remuneration</w:t>
            </w:r>
          </w:p>
        </w:tc>
        <w:tc>
          <w:tcPr>
            <w:tcW w:w="1843" w:type="dxa"/>
            <w:shd w:val="clear" w:color="auto" w:fill="auto"/>
            <w:vAlign w:val="center"/>
          </w:tcPr>
          <w:p w:rsidR="00F27B2B" w:rsidRPr="00BC76BB" w:rsidRDefault="00F27B2B" w:rsidP="007418B0">
            <w:pPr>
              <w:jc w:val="center"/>
              <w:rPr>
                <w:b/>
              </w:rPr>
            </w:pPr>
            <w:r w:rsidRPr="00BC76BB">
              <w:rPr>
                <w:b/>
              </w:rPr>
              <w:t>Period of membership</w:t>
            </w:r>
          </w:p>
        </w:tc>
        <w:tc>
          <w:tcPr>
            <w:tcW w:w="2126" w:type="dxa"/>
            <w:shd w:val="clear" w:color="auto" w:fill="auto"/>
            <w:vAlign w:val="center"/>
          </w:tcPr>
          <w:p w:rsidR="00F27B2B" w:rsidRPr="00BC76BB" w:rsidRDefault="00F27B2B" w:rsidP="007418B0">
            <w:pPr>
              <w:jc w:val="center"/>
              <w:rPr>
                <w:b/>
              </w:rPr>
            </w:pPr>
            <w:r w:rsidRPr="00BC76BB">
              <w:rPr>
                <w:b/>
              </w:rPr>
              <w:t>Gross/actual remuneration</w:t>
            </w:r>
          </w:p>
        </w:tc>
      </w:tr>
      <w:tr w:rsidR="00F27B2B" w:rsidTr="000115F1">
        <w:trPr>
          <w:trHeight w:val="426"/>
        </w:trPr>
        <w:tc>
          <w:tcPr>
            <w:tcW w:w="1276" w:type="dxa"/>
            <w:shd w:val="clear" w:color="auto" w:fill="auto"/>
            <w:vAlign w:val="center"/>
          </w:tcPr>
          <w:p w:rsidR="00F27B2B" w:rsidRPr="00414CF7" w:rsidRDefault="00F27B2B" w:rsidP="00064756">
            <w:r w:rsidRPr="00414CF7">
              <w:t>Chair</w:t>
            </w:r>
          </w:p>
        </w:tc>
        <w:tc>
          <w:tcPr>
            <w:tcW w:w="2552" w:type="dxa"/>
            <w:shd w:val="clear" w:color="auto" w:fill="auto"/>
            <w:vAlign w:val="center"/>
          </w:tcPr>
          <w:p w:rsidR="00F27B2B" w:rsidRDefault="00F27B2B" w:rsidP="00064756">
            <w:r>
              <w:t>Dr Jim Limerick</w:t>
            </w:r>
          </w:p>
        </w:tc>
        <w:tc>
          <w:tcPr>
            <w:tcW w:w="1842" w:type="dxa"/>
            <w:shd w:val="clear" w:color="auto" w:fill="auto"/>
            <w:vAlign w:val="center"/>
          </w:tcPr>
          <w:p w:rsidR="00F27B2B" w:rsidRDefault="00F27B2B" w:rsidP="007418B0">
            <w:pPr>
              <w:jc w:val="center"/>
            </w:pPr>
            <w:r>
              <w:t>Per meeting</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rsidRPr="002B0A3E">
              <w:t>$10,698.00</w:t>
            </w:r>
          </w:p>
        </w:tc>
      </w:tr>
      <w:tr w:rsidR="00F27B2B" w:rsidTr="000115F1">
        <w:trPr>
          <w:trHeight w:val="426"/>
        </w:trPr>
        <w:tc>
          <w:tcPr>
            <w:tcW w:w="1276" w:type="dxa"/>
            <w:shd w:val="clear" w:color="auto" w:fill="auto"/>
            <w:vAlign w:val="center"/>
          </w:tcPr>
          <w:p w:rsidR="00F27B2B" w:rsidRPr="0070334E" w:rsidRDefault="00F27B2B" w:rsidP="00064756">
            <w:r>
              <w:t>Member</w:t>
            </w:r>
          </w:p>
        </w:tc>
        <w:tc>
          <w:tcPr>
            <w:tcW w:w="2552" w:type="dxa"/>
            <w:shd w:val="clear" w:color="auto" w:fill="auto"/>
            <w:vAlign w:val="center"/>
          </w:tcPr>
          <w:p w:rsidR="00F27B2B" w:rsidRDefault="00F27B2B" w:rsidP="00064756">
            <w:r>
              <w:t>Ms Debra Goostrey</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 xml:space="preserve">Mr John Gelavis </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Frank Arangio</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Harry Backes</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Jason Hick</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Ms Barbara Pederson</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Ms Jan Star</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Piers Verstegen</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Mark Batty</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2.5 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Mick McCarthy</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 xml:space="preserve">2.5 </w:t>
            </w:r>
            <w:r w:rsidRPr="003666E2">
              <w:t>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Mike Foley</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 xml:space="preserve">2.5 </w:t>
            </w:r>
            <w:r w:rsidRPr="003666E2">
              <w:t>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Default="00F27B2B" w:rsidP="00064756">
            <w:r>
              <w:t>Member</w:t>
            </w:r>
          </w:p>
        </w:tc>
        <w:tc>
          <w:tcPr>
            <w:tcW w:w="2552" w:type="dxa"/>
            <w:shd w:val="clear" w:color="auto" w:fill="auto"/>
            <w:vAlign w:val="center"/>
          </w:tcPr>
          <w:p w:rsidR="00F27B2B" w:rsidRDefault="00F27B2B" w:rsidP="00064756">
            <w:r>
              <w:t>Mr Brett Flugge</w:t>
            </w:r>
          </w:p>
        </w:tc>
        <w:tc>
          <w:tcPr>
            <w:tcW w:w="1842" w:type="dxa"/>
            <w:shd w:val="clear" w:color="auto" w:fill="auto"/>
            <w:vAlign w:val="center"/>
          </w:tcPr>
          <w:p w:rsidR="00F27B2B" w:rsidRDefault="00F27B2B" w:rsidP="007418B0">
            <w:pPr>
              <w:jc w:val="center"/>
            </w:pPr>
            <w:r>
              <w:t>-</w:t>
            </w:r>
          </w:p>
        </w:tc>
        <w:tc>
          <w:tcPr>
            <w:tcW w:w="1843" w:type="dxa"/>
            <w:shd w:val="clear" w:color="auto" w:fill="auto"/>
            <w:vAlign w:val="center"/>
          </w:tcPr>
          <w:p w:rsidR="00F27B2B" w:rsidRDefault="00F27B2B" w:rsidP="007418B0">
            <w:pPr>
              <w:jc w:val="center"/>
            </w:pPr>
            <w:r>
              <w:t xml:space="preserve">1.5 </w:t>
            </w:r>
            <w:r w:rsidRPr="003666E2">
              <w:t>years</w:t>
            </w:r>
          </w:p>
        </w:tc>
        <w:tc>
          <w:tcPr>
            <w:tcW w:w="2126" w:type="dxa"/>
            <w:shd w:val="clear" w:color="auto" w:fill="auto"/>
            <w:vAlign w:val="center"/>
          </w:tcPr>
          <w:p w:rsidR="00F27B2B" w:rsidRDefault="00F27B2B" w:rsidP="007418B0">
            <w:pPr>
              <w:jc w:val="right"/>
            </w:pPr>
            <w:r>
              <w:t>-</w:t>
            </w:r>
          </w:p>
        </w:tc>
      </w:tr>
      <w:tr w:rsidR="00F27B2B" w:rsidTr="000115F1">
        <w:trPr>
          <w:trHeight w:val="426"/>
        </w:trPr>
        <w:tc>
          <w:tcPr>
            <w:tcW w:w="1276" w:type="dxa"/>
            <w:shd w:val="clear" w:color="auto" w:fill="auto"/>
            <w:vAlign w:val="center"/>
          </w:tcPr>
          <w:p w:rsidR="00F27B2B" w:rsidRPr="00414CF7" w:rsidRDefault="00F27B2B" w:rsidP="00064756">
            <w:r w:rsidRPr="00414CF7">
              <w:t>Member</w:t>
            </w:r>
          </w:p>
        </w:tc>
        <w:tc>
          <w:tcPr>
            <w:tcW w:w="2552" w:type="dxa"/>
            <w:shd w:val="clear" w:color="auto" w:fill="auto"/>
            <w:vAlign w:val="center"/>
          </w:tcPr>
          <w:p w:rsidR="00F27B2B" w:rsidRPr="00414CF7" w:rsidRDefault="00F27B2B" w:rsidP="00064756">
            <w:r w:rsidRPr="00414CF7">
              <w:t>Mr Paul Sanders</w:t>
            </w:r>
          </w:p>
        </w:tc>
        <w:tc>
          <w:tcPr>
            <w:tcW w:w="1842" w:type="dxa"/>
            <w:shd w:val="clear" w:color="auto" w:fill="auto"/>
            <w:vAlign w:val="center"/>
          </w:tcPr>
          <w:p w:rsidR="00F27B2B" w:rsidRPr="00414CF7" w:rsidRDefault="00F27B2B" w:rsidP="007418B0">
            <w:pPr>
              <w:jc w:val="center"/>
            </w:pPr>
            <w:r w:rsidRPr="00414CF7">
              <w:t>-</w:t>
            </w:r>
          </w:p>
        </w:tc>
        <w:tc>
          <w:tcPr>
            <w:tcW w:w="1843" w:type="dxa"/>
            <w:shd w:val="clear" w:color="auto" w:fill="auto"/>
            <w:vAlign w:val="center"/>
          </w:tcPr>
          <w:p w:rsidR="00F27B2B" w:rsidRPr="00414CF7" w:rsidRDefault="00F27B2B" w:rsidP="007418B0">
            <w:pPr>
              <w:jc w:val="center"/>
            </w:pPr>
            <w:r w:rsidRPr="00414CF7">
              <w:t>3 months</w:t>
            </w:r>
          </w:p>
        </w:tc>
        <w:tc>
          <w:tcPr>
            <w:tcW w:w="2126" w:type="dxa"/>
            <w:shd w:val="clear" w:color="auto" w:fill="auto"/>
            <w:vAlign w:val="center"/>
          </w:tcPr>
          <w:p w:rsidR="00F27B2B" w:rsidRDefault="00F27B2B" w:rsidP="007418B0">
            <w:pPr>
              <w:jc w:val="right"/>
            </w:pPr>
            <w:r w:rsidRPr="00414CF7">
              <w:t>-</w:t>
            </w:r>
          </w:p>
        </w:tc>
      </w:tr>
      <w:tr w:rsidR="00F27B2B" w:rsidTr="000115F1">
        <w:trPr>
          <w:trHeight w:val="426"/>
        </w:trPr>
        <w:tc>
          <w:tcPr>
            <w:tcW w:w="1276" w:type="dxa"/>
            <w:shd w:val="clear" w:color="auto" w:fill="auto"/>
            <w:vAlign w:val="center"/>
          </w:tcPr>
          <w:p w:rsidR="00F27B2B" w:rsidRPr="008B5118" w:rsidRDefault="00F27B2B" w:rsidP="00064756">
            <w:r w:rsidRPr="008B5118">
              <w:t>Member</w:t>
            </w:r>
          </w:p>
        </w:tc>
        <w:tc>
          <w:tcPr>
            <w:tcW w:w="2552" w:type="dxa"/>
            <w:shd w:val="clear" w:color="auto" w:fill="auto"/>
            <w:vAlign w:val="center"/>
          </w:tcPr>
          <w:p w:rsidR="00F27B2B" w:rsidRPr="008B5118" w:rsidRDefault="00F27B2B" w:rsidP="00064756">
            <w:r w:rsidRPr="008B5118">
              <w:t xml:space="preserve">Ms Merril Halley </w:t>
            </w:r>
          </w:p>
        </w:tc>
        <w:tc>
          <w:tcPr>
            <w:tcW w:w="1842" w:type="dxa"/>
            <w:shd w:val="clear" w:color="auto" w:fill="auto"/>
            <w:vAlign w:val="center"/>
          </w:tcPr>
          <w:p w:rsidR="00F27B2B" w:rsidRPr="008B5118" w:rsidRDefault="00F27B2B" w:rsidP="007418B0">
            <w:pPr>
              <w:jc w:val="center"/>
            </w:pPr>
            <w:r w:rsidRPr="008B5118">
              <w:t>-</w:t>
            </w:r>
          </w:p>
        </w:tc>
        <w:tc>
          <w:tcPr>
            <w:tcW w:w="1843" w:type="dxa"/>
            <w:shd w:val="clear" w:color="auto" w:fill="auto"/>
            <w:vAlign w:val="center"/>
          </w:tcPr>
          <w:p w:rsidR="00F27B2B" w:rsidRPr="008B5118" w:rsidRDefault="00F27B2B" w:rsidP="007418B0">
            <w:pPr>
              <w:jc w:val="center"/>
            </w:pPr>
            <w:r>
              <w:t xml:space="preserve">3 </w:t>
            </w:r>
            <w:r w:rsidRPr="008B5118">
              <w:t>months</w:t>
            </w:r>
          </w:p>
        </w:tc>
        <w:tc>
          <w:tcPr>
            <w:tcW w:w="2126" w:type="dxa"/>
            <w:shd w:val="clear" w:color="auto" w:fill="auto"/>
            <w:vAlign w:val="center"/>
          </w:tcPr>
          <w:p w:rsidR="00F27B2B" w:rsidRDefault="00F27B2B" w:rsidP="007418B0">
            <w:pPr>
              <w:jc w:val="right"/>
            </w:pPr>
            <w:r w:rsidRPr="008B5118">
              <w:t>-</w:t>
            </w:r>
          </w:p>
        </w:tc>
      </w:tr>
      <w:tr w:rsidR="00F27B2B" w:rsidRPr="00BC76BB" w:rsidTr="000115F1">
        <w:trPr>
          <w:trHeight w:val="426"/>
        </w:trPr>
        <w:tc>
          <w:tcPr>
            <w:tcW w:w="1276" w:type="dxa"/>
            <w:shd w:val="clear" w:color="auto" w:fill="auto"/>
            <w:vAlign w:val="center"/>
          </w:tcPr>
          <w:p w:rsidR="00F27B2B" w:rsidRPr="00BC76BB" w:rsidRDefault="00F27B2B" w:rsidP="00064756">
            <w:pPr>
              <w:rPr>
                <w:b/>
              </w:rPr>
            </w:pPr>
          </w:p>
        </w:tc>
        <w:tc>
          <w:tcPr>
            <w:tcW w:w="2552" w:type="dxa"/>
            <w:shd w:val="clear" w:color="auto" w:fill="auto"/>
            <w:vAlign w:val="center"/>
          </w:tcPr>
          <w:p w:rsidR="00F27B2B" w:rsidRPr="00BC76BB" w:rsidRDefault="00F27B2B" w:rsidP="00064756">
            <w:pPr>
              <w:rPr>
                <w:b/>
              </w:rPr>
            </w:pPr>
          </w:p>
        </w:tc>
        <w:tc>
          <w:tcPr>
            <w:tcW w:w="1842" w:type="dxa"/>
            <w:shd w:val="clear" w:color="auto" w:fill="auto"/>
            <w:vAlign w:val="center"/>
          </w:tcPr>
          <w:p w:rsidR="00F27B2B" w:rsidRPr="00BC76BB" w:rsidRDefault="00F27B2B" w:rsidP="00064756">
            <w:pPr>
              <w:rPr>
                <w:b/>
              </w:rPr>
            </w:pPr>
          </w:p>
        </w:tc>
        <w:tc>
          <w:tcPr>
            <w:tcW w:w="1843" w:type="dxa"/>
            <w:shd w:val="clear" w:color="auto" w:fill="auto"/>
            <w:vAlign w:val="center"/>
          </w:tcPr>
          <w:p w:rsidR="00F27B2B" w:rsidRPr="00BC76BB" w:rsidRDefault="00F27B2B" w:rsidP="00064756">
            <w:pPr>
              <w:rPr>
                <w:b/>
              </w:rPr>
            </w:pPr>
            <w:r w:rsidRPr="00BC76BB">
              <w:rPr>
                <w:b/>
              </w:rPr>
              <w:t>Total</w:t>
            </w:r>
          </w:p>
        </w:tc>
        <w:tc>
          <w:tcPr>
            <w:tcW w:w="2126" w:type="dxa"/>
            <w:shd w:val="clear" w:color="auto" w:fill="auto"/>
            <w:vAlign w:val="center"/>
          </w:tcPr>
          <w:p w:rsidR="00F27B2B" w:rsidRPr="00BC76BB" w:rsidRDefault="00F27B2B" w:rsidP="007418B0">
            <w:pPr>
              <w:jc w:val="right"/>
              <w:rPr>
                <w:b/>
              </w:rPr>
            </w:pPr>
            <w:r w:rsidRPr="00BC76BB">
              <w:rPr>
                <w:b/>
              </w:rPr>
              <w:t>$10,698.00</w:t>
            </w:r>
          </w:p>
        </w:tc>
      </w:tr>
    </w:tbl>
    <w:p w:rsidR="00DC2D59" w:rsidRDefault="00DC2D59" w:rsidP="00064756"/>
    <w:p w:rsidR="001465CA" w:rsidRDefault="001465CA">
      <w:pPr>
        <w:spacing w:line="276" w:lineRule="auto"/>
      </w:pPr>
      <w:bookmarkStart w:id="524" w:name="_Toc425370433"/>
      <w:bookmarkStart w:id="525" w:name="_Toc426104660"/>
      <w:bookmarkStart w:id="526" w:name="_Toc426397396"/>
      <w:bookmarkStart w:id="527" w:name="_Toc426637370"/>
      <w:bookmarkStart w:id="528" w:name="_Toc426637615"/>
      <w:r>
        <w:br w:type="page"/>
      </w:r>
    </w:p>
    <w:p w:rsidR="00DC2D59" w:rsidRPr="00E51E59" w:rsidRDefault="00DC2D59" w:rsidP="001465CA">
      <w:pPr>
        <w:pStyle w:val="Heading2"/>
      </w:pPr>
      <w:bookmarkStart w:id="529" w:name="_Toc430547913"/>
      <w:r w:rsidRPr="00E51E59">
        <w:t>Other Legal Requirements</w:t>
      </w:r>
      <w:bookmarkEnd w:id="524"/>
      <w:bookmarkEnd w:id="525"/>
      <w:bookmarkEnd w:id="526"/>
      <w:bookmarkEnd w:id="527"/>
      <w:bookmarkEnd w:id="528"/>
      <w:bookmarkEnd w:id="529"/>
    </w:p>
    <w:p w:rsidR="001F209F" w:rsidRDefault="00DC2D59" w:rsidP="001465CA">
      <w:pPr>
        <w:pStyle w:val="Heading3"/>
      </w:pPr>
      <w:bookmarkStart w:id="530" w:name="_Toc425370434"/>
      <w:bookmarkStart w:id="531" w:name="_Toc426104661"/>
      <w:r w:rsidRPr="00E51E59">
        <w:t xml:space="preserve">Statement of Compliance with the </w:t>
      </w:r>
      <w:r w:rsidRPr="001465CA">
        <w:rPr>
          <w:i/>
        </w:rPr>
        <w:t>State Records Act 2000</w:t>
      </w:r>
      <w:r w:rsidRPr="00E51E59">
        <w:t xml:space="preserve"> - section 19 and State Records Standards, Standard 2, Principle 6</w:t>
      </w:r>
      <w:bookmarkEnd w:id="530"/>
      <w:bookmarkEnd w:id="531"/>
    </w:p>
    <w:p w:rsidR="001465CA" w:rsidRPr="001465CA" w:rsidRDefault="001465CA" w:rsidP="001465CA">
      <w:pPr>
        <w:rPr>
          <w:lang w:val="en-US"/>
        </w:rPr>
      </w:pPr>
      <w:r w:rsidRPr="001465CA">
        <w:rPr>
          <w:lang w:val="en-US"/>
        </w:rPr>
        <w:t xml:space="preserve">Corporate Information Branch is responsible for delivering high quality advice and support in best practice recordkeeping to support the Office of the Premier Government Ministers and the Department to achieve compliance with the </w:t>
      </w:r>
      <w:r w:rsidRPr="001465CA">
        <w:rPr>
          <w:i/>
          <w:iCs/>
          <w:lang w:val="en-US"/>
        </w:rPr>
        <w:t>State Recordkeeping Act 2000</w:t>
      </w:r>
      <w:r w:rsidRPr="001465CA">
        <w:rPr>
          <w:lang w:val="en-US"/>
        </w:rPr>
        <w:t>.</w:t>
      </w:r>
    </w:p>
    <w:p w:rsidR="001465CA" w:rsidRPr="001465CA" w:rsidRDefault="001465CA" w:rsidP="001465CA">
      <w:pPr>
        <w:rPr>
          <w:lang w:val="en-US"/>
        </w:rPr>
      </w:pPr>
      <w:r w:rsidRPr="001465CA">
        <w:rPr>
          <w:lang w:val="en-US"/>
        </w:rPr>
        <w:t>The Branch focusses on information sharing, research and knowledge management, employing experienced practitioners with a mix of experience and knowledge.</w:t>
      </w:r>
    </w:p>
    <w:p w:rsidR="001465CA" w:rsidRPr="001465CA" w:rsidRDefault="001465CA" w:rsidP="001465CA">
      <w:pPr>
        <w:rPr>
          <w:lang w:val="en-US"/>
        </w:rPr>
      </w:pPr>
      <w:r w:rsidRPr="001465CA">
        <w:rPr>
          <w:lang w:val="en-US"/>
        </w:rPr>
        <w:t>Consistent with this responsibility, the Branch strives to meet high standards in all areas of recordkeeping administration.</w:t>
      </w:r>
    </w:p>
    <w:p w:rsidR="001465CA" w:rsidRPr="001465CA" w:rsidRDefault="001465CA" w:rsidP="001465CA">
      <w:pPr>
        <w:rPr>
          <w:lang w:val="en-US"/>
        </w:rPr>
      </w:pPr>
      <w:r w:rsidRPr="001465CA">
        <w:rPr>
          <w:lang w:val="en-US"/>
        </w:rPr>
        <w:t>Records are managed according to their significance to business, the State and the community relative to their administrative, facilitative, fiscal, historical or legal value.</w:t>
      </w:r>
    </w:p>
    <w:p w:rsidR="001465CA" w:rsidRPr="001465CA" w:rsidRDefault="001465CA" w:rsidP="001465CA">
      <w:pPr>
        <w:rPr>
          <w:lang w:val="en-US"/>
        </w:rPr>
      </w:pPr>
      <w:r w:rsidRPr="001465CA">
        <w:rPr>
          <w:lang w:val="en-US"/>
        </w:rPr>
        <w:t>Significant electronic records are saved directly into approved records systems and if necessary, printed and attached to corporate folders.</w:t>
      </w:r>
    </w:p>
    <w:p w:rsidR="001465CA" w:rsidRPr="001465CA" w:rsidRDefault="001465CA" w:rsidP="001465CA">
      <w:pPr>
        <w:rPr>
          <w:lang w:val="en-US"/>
        </w:rPr>
      </w:pPr>
      <w:r w:rsidRPr="001465CA">
        <w:rPr>
          <w:lang w:val="en-US"/>
        </w:rPr>
        <w:t xml:space="preserve">The recordkeeping system in use is an electronic document and records management system. It is an automated software application designed to facilitate the creation, management, use, storage and disposal of a range of both physical and digital documents and records in an integrated way. </w:t>
      </w:r>
    </w:p>
    <w:p w:rsidR="001465CA" w:rsidRPr="001465CA" w:rsidRDefault="001465CA" w:rsidP="001465CA">
      <w:pPr>
        <w:rPr>
          <w:lang w:val="en-US"/>
        </w:rPr>
      </w:pPr>
      <w:r w:rsidRPr="001465CA">
        <w:rPr>
          <w:lang w:val="en-US"/>
        </w:rPr>
        <w:t xml:space="preserve">Metadata is applied at the point of capture of documents and records and when actions are performed on them, which aids their </w:t>
      </w:r>
      <w:proofErr w:type="spellStart"/>
      <w:r w:rsidRPr="001465CA">
        <w:rPr>
          <w:lang w:val="en-US"/>
        </w:rPr>
        <w:t>useability</w:t>
      </w:r>
      <w:proofErr w:type="spellEnd"/>
      <w:r w:rsidRPr="001465CA">
        <w:rPr>
          <w:lang w:val="en-US"/>
        </w:rPr>
        <w:t xml:space="preserve"> and accountability.</w:t>
      </w:r>
    </w:p>
    <w:p w:rsidR="001465CA" w:rsidRPr="001465CA" w:rsidRDefault="001465CA" w:rsidP="001465CA">
      <w:pPr>
        <w:rPr>
          <w:lang w:val="en-US"/>
        </w:rPr>
      </w:pPr>
      <w:r w:rsidRPr="001465CA">
        <w:rPr>
          <w:lang w:val="en-US"/>
        </w:rPr>
        <w:t xml:space="preserve">Major achievements include a 95% success rate in the on-line records awareness training (RAT) induction for all new departmental and ministerial staff.  </w:t>
      </w:r>
    </w:p>
    <w:p w:rsidR="001465CA" w:rsidRPr="001465CA" w:rsidRDefault="001465CA" w:rsidP="001465CA">
      <w:pPr>
        <w:rPr>
          <w:lang w:val="en-US"/>
        </w:rPr>
      </w:pPr>
      <w:r w:rsidRPr="001465CA">
        <w:rPr>
          <w:lang w:val="en-US"/>
        </w:rPr>
        <w:t xml:space="preserve">Recordkeeping system training is available and offered to all staff to meet their responsibilities in capturing significant corporate documents, in all format types. End user training effectively gives clients a better understanding of documents management within the Department and effectively </w:t>
      </w:r>
      <w:proofErr w:type="spellStart"/>
      <w:r w:rsidRPr="001465CA">
        <w:rPr>
          <w:lang w:val="en-US"/>
        </w:rPr>
        <w:t>utilises</w:t>
      </w:r>
      <w:proofErr w:type="spellEnd"/>
      <w:r w:rsidRPr="001465CA">
        <w:rPr>
          <w:lang w:val="en-US"/>
        </w:rPr>
        <w:t xml:space="preserve"> the approved recordkeeping system.</w:t>
      </w:r>
    </w:p>
    <w:p w:rsidR="001465CA" w:rsidRPr="001465CA" w:rsidRDefault="001465CA" w:rsidP="001465CA">
      <w:pPr>
        <w:rPr>
          <w:lang w:val="en-US"/>
        </w:rPr>
      </w:pPr>
      <w:r w:rsidRPr="001465CA">
        <w:rPr>
          <w:lang w:val="en-US"/>
        </w:rPr>
        <w:t xml:space="preserve">The Branch has embarked on a programme of </w:t>
      </w:r>
      <w:proofErr w:type="spellStart"/>
      <w:r w:rsidRPr="001465CA">
        <w:rPr>
          <w:lang w:val="en-US"/>
        </w:rPr>
        <w:t>digitising</w:t>
      </w:r>
      <w:proofErr w:type="spellEnd"/>
      <w:r w:rsidRPr="001465CA">
        <w:rPr>
          <w:lang w:val="en-US"/>
        </w:rPr>
        <w:t xml:space="preserve"> the most important and iconic departmental archival records including Cabinet, Executive Council, Royal Commission and Special Inquiry record types.</w:t>
      </w:r>
    </w:p>
    <w:p w:rsidR="001465CA" w:rsidRPr="001465CA" w:rsidRDefault="001465CA" w:rsidP="001465CA">
      <w:pPr>
        <w:rPr>
          <w:lang w:val="en-US"/>
        </w:rPr>
      </w:pPr>
      <w:r w:rsidRPr="001465CA">
        <w:rPr>
          <w:lang w:val="en-US"/>
        </w:rPr>
        <w:t>Legally disposing of ephemeral and temporary hard copy records is consistent with best practice recordkeeping and is carried out on a regular basis.</w:t>
      </w:r>
    </w:p>
    <w:p w:rsidR="009A36D1" w:rsidRDefault="009A36D1">
      <w:pPr>
        <w:spacing w:line="276" w:lineRule="auto"/>
        <w:rPr>
          <w:rFonts w:ascii="Arial" w:eastAsia="Segoe UI" w:hAnsi="Arial" w:cs="Arial"/>
          <w:noProof/>
          <w:color w:val="006699"/>
          <w:kern w:val="24"/>
          <w:sz w:val="36"/>
          <w:szCs w:val="36"/>
          <w:lang w:eastAsia="en-AU"/>
        </w:rPr>
      </w:pPr>
      <w:bookmarkStart w:id="532" w:name="_Toc425370435"/>
      <w:bookmarkStart w:id="533" w:name="_Toc426104662"/>
      <w:r>
        <w:br w:type="page"/>
      </w:r>
    </w:p>
    <w:p w:rsidR="004054B4" w:rsidRPr="00E51E59" w:rsidRDefault="004054B4" w:rsidP="001465CA">
      <w:pPr>
        <w:pStyle w:val="Heading3"/>
      </w:pPr>
      <w:r w:rsidRPr="00E51E59">
        <w:t>Statement of Compliance with the State Records Commission Standards Standard 2 Principle 6</w:t>
      </w:r>
      <w:bookmarkEnd w:id="532"/>
      <w:bookmarkEnd w:id="533"/>
    </w:p>
    <w:p w:rsidR="004054B4" w:rsidRDefault="0050543B" w:rsidP="00064756">
      <w:r w:rsidRPr="0050543B">
        <w:t>In accordance with State Records Commission (SRC) Standard 2 Principle 6 the following compliance information is provided:</w:t>
      </w:r>
    </w:p>
    <w:tbl>
      <w:tblPr>
        <w:tblW w:w="0" w:type="auto"/>
        <w:tblInd w:w="108" w:type="dxa"/>
        <w:tblBorders>
          <w:bottom w:val="single" w:sz="4" w:space="0" w:color="808080" w:themeColor="background1" w:themeShade="80"/>
          <w:insideH w:val="single" w:sz="4" w:space="0" w:color="808080" w:themeColor="background1" w:themeShade="80"/>
        </w:tblBorders>
        <w:tblCellMar>
          <w:left w:w="0" w:type="dxa"/>
          <w:right w:w="0" w:type="dxa"/>
        </w:tblCellMar>
        <w:tblLook w:val="04A0" w:firstRow="1" w:lastRow="0" w:firstColumn="1" w:lastColumn="0" w:noHBand="0" w:noVBand="1"/>
      </w:tblPr>
      <w:tblGrid>
        <w:gridCol w:w="4514"/>
        <w:gridCol w:w="5267"/>
      </w:tblGrid>
      <w:tr w:rsidR="001001A5" w:rsidRPr="007418B0" w:rsidTr="000115F1">
        <w:trPr>
          <w:trHeight w:val="423"/>
        </w:trPr>
        <w:tc>
          <w:tcPr>
            <w:tcW w:w="4514" w:type="dxa"/>
            <w:shd w:val="clear" w:color="auto" w:fill="auto"/>
            <w:tcMar>
              <w:top w:w="108" w:type="dxa"/>
              <w:left w:w="108" w:type="dxa"/>
              <w:bottom w:w="108" w:type="dxa"/>
              <w:right w:w="108" w:type="dxa"/>
            </w:tcMar>
            <w:vAlign w:val="center"/>
            <w:hideMark/>
          </w:tcPr>
          <w:p w:rsidR="00D75830" w:rsidRPr="007418B0" w:rsidRDefault="00D75830" w:rsidP="00E1732B">
            <w:pPr>
              <w:spacing w:after="0"/>
              <w:rPr>
                <w:b/>
              </w:rPr>
            </w:pPr>
            <w:r w:rsidRPr="007418B0">
              <w:rPr>
                <w:b/>
              </w:rPr>
              <w:t>SRC Requirement</w:t>
            </w:r>
          </w:p>
        </w:tc>
        <w:tc>
          <w:tcPr>
            <w:tcW w:w="5267" w:type="dxa"/>
            <w:shd w:val="clear" w:color="auto" w:fill="auto"/>
            <w:tcMar>
              <w:top w:w="108" w:type="dxa"/>
              <w:left w:w="108" w:type="dxa"/>
              <w:bottom w:w="108" w:type="dxa"/>
              <w:right w:w="108" w:type="dxa"/>
            </w:tcMar>
            <w:vAlign w:val="center"/>
            <w:hideMark/>
          </w:tcPr>
          <w:p w:rsidR="00D75830" w:rsidRPr="007418B0" w:rsidRDefault="00D75830" w:rsidP="00E1732B">
            <w:pPr>
              <w:spacing w:after="0"/>
              <w:rPr>
                <w:b/>
              </w:rPr>
            </w:pPr>
            <w:r w:rsidRPr="007418B0">
              <w:rPr>
                <w:b/>
              </w:rPr>
              <w:t>Department Compliance Action</w:t>
            </w:r>
          </w:p>
        </w:tc>
      </w:tr>
      <w:tr w:rsidR="001465CA" w:rsidRPr="006407C0" w:rsidTr="000115F1">
        <w:trPr>
          <w:trHeight w:val="1469"/>
        </w:trPr>
        <w:tc>
          <w:tcPr>
            <w:tcW w:w="4514" w:type="dxa"/>
            <w:shd w:val="clear" w:color="auto" w:fill="auto"/>
            <w:tcMar>
              <w:top w:w="108" w:type="dxa"/>
              <w:left w:w="108" w:type="dxa"/>
              <w:bottom w:w="108" w:type="dxa"/>
              <w:right w:w="108" w:type="dxa"/>
            </w:tcMar>
            <w:vAlign w:val="center"/>
            <w:hideMark/>
          </w:tcPr>
          <w:p w:rsidR="001465CA" w:rsidRDefault="001465CA" w:rsidP="000C6E33">
            <w:pPr>
              <w:spacing w:after="0"/>
            </w:pPr>
            <w:r>
              <w:rPr>
                <w:rStyle w:val="NormalText"/>
              </w:rPr>
              <w:t>The efficiency and effectiveness of the organisation’s recordkeeping systems is evaluated not less than once every five years</w:t>
            </w:r>
          </w:p>
        </w:tc>
        <w:tc>
          <w:tcPr>
            <w:tcW w:w="5267" w:type="dxa"/>
            <w:shd w:val="clear" w:color="auto" w:fill="auto"/>
            <w:tcMar>
              <w:top w:w="108" w:type="dxa"/>
              <w:left w:w="108" w:type="dxa"/>
              <w:bottom w:w="108" w:type="dxa"/>
              <w:right w:w="108" w:type="dxa"/>
            </w:tcMar>
            <w:vAlign w:val="center"/>
          </w:tcPr>
          <w:p w:rsidR="001465CA" w:rsidRDefault="001465CA" w:rsidP="000C6E33">
            <w:pPr>
              <w:spacing w:after="0"/>
              <w:rPr>
                <w:rStyle w:val="NormalText"/>
              </w:rPr>
            </w:pPr>
            <w:r>
              <w:rPr>
                <w:rStyle w:val="NormalText"/>
              </w:rPr>
              <w:t>The Record Keeping Plan was approved in 2010 a subsequent review has been completed in 2015 and is currently waiting on formal approval from the State Records Commission.</w:t>
            </w:r>
          </w:p>
          <w:p w:rsidR="001465CA" w:rsidRDefault="001465CA" w:rsidP="000C6E33">
            <w:pPr>
              <w:spacing w:after="0"/>
            </w:pPr>
            <w:r>
              <w:rPr>
                <w:rStyle w:val="NormalText"/>
              </w:rPr>
              <w:t>External audits are conducted every four years.</w:t>
            </w:r>
          </w:p>
        </w:tc>
      </w:tr>
      <w:tr w:rsidR="001465CA" w:rsidRPr="006407C0" w:rsidTr="000115F1">
        <w:trPr>
          <w:trHeight w:val="602"/>
        </w:trPr>
        <w:tc>
          <w:tcPr>
            <w:tcW w:w="4514" w:type="dxa"/>
            <w:shd w:val="clear" w:color="auto" w:fill="auto"/>
            <w:tcMar>
              <w:top w:w="108" w:type="dxa"/>
              <w:left w:w="108" w:type="dxa"/>
              <w:bottom w:w="108" w:type="dxa"/>
              <w:right w:w="108" w:type="dxa"/>
            </w:tcMar>
            <w:vAlign w:val="center"/>
          </w:tcPr>
          <w:p w:rsidR="001465CA" w:rsidRDefault="001465CA" w:rsidP="000C6E33">
            <w:pPr>
              <w:spacing w:after="0"/>
            </w:pPr>
            <w:r>
              <w:rPr>
                <w:rStyle w:val="NormalText"/>
              </w:rPr>
              <w:t>The organisation conducts a recordkeeping training programme.</w:t>
            </w:r>
          </w:p>
        </w:tc>
        <w:tc>
          <w:tcPr>
            <w:tcW w:w="5267" w:type="dxa"/>
            <w:shd w:val="clear" w:color="auto" w:fill="auto"/>
            <w:tcMar>
              <w:top w:w="108" w:type="dxa"/>
              <w:left w:w="108" w:type="dxa"/>
              <w:bottom w:w="108" w:type="dxa"/>
              <w:right w:w="108" w:type="dxa"/>
            </w:tcMar>
            <w:vAlign w:val="center"/>
          </w:tcPr>
          <w:p w:rsidR="001465CA" w:rsidRDefault="001465CA" w:rsidP="000C6E33">
            <w:pPr>
              <w:spacing w:after="0"/>
            </w:pPr>
            <w:r>
              <w:rPr>
                <w:rStyle w:val="NormalText"/>
              </w:rPr>
              <w:t>It is a requirement that all staff complete the on-line training course in record awareness.  One-on-one and group training in the use of the records management system is also provided.</w:t>
            </w:r>
          </w:p>
        </w:tc>
      </w:tr>
      <w:tr w:rsidR="001465CA" w:rsidRPr="006407C0" w:rsidTr="000115F1">
        <w:tc>
          <w:tcPr>
            <w:tcW w:w="4514" w:type="dxa"/>
            <w:shd w:val="clear" w:color="auto" w:fill="auto"/>
            <w:tcMar>
              <w:top w:w="108" w:type="dxa"/>
              <w:left w:w="108" w:type="dxa"/>
              <w:bottom w:w="108" w:type="dxa"/>
              <w:right w:w="108" w:type="dxa"/>
            </w:tcMar>
            <w:vAlign w:val="center"/>
          </w:tcPr>
          <w:p w:rsidR="001465CA" w:rsidRDefault="001465CA" w:rsidP="000C6E33">
            <w:pPr>
              <w:spacing w:after="0"/>
            </w:pPr>
            <w:r>
              <w:rPr>
                <w:rStyle w:val="NormalText"/>
              </w:rPr>
              <w:t>The efficiency and effectiveness of the recordkeeping training program is reviewed from time to time.</w:t>
            </w:r>
          </w:p>
        </w:tc>
        <w:tc>
          <w:tcPr>
            <w:tcW w:w="5267" w:type="dxa"/>
            <w:shd w:val="clear" w:color="auto" w:fill="auto"/>
            <w:tcMar>
              <w:top w:w="108" w:type="dxa"/>
              <w:left w:w="108" w:type="dxa"/>
              <w:bottom w:w="108" w:type="dxa"/>
              <w:right w:w="108" w:type="dxa"/>
            </w:tcMar>
            <w:vAlign w:val="center"/>
          </w:tcPr>
          <w:p w:rsidR="001465CA" w:rsidRDefault="001465CA" w:rsidP="000C6E33">
            <w:pPr>
              <w:spacing w:after="0"/>
            </w:pPr>
            <w:r>
              <w:rPr>
                <w:rStyle w:val="NormalText"/>
              </w:rPr>
              <w:t xml:space="preserve">The high completion rate of the records awareness </w:t>
            </w:r>
            <w:r>
              <w:rPr>
                <w:rStyle w:val="NormalText"/>
              </w:rPr>
              <w:br/>
              <w:t xml:space="preserve">on-line training module would indicate the effectiveness of the records training programme. </w:t>
            </w:r>
          </w:p>
        </w:tc>
      </w:tr>
      <w:tr w:rsidR="001465CA" w:rsidRPr="006407C0" w:rsidTr="000115F1">
        <w:trPr>
          <w:trHeight w:val="2006"/>
        </w:trPr>
        <w:tc>
          <w:tcPr>
            <w:tcW w:w="4514" w:type="dxa"/>
            <w:shd w:val="clear" w:color="auto" w:fill="auto"/>
            <w:tcMar>
              <w:top w:w="108" w:type="dxa"/>
              <w:left w:w="108" w:type="dxa"/>
              <w:bottom w:w="108" w:type="dxa"/>
              <w:right w:w="108" w:type="dxa"/>
            </w:tcMar>
            <w:vAlign w:val="center"/>
          </w:tcPr>
          <w:p w:rsidR="001465CA" w:rsidRDefault="001465CA" w:rsidP="000C6E33">
            <w:pPr>
              <w:spacing w:after="0"/>
            </w:pPr>
            <w:r>
              <w:rPr>
                <w:rStyle w:val="NormalText"/>
              </w:rPr>
              <w:t>The organisation’s induction programme addresses employee roles and responsibilities in regard to their compliance with the organisation’s recordkeeping plan.</w:t>
            </w:r>
          </w:p>
        </w:tc>
        <w:tc>
          <w:tcPr>
            <w:tcW w:w="5267" w:type="dxa"/>
            <w:shd w:val="clear" w:color="auto" w:fill="auto"/>
            <w:tcMar>
              <w:top w:w="108" w:type="dxa"/>
              <w:left w:w="108" w:type="dxa"/>
              <w:bottom w:w="108" w:type="dxa"/>
              <w:right w:w="108" w:type="dxa"/>
            </w:tcMar>
            <w:vAlign w:val="center"/>
          </w:tcPr>
          <w:p w:rsidR="001465CA" w:rsidRDefault="001465CA" w:rsidP="000C6E33">
            <w:pPr>
              <w:spacing w:after="0"/>
            </w:pPr>
            <w:r>
              <w:rPr>
                <w:rStyle w:val="NormalText"/>
              </w:rPr>
              <w:t>All new employees are required to read the Department’s on-line induction.  Section 6 refers to their role and responsible in respect to recordkeeping. This section reinforces the recordkeeping component Principle 6 of the Department’s Code of Conduct.</w:t>
            </w:r>
          </w:p>
        </w:tc>
      </w:tr>
    </w:tbl>
    <w:p w:rsidR="0050543B" w:rsidRDefault="0050543B" w:rsidP="00064756"/>
    <w:p w:rsidR="009A36D1" w:rsidRDefault="009A36D1">
      <w:pPr>
        <w:spacing w:line="276" w:lineRule="auto"/>
        <w:rPr>
          <w:rFonts w:ascii="Arial" w:eastAsia="Segoe UI" w:hAnsi="Arial" w:cs="Arial"/>
          <w:noProof/>
          <w:color w:val="006699"/>
          <w:kern w:val="24"/>
          <w:sz w:val="36"/>
          <w:szCs w:val="36"/>
          <w:lang w:val="en-GB" w:eastAsia="en-AU"/>
        </w:rPr>
      </w:pPr>
      <w:r>
        <w:rPr>
          <w:lang w:val="en-GB"/>
        </w:rPr>
        <w:br w:type="page"/>
      </w:r>
    </w:p>
    <w:p w:rsidR="003B1CA5" w:rsidRPr="003B1CA5" w:rsidRDefault="003B1CA5" w:rsidP="003B1CA5">
      <w:pPr>
        <w:pStyle w:val="Heading3"/>
        <w:rPr>
          <w:color w:val="000000"/>
          <w:lang w:val="en-US"/>
        </w:rPr>
      </w:pPr>
      <w:r w:rsidRPr="003B1CA5">
        <w:rPr>
          <w:lang w:val="en-GB"/>
        </w:rPr>
        <w:t xml:space="preserve">Statement of Expenditure – </w:t>
      </w:r>
      <w:r w:rsidRPr="003B1CA5">
        <w:rPr>
          <w:i/>
          <w:iCs/>
          <w:lang w:val="en-GB"/>
        </w:rPr>
        <w:t>Electoral Act 1907</w:t>
      </w:r>
      <w:r w:rsidRPr="003B1CA5">
        <w:rPr>
          <w:lang w:val="en-GB"/>
        </w:rPr>
        <w:br/>
        <w:t>Section 175ZE</w:t>
      </w:r>
    </w:p>
    <w:p w:rsidR="003B1CA5" w:rsidRPr="003B1CA5" w:rsidRDefault="003B1CA5" w:rsidP="003B1CA5">
      <w:pPr>
        <w:rPr>
          <w:lang w:val="en-US"/>
        </w:rPr>
      </w:pPr>
      <w:r w:rsidRPr="003B1CA5">
        <w:rPr>
          <w:lang w:val="en-US"/>
        </w:rPr>
        <w:t xml:space="preserve">In compliance with section 175ZE of the </w:t>
      </w:r>
      <w:r w:rsidRPr="003B1CA5">
        <w:rPr>
          <w:i/>
          <w:iCs/>
          <w:lang w:val="en-US"/>
        </w:rPr>
        <w:t>Electoral Act 1907</w:t>
      </w:r>
      <w:r w:rsidRPr="003B1CA5">
        <w:rPr>
          <w:lang w:val="en-US"/>
        </w:rPr>
        <w:t>, the Department of the Premier and Cabinet is required to report on expenditure incurred during the financial year in relation to advertising agencies, market research organisations, polling organisations, direct mail organisations and media advertising organisations.</w:t>
      </w:r>
    </w:p>
    <w:p w:rsidR="003B1CA5" w:rsidRPr="003B1CA5" w:rsidRDefault="003B1CA5" w:rsidP="003B1CA5">
      <w:pPr>
        <w:rPr>
          <w:lang w:val="en-US"/>
        </w:rPr>
      </w:pPr>
    </w:p>
    <w:tbl>
      <w:tblPr>
        <w:tblW w:w="0" w:type="auto"/>
        <w:tblInd w:w="57" w:type="dxa"/>
        <w:tblBorders>
          <w:bottom w:val="single" w:sz="4" w:space="0" w:color="808080" w:themeColor="background1" w:themeShade="80"/>
          <w:insideH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4284"/>
        <w:gridCol w:w="1316"/>
      </w:tblGrid>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b/>
                <w:bCs/>
                <w:lang w:val="en-US"/>
              </w:rPr>
              <w:t>Expenditure</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lang w:val="en-US"/>
              </w:rPr>
              <w:t>a) Advertising agencies:</w:t>
            </w:r>
          </w:p>
        </w:tc>
        <w:tc>
          <w:tcPr>
            <w:tcW w:w="1316"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lang w:val="en-US"/>
              </w:rPr>
              <w:t>$22,014</w:t>
            </w: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ind w:left="369"/>
              <w:rPr>
                <w:lang w:val="en-US"/>
              </w:rPr>
            </w:pPr>
            <w:r w:rsidRPr="003B1CA5">
              <w:rPr>
                <w:lang w:val="en-US"/>
              </w:rPr>
              <w:t xml:space="preserve"> - Adcorp Australia Ltd</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ind w:left="369"/>
              <w:rPr>
                <w:lang w:val="en-US"/>
              </w:rPr>
            </w:pPr>
            <w:r w:rsidRPr="003B1CA5">
              <w:rPr>
                <w:lang w:val="en-US"/>
              </w:rPr>
              <w:t xml:space="preserve"> - Facebook</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ind w:left="369"/>
              <w:rPr>
                <w:lang w:val="en-US"/>
              </w:rPr>
            </w:pPr>
            <w:r w:rsidRPr="003B1CA5">
              <w:rPr>
                <w:lang w:val="en-US"/>
              </w:rPr>
              <w:t xml:space="preserve"> - Rare Creative Thinking</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ind w:left="369"/>
              <w:rPr>
                <w:lang w:val="en-US"/>
              </w:rPr>
            </w:pPr>
            <w:r w:rsidRPr="003B1CA5">
              <w:rPr>
                <w:lang w:val="en-US"/>
              </w:rPr>
              <w:t xml:space="preserve"> - Freeway Design</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lang w:val="en-US"/>
              </w:rPr>
              <w:t>b) Market research</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lang w:val="en-US"/>
              </w:rPr>
              <w:t>c) Polling agencies</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lang w:val="en-US"/>
              </w:rPr>
              <w:t>d) Direct mail</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lang w:val="en-US"/>
              </w:rPr>
              <w:t>e) Media advertising agencies</w:t>
            </w:r>
          </w:p>
        </w:tc>
        <w:tc>
          <w:tcPr>
            <w:tcW w:w="1316" w:type="dxa"/>
            <w:tcMar>
              <w:top w:w="57" w:type="dxa"/>
              <w:left w:w="57" w:type="dxa"/>
              <w:bottom w:w="57" w:type="dxa"/>
              <w:right w:w="57" w:type="dxa"/>
            </w:tcMar>
            <w:vAlign w:val="center"/>
          </w:tcPr>
          <w:p w:rsidR="003B1CA5" w:rsidRPr="003B1CA5" w:rsidRDefault="003B1CA5" w:rsidP="003B1CA5">
            <w:pPr>
              <w:spacing w:after="0"/>
              <w:rPr>
                <w:rFonts w:ascii="Arial" w:hAnsi="Arial" w:cs="Arial"/>
              </w:rPr>
            </w:pPr>
          </w:p>
        </w:tc>
      </w:tr>
      <w:tr w:rsidR="003B1CA5" w:rsidRPr="003B1CA5" w:rsidTr="000115F1">
        <w:trPr>
          <w:trHeight w:val="20"/>
        </w:trPr>
        <w:tc>
          <w:tcPr>
            <w:tcW w:w="4284"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b/>
                <w:bCs/>
                <w:lang w:val="en-US"/>
              </w:rPr>
              <w:t>Total Expenditure</w:t>
            </w:r>
          </w:p>
        </w:tc>
        <w:tc>
          <w:tcPr>
            <w:tcW w:w="1316" w:type="dxa"/>
            <w:tcMar>
              <w:top w:w="57" w:type="dxa"/>
              <w:left w:w="57" w:type="dxa"/>
              <w:bottom w:w="57" w:type="dxa"/>
              <w:right w:w="57" w:type="dxa"/>
            </w:tcMar>
            <w:vAlign w:val="center"/>
          </w:tcPr>
          <w:p w:rsidR="003B1CA5" w:rsidRPr="003B1CA5" w:rsidRDefault="003B1CA5" w:rsidP="003B1CA5">
            <w:pPr>
              <w:spacing w:after="0"/>
              <w:rPr>
                <w:lang w:val="en-US"/>
              </w:rPr>
            </w:pPr>
            <w:r w:rsidRPr="003B1CA5">
              <w:rPr>
                <w:b/>
                <w:bCs/>
                <w:lang w:val="en-US"/>
              </w:rPr>
              <w:t>$22,014</w:t>
            </w:r>
          </w:p>
        </w:tc>
      </w:tr>
    </w:tbl>
    <w:p w:rsidR="003B1CA5" w:rsidRPr="003B1CA5" w:rsidRDefault="003B1CA5" w:rsidP="003B1CA5">
      <w:pPr>
        <w:rPr>
          <w:lang w:val="en-US"/>
        </w:rPr>
      </w:pPr>
    </w:p>
    <w:p w:rsidR="003B1CA5" w:rsidRPr="003B1CA5" w:rsidRDefault="003B1CA5" w:rsidP="003B1CA5">
      <w:pPr>
        <w:pStyle w:val="Heading3"/>
      </w:pPr>
      <w:r w:rsidRPr="003B1CA5">
        <w:t>Statement of Compliance with Disability Access and Inclusion Plan Outcomes (</w:t>
      </w:r>
      <w:r w:rsidRPr="003B1CA5">
        <w:rPr>
          <w:i/>
        </w:rPr>
        <w:t>Disability Services Act 1993</w:t>
      </w:r>
      <w:r w:rsidRPr="003B1CA5">
        <w:t xml:space="preserve"> – section 29 and Schedule 3 of the </w:t>
      </w:r>
      <w:r w:rsidRPr="003B1CA5">
        <w:rPr>
          <w:i/>
        </w:rPr>
        <w:t>Disability Services Regulations 2004</w:t>
      </w:r>
      <w:r w:rsidRPr="003B1CA5">
        <w:t>)</w:t>
      </w:r>
    </w:p>
    <w:p w:rsidR="003B1CA5" w:rsidRPr="003B1CA5" w:rsidRDefault="003B1CA5" w:rsidP="003B1CA5">
      <w:pPr>
        <w:rPr>
          <w:lang w:val="en-US"/>
        </w:rPr>
      </w:pPr>
      <w:r w:rsidRPr="003B1CA5">
        <w:rPr>
          <w:lang w:val="en-US"/>
        </w:rPr>
        <w:t>In 2011, the Department’s Disability Access and Inclusion Plan (DAIP) was established setting out a number of initiatives scheduled to be implemented over a period of time until June 2016.  The Department sought the views of existing employees with disability to assist in development of the planned initiatives taking into consideration priority and appropriateness for use.  This Plan is reviewed annually and outcomes are monitored periodically to ensure the initiatives are still relevant and the level of accessibility continues to be suitable.</w:t>
      </w:r>
    </w:p>
    <w:p w:rsidR="003B1CA5" w:rsidRPr="003B1CA5" w:rsidRDefault="003B1CA5" w:rsidP="003B1CA5">
      <w:pPr>
        <w:rPr>
          <w:lang w:val="en-US"/>
        </w:rPr>
      </w:pPr>
      <w:r w:rsidRPr="003B1CA5">
        <w:rPr>
          <w:lang w:val="en-US"/>
        </w:rPr>
        <w:t>As part of new requirements under the Act and Regulations, the Department has updated its DAIP this year, to incorporate Outcome 7: ‘People with disability have the same opportunities as other people to obtain and maintain employment with a public authority’.  This change was published in the West Australian and the Department’s internet website for public comment.</w:t>
      </w:r>
    </w:p>
    <w:p w:rsidR="003B1CA5" w:rsidRPr="003B1CA5" w:rsidRDefault="003B1CA5" w:rsidP="00323D83">
      <w:pPr>
        <w:pStyle w:val="Heading3"/>
        <w:rPr>
          <w:color w:val="000000"/>
          <w:lang w:val="en-US"/>
        </w:rPr>
      </w:pPr>
      <w:r w:rsidRPr="003B1CA5">
        <w:rPr>
          <w:lang w:val="en-GB"/>
        </w:rPr>
        <w:t xml:space="preserve">Statement of Compliance with the Public Sector </w:t>
      </w:r>
      <w:r w:rsidRPr="003B1CA5">
        <w:rPr>
          <w:lang w:val="en-GB"/>
        </w:rPr>
        <w:br/>
        <w:t>Standards and Ethical Codes (</w:t>
      </w:r>
      <w:r w:rsidRPr="003B1CA5">
        <w:rPr>
          <w:i/>
          <w:iCs/>
          <w:lang w:val="en-GB"/>
        </w:rPr>
        <w:t>Public Sector Management Act 1994,</w:t>
      </w:r>
      <w:r w:rsidRPr="003B1CA5">
        <w:rPr>
          <w:lang w:val="en-GB"/>
        </w:rPr>
        <w:t xml:space="preserve"> section 31[1])</w:t>
      </w:r>
    </w:p>
    <w:p w:rsidR="003B1CA5" w:rsidRPr="003B1CA5" w:rsidRDefault="003B1CA5" w:rsidP="00323D83">
      <w:pPr>
        <w:rPr>
          <w:lang w:val="en-US"/>
        </w:rPr>
      </w:pPr>
      <w:r w:rsidRPr="003B1CA5">
        <w:rPr>
          <w:lang w:val="en-US"/>
        </w:rPr>
        <w:t xml:space="preserve">The Department is committed to promoting integrity in official conduct in the Public Service and achieving compliance with the Public Sector Standards, the Western Australian Code of Ethics and the Department’s Code of Conduct. These guidelines are endorsed by the Corporate Executive and senior management and are </w:t>
      </w:r>
      <w:proofErr w:type="spellStart"/>
      <w:r w:rsidRPr="003B1CA5">
        <w:rPr>
          <w:lang w:val="en-US"/>
        </w:rPr>
        <w:t>practised</w:t>
      </w:r>
      <w:proofErr w:type="spellEnd"/>
      <w:r w:rsidRPr="003B1CA5">
        <w:rPr>
          <w:lang w:val="en-US"/>
        </w:rPr>
        <w:t xml:space="preserve"> within the Department.</w:t>
      </w:r>
    </w:p>
    <w:p w:rsidR="003B1CA5" w:rsidRPr="003B1CA5" w:rsidRDefault="003B1CA5" w:rsidP="00323D83">
      <w:pPr>
        <w:rPr>
          <w:lang w:val="en-US"/>
        </w:rPr>
      </w:pPr>
      <w:r w:rsidRPr="003B1CA5">
        <w:rPr>
          <w:lang w:val="en-US"/>
        </w:rPr>
        <w:t>To support the application of the Public Sector Standards, the Western Australian Code of Ethics and the Commissioner’s Instructions, the Department has a number of formal policies, procedures and guidelines which are reviewed on a regular basis.</w:t>
      </w:r>
    </w:p>
    <w:p w:rsidR="003B1CA5" w:rsidRPr="003B1CA5" w:rsidRDefault="003B1CA5" w:rsidP="00323D83">
      <w:pPr>
        <w:rPr>
          <w:lang w:val="en-US"/>
        </w:rPr>
      </w:pPr>
      <w:r w:rsidRPr="003B1CA5">
        <w:rPr>
          <w:lang w:val="en-US"/>
        </w:rPr>
        <w:t>The following outlines the significant action taken to monitor and ensure compliance in each of the following areas:</w:t>
      </w:r>
      <w:r w:rsidRPr="003B1CA5">
        <w:rPr>
          <w:lang w:val="en-US"/>
        </w:rPr>
        <w:br/>
      </w:r>
    </w:p>
    <w:p w:rsidR="003B1CA5" w:rsidRPr="003B1CA5" w:rsidRDefault="003B1CA5" w:rsidP="00323D83">
      <w:pPr>
        <w:pStyle w:val="Heading4"/>
        <w:rPr>
          <w:color w:val="000000"/>
          <w:lang w:val="en-US"/>
        </w:rPr>
      </w:pPr>
      <w:r w:rsidRPr="003B1CA5">
        <w:rPr>
          <w:lang w:val="en-US"/>
        </w:rPr>
        <w:t>Significant Actions Undertaken to Promote Compliance with the Public Sector Standards in Human Resource Management and Commissioner’s Instructions</w:t>
      </w:r>
    </w:p>
    <w:p w:rsidR="003B1CA5" w:rsidRPr="003B1CA5" w:rsidRDefault="003B1CA5" w:rsidP="00323D83">
      <w:pPr>
        <w:rPr>
          <w:lang w:val="en-US"/>
        </w:rPr>
      </w:pPr>
      <w:r w:rsidRPr="003B1CA5">
        <w:rPr>
          <w:lang w:val="en-US"/>
        </w:rPr>
        <w:t xml:space="preserve">To ensure compliance with the Commissioner’s Instructions </w:t>
      </w:r>
      <w:r w:rsidRPr="003B1CA5">
        <w:rPr>
          <w:i/>
          <w:iCs/>
          <w:lang w:val="en-US"/>
        </w:rPr>
        <w:t xml:space="preserve">No. 1 Employment Standard </w:t>
      </w:r>
      <w:r w:rsidRPr="003B1CA5">
        <w:rPr>
          <w:lang w:val="en-US"/>
        </w:rPr>
        <w:t>and</w:t>
      </w:r>
      <w:r w:rsidRPr="003B1CA5">
        <w:rPr>
          <w:i/>
          <w:iCs/>
          <w:lang w:val="en-US"/>
        </w:rPr>
        <w:t xml:space="preserve"> </w:t>
      </w:r>
      <w:r w:rsidRPr="003B1CA5">
        <w:rPr>
          <w:i/>
          <w:iCs/>
          <w:lang w:val="en-US"/>
        </w:rPr>
        <w:br/>
        <w:t>No. 2 Filling a Public Sector Vacancy</w:t>
      </w:r>
      <w:r w:rsidRPr="003B1CA5">
        <w:rPr>
          <w:lang w:val="en-US"/>
        </w:rPr>
        <w:t>, the Department has in place a process to ensure merit, equity, interest and transparency principles are maintained.  Each recruitment, selection and appointment process is reviewed and considered in light of the four principles and open merit selection processes were undertaken.</w:t>
      </w:r>
    </w:p>
    <w:p w:rsidR="003B1CA5" w:rsidRPr="003B1CA5" w:rsidRDefault="003B1CA5" w:rsidP="00323D83">
      <w:pPr>
        <w:rPr>
          <w:lang w:val="en-US"/>
        </w:rPr>
      </w:pPr>
      <w:r w:rsidRPr="003B1CA5">
        <w:rPr>
          <w:lang w:val="en-US"/>
        </w:rPr>
        <w:t>The Department ensures performance and development plans are completed for all employees to support staff individual progress and assign role responsibilities that are in line with the agency’s corporate plans.  Regular review of the plans are monitored and reported to the Corporate Executive.</w:t>
      </w:r>
    </w:p>
    <w:p w:rsidR="003B1CA5" w:rsidRPr="00323D83" w:rsidRDefault="003B1CA5" w:rsidP="00323D83">
      <w:pPr>
        <w:rPr>
          <w:b/>
          <w:lang w:val="en-US"/>
        </w:rPr>
      </w:pPr>
      <w:r w:rsidRPr="00323D83">
        <w:rPr>
          <w:b/>
          <w:lang w:val="en-US"/>
        </w:rPr>
        <w:t>Compliance Issues</w:t>
      </w:r>
    </w:p>
    <w:p w:rsidR="003B1CA5" w:rsidRPr="003B1CA5" w:rsidRDefault="003B1CA5" w:rsidP="00323D83">
      <w:pPr>
        <w:rPr>
          <w:color w:val="000000"/>
          <w:lang w:val="en-US"/>
        </w:rPr>
      </w:pPr>
      <w:r w:rsidRPr="003B1CA5">
        <w:rPr>
          <w:color w:val="000000"/>
          <w:lang w:val="en-US"/>
        </w:rPr>
        <w:t>There were no breaches in the Employment Standard in the 2014–15 financial year.</w:t>
      </w:r>
      <w:r w:rsidRPr="003B1CA5">
        <w:rPr>
          <w:color w:val="000000"/>
          <w:lang w:val="en-US"/>
        </w:rPr>
        <w:br/>
      </w:r>
    </w:p>
    <w:p w:rsidR="00681CE5" w:rsidRDefault="00681CE5">
      <w:pPr>
        <w:spacing w:line="276" w:lineRule="auto"/>
        <w:rPr>
          <w:rFonts w:ascii="Arial" w:eastAsia="Segoe UI" w:hAnsi="Arial" w:cs="Arial"/>
          <w:noProof/>
          <w:color w:val="003366"/>
          <w:kern w:val="24"/>
          <w:sz w:val="36"/>
          <w:szCs w:val="36"/>
          <w:lang w:val="en-US" w:eastAsia="en-AU"/>
        </w:rPr>
      </w:pPr>
      <w:r>
        <w:rPr>
          <w:lang w:val="en-US"/>
        </w:rPr>
        <w:br w:type="page"/>
      </w:r>
    </w:p>
    <w:p w:rsidR="003B1CA5" w:rsidRPr="003B1CA5" w:rsidRDefault="003B1CA5" w:rsidP="00323D83">
      <w:pPr>
        <w:pStyle w:val="Heading4"/>
        <w:rPr>
          <w:color w:val="000000"/>
          <w:lang w:val="en-US"/>
        </w:rPr>
      </w:pPr>
      <w:r w:rsidRPr="003B1CA5">
        <w:rPr>
          <w:lang w:val="en-US"/>
        </w:rPr>
        <w:t>Significant Actions Undertaken to Promote Compliance with the Western Australian Public Sector Code of Ethics and the Department’s Code of Conduct</w:t>
      </w:r>
    </w:p>
    <w:p w:rsidR="003B1CA5" w:rsidRPr="003B1CA5" w:rsidRDefault="003B1CA5" w:rsidP="00323D83">
      <w:pPr>
        <w:rPr>
          <w:lang w:val="en-US"/>
        </w:rPr>
      </w:pPr>
      <w:r w:rsidRPr="003B1CA5">
        <w:rPr>
          <w:lang w:val="en-US"/>
        </w:rPr>
        <w:t>The Department’s Code of Conduct sets out the standards of conduct and integrity that are to be followed by the Department and all its employees.  The Code is also developed in line with the minimum standards of conduct and integrity set out by the Western Australian Public Sector Code of Ethics.</w:t>
      </w:r>
    </w:p>
    <w:p w:rsidR="00600008" w:rsidRPr="009A36D1" w:rsidRDefault="003B1CA5" w:rsidP="009A36D1">
      <w:r w:rsidRPr="003B1CA5">
        <w:rPr>
          <w:lang w:val="en-US"/>
        </w:rPr>
        <w:t>The Department provides all new staff with a copy of the Code of Conduct along with training and guidelines on ethical and accountable decision making to ensure staff have the means to deal with situations relating to conduct and integrity.  The Department’s induction also covers these topics to support understanding.</w:t>
      </w:r>
      <w:bookmarkStart w:id="534" w:name="_Toc425370438"/>
      <w:bookmarkStart w:id="535" w:name="_Toc426104665"/>
    </w:p>
    <w:p w:rsidR="00681CE5" w:rsidRDefault="00681CE5">
      <w:pPr>
        <w:spacing w:line="276" w:lineRule="auto"/>
        <w:rPr>
          <w:rFonts w:ascii="Arial" w:eastAsia="Segoe UI" w:hAnsi="Arial" w:cs="Arial"/>
          <w:noProof/>
          <w:color w:val="365F91" w:themeColor="accent1" w:themeShade="BF"/>
          <w:kern w:val="24"/>
          <w:sz w:val="44"/>
          <w:szCs w:val="44"/>
          <w:lang w:eastAsia="en-AU"/>
        </w:rPr>
      </w:pPr>
      <w:bookmarkStart w:id="536" w:name="_Toc425370441"/>
      <w:bookmarkStart w:id="537" w:name="_Toc426104669"/>
      <w:bookmarkStart w:id="538" w:name="_Toc426397397"/>
      <w:bookmarkStart w:id="539" w:name="_Toc426637371"/>
      <w:bookmarkStart w:id="540" w:name="_Toc426637616"/>
      <w:bookmarkStart w:id="541" w:name="_Toc430547914"/>
      <w:bookmarkEnd w:id="534"/>
      <w:bookmarkEnd w:id="535"/>
      <w:r>
        <w:br w:type="page"/>
      </w:r>
    </w:p>
    <w:p w:rsidR="004054B4" w:rsidRPr="00E51E59" w:rsidRDefault="004054B4" w:rsidP="00323D83">
      <w:pPr>
        <w:pStyle w:val="Heading2"/>
      </w:pPr>
      <w:r w:rsidRPr="00E51E59">
        <w:t xml:space="preserve">Government </w:t>
      </w:r>
      <w:r w:rsidRPr="001A089D">
        <w:t>Policy</w:t>
      </w:r>
      <w:r w:rsidRPr="00E51E59">
        <w:t xml:space="preserve"> Requirements</w:t>
      </w:r>
      <w:bookmarkEnd w:id="536"/>
      <w:bookmarkEnd w:id="537"/>
      <w:bookmarkEnd w:id="538"/>
      <w:bookmarkEnd w:id="539"/>
      <w:bookmarkEnd w:id="540"/>
      <w:bookmarkEnd w:id="541"/>
    </w:p>
    <w:p w:rsidR="00323D83" w:rsidRPr="00323D83" w:rsidRDefault="00323D83" w:rsidP="00323D83">
      <w:pPr>
        <w:pStyle w:val="Heading3"/>
        <w:rPr>
          <w:color w:val="000000"/>
          <w:lang w:val="en-GB"/>
        </w:rPr>
      </w:pPr>
      <w:r w:rsidRPr="00323D83">
        <w:rPr>
          <w:lang w:val="en-GB"/>
        </w:rPr>
        <w:t>Substantive Equality (Implementation of the Policy Framework for Substantive Equality)</w:t>
      </w:r>
    </w:p>
    <w:p w:rsidR="00323D83" w:rsidRPr="00323D83" w:rsidRDefault="00323D83" w:rsidP="00323D83">
      <w:pPr>
        <w:rPr>
          <w:color w:val="000000"/>
          <w:lang w:val="en-US"/>
        </w:rPr>
      </w:pPr>
      <w:r w:rsidRPr="00323D83">
        <w:rPr>
          <w:color w:val="000000"/>
          <w:lang w:val="en-US"/>
        </w:rPr>
        <w:t>The Department’s commitment to the Substantive Equality Policy Framework is reflected in the Department’s Elimination of Discrimination and Harassment Policy which is available to all staff via the Department’s Intranet and as part of the Department’s induction.</w:t>
      </w:r>
    </w:p>
    <w:p w:rsidR="00323D83" w:rsidRPr="00323D83" w:rsidRDefault="00323D83" w:rsidP="00323D83">
      <w:pPr>
        <w:rPr>
          <w:color w:val="000000"/>
          <w:lang w:val="en-US"/>
        </w:rPr>
      </w:pPr>
      <w:r w:rsidRPr="00323D83">
        <w:rPr>
          <w:color w:val="000000"/>
          <w:lang w:val="en-US"/>
        </w:rPr>
        <w:t>The Department ensures that the principles of the policy framework are upheld and management decisions are made taking into consideration equity, parity and fairness to the community.</w:t>
      </w:r>
    </w:p>
    <w:p w:rsidR="00323D83" w:rsidRPr="00323D83" w:rsidRDefault="00323D83" w:rsidP="00323D83">
      <w:pPr>
        <w:pStyle w:val="Heading3"/>
        <w:rPr>
          <w:color w:val="000000"/>
          <w:lang w:val="en-US"/>
        </w:rPr>
      </w:pPr>
      <w:r w:rsidRPr="00323D83">
        <w:rPr>
          <w:lang w:val="en-GB"/>
        </w:rPr>
        <w:t>Occupational Safety, Health and Injury Management</w:t>
      </w:r>
    </w:p>
    <w:p w:rsidR="00323D83" w:rsidRPr="00323D83" w:rsidRDefault="00323D83" w:rsidP="00323D83">
      <w:pPr>
        <w:rPr>
          <w:color w:val="000000"/>
          <w:lang w:val="en-US"/>
        </w:rPr>
      </w:pPr>
      <w:r w:rsidRPr="00323D83">
        <w:rPr>
          <w:color w:val="000000"/>
          <w:lang w:val="en-US"/>
        </w:rPr>
        <w:t xml:space="preserve">The Department, through the Corporate Executive, is committed to providing a healthy, safe and accident free workplace for all its employees, contractors and visitors by complying with the </w:t>
      </w:r>
      <w:r w:rsidRPr="00323D83">
        <w:rPr>
          <w:i/>
          <w:iCs/>
          <w:color w:val="000000"/>
          <w:lang w:val="en-US"/>
        </w:rPr>
        <w:t>Occupational Safety and Health Act 1984</w:t>
      </w:r>
      <w:r w:rsidRPr="00323D83">
        <w:rPr>
          <w:color w:val="000000"/>
          <w:lang w:val="en-US"/>
        </w:rPr>
        <w:t xml:space="preserve"> and the </w:t>
      </w:r>
      <w:r w:rsidRPr="00323D83">
        <w:rPr>
          <w:i/>
          <w:iCs/>
          <w:color w:val="000000"/>
          <w:lang w:val="en-US"/>
        </w:rPr>
        <w:t>Workers’ Compensation and Injury Management Act 1981</w:t>
      </w:r>
      <w:r w:rsidRPr="00323D83">
        <w:rPr>
          <w:color w:val="000000"/>
          <w:lang w:val="en-US"/>
        </w:rPr>
        <w:t>.</w:t>
      </w:r>
    </w:p>
    <w:p w:rsidR="00323D83" w:rsidRPr="00323D83" w:rsidRDefault="00323D83" w:rsidP="00323D83">
      <w:pPr>
        <w:rPr>
          <w:color w:val="000000"/>
          <w:lang w:val="en-US"/>
        </w:rPr>
      </w:pPr>
      <w:r w:rsidRPr="00323D83">
        <w:rPr>
          <w:color w:val="000000"/>
          <w:lang w:val="en-US"/>
        </w:rPr>
        <w:t>The Department’s Occupational Safety and Health (OSH) Committee is the fundamental mechanism for consultation on OSH matters between employees and the Corporate Executive.  The Committee is comprised of employee and management representatives and meets every quarter to discuss and resolve safety and health issues, and review objectives, plans and procedures, in line with the Department’s OSH Management Plan.</w:t>
      </w:r>
    </w:p>
    <w:p w:rsidR="00323D83" w:rsidRPr="00323D83" w:rsidRDefault="00323D83" w:rsidP="00323D83">
      <w:pPr>
        <w:rPr>
          <w:color w:val="000000"/>
          <w:lang w:val="en-US"/>
        </w:rPr>
      </w:pPr>
      <w:r w:rsidRPr="00323D83">
        <w:rPr>
          <w:color w:val="000000"/>
          <w:lang w:val="en-US"/>
        </w:rPr>
        <w:t>The Department is committed to continuous review and improvement of workplace safety and health.</w:t>
      </w:r>
    </w:p>
    <w:p w:rsidR="0079443C" w:rsidRPr="00323D83" w:rsidRDefault="00323D83" w:rsidP="00323D83">
      <w:pPr>
        <w:rPr>
          <w:color w:val="000000"/>
          <w:lang w:val="en-US"/>
        </w:rPr>
      </w:pPr>
      <w:r w:rsidRPr="00323D83">
        <w:rPr>
          <w:color w:val="000000"/>
          <w:lang w:val="en-US"/>
        </w:rPr>
        <w:t xml:space="preserve">The Department undertook an internal assessment of its OSH management systems in 2011 and progress is underway to achieve the agreed outcomes.  The Department has a documented injury management system in place in accordance with the </w:t>
      </w:r>
      <w:r w:rsidRPr="00323D83">
        <w:rPr>
          <w:i/>
          <w:iCs/>
          <w:color w:val="000000"/>
          <w:lang w:val="en-US"/>
        </w:rPr>
        <w:t>Workers’ Compensation and Injury Management Act 1981</w:t>
      </w:r>
      <w:r w:rsidRPr="00323D83">
        <w:rPr>
          <w:color w:val="000000"/>
          <w:lang w:val="en-US"/>
        </w:rPr>
        <w:t xml:space="preserve"> and this system assists the Department in providing injury management support to those who have sustained a work related injury or illness.  This process involves identifying return to work goals and injury management interventions which are fundamental to a successful return to work programme.</w:t>
      </w:r>
    </w:p>
    <w:p w:rsidR="009A36D1" w:rsidRDefault="009A36D1">
      <w:pPr>
        <w:spacing w:line="276" w:lineRule="auto"/>
        <w:rPr>
          <w:rFonts w:ascii="Arial" w:eastAsia="Segoe UI" w:hAnsi="Arial" w:cs="Arial"/>
          <w:noProof/>
          <w:color w:val="003366"/>
          <w:kern w:val="24"/>
          <w:sz w:val="36"/>
          <w:szCs w:val="36"/>
          <w:lang w:eastAsia="en-AU"/>
        </w:rPr>
      </w:pPr>
      <w:bookmarkStart w:id="542" w:name="_Toc426104672"/>
      <w:r>
        <w:br w:type="page"/>
      </w:r>
    </w:p>
    <w:p w:rsidR="0079443C" w:rsidRPr="0079443C" w:rsidRDefault="0079443C" w:rsidP="00323D83">
      <w:pPr>
        <w:pStyle w:val="Heading4"/>
      </w:pPr>
      <w:r w:rsidRPr="0079443C">
        <w:t>Performance against OSH targets</w:t>
      </w:r>
      <w:bookmarkEnd w:id="542"/>
    </w:p>
    <w:tbl>
      <w:tblPr>
        <w:tblpPr w:leftFromText="180" w:rightFromText="180" w:vertAnchor="text" w:horzAnchor="margin" w:tblpY="157"/>
        <w:tblW w:w="10077" w:type="dxa"/>
        <w:tblBorders>
          <w:top w:val="single" w:sz="4" w:space="0" w:color="AFC628"/>
          <w:bottom w:val="single" w:sz="4" w:space="0" w:color="AFC628"/>
          <w:insideH w:val="single" w:sz="4" w:space="0" w:color="AFC628"/>
        </w:tblBorders>
        <w:tblCellMar>
          <w:top w:w="57" w:type="dxa"/>
          <w:bottom w:w="57" w:type="dxa"/>
        </w:tblCellMar>
        <w:tblLook w:val="04A0" w:firstRow="1" w:lastRow="0" w:firstColumn="1" w:lastColumn="0" w:noHBand="0" w:noVBand="1"/>
      </w:tblPr>
      <w:tblGrid>
        <w:gridCol w:w="3652"/>
        <w:gridCol w:w="1393"/>
        <w:gridCol w:w="1394"/>
        <w:gridCol w:w="1819"/>
        <w:gridCol w:w="1819"/>
      </w:tblGrid>
      <w:tr w:rsidR="0079443C" w:rsidTr="000115F1">
        <w:tc>
          <w:tcPr>
            <w:tcW w:w="3652" w:type="dxa"/>
            <w:tcBorders>
              <w:top w:val="nil"/>
              <w:bottom w:val="single" w:sz="4" w:space="0" w:color="808080" w:themeColor="background1" w:themeShade="80"/>
            </w:tcBorders>
            <w:vAlign w:val="center"/>
          </w:tcPr>
          <w:p w:rsidR="0079443C" w:rsidRPr="00C82A58" w:rsidRDefault="0079443C" w:rsidP="00323D83">
            <w:pPr>
              <w:spacing w:after="0"/>
              <w:jc w:val="center"/>
            </w:pPr>
          </w:p>
        </w:tc>
        <w:tc>
          <w:tcPr>
            <w:tcW w:w="2787" w:type="dxa"/>
            <w:gridSpan w:val="2"/>
            <w:tcBorders>
              <w:top w:val="single" w:sz="4" w:space="0" w:color="808080" w:themeColor="background1" w:themeShade="80"/>
              <w:bottom w:val="single" w:sz="4" w:space="0" w:color="808080" w:themeColor="background1" w:themeShade="80"/>
            </w:tcBorders>
          </w:tcPr>
          <w:p w:rsidR="0079443C" w:rsidRPr="006D4A97" w:rsidRDefault="0079443C" w:rsidP="00323D83">
            <w:pPr>
              <w:spacing w:after="0"/>
              <w:jc w:val="center"/>
              <w:rPr>
                <w:b/>
              </w:rPr>
            </w:pPr>
            <w:r w:rsidRPr="006D4A97">
              <w:rPr>
                <w:b/>
              </w:rPr>
              <w:t>Actual Results</w:t>
            </w:r>
          </w:p>
        </w:tc>
        <w:tc>
          <w:tcPr>
            <w:tcW w:w="3638" w:type="dxa"/>
            <w:gridSpan w:val="2"/>
            <w:tcBorders>
              <w:top w:val="single" w:sz="4" w:space="0" w:color="808080" w:themeColor="background1" w:themeShade="80"/>
              <w:bottom w:val="single" w:sz="4" w:space="0" w:color="808080" w:themeColor="background1" w:themeShade="80"/>
            </w:tcBorders>
          </w:tcPr>
          <w:p w:rsidR="0079443C" w:rsidRPr="006D4A97" w:rsidRDefault="0079443C" w:rsidP="00323D83">
            <w:pPr>
              <w:spacing w:after="0"/>
              <w:jc w:val="center"/>
              <w:rPr>
                <w:b/>
              </w:rPr>
            </w:pPr>
            <w:r w:rsidRPr="006D4A97">
              <w:rPr>
                <w:b/>
              </w:rPr>
              <w:t>Results against Target</w:t>
            </w:r>
          </w:p>
        </w:tc>
      </w:tr>
      <w:tr w:rsidR="0079443C" w:rsidTr="000115F1">
        <w:tc>
          <w:tcPr>
            <w:tcW w:w="3652" w:type="dxa"/>
            <w:tcBorders>
              <w:top w:val="single" w:sz="4" w:space="0" w:color="808080" w:themeColor="background1" w:themeShade="80"/>
              <w:bottom w:val="single" w:sz="4" w:space="0" w:color="808080" w:themeColor="background1" w:themeShade="80"/>
            </w:tcBorders>
            <w:vAlign w:val="center"/>
          </w:tcPr>
          <w:p w:rsidR="0079443C" w:rsidRPr="006D4A97" w:rsidRDefault="00C82A58" w:rsidP="00323D83">
            <w:pPr>
              <w:spacing w:after="0"/>
              <w:jc w:val="center"/>
              <w:rPr>
                <w:b/>
              </w:rPr>
            </w:pPr>
            <w:r w:rsidRPr="006D4A97">
              <w:rPr>
                <w:b/>
              </w:rPr>
              <w:t>Measure</w:t>
            </w:r>
          </w:p>
        </w:tc>
        <w:tc>
          <w:tcPr>
            <w:tcW w:w="1393" w:type="dxa"/>
            <w:tcBorders>
              <w:top w:val="single" w:sz="4" w:space="0" w:color="808080" w:themeColor="background1" w:themeShade="80"/>
              <w:bottom w:val="single" w:sz="4" w:space="0" w:color="808080" w:themeColor="background1" w:themeShade="80"/>
            </w:tcBorders>
            <w:vAlign w:val="center"/>
          </w:tcPr>
          <w:p w:rsidR="0079443C" w:rsidRPr="006D4A97" w:rsidRDefault="0079443C" w:rsidP="00323D83">
            <w:pPr>
              <w:spacing w:after="0"/>
              <w:jc w:val="center"/>
              <w:rPr>
                <w:b/>
              </w:rPr>
            </w:pPr>
            <w:r w:rsidRPr="006D4A97">
              <w:rPr>
                <w:b/>
              </w:rPr>
              <w:t>2013-14</w:t>
            </w:r>
          </w:p>
        </w:tc>
        <w:tc>
          <w:tcPr>
            <w:tcW w:w="1394" w:type="dxa"/>
            <w:tcBorders>
              <w:top w:val="single" w:sz="4" w:space="0" w:color="808080" w:themeColor="background1" w:themeShade="80"/>
              <w:bottom w:val="single" w:sz="4" w:space="0" w:color="808080" w:themeColor="background1" w:themeShade="80"/>
            </w:tcBorders>
            <w:vAlign w:val="center"/>
          </w:tcPr>
          <w:p w:rsidR="0079443C" w:rsidRPr="006D4A97" w:rsidRDefault="0079443C" w:rsidP="00323D83">
            <w:pPr>
              <w:spacing w:after="0"/>
              <w:jc w:val="center"/>
              <w:rPr>
                <w:b/>
              </w:rPr>
            </w:pPr>
            <w:r w:rsidRPr="006D4A97">
              <w:rPr>
                <w:b/>
              </w:rPr>
              <w:t>2014-15</w:t>
            </w:r>
          </w:p>
        </w:tc>
        <w:tc>
          <w:tcPr>
            <w:tcW w:w="1819" w:type="dxa"/>
            <w:tcBorders>
              <w:top w:val="single" w:sz="4" w:space="0" w:color="808080" w:themeColor="background1" w:themeShade="80"/>
              <w:bottom w:val="single" w:sz="4" w:space="0" w:color="808080" w:themeColor="background1" w:themeShade="80"/>
            </w:tcBorders>
            <w:vAlign w:val="center"/>
          </w:tcPr>
          <w:p w:rsidR="0079443C" w:rsidRPr="006D4A97" w:rsidRDefault="0079443C" w:rsidP="00323D83">
            <w:pPr>
              <w:spacing w:after="0"/>
              <w:jc w:val="center"/>
              <w:rPr>
                <w:b/>
              </w:rPr>
            </w:pPr>
            <w:r w:rsidRPr="006D4A97">
              <w:rPr>
                <w:b/>
              </w:rPr>
              <w:t>Target</w:t>
            </w:r>
          </w:p>
        </w:tc>
        <w:tc>
          <w:tcPr>
            <w:tcW w:w="1819" w:type="dxa"/>
            <w:tcBorders>
              <w:top w:val="single" w:sz="4" w:space="0" w:color="808080" w:themeColor="background1" w:themeShade="80"/>
              <w:bottom w:val="single" w:sz="4" w:space="0" w:color="808080" w:themeColor="background1" w:themeShade="80"/>
            </w:tcBorders>
            <w:vAlign w:val="center"/>
          </w:tcPr>
          <w:p w:rsidR="0079443C" w:rsidRPr="006D4A97" w:rsidRDefault="0079443C" w:rsidP="00323D83">
            <w:pPr>
              <w:spacing w:after="0"/>
              <w:jc w:val="center"/>
              <w:rPr>
                <w:b/>
              </w:rPr>
            </w:pPr>
            <w:r w:rsidRPr="006D4A97">
              <w:rPr>
                <w:b/>
              </w:rPr>
              <w:t>Comment on Results</w:t>
            </w:r>
          </w:p>
        </w:tc>
      </w:tr>
      <w:tr w:rsidR="0079443C" w:rsidTr="000115F1">
        <w:tc>
          <w:tcPr>
            <w:tcW w:w="3652" w:type="dxa"/>
            <w:tcBorders>
              <w:top w:val="single" w:sz="4" w:space="0" w:color="808080" w:themeColor="background1" w:themeShade="80"/>
              <w:bottom w:val="single" w:sz="4" w:space="0" w:color="808080" w:themeColor="background1" w:themeShade="80"/>
            </w:tcBorders>
          </w:tcPr>
          <w:p w:rsidR="0079443C" w:rsidRDefault="0079443C" w:rsidP="00323D83">
            <w:pPr>
              <w:spacing w:after="0"/>
            </w:pPr>
            <w:r>
              <w:t>Number of fatalities</w:t>
            </w:r>
          </w:p>
        </w:tc>
        <w:tc>
          <w:tcPr>
            <w:tcW w:w="1393"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0</w:t>
            </w:r>
          </w:p>
        </w:tc>
        <w:tc>
          <w:tcPr>
            <w:tcW w:w="1394"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0</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0</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r>
      <w:tr w:rsidR="00323D83" w:rsidTr="000115F1">
        <w:trPr>
          <w:trHeight w:val="72"/>
        </w:trPr>
        <w:tc>
          <w:tcPr>
            <w:tcW w:w="3652" w:type="dxa"/>
            <w:tcBorders>
              <w:top w:val="single" w:sz="4" w:space="0" w:color="808080" w:themeColor="background1" w:themeShade="80"/>
              <w:bottom w:val="single" w:sz="4" w:space="0" w:color="808080" w:themeColor="background1" w:themeShade="80"/>
            </w:tcBorders>
            <w:vAlign w:val="center"/>
          </w:tcPr>
          <w:p w:rsidR="00323D83" w:rsidRDefault="00323D83" w:rsidP="00323D83">
            <w:pPr>
              <w:spacing w:after="0"/>
            </w:pPr>
            <w:r>
              <w:rPr>
                <w:rStyle w:val="NormalText"/>
              </w:rPr>
              <w:t>Lost time injury (LTI)/disease incidence rate</w:t>
            </w:r>
          </w:p>
        </w:tc>
        <w:tc>
          <w:tcPr>
            <w:tcW w:w="1393"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0.2%</w:t>
            </w:r>
          </w:p>
        </w:tc>
        <w:tc>
          <w:tcPr>
            <w:tcW w:w="1394"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0.9%</w:t>
            </w:r>
          </w:p>
        </w:tc>
        <w:tc>
          <w:tcPr>
            <w:tcW w:w="1819"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0 or 10% reduction</w:t>
            </w:r>
          </w:p>
        </w:tc>
        <w:tc>
          <w:tcPr>
            <w:tcW w:w="1819"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4 LTIs</w:t>
            </w:r>
          </w:p>
        </w:tc>
      </w:tr>
      <w:tr w:rsidR="00323D83" w:rsidTr="000115F1">
        <w:trPr>
          <w:trHeight w:val="441"/>
        </w:trPr>
        <w:tc>
          <w:tcPr>
            <w:tcW w:w="3652" w:type="dxa"/>
            <w:tcBorders>
              <w:top w:val="single" w:sz="4" w:space="0" w:color="808080" w:themeColor="background1" w:themeShade="80"/>
              <w:bottom w:val="single" w:sz="4" w:space="0" w:color="808080" w:themeColor="background1" w:themeShade="80"/>
            </w:tcBorders>
            <w:vAlign w:val="center"/>
          </w:tcPr>
          <w:p w:rsidR="00323D83" w:rsidRDefault="00323D83" w:rsidP="00323D83">
            <w:pPr>
              <w:spacing w:after="0"/>
            </w:pPr>
            <w:r>
              <w:rPr>
                <w:rStyle w:val="NormalText"/>
              </w:rPr>
              <w:t>Lost time injury (LTI)/disease severity rate</w:t>
            </w:r>
          </w:p>
        </w:tc>
        <w:tc>
          <w:tcPr>
            <w:tcW w:w="1393"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100%</w:t>
            </w:r>
          </w:p>
        </w:tc>
        <w:tc>
          <w:tcPr>
            <w:tcW w:w="1394"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0%</w:t>
            </w:r>
          </w:p>
        </w:tc>
        <w:tc>
          <w:tcPr>
            <w:tcW w:w="1819"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r>
              <w:t>0 or 10% reduction</w:t>
            </w:r>
          </w:p>
        </w:tc>
        <w:tc>
          <w:tcPr>
            <w:tcW w:w="1819" w:type="dxa"/>
            <w:tcBorders>
              <w:top w:val="single" w:sz="4" w:space="0" w:color="808080" w:themeColor="background1" w:themeShade="80"/>
              <w:bottom w:val="single" w:sz="4" w:space="0" w:color="808080" w:themeColor="background1" w:themeShade="80"/>
            </w:tcBorders>
          </w:tcPr>
          <w:p w:rsidR="00323D83" w:rsidRDefault="00323D83" w:rsidP="00323D83">
            <w:pPr>
              <w:spacing w:after="0"/>
              <w:jc w:val="center"/>
            </w:pPr>
          </w:p>
        </w:tc>
      </w:tr>
      <w:tr w:rsidR="0079443C" w:rsidTr="000115F1">
        <w:tc>
          <w:tcPr>
            <w:tcW w:w="3652" w:type="dxa"/>
            <w:tcBorders>
              <w:top w:val="single" w:sz="4" w:space="0" w:color="808080" w:themeColor="background1" w:themeShade="80"/>
              <w:bottom w:val="single" w:sz="4" w:space="0" w:color="808080" w:themeColor="background1" w:themeShade="80"/>
            </w:tcBorders>
          </w:tcPr>
          <w:p w:rsidR="0079443C" w:rsidRDefault="0079443C" w:rsidP="00323D83">
            <w:pPr>
              <w:spacing w:after="0"/>
            </w:pPr>
            <w:r>
              <w:t>Percentage of injured workers returning to work:</w:t>
            </w:r>
          </w:p>
        </w:tc>
        <w:tc>
          <w:tcPr>
            <w:tcW w:w="1393"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c>
          <w:tcPr>
            <w:tcW w:w="1394"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r>
      <w:tr w:rsidR="0079443C" w:rsidTr="000115F1">
        <w:tc>
          <w:tcPr>
            <w:tcW w:w="3652" w:type="dxa"/>
            <w:tcBorders>
              <w:top w:val="single" w:sz="4" w:space="0" w:color="808080" w:themeColor="background1" w:themeShade="80"/>
              <w:bottom w:val="single" w:sz="4" w:space="0" w:color="808080" w:themeColor="background1" w:themeShade="80"/>
            </w:tcBorders>
          </w:tcPr>
          <w:p w:rsidR="0079443C" w:rsidRDefault="0079443C" w:rsidP="00323D83">
            <w:pPr>
              <w:spacing w:after="0"/>
              <w:ind w:left="284"/>
            </w:pPr>
            <w:r>
              <w:t>- within 13 weeks</w:t>
            </w:r>
          </w:p>
        </w:tc>
        <w:tc>
          <w:tcPr>
            <w:tcW w:w="1393"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0%</w:t>
            </w:r>
          </w:p>
        </w:tc>
        <w:tc>
          <w:tcPr>
            <w:tcW w:w="1394"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100%</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Actual result to be stated</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r>
      <w:tr w:rsidR="0079443C" w:rsidTr="000115F1">
        <w:tc>
          <w:tcPr>
            <w:tcW w:w="3652" w:type="dxa"/>
            <w:tcBorders>
              <w:top w:val="single" w:sz="4" w:space="0" w:color="808080" w:themeColor="background1" w:themeShade="80"/>
              <w:bottom w:val="single" w:sz="4" w:space="0" w:color="808080" w:themeColor="background1" w:themeShade="80"/>
            </w:tcBorders>
          </w:tcPr>
          <w:p w:rsidR="0079443C" w:rsidRDefault="0079443C" w:rsidP="00323D83">
            <w:pPr>
              <w:spacing w:after="0"/>
              <w:ind w:left="284"/>
            </w:pPr>
            <w:r>
              <w:t>- within 26 weeks</w:t>
            </w:r>
          </w:p>
        </w:tc>
        <w:tc>
          <w:tcPr>
            <w:tcW w:w="1393"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0%</w:t>
            </w:r>
          </w:p>
        </w:tc>
        <w:tc>
          <w:tcPr>
            <w:tcW w:w="1394"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0%</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Greater or equal to 80%</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r>
      <w:tr w:rsidR="0079443C" w:rsidTr="000115F1">
        <w:tc>
          <w:tcPr>
            <w:tcW w:w="3652" w:type="dxa"/>
            <w:tcBorders>
              <w:top w:val="single" w:sz="4" w:space="0" w:color="808080" w:themeColor="background1" w:themeShade="80"/>
              <w:bottom w:val="single" w:sz="4" w:space="0" w:color="808080" w:themeColor="background1" w:themeShade="80"/>
            </w:tcBorders>
          </w:tcPr>
          <w:p w:rsidR="0079443C" w:rsidRDefault="0079443C" w:rsidP="00323D83">
            <w:pPr>
              <w:spacing w:after="0"/>
            </w:pPr>
            <w:r>
              <w:t>Percentage of managers trained in occupational safety, health and injury management responsibilities</w:t>
            </w:r>
          </w:p>
        </w:tc>
        <w:tc>
          <w:tcPr>
            <w:tcW w:w="1393"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Less than 80%</w:t>
            </w:r>
          </w:p>
        </w:tc>
        <w:tc>
          <w:tcPr>
            <w:tcW w:w="1394"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82%</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r>
              <w:t>Greater or equal to 80%</w:t>
            </w:r>
          </w:p>
        </w:tc>
        <w:tc>
          <w:tcPr>
            <w:tcW w:w="1819" w:type="dxa"/>
            <w:tcBorders>
              <w:top w:val="single" w:sz="4" w:space="0" w:color="808080" w:themeColor="background1" w:themeShade="80"/>
              <w:bottom w:val="single" w:sz="4" w:space="0" w:color="808080" w:themeColor="background1" w:themeShade="80"/>
            </w:tcBorders>
          </w:tcPr>
          <w:p w:rsidR="0079443C" w:rsidRDefault="0079443C" w:rsidP="00323D83">
            <w:pPr>
              <w:spacing w:after="0"/>
              <w:jc w:val="center"/>
            </w:pPr>
          </w:p>
        </w:tc>
      </w:tr>
    </w:tbl>
    <w:p w:rsidR="00FD0DC5" w:rsidRDefault="00FD0DC5" w:rsidP="00316D49">
      <w:pPr>
        <w:spacing w:after="0"/>
      </w:pPr>
    </w:p>
    <w:p w:rsidR="00382EDC" w:rsidRDefault="00382EDC">
      <w:pPr>
        <w:spacing w:line="276" w:lineRule="auto"/>
      </w:pPr>
      <w:r>
        <w:br w:type="page"/>
      </w:r>
    </w:p>
    <w:p w:rsidR="00382EDC" w:rsidRPr="00382EDC" w:rsidRDefault="00382EDC" w:rsidP="00382EDC">
      <w:pPr>
        <w:pStyle w:val="Heading3"/>
        <w:rPr>
          <w:color w:val="0E83AB"/>
          <w:lang w:val="en-US"/>
        </w:rPr>
      </w:pPr>
      <w:r w:rsidRPr="00382EDC">
        <w:rPr>
          <w:lang w:val="en-GB"/>
        </w:rPr>
        <w:t>Freedom of Information</w:t>
      </w:r>
    </w:p>
    <w:p w:rsidR="00382EDC" w:rsidRPr="00382EDC" w:rsidRDefault="00382EDC" w:rsidP="00382EDC">
      <w:pPr>
        <w:rPr>
          <w:lang w:val="en-US"/>
        </w:rPr>
      </w:pPr>
      <w:r w:rsidRPr="00382EDC">
        <w:rPr>
          <w:lang w:val="en-US"/>
        </w:rPr>
        <w:t xml:space="preserve">The Department’s Freedom of Information (FOI) Unit aims to assist the public to access available documents held by this agency at the least possible cost. </w:t>
      </w:r>
    </w:p>
    <w:p w:rsidR="00382EDC" w:rsidRPr="00382EDC" w:rsidRDefault="00382EDC" w:rsidP="00382EDC">
      <w:pPr>
        <w:rPr>
          <w:lang w:val="en-US"/>
        </w:rPr>
      </w:pPr>
      <w:r w:rsidRPr="00382EDC">
        <w:rPr>
          <w:lang w:val="en-US"/>
        </w:rPr>
        <w:t xml:space="preserve">62 new valid applications were received during 2014–15.  Of these, two applications were withdrawn by the applicant.  A further ten applications were carried over from the previous year. </w:t>
      </w:r>
    </w:p>
    <w:p w:rsidR="00382EDC" w:rsidRPr="00382EDC" w:rsidRDefault="00382EDC" w:rsidP="00382EDC">
      <w:pPr>
        <w:rPr>
          <w:lang w:val="en-US"/>
        </w:rPr>
      </w:pPr>
      <w:r w:rsidRPr="00382EDC">
        <w:rPr>
          <w:lang w:val="en-US"/>
        </w:rPr>
        <w:t xml:space="preserve">The table opposite provides a breakdown of the FOI applications that were finalised during this period.  A more comprehensive breakdown of this agency’s statistics is provided in the Information Commissioner of Western Australia’s Annual Report. </w:t>
      </w:r>
    </w:p>
    <w:p w:rsidR="00382EDC" w:rsidRPr="00382EDC" w:rsidRDefault="00382EDC" w:rsidP="00382EDC">
      <w:pPr>
        <w:rPr>
          <w:lang w:val="en-US"/>
        </w:rPr>
      </w:pPr>
      <w:r w:rsidRPr="00382EDC">
        <w:rPr>
          <w:lang w:val="en-US"/>
        </w:rPr>
        <w:t>In 2014–15 the Department continued to provide assistance to Ministerial Offices in dealing with their FOI applications.</w:t>
      </w:r>
    </w:p>
    <w:p w:rsidR="00382EDC" w:rsidRPr="00382EDC" w:rsidRDefault="00382EDC" w:rsidP="00382EDC">
      <w:pPr>
        <w:pStyle w:val="Heading4"/>
        <w:rPr>
          <w:color w:val="193A67"/>
          <w:sz w:val="32"/>
          <w:szCs w:val="32"/>
          <w:lang w:val="en-US"/>
        </w:rPr>
      </w:pPr>
      <w:r w:rsidRPr="00382EDC">
        <w:rPr>
          <w:lang w:val="en-US"/>
        </w:rPr>
        <w:t>Freedom of Information Applications</w:t>
      </w:r>
    </w:p>
    <w:tbl>
      <w:tblPr>
        <w:tblW w:w="10290" w:type="dxa"/>
        <w:tblInd w:w="57" w:type="dxa"/>
        <w:tblBorders>
          <w:bottom w:val="single" w:sz="4" w:space="0" w:color="808080" w:themeColor="background1" w:themeShade="80"/>
          <w:insideH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2551"/>
        <w:gridCol w:w="1446"/>
        <w:gridCol w:w="1531"/>
        <w:gridCol w:w="850"/>
        <w:gridCol w:w="1474"/>
        <w:gridCol w:w="1559"/>
        <w:gridCol w:w="879"/>
      </w:tblGrid>
      <w:tr w:rsidR="00382EDC" w:rsidRPr="00382EDC" w:rsidTr="000115F1">
        <w:trPr>
          <w:trHeight w:val="27"/>
        </w:trPr>
        <w:tc>
          <w:tcPr>
            <w:tcW w:w="2551" w:type="dxa"/>
            <w:tcBorders>
              <w:bottom w:val="single" w:sz="4" w:space="0" w:color="808080" w:themeColor="background1" w:themeShade="80"/>
            </w:tcBorders>
            <w:tcMar>
              <w:top w:w="57" w:type="dxa"/>
              <w:left w:w="57" w:type="dxa"/>
              <w:bottom w:w="57" w:type="dxa"/>
              <w:right w:w="57" w:type="dxa"/>
            </w:tcMar>
            <w:vAlign w:val="center"/>
          </w:tcPr>
          <w:p w:rsidR="00382EDC" w:rsidRPr="00382EDC" w:rsidRDefault="00382EDC" w:rsidP="00382EDC">
            <w:pPr>
              <w:spacing w:after="0"/>
            </w:pPr>
          </w:p>
        </w:tc>
        <w:tc>
          <w:tcPr>
            <w:tcW w:w="3827" w:type="dxa"/>
            <w:gridSpan w:val="3"/>
            <w:tcBorders>
              <w:bottom w:val="single" w:sz="4" w:space="0" w:color="808080" w:themeColor="background1" w:themeShade="80"/>
            </w:tcBorders>
            <w:tcMar>
              <w:top w:w="57" w:type="dxa"/>
              <w:left w:w="57" w:type="dxa"/>
              <w:bottom w:w="57" w:type="dxa"/>
              <w:right w:w="57" w:type="dxa"/>
            </w:tcMar>
            <w:vAlign w:val="center"/>
          </w:tcPr>
          <w:p w:rsidR="00382EDC" w:rsidRPr="00382EDC" w:rsidRDefault="00382EDC" w:rsidP="00382EDC">
            <w:pPr>
              <w:spacing w:after="0"/>
              <w:jc w:val="center"/>
              <w:rPr>
                <w:color w:val="000000"/>
                <w:lang w:val="en-US"/>
              </w:rPr>
            </w:pPr>
            <w:r w:rsidRPr="00382EDC">
              <w:rPr>
                <w:b/>
                <w:bCs/>
                <w:color w:val="000000"/>
                <w:lang w:val="en-US"/>
              </w:rPr>
              <w:t>2013–14</w:t>
            </w:r>
          </w:p>
        </w:tc>
        <w:tc>
          <w:tcPr>
            <w:tcW w:w="3912" w:type="dxa"/>
            <w:gridSpan w:val="3"/>
            <w:tcMar>
              <w:top w:w="57" w:type="dxa"/>
              <w:left w:w="57" w:type="dxa"/>
              <w:bottom w:w="57" w:type="dxa"/>
              <w:right w:w="57" w:type="dxa"/>
            </w:tcMar>
            <w:vAlign w:val="center"/>
          </w:tcPr>
          <w:p w:rsidR="00382EDC" w:rsidRPr="00382EDC" w:rsidRDefault="00382EDC" w:rsidP="00382EDC">
            <w:pPr>
              <w:spacing w:after="0"/>
              <w:jc w:val="center"/>
              <w:rPr>
                <w:color w:val="000000"/>
                <w:lang w:val="en-US"/>
              </w:rPr>
            </w:pPr>
            <w:r w:rsidRPr="00382EDC">
              <w:rPr>
                <w:b/>
                <w:bCs/>
                <w:color w:val="000000"/>
                <w:lang w:val="en-US"/>
              </w:rPr>
              <w:t>2014–15</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Carried over</w:t>
            </w:r>
          </w:p>
        </w:tc>
        <w:tc>
          <w:tcPr>
            <w:tcW w:w="3827"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12</w:t>
            </w:r>
          </w:p>
        </w:tc>
        <w:tc>
          <w:tcPr>
            <w:tcW w:w="3912" w:type="dxa"/>
            <w:gridSpan w:val="3"/>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10</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Received</w:t>
            </w:r>
          </w:p>
        </w:tc>
        <w:tc>
          <w:tcPr>
            <w:tcW w:w="3827"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81</w:t>
            </w:r>
          </w:p>
        </w:tc>
        <w:tc>
          <w:tcPr>
            <w:tcW w:w="3912" w:type="dxa"/>
            <w:gridSpan w:val="3"/>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62</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b/>
                <w:bCs/>
                <w:color w:val="000000"/>
                <w:lang w:val="en-US"/>
              </w:rPr>
              <w:t>Total handled</w:t>
            </w:r>
          </w:p>
        </w:tc>
        <w:tc>
          <w:tcPr>
            <w:tcW w:w="3827"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93</w:t>
            </w:r>
          </w:p>
        </w:tc>
        <w:tc>
          <w:tcPr>
            <w:tcW w:w="3912" w:type="dxa"/>
            <w:gridSpan w:val="3"/>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72</w:t>
            </w:r>
          </w:p>
        </w:tc>
      </w:tr>
      <w:tr w:rsidR="00382EDC" w:rsidRPr="00382EDC" w:rsidTr="000115F1">
        <w:trPr>
          <w:trHeight w:val="608"/>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Applications decided</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Personal Information</w:t>
            </w:r>
          </w:p>
        </w:tc>
        <w:tc>
          <w:tcPr>
            <w:tcW w:w="1531" w:type="dxa"/>
            <w:tcBorders>
              <w:top w:val="single" w:sz="4" w:space="0" w:color="808080" w:themeColor="background1" w:themeShade="80"/>
            </w:tcBorders>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Non</w:t>
            </w:r>
            <w:r w:rsidRPr="00382EDC">
              <w:rPr>
                <w:rFonts w:ascii="Segoe UI Semibold" w:hAnsi="Segoe UI Semibold" w:cs="Segoe UI Semibold"/>
                <w:color w:val="000000"/>
                <w:sz w:val="22"/>
                <w:lang w:val="en-US"/>
              </w:rPr>
              <w:br/>
              <w:t>Personal Information</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Total</w:t>
            </w:r>
          </w:p>
        </w:tc>
        <w:tc>
          <w:tcPr>
            <w:tcW w:w="1474" w:type="dxa"/>
            <w:tcBorders>
              <w:left w:val="single" w:sz="4" w:space="0" w:color="808080" w:themeColor="background1" w:themeShade="80"/>
            </w:tcBorders>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Personal Information</w:t>
            </w:r>
          </w:p>
        </w:tc>
        <w:tc>
          <w:tcPr>
            <w:tcW w:w="1559" w:type="dxa"/>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Non</w:t>
            </w:r>
            <w:r w:rsidRPr="00382EDC">
              <w:rPr>
                <w:rFonts w:ascii="Segoe UI Semibold" w:hAnsi="Segoe UI Semibold" w:cs="Segoe UI Semibold"/>
                <w:color w:val="000000"/>
                <w:sz w:val="22"/>
                <w:lang w:val="en-US"/>
              </w:rPr>
              <w:br/>
              <w:t xml:space="preserve">Personal </w:t>
            </w:r>
            <w:r w:rsidRPr="00382EDC">
              <w:rPr>
                <w:rFonts w:ascii="Segoe UI Semibold" w:hAnsi="Segoe UI Semibold" w:cs="Segoe UI Semibold"/>
                <w:color w:val="000000"/>
                <w:sz w:val="22"/>
                <w:lang w:val="en-US"/>
              </w:rPr>
              <w:br/>
              <w:t>Information</w:t>
            </w:r>
          </w:p>
        </w:tc>
        <w:tc>
          <w:tcPr>
            <w:tcW w:w="879" w:type="dxa"/>
            <w:tcMar>
              <w:top w:w="0" w:type="dxa"/>
              <w:left w:w="57" w:type="dxa"/>
              <w:bottom w:w="0" w:type="dxa"/>
              <w:right w:w="57" w:type="dxa"/>
            </w:tcMar>
            <w:vAlign w:val="bottom"/>
          </w:tcPr>
          <w:p w:rsidR="00382EDC" w:rsidRPr="00382EDC" w:rsidRDefault="00382EDC" w:rsidP="00382EDC">
            <w:pPr>
              <w:spacing w:after="0"/>
              <w:jc w:val="center"/>
              <w:rPr>
                <w:color w:val="000000"/>
                <w:sz w:val="22"/>
                <w:lang w:val="en-US"/>
              </w:rPr>
            </w:pPr>
            <w:r w:rsidRPr="00382EDC">
              <w:rPr>
                <w:rFonts w:ascii="Segoe UI Semibold" w:hAnsi="Segoe UI Semibold" w:cs="Segoe UI Semibold"/>
                <w:color w:val="000000"/>
                <w:sz w:val="22"/>
                <w:lang w:val="en-US"/>
              </w:rPr>
              <w:t>Total</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Full access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3</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3</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4</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5</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Edited access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41</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42</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41</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41</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Deferred access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Section 26 refused access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13</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14</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11</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11</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Refused access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9</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9</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8</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8</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Withdrawn</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10</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10</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2</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b/>
                <w:bCs/>
                <w:color w:val="000000"/>
                <w:lang w:val="en-US"/>
              </w:rPr>
              <w:t>Total decisions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2</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76</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78</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2</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65</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67</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Transfer to other agency</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b/>
                <w:bCs/>
                <w:color w:val="000000"/>
                <w:lang w:val="en-US"/>
              </w:rPr>
              <w:t>Total applications</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0</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83</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0</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b/>
                <w:bCs/>
                <w:color w:val="000000"/>
                <w:lang w:val="en-US"/>
              </w:rPr>
              <w:t>67</w:t>
            </w:r>
          </w:p>
        </w:tc>
      </w:tr>
      <w:tr w:rsidR="00382EDC" w:rsidRPr="00382EDC" w:rsidTr="000115F1">
        <w:trPr>
          <w:trHeight w:val="401"/>
        </w:trPr>
        <w:tc>
          <w:tcPr>
            <w:tcW w:w="2551"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rPr>
                <w:color w:val="000000"/>
                <w:lang w:val="en-US"/>
              </w:rPr>
            </w:pPr>
            <w:r w:rsidRPr="00382EDC">
              <w:rPr>
                <w:color w:val="000000"/>
                <w:lang w:val="en-US"/>
              </w:rPr>
              <w:t>Carried forward</w:t>
            </w:r>
          </w:p>
        </w:tc>
        <w:tc>
          <w:tcPr>
            <w:tcW w:w="1446" w:type="dxa"/>
            <w:tcBorders>
              <w:top w:val="single" w:sz="4" w:space="0" w:color="808080" w:themeColor="background1" w:themeShade="80"/>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31" w:type="dxa"/>
            <w:tcBorders>
              <w:top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850" w:type="dxa"/>
            <w:tcBorders>
              <w:top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10</w:t>
            </w:r>
          </w:p>
        </w:tc>
        <w:tc>
          <w:tcPr>
            <w:tcW w:w="1474" w:type="dxa"/>
            <w:tcBorders>
              <w:left w:val="single" w:sz="4" w:space="0" w:color="808080" w:themeColor="background1" w:themeShade="80"/>
            </w:tcBorders>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155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0</w:t>
            </w:r>
          </w:p>
        </w:tc>
        <w:tc>
          <w:tcPr>
            <w:tcW w:w="879" w:type="dxa"/>
            <w:tcMar>
              <w:top w:w="0" w:type="dxa"/>
              <w:left w:w="57" w:type="dxa"/>
              <w:bottom w:w="0" w:type="dxa"/>
              <w:right w:w="57" w:type="dxa"/>
            </w:tcMar>
            <w:vAlign w:val="center"/>
          </w:tcPr>
          <w:p w:rsidR="00382EDC" w:rsidRPr="00382EDC" w:rsidRDefault="00382EDC" w:rsidP="00382EDC">
            <w:pPr>
              <w:spacing w:after="0"/>
              <w:jc w:val="right"/>
              <w:rPr>
                <w:color w:val="000000"/>
                <w:lang w:val="en-US"/>
              </w:rPr>
            </w:pPr>
            <w:r w:rsidRPr="00382EDC">
              <w:rPr>
                <w:color w:val="000000"/>
                <w:lang w:val="en-US"/>
              </w:rPr>
              <w:t>5</w:t>
            </w:r>
          </w:p>
        </w:tc>
      </w:tr>
    </w:tbl>
    <w:p w:rsidR="00323D83" w:rsidRDefault="00323D83" w:rsidP="00316D49">
      <w:pPr>
        <w:spacing w:after="0"/>
      </w:pPr>
    </w:p>
    <w:sectPr w:rsidR="00323D83" w:rsidSect="00E37D1C">
      <w:headerReference w:type="default" r:id="rId17"/>
      <w:pgSz w:w="11906" w:h="16838"/>
      <w:pgMar w:top="1440" w:right="707" w:bottom="1134" w:left="993" w:header="709" w:footer="4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6A8" w:rsidRDefault="002A26A8" w:rsidP="00064756">
      <w:r>
        <w:separator/>
      </w:r>
    </w:p>
  </w:endnote>
  <w:endnote w:type="continuationSeparator" w:id="0">
    <w:p w:rsidR="002A26A8" w:rsidRDefault="002A26A8" w:rsidP="00064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966316642"/>
      <w:docPartObj>
        <w:docPartGallery w:val="Page Numbers (Bottom of Page)"/>
        <w:docPartUnique/>
      </w:docPartObj>
    </w:sdtPr>
    <w:sdtEndPr>
      <w:rPr>
        <w:noProof/>
      </w:rPr>
    </w:sdtEndPr>
    <w:sdtContent>
      <w:p w:rsidR="00291F1E" w:rsidRPr="00291F1E" w:rsidRDefault="00291F1E" w:rsidP="00291F1E">
        <w:pPr>
          <w:pStyle w:val="Footer"/>
          <w:jc w:val="right"/>
          <w:rPr>
            <w:sz w:val="20"/>
          </w:rPr>
        </w:pPr>
        <w:r w:rsidRPr="00291F1E">
          <w:rPr>
            <w:sz w:val="20"/>
          </w:rPr>
          <w:t xml:space="preserve">Page </w:t>
        </w:r>
        <w:r w:rsidRPr="00291F1E">
          <w:rPr>
            <w:sz w:val="20"/>
          </w:rPr>
          <w:fldChar w:fldCharType="begin"/>
        </w:r>
        <w:r w:rsidRPr="00291F1E">
          <w:rPr>
            <w:sz w:val="20"/>
          </w:rPr>
          <w:instrText xml:space="preserve"> PAGE   \* MERGEFORMAT </w:instrText>
        </w:r>
        <w:r w:rsidRPr="00291F1E">
          <w:rPr>
            <w:sz w:val="20"/>
          </w:rPr>
          <w:fldChar w:fldCharType="separate"/>
        </w:r>
        <w:r w:rsidR="00627466">
          <w:rPr>
            <w:noProof/>
            <w:sz w:val="20"/>
          </w:rPr>
          <w:t>6</w:t>
        </w:r>
        <w:r w:rsidRPr="00291F1E">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6A8" w:rsidRDefault="002A26A8" w:rsidP="00064756">
      <w:r>
        <w:separator/>
      </w:r>
    </w:p>
  </w:footnote>
  <w:footnote w:type="continuationSeparator" w:id="0">
    <w:p w:rsidR="002A26A8" w:rsidRDefault="002A26A8" w:rsidP="00064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6A8" w:rsidRPr="002B39D7" w:rsidRDefault="002A26A8" w:rsidP="002B3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48B"/>
    <w:multiLevelType w:val="hybridMultilevel"/>
    <w:tmpl w:val="781C559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C93117"/>
    <w:multiLevelType w:val="hybridMultilevel"/>
    <w:tmpl w:val="61DE15D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49E4C07"/>
    <w:multiLevelType w:val="hybridMultilevel"/>
    <w:tmpl w:val="FD5653B6"/>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4D0410"/>
    <w:multiLevelType w:val="hybridMultilevel"/>
    <w:tmpl w:val="26E0A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4273B3"/>
    <w:multiLevelType w:val="hybridMultilevel"/>
    <w:tmpl w:val="EDB6F394"/>
    <w:lvl w:ilvl="0" w:tplc="AA6C67D0">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5A4512"/>
    <w:multiLevelType w:val="hybridMultilevel"/>
    <w:tmpl w:val="EBB40D8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E0532C"/>
    <w:multiLevelType w:val="hybridMultilevel"/>
    <w:tmpl w:val="12AE01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2652CD"/>
    <w:multiLevelType w:val="hybridMultilevel"/>
    <w:tmpl w:val="B21C5AE6"/>
    <w:lvl w:ilvl="0" w:tplc="B69AE9EE">
      <w:start w:val="1"/>
      <w:numFmt w:val="bullet"/>
      <w:lvlText w:val=""/>
      <w:lvlJc w:val="left"/>
      <w:pPr>
        <w:ind w:left="1146" w:hanging="360"/>
      </w:pPr>
      <w:rPr>
        <w:rFonts w:ascii="Symbol" w:hAnsi="Symbol" w:hint="default"/>
        <w:color w:val="17365D" w:themeColor="text2" w:themeShade="BF"/>
        <w:sz w:val="22"/>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nsid w:val="0C455779"/>
    <w:multiLevelType w:val="hybridMultilevel"/>
    <w:tmpl w:val="117E77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CD32741"/>
    <w:multiLevelType w:val="hybridMultilevel"/>
    <w:tmpl w:val="444CA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EE3444"/>
    <w:multiLevelType w:val="hybridMultilevel"/>
    <w:tmpl w:val="82F20580"/>
    <w:lvl w:ilvl="0" w:tplc="0C090005">
      <w:start w:val="1"/>
      <w:numFmt w:val="bullet"/>
      <w:lvlText w:val=""/>
      <w:lvlJc w:val="left"/>
      <w:pPr>
        <w:ind w:left="1080" w:hanging="360"/>
      </w:pPr>
      <w:rPr>
        <w:rFonts w:ascii="Wingdings" w:hAnsi="Wingdings" w:hint="default"/>
        <w:color w:val="17365D" w:themeColor="text2" w:themeShade="BF"/>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F457468"/>
    <w:multiLevelType w:val="hybridMultilevel"/>
    <w:tmpl w:val="39689A78"/>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714732"/>
    <w:multiLevelType w:val="hybridMultilevel"/>
    <w:tmpl w:val="2196CAD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E87B1F"/>
    <w:multiLevelType w:val="hybridMultilevel"/>
    <w:tmpl w:val="5D6C943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6008E7"/>
    <w:multiLevelType w:val="hybridMultilevel"/>
    <w:tmpl w:val="8E84FB7C"/>
    <w:lvl w:ilvl="0" w:tplc="B69AE9EE">
      <w:start w:val="1"/>
      <w:numFmt w:val="bullet"/>
      <w:lvlText w:val=""/>
      <w:lvlJc w:val="left"/>
      <w:pPr>
        <w:ind w:left="720" w:hanging="360"/>
      </w:pPr>
      <w:rPr>
        <w:rFonts w:ascii="Symbol" w:hAnsi="Symbol" w:hint="default"/>
        <w:color w:val="17365D" w:themeColor="text2" w:themeShade="BF"/>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7A595E"/>
    <w:multiLevelType w:val="hybridMultilevel"/>
    <w:tmpl w:val="92BCD6EC"/>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9C5EF0"/>
    <w:multiLevelType w:val="hybridMultilevel"/>
    <w:tmpl w:val="E57ED31A"/>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71B1F20"/>
    <w:multiLevelType w:val="hybridMultilevel"/>
    <w:tmpl w:val="6E506A5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560783"/>
    <w:multiLevelType w:val="hybridMultilevel"/>
    <w:tmpl w:val="C0F4CE06"/>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E05547B"/>
    <w:multiLevelType w:val="hybridMultilevel"/>
    <w:tmpl w:val="1CAE98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1E5D079C"/>
    <w:multiLevelType w:val="hybridMultilevel"/>
    <w:tmpl w:val="310636BE"/>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F664B8B"/>
    <w:multiLevelType w:val="hybridMultilevel"/>
    <w:tmpl w:val="D624BD5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0A22D2D"/>
    <w:multiLevelType w:val="hybridMultilevel"/>
    <w:tmpl w:val="8F08A5C6"/>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0D55179"/>
    <w:multiLevelType w:val="hybridMultilevel"/>
    <w:tmpl w:val="C96CBF0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1D80DDF"/>
    <w:multiLevelType w:val="hybridMultilevel"/>
    <w:tmpl w:val="A244A48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23466F5"/>
    <w:multiLevelType w:val="hybridMultilevel"/>
    <w:tmpl w:val="44DAF5FE"/>
    <w:lvl w:ilvl="0" w:tplc="E3E45C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2CE7D6D"/>
    <w:multiLevelType w:val="hybridMultilevel"/>
    <w:tmpl w:val="3D986818"/>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3983C5B"/>
    <w:multiLevelType w:val="hybridMultilevel"/>
    <w:tmpl w:val="5A6C48B6"/>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648429D"/>
    <w:multiLevelType w:val="hybridMultilevel"/>
    <w:tmpl w:val="A4D4F624"/>
    <w:lvl w:ilvl="0" w:tplc="B69AE9EE">
      <w:start w:val="1"/>
      <w:numFmt w:val="bullet"/>
      <w:lvlText w:val=""/>
      <w:lvlJc w:val="left"/>
      <w:pPr>
        <w:ind w:left="720" w:hanging="360"/>
      </w:pPr>
      <w:rPr>
        <w:rFonts w:ascii="Symbol" w:hAnsi="Symbol" w:hint="default"/>
        <w:color w:val="17365D" w:themeColor="text2" w:themeShade="BF"/>
        <w:sz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6D15D02"/>
    <w:multiLevelType w:val="hybridMultilevel"/>
    <w:tmpl w:val="CC46100C"/>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8FA47B1"/>
    <w:multiLevelType w:val="hybridMultilevel"/>
    <w:tmpl w:val="13C6F7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D0B4C3A"/>
    <w:multiLevelType w:val="hybridMultilevel"/>
    <w:tmpl w:val="35FA4916"/>
    <w:lvl w:ilvl="0" w:tplc="B69AE9EE">
      <w:start w:val="1"/>
      <w:numFmt w:val="bullet"/>
      <w:lvlText w:val=""/>
      <w:lvlJc w:val="left"/>
      <w:pPr>
        <w:ind w:left="720" w:hanging="360"/>
      </w:pPr>
      <w:rPr>
        <w:rFonts w:ascii="Symbol" w:hAnsi="Symbol" w:hint="default"/>
        <w:color w:val="17365D" w:themeColor="text2" w:themeShade="BF"/>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3A87EDB"/>
    <w:multiLevelType w:val="hybridMultilevel"/>
    <w:tmpl w:val="C1E04C7C"/>
    <w:lvl w:ilvl="0" w:tplc="E3E45C46">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48C16FE"/>
    <w:multiLevelType w:val="hybridMultilevel"/>
    <w:tmpl w:val="9B8E211A"/>
    <w:lvl w:ilvl="0" w:tplc="0C090015">
      <w:start w:val="1"/>
      <w:numFmt w:val="upperLetter"/>
      <w:lvlText w:val="%1."/>
      <w:lvlJc w:val="left"/>
      <w:pPr>
        <w:ind w:left="360" w:hanging="360"/>
      </w:pPr>
    </w:lvl>
    <w:lvl w:ilvl="1" w:tplc="5FAE2340">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35007C68"/>
    <w:multiLevelType w:val="hybridMultilevel"/>
    <w:tmpl w:val="0928C3B6"/>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61E4B96"/>
    <w:multiLevelType w:val="hybridMultilevel"/>
    <w:tmpl w:val="E2AC75A0"/>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6603E41"/>
    <w:multiLevelType w:val="hybridMultilevel"/>
    <w:tmpl w:val="EF7CEF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6DE257E"/>
    <w:multiLevelType w:val="hybridMultilevel"/>
    <w:tmpl w:val="1F7084CE"/>
    <w:lvl w:ilvl="0" w:tplc="B69AE9EE">
      <w:start w:val="1"/>
      <w:numFmt w:val="bullet"/>
      <w:lvlText w:val=""/>
      <w:lvlJc w:val="left"/>
      <w:pPr>
        <w:ind w:left="720" w:hanging="360"/>
      </w:pPr>
      <w:rPr>
        <w:rFonts w:ascii="Symbol" w:hAnsi="Symbol" w:hint="default"/>
        <w:color w:val="17365D" w:themeColor="text2" w:themeShade="BF"/>
        <w:sz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7561212"/>
    <w:multiLevelType w:val="hybridMultilevel"/>
    <w:tmpl w:val="BCC099E0"/>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841535C"/>
    <w:multiLevelType w:val="hybridMultilevel"/>
    <w:tmpl w:val="4C0A6EBC"/>
    <w:lvl w:ilvl="0" w:tplc="7A7E955E">
      <w:start w:val="1"/>
      <w:numFmt w:val="bullet"/>
      <w:lvlText w:val=""/>
      <w:lvlJc w:val="left"/>
      <w:pPr>
        <w:ind w:left="720" w:hanging="360"/>
      </w:pPr>
      <w:rPr>
        <w:rFonts w:ascii="Myriad Pro" w:hAnsi="Myriad Pro" w:hint="default"/>
        <w:color w:val="auto"/>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9BC218D"/>
    <w:multiLevelType w:val="hybridMultilevel"/>
    <w:tmpl w:val="EA58DF88"/>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9C74438"/>
    <w:multiLevelType w:val="hybridMultilevel"/>
    <w:tmpl w:val="9E08450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AB74936"/>
    <w:multiLevelType w:val="hybridMultilevel"/>
    <w:tmpl w:val="A39AE5CA"/>
    <w:lvl w:ilvl="0" w:tplc="B69AE9EE">
      <w:start w:val="1"/>
      <w:numFmt w:val="bullet"/>
      <w:lvlText w:val=""/>
      <w:lvlJc w:val="left"/>
      <w:pPr>
        <w:ind w:left="1146" w:hanging="360"/>
      </w:pPr>
      <w:rPr>
        <w:rFonts w:ascii="Symbol" w:hAnsi="Symbol" w:hint="default"/>
        <w:color w:val="17365D" w:themeColor="text2" w:themeShade="BF"/>
        <w:sz w:val="22"/>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3">
    <w:nsid w:val="3B376C5B"/>
    <w:multiLevelType w:val="hybridMultilevel"/>
    <w:tmpl w:val="3C921936"/>
    <w:lvl w:ilvl="0" w:tplc="B69AE9EE">
      <w:start w:val="1"/>
      <w:numFmt w:val="bullet"/>
      <w:lvlText w:val=""/>
      <w:lvlJc w:val="left"/>
      <w:pPr>
        <w:ind w:left="1080" w:hanging="360"/>
      </w:pPr>
      <w:rPr>
        <w:rFonts w:ascii="Symbol" w:hAnsi="Symbol" w:hint="default"/>
        <w:color w:val="17365D" w:themeColor="text2" w:themeShade="BF"/>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3BE5744D"/>
    <w:multiLevelType w:val="hybridMultilevel"/>
    <w:tmpl w:val="62D050F0"/>
    <w:lvl w:ilvl="0" w:tplc="EF5AF99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408A3D30"/>
    <w:multiLevelType w:val="hybridMultilevel"/>
    <w:tmpl w:val="4DD4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1896DA2"/>
    <w:multiLevelType w:val="hybridMultilevel"/>
    <w:tmpl w:val="5418710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279679A"/>
    <w:multiLevelType w:val="hybridMultilevel"/>
    <w:tmpl w:val="7EAAA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32A6B08"/>
    <w:multiLevelType w:val="hybridMultilevel"/>
    <w:tmpl w:val="D898FAA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32D48AE"/>
    <w:multiLevelType w:val="hybridMultilevel"/>
    <w:tmpl w:val="76A64598"/>
    <w:lvl w:ilvl="0" w:tplc="E3E45C4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3345893"/>
    <w:multiLevelType w:val="hybridMultilevel"/>
    <w:tmpl w:val="A96C248A"/>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49558A5"/>
    <w:multiLevelType w:val="hybridMultilevel"/>
    <w:tmpl w:val="0D56F47A"/>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6032875"/>
    <w:multiLevelType w:val="hybridMultilevel"/>
    <w:tmpl w:val="B7F4863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73E67A7"/>
    <w:multiLevelType w:val="hybridMultilevel"/>
    <w:tmpl w:val="A11C340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77211BA"/>
    <w:multiLevelType w:val="hybridMultilevel"/>
    <w:tmpl w:val="8244D2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48900845"/>
    <w:multiLevelType w:val="hybridMultilevel"/>
    <w:tmpl w:val="EFA674A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48BE7183"/>
    <w:multiLevelType w:val="hybridMultilevel"/>
    <w:tmpl w:val="162849D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910389C"/>
    <w:multiLevelType w:val="hybridMultilevel"/>
    <w:tmpl w:val="02B2CF0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9546F6E"/>
    <w:multiLevelType w:val="hybridMultilevel"/>
    <w:tmpl w:val="386880C0"/>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A7B20A5"/>
    <w:multiLevelType w:val="hybridMultilevel"/>
    <w:tmpl w:val="44863F9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B151A2B"/>
    <w:multiLevelType w:val="hybridMultilevel"/>
    <w:tmpl w:val="1820D942"/>
    <w:lvl w:ilvl="0" w:tplc="7A7E955E">
      <w:start w:val="1"/>
      <w:numFmt w:val="bullet"/>
      <w:lvlText w:val=""/>
      <w:lvlJc w:val="left"/>
      <w:pPr>
        <w:ind w:left="720" w:hanging="360"/>
      </w:pPr>
      <w:rPr>
        <w:rFonts w:ascii="Myriad Pro" w:hAnsi="Myriad Pro" w:hint="default"/>
        <w:b/>
        <w:i w:val="0"/>
        <w:color w:val="auto"/>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C5C3BF9"/>
    <w:multiLevelType w:val="hybridMultilevel"/>
    <w:tmpl w:val="F2F8A8D2"/>
    <w:lvl w:ilvl="0" w:tplc="7A7E955E">
      <w:start w:val="1"/>
      <w:numFmt w:val="bullet"/>
      <w:lvlText w:val=""/>
      <w:lvlJc w:val="left"/>
      <w:pPr>
        <w:ind w:left="1440" w:hanging="360"/>
      </w:pPr>
      <w:rPr>
        <w:rFonts w:ascii="Myriad Pro" w:hAnsi="Myriad Pro" w:hint="default"/>
        <w:color w:val="auto"/>
        <w:sz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nsid w:val="4C657CEF"/>
    <w:multiLevelType w:val="hybridMultilevel"/>
    <w:tmpl w:val="455A0C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4D921093"/>
    <w:multiLevelType w:val="hybridMultilevel"/>
    <w:tmpl w:val="F32C66B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D9C24B3"/>
    <w:multiLevelType w:val="hybridMultilevel"/>
    <w:tmpl w:val="2DDCAD6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16C5857"/>
    <w:multiLevelType w:val="hybridMultilevel"/>
    <w:tmpl w:val="741CD2A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23B6104"/>
    <w:multiLevelType w:val="hybridMultilevel"/>
    <w:tmpl w:val="1F9E68F2"/>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5501B82"/>
    <w:multiLevelType w:val="hybridMultilevel"/>
    <w:tmpl w:val="E38867AA"/>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596154D"/>
    <w:multiLevelType w:val="hybridMultilevel"/>
    <w:tmpl w:val="C3B22CC0"/>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825549A"/>
    <w:multiLevelType w:val="hybridMultilevel"/>
    <w:tmpl w:val="35A2EBA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nsid w:val="585A4D0D"/>
    <w:multiLevelType w:val="hybridMultilevel"/>
    <w:tmpl w:val="7B0E67F8"/>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9457C34"/>
    <w:multiLevelType w:val="hybridMultilevel"/>
    <w:tmpl w:val="38FCAB90"/>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A69292A"/>
    <w:multiLevelType w:val="hybridMultilevel"/>
    <w:tmpl w:val="F09ADD3A"/>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B907285"/>
    <w:multiLevelType w:val="hybridMultilevel"/>
    <w:tmpl w:val="38DA61A8"/>
    <w:lvl w:ilvl="0" w:tplc="0C090005">
      <w:start w:val="1"/>
      <w:numFmt w:val="bullet"/>
      <w:lvlText w:val=""/>
      <w:lvlJc w:val="left"/>
      <w:pPr>
        <w:ind w:left="108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nsid w:val="5C7C4EE0"/>
    <w:multiLevelType w:val="hybridMultilevel"/>
    <w:tmpl w:val="40F08DBE"/>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CD3554E"/>
    <w:multiLevelType w:val="hybridMultilevel"/>
    <w:tmpl w:val="C0BC8F5A"/>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16408AF"/>
    <w:multiLevelType w:val="hybridMultilevel"/>
    <w:tmpl w:val="A3C0A26E"/>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1CC249C"/>
    <w:multiLevelType w:val="hybridMultilevel"/>
    <w:tmpl w:val="6E6A3FF8"/>
    <w:lvl w:ilvl="0" w:tplc="B69AE9EE">
      <w:start w:val="1"/>
      <w:numFmt w:val="bullet"/>
      <w:lvlText w:val=""/>
      <w:lvlJc w:val="left"/>
      <w:pPr>
        <w:ind w:left="720" w:hanging="360"/>
      </w:pPr>
      <w:rPr>
        <w:rFonts w:ascii="Symbol" w:hAnsi="Symbol" w:hint="default"/>
        <w:color w:val="17365D" w:themeColor="text2" w:themeShade="BF"/>
        <w:sz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65857A15"/>
    <w:multiLevelType w:val="hybridMultilevel"/>
    <w:tmpl w:val="6F3A5D30"/>
    <w:lvl w:ilvl="0" w:tplc="0C090005">
      <w:start w:val="1"/>
      <w:numFmt w:val="bullet"/>
      <w:lvlText w:val=""/>
      <w:lvlJc w:val="left"/>
      <w:pPr>
        <w:ind w:left="1080" w:hanging="360"/>
      </w:pPr>
      <w:rPr>
        <w:rFonts w:ascii="Wingdings" w:hAnsi="Wingdings" w:hint="default"/>
        <w:color w:val="auto"/>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nsid w:val="67CD79DE"/>
    <w:multiLevelType w:val="hybridMultilevel"/>
    <w:tmpl w:val="24B6AE5E"/>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7F022A8"/>
    <w:multiLevelType w:val="hybridMultilevel"/>
    <w:tmpl w:val="8EAAAF8C"/>
    <w:lvl w:ilvl="0" w:tplc="0C090005">
      <w:start w:val="1"/>
      <w:numFmt w:val="bullet"/>
      <w:lvlText w:val=""/>
      <w:lvlJc w:val="left"/>
      <w:pPr>
        <w:ind w:left="108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nsid w:val="69B801C2"/>
    <w:multiLevelType w:val="hybridMultilevel"/>
    <w:tmpl w:val="2ECA7F96"/>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6A3709D9"/>
    <w:multiLevelType w:val="hybridMultilevel"/>
    <w:tmpl w:val="F9C21BE2"/>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A546037"/>
    <w:multiLevelType w:val="hybridMultilevel"/>
    <w:tmpl w:val="CF44F13A"/>
    <w:lvl w:ilvl="0" w:tplc="B69AE9EE">
      <w:start w:val="1"/>
      <w:numFmt w:val="bullet"/>
      <w:lvlText w:val=""/>
      <w:lvlJc w:val="left"/>
      <w:pPr>
        <w:ind w:left="720" w:hanging="360"/>
      </w:pPr>
      <w:rPr>
        <w:rFonts w:ascii="Symbol" w:hAnsi="Symbol" w:hint="default"/>
        <w:color w:val="17365D" w:themeColor="text2" w:themeShade="BF"/>
        <w:sz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6B2E0EB6"/>
    <w:multiLevelType w:val="hybridMultilevel"/>
    <w:tmpl w:val="0FBCFD3A"/>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6C071C31"/>
    <w:multiLevelType w:val="hybridMultilevel"/>
    <w:tmpl w:val="79C042A4"/>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C26415C"/>
    <w:multiLevelType w:val="hybridMultilevel"/>
    <w:tmpl w:val="337C81FE"/>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C27536E"/>
    <w:multiLevelType w:val="hybridMultilevel"/>
    <w:tmpl w:val="E32A83B2"/>
    <w:lvl w:ilvl="0" w:tplc="7A7E955E">
      <w:start w:val="1"/>
      <w:numFmt w:val="bullet"/>
      <w:lvlText w:val=""/>
      <w:lvlJc w:val="left"/>
      <w:pPr>
        <w:ind w:left="720" w:hanging="360"/>
      </w:pPr>
      <w:rPr>
        <w:rFonts w:ascii="Myriad Pro" w:hAnsi="Myriad Pro" w:hint="default"/>
        <w:b/>
        <w:i w:val="0"/>
        <w:color w:val="auto"/>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CC17635"/>
    <w:multiLevelType w:val="hybridMultilevel"/>
    <w:tmpl w:val="3FAE48F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4EC4499"/>
    <w:multiLevelType w:val="hybridMultilevel"/>
    <w:tmpl w:val="B80C1C2C"/>
    <w:lvl w:ilvl="0" w:tplc="E3E45C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6D470E0"/>
    <w:multiLevelType w:val="hybridMultilevel"/>
    <w:tmpl w:val="261420E6"/>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A6B23AD"/>
    <w:multiLevelType w:val="hybridMultilevel"/>
    <w:tmpl w:val="ABBAB10E"/>
    <w:lvl w:ilvl="0" w:tplc="B69AE9EE">
      <w:start w:val="1"/>
      <w:numFmt w:val="bullet"/>
      <w:lvlText w:val=""/>
      <w:lvlJc w:val="left"/>
      <w:pPr>
        <w:ind w:left="720" w:hanging="360"/>
      </w:pPr>
      <w:rPr>
        <w:rFonts w:ascii="Symbol" w:hAnsi="Symbol" w:hint="default"/>
        <w:color w:val="17365D" w:themeColor="text2" w:themeShade="BF"/>
        <w:sz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7B4D1931"/>
    <w:multiLevelType w:val="hybridMultilevel"/>
    <w:tmpl w:val="4D30C2CC"/>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BC877D1"/>
    <w:multiLevelType w:val="hybridMultilevel"/>
    <w:tmpl w:val="A87408EE"/>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7C54719C"/>
    <w:multiLevelType w:val="hybridMultilevel"/>
    <w:tmpl w:val="95882838"/>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D44701A"/>
    <w:multiLevelType w:val="hybridMultilevel"/>
    <w:tmpl w:val="ECA8793A"/>
    <w:lvl w:ilvl="0" w:tplc="B69AE9EE">
      <w:start w:val="1"/>
      <w:numFmt w:val="bullet"/>
      <w:lvlText w:val=""/>
      <w:lvlJc w:val="left"/>
      <w:pPr>
        <w:ind w:left="720" w:hanging="360"/>
      </w:pPr>
      <w:rPr>
        <w:rFonts w:ascii="Symbol" w:hAnsi="Symbol" w:hint="default"/>
        <w:color w:val="17365D" w:themeColor="text2" w:themeShade="BF"/>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7D7017BA"/>
    <w:multiLevelType w:val="hybridMultilevel"/>
    <w:tmpl w:val="D0421B14"/>
    <w:lvl w:ilvl="0" w:tplc="B69AE9EE">
      <w:start w:val="1"/>
      <w:numFmt w:val="bullet"/>
      <w:lvlText w:val=""/>
      <w:lvlJc w:val="left"/>
      <w:pPr>
        <w:ind w:left="720" w:hanging="360"/>
      </w:pPr>
      <w:rPr>
        <w:rFonts w:ascii="Symbol" w:hAnsi="Symbol" w:hint="default"/>
        <w:color w:val="17365D" w:themeColor="text2" w:themeShade="BF"/>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DD36271"/>
    <w:multiLevelType w:val="hybridMultilevel"/>
    <w:tmpl w:val="B04826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7E3F044F"/>
    <w:multiLevelType w:val="hybridMultilevel"/>
    <w:tmpl w:val="E97491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nsid w:val="7EDD3590"/>
    <w:multiLevelType w:val="hybridMultilevel"/>
    <w:tmpl w:val="301AA35E"/>
    <w:lvl w:ilvl="0" w:tplc="0C090005">
      <w:start w:val="1"/>
      <w:numFmt w:val="bullet"/>
      <w:lvlText w:val=""/>
      <w:lvlJc w:val="left"/>
      <w:pPr>
        <w:ind w:left="1080" w:hanging="360"/>
      </w:pPr>
      <w:rPr>
        <w:rFonts w:ascii="Wingdings" w:hAnsi="Wingdings" w:hint="default"/>
        <w:color w:val="17365D" w:themeColor="text2" w:themeShade="BF"/>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nsid w:val="7EDF1291"/>
    <w:multiLevelType w:val="hybridMultilevel"/>
    <w:tmpl w:val="0C86BB14"/>
    <w:lvl w:ilvl="0" w:tplc="B69AE9EE">
      <w:start w:val="1"/>
      <w:numFmt w:val="bullet"/>
      <w:lvlText w:val=""/>
      <w:lvlJc w:val="left"/>
      <w:pPr>
        <w:ind w:left="720" w:hanging="360"/>
      </w:pPr>
      <w:rPr>
        <w:rFonts w:ascii="Symbol" w:hAnsi="Symbol" w:hint="default"/>
        <w:color w:val="17365D" w:themeColor="text2" w:themeShade="BF"/>
        <w:sz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7F117F9A"/>
    <w:multiLevelType w:val="hybridMultilevel"/>
    <w:tmpl w:val="FF54C0D0"/>
    <w:lvl w:ilvl="0" w:tplc="B69AE9EE">
      <w:start w:val="1"/>
      <w:numFmt w:val="bullet"/>
      <w:lvlText w:val=""/>
      <w:lvlJc w:val="left"/>
      <w:pPr>
        <w:ind w:left="720" w:hanging="360"/>
      </w:pPr>
      <w:rPr>
        <w:rFonts w:ascii="Symbol" w:hAnsi="Symbol" w:hint="default"/>
        <w:color w:val="17365D" w:themeColor="text2"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7"/>
  </w:num>
  <w:num w:numId="3">
    <w:abstractNumId w:val="45"/>
  </w:num>
  <w:num w:numId="4">
    <w:abstractNumId w:val="97"/>
  </w:num>
  <w:num w:numId="5">
    <w:abstractNumId w:val="62"/>
  </w:num>
  <w:num w:numId="6">
    <w:abstractNumId w:val="61"/>
  </w:num>
  <w:num w:numId="7">
    <w:abstractNumId w:val="87"/>
  </w:num>
  <w:num w:numId="8">
    <w:abstractNumId w:val="60"/>
  </w:num>
  <w:num w:numId="9">
    <w:abstractNumId w:val="39"/>
  </w:num>
  <w:num w:numId="10">
    <w:abstractNumId w:val="9"/>
  </w:num>
  <w:num w:numId="11">
    <w:abstractNumId w:val="43"/>
  </w:num>
  <w:num w:numId="12">
    <w:abstractNumId w:val="42"/>
  </w:num>
  <w:num w:numId="13">
    <w:abstractNumId w:val="7"/>
  </w:num>
  <w:num w:numId="14">
    <w:abstractNumId w:val="23"/>
  </w:num>
  <w:num w:numId="15">
    <w:abstractNumId w:val="34"/>
  </w:num>
  <w:num w:numId="16">
    <w:abstractNumId w:val="90"/>
  </w:num>
  <w:num w:numId="17">
    <w:abstractNumId w:val="12"/>
  </w:num>
  <w:num w:numId="18">
    <w:abstractNumId w:val="17"/>
  </w:num>
  <w:num w:numId="19">
    <w:abstractNumId w:val="74"/>
  </w:num>
  <w:num w:numId="20">
    <w:abstractNumId w:val="68"/>
  </w:num>
  <w:num w:numId="21">
    <w:abstractNumId w:val="67"/>
  </w:num>
  <w:num w:numId="22">
    <w:abstractNumId w:val="64"/>
  </w:num>
  <w:num w:numId="23">
    <w:abstractNumId w:val="92"/>
  </w:num>
  <w:num w:numId="24">
    <w:abstractNumId w:val="79"/>
  </w:num>
  <w:num w:numId="25">
    <w:abstractNumId w:val="2"/>
  </w:num>
  <w:num w:numId="26">
    <w:abstractNumId w:val="5"/>
  </w:num>
  <w:num w:numId="27">
    <w:abstractNumId w:val="82"/>
  </w:num>
  <w:num w:numId="28">
    <w:abstractNumId w:val="93"/>
  </w:num>
  <w:num w:numId="29">
    <w:abstractNumId w:val="88"/>
  </w:num>
  <w:num w:numId="30">
    <w:abstractNumId w:val="35"/>
  </w:num>
  <w:num w:numId="31">
    <w:abstractNumId w:val="55"/>
  </w:num>
  <w:num w:numId="32">
    <w:abstractNumId w:val="72"/>
  </w:num>
  <w:num w:numId="33">
    <w:abstractNumId w:val="20"/>
  </w:num>
  <w:num w:numId="34">
    <w:abstractNumId w:val="85"/>
  </w:num>
  <w:num w:numId="35">
    <w:abstractNumId w:val="46"/>
  </w:num>
  <w:num w:numId="36">
    <w:abstractNumId w:val="63"/>
  </w:num>
  <w:num w:numId="37">
    <w:abstractNumId w:val="0"/>
  </w:num>
  <w:num w:numId="38">
    <w:abstractNumId w:val="14"/>
  </w:num>
  <w:num w:numId="39">
    <w:abstractNumId w:val="83"/>
  </w:num>
  <w:num w:numId="40">
    <w:abstractNumId w:val="28"/>
  </w:num>
  <w:num w:numId="41">
    <w:abstractNumId w:val="41"/>
  </w:num>
  <w:num w:numId="42">
    <w:abstractNumId w:val="52"/>
  </w:num>
  <w:num w:numId="43">
    <w:abstractNumId w:val="75"/>
  </w:num>
  <w:num w:numId="44">
    <w:abstractNumId w:val="50"/>
  </w:num>
  <w:num w:numId="45">
    <w:abstractNumId w:val="10"/>
  </w:num>
  <w:num w:numId="46">
    <w:abstractNumId w:val="70"/>
  </w:num>
  <w:num w:numId="47">
    <w:abstractNumId w:val="57"/>
  </w:num>
  <w:num w:numId="48">
    <w:abstractNumId w:val="38"/>
  </w:num>
  <w:num w:numId="49">
    <w:abstractNumId w:val="48"/>
  </w:num>
  <w:num w:numId="50">
    <w:abstractNumId w:val="56"/>
  </w:num>
  <w:num w:numId="51">
    <w:abstractNumId w:val="21"/>
  </w:num>
  <w:num w:numId="52">
    <w:abstractNumId w:val="24"/>
  </w:num>
  <w:num w:numId="53">
    <w:abstractNumId w:val="99"/>
  </w:num>
  <w:num w:numId="54">
    <w:abstractNumId w:val="71"/>
  </w:num>
  <w:num w:numId="55">
    <w:abstractNumId w:val="58"/>
  </w:num>
  <w:num w:numId="56">
    <w:abstractNumId w:val="95"/>
  </w:num>
  <w:num w:numId="57">
    <w:abstractNumId w:val="100"/>
  </w:num>
  <w:num w:numId="58">
    <w:abstractNumId w:val="84"/>
  </w:num>
  <w:num w:numId="59">
    <w:abstractNumId w:val="31"/>
  </w:num>
  <w:num w:numId="60">
    <w:abstractNumId w:val="37"/>
  </w:num>
  <w:num w:numId="61">
    <w:abstractNumId w:val="96"/>
  </w:num>
  <w:num w:numId="62">
    <w:abstractNumId w:val="77"/>
  </w:num>
  <w:num w:numId="63">
    <w:abstractNumId w:val="91"/>
  </w:num>
  <w:num w:numId="64">
    <w:abstractNumId w:val="27"/>
  </w:num>
  <w:num w:numId="65">
    <w:abstractNumId w:val="26"/>
  </w:num>
  <w:num w:numId="66">
    <w:abstractNumId w:val="94"/>
  </w:num>
  <w:num w:numId="67">
    <w:abstractNumId w:val="11"/>
  </w:num>
  <w:num w:numId="68">
    <w:abstractNumId w:val="16"/>
  </w:num>
  <w:num w:numId="69">
    <w:abstractNumId w:val="13"/>
  </w:num>
  <w:num w:numId="70">
    <w:abstractNumId w:val="53"/>
  </w:num>
  <w:num w:numId="71">
    <w:abstractNumId w:val="101"/>
  </w:num>
  <w:num w:numId="72">
    <w:abstractNumId w:val="76"/>
  </w:num>
  <w:num w:numId="73">
    <w:abstractNumId w:val="32"/>
  </w:num>
  <w:num w:numId="74">
    <w:abstractNumId w:val="25"/>
  </w:num>
  <w:num w:numId="75">
    <w:abstractNumId w:val="44"/>
  </w:num>
  <w:num w:numId="76">
    <w:abstractNumId w:val="19"/>
  </w:num>
  <w:num w:numId="77">
    <w:abstractNumId w:val="69"/>
  </w:num>
  <w:num w:numId="78">
    <w:abstractNumId w:val="51"/>
  </w:num>
  <w:num w:numId="79">
    <w:abstractNumId w:val="66"/>
  </w:num>
  <w:num w:numId="80">
    <w:abstractNumId w:val="22"/>
  </w:num>
  <w:num w:numId="81">
    <w:abstractNumId w:val="81"/>
  </w:num>
  <w:num w:numId="82">
    <w:abstractNumId w:val="18"/>
  </w:num>
  <w:num w:numId="83">
    <w:abstractNumId w:val="49"/>
  </w:num>
  <w:num w:numId="84">
    <w:abstractNumId w:val="73"/>
  </w:num>
  <w:num w:numId="85">
    <w:abstractNumId w:val="80"/>
  </w:num>
  <w:num w:numId="86">
    <w:abstractNumId w:val="78"/>
  </w:num>
  <w:num w:numId="87">
    <w:abstractNumId w:val="65"/>
  </w:num>
  <w:num w:numId="88">
    <w:abstractNumId w:val="8"/>
  </w:num>
  <w:num w:numId="89">
    <w:abstractNumId w:val="89"/>
  </w:num>
  <w:num w:numId="90">
    <w:abstractNumId w:val="15"/>
  </w:num>
  <w:num w:numId="91">
    <w:abstractNumId w:val="1"/>
  </w:num>
  <w:num w:numId="92">
    <w:abstractNumId w:val="4"/>
  </w:num>
  <w:num w:numId="93">
    <w:abstractNumId w:val="98"/>
  </w:num>
  <w:num w:numId="94">
    <w:abstractNumId w:val="33"/>
  </w:num>
  <w:num w:numId="95">
    <w:abstractNumId w:val="40"/>
  </w:num>
  <w:num w:numId="96">
    <w:abstractNumId w:val="29"/>
  </w:num>
  <w:num w:numId="97">
    <w:abstractNumId w:val="86"/>
  </w:num>
  <w:num w:numId="98">
    <w:abstractNumId w:val="30"/>
  </w:num>
  <w:num w:numId="99">
    <w:abstractNumId w:val="59"/>
  </w:num>
  <w:num w:numId="100">
    <w:abstractNumId w:val="54"/>
  </w:num>
  <w:num w:numId="101">
    <w:abstractNumId w:val="36"/>
  </w:num>
  <w:num w:numId="102">
    <w:abstractNumId w:val="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3B7"/>
    <w:rsid w:val="00001DF3"/>
    <w:rsid w:val="00003129"/>
    <w:rsid w:val="000068C1"/>
    <w:rsid w:val="000115F1"/>
    <w:rsid w:val="00013380"/>
    <w:rsid w:val="0001511D"/>
    <w:rsid w:val="00015828"/>
    <w:rsid w:val="0002398D"/>
    <w:rsid w:val="0002631C"/>
    <w:rsid w:val="00030C02"/>
    <w:rsid w:val="00031386"/>
    <w:rsid w:val="0003139F"/>
    <w:rsid w:val="000319FD"/>
    <w:rsid w:val="0003292D"/>
    <w:rsid w:val="00033DEE"/>
    <w:rsid w:val="0003791C"/>
    <w:rsid w:val="00040E9F"/>
    <w:rsid w:val="0004197C"/>
    <w:rsid w:val="000426C8"/>
    <w:rsid w:val="0004484E"/>
    <w:rsid w:val="00045E12"/>
    <w:rsid w:val="000467E5"/>
    <w:rsid w:val="00046BEF"/>
    <w:rsid w:val="00047E04"/>
    <w:rsid w:val="0005151D"/>
    <w:rsid w:val="000516FB"/>
    <w:rsid w:val="000571BF"/>
    <w:rsid w:val="00057A76"/>
    <w:rsid w:val="00062140"/>
    <w:rsid w:val="00063101"/>
    <w:rsid w:val="00064756"/>
    <w:rsid w:val="00065B97"/>
    <w:rsid w:val="00066350"/>
    <w:rsid w:val="0007147C"/>
    <w:rsid w:val="000719C8"/>
    <w:rsid w:val="00071E82"/>
    <w:rsid w:val="00072331"/>
    <w:rsid w:val="000739A2"/>
    <w:rsid w:val="00075EF4"/>
    <w:rsid w:val="0008087C"/>
    <w:rsid w:val="0008157D"/>
    <w:rsid w:val="00081605"/>
    <w:rsid w:val="00083FC6"/>
    <w:rsid w:val="00084F0A"/>
    <w:rsid w:val="00086A10"/>
    <w:rsid w:val="000877C7"/>
    <w:rsid w:val="000901EB"/>
    <w:rsid w:val="0009143E"/>
    <w:rsid w:val="00097FB4"/>
    <w:rsid w:val="000A3FA5"/>
    <w:rsid w:val="000A5FF7"/>
    <w:rsid w:val="000A6390"/>
    <w:rsid w:val="000B0E41"/>
    <w:rsid w:val="000B0E8F"/>
    <w:rsid w:val="000B4DCC"/>
    <w:rsid w:val="000C1073"/>
    <w:rsid w:val="000C6936"/>
    <w:rsid w:val="000C6E33"/>
    <w:rsid w:val="000D371C"/>
    <w:rsid w:val="000E09CF"/>
    <w:rsid w:val="000E23A3"/>
    <w:rsid w:val="000E24EE"/>
    <w:rsid w:val="000E3905"/>
    <w:rsid w:val="000E5ADA"/>
    <w:rsid w:val="000F01AB"/>
    <w:rsid w:val="000F5396"/>
    <w:rsid w:val="000F62D5"/>
    <w:rsid w:val="000F7C9C"/>
    <w:rsid w:val="001001A5"/>
    <w:rsid w:val="00103960"/>
    <w:rsid w:val="0011236D"/>
    <w:rsid w:val="0011436F"/>
    <w:rsid w:val="00114CF4"/>
    <w:rsid w:val="0011613C"/>
    <w:rsid w:val="00121860"/>
    <w:rsid w:val="00121A95"/>
    <w:rsid w:val="00122953"/>
    <w:rsid w:val="001262B3"/>
    <w:rsid w:val="00127EF4"/>
    <w:rsid w:val="0013421F"/>
    <w:rsid w:val="0013557E"/>
    <w:rsid w:val="00137893"/>
    <w:rsid w:val="00142401"/>
    <w:rsid w:val="001426A4"/>
    <w:rsid w:val="001457A1"/>
    <w:rsid w:val="001465CA"/>
    <w:rsid w:val="00147A8E"/>
    <w:rsid w:val="001506DD"/>
    <w:rsid w:val="00152EA8"/>
    <w:rsid w:val="00154CBE"/>
    <w:rsid w:val="001555E0"/>
    <w:rsid w:val="00161103"/>
    <w:rsid w:val="001615AB"/>
    <w:rsid w:val="001630AB"/>
    <w:rsid w:val="00163535"/>
    <w:rsid w:val="0016353E"/>
    <w:rsid w:val="00164ED5"/>
    <w:rsid w:val="0016624D"/>
    <w:rsid w:val="001671DB"/>
    <w:rsid w:val="00167531"/>
    <w:rsid w:val="001704AE"/>
    <w:rsid w:val="00172296"/>
    <w:rsid w:val="00177215"/>
    <w:rsid w:val="00184078"/>
    <w:rsid w:val="00185571"/>
    <w:rsid w:val="00190EB0"/>
    <w:rsid w:val="0019156E"/>
    <w:rsid w:val="00193CA3"/>
    <w:rsid w:val="0019735A"/>
    <w:rsid w:val="0019740F"/>
    <w:rsid w:val="001A089D"/>
    <w:rsid w:val="001A4245"/>
    <w:rsid w:val="001A549F"/>
    <w:rsid w:val="001C3EAC"/>
    <w:rsid w:val="001C4194"/>
    <w:rsid w:val="001C471A"/>
    <w:rsid w:val="001C608E"/>
    <w:rsid w:val="001C74E0"/>
    <w:rsid w:val="001D288C"/>
    <w:rsid w:val="001D636A"/>
    <w:rsid w:val="001D6F74"/>
    <w:rsid w:val="001D7682"/>
    <w:rsid w:val="001D78C7"/>
    <w:rsid w:val="001D7E82"/>
    <w:rsid w:val="001E37FA"/>
    <w:rsid w:val="001E79E9"/>
    <w:rsid w:val="001F209F"/>
    <w:rsid w:val="001F62A1"/>
    <w:rsid w:val="001F663B"/>
    <w:rsid w:val="001F6C32"/>
    <w:rsid w:val="001F6CBD"/>
    <w:rsid w:val="0020375D"/>
    <w:rsid w:val="002106B9"/>
    <w:rsid w:val="002177D1"/>
    <w:rsid w:val="00235D35"/>
    <w:rsid w:val="00237AFC"/>
    <w:rsid w:val="00243D4C"/>
    <w:rsid w:val="00243E58"/>
    <w:rsid w:val="0024547F"/>
    <w:rsid w:val="002479AC"/>
    <w:rsid w:val="00265183"/>
    <w:rsid w:val="00265C55"/>
    <w:rsid w:val="00270AF0"/>
    <w:rsid w:val="0027290D"/>
    <w:rsid w:val="00276A2F"/>
    <w:rsid w:val="002774FA"/>
    <w:rsid w:val="00277681"/>
    <w:rsid w:val="00277B30"/>
    <w:rsid w:val="00286C95"/>
    <w:rsid w:val="00287BCF"/>
    <w:rsid w:val="00291F1E"/>
    <w:rsid w:val="002941A8"/>
    <w:rsid w:val="00294440"/>
    <w:rsid w:val="00295FEB"/>
    <w:rsid w:val="00296E7D"/>
    <w:rsid w:val="002A1292"/>
    <w:rsid w:val="002A26A8"/>
    <w:rsid w:val="002A63DE"/>
    <w:rsid w:val="002B39D7"/>
    <w:rsid w:val="002B6584"/>
    <w:rsid w:val="002B6A53"/>
    <w:rsid w:val="002B7277"/>
    <w:rsid w:val="002C287A"/>
    <w:rsid w:val="002C6B4C"/>
    <w:rsid w:val="002D0D65"/>
    <w:rsid w:val="002D107C"/>
    <w:rsid w:val="002D1BE2"/>
    <w:rsid w:val="002D3E7D"/>
    <w:rsid w:val="002E7D66"/>
    <w:rsid w:val="002F0551"/>
    <w:rsid w:val="002F22D2"/>
    <w:rsid w:val="002F2F27"/>
    <w:rsid w:val="002F4EAD"/>
    <w:rsid w:val="002F5B49"/>
    <w:rsid w:val="00312A41"/>
    <w:rsid w:val="00315834"/>
    <w:rsid w:val="00316767"/>
    <w:rsid w:val="00316BA4"/>
    <w:rsid w:val="00316D49"/>
    <w:rsid w:val="003200F4"/>
    <w:rsid w:val="003213F4"/>
    <w:rsid w:val="00323D83"/>
    <w:rsid w:val="00324834"/>
    <w:rsid w:val="00334C16"/>
    <w:rsid w:val="00336BF5"/>
    <w:rsid w:val="0034098C"/>
    <w:rsid w:val="003416F9"/>
    <w:rsid w:val="003450A2"/>
    <w:rsid w:val="00346006"/>
    <w:rsid w:val="00347D43"/>
    <w:rsid w:val="003558D4"/>
    <w:rsid w:val="003601B7"/>
    <w:rsid w:val="003657D3"/>
    <w:rsid w:val="003671DC"/>
    <w:rsid w:val="00375B7F"/>
    <w:rsid w:val="003761FC"/>
    <w:rsid w:val="00376C38"/>
    <w:rsid w:val="00376E70"/>
    <w:rsid w:val="00377E74"/>
    <w:rsid w:val="00380EE2"/>
    <w:rsid w:val="00381473"/>
    <w:rsid w:val="00382CBC"/>
    <w:rsid w:val="00382EDC"/>
    <w:rsid w:val="00382FA1"/>
    <w:rsid w:val="003843B7"/>
    <w:rsid w:val="003935F7"/>
    <w:rsid w:val="003A1545"/>
    <w:rsid w:val="003A2165"/>
    <w:rsid w:val="003A2F9A"/>
    <w:rsid w:val="003B0918"/>
    <w:rsid w:val="003B13DE"/>
    <w:rsid w:val="003B1CA5"/>
    <w:rsid w:val="003B71BD"/>
    <w:rsid w:val="003C1A28"/>
    <w:rsid w:val="003C7B10"/>
    <w:rsid w:val="003D2764"/>
    <w:rsid w:val="003D512E"/>
    <w:rsid w:val="003E4220"/>
    <w:rsid w:val="003E5326"/>
    <w:rsid w:val="003F182E"/>
    <w:rsid w:val="00400B4F"/>
    <w:rsid w:val="004042B4"/>
    <w:rsid w:val="004054B4"/>
    <w:rsid w:val="00415621"/>
    <w:rsid w:val="004237F1"/>
    <w:rsid w:val="00423CF2"/>
    <w:rsid w:val="00424522"/>
    <w:rsid w:val="00424DE2"/>
    <w:rsid w:val="0043377F"/>
    <w:rsid w:val="00434068"/>
    <w:rsid w:val="004404AD"/>
    <w:rsid w:val="00440621"/>
    <w:rsid w:val="00445425"/>
    <w:rsid w:val="004461EF"/>
    <w:rsid w:val="00450483"/>
    <w:rsid w:val="004523CB"/>
    <w:rsid w:val="00454BED"/>
    <w:rsid w:val="00455308"/>
    <w:rsid w:val="004570BE"/>
    <w:rsid w:val="00461737"/>
    <w:rsid w:val="00462456"/>
    <w:rsid w:val="004626CD"/>
    <w:rsid w:val="00463DC2"/>
    <w:rsid w:val="00466D3A"/>
    <w:rsid w:val="004703ED"/>
    <w:rsid w:val="004714A7"/>
    <w:rsid w:val="004727CF"/>
    <w:rsid w:val="00472E07"/>
    <w:rsid w:val="004734FC"/>
    <w:rsid w:val="00473964"/>
    <w:rsid w:val="0048050D"/>
    <w:rsid w:val="004805E3"/>
    <w:rsid w:val="00480BD1"/>
    <w:rsid w:val="00487D77"/>
    <w:rsid w:val="004917B1"/>
    <w:rsid w:val="004A5ACA"/>
    <w:rsid w:val="004A677E"/>
    <w:rsid w:val="004C16AE"/>
    <w:rsid w:val="004C259D"/>
    <w:rsid w:val="004C4AA3"/>
    <w:rsid w:val="004C6F88"/>
    <w:rsid w:val="004C729A"/>
    <w:rsid w:val="004D2E49"/>
    <w:rsid w:val="004D2E89"/>
    <w:rsid w:val="004D5A78"/>
    <w:rsid w:val="004D666C"/>
    <w:rsid w:val="004E0E36"/>
    <w:rsid w:val="004E1781"/>
    <w:rsid w:val="004E79C0"/>
    <w:rsid w:val="004F052C"/>
    <w:rsid w:val="004F32DA"/>
    <w:rsid w:val="004F49F3"/>
    <w:rsid w:val="004F5E69"/>
    <w:rsid w:val="004F7A3A"/>
    <w:rsid w:val="00500CAF"/>
    <w:rsid w:val="00503060"/>
    <w:rsid w:val="00503FE8"/>
    <w:rsid w:val="005048B8"/>
    <w:rsid w:val="0050543B"/>
    <w:rsid w:val="00513F3E"/>
    <w:rsid w:val="00520BE9"/>
    <w:rsid w:val="00521588"/>
    <w:rsid w:val="0052244C"/>
    <w:rsid w:val="00524601"/>
    <w:rsid w:val="005307CE"/>
    <w:rsid w:val="00541008"/>
    <w:rsid w:val="005425C4"/>
    <w:rsid w:val="00542A38"/>
    <w:rsid w:val="00543F74"/>
    <w:rsid w:val="00546157"/>
    <w:rsid w:val="00546DB3"/>
    <w:rsid w:val="005514CE"/>
    <w:rsid w:val="005552C3"/>
    <w:rsid w:val="00556D97"/>
    <w:rsid w:val="00557242"/>
    <w:rsid w:val="00560220"/>
    <w:rsid w:val="005629B9"/>
    <w:rsid w:val="0056335E"/>
    <w:rsid w:val="00566C2A"/>
    <w:rsid w:val="005735F8"/>
    <w:rsid w:val="00576FD6"/>
    <w:rsid w:val="00577036"/>
    <w:rsid w:val="00580231"/>
    <w:rsid w:val="0058073A"/>
    <w:rsid w:val="00582D2D"/>
    <w:rsid w:val="00584C2A"/>
    <w:rsid w:val="005868A2"/>
    <w:rsid w:val="00586D2E"/>
    <w:rsid w:val="00595BF0"/>
    <w:rsid w:val="005A019B"/>
    <w:rsid w:val="005B74DF"/>
    <w:rsid w:val="005C048A"/>
    <w:rsid w:val="005C40CD"/>
    <w:rsid w:val="005C41FB"/>
    <w:rsid w:val="005C7CBA"/>
    <w:rsid w:val="005D4DC1"/>
    <w:rsid w:val="005D57E0"/>
    <w:rsid w:val="005E0A7B"/>
    <w:rsid w:val="005E2B19"/>
    <w:rsid w:val="005E357E"/>
    <w:rsid w:val="005E599E"/>
    <w:rsid w:val="005E6D6F"/>
    <w:rsid w:val="005E73DA"/>
    <w:rsid w:val="005F392A"/>
    <w:rsid w:val="005F4658"/>
    <w:rsid w:val="005F475B"/>
    <w:rsid w:val="005F623E"/>
    <w:rsid w:val="00600008"/>
    <w:rsid w:val="00600F96"/>
    <w:rsid w:val="006027D5"/>
    <w:rsid w:val="0060572B"/>
    <w:rsid w:val="00607A75"/>
    <w:rsid w:val="00611CF9"/>
    <w:rsid w:val="006155B1"/>
    <w:rsid w:val="0061619D"/>
    <w:rsid w:val="006164A2"/>
    <w:rsid w:val="006228BB"/>
    <w:rsid w:val="0062712E"/>
    <w:rsid w:val="00627466"/>
    <w:rsid w:val="00630D0E"/>
    <w:rsid w:val="00640723"/>
    <w:rsid w:val="00641D6E"/>
    <w:rsid w:val="00642CED"/>
    <w:rsid w:val="006438CE"/>
    <w:rsid w:val="0064425C"/>
    <w:rsid w:val="006452E2"/>
    <w:rsid w:val="00645592"/>
    <w:rsid w:val="00646479"/>
    <w:rsid w:val="006512A0"/>
    <w:rsid w:val="00651414"/>
    <w:rsid w:val="00653CE1"/>
    <w:rsid w:val="0065610E"/>
    <w:rsid w:val="006607D4"/>
    <w:rsid w:val="00660FE9"/>
    <w:rsid w:val="0066388A"/>
    <w:rsid w:val="006659F2"/>
    <w:rsid w:val="00674E7D"/>
    <w:rsid w:val="0067726D"/>
    <w:rsid w:val="00681CE5"/>
    <w:rsid w:val="00682B83"/>
    <w:rsid w:val="006850F9"/>
    <w:rsid w:val="006861DC"/>
    <w:rsid w:val="006878CB"/>
    <w:rsid w:val="006919C7"/>
    <w:rsid w:val="00691BA0"/>
    <w:rsid w:val="00692AE8"/>
    <w:rsid w:val="00693677"/>
    <w:rsid w:val="00694C36"/>
    <w:rsid w:val="006A0008"/>
    <w:rsid w:val="006A0AF0"/>
    <w:rsid w:val="006A3518"/>
    <w:rsid w:val="006A423F"/>
    <w:rsid w:val="006A67AA"/>
    <w:rsid w:val="006B3863"/>
    <w:rsid w:val="006B4DB2"/>
    <w:rsid w:val="006B566A"/>
    <w:rsid w:val="006C1927"/>
    <w:rsid w:val="006D0B79"/>
    <w:rsid w:val="006D1F40"/>
    <w:rsid w:val="006D4A97"/>
    <w:rsid w:val="006D7347"/>
    <w:rsid w:val="006D7E88"/>
    <w:rsid w:val="006E5F0B"/>
    <w:rsid w:val="006F32EB"/>
    <w:rsid w:val="006F3631"/>
    <w:rsid w:val="006F6790"/>
    <w:rsid w:val="00701CCF"/>
    <w:rsid w:val="00705EF6"/>
    <w:rsid w:val="00706631"/>
    <w:rsid w:val="00713596"/>
    <w:rsid w:val="0071509D"/>
    <w:rsid w:val="00716C60"/>
    <w:rsid w:val="0073125D"/>
    <w:rsid w:val="00734374"/>
    <w:rsid w:val="00734BDE"/>
    <w:rsid w:val="00734F95"/>
    <w:rsid w:val="007418B0"/>
    <w:rsid w:val="00742DCD"/>
    <w:rsid w:val="00746C6A"/>
    <w:rsid w:val="00750B27"/>
    <w:rsid w:val="00757E7F"/>
    <w:rsid w:val="00762BD7"/>
    <w:rsid w:val="007652AD"/>
    <w:rsid w:val="00775089"/>
    <w:rsid w:val="00775AAB"/>
    <w:rsid w:val="00776A0E"/>
    <w:rsid w:val="0078050F"/>
    <w:rsid w:val="0078219F"/>
    <w:rsid w:val="00784DB2"/>
    <w:rsid w:val="00790668"/>
    <w:rsid w:val="00792471"/>
    <w:rsid w:val="00793C17"/>
    <w:rsid w:val="0079443C"/>
    <w:rsid w:val="00796104"/>
    <w:rsid w:val="007965EE"/>
    <w:rsid w:val="00797B6B"/>
    <w:rsid w:val="00797EFE"/>
    <w:rsid w:val="007A052B"/>
    <w:rsid w:val="007A058C"/>
    <w:rsid w:val="007A2262"/>
    <w:rsid w:val="007A3441"/>
    <w:rsid w:val="007A57CC"/>
    <w:rsid w:val="007A7559"/>
    <w:rsid w:val="007B4C5E"/>
    <w:rsid w:val="007B5155"/>
    <w:rsid w:val="007B666D"/>
    <w:rsid w:val="007B7337"/>
    <w:rsid w:val="007B7545"/>
    <w:rsid w:val="007C0F58"/>
    <w:rsid w:val="007C6EDA"/>
    <w:rsid w:val="007C6F42"/>
    <w:rsid w:val="007D5CE8"/>
    <w:rsid w:val="007E0230"/>
    <w:rsid w:val="007E2861"/>
    <w:rsid w:val="007E4BEB"/>
    <w:rsid w:val="007E59E4"/>
    <w:rsid w:val="007F0BE0"/>
    <w:rsid w:val="007F29EA"/>
    <w:rsid w:val="007F3665"/>
    <w:rsid w:val="0081334A"/>
    <w:rsid w:val="00813DAD"/>
    <w:rsid w:val="00814289"/>
    <w:rsid w:val="00817A88"/>
    <w:rsid w:val="00821D2F"/>
    <w:rsid w:val="00822208"/>
    <w:rsid w:val="008239B9"/>
    <w:rsid w:val="0082640C"/>
    <w:rsid w:val="00827AA7"/>
    <w:rsid w:val="00831B86"/>
    <w:rsid w:val="00836D4B"/>
    <w:rsid w:val="00837D2C"/>
    <w:rsid w:val="00852F25"/>
    <w:rsid w:val="0085311D"/>
    <w:rsid w:val="00853C94"/>
    <w:rsid w:val="008569E4"/>
    <w:rsid w:val="008579D5"/>
    <w:rsid w:val="00860197"/>
    <w:rsid w:val="0086206D"/>
    <w:rsid w:val="0086697A"/>
    <w:rsid w:val="00870B4F"/>
    <w:rsid w:val="00871E44"/>
    <w:rsid w:val="008730DB"/>
    <w:rsid w:val="00874385"/>
    <w:rsid w:val="00874B53"/>
    <w:rsid w:val="00874F00"/>
    <w:rsid w:val="008750CA"/>
    <w:rsid w:val="00877BB8"/>
    <w:rsid w:val="0088045A"/>
    <w:rsid w:val="00884A07"/>
    <w:rsid w:val="00884F66"/>
    <w:rsid w:val="00886AD0"/>
    <w:rsid w:val="008937FA"/>
    <w:rsid w:val="00895C51"/>
    <w:rsid w:val="00896C44"/>
    <w:rsid w:val="008A09C9"/>
    <w:rsid w:val="008A2099"/>
    <w:rsid w:val="008A4149"/>
    <w:rsid w:val="008A6F74"/>
    <w:rsid w:val="008A77D6"/>
    <w:rsid w:val="008A7B35"/>
    <w:rsid w:val="008B29EB"/>
    <w:rsid w:val="008B46FD"/>
    <w:rsid w:val="008B5388"/>
    <w:rsid w:val="008B5D3E"/>
    <w:rsid w:val="008B690B"/>
    <w:rsid w:val="008C0018"/>
    <w:rsid w:val="008C09E8"/>
    <w:rsid w:val="008C1AF6"/>
    <w:rsid w:val="008C1B80"/>
    <w:rsid w:val="008C241B"/>
    <w:rsid w:val="008C24AA"/>
    <w:rsid w:val="008C2C87"/>
    <w:rsid w:val="008C42A9"/>
    <w:rsid w:val="008C485F"/>
    <w:rsid w:val="008C5DA8"/>
    <w:rsid w:val="008D2276"/>
    <w:rsid w:val="008D5AFE"/>
    <w:rsid w:val="008E0CE8"/>
    <w:rsid w:val="008E1AC9"/>
    <w:rsid w:val="008E263D"/>
    <w:rsid w:val="008E29C9"/>
    <w:rsid w:val="008E621B"/>
    <w:rsid w:val="008E667F"/>
    <w:rsid w:val="008E72BE"/>
    <w:rsid w:val="008F0B66"/>
    <w:rsid w:val="008F240A"/>
    <w:rsid w:val="008F267A"/>
    <w:rsid w:val="008F4DFC"/>
    <w:rsid w:val="009071A1"/>
    <w:rsid w:val="009206AD"/>
    <w:rsid w:val="009212DC"/>
    <w:rsid w:val="00927A5D"/>
    <w:rsid w:val="00936286"/>
    <w:rsid w:val="0094088C"/>
    <w:rsid w:val="009433C4"/>
    <w:rsid w:val="00943D8D"/>
    <w:rsid w:val="00944EEB"/>
    <w:rsid w:val="009477B2"/>
    <w:rsid w:val="00947ACB"/>
    <w:rsid w:val="00947EA2"/>
    <w:rsid w:val="009503CD"/>
    <w:rsid w:val="009544CC"/>
    <w:rsid w:val="009547B7"/>
    <w:rsid w:val="00956061"/>
    <w:rsid w:val="00957625"/>
    <w:rsid w:val="00960C6B"/>
    <w:rsid w:val="009677EA"/>
    <w:rsid w:val="00967FE1"/>
    <w:rsid w:val="00970A3E"/>
    <w:rsid w:val="00971754"/>
    <w:rsid w:val="009724E2"/>
    <w:rsid w:val="0097462A"/>
    <w:rsid w:val="00977642"/>
    <w:rsid w:val="009918EC"/>
    <w:rsid w:val="00993965"/>
    <w:rsid w:val="00996382"/>
    <w:rsid w:val="00996551"/>
    <w:rsid w:val="0099776F"/>
    <w:rsid w:val="009A0B1C"/>
    <w:rsid w:val="009A36D1"/>
    <w:rsid w:val="009A3D35"/>
    <w:rsid w:val="009A4183"/>
    <w:rsid w:val="009A6187"/>
    <w:rsid w:val="009A6908"/>
    <w:rsid w:val="009B029B"/>
    <w:rsid w:val="009B55C9"/>
    <w:rsid w:val="009B7E00"/>
    <w:rsid w:val="009C23A7"/>
    <w:rsid w:val="009C2714"/>
    <w:rsid w:val="009C5417"/>
    <w:rsid w:val="009E5249"/>
    <w:rsid w:val="009F2024"/>
    <w:rsid w:val="009F608C"/>
    <w:rsid w:val="009F7CE4"/>
    <w:rsid w:val="00A022FE"/>
    <w:rsid w:val="00A030FB"/>
    <w:rsid w:val="00A0337D"/>
    <w:rsid w:val="00A12A74"/>
    <w:rsid w:val="00A13B87"/>
    <w:rsid w:val="00A21BB5"/>
    <w:rsid w:val="00A25E19"/>
    <w:rsid w:val="00A32A99"/>
    <w:rsid w:val="00A33909"/>
    <w:rsid w:val="00A377E5"/>
    <w:rsid w:val="00A427D4"/>
    <w:rsid w:val="00A5099C"/>
    <w:rsid w:val="00A636EA"/>
    <w:rsid w:val="00A64B08"/>
    <w:rsid w:val="00A721D8"/>
    <w:rsid w:val="00A72675"/>
    <w:rsid w:val="00A73C0A"/>
    <w:rsid w:val="00A7744D"/>
    <w:rsid w:val="00A81440"/>
    <w:rsid w:val="00A82784"/>
    <w:rsid w:val="00A85089"/>
    <w:rsid w:val="00A85984"/>
    <w:rsid w:val="00A90BBC"/>
    <w:rsid w:val="00A90D89"/>
    <w:rsid w:val="00A97261"/>
    <w:rsid w:val="00AA050A"/>
    <w:rsid w:val="00AA21EF"/>
    <w:rsid w:val="00AB0D83"/>
    <w:rsid w:val="00AB35A2"/>
    <w:rsid w:val="00AB4BB6"/>
    <w:rsid w:val="00AC0C0C"/>
    <w:rsid w:val="00AC52D9"/>
    <w:rsid w:val="00AD16A8"/>
    <w:rsid w:val="00AD3812"/>
    <w:rsid w:val="00AD4775"/>
    <w:rsid w:val="00AD6C2C"/>
    <w:rsid w:val="00AE2EAA"/>
    <w:rsid w:val="00AE4EA1"/>
    <w:rsid w:val="00AE4FD7"/>
    <w:rsid w:val="00AE617E"/>
    <w:rsid w:val="00AE75A9"/>
    <w:rsid w:val="00AF289E"/>
    <w:rsid w:val="00B01091"/>
    <w:rsid w:val="00B01B46"/>
    <w:rsid w:val="00B04673"/>
    <w:rsid w:val="00B05A52"/>
    <w:rsid w:val="00B07D7A"/>
    <w:rsid w:val="00B143FE"/>
    <w:rsid w:val="00B262BF"/>
    <w:rsid w:val="00B31441"/>
    <w:rsid w:val="00B324B4"/>
    <w:rsid w:val="00B32AC4"/>
    <w:rsid w:val="00B33986"/>
    <w:rsid w:val="00B35A83"/>
    <w:rsid w:val="00B40E6A"/>
    <w:rsid w:val="00B42D8A"/>
    <w:rsid w:val="00B43DE2"/>
    <w:rsid w:val="00B44154"/>
    <w:rsid w:val="00B468B3"/>
    <w:rsid w:val="00B5085E"/>
    <w:rsid w:val="00B53F8E"/>
    <w:rsid w:val="00B569D5"/>
    <w:rsid w:val="00B56CE8"/>
    <w:rsid w:val="00B57870"/>
    <w:rsid w:val="00B57E58"/>
    <w:rsid w:val="00B6081B"/>
    <w:rsid w:val="00B62483"/>
    <w:rsid w:val="00B67051"/>
    <w:rsid w:val="00B70751"/>
    <w:rsid w:val="00B71CD3"/>
    <w:rsid w:val="00B75C04"/>
    <w:rsid w:val="00B82158"/>
    <w:rsid w:val="00B83B39"/>
    <w:rsid w:val="00B848AB"/>
    <w:rsid w:val="00B849B2"/>
    <w:rsid w:val="00B9483C"/>
    <w:rsid w:val="00B962BF"/>
    <w:rsid w:val="00BA0BF5"/>
    <w:rsid w:val="00BA3701"/>
    <w:rsid w:val="00BC12E4"/>
    <w:rsid w:val="00BC4FAC"/>
    <w:rsid w:val="00BC54EA"/>
    <w:rsid w:val="00BC60C3"/>
    <w:rsid w:val="00BC76BB"/>
    <w:rsid w:val="00BD3146"/>
    <w:rsid w:val="00BD415B"/>
    <w:rsid w:val="00BE2A82"/>
    <w:rsid w:val="00BE5378"/>
    <w:rsid w:val="00BE6156"/>
    <w:rsid w:val="00BF0E19"/>
    <w:rsid w:val="00BF17DA"/>
    <w:rsid w:val="00BF21A3"/>
    <w:rsid w:val="00BF2DC2"/>
    <w:rsid w:val="00BF335C"/>
    <w:rsid w:val="00BF708D"/>
    <w:rsid w:val="00C012F6"/>
    <w:rsid w:val="00C0162A"/>
    <w:rsid w:val="00C02D7A"/>
    <w:rsid w:val="00C03D1B"/>
    <w:rsid w:val="00C108A5"/>
    <w:rsid w:val="00C1596D"/>
    <w:rsid w:val="00C16050"/>
    <w:rsid w:val="00C20E53"/>
    <w:rsid w:val="00C21F5B"/>
    <w:rsid w:val="00C22ED5"/>
    <w:rsid w:val="00C25393"/>
    <w:rsid w:val="00C25580"/>
    <w:rsid w:val="00C275AA"/>
    <w:rsid w:val="00C306BB"/>
    <w:rsid w:val="00C307A3"/>
    <w:rsid w:val="00C30950"/>
    <w:rsid w:val="00C3191E"/>
    <w:rsid w:val="00C43096"/>
    <w:rsid w:val="00C44365"/>
    <w:rsid w:val="00C44C48"/>
    <w:rsid w:val="00C45A63"/>
    <w:rsid w:val="00C47A1F"/>
    <w:rsid w:val="00C508BD"/>
    <w:rsid w:val="00C52CF1"/>
    <w:rsid w:val="00C538A6"/>
    <w:rsid w:val="00C54058"/>
    <w:rsid w:val="00C5660E"/>
    <w:rsid w:val="00C57847"/>
    <w:rsid w:val="00C63A96"/>
    <w:rsid w:val="00C6550F"/>
    <w:rsid w:val="00C66AB6"/>
    <w:rsid w:val="00C724A8"/>
    <w:rsid w:val="00C778B4"/>
    <w:rsid w:val="00C82A58"/>
    <w:rsid w:val="00C86C1F"/>
    <w:rsid w:val="00C91FB6"/>
    <w:rsid w:val="00C9204A"/>
    <w:rsid w:val="00C970C9"/>
    <w:rsid w:val="00C9752E"/>
    <w:rsid w:val="00CA1494"/>
    <w:rsid w:val="00CA325E"/>
    <w:rsid w:val="00CA37F8"/>
    <w:rsid w:val="00CA3DF0"/>
    <w:rsid w:val="00CA455A"/>
    <w:rsid w:val="00CA4668"/>
    <w:rsid w:val="00CA4FB9"/>
    <w:rsid w:val="00CA533D"/>
    <w:rsid w:val="00CB0B30"/>
    <w:rsid w:val="00CC6859"/>
    <w:rsid w:val="00CC7527"/>
    <w:rsid w:val="00CC7C1D"/>
    <w:rsid w:val="00CD1C97"/>
    <w:rsid w:val="00CD271F"/>
    <w:rsid w:val="00CD279B"/>
    <w:rsid w:val="00CD7477"/>
    <w:rsid w:val="00CE1A17"/>
    <w:rsid w:val="00CE3F50"/>
    <w:rsid w:val="00CE4B3B"/>
    <w:rsid w:val="00CF1AD9"/>
    <w:rsid w:val="00CF1F45"/>
    <w:rsid w:val="00D02EB3"/>
    <w:rsid w:val="00D05726"/>
    <w:rsid w:val="00D07117"/>
    <w:rsid w:val="00D07A2B"/>
    <w:rsid w:val="00D10F21"/>
    <w:rsid w:val="00D12CF4"/>
    <w:rsid w:val="00D145C4"/>
    <w:rsid w:val="00D15A57"/>
    <w:rsid w:val="00D1665A"/>
    <w:rsid w:val="00D178C7"/>
    <w:rsid w:val="00D24FCE"/>
    <w:rsid w:val="00D250CF"/>
    <w:rsid w:val="00D2666E"/>
    <w:rsid w:val="00D26B22"/>
    <w:rsid w:val="00D26B56"/>
    <w:rsid w:val="00D30975"/>
    <w:rsid w:val="00D31C4E"/>
    <w:rsid w:val="00D31DC5"/>
    <w:rsid w:val="00D45F9A"/>
    <w:rsid w:val="00D46C4D"/>
    <w:rsid w:val="00D50BF2"/>
    <w:rsid w:val="00D5105E"/>
    <w:rsid w:val="00D51A43"/>
    <w:rsid w:val="00D51F4B"/>
    <w:rsid w:val="00D5457A"/>
    <w:rsid w:val="00D55887"/>
    <w:rsid w:val="00D6030D"/>
    <w:rsid w:val="00D62650"/>
    <w:rsid w:val="00D65AA0"/>
    <w:rsid w:val="00D65BB5"/>
    <w:rsid w:val="00D71B14"/>
    <w:rsid w:val="00D73086"/>
    <w:rsid w:val="00D7553F"/>
    <w:rsid w:val="00D75830"/>
    <w:rsid w:val="00D76FD7"/>
    <w:rsid w:val="00D778E3"/>
    <w:rsid w:val="00D77BC2"/>
    <w:rsid w:val="00D83D8E"/>
    <w:rsid w:val="00D85F4D"/>
    <w:rsid w:val="00D937E6"/>
    <w:rsid w:val="00DA0D5D"/>
    <w:rsid w:val="00DA26B4"/>
    <w:rsid w:val="00DA2AA5"/>
    <w:rsid w:val="00DA645E"/>
    <w:rsid w:val="00DB12FF"/>
    <w:rsid w:val="00DB2833"/>
    <w:rsid w:val="00DB36E6"/>
    <w:rsid w:val="00DB3B58"/>
    <w:rsid w:val="00DC2D59"/>
    <w:rsid w:val="00DD316F"/>
    <w:rsid w:val="00DD53CF"/>
    <w:rsid w:val="00DD6B4C"/>
    <w:rsid w:val="00DE6CAF"/>
    <w:rsid w:val="00DE7EF7"/>
    <w:rsid w:val="00DF31C7"/>
    <w:rsid w:val="00E00E49"/>
    <w:rsid w:val="00E01B36"/>
    <w:rsid w:val="00E037A2"/>
    <w:rsid w:val="00E0448F"/>
    <w:rsid w:val="00E07EDA"/>
    <w:rsid w:val="00E13928"/>
    <w:rsid w:val="00E13F27"/>
    <w:rsid w:val="00E1732B"/>
    <w:rsid w:val="00E178DF"/>
    <w:rsid w:val="00E231C2"/>
    <w:rsid w:val="00E2327F"/>
    <w:rsid w:val="00E242BE"/>
    <w:rsid w:val="00E27D04"/>
    <w:rsid w:val="00E35046"/>
    <w:rsid w:val="00E37D1C"/>
    <w:rsid w:val="00E40406"/>
    <w:rsid w:val="00E472B9"/>
    <w:rsid w:val="00E51E59"/>
    <w:rsid w:val="00E51EE0"/>
    <w:rsid w:val="00E55D45"/>
    <w:rsid w:val="00E568A6"/>
    <w:rsid w:val="00E56990"/>
    <w:rsid w:val="00E60700"/>
    <w:rsid w:val="00E60BA0"/>
    <w:rsid w:val="00E619B7"/>
    <w:rsid w:val="00E64598"/>
    <w:rsid w:val="00E67977"/>
    <w:rsid w:val="00E7558B"/>
    <w:rsid w:val="00E76BA1"/>
    <w:rsid w:val="00E7797D"/>
    <w:rsid w:val="00E81A08"/>
    <w:rsid w:val="00E81CF3"/>
    <w:rsid w:val="00E8592F"/>
    <w:rsid w:val="00E869AB"/>
    <w:rsid w:val="00E87F4D"/>
    <w:rsid w:val="00E87FF5"/>
    <w:rsid w:val="00E90762"/>
    <w:rsid w:val="00E91548"/>
    <w:rsid w:val="00E924E4"/>
    <w:rsid w:val="00E94F7F"/>
    <w:rsid w:val="00E95947"/>
    <w:rsid w:val="00E95D7B"/>
    <w:rsid w:val="00E97ECF"/>
    <w:rsid w:val="00EA05DD"/>
    <w:rsid w:val="00EA1FC3"/>
    <w:rsid w:val="00EA38CB"/>
    <w:rsid w:val="00EA4EAA"/>
    <w:rsid w:val="00EA777F"/>
    <w:rsid w:val="00EB1231"/>
    <w:rsid w:val="00EB1A6E"/>
    <w:rsid w:val="00EB2568"/>
    <w:rsid w:val="00EB25FA"/>
    <w:rsid w:val="00EB57EC"/>
    <w:rsid w:val="00EB5906"/>
    <w:rsid w:val="00EC2159"/>
    <w:rsid w:val="00EC6EBC"/>
    <w:rsid w:val="00ED17BF"/>
    <w:rsid w:val="00ED20ED"/>
    <w:rsid w:val="00ED242F"/>
    <w:rsid w:val="00ED2F08"/>
    <w:rsid w:val="00ED4817"/>
    <w:rsid w:val="00ED7CC8"/>
    <w:rsid w:val="00EF12DB"/>
    <w:rsid w:val="00EF47D2"/>
    <w:rsid w:val="00EF54B8"/>
    <w:rsid w:val="00EF674D"/>
    <w:rsid w:val="00F00BB1"/>
    <w:rsid w:val="00F01B3B"/>
    <w:rsid w:val="00F06745"/>
    <w:rsid w:val="00F10567"/>
    <w:rsid w:val="00F11B85"/>
    <w:rsid w:val="00F11F44"/>
    <w:rsid w:val="00F1371C"/>
    <w:rsid w:val="00F1585A"/>
    <w:rsid w:val="00F17248"/>
    <w:rsid w:val="00F21B11"/>
    <w:rsid w:val="00F2294C"/>
    <w:rsid w:val="00F234C2"/>
    <w:rsid w:val="00F25736"/>
    <w:rsid w:val="00F25B05"/>
    <w:rsid w:val="00F25B51"/>
    <w:rsid w:val="00F25F18"/>
    <w:rsid w:val="00F26A45"/>
    <w:rsid w:val="00F27B2B"/>
    <w:rsid w:val="00F32C89"/>
    <w:rsid w:val="00F32E4C"/>
    <w:rsid w:val="00F40E77"/>
    <w:rsid w:val="00F411BD"/>
    <w:rsid w:val="00F43FAA"/>
    <w:rsid w:val="00F45354"/>
    <w:rsid w:val="00F46069"/>
    <w:rsid w:val="00F5151C"/>
    <w:rsid w:val="00F52F5B"/>
    <w:rsid w:val="00F5556F"/>
    <w:rsid w:val="00F63D93"/>
    <w:rsid w:val="00F6481F"/>
    <w:rsid w:val="00F66D1E"/>
    <w:rsid w:val="00F6774F"/>
    <w:rsid w:val="00F726CE"/>
    <w:rsid w:val="00F726ED"/>
    <w:rsid w:val="00F76F09"/>
    <w:rsid w:val="00F83714"/>
    <w:rsid w:val="00F84038"/>
    <w:rsid w:val="00F8484B"/>
    <w:rsid w:val="00F864E3"/>
    <w:rsid w:val="00F9195B"/>
    <w:rsid w:val="00F96CED"/>
    <w:rsid w:val="00FA01AD"/>
    <w:rsid w:val="00FA2800"/>
    <w:rsid w:val="00FA2954"/>
    <w:rsid w:val="00FA3677"/>
    <w:rsid w:val="00FB177A"/>
    <w:rsid w:val="00FB369C"/>
    <w:rsid w:val="00FB58AB"/>
    <w:rsid w:val="00FC0450"/>
    <w:rsid w:val="00FC1380"/>
    <w:rsid w:val="00FC4E35"/>
    <w:rsid w:val="00FD0DC5"/>
    <w:rsid w:val="00FD19EE"/>
    <w:rsid w:val="00FD29D6"/>
    <w:rsid w:val="00FD6901"/>
    <w:rsid w:val="00FD7625"/>
    <w:rsid w:val="00FF193B"/>
    <w:rsid w:val="00FF2CBF"/>
    <w:rsid w:val="00FF43B0"/>
    <w:rsid w:val="00FF637C"/>
    <w:rsid w:val="00FF7E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A99"/>
    <w:pPr>
      <w:spacing w:line="240" w:lineRule="auto"/>
    </w:pPr>
    <w:rPr>
      <w:rFonts w:ascii="Segoe UI" w:hAnsi="Segoe UI" w:cs="Segoe UI"/>
      <w:sz w:val="24"/>
      <w:szCs w:val="24"/>
    </w:rPr>
  </w:style>
  <w:style w:type="paragraph" w:styleId="Heading1">
    <w:name w:val="heading 1"/>
    <w:basedOn w:val="NormalWeb"/>
    <w:next w:val="Normal"/>
    <w:link w:val="Heading1Char"/>
    <w:uiPriority w:val="9"/>
    <w:qFormat/>
    <w:rsid w:val="00C63A96"/>
    <w:pPr>
      <w:spacing w:before="240" w:beforeAutospacing="0" w:after="200" w:afterAutospacing="0"/>
      <w:outlineLvl w:val="0"/>
    </w:pPr>
    <w:rPr>
      <w:rFonts w:ascii="Arial" w:eastAsia="Segoe UI" w:hAnsi="Arial" w:cs="Arial"/>
      <w:color w:val="193A68"/>
      <w:kern w:val="24"/>
      <w:sz w:val="56"/>
      <w:szCs w:val="56"/>
    </w:rPr>
  </w:style>
  <w:style w:type="paragraph" w:styleId="Heading2">
    <w:name w:val="heading 2"/>
    <w:basedOn w:val="Heading1"/>
    <w:next w:val="Normal"/>
    <w:link w:val="Heading2Char"/>
    <w:uiPriority w:val="9"/>
    <w:unhideWhenUsed/>
    <w:qFormat/>
    <w:rsid w:val="00C63A96"/>
    <w:pPr>
      <w:outlineLvl w:val="1"/>
    </w:pPr>
    <w:rPr>
      <w:noProof/>
      <w:color w:val="365F91" w:themeColor="accent1" w:themeShade="BF"/>
      <w:sz w:val="44"/>
      <w:szCs w:val="44"/>
    </w:rPr>
  </w:style>
  <w:style w:type="paragraph" w:styleId="Heading3">
    <w:name w:val="heading 3"/>
    <w:basedOn w:val="Heading2"/>
    <w:next w:val="Normal"/>
    <w:link w:val="Heading3Char"/>
    <w:uiPriority w:val="9"/>
    <w:unhideWhenUsed/>
    <w:qFormat/>
    <w:rsid w:val="00E76BA1"/>
    <w:pPr>
      <w:outlineLvl w:val="2"/>
    </w:pPr>
    <w:rPr>
      <w:color w:val="006699"/>
      <w:sz w:val="36"/>
      <w:szCs w:val="36"/>
    </w:rPr>
  </w:style>
  <w:style w:type="paragraph" w:styleId="Heading4">
    <w:name w:val="heading 4"/>
    <w:basedOn w:val="Heading3"/>
    <w:next w:val="Normal"/>
    <w:link w:val="Heading4Char"/>
    <w:uiPriority w:val="9"/>
    <w:unhideWhenUsed/>
    <w:qFormat/>
    <w:rsid w:val="0073125D"/>
    <w:pPr>
      <w:outlineLvl w:val="3"/>
    </w:pPr>
    <w:rPr>
      <w:color w:val="003366"/>
    </w:rPr>
  </w:style>
  <w:style w:type="paragraph" w:styleId="Heading5">
    <w:name w:val="heading 5"/>
    <w:basedOn w:val="Heading4"/>
    <w:next w:val="Normal"/>
    <w:link w:val="Heading5Char"/>
    <w:uiPriority w:val="9"/>
    <w:unhideWhenUsed/>
    <w:qFormat/>
    <w:rsid w:val="0073125D"/>
    <w:pPr>
      <w:outlineLvl w:val="4"/>
    </w:pPr>
    <w:rPr>
      <w:color w:val="365F91" w:themeColor="accent1" w:themeShade="BF"/>
      <w:sz w:val="32"/>
      <w:szCs w:val="32"/>
    </w:rPr>
  </w:style>
  <w:style w:type="paragraph" w:styleId="Heading6">
    <w:name w:val="heading 6"/>
    <w:basedOn w:val="Normal"/>
    <w:next w:val="Normal"/>
    <w:link w:val="Heading6Char"/>
    <w:uiPriority w:val="9"/>
    <w:unhideWhenUsed/>
    <w:qFormat/>
    <w:rsid w:val="00D1665A"/>
    <w:pPr>
      <w:outlineLvl w:val="5"/>
    </w:pPr>
    <w:rPr>
      <w:rFonts w:ascii="Arial" w:hAnsi="Arial" w:cs="Arial"/>
      <w:color w:val="006699"/>
      <w:sz w:val="28"/>
      <w:szCs w:val="28"/>
    </w:rPr>
  </w:style>
  <w:style w:type="paragraph" w:styleId="Heading7">
    <w:name w:val="heading 7"/>
    <w:basedOn w:val="Normal"/>
    <w:next w:val="Normal"/>
    <w:link w:val="Heading7Char"/>
    <w:uiPriority w:val="9"/>
    <w:unhideWhenUsed/>
    <w:qFormat/>
    <w:rsid w:val="0073125D"/>
    <w:pPr>
      <w:outlineLvl w:val="6"/>
    </w:pPr>
    <w:rPr>
      <w:rFonts w:ascii="Arial" w:hAnsi="Arial" w:cs="Arial"/>
      <w:color w:val="193A68"/>
    </w:rPr>
  </w:style>
  <w:style w:type="paragraph" w:styleId="Heading8">
    <w:name w:val="heading 8"/>
    <w:basedOn w:val="Normal"/>
    <w:next w:val="Normal"/>
    <w:link w:val="Heading8Char"/>
    <w:uiPriority w:val="9"/>
    <w:unhideWhenUsed/>
    <w:qFormat/>
    <w:rsid w:val="000467E5"/>
    <w:pPr>
      <w:suppressAutoHyphens/>
      <w:autoSpaceDE w:val="0"/>
      <w:autoSpaceDN w:val="0"/>
      <w:adjustRightInd w:val="0"/>
      <w:spacing w:before="142" w:line="288" w:lineRule="auto"/>
      <w:textAlignment w:val="center"/>
      <w:outlineLvl w:val="7"/>
    </w:pPr>
    <w:rPr>
      <w:rFonts w:ascii="Arial" w:hAnsi="Arial" w:cs="Arial"/>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1B14"/>
    <w:pPr>
      <w:spacing w:before="100" w:beforeAutospacing="1" w:after="100" w:afterAutospacing="1"/>
    </w:pPr>
    <w:rPr>
      <w:rFonts w:ascii="Times New Roman" w:eastAsiaTheme="minorEastAsia" w:hAnsi="Times New Roman" w:cs="Times New Roman"/>
      <w:lang w:eastAsia="en-AU"/>
    </w:rPr>
  </w:style>
  <w:style w:type="character" w:customStyle="1" w:styleId="Heading1Char">
    <w:name w:val="Heading 1 Char"/>
    <w:basedOn w:val="DefaultParagraphFont"/>
    <w:link w:val="Heading1"/>
    <w:uiPriority w:val="9"/>
    <w:rsid w:val="00C63A96"/>
    <w:rPr>
      <w:rFonts w:ascii="Arial" w:eastAsia="Segoe UI" w:hAnsi="Arial" w:cs="Arial"/>
      <w:color w:val="193A68"/>
      <w:kern w:val="24"/>
      <w:sz w:val="56"/>
      <w:szCs w:val="56"/>
      <w:lang w:eastAsia="en-AU"/>
    </w:rPr>
  </w:style>
  <w:style w:type="character" w:customStyle="1" w:styleId="Heading2Char">
    <w:name w:val="Heading 2 Char"/>
    <w:basedOn w:val="DefaultParagraphFont"/>
    <w:link w:val="Heading2"/>
    <w:uiPriority w:val="9"/>
    <w:rsid w:val="00C63A96"/>
    <w:rPr>
      <w:rFonts w:ascii="Arial" w:eastAsia="Segoe UI" w:hAnsi="Arial" w:cs="Arial"/>
      <w:noProof/>
      <w:color w:val="365F91" w:themeColor="accent1" w:themeShade="BF"/>
      <w:kern w:val="24"/>
      <w:sz w:val="44"/>
      <w:szCs w:val="44"/>
      <w:lang w:eastAsia="en-AU"/>
    </w:rPr>
  </w:style>
  <w:style w:type="character" w:customStyle="1" w:styleId="Heading3Char">
    <w:name w:val="Heading 3 Char"/>
    <w:basedOn w:val="DefaultParagraphFont"/>
    <w:link w:val="Heading3"/>
    <w:uiPriority w:val="9"/>
    <w:rsid w:val="00E76BA1"/>
    <w:rPr>
      <w:rFonts w:ascii="Arial" w:eastAsia="Segoe UI" w:hAnsi="Arial" w:cs="Arial"/>
      <w:color w:val="006699"/>
      <w:kern w:val="24"/>
      <w:sz w:val="36"/>
      <w:szCs w:val="36"/>
      <w:lang w:eastAsia="en-AU"/>
    </w:rPr>
  </w:style>
  <w:style w:type="character" w:customStyle="1" w:styleId="Heading4Char">
    <w:name w:val="Heading 4 Char"/>
    <w:basedOn w:val="DefaultParagraphFont"/>
    <w:link w:val="Heading4"/>
    <w:uiPriority w:val="9"/>
    <w:rsid w:val="0073125D"/>
    <w:rPr>
      <w:rFonts w:ascii="Arial" w:eastAsia="Segoe UI" w:hAnsi="Arial" w:cs="Arial"/>
      <w:color w:val="003366"/>
      <w:kern w:val="24"/>
      <w:sz w:val="36"/>
      <w:szCs w:val="36"/>
      <w:lang w:eastAsia="en-AU"/>
    </w:rPr>
  </w:style>
  <w:style w:type="character" w:customStyle="1" w:styleId="Heading5Char">
    <w:name w:val="Heading 5 Char"/>
    <w:basedOn w:val="DefaultParagraphFont"/>
    <w:link w:val="Heading5"/>
    <w:uiPriority w:val="9"/>
    <w:rsid w:val="0073125D"/>
    <w:rPr>
      <w:rFonts w:ascii="Arial" w:eastAsia="Segoe UI" w:hAnsi="Arial" w:cs="Arial"/>
      <w:noProof/>
      <w:color w:val="365F91" w:themeColor="accent1" w:themeShade="BF"/>
      <w:kern w:val="24"/>
      <w:sz w:val="32"/>
      <w:szCs w:val="32"/>
      <w:lang w:eastAsia="en-AU"/>
    </w:rPr>
  </w:style>
  <w:style w:type="character" w:customStyle="1" w:styleId="Heading6Char">
    <w:name w:val="Heading 6 Char"/>
    <w:basedOn w:val="DefaultParagraphFont"/>
    <w:link w:val="Heading6"/>
    <w:uiPriority w:val="9"/>
    <w:rsid w:val="00D1665A"/>
    <w:rPr>
      <w:rFonts w:ascii="Arial" w:hAnsi="Arial" w:cs="Arial"/>
      <w:color w:val="006699"/>
      <w:sz w:val="28"/>
      <w:szCs w:val="28"/>
    </w:rPr>
  </w:style>
  <w:style w:type="character" w:customStyle="1" w:styleId="Heading7Char">
    <w:name w:val="Heading 7 Char"/>
    <w:basedOn w:val="DefaultParagraphFont"/>
    <w:link w:val="Heading7"/>
    <w:uiPriority w:val="9"/>
    <w:rsid w:val="0073125D"/>
    <w:rPr>
      <w:rFonts w:ascii="Arial" w:hAnsi="Arial" w:cs="Arial"/>
      <w:color w:val="193A68"/>
      <w:sz w:val="24"/>
      <w:szCs w:val="24"/>
    </w:rPr>
  </w:style>
  <w:style w:type="character" w:customStyle="1" w:styleId="Heading8Char">
    <w:name w:val="Heading 8 Char"/>
    <w:basedOn w:val="DefaultParagraphFont"/>
    <w:link w:val="Heading8"/>
    <w:uiPriority w:val="9"/>
    <w:rsid w:val="000467E5"/>
    <w:rPr>
      <w:rFonts w:ascii="Arial" w:hAnsi="Arial" w:cs="Arial"/>
      <w:b/>
      <w:bCs/>
      <w:color w:val="000000"/>
      <w:sz w:val="24"/>
      <w:szCs w:val="24"/>
      <w:lang w:val="en-US"/>
    </w:rPr>
  </w:style>
  <w:style w:type="paragraph" w:styleId="Subtitle">
    <w:name w:val="Subtitle"/>
    <w:aliases w:val="List No Bullets"/>
    <w:basedOn w:val="Normal"/>
    <w:next w:val="Normal"/>
    <w:link w:val="SubtitleChar"/>
    <w:uiPriority w:val="11"/>
    <w:qFormat/>
    <w:rsid w:val="00086A10"/>
    <w:pPr>
      <w:spacing w:after="0"/>
    </w:pPr>
  </w:style>
  <w:style w:type="character" w:customStyle="1" w:styleId="SubtitleChar">
    <w:name w:val="Subtitle Char"/>
    <w:aliases w:val="List No Bullets Char"/>
    <w:basedOn w:val="DefaultParagraphFont"/>
    <w:link w:val="Subtitle"/>
    <w:uiPriority w:val="11"/>
    <w:rsid w:val="00086A10"/>
    <w:rPr>
      <w:rFonts w:ascii="Arial" w:hAnsi="Arial" w:cs="Arial"/>
      <w:sz w:val="24"/>
      <w:szCs w:val="24"/>
    </w:rPr>
  </w:style>
  <w:style w:type="paragraph" w:styleId="BalloonText">
    <w:name w:val="Balloon Text"/>
    <w:basedOn w:val="Normal"/>
    <w:link w:val="BalloonTextChar"/>
    <w:uiPriority w:val="99"/>
    <w:semiHidden/>
    <w:unhideWhenUsed/>
    <w:rsid w:val="00B71C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CD3"/>
    <w:rPr>
      <w:rFonts w:ascii="Tahoma" w:hAnsi="Tahoma" w:cs="Tahoma"/>
      <w:sz w:val="16"/>
      <w:szCs w:val="16"/>
    </w:rPr>
  </w:style>
  <w:style w:type="paragraph" w:styleId="ListParagraph">
    <w:name w:val="List Paragraph"/>
    <w:basedOn w:val="Normal"/>
    <w:uiPriority w:val="34"/>
    <w:qFormat/>
    <w:rsid w:val="00316767"/>
    <w:pPr>
      <w:ind w:left="720"/>
      <w:contextualSpacing/>
    </w:pPr>
  </w:style>
  <w:style w:type="table" w:styleId="TableGrid">
    <w:name w:val="Table Grid"/>
    <w:basedOn w:val="TableNormal"/>
    <w:uiPriority w:val="59"/>
    <w:rsid w:val="008C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85984"/>
    <w:pPr>
      <w:tabs>
        <w:tab w:val="right" w:leader="dot" w:pos="10054"/>
      </w:tabs>
      <w:spacing w:after="100"/>
    </w:pPr>
    <w:rPr>
      <w:noProof/>
      <w:sz w:val="28"/>
    </w:rPr>
  </w:style>
  <w:style w:type="paragraph" w:styleId="TOC3">
    <w:name w:val="toc 3"/>
    <w:basedOn w:val="Normal"/>
    <w:next w:val="Normal"/>
    <w:autoRedefine/>
    <w:uiPriority w:val="39"/>
    <w:unhideWhenUsed/>
    <w:rsid w:val="00E242BE"/>
    <w:pPr>
      <w:spacing w:after="100"/>
      <w:ind w:left="480"/>
    </w:pPr>
  </w:style>
  <w:style w:type="paragraph" w:styleId="TOC4">
    <w:name w:val="toc 4"/>
    <w:basedOn w:val="Normal"/>
    <w:next w:val="Normal"/>
    <w:autoRedefine/>
    <w:uiPriority w:val="39"/>
    <w:unhideWhenUsed/>
    <w:rsid w:val="00E242BE"/>
    <w:pPr>
      <w:spacing w:after="100"/>
      <w:ind w:left="720"/>
    </w:pPr>
  </w:style>
  <w:style w:type="paragraph" w:styleId="TOC5">
    <w:name w:val="toc 5"/>
    <w:basedOn w:val="Normal"/>
    <w:next w:val="Normal"/>
    <w:autoRedefine/>
    <w:uiPriority w:val="39"/>
    <w:unhideWhenUsed/>
    <w:rsid w:val="00E242BE"/>
    <w:pPr>
      <w:spacing w:after="100"/>
      <w:ind w:left="960"/>
    </w:pPr>
  </w:style>
  <w:style w:type="paragraph" w:styleId="TOC2">
    <w:name w:val="toc 2"/>
    <w:basedOn w:val="Normal"/>
    <w:next w:val="Normal"/>
    <w:autoRedefine/>
    <w:uiPriority w:val="39"/>
    <w:unhideWhenUsed/>
    <w:rsid w:val="00CA37F8"/>
    <w:pPr>
      <w:tabs>
        <w:tab w:val="right" w:leader="dot" w:pos="10065"/>
      </w:tabs>
      <w:spacing w:after="100"/>
      <w:ind w:left="240"/>
    </w:pPr>
  </w:style>
  <w:style w:type="paragraph" w:styleId="TOC6">
    <w:name w:val="toc 6"/>
    <w:basedOn w:val="Normal"/>
    <w:next w:val="Normal"/>
    <w:autoRedefine/>
    <w:uiPriority w:val="39"/>
    <w:unhideWhenUsed/>
    <w:rsid w:val="00E242BE"/>
    <w:pPr>
      <w:spacing w:after="100"/>
      <w:ind w:left="1200"/>
    </w:pPr>
  </w:style>
  <w:style w:type="paragraph" w:styleId="NoSpacing">
    <w:name w:val="No Spacing"/>
    <w:uiPriority w:val="1"/>
    <w:qFormat/>
    <w:rsid w:val="00D75830"/>
    <w:pPr>
      <w:spacing w:after="0" w:line="240" w:lineRule="auto"/>
    </w:pPr>
  </w:style>
  <w:style w:type="paragraph" w:styleId="Header">
    <w:name w:val="header"/>
    <w:basedOn w:val="Normal"/>
    <w:link w:val="HeaderChar"/>
    <w:uiPriority w:val="99"/>
    <w:unhideWhenUsed/>
    <w:rsid w:val="00A022FE"/>
    <w:pPr>
      <w:tabs>
        <w:tab w:val="center" w:pos="4513"/>
        <w:tab w:val="right" w:pos="9026"/>
      </w:tabs>
      <w:spacing w:after="0"/>
    </w:pPr>
  </w:style>
  <w:style w:type="character" w:customStyle="1" w:styleId="HeaderChar">
    <w:name w:val="Header Char"/>
    <w:basedOn w:val="DefaultParagraphFont"/>
    <w:link w:val="Header"/>
    <w:uiPriority w:val="99"/>
    <w:rsid w:val="00A022FE"/>
    <w:rPr>
      <w:rFonts w:ascii="Arial" w:hAnsi="Arial" w:cs="Arial"/>
      <w:sz w:val="24"/>
      <w:szCs w:val="24"/>
    </w:rPr>
  </w:style>
  <w:style w:type="paragraph" w:styleId="Footer">
    <w:name w:val="footer"/>
    <w:basedOn w:val="Normal"/>
    <w:link w:val="FooterChar"/>
    <w:uiPriority w:val="99"/>
    <w:unhideWhenUsed/>
    <w:rsid w:val="00A022FE"/>
    <w:pPr>
      <w:tabs>
        <w:tab w:val="center" w:pos="4513"/>
        <w:tab w:val="right" w:pos="9026"/>
      </w:tabs>
      <w:spacing w:after="0"/>
    </w:pPr>
  </w:style>
  <w:style w:type="character" w:customStyle="1" w:styleId="FooterChar">
    <w:name w:val="Footer Char"/>
    <w:basedOn w:val="DefaultParagraphFont"/>
    <w:link w:val="Footer"/>
    <w:uiPriority w:val="99"/>
    <w:rsid w:val="00A022FE"/>
    <w:rPr>
      <w:rFonts w:ascii="Arial" w:hAnsi="Arial" w:cs="Arial"/>
      <w:sz w:val="24"/>
      <w:szCs w:val="24"/>
    </w:rPr>
  </w:style>
  <w:style w:type="paragraph" w:styleId="TOC7">
    <w:name w:val="toc 7"/>
    <w:basedOn w:val="Normal"/>
    <w:next w:val="Normal"/>
    <w:autoRedefine/>
    <w:uiPriority w:val="39"/>
    <w:unhideWhenUsed/>
    <w:rsid w:val="00822208"/>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822208"/>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822208"/>
    <w:pPr>
      <w:spacing w:after="100"/>
      <w:ind w:left="1760"/>
    </w:pPr>
    <w:rPr>
      <w:rFonts w:asciiTheme="minorHAnsi" w:eastAsiaTheme="minorEastAsia" w:hAnsiTheme="minorHAnsi" w:cstheme="minorBidi"/>
      <w:sz w:val="22"/>
      <w:szCs w:val="22"/>
      <w:lang w:eastAsia="en-AU"/>
    </w:rPr>
  </w:style>
  <w:style w:type="character" w:styleId="Hyperlink">
    <w:name w:val="Hyperlink"/>
    <w:basedOn w:val="DefaultParagraphFont"/>
    <w:uiPriority w:val="99"/>
    <w:unhideWhenUsed/>
    <w:rsid w:val="00822208"/>
    <w:rPr>
      <w:color w:val="0000FF" w:themeColor="hyperlink"/>
      <w:u w:val="single"/>
    </w:rPr>
  </w:style>
  <w:style w:type="character" w:styleId="CommentReference">
    <w:name w:val="annotation reference"/>
    <w:basedOn w:val="DefaultParagraphFont"/>
    <w:uiPriority w:val="99"/>
    <w:semiHidden/>
    <w:unhideWhenUsed/>
    <w:rsid w:val="00480BD1"/>
    <w:rPr>
      <w:sz w:val="16"/>
      <w:szCs w:val="16"/>
    </w:rPr>
  </w:style>
  <w:style w:type="paragraph" w:styleId="CommentText">
    <w:name w:val="annotation text"/>
    <w:basedOn w:val="Normal"/>
    <w:link w:val="CommentTextChar"/>
    <w:uiPriority w:val="99"/>
    <w:semiHidden/>
    <w:unhideWhenUsed/>
    <w:rsid w:val="00480BD1"/>
    <w:rPr>
      <w:sz w:val="20"/>
      <w:szCs w:val="20"/>
    </w:rPr>
  </w:style>
  <w:style w:type="character" w:customStyle="1" w:styleId="CommentTextChar">
    <w:name w:val="Comment Text Char"/>
    <w:basedOn w:val="DefaultParagraphFont"/>
    <w:link w:val="CommentText"/>
    <w:uiPriority w:val="99"/>
    <w:semiHidden/>
    <w:rsid w:val="00480BD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0BD1"/>
    <w:rPr>
      <w:b/>
      <w:bCs/>
    </w:rPr>
  </w:style>
  <w:style w:type="character" w:customStyle="1" w:styleId="CommentSubjectChar">
    <w:name w:val="Comment Subject Char"/>
    <w:basedOn w:val="CommentTextChar"/>
    <w:link w:val="CommentSubject"/>
    <w:uiPriority w:val="99"/>
    <w:semiHidden/>
    <w:rsid w:val="00480BD1"/>
    <w:rPr>
      <w:rFonts w:ascii="Arial" w:hAnsi="Arial" w:cs="Arial"/>
      <w:b/>
      <w:bCs/>
      <w:sz w:val="20"/>
      <w:szCs w:val="20"/>
    </w:rPr>
  </w:style>
  <w:style w:type="character" w:styleId="SubtleEmphasis">
    <w:name w:val="Subtle Emphasis"/>
    <w:basedOn w:val="DefaultParagraphFont"/>
    <w:uiPriority w:val="19"/>
    <w:qFormat/>
    <w:rsid w:val="00480BD1"/>
    <w:rPr>
      <w:i/>
      <w:iCs/>
      <w:color w:val="808080" w:themeColor="text1" w:themeTint="7F"/>
    </w:rPr>
  </w:style>
  <w:style w:type="character" w:styleId="Emphasis">
    <w:name w:val="Emphasis"/>
    <w:basedOn w:val="DefaultParagraphFont"/>
    <w:uiPriority w:val="20"/>
    <w:qFormat/>
    <w:rsid w:val="00480BD1"/>
    <w:rPr>
      <w:i/>
      <w:iCs/>
    </w:rPr>
  </w:style>
  <w:style w:type="character" w:styleId="FollowedHyperlink">
    <w:name w:val="FollowedHyperlink"/>
    <w:basedOn w:val="DefaultParagraphFont"/>
    <w:uiPriority w:val="99"/>
    <w:semiHidden/>
    <w:unhideWhenUsed/>
    <w:rsid w:val="00F25B05"/>
    <w:rPr>
      <w:color w:val="800080" w:themeColor="followedHyperlink"/>
      <w:u w:val="single"/>
    </w:rPr>
  </w:style>
  <w:style w:type="paragraph" w:customStyle="1" w:styleId="Default">
    <w:name w:val="Default"/>
    <w:rsid w:val="00742DCD"/>
    <w:pPr>
      <w:autoSpaceDE w:val="0"/>
      <w:autoSpaceDN w:val="0"/>
      <w:adjustRightInd w:val="0"/>
      <w:spacing w:after="0" w:line="240" w:lineRule="auto"/>
    </w:pPr>
    <w:rPr>
      <w:rFonts w:ascii="Arial" w:hAnsi="Arial" w:cs="Arial"/>
      <w:color w:val="000000"/>
      <w:sz w:val="24"/>
      <w:szCs w:val="24"/>
    </w:rPr>
  </w:style>
  <w:style w:type="paragraph" w:customStyle="1" w:styleId="BasicParagraph">
    <w:name w:val="[Basic Paragraph]"/>
    <w:basedOn w:val="Normal"/>
    <w:uiPriority w:val="99"/>
    <w:rsid w:val="004C729A"/>
    <w:pPr>
      <w:autoSpaceDE w:val="0"/>
      <w:autoSpaceDN w:val="0"/>
      <w:adjustRightInd w:val="0"/>
      <w:spacing w:line="288" w:lineRule="auto"/>
      <w:textAlignment w:val="center"/>
    </w:pPr>
    <w:rPr>
      <w:color w:val="000000"/>
      <w:lang w:val="en-US"/>
    </w:rPr>
  </w:style>
  <w:style w:type="character" w:customStyle="1" w:styleId="NormalText">
    <w:name w:val="Normal Text"/>
    <w:uiPriority w:val="99"/>
    <w:rsid w:val="004C729A"/>
    <w:rPr>
      <w:rFonts w:ascii="Segoe UI" w:hAnsi="Segoe UI" w:cs="Segoe UI"/>
      <w:color w:val="000000"/>
      <w:sz w:val="24"/>
      <w:szCs w:val="24"/>
    </w:rPr>
  </w:style>
  <w:style w:type="paragraph" w:customStyle="1" w:styleId="BasicParagraphSpaceBefore">
    <w:name w:val="Basic Paragraph Space Before"/>
    <w:basedOn w:val="Normal"/>
    <w:uiPriority w:val="99"/>
    <w:rsid w:val="00E90762"/>
    <w:pPr>
      <w:suppressAutoHyphens/>
      <w:autoSpaceDE w:val="0"/>
      <w:autoSpaceDN w:val="0"/>
      <w:adjustRightInd w:val="0"/>
      <w:spacing w:before="142" w:line="288" w:lineRule="auto"/>
      <w:textAlignment w:val="center"/>
    </w:pPr>
    <w:rPr>
      <w:color w:val="000000"/>
      <w:lang w:val="en-US"/>
    </w:rPr>
  </w:style>
  <w:style w:type="paragraph" w:customStyle="1" w:styleId="Bullets1">
    <w:name w:val="Bullets 1"/>
    <w:basedOn w:val="BasicParagraph"/>
    <w:uiPriority w:val="99"/>
    <w:rsid w:val="00D26B22"/>
    <w:pPr>
      <w:suppressAutoHyphens/>
      <w:spacing w:after="113"/>
      <w:ind w:left="500" w:hanging="180"/>
    </w:pPr>
  </w:style>
  <w:style w:type="paragraph" w:customStyle="1" w:styleId="NoParaSpacing">
    <w:name w:val="No Para Spacing"/>
    <w:basedOn w:val="Normal"/>
    <w:uiPriority w:val="99"/>
    <w:rsid w:val="00D26B22"/>
    <w:pPr>
      <w:suppressAutoHyphens/>
      <w:autoSpaceDE w:val="0"/>
      <w:autoSpaceDN w:val="0"/>
      <w:adjustRightInd w:val="0"/>
      <w:spacing w:after="0" w:line="288" w:lineRule="auto"/>
      <w:textAlignment w:val="center"/>
    </w:pPr>
    <w:rPr>
      <w:color w:val="000000"/>
      <w:lang w:val="en-US"/>
    </w:rPr>
  </w:style>
  <w:style w:type="paragraph" w:customStyle="1" w:styleId="Bullets2">
    <w:name w:val="Bullets 2"/>
    <w:basedOn w:val="Normal"/>
    <w:uiPriority w:val="99"/>
    <w:rsid w:val="00870B4F"/>
    <w:pPr>
      <w:suppressAutoHyphens/>
      <w:autoSpaceDE w:val="0"/>
      <w:autoSpaceDN w:val="0"/>
      <w:adjustRightInd w:val="0"/>
      <w:spacing w:after="113" w:line="288" w:lineRule="auto"/>
      <w:ind w:left="907" w:hanging="180"/>
      <w:textAlignment w:val="center"/>
    </w:pPr>
    <w:rPr>
      <w:color w:val="000000"/>
      <w:lang w:val="en-US"/>
    </w:rPr>
  </w:style>
  <w:style w:type="paragraph" w:customStyle="1" w:styleId="NoParagraphStyle">
    <w:name w:val="[No Paragraph Style]"/>
    <w:rsid w:val="00063101"/>
    <w:pPr>
      <w:autoSpaceDE w:val="0"/>
      <w:autoSpaceDN w:val="0"/>
      <w:adjustRightInd w:val="0"/>
      <w:spacing w:after="0" w:line="288" w:lineRule="auto"/>
      <w:textAlignment w:val="center"/>
    </w:pPr>
    <w:rPr>
      <w:rFonts w:ascii="Segoe UI" w:hAnsi="Segoe UI" w:cs="Segoe UI"/>
      <w:color w:val="000000"/>
      <w:sz w:val="24"/>
      <w:szCs w:val="24"/>
      <w:lang w:val="en-US"/>
    </w:rPr>
  </w:style>
  <w:style w:type="character" w:customStyle="1" w:styleId="Heading8-NotesFinancials">
    <w:name w:val="Heading 8 - Notes Financials"/>
    <w:basedOn w:val="NormalText"/>
    <w:uiPriority w:val="99"/>
    <w:rsid w:val="005D57E0"/>
    <w:rPr>
      <w:rFonts w:ascii="Arial" w:hAnsi="Arial" w:cs="Arial"/>
      <w:color w:val="193A67"/>
      <w:sz w:val="24"/>
      <w:szCs w:val="24"/>
      <w:lang w:val="en-GB"/>
    </w:rPr>
  </w:style>
  <w:style w:type="paragraph" w:customStyle="1" w:styleId="FinanceTableCellUnderlineAboveBelow">
    <w:name w:val="Finance Table Cell Underline Above Below"/>
    <w:basedOn w:val="Normal"/>
    <w:uiPriority w:val="99"/>
    <w:rsid w:val="008730DB"/>
    <w:pPr>
      <w:pBdr>
        <w:top w:val="single" w:sz="6" w:space="11" w:color="auto"/>
        <w:bottom w:val="single" w:sz="6" w:space="3" w:color="000000"/>
      </w:pBdr>
      <w:suppressAutoHyphens/>
      <w:autoSpaceDE w:val="0"/>
      <w:autoSpaceDN w:val="0"/>
      <w:adjustRightInd w:val="0"/>
      <w:spacing w:after="0" w:line="288" w:lineRule="auto"/>
      <w:jc w:val="right"/>
      <w:textAlignment w:val="center"/>
    </w:pPr>
    <w:rPr>
      <w:rFonts w:ascii="Segoe UI Semibold" w:hAnsi="Segoe UI Semibold" w:cs="Segoe UI Semibold"/>
      <w:color w:val="000000"/>
      <w:sz w:val="22"/>
      <w:szCs w:val="22"/>
      <w:lang w:val="en-US"/>
    </w:rPr>
  </w:style>
  <w:style w:type="paragraph" w:customStyle="1" w:styleId="FinanceTablesCellDoubleUnderline">
    <w:name w:val="Finance Tables Cell Double Underline"/>
    <w:basedOn w:val="Normal"/>
    <w:uiPriority w:val="99"/>
    <w:rsid w:val="008730DB"/>
    <w:pPr>
      <w:pBdr>
        <w:top w:val="single" w:sz="6" w:space="11" w:color="auto"/>
        <w:bottom w:val="double" w:sz="16" w:space="3" w:color="000000"/>
      </w:pBdr>
      <w:suppressAutoHyphens/>
      <w:autoSpaceDE w:val="0"/>
      <w:autoSpaceDN w:val="0"/>
      <w:adjustRightInd w:val="0"/>
      <w:spacing w:after="0" w:line="288" w:lineRule="auto"/>
      <w:jc w:val="right"/>
      <w:textAlignment w:val="center"/>
    </w:pPr>
    <w:rPr>
      <w:color w:val="000000"/>
      <w:sz w:val="22"/>
      <w:szCs w:val="22"/>
      <w:lang w:val="en-US"/>
    </w:rPr>
  </w:style>
  <w:style w:type="paragraph" w:customStyle="1" w:styleId="NumberedListHeading51">
    <w:name w:val="Numbered List Heading5 1."/>
    <w:basedOn w:val="NoParagraphStyle"/>
    <w:uiPriority w:val="99"/>
    <w:rsid w:val="008569E4"/>
    <w:pPr>
      <w:tabs>
        <w:tab w:val="left" w:pos="283"/>
        <w:tab w:val="left" w:pos="340"/>
      </w:tabs>
      <w:suppressAutoHyphens/>
      <w:spacing w:after="113"/>
      <w:ind w:left="283" w:hanging="283"/>
    </w:pPr>
    <w:rPr>
      <w:rFonts w:ascii="Arial" w:hAnsi="Arial" w:cs="Arial"/>
      <w:color w:val="193A67"/>
      <w:sz w:val="36"/>
      <w:szCs w:val="36"/>
    </w:rPr>
  </w:style>
  <w:style w:type="paragraph" w:customStyle="1" w:styleId="NumberedListHeading7Notesa">
    <w:name w:val="Numbered List Heading7 Notes a)"/>
    <w:basedOn w:val="NoParagraphStyle"/>
    <w:uiPriority w:val="99"/>
    <w:rsid w:val="008569E4"/>
    <w:pPr>
      <w:tabs>
        <w:tab w:val="left" w:pos="283"/>
        <w:tab w:val="left" w:pos="340"/>
      </w:tabs>
      <w:spacing w:after="113"/>
      <w:ind w:left="283" w:hanging="283"/>
    </w:pPr>
    <w:rPr>
      <w:rFonts w:ascii="Arial" w:hAnsi="Arial" w:cs="Arial"/>
      <w:b/>
      <w:bCs/>
      <w:color w:val="0E83AB"/>
      <w:sz w:val="28"/>
      <w:szCs w:val="28"/>
    </w:rPr>
  </w:style>
  <w:style w:type="character" w:customStyle="1" w:styleId="Heading5-NotesFinancials">
    <w:name w:val="Heading 5 - Notes Financials"/>
    <w:uiPriority w:val="99"/>
    <w:rsid w:val="008569E4"/>
    <w:rPr>
      <w:rFonts w:ascii="Arial" w:hAnsi="Arial" w:cs="Arial"/>
      <w:color w:val="193A67"/>
      <w:sz w:val="36"/>
      <w:szCs w:val="36"/>
    </w:rPr>
  </w:style>
  <w:style w:type="character" w:customStyle="1" w:styleId="Heading7-NotesFinancials">
    <w:name w:val="Heading 7 - Notes Financials"/>
    <w:uiPriority w:val="99"/>
    <w:rsid w:val="008569E4"/>
    <w:rPr>
      <w:rFonts w:ascii="Arial" w:hAnsi="Arial" w:cs="Arial"/>
      <w:b/>
      <w:bCs/>
      <w:color w:val="0E83AB"/>
      <w:sz w:val="28"/>
      <w:szCs w:val="28"/>
    </w:rPr>
  </w:style>
  <w:style w:type="paragraph" w:customStyle="1" w:styleId="NumberedListHeading8Notesi">
    <w:name w:val="Numbered List Heading8 Notes i"/>
    <w:basedOn w:val="NoParagraphStyle"/>
    <w:uiPriority w:val="99"/>
    <w:rsid w:val="005629B9"/>
    <w:pPr>
      <w:tabs>
        <w:tab w:val="left" w:pos="283"/>
        <w:tab w:val="left" w:pos="340"/>
      </w:tabs>
      <w:spacing w:after="113"/>
      <w:ind w:left="283" w:hanging="283"/>
    </w:pPr>
    <w:rPr>
      <w:rFonts w:ascii="Arial" w:hAnsi="Arial" w:cs="Arial"/>
      <w:color w:val="000075"/>
    </w:rPr>
  </w:style>
  <w:style w:type="paragraph" w:customStyle="1" w:styleId="NumberedListNormalTexta">
    <w:name w:val="Numbered List Normal Text (a)"/>
    <w:basedOn w:val="NoParagraphStyle"/>
    <w:uiPriority w:val="99"/>
    <w:rsid w:val="009A6187"/>
    <w:pPr>
      <w:tabs>
        <w:tab w:val="left" w:pos="283"/>
        <w:tab w:val="left" w:pos="340"/>
      </w:tabs>
      <w:suppressAutoHyphens/>
      <w:spacing w:after="113"/>
      <w:ind w:left="283" w:hanging="283"/>
    </w:pPr>
  </w:style>
  <w:style w:type="paragraph" w:customStyle="1" w:styleId="NoParaSpacingIndented05cm">
    <w:name w:val="No Para Spacing Indented 0.5cm"/>
    <w:basedOn w:val="NoParaSpacing"/>
    <w:uiPriority w:val="99"/>
    <w:rsid w:val="003B1CA5"/>
    <w:pPr>
      <w:ind w:left="283"/>
    </w:pPr>
  </w:style>
  <w:style w:type="paragraph" w:customStyle="1" w:styleId="HeadingParagraph1">
    <w:name w:val="Heading Paragraph 1"/>
    <w:basedOn w:val="NoParagraphStyle"/>
    <w:next w:val="BasicParagraph"/>
    <w:uiPriority w:val="99"/>
    <w:rsid w:val="00323D83"/>
    <w:pPr>
      <w:suppressAutoHyphens/>
      <w:spacing w:after="255"/>
    </w:pPr>
    <w:rPr>
      <w:rFonts w:ascii="Arial" w:hAnsi="Arial" w:cs="Arial"/>
      <w:sz w:val="72"/>
      <w:szCs w:val="72"/>
      <w:lang w:val="en-GB"/>
    </w:rPr>
  </w:style>
  <w:style w:type="paragraph" w:styleId="TOCHeading">
    <w:name w:val="TOC Heading"/>
    <w:basedOn w:val="Heading1"/>
    <w:next w:val="Normal"/>
    <w:uiPriority w:val="39"/>
    <w:unhideWhenUsed/>
    <w:qFormat/>
    <w:rsid w:val="006A0008"/>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A99"/>
    <w:pPr>
      <w:spacing w:line="240" w:lineRule="auto"/>
    </w:pPr>
    <w:rPr>
      <w:rFonts w:ascii="Segoe UI" w:hAnsi="Segoe UI" w:cs="Segoe UI"/>
      <w:sz w:val="24"/>
      <w:szCs w:val="24"/>
    </w:rPr>
  </w:style>
  <w:style w:type="paragraph" w:styleId="Heading1">
    <w:name w:val="heading 1"/>
    <w:basedOn w:val="NormalWeb"/>
    <w:next w:val="Normal"/>
    <w:link w:val="Heading1Char"/>
    <w:uiPriority w:val="9"/>
    <w:qFormat/>
    <w:rsid w:val="00C63A96"/>
    <w:pPr>
      <w:spacing w:before="240" w:beforeAutospacing="0" w:after="200" w:afterAutospacing="0"/>
      <w:outlineLvl w:val="0"/>
    </w:pPr>
    <w:rPr>
      <w:rFonts w:ascii="Arial" w:eastAsia="Segoe UI" w:hAnsi="Arial" w:cs="Arial"/>
      <w:color w:val="193A68"/>
      <w:kern w:val="24"/>
      <w:sz w:val="56"/>
      <w:szCs w:val="56"/>
    </w:rPr>
  </w:style>
  <w:style w:type="paragraph" w:styleId="Heading2">
    <w:name w:val="heading 2"/>
    <w:basedOn w:val="Heading1"/>
    <w:next w:val="Normal"/>
    <w:link w:val="Heading2Char"/>
    <w:uiPriority w:val="9"/>
    <w:unhideWhenUsed/>
    <w:qFormat/>
    <w:rsid w:val="00C63A96"/>
    <w:pPr>
      <w:outlineLvl w:val="1"/>
    </w:pPr>
    <w:rPr>
      <w:noProof/>
      <w:color w:val="365F91" w:themeColor="accent1" w:themeShade="BF"/>
      <w:sz w:val="44"/>
      <w:szCs w:val="44"/>
    </w:rPr>
  </w:style>
  <w:style w:type="paragraph" w:styleId="Heading3">
    <w:name w:val="heading 3"/>
    <w:basedOn w:val="Heading2"/>
    <w:next w:val="Normal"/>
    <w:link w:val="Heading3Char"/>
    <w:uiPriority w:val="9"/>
    <w:unhideWhenUsed/>
    <w:qFormat/>
    <w:rsid w:val="00E76BA1"/>
    <w:pPr>
      <w:outlineLvl w:val="2"/>
    </w:pPr>
    <w:rPr>
      <w:color w:val="006699"/>
      <w:sz w:val="36"/>
      <w:szCs w:val="36"/>
    </w:rPr>
  </w:style>
  <w:style w:type="paragraph" w:styleId="Heading4">
    <w:name w:val="heading 4"/>
    <w:basedOn w:val="Heading3"/>
    <w:next w:val="Normal"/>
    <w:link w:val="Heading4Char"/>
    <w:uiPriority w:val="9"/>
    <w:unhideWhenUsed/>
    <w:qFormat/>
    <w:rsid w:val="0073125D"/>
    <w:pPr>
      <w:outlineLvl w:val="3"/>
    </w:pPr>
    <w:rPr>
      <w:color w:val="003366"/>
    </w:rPr>
  </w:style>
  <w:style w:type="paragraph" w:styleId="Heading5">
    <w:name w:val="heading 5"/>
    <w:basedOn w:val="Heading4"/>
    <w:next w:val="Normal"/>
    <w:link w:val="Heading5Char"/>
    <w:uiPriority w:val="9"/>
    <w:unhideWhenUsed/>
    <w:qFormat/>
    <w:rsid w:val="0073125D"/>
    <w:pPr>
      <w:outlineLvl w:val="4"/>
    </w:pPr>
    <w:rPr>
      <w:color w:val="365F91" w:themeColor="accent1" w:themeShade="BF"/>
      <w:sz w:val="32"/>
      <w:szCs w:val="32"/>
    </w:rPr>
  </w:style>
  <w:style w:type="paragraph" w:styleId="Heading6">
    <w:name w:val="heading 6"/>
    <w:basedOn w:val="Normal"/>
    <w:next w:val="Normal"/>
    <w:link w:val="Heading6Char"/>
    <w:uiPriority w:val="9"/>
    <w:unhideWhenUsed/>
    <w:qFormat/>
    <w:rsid w:val="00D1665A"/>
    <w:pPr>
      <w:outlineLvl w:val="5"/>
    </w:pPr>
    <w:rPr>
      <w:rFonts w:ascii="Arial" w:hAnsi="Arial" w:cs="Arial"/>
      <w:color w:val="006699"/>
      <w:sz w:val="28"/>
      <w:szCs w:val="28"/>
    </w:rPr>
  </w:style>
  <w:style w:type="paragraph" w:styleId="Heading7">
    <w:name w:val="heading 7"/>
    <w:basedOn w:val="Normal"/>
    <w:next w:val="Normal"/>
    <w:link w:val="Heading7Char"/>
    <w:uiPriority w:val="9"/>
    <w:unhideWhenUsed/>
    <w:qFormat/>
    <w:rsid w:val="0073125D"/>
    <w:pPr>
      <w:outlineLvl w:val="6"/>
    </w:pPr>
    <w:rPr>
      <w:rFonts w:ascii="Arial" w:hAnsi="Arial" w:cs="Arial"/>
      <w:color w:val="193A68"/>
    </w:rPr>
  </w:style>
  <w:style w:type="paragraph" w:styleId="Heading8">
    <w:name w:val="heading 8"/>
    <w:basedOn w:val="Normal"/>
    <w:next w:val="Normal"/>
    <w:link w:val="Heading8Char"/>
    <w:uiPriority w:val="9"/>
    <w:unhideWhenUsed/>
    <w:qFormat/>
    <w:rsid w:val="000467E5"/>
    <w:pPr>
      <w:suppressAutoHyphens/>
      <w:autoSpaceDE w:val="0"/>
      <w:autoSpaceDN w:val="0"/>
      <w:adjustRightInd w:val="0"/>
      <w:spacing w:before="142" w:line="288" w:lineRule="auto"/>
      <w:textAlignment w:val="center"/>
      <w:outlineLvl w:val="7"/>
    </w:pPr>
    <w:rPr>
      <w:rFonts w:ascii="Arial" w:hAnsi="Arial" w:cs="Arial"/>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1B14"/>
    <w:pPr>
      <w:spacing w:before="100" w:beforeAutospacing="1" w:after="100" w:afterAutospacing="1"/>
    </w:pPr>
    <w:rPr>
      <w:rFonts w:ascii="Times New Roman" w:eastAsiaTheme="minorEastAsia" w:hAnsi="Times New Roman" w:cs="Times New Roman"/>
      <w:lang w:eastAsia="en-AU"/>
    </w:rPr>
  </w:style>
  <w:style w:type="character" w:customStyle="1" w:styleId="Heading1Char">
    <w:name w:val="Heading 1 Char"/>
    <w:basedOn w:val="DefaultParagraphFont"/>
    <w:link w:val="Heading1"/>
    <w:uiPriority w:val="9"/>
    <w:rsid w:val="00C63A96"/>
    <w:rPr>
      <w:rFonts w:ascii="Arial" w:eastAsia="Segoe UI" w:hAnsi="Arial" w:cs="Arial"/>
      <w:color w:val="193A68"/>
      <w:kern w:val="24"/>
      <w:sz w:val="56"/>
      <w:szCs w:val="56"/>
      <w:lang w:eastAsia="en-AU"/>
    </w:rPr>
  </w:style>
  <w:style w:type="character" w:customStyle="1" w:styleId="Heading2Char">
    <w:name w:val="Heading 2 Char"/>
    <w:basedOn w:val="DefaultParagraphFont"/>
    <w:link w:val="Heading2"/>
    <w:uiPriority w:val="9"/>
    <w:rsid w:val="00C63A96"/>
    <w:rPr>
      <w:rFonts w:ascii="Arial" w:eastAsia="Segoe UI" w:hAnsi="Arial" w:cs="Arial"/>
      <w:noProof/>
      <w:color w:val="365F91" w:themeColor="accent1" w:themeShade="BF"/>
      <w:kern w:val="24"/>
      <w:sz w:val="44"/>
      <w:szCs w:val="44"/>
      <w:lang w:eastAsia="en-AU"/>
    </w:rPr>
  </w:style>
  <w:style w:type="character" w:customStyle="1" w:styleId="Heading3Char">
    <w:name w:val="Heading 3 Char"/>
    <w:basedOn w:val="DefaultParagraphFont"/>
    <w:link w:val="Heading3"/>
    <w:uiPriority w:val="9"/>
    <w:rsid w:val="00E76BA1"/>
    <w:rPr>
      <w:rFonts w:ascii="Arial" w:eastAsia="Segoe UI" w:hAnsi="Arial" w:cs="Arial"/>
      <w:color w:val="006699"/>
      <w:kern w:val="24"/>
      <w:sz w:val="36"/>
      <w:szCs w:val="36"/>
      <w:lang w:eastAsia="en-AU"/>
    </w:rPr>
  </w:style>
  <w:style w:type="character" w:customStyle="1" w:styleId="Heading4Char">
    <w:name w:val="Heading 4 Char"/>
    <w:basedOn w:val="DefaultParagraphFont"/>
    <w:link w:val="Heading4"/>
    <w:uiPriority w:val="9"/>
    <w:rsid w:val="0073125D"/>
    <w:rPr>
      <w:rFonts w:ascii="Arial" w:eastAsia="Segoe UI" w:hAnsi="Arial" w:cs="Arial"/>
      <w:color w:val="003366"/>
      <w:kern w:val="24"/>
      <w:sz w:val="36"/>
      <w:szCs w:val="36"/>
      <w:lang w:eastAsia="en-AU"/>
    </w:rPr>
  </w:style>
  <w:style w:type="character" w:customStyle="1" w:styleId="Heading5Char">
    <w:name w:val="Heading 5 Char"/>
    <w:basedOn w:val="DefaultParagraphFont"/>
    <w:link w:val="Heading5"/>
    <w:uiPriority w:val="9"/>
    <w:rsid w:val="0073125D"/>
    <w:rPr>
      <w:rFonts w:ascii="Arial" w:eastAsia="Segoe UI" w:hAnsi="Arial" w:cs="Arial"/>
      <w:noProof/>
      <w:color w:val="365F91" w:themeColor="accent1" w:themeShade="BF"/>
      <w:kern w:val="24"/>
      <w:sz w:val="32"/>
      <w:szCs w:val="32"/>
      <w:lang w:eastAsia="en-AU"/>
    </w:rPr>
  </w:style>
  <w:style w:type="character" w:customStyle="1" w:styleId="Heading6Char">
    <w:name w:val="Heading 6 Char"/>
    <w:basedOn w:val="DefaultParagraphFont"/>
    <w:link w:val="Heading6"/>
    <w:uiPriority w:val="9"/>
    <w:rsid w:val="00D1665A"/>
    <w:rPr>
      <w:rFonts w:ascii="Arial" w:hAnsi="Arial" w:cs="Arial"/>
      <w:color w:val="006699"/>
      <w:sz w:val="28"/>
      <w:szCs w:val="28"/>
    </w:rPr>
  </w:style>
  <w:style w:type="character" w:customStyle="1" w:styleId="Heading7Char">
    <w:name w:val="Heading 7 Char"/>
    <w:basedOn w:val="DefaultParagraphFont"/>
    <w:link w:val="Heading7"/>
    <w:uiPriority w:val="9"/>
    <w:rsid w:val="0073125D"/>
    <w:rPr>
      <w:rFonts w:ascii="Arial" w:hAnsi="Arial" w:cs="Arial"/>
      <w:color w:val="193A68"/>
      <w:sz w:val="24"/>
      <w:szCs w:val="24"/>
    </w:rPr>
  </w:style>
  <w:style w:type="character" w:customStyle="1" w:styleId="Heading8Char">
    <w:name w:val="Heading 8 Char"/>
    <w:basedOn w:val="DefaultParagraphFont"/>
    <w:link w:val="Heading8"/>
    <w:uiPriority w:val="9"/>
    <w:rsid w:val="000467E5"/>
    <w:rPr>
      <w:rFonts w:ascii="Arial" w:hAnsi="Arial" w:cs="Arial"/>
      <w:b/>
      <w:bCs/>
      <w:color w:val="000000"/>
      <w:sz w:val="24"/>
      <w:szCs w:val="24"/>
      <w:lang w:val="en-US"/>
    </w:rPr>
  </w:style>
  <w:style w:type="paragraph" w:styleId="Subtitle">
    <w:name w:val="Subtitle"/>
    <w:aliases w:val="List No Bullets"/>
    <w:basedOn w:val="Normal"/>
    <w:next w:val="Normal"/>
    <w:link w:val="SubtitleChar"/>
    <w:uiPriority w:val="11"/>
    <w:qFormat/>
    <w:rsid w:val="00086A10"/>
    <w:pPr>
      <w:spacing w:after="0"/>
    </w:pPr>
  </w:style>
  <w:style w:type="character" w:customStyle="1" w:styleId="SubtitleChar">
    <w:name w:val="Subtitle Char"/>
    <w:aliases w:val="List No Bullets Char"/>
    <w:basedOn w:val="DefaultParagraphFont"/>
    <w:link w:val="Subtitle"/>
    <w:uiPriority w:val="11"/>
    <w:rsid w:val="00086A10"/>
    <w:rPr>
      <w:rFonts w:ascii="Arial" w:hAnsi="Arial" w:cs="Arial"/>
      <w:sz w:val="24"/>
      <w:szCs w:val="24"/>
    </w:rPr>
  </w:style>
  <w:style w:type="paragraph" w:styleId="BalloonText">
    <w:name w:val="Balloon Text"/>
    <w:basedOn w:val="Normal"/>
    <w:link w:val="BalloonTextChar"/>
    <w:uiPriority w:val="99"/>
    <w:semiHidden/>
    <w:unhideWhenUsed/>
    <w:rsid w:val="00B71C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CD3"/>
    <w:rPr>
      <w:rFonts w:ascii="Tahoma" w:hAnsi="Tahoma" w:cs="Tahoma"/>
      <w:sz w:val="16"/>
      <w:szCs w:val="16"/>
    </w:rPr>
  </w:style>
  <w:style w:type="paragraph" w:styleId="ListParagraph">
    <w:name w:val="List Paragraph"/>
    <w:basedOn w:val="Normal"/>
    <w:uiPriority w:val="34"/>
    <w:qFormat/>
    <w:rsid w:val="00316767"/>
    <w:pPr>
      <w:ind w:left="720"/>
      <w:contextualSpacing/>
    </w:pPr>
  </w:style>
  <w:style w:type="table" w:styleId="TableGrid">
    <w:name w:val="Table Grid"/>
    <w:basedOn w:val="TableNormal"/>
    <w:uiPriority w:val="59"/>
    <w:rsid w:val="008C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85984"/>
    <w:pPr>
      <w:tabs>
        <w:tab w:val="right" w:leader="dot" w:pos="10054"/>
      </w:tabs>
      <w:spacing w:after="100"/>
    </w:pPr>
    <w:rPr>
      <w:noProof/>
      <w:sz w:val="28"/>
    </w:rPr>
  </w:style>
  <w:style w:type="paragraph" w:styleId="TOC3">
    <w:name w:val="toc 3"/>
    <w:basedOn w:val="Normal"/>
    <w:next w:val="Normal"/>
    <w:autoRedefine/>
    <w:uiPriority w:val="39"/>
    <w:unhideWhenUsed/>
    <w:rsid w:val="00E242BE"/>
    <w:pPr>
      <w:spacing w:after="100"/>
      <w:ind w:left="480"/>
    </w:pPr>
  </w:style>
  <w:style w:type="paragraph" w:styleId="TOC4">
    <w:name w:val="toc 4"/>
    <w:basedOn w:val="Normal"/>
    <w:next w:val="Normal"/>
    <w:autoRedefine/>
    <w:uiPriority w:val="39"/>
    <w:unhideWhenUsed/>
    <w:rsid w:val="00E242BE"/>
    <w:pPr>
      <w:spacing w:after="100"/>
      <w:ind w:left="720"/>
    </w:pPr>
  </w:style>
  <w:style w:type="paragraph" w:styleId="TOC5">
    <w:name w:val="toc 5"/>
    <w:basedOn w:val="Normal"/>
    <w:next w:val="Normal"/>
    <w:autoRedefine/>
    <w:uiPriority w:val="39"/>
    <w:unhideWhenUsed/>
    <w:rsid w:val="00E242BE"/>
    <w:pPr>
      <w:spacing w:after="100"/>
      <w:ind w:left="960"/>
    </w:pPr>
  </w:style>
  <w:style w:type="paragraph" w:styleId="TOC2">
    <w:name w:val="toc 2"/>
    <w:basedOn w:val="Normal"/>
    <w:next w:val="Normal"/>
    <w:autoRedefine/>
    <w:uiPriority w:val="39"/>
    <w:unhideWhenUsed/>
    <w:rsid w:val="00CA37F8"/>
    <w:pPr>
      <w:tabs>
        <w:tab w:val="right" w:leader="dot" w:pos="10065"/>
      </w:tabs>
      <w:spacing w:after="100"/>
      <w:ind w:left="240"/>
    </w:pPr>
  </w:style>
  <w:style w:type="paragraph" w:styleId="TOC6">
    <w:name w:val="toc 6"/>
    <w:basedOn w:val="Normal"/>
    <w:next w:val="Normal"/>
    <w:autoRedefine/>
    <w:uiPriority w:val="39"/>
    <w:unhideWhenUsed/>
    <w:rsid w:val="00E242BE"/>
    <w:pPr>
      <w:spacing w:after="100"/>
      <w:ind w:left="1200"/>
    </w:pPr>
  </w:style>
  <w:style w:type="paragraph" w:styleId="NoSpacing">
    <w:name w:val="No Spacing"/>
    <w:uiPriority w:val="1"/>
    <w:qFormat/>
    <w:rsid w:val="00D75830"/>
    <w:pPr>
      <w:spacing w:after="0" w:line="240" w:lineRule="auto"/>
    </w:pPr>
  </w:style>
  <w:style w:type="paragraph" w:styleId="Header">
    <w:name w:val="header"/>
    <w:basedOn w:val="Normal"/>
    <w:link w:val="HeaderChar"/>
    <w:uiPriority w:val="99"/>
    <w:unhideWhenUsed/>
    <w:rsid w:val="00A022FE"/>
    <w:pPr>
      <w:tabs>
        <w:tab w:val="center" w:pos="4513"/>
        <w:tab w:val="right" w:pos="9026"/>
      </w:tabs>
      <w:spacing w:after="0"/>
    </w:pPr>
  </w:style>
  <w:style w:type="character" w:customStyle="1" w:styleId="HeaderChar">
    <w:name w:val="Header Char"/>
    <w:basedOn w:val="DefaultParagraphFont"/>
    <w:link w:val="Header"/>
    <w:uiPriority w:val="99"/>
    <w:rsid w:val="00A022FE"/>
    <w:rPr>
      <w:rFonts w:ascii="Arial" w:hAnsi="Arial" w:cs="Arial"/>
      <w:sz w:val="24"/>
      <w:szCs w:val="24"/>
    </w:rPr>
  </w:style>
  <w:style w:type="paragraph" w:styleId="Footer">
    <w:name w:val="footer"/>
    <w:basedOn w:val="Normal"/>
    <w:link w:val="FooterChar"/>
    <w:uiPriority w:val="99"/>
    <w:unhideWhenUsed/>
    <w:rsid w:val="00A022FE"/>
    <w:pPr>
      <w:tabs>
        <w:tab w:val="center" w:pos="4513"/>
        <w:tab w:val="right" w:pos="9026"/>
      </w:tabs>
      <w:spacing w:after="0"/>
    </w:pPr>
  </w:style>
  <w:style w:type="character" w:customStyle="1" w:styleId="FooterChar">
    <w:name w:val="Footer Char"/>
    <w:basedOn w:val="DefaultParagraphFont"/>
    <w:link w:val="Footer"/>
    <w:uiPriority w:val="99"/>
    <w:rsid w:val="00A022FE"/>
    <w:rPr>
      <w:rFonts w:ascii="Arial" w:hAnsi="Arial" w:cs="Arial"/>
      <w:sz w:val="24"/>
      <w:szCs w:val="24"/>
    </w:rPr>
  </w:style>
  <w:style w:type="paragraph" w:styleId="TOC7">
    <w:name w:val="toc 7"/>
    <w:basedOn w:val="Normal"/>
    <w:next w:val="Normal"/>
    <w:autoRedefine/>
    <w:uiPriority w:val="39"/>
    <w:unhideWhenUsed/>
    <w:rsid w:val="00822208"/>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822208"/>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822208"/>
    <w:pPr>
      <w:spacing w:after="100"/>
      <w:ind w:left="1760"/>
    </w:pPr>
    <w:rPr>
      <w:rFonts w:asciiTheme="minorHAnsi" w:eastAsiaTheme="minorEastAsia" w:hAnsiTheme="minorHAnsi" w:cstheme="minorBidi"/>
      <w:sz w:val="22"/>
      <w:szCs w:val="22"/>
      <w:lang w:eastAsia="en-AU"/>
    </w:rPr>
  </w:style>
  <w:style w:type="character" w:styleId="Hyperlink">
    <w:name w:val="Hyperlink"/>
    <w:basedOn w:val="DefaultParagraphFont"/>
    <w:uiPriority w:val="99"/>
    <w:unhideWhenUsed/>
    <w:rsid w:val="00822208"/>
    <w:rPr>
      <w:color w:val="0000FF" w:themeColor="hyperlink"/>
      <w:u w:val="single"/>
    </w:rPr>
  </w:style>
  <w:style w:type="character" w:styleId="CommentReference">
    <w:name w:val="annotation reference"/>
    <w:basedOn w:val="DefaultParagraphFont"/>
    <w:uiPriority w:val="99"/>
    <w:semiHidden/>
    <w:unhideWhenUsed/>
    <w:rsid w:val="00480BD1"/>
    <w:rPr>
      <w:sz w:val="16"/>
      <w:szCs w:val="16"/>
    </w:rPr>
  </w:style>
  <w:style w:type="paragraph" w:styleId="CommentText">
    <w:name w:val="annotation text"/>
    <w:basedOn w:val="Normal"/>
    <w:link w:val="CommentTextChar"/>
    <w:uiPriority w:val="99"/>
    <w:semiHidden/>
    <w:unhideWhenUsed/>
    <w:rsid w:val="00480BD1"/>
    <w:rPr>
      <w:sz w:val="20"/>
      <w:szCs w:val="20"/>
    </w:rPr>
  </w:style>
  <w:style w:type="character" w:customStyle="1" w:styleId="CommentTextChar">
    <w:name w:val="Comment Text Char"/>
    <w:basedOn w:val="DefaultParagraphFont"/>
    <w:link w:val="CommentText"/>
    <w:uiPriority w:val="99"/>
    <w:semiHidden/>
    <w:rsid w:val="00480BD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0BD1"/>
    <w:rPr>
      <w:b/>
      <w:bCs/>
    </w:rPr>
  </w:style>
  <w:style w:type="character" w:customStyle="1" w:styleId="CommentSubjectChar">
    <w:name w:val="Comment Subject Char"/>
    <w:basedOn w:val="CommentTextChar"/>
    <w:link w:val="CommentSubject"/>
    <w:uiPriority w:val="99"/>
    <w:semiHidden/>
    <w:rsid w:val="00480BD1"/>
    <w:rPr>
      <w:rFonts w:ascii="Arial" w:hAnsi="Arial" w:cs="Arial"/>
      <w:b/>
      <w:bCs/>
      <w:sz w:val="20"/>
      <w:szCs w:val="20"/>
    </w:rPr>
  </w:style>
  <w:style w:type="character" w:styleId="SubtleEmphasis">
    <w:name w:val="Subtle Emphasis"/>
    <w:basedOn w:val="DefaultParagraphFont"/>
    <w:uiPriority w:val="19"/>
    <w:qFormat/>
    <w:rsid w:val="00480BD1"/>
    <w:rPr>
      <w:i/>
      <w:iCs/>
      <w:color w:val="808080" w:themeColor="text1" w:themeTint="7F"/>
    </w:rPr>
  </w:style>
  <w:style w:type="character" w:styleId="Emphasis">
    <w:name w:val="Emphasis"/>
    <w:basedOn w:val="DefaultParagraphFont"/>
    <w:uiPriority w:val="20"/>
    <w:qFormat/>
    <w:rsid w:val="00480BD1"/>
    <w:rPr>
      <w:i/>
      <w:iCs/>
    </w:rPr>
  </w:style>
  <w:style w:type="character" w:styleId="FollowedHyperlink">
    <w:name w:val="FollowedHyperlink"/>
    <w:basedOn w:val="DefaultParagraphFont"/>
    <w:uiPriority w:val="99"/>
    <w:semiHidden/>
    <w:unhideWhenUsed/>
    <w:rsid w:val="00F25B05"/>
    <w:rPr>
      <w:color w:val="800080" w:themeColor="followedHyperlink"/>
      <w:u w:val="single"/>
    </w:rPr>
  </w:style>
  <w:style w:type="paragraph" w:customStyle="1" w:styleId="Default">
    <w:name w:val="Default"/>
    <w:rsid w:val="00742DCD"/>
    <w:pPr>
      <w:autoSpaceDE w:val="0"/>
      <w:autoSpaceDN w:val="0"/>
      <w:adjustRightInd w:val="0"/>
      <w:spacing w:after="0" w:line="240" w:lineRule="auto"/>
    </w:pPr>
    <w:rPr>
      <w:rFonts w:ascii="Arial" w:hAnsi="Arial" w:cs="Arial"/>
      <w:color w:val="000000"/>
      <w:sz w:val="24"/>
      <w:szCs w:val="24"/>
    </w:rPr>
  </w:style>
  <w:style w:type="paragraph" w:customStyle="1" w:styleId="BasicParagraph">
    <w:name w:val="[Basic Paragraph]"/>
    <w:basedOn w:val="Normal"/>
    <w:uiPriority w:val="99"/>
    <w:rsid w:val="004C729A"/>
    <w:pPr>
      <w:autoSpaceDE w:val="0"/>
      <w:autoSpaceDN w:val="0"/>
      <w:adjustRightInd w:val="0"/>
      <w:spacing w:line="288" w:lineRule="auto"/>
      <w:textAlignment w:val="center"/>
    </w:pPr>
    <w:rPr>
      <w:color w:val="000000"/>
      <w:lang w:val="en-US"/>
    </w:rPr>
  </w:style>
  <w:style w:type="character" w:customStyle="1" w:styleId="NormalText">
    <w:name w:val="Normal Text"/>
    <w:uiPriority w:val="99"/>
    <w:rsid w:val="004C729A"/>
    <w:rPr>
      <w:rFonts w:ascii="Segoe UI" w:hAnsi="Segoe UI" w:cs="Segoe UI"/>
      <w:color w:val="000000"/>
      <w:sz w:val="24"/>
      <w:szCs w:val="24"/>
    </w:rPr>
  </w:style>
  <w:style w:type="paragraph" w:customStyle="1" w:styleId="BasicParagraphSpaceBefore">
    <w:name w:val="Basic Paragraph Space Before"/>
    <w:basedOn w:val="Normal"/>
    <w:uiPriority w:val="99"/>
    <w:rsid w:val="00E90762"/>
    <w:pPr>
      <w:suppressAutoHyphens/>
      <w:autoSpaceDE w:val="0"/>
      <w:autoSpaceDN w:val="0"/>
      <w:adjustRightInd w:val="0"/>
      <w:spacing w:before="142" w:line="288" w:lineRule="auto"/>
      <w:textAlignment w:val="center"/>
    </w:pPr>
    <w:rPr>
      <w:color w:val="000000"/>
      <w:lang w:val="en-US"/>
    </w:rPr>
  </w:style>
  <w:style w:type="paragraph" w:customStyle="1" w:styleId="Bullets1">
    <w:name w:val="Bullets 1"/>
    <w:basedOn w:val="BasicParagraph"/>
    <w:uiPriority w:val="99"/>
    <w:rsid w:val="00D26B22"/>
    <w:pPr>
      <w:suppressAutoHyphens/>
      <w:spacing w:after="113"/>
      <w:ind w:left="500" w:hanging="180"/>
    </w:pPr>
  </w:style>
  <w:style w:type="paragraph" w:customStyle="1" w:styleId="NoParaSpacing">
    <w:name w:val="No Para Spacing"/>
    <w:basedOn w:val="Normal"/>
    <w:uiPriority w:val="99"/>
    <w:rsid w:val="00D26B22"/>
    <w:pPr>
      <w:suppressAutoHyphens/>
      <w:autoSpaceDE w:val="0"/>
      <w:autoSpaceDN w:val="0"/>
      <w:adjustRightInd w:val="0"/>
      <w:spacing w:after="0" w:line="288" w:lineRule="auto"/>
      <w:textAlignment w:val="center"/>
    </w:pPr>
    <w:rPr>
      <w:color w:val="000000"/>
      <w:lang w:val="en-US"/>
    </w:rPr>
  </w:style>
  <w:style w:type="paragraph" w:customStyle="1" w:styleId="Bullets2">
    <w:name w:val="Bullets 2"/>
    <w:basedOn w:val="Normal"/>
    <w:uiPriority w:val="99"/>
    <w:rsid w:val="00870B4F"/>
    <w:pPr>
      <w:suppressAutoHyphens/>
      <w:autoSpaceDE w:val="0"/>
      <w:autoSpaceDN w:val="0"/>
      <w:adjustRightInd w:val="0"/>
      <w:spacing w:after="113" w:line="288" w:lineRule="auto"/>
      <w:ind w:left="907" w:hanging="180"/>
      <w:textAlignment w:val="center"/>
    </w:pPr>
    <w:rPr>
      <w:color w:val="000000"/>
      <w:lang w:val="en-US"/>
    </w:rPr>
  </w:style>
  <w:style w:type="paragraph" w:customStyle="1" w:styleId="NoParagraphStyle">
    <w:name w:val="[No Paragraph Style]"/>
    <w:rsid w:val="00063101"/>
    <w:pPr>
      <w:autoSpaceDE w:val="0"/>
      <w:autoSpaceDN w:val="0"/>
      <w:adjustRightInd w:val="0"/>
      <w:spacing w:after="0" w:line="288" w:lineRule="auto"/>
      <w:textAlignment w:val="center"/>
    </w:pPr>
    <w:rPr>
      <w:rFonts w:ascii="Segoe UI" w:hAnsi="Segoe UI" w:cs="Segoe UI"/>
      <w:color w:val="000000"/>
      <w:sz w:val="24"/>
      <w:szCs w:val="24"/>
      <w:lang w:val="en-US"/>
    </w:rPr>
  </w:style>
  <w:style w:type="character" w:customStyle="1" w:styleId="Heading8-NotesFinancials">
    <w:name w:val="Heading 8 - Notes Financials"/>
    <w:basedOn w:val="NormalText"/>
    <w:uiPriority w:val="99"/>
    <w:rsid w:val="005D57E0"/>
    <w:rPr>
      <w:rFonts w:ascii="Arial" w:hAnsi="Arial" w:cs="Arial"/>
      <w:color w:val="193A67"/>
      <w:sz w:val="24"/>
      <w:szCs w:val="24"/>
      <w:lang w:val="en-GB"/>
    </w:rPr>
  </w:style>
  <w:style w:type="paragraph" w:customStyle="1" w:styleId="FinanceTableCellUnderlineAboveBelow">
    <w:name w:val="Finance Table Cell Underline Above Below"/>
    <w:basedOn w:val="Normal"/>
    <w:uiPriority w:val="99"/>
    <w:rsid w:val="008730DB"/>
    <w:pPr>
      <w:pBdr>
        <w:top w:val="single" w:sz="6" w:space="11" w:color="auto"/>
        <w:bottom w:val="single" w:sz="6" w:space="3" w:color="000000"/>
      </w:pBdr>
      <w:suppressAutoHyphens/>
      <w:autoSpaceDE w:val="0"/>
      <w:autoSpaceDN w:val="0"/>
      <w:adjustRightInd w:val="0"/>
      <w:spacing w:after="0" w:line="288" w:lineRule="auto"/>
      <w:jc w:val="right"/>
      <w:textAlignment w:val="center"/>
    </w:pPr>
    <w:rPr>
      <w:rFonts w:ascii="Segoe UI Semibold" w:hAnsi="Segoe UI Semibold" w:cs="Segoe UI Semibold"/>
      <w:color w:val="000000"/>
      <w:sz w:val="22"/>
      <w:szCs w:val="22"/>
      <w:lang w:val="en-US"/>
    </w:rPr>
  </w:style>
  <w:style w:type="paragraph" w:customStyle="1" w:styleId="FinanceTablesCellDoubleUnderline">
    <w:name w:val="Finance Tables Cell Double Underline"/>
    <w:basedOn w:val="Normal"/>
    <w:uiPriority w:val="99"/>
    <w:rsid w:val="008730DB"/>
    <w:pPr>
      <w:pBdr>
        <w:top w:val="single" w:sz="6" w:space="11" w:color="auto"/>
        <w:bottom w:val="double" w:sz="16" w:space="3" w:color="000000"/>
      </w:pBdr>
      <w:suppressAutoHyphens/>
      <w:autoSpaceDE w:val="0"/>
      <w:autoSpaceDN w:val="0"/>
      <w:adjustRightInd w:val="0"/>
      <w:spacing w:after="0" w:line="288" w:lineRule="auto"/>
      <w:jc w:val="right"/>
      <w:textAlignment w:val="center"/>
    </w:pPr>
    <w:rPr>
      <w:color w:val="000000"/>
      <w:sz w:val="22"/>
      <w:szCs w:val="22"/>
      <w:lang w:val="en-US"/>
    </w:rPr>
  </w:style>
  <w:style w:type="paragraph" w:customStyle="1" w:styleId="NumberedListHeading51">
    <w:name w:val="Numbered List Heading5 1."/>
    <w:basedOn w:val="NoParagraphStyle"/>
    <w:uiPriority w:val="99"/>
    <w:rsid w:val="008569E4"/>
    <w:pPr>
      <w:tabs>
        <w:tab w:val="left" w:pos="283"/>
        <w:tab w:val="left" w:pos="340"/>
      </w:tabs>
      <w:suppressAutoHyphens/>
      <w:spacing w:after="113"/>
      <w:ind w:left="283" w:hanging="283"/>
    </w:pPr>
    <w:rPr>
      <w:rFonts w:ascii="Arial" w:hAnsi="Arial" w:cs="Arial"/>
      <w:color w:val="193A67"/>
      <w:sz w:val="36"/>
      <w:szCs w:val="36"/>
    </w:rPr>
  </w:style>
  <w:style w:type="paragraph" w:customStyle="1" w:styleId="NumberedListHeading7Notesa">
    <w:name w:val="Numbered List Heading7 Notes a)"/>
    <w:basedOn w:val="NoParagraphStyle"/>
    <w:uiPriority w:val="99"/>
    <w:rsid w:val="008569E4"/>
    <w:pPr>
      <w:tabs>
        <w:tab w:val="left" w:pos="283"/>
        <w:tab w:val="left" w:pos="340"/>
      </w:tabs>
      <w:spacing w:after="113"/>
      <w:ind w:left="283" w:hanging="283"/>
    </w:pPr>
    <w:rPr>
      <w:rFonts w:ascii="Arial" w:hAnsi="Arial" w:cs="Arial"/>
      <w:b/>
      <w:bCs/>
      <w:color w:val="0E83AB"/>
      <w:sz w:val="28"/>
      <w:szCs w:val="28"/>
    </w:rPr>
  </w:style>
  <w:style w:type="character" w:customStyle="1" w:styleId="Heading5-NotesFinancials">
    <w:name w:val="Heading 5 - Notes Financials"/>
    <w:uiPriority w:val="99"/>
    <w:rsid w:val="008569E4"/>
    <w:rPr>
      <w:rFonts w:ascii="Arial" w:hAnsi="Arial" w:cs="Arial"/>
      <w:color w:val="193A67"/>
      <w:sz w:val="36"/>
      <w:szCs w:val="36"/>
    </w:rPr>
  </w:style>
  <w:style w:type="character" w:customStyle="1" w:styleId="Heading7-NotesFinancials">
    <w:name w:val="Heading 7 - Notes Financials"/>
    <w:uiPriority w:val="99"/>
    <w:rsid w:val="008569E4"/>
    <w:rPr>
      <w:rFonts w:ascii="Arial" w:hAnsi="Arial" w:cs="Arial"/>
      <w:b/>
      <w:bCs/>
      <w:color w:val="0E83AB"/>
      <w:sz w:val="28"/>
      <w:szCs w:val="28"/>
    </w:rPr>
  </w:style>
  <w:style w:type="paragraph" w:customStyle="1" w:styleId="NumberedListHeading8Notesi">
    <w:name w:val="Numbered List Heading8 Notes i"/>
    <w:basedOn w:val="NoParagraphStyle"/>
    <w:uiPriority w:val="99"/>
    <w:rsid w:val="005629B9"/>
    <w:pPr>
      <w:tabs>
        <w:tab w:val="left" w:pos="283"/>
        <w:tab w:val="left" w:pos="340"/>
      </w:tabs>
      <w:spacing w:after="113"/>
      <w:ind w:left="283" w:hanging="283"/>
    </w:pPr>
    <w:rPr>
      <w:rFonts w:ascii="Arial" w:hAnsi="Arial" w:cs="Arial"/>
      <w:color w:val="000075"/>
    </w:rPr>
  </w:style>
  <w:style w:type="paragraph" w:customStyle="1" w:styleId="NumberedListNormalTexta">
    <w:name w:val="Numbered List Normal Text (a)"/>
    <w:basedOn w:val="NoParagraphStyle"/>
    <w:uiPriority w:val="99"/>
    <w:rsid w:val="009A6187"/>
    <w:pPr>
      <w:tabs>
        <w:tab w:val="left" w:pos="283"/>
        <w:tab w:val="left" w:pos="340"/>
      </w:tabs>
      <w:suppressAutoHyphens/>
      <w:spacing w:after="113"/>
      <w:ind w:left="283" w:hanging="283"/>
    </w:pPr>
  </w:style>
  <w:style w:type="paragraph" w:customStyle="1" w:styleId="NoParaSpacingIndented05cm">
    <w:name w:val="No Para Spacing Indented 0.5cm"/>
    <w:basedOn w:val="NoParaSpacing"/>
    <w:uiPriority w:val="99"/>
    <w:rsid w:val="003B1CA5"/>
    <w:pPr>
      <w:ind w:left="283"/>
    </w:pPr>
  </w:style>
  <w:style w:type="paragraph" w:customStyle="1" w:styleId="HeadingParagraph1">
    <w:name w:val="Heading Paragraph 1"/>
    <w:basedOn w:val="NoParagraphStyle"/>
    <w:next w:val="BasicParagraph"/>
    <w:uiPriority w:val="99"/>
    <w:rsid w:val="00323D83"/>
    <w:pPr>
      <w:suppressAutoHyphens/>
      <w:spacing w:after="255"/>
    </w:pPr>
    <w:rPr>
      <w:rFonts w:ascii="Arial" w:hAnsi="Arial" w:cs="Arial"/>
      <w:sz w:val="72"/>
      <w:szCs w:val="72"/>
      <w:lang w:val="en-GB"/>
    </w:rPr>
  </w:style>
  <w:style w:type="paragraph" w:styleId="TOCHeading">
    <w:name w:val="TOC Heading"/>
    <w:basedOn w:val="Heading1"/>
    <w:next w:val="Normal"/>
    <w:uiPriority w:val="39"/>
    <w:unhideWhenUsed/>
    <w:qFormat/>
    <w:rsid w:val="006A0008"/>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6720">
      <w:bodyDiv w:val="1"/>
      <w:marLeft w:val="0"/>
      <w:marRight w:val="0"/>
      <w:marTop w:val="0"/>
      <w:marBottom w:val="0"/>
      <w:divBdr>
        <w:top w:val="none" w:sz="0" w:space="0" w:color="auto"/>
        <w:left w:val="none" w:sz="0" w:space="0" w:color="auto"/>
        <w:bottom w:val="none" w:sz="0" w:space="0" w:color="auto"/>
        <w:right w:val="none" w:sz="0" w:space="0" w:color="auto"/>
      </w:divBdr>
    </w:div>
    <w:div w:id="77093695">
      <w:bodyDiv w:val="1"/>
      <w:marLeft w:val="0"/>
      <w:marRight w:val="0"/>
      <w:marTop w:val="0"/>
      <w:marBottom w:val="0"/>
      <w:divBdr>
        <w:top w:val="none" w:sz="0" w:space="0" w:color="auto"/>
        <w:left w:val="none" w:sz="0" w:space="0" w:color="auto"/>
        <w:bottom w:val="none" w:sz="0" w:space="0" w:color="auto"/>
        <w:right w:val="none" w:sz="0" w:space="0" w:color="auto"/>
      </w:divBdr>
    </w:div>
    <w:div w:id="95294262">
      <w:bodyDiv w:val="1"/>
      <w:marLeft w:val="0"/>
      <w:marRight w:val="0"/>
      <w:marTop w:val="0"/>
      <w:marBottom w:val="0"/>
      <w:divBdr>
        <w:top w:val="none" w:sz="0" w:space="0" w:color="auto"/>
        <w:left w:val="none" w:sz="0" w:space="0" w:color="auto"/>
        <w:bottom w:val="none" w:sz="0" w:space="0" w:color="auto"/>
        <w:right w:val="none" w:sz="0" w:space="0" w:color="auto"/>
      </w:divBdr>
    </w:div>
    <w:div w:id="150147595">
      <w:bodyDiv w:val="1"/>
      <w:marLeft w:val="0"/>
      <w:marRight w:val="0"/>
      <w:marTop w:val="0"/>
      <w:marBottom w:val="0"/>
      <w:divBdr>
        <w:top w:val="none" w:sz="0" w:space="0" w:color="auto"/>
        <w:left w:val="none" w:sz="0" w:space="0" w:color="auto"/>
        <w:bottom w:val="none" w:sz="0" w:space="0" w:color="auto"/>
        <w:right w:val="none" w:sz="0" w:space="0" w:color="auto"/>
      </w:divBdr>
    </w:div>
    <w:div w:id="174999976">
      <w:bodyDiv w:val="1"/>
      <w:marLeft w:val="0"/>
      <w:marRight w:val="0"/>
      <w:marTop w:val="0"/>
      <w:marBottom w:val="0"/>
      <w:divBdr>
        <w:top w:val="none" w:sz="0" w:space="0" w:color="auto"/>
        <w:left w:val="none" w:sz="0" w:space="0" w:color="auto"/>
        <w:bottom w:val="none" w:sz="0" w:space="0" w:color="auto"/>
        <w:right w:val="none" w:sz="0" w:space="0" w:color="auto"/>
      </w:divBdr>
    </w:div>
    <w:div w:id="181404008">
      <w:bodyDiv w:val="1"/>
      <w:marLeft w:val="0"/>
      <w:marRight w:val="0"/>
      <w:marTop w:val="0"/>
      <w:marBottom w:val="0"/>
      <w:divBdr>
        <w:top w:val="none" w:sz="0" w:space="0" w:color="auto"/>
        <w:left w:val="none" w:sz="0" w:space="0" w:color="auto"/>
        <w:bottom w:val="none" w:sz="0" w:space="0" w:color="auto"/>
        <w:right w:val="none" w:sz="0" w:space="0" w:color="auto"/>
      </w:divBdr>
    </w:div>
    <w:div w:id="218517949">
      <w:bodyDiv w:val="1"/>
      <w:marLeft w:val="0"/>
      <w:marRight w:val="0"/>
      <w:marTop w:val="0"/>
      <w:marBottom w:val="0"/>
      <w:divBdr>
        <w:top w:val="none" w:sz="0" w:space="0" w:color="auto"/>
        <w:left w:val="none" w:sz="0" w:space="0" w:color="auto"/>
        <w:bottom w:val="none" w:sz="0" w:space="0" w:color="auto"/>
        <w:right w:val="none" w:sz="0" w:space="0" w:color="auto"/>
      </w:divBdr>
    </w:div>
    <w:div w:id="239096906">
      <w:bodyDiv w:val="1"/>
      <w:marLeft w:val="0"/>
      <w:marRight w:val="0"/>
      <w:marTop w:val="0"/>
      <w:marBottom w:val="0"/>
      <w:divBdr>
        <w:top w:val="none" w:sz="0" w:space="0" w:color="auto"/>
        <w:left w:val="none" w:sz="0" w:space="0" w:color="auto"/>
        <w:bottom w:val="none" w:sz="0" w:space="0" w:color="auto"/>
        <w:right w:val="none" w:sz="0" w:space="0" w:color="auto"/>
      </w:divBdr>
    </w:div>
    <w:div w:id="241524440">
      <w:bodyDiv w:val="1"/>
      <w:marLeft w:val="0"/>
      <w:marRight w:val="0"/>
      <w:marTop w:val="0"/>
      <w:marBottom w:val="0"/>
      <w:divBdr>
        <w:top w:val="none" w:sz="0" w:space="0" w:color="auto"/>
        <w:left w:val="none" w:sz="0" w:space="0" w:color="auto"/>
        <w:bottom w:val="none" w:sz="0" w:space="0" w:color="auto"/>
        <w:right w:val="none" w:sz="0" w:space="0" w:color="auto"/>
      </w:divBdr>
    </w:div>
    <w:div w:id="246811357">
      <w:bodyDiv w:val="1"/>
      <w:marLeft w:val="0"/>
      <w:marRight w:val="0"/>
      <w:marTop w:val="0"/>
      <w:marBottom w:val="0"/>
      <w:divBdr>
        <w:top w:val="none" w:sz="0" w:space="0" w:color="auto"/>
        <w:left w:val="none" w:sz="0" w:space="0" w:color="auto"/>
        <w:bottom w:val="none" w:sz="0" w:space="0" w:color="auto"/>
        <w:right w:val="none" w:sz="0" w:space="0" w:color="auto"/>
      </w:divBdr>
    </w:div>
    <w:div w:id="248733221">
      <w:bodyDiv w:val="1"/>
      <w:marLeft w:val="0"/>
      <w:marRight w:val="0"/>
      <w:marTop w:val="0"/>
      <w:marBottom w:val="0"/>
      <w:divBdr>
        <w:top w:val="none" w:sz="0" w:space="0" w:color="auto"/>
        <w:left w:val="none" w:sz="0" w:space="0" w:color="auto"/>
        <w:bottom w:val="none" w:sz="0" w:space="0" w:color="auto"/>
        <w:right w:val="none" w:sz="0" w:space="0" w:color="auto"/>
      </w:divBdr>
    </w:div>
    <w:div w:id="261572981">
      <w:bodyDiv w:val="1"/>
      <w:marLeft w:val="0"/>
      <w:marRight w:val="0"/>
      <w:marTop w:val="0"/>
      <w:marBottom w:val="0"/>
      <w:divBdr>
        <w:top w:val="none" w:sz="0" w:space="0" w:color="auto"/>
        <w:left w:val="none" w:sz="0" w:space="0" w:color="auto"/>
        <w:bottom w:val="none" w:sz="0" w:space="0" w:color="auto"/>
        <w:right w:val="none" w:sz="0" w:space="0" w:color="auto"/>
      </w:divBdr>
    </w:div>
    <w:div w:id="266082504">
      <w:bodyDiv w:val="1"/>
      <w:marLeft w:val="0"/>
      <w:marRight w:val="0"/>
      <w:marTop w:val="0"/>
      <w:marBottom w:val="0"/>
      <w:divBdr>
        <w:top w:val="none" w:sz="0" w:space="0" w:color="auto"/>
        <w:left w:val="none" w:sz="0" w:space="0" w:color="auto"/>
        <w:bottom w:val="none" w:sz="0" w:space="0" w:color="auto"/>
        <w:right w:val="none" w:sz="0" w:space="0" w:color="auto"/>
      </w:divBdr>
    </w:div>
    <w:div w:id="272515311">
      <w:bodyDiv w:val="1"/>
      <w:marLeft w:val="0"/>
      <w:marRight w:val="0"/>
      <w:marTop w:val="0"/>
      <w:marBottom w:val="0"/>
      <w:divBdr>
        <w:top w:val="none" w:sz="0" w:space="0" w:color="auto"/>
        <w:left w:val="none" w:sz="0" w:space="0" w:color="auto"/>
        <w:bottom w:val="none" w:sz="0" w:space="0" w:color="auto"/>
        <w:right w:val="none" w:sz="0" w:space="0" w:color="auto"/>
      </w:divBdr>
    </w:div>
    <w:div w:id="278803601">
      <w:bodyDiv w:val="1"/>
      <w:marLeft w:val="0"/>
      <w:marRight w:val="0"/>
      <w:marTop w:val="0"/>
      <w:marBottom w:val="0"/>
      <w:divBdr>
        <w:top w:val="none" w:sz="0" w:space="0" w:color="auto"/>
        <w:left w:val="none" w:sz="0" w:space="0" w:color="auto"/>
        <w:bottom w:val="none" w:sz="0" w:space="0" w:color="auto"/>
        <w:right w:val="none" w:sz="0" w:space="0" w:color="auto"/>
      </w:divBdr>
    </w:div>
    <w:div w:id="308751038">
      <w:bodyDiv w:val="1"/>
      <w:marLeft w:val="0"/>
      <w:marRight w:val="0"/>
      <w:marTop w:val="0"/>
      <w:marBottom w:val="0"/>
      <w:divBdr>
        <w:top w:val="none" w:sz="0" w:space="0" w:color="auto"/>
        <w:left w:val="none" w:sz="0" w:space="0" w:color="auto"/>
        <w:bottom w:val="none" w:sz="0" w:space="0" w:color="auto"/>
        <w:right w:val="none" w:sz="0" w:space="0" w:color="auto"/>
      </w:divBdr>
    </w:div>
    <w:div w:id="384260953">
      <w:bodyDiv w:val="1"/>
      <w:marLeft w:val="0"/>
      <w:marRight w:val="0"/>
      <w:marTop w:val="0"/>
      <w:marBottom w:val="0"/>
      <w:divBdr>
        <w:top w:val="none" w:sz="0" w:space="0" w:color="auto"/>
        <w:left w:val="none" w:sz="0" w:space="0" w:color="auto"/>
        <w:bottom w:val="none" w:sz="0" w:space="0" w:color="auto"/>
        <w:right w:val="none" w:sz="0" w:space="0" w:color="auto"/>
      </w:divBdr>
    </w:div>
    <w:div w:id="390156646">
      <w:bodyDiv w:val="1"/>
      <w:marLeft w:val="0"/>
      <w:marRight w:val="0"/>
      <w:marTop w:val="0"/>
      <w:marBottom w:val="0"/>
      <w:divBdr>
        <w:top w:val="none" w:sz="0" w:space="0" w:color="auto"/>
        <w:left w:val="none" w:sz="0" w:space="0" w:color="auto"/>
        <w:bottom w:val="none" w:sz="0" w:space="0" w:color="auto"/>
        <w:right w:val="none" w:sz="0" w:space="0" w:color="auto"/>
      </w:divBdr>
    </w:div>
    <w:div w:id="397948272">
      <w:bodyDiv w:val="1"/>
      <w:marLeft w:val="0"/>
      <w:marRight w:val="0"/>
      <w:marTop w:val="0"/>
      <w:marBottom w:val="0"/>
      <w:divBdr>
        <w:top w:val="none" w:sz="0" w:space="0" w:color="auto"/>
        <w:left w:val="none" w:sz="0" w:space="0" w:color="auto"/>
        <w:bottom w:val="none" w:sz="0" w:space="0" w:color="auto"/>
        <w:right w:val="none" w:sz="0" w:space="0" w:color="auto"/>
      </w:divBdr>
    </w:div>
    <w:div w:id="441150986">
      <w:bodyDiv w:val="1"/>
      <w:marLeft w:val="0"/>
      <w:marRight w:val="0"/>
      <w:marTop w:val="0"/>
      <w:marBottom w:val="0"/>
      <w:divBdr>
        <w:top w:val="none" w:sz="0" w:space="0" w:color="auto"/>
        <w:left w:val="none" w:sz="0" w:space="0" w:color="auto"/>
        <w:bottom w:val="none" w:sz="0" w:space="0" w:color="auto"/>
        <w:right w:val="none" w:sz="0" w:space="0" w:color="auto"/>
      </w:divBdr>
    </w:div>
    <w:div w:id="445924498">
      <w:bodyDiv w:val="1"/>
      <w:marLeft w:val="0"/>
      <w:marRight w:val="0"/>
      <w:marTop w:val="0"/>
      <w:marBottom w:val="0"/>
      <w:divBdr>
        <w:top w:val="none" w:sz="0" w:space="0" w:color="auto"/>
        <w:left w:val="none" w:sz="0" w:space="0" w:color="auto"/>
        <w:bottom w:val="none" w:sz="0" w:space="0" w:color="auto"/>
        <w:right w:val="none" w:sz="0" w:space="0" w:color="auto"/>
      </w:divBdr>
    </w:div>
    <w:div w:id="473988933">
      <w:bodyDiv w:val="1"/>
      <w:marLeft w:val="0"/>
      <w:marRight w:val="0"/>
      <w:marTop w:val="0"/>
      <w:marBottom w:val="0"/>
      <w:divBdr>
        <w:top w:val="none" w:sz="0" w:space="0" w:color="auto"/>
        <w:left w:val="none" w:sz="0" w:space="0" w:color="auto"/>
        <w:bottom w:val="none" w:sz="0" w:space="0" w:color="auto"/>
        <w:right w:val="none" w:sz="0" w:space="0" w:color="auto"/>
      </w:divBdr>
    </w:div>
    <w:div w:id="489515978">
      <w:bodyDiv w:val="1"/>
      <w:marLeft w:val="0"/>
      <w:marRight w:val="0"/>
      <w:marTop w:val="0"/>
      <w:marBottom w:val="0"/>
      <w:divBdr>
        <w:top w:val="none" w:sz="0" w:space="0" w:color="auto"/>
        <w:left w:val="none" w:sz="0" w:space="0" w:color="auto"/>
        <w:bottom w:val="none" w:sz="0" w:space="0" w:color="auto"/>
        <w:right w:val="none" w:sz="0" w:space="0" w:color="auto"/>
      </w:divBdr>
    </w:div>
    <w:div w:id="555318950">
      <w:bodyDiv w:val="1"/>
      <w:marLeft w:val="0"/>
      <w:marRight w:val="0"/>
      <w:marTop w:val="0"/>
      <w:marBottom w:val="0"/>
      <w:divBdr>
        <w:top w:val="none" w:sz="0" w:space="0" w:color="auto"/>
        <w:left w:val="none" w:sz="0" w:space="0" w:color="auto"/>
        <w:bottom w:val="none" w:sz="0" w:space="0" w:color="auto"/>
        <w:right w:val="none" w:sz="0" w:space="0" w:color="auto"/>
      </w:divBdr>
    </w:div>
    <w:div w:id="555817921">
      <w:bodyDiv w:val="1"/>
      <w:marLeft w:val="0"/>
      <w:marRight w:val="0"/>
      <w:marTop w:val="0"/>
      <w:marBottom w:val="0"/>
      <w:divBdr>
        <w:top w:val="none" w:sz="0" w:space="0" w:color="auto"/>
        <w:left w:val="none" w:sz="0" w:space="0" w:color="auto"/>
        <w:bottom w:val="none" w:sz="0" w:space="0" w:color="auto"/>
        <w:right w:val="none" w:sz="0" w:space="0" w:color="auto"/>
      </w:divBdr>
    </w:div>
    <w:div w:id="586309879">
      <w:bodyDiv w:val="1"/>
      <w:marLeft w:val="0"/>
      <w:marRight w:val="0"/>
      <w:marTop w:val="0"/>
      <w:marBottom w:val="0"/>
      <w:divBdr>
        <w:top w:val="none" w:sz="0" w:space="0" w:color="auto"/>
        <w:left w:val="none" w:sz="0" w:space="0" w:color="auto"/>
        <w:bottom w:val="none" w:sz="0" w:space="0" w:color="auto"/>
        <w:right w:val="none" w:sz="0" w:space="0" w:color="auto"/>
      </w:divBdr>
    </w:div>
    <w:div w:id="613749786">
      <w:bodyDiv w:val="1"/>
      <w:marLeft w:val="0"/>
      <w:marRight w:val="0"/>
      <w:marTop w:val="0"/>
      <w:marBottom w:val="0"/>
      <w:divBdr>
        <w:top w:val="none" w:sz="0" w:space="0" w:color="auto"/>
        <w:left w:val="none" w:sz="0" w:space="0" w:color="auto"/>
        <w:bottom w:val="none" w:sz="0" w:space="0" w:color="auto"/>
        <w:right w:val="none" w:sz="0" w:space="0" w:color="auto"/>
      </w:divBdr>
    </w:div>
    <w:div w:id="613951196">
      <w:bodyDiv w:val="1"/>
      <w:marLeft w:val="0"/>
      <w:marRight w:val="0"/>
      <w:marTop w:val="0"/>
      <w:marBottom w:val="0"/>
      <w:divBdr>
        <w:top w:val="none" w:sz="0" w:space="0" w:color="auto"/>
        <w:left w:val="none" w:sz="0" w:space="0" w:color="auto"/>
        <w:bottom w:val="none" w:sz="0" w:space="0" w:color="auto"/>
        <w:right w:val="none" w:sz="0" w:space="0" w:color="auto"/>
      </w:divBdr>
    </w:div>
    <w:div w:id="629437290">
      <w:bodyDiv w:val="1"/>
      <w:marLeft w:val="0"/>
      <w:marRight w:val="0"/>
      <w:marTop w:val="0"/>
      <w:marBottom w:val="0"/>
      <w:divBdr>
        <w:top w:val="none" w:sz="0" w:space="0" w:color="auto"/>
        <w:left w:val="none" w:sz="0" w:space="0" w:color="auto"/>
        <w:bottom w:val="none" w:sz="0" w:space="0" w:color="auto"/>
        <w:right w:val="none" w:sz="0" w:space="0" w:color="auto"/>
      </w:divBdr>
    </w:div>
    <w:div w:id="636762378">
      <w:bodyDiv w:val="1"/>
      <w:marLeft w:val="0"/>
      <w:marRight w:val="0"/>
      <w:marTop w:val="0"/>
      <w:marBottom w:val="0"/>
      <w:divBdr>
        <w:top w:val="none" w:sz="0" w:space="0" w:color="auto"/>
        <w:left w:val="none" w:sz="0" w:space="0" w:color="auto"/>
        <w:bottom w:val="none" w:sz="0" w:space="0" w:color="auto"/>
        <w:right w:val="none" w:sz="0" w:space="0" w:color="auto"/>
      </w:divBdr>
    </w:div>
    <w:div w:id="647902225">
      <w:bodyDiv w:val="1"/>
      <w:marLeft w:val="0"/>
      <w:marRight w:val="0"/>
      <w:marTop w:val="0"/>
      <w:marBottom w:val="0"/>
      <w:divBdr>
        <w:top w:val="none" w:sz="0" w:space="0" w:color="auto"/>
        <w:left w:val="none" w:sz="0" w:space="0" w:color="auto"/>
        <w:bottom w:val="none" w:sz="0" w:space="0" w:color="auto"/>
        <w:right w:val="none" w:sz="0" w:space="0" w:color="auto"/>
      </w:divBdr>
    </w:div>
    <w:div w:id="659775102">
      <w:bodyDiv w:val="1"/>
      <w:marLeft w:val="0"/>
      <w:marRight w:val="0"/>
      <w:marTop w:val="0"/>
      <w:marBottom w:val="0"/>
      <w:divBdr>
        <w:top w:val="none" w:sz="0" w:space="0" w:color="auto"/>
        <w:left w:val="none" w:sz="0" w:space="0" w:color="auto"/>
        <w:bottom w:val="none" w:sz="0" w:space="0" w:color="auto"/>
        <w:right w:val="none" w:sz="0" w:space="0" w:color="auto"/>
      </w:divBdr>
    </w:div>
    <w:div w:id="675962843">
      <w:bodyDiv w:val="1"/>
      <w:marLeft w:val="0"/>
      <w:marRight w:val="0"/>
      <w:marTop w:val="0"/>
      <w:marBottom w:val="0"/>
      <w:divBdr>
        <w:top w:val="none" w:sz="0" w:space="0" w:color="auto"/>
        <w:left w:val="none" w:sz="0" w:space="0" w:color="auto"/>
        <w:bottom w:val="none" w:sz="0" w:space="0" w:color="auto"/>
        <w:right w:val="none" w:sz="0" w:space="0" w:color="auto"/>
      </w:divBdr>
    </w:div>
    <w:div w:id="744688730">
      <w:bodyDiv w:val="1"/>
      <w:marLeft w:val="0"/>
      <w:marRight w:val="0"/>
      <w:marTop w:val="0"/>
      <w:marBottom w:val="0"/>
      <w:divBdr>
        <w:top w:val="none" w:sz="0" w:space="0" w:color="auto"/>
        <w:left w:val="none" w:sz="0" w:space="0" w:color="auto"/>
        <w:bottom w:val="none" w:sz="0" w:space="0" w:color="auto"/>
        <w:right w:val="none" w:sz="0" w:space="0" w:color="auto"/>
      </w:divBdr>
    </w:div>
    <w:div w:id="889465754">
      <w:bodyDiv w:val="1"/>
      <w:marLeft w:val="0"/>
      <w:marRight w:val="0"/>
      <w:marTop w:val="0"/>
      <w:marBottom w:val="0"/>
      <w:divBdr>
        <w:top w:val="none" w:sz="0" w:space="0" w:color="auto"/>
        <w:left w:val="none" w:sz="0" w:space="0" w:color="auto"/>
        <w:bottom w:val="none" w:sz="0" w:space="0" w:color="auto"/>
        <w:right w:val="none" w:sz="0" w:space="0" w:color="auto"/>
      </w:divBdr>
    </w:div>
    <w:div w:id="946617480">
      <w:bodyDiv w:val="1"/>
      <w:marLeft w:val="0"/>
      <w:marRight w:val="0"/>
      <w:marTop w:val="0"/>
      <w:marBottom w:val="0"/>
      <w:divBdr>
        <w:top w:val="none" w:sz="0" w:space="0" w:color="auto"/>
        <w:left w:val="none" w:sz="0" w:space="0" w:color="auto"/>
        <w:bottom w:val="none" w:sz="0" w:space="0" w:color="auto"/>
        <w:right w:val="none" w:sz="0" w:space="0" w:color="auto"/>
      </w:divBdr>
    </w:div>
    <w:div w:id="957876555">
      <w:bodyDiv w:val="1"/>
      <w:marLeft w:val="0"/>
      <w:marRight w:val="0"/>
      <w:marTop w:val="0"/>
      <w:marBottom w:val="0"/>
      <w:divBdr>
        <w:top w:val="none" w:sz="0" w:space="0" w:color="auto"/>
        <w:left w:val="none" w:sz="0" w:space="0" w:color="auto"/>
        <w:bottom w:val="none" w:sz="0" w:space="0" w:color="auto"/>
        <w:right w:val="none" w:sz="0" w:space="0" w:color="auto"/>
      </w:divBdr>
    </w:div>
    <w:div w:id="960889624">
      <w:bodyDiv w:val="1"/>
      <w:marLeft w:val="0"/>
      <w:marRight w:val="0"/>
      <w:marTop w:val="0"/>
      <w:marBottom w:val="0"/>
      <w:divBdr>
        <w:top w:val="none" w:sz="0" w:space="0" w:color="auto"/>
        <w:left w:val="none" w:sz="0" w:space="0" w:color="auto"/>
        <w:bottom w:val="none" w:sz="0" w:space="0" w:color="auto"/>
        <w:right w:val="none" w:sz="0" w:space="0" w:color="auto"/>
      </w:divBdr>
    </w:div>
    <w:div w:id="1056053499">
      <w:bodyDiv w:val="1"/>
      <w:marLeft w:val="0"/>
      <w:marRight w:val="0"/>
      <w:marTop w:val="0"/>
      <w:marBottom w:val="0"/>
      <w:divBdr>
        <w:top w:val="none" w:sz="0" w:space="0" w:color="auto"/>
        <w:left w:val="none" w:sz="0" w:space="0" w:color="auto"/>
        <w:bottom w:val="none" w:sz="0" w:space="0" w:color="auto"/>
        <w:right w:val="none" w:sz="0" w:space="0" w:color="auto"/>
      </w:divBdr>
    </w:div>
    <w:div w:id="1076366969">
      <w:bodyDiv w:val="1"/>
      <w:marLeft w:val="0"/>
      <w:marRight w:val="0"/>
      <w:marTop w:val="0"/>
      <w:marBottom w:val="0"/>
      <w:divBdr>
        <w:top w:val="none" w:sz="0" w:space="0" w:color="auto"/>
        <w:left w:val="none" w:sz="0" w:space="0" w:color="auto"/>
        <w:bottom w:val="none" w:sz="0" w:space="0" w:color="auto"/>
        <w:right w:val="none" w:sz="0" w:space="0" w:color="auto"/>
      </w:divBdr>
    </w:div>
    <w:div w:id="1078672562">
      <w:bodyDiv w:val="1"/>
      <w:marLeft w:val="0"/>
      <w:marRight w:val="0"/>
      <w:marTop w:val="0"/>
      <w:marBottom w:val="0"/>
      <w:divBdr>
        <w:top w:val="none" w:sz="0" w:space="0" w:color="auto"/>
        <w:left w:val="none" w:sz="0" w:space="0" w:color="auto"/>
        <w:bottom w:val="none" w:sz="0" w:space="0" w:color="auto"/>
        <w:right w:val="none" w:sz="0" w:space="0" w:color="auto"/>
      </w:divBdr>
    </w:div>
    <w:div w:id="1091657657">
      <w:bodyDiv w:val="1"/>
      <w:marLeft w:val="0"/>
      <w:marRight w:val="0"/>
      <w:marTop w:val="0"/>
      <w:marBottom w:val="0"/>
      <w:divBdr>
        <w:top w:val="none" w:sz="0" w:space="0" w:color="auto"/>
        <w:left w:val="none" w:sz="0" w:space="0" w:color="auto"/>
        <w:bottom w:val="none" w:sz="0" w:space="0" w:color="auto"/>
        <w:right w:val="none" w:sz="0" w:space="0" w:color="auto"/>
      </w:divBdr>
    </w:div>
    <w:div w:id="1091782168">
      <w:bodyDiv w:val="1"/>
      <w:marLeft w:val="0"/>
      <w:marRight w:val="0"/>
      <w:marTop w:val="0"/>
      <w:marBottom w:val="0"/>
      <w:divBdr>
        <w:top w:val="none" w:sz="0" w:space="0" w:color="auto"/>
        <w:left w:val="none" w:sz="0" w:space="0" w:color="auto"/>
        <w:bottom w:val="none" w:sz="0" w:space="0" w:color="auto"/>
        <w:right w:val="none" w:sz="0" w:space="0" w:color="auto"/>
      </w:divBdr>
    </w:div>
    <w:div w:id="1097867185">
      <w:bodyDiv w:val="1"/>
      <w:marLeft w:val="0"/>
      <w:marRight w:val="0"/>
      <w:marTop w:val="0"/>
      <w:marBottom w:val="0"/>
      <w:divBdr>
        <w:top w:val="none" w:sz="0" w:space="0" w:color="auto"/>
        <w:left w:val="none" w:sz="0" w:space="0" w:color="auto"/>
        <w:bottom w:val="none" w:sz="0" w:space="0" w:color="auto"/>
        <w:right w:val="none" w:sz="0" w:space="0" w:color="auto"/>
      </w:divBdr>
    </w:div>
    <w:div w:id="1124737168">
      <w:bodyDiv w:val="1"/>
      <w:marLeft w:val="0"/>
      <w:marRight w:val="0"/>
      <w:marTop w:val="0"/>
      <w:marBottom w:val="0"/>
      <w:divBdr>
        <w:top w:val="none" w:sz="0" w:space="0" w:color="auto"/>
        <w:left w:val="none" w:sz="0" w:space="0" w:color="auto"/>
        <w:bottom w:val="none" w:sz="0" w:space="0" w:color="auto"/>
        <w:right w:val="none" w:sz="0" w:space="0" w:color="auto"/>
      </w:divBdr>
    </w:div>
    <w:div w:id="1132285074">
      <w:bodyDiv w:val="1"/>
      <w:marLeft w:val="0"/>
      <w:marRight w:val="0"/>
      <w:marTop w:val="0"/>
      <w:marBottom w:val="0"/>
      <w:divBdr>
        <w:top w:val="none" w:sz="0" w:space="0" w:color="auto"/>
        <w:left w:val="none" w:sz="0" w:space="0" w:color="auto"/>
        <w:bottom w:val="none" w:sz="0" w:space="0" w:color="auto"/>
        <w:right w:val="none" w:sz="0" w:space="0" w:color="auto"/>
      </w:divBdr>
    </w:div>
    <w:div w:id="1137645595">
      <w:bodyDiv w:val="1"/>
      <w:marLeft w:val="0"/>
      <w:marRight w:val="0"/>
      <w:marTop w:val="0"/>
      <w:marBottom w:val="0"/>
      <w:divBdr>
        <w:top w:val="none" w:sz="0" w:space="0" w:color="auto"/>
        <w:left w:val="none" w:sz="0" w:space="0" w:color="auto"/>
        <w:bottom w:val="none" w:sz="0" w:space="0" w:color="auto"/>
        <w:right w:val="none" w:sz="0" w:space="0" w:color="auto"/>
      </w:divBdr>
    </w:div>
    <w:div w:id="1192719068">
      <w:bodyDiv w:val="1"/>
      <w:marLeft w:val="0"/>
      <w:marRight w:val="0"/>
      <w:marTop w:val="0"/>
      <w:marBottom w:val="0"/>
      <w:divBdr>
        <w:top w:val="none" w:sz="0" w:space="0" w:color="auto"/>
        <w:left w:val="none" w:sz="0" w:space="0" w:color="auto"/>
        <w:bottom w:val="none" w:sz="0" w:space="0" w:color="auto"/>
        <w:right w:val="none" w:sz="0" w:space="0" w:color="auto"/>
      </w:divBdr>
    </w:div>
    <w:div w:id="1211530075">
      <w:bodyDiv w:val="1"/>
      <w:marLeft w:val="0"/>
      <w:marRight w:val="0"/>
      <w:marTop w:val="0"/>
      <w:marBottom w:val="0"/>
      <w:divBdr>
        <w:top w:val="none" w:sz="0" w:space="0" w:color="auto"/>
        <w:left w:val="none" w:sz="0" w:space="0" w:color="auto"/>
        <w:bottom w:val="none" w:sz="0" w:space="0" w:color="auto"/>
        <w:right w:val="none" w:sz="0" w:space="0" w:color="auto"/>
      </w:divBdr>
    </w:div>
    <w:div w:id="1229535082">
      <w:bodyDiv w:val="1"/>
      <w:marLeft w:val="0"/>
      <w:marRight w:val="0"/>
      <w:marTop w:val="0"/>
      <w:marBottom w:val="0"/>
      <w:divBdr>
        <w:top w:val="none" w:sz="0" w:space="0" w:color="auto"/>
        <w:left w:val="none" w:sz="0" w:space="0" w:color="auto"/>
        <w:bottom w:val="none" w:sz="0" w:space="0" w:color="auto"/>
        <w:right w:val="none" w:sz="0" w:space="0" w:color="auto"/>
      </w:divBdr>
    </w:div>
    <w:div w:id="1236091957">
      <w:bodyDiv w:val="1"/>
      <w:marLeft w:val="0"/>
      <w:marRight w:val="0"/>
      <w:marTop w:val="0"/>
      <w:marBottom w:val="0"/>
      <w:divBdr>
        <w:top w:val="none" w:sz="0" w:space="0" w:color="auto"/>
        <w:left w:val="none" w:sz="0" w:space="0" w:color="auto"/>
        <w:bottom w:val="none" w:sz="0" w:space="0" w:color="auto"/>
        <w:right w:val="none" w:sz="0" w:space="0" w:color="auto"/>
      </w:divBdr>
    </w:div>
    <w:div w:id="1240214653">
      <w:bodyDiv w:val="1"/>
      <w:marLeft w:val="0"/>
      <w:marRight w:val="0"/>
      <w:marTop w:val="0"/>
      <w:marBottom w:val="0"/>
      <w:divBdr>
        <w:top w:val="none" w:sz="0" w:space="0" w:color="auto"/>
        <w:left w:val="none" w:sz="0" w:space="0" w:color="auto"/>
        <w:bottom w:val="none" w:sz="0" w:space="0" w:color="auto"/>
        <w:right w:val="none" w:sz="0" w:space="0" w:color="auto"/>
      </w:divBdr>
    </w:div>
    <w:div w:id="1306929814">
      <w:bodyDiv w:val="1"/>
      <w:marLeft w:val="0"/>
      <w:marRight w:val="0"/>
      <w:marTop w:val="0"/>
      <w:marBottom w:val="0"/>
      <w:divBdr>
        <w:top w:val="none" w:sz="0" w:space="0" w:color="auto"/>
        <w:left w:val="none" w:sz="0" w:space="0" w:color="auto"/>
        <w:bottom w:val="none" w:sz="0" w:space="0" w:color="auto"/>
        <w:right w:val="none" w:sz="0" w:space="0" w:color="auto"/>
      </w:divBdr>
    </w:div>
    <w:div w:id="1331762527">
      <w:bodyDiv w:val="1"/>
      <w:marLeft w:val="0"/>
      <w:marRight w:val="0"/>
      <w:marTop w:val="0"/>
      <w:marBottom w:val="0"/>
      <w:divBdr>
        <w:top w:val="none" w:sz="0" w:space="0" w:color="auto"/>
        <w:left w:val="none" w:sz="0" w:space="0" w:color="auto"/>
        <w:bottom w:val="none" w:sz="0" w:space="0" w:color="auto"/>
        <w:right w:val="none" w:sz="0" w:space="0" w:color="auto"/>
      </w:divBdr>
    </w:div>
    <w:div w:id="1352218899">
      <w:bodyDiv w:val="1"/>
      <w:marLeft w:val="0"/>
      <w:marRight w:val="0"/>
      <w:marTop w:val="0"/>
      <w:marBottom w:val="0"/>
      <w:divBdr>
        <w:top w:val="none" w:sz="0" w:space="0" w:color="auto"/>
        <w:left w:val="none" w:sz="0" w:space="0" w:color="auto"/>
        <w:bottom w:val="none" w:sz="0" w:space="0" w:color="auto"/>
        <w:right w:val="none" w:sz="0" w:space="0" w:color="auto"/>
      </w:divBdr>
    </w:div>
    <w:div w:id="1397900090">
      <w:bodyDiv w:val="1"/>
      <w:marLeft w:val="0"/>
      <w:marRight w:val="0"/>
      <w:marTop w:val="0"/>
      <w:marBottom w:val="0"/>
      <w:divBdr>
        <w:top w:val="none" w:sz="0" w:space="0" w:color="auto"/>
        <w:left w:val="none" w:sz="0" w:space="0" w:color="auto"/>
        <w:bottom w:val="none" w:sz="0" w:space="0" w:color="auto"/>
        <w:right w:val="none" w:sz="0" w:space="0" w:color="auto"/>
      </w:divBdr>
    </w:div>
    <w:div w:id="1406805103">
      <w:bodyDiv w:val="1"/>
      <w:marLeft w:val="0"/>
      <w:marRight w:val="0"/>
      <w:marTop w:val="0"/>
      <w:marBottom w:val="0"/>
      <w:divBdr>
        <w:top w:val="none" w:sz="0" w:space="0" w:color="auto"/>
        <w:left w:val="none" w:sz="0" w:space="0" w:color="auto"/>
        <w:bottom w:val="none" w:sz="0" w:space="0" w:color="auto"/>
        <w:right w:val="none" w:sz="0" w:space="0" w:color="auto"/>
      </w:divBdr>
    </w:div>
    <w:div w:id="1478766411">
      <w:bodyDiv w:val="1"/>
      <w:marLeft w:val="0"/>
      <w:marRight w:val="0"/>
      <w:marTop w:val="0"/>
      <w:marBottom w:val="0"/>
      <w:divBdr>
        <w:top w:val="none" w:sz="0" w:space="0" w:color="auto"/>
        <w:left w:val="none" w:sz="0" w:space="0" w:color="auto"/>
        <w:bottom w:val="none" w:sz="0" w:space="0" w:color="auto"/>
        <w:right w:val="none" w:sz="0" w:space="0" w:color="auto"/>
      </w:divBdr>
    </w:div>
    <w:div w:id="1481457764">
      <w:bodyDiv w:val="1"/>
      <w:marLeft w:val="0"/>
      <w:marRight w:val="0"/>
      <w:marTop w:val="0"/>
      <w:marBottom w:val="0"/>
      <w:divBdr>
        <w:top w:val="none" w:sz="0" w:space="0" w:color="auto"/>
        <w:left w:val="none" w:sz="0" w:space="0" w:color="auto"/>
        <w:bottom w:val="none" w:sz="0" w:space="0" w:color="auto"/>
        <w:right w:val="none" w:sz="0" w:space="0" w:color="auto"/>
      </w:divBdr>
    </w:div>
    <w:div w:id="1506089855">
      <w:bodyDiv w:val="1"/>
      <w:marLeft w:val="0"/>
      <w:marRight w:val="0"/>
      <w:marTop w:val="0"/>
      <w:marBottom w:val="0"/>
      <w:divBdr>
        <w:top w:val="none" w:sz="0" w:space="0" w:color="auto"/>
        <w:left w:val="none" w:sz="0" w:space="0" w:color="auto"/>
        <w:bottom w:val="none" w:sz="0" w:space="0" w:color="auto"/>
        <w:right w:val="none" w:sz="0" w:space="0" w:color="auto"/>
      </w:divBdr>
    </w:div>
    <w:div w:id="1515991998">
      <w:bodyDiv w:val="1"/>
      <w:marLeft w:val="0"/>
      <w:marRight w:val="0"/>
      <w:marTop w:val="0"/>
      <w:marBottom w:val="0"/>
      <w:divBdr>
        <w:top w:val="none" w:sz="0" w:space="0" w:color="auto"/>
        <w:left w:val="none" w:sz="0" w:space="0" w:color="auto"/>
        <w:bottom w:val="none" w:sz="0" w:space="0" w:color="auto"/>
        <w:right w:val="none" w:sz="0" w:space="0" w:color="auto"/>
      </w:divBdr>
    </w:div>
    <w:div w:id="1520193415">
      <w:bodyDiv w:val="1"/>
      <w:marLeft w:val="0"/>
      <w:marRight w:val="0"/>
      <w:marTop w:val="0"/>
      <w:marBottom w:val="0"/>
      <w:divBdr>
        <w:top w:val="none" w:sz="0" w:space="0" w:color="auto"/>
        <w:left w:val="none" w:sz="0" w:space="0" w:color="auto"/>
        <w:bottom w:val="none" w:sz="0" w:space="0" w:color="auto"/>
        <w:right w:val="none" w:sz="0" w:space="0" w:color="auto"/>
      </w:divBdr>
    </w:div>
    <w:div w:id="1565336240">
      <w:bodyDiv w:val="1"/>
      <w:marLeft w:val="0"/>
      <w:marRight w:val="0"/>
      <w:marTop w:val="0"/>
      <w:marBottom w:val="0"/>
      <w:divBdr>
        <w:top w:val="none" w:sz="0" w:space="0" w:color="auto"/>
        <w:left w:val="none" w:sz="0" w:space="0" w:color="auto"/>
        <w:bottom w:val="none" w:sz="0" w:space="0" w:color="auto"/>
        <w:right w:val="none" w:sz="0" w:space="0" w:color="auto"/>
      </w:divBdr>
    </w:div>
    <w:div w:id="1574005715">
      <w:bodyDiv w:val="1"/>
      <w:marLeft w:val="0"/>
      <w:marRight w:val="0"/>
      <w:marTop w:val="0"/>
      <w:marBottom w:val="0"/>
      <w:divBdr>
        <w:top w:val="none" w:sz="0" w:space="0" w:color="auto"/>
        <w:left w:val="none" w:sz="0" w:space="0" w:color="auto"/>
        <w:bottom w:val="none" w:sz="0" w:space="0" w:color="auto"/>
        <w:right w:val="none" w:sz="0" w:space="0" w:color="auto"/>
      </w:divBdr>
    </w:div>
    <w:div w:id="1579513224">
      <w:bodyDiv w:val="1"/>
      <w:marLeft w:val="0"/>
      <w:marRight w:val="0"/>
      <w:marTop w:val="0"/>
      <w:marBottom w:val="0"/>
      <w:divBdr>
        <w:top w:val="none" w:sz="0" w:space="0" w:color="auto"/>
        <w:left w:val="none" w:sz="0" w:space="0" w:color="auto"/>
        <w:bottom w:val="none" w:sz="0" w:space="0" w:color="auto"/>
        <w:right w:val="none" w:sz="0" w:space="0" w:color="auto"/>
      </w:divBdr>
    </w:div>
    <w:div w:id="1582564589">
      <w:bodyDiv w:val="1"/>
      <w:marLeft w:val="0"/>
      <w:marRight w:val="0"/>
      <w:marTop w:val="0"/>
      <w:marBottom w:val="0"/>
      <w:divBdr>
        <w:top w:val="none" w:sz="0" w:space="0" w:color="auto"/>
        <w:left w:val="none" w:sz="0" w:space="0" w:color="auto"/>
        <w:bottom w:val="none" w:sz="0" w:space="0" w:color="auto"/>
        <w:right w:val="none" w:sz="0" w:space="0" w:color="auto"/>
      </w:divBdr>
    </w:div>
    <w:div w:id="1588221854">
      <w:bodyDiv w:val="1"/>
      <w:marLeft w:val="0"/>
      <w:marRight w:val="0"/>
      <w:marTop w:val="0"/>
      <w:marBottom w:val="0"/>
      <w:divBdr>
        <w:top w:val="none" w:sz="0" w:space="0" w:color="auto"/>
        <w:left w:val="none" w:sz="0" w:space="0" w:color="auto"/>
        <w:bottom w:val="none" w:sz="0" w:space="0" w:color="auto"/>
        <w:right w:val="none" w:sz="0" w:space="0" w:color="auto"/>
      </w:divBdr>
    </w:div>
    <w:div w:id="1641421540">
      <w:bodyDiv w:val="1"/>
      <w:marLeft w:val="0"/>
      <w:marRight w:val="0"/>
      <w:marTop w:val="0"/>
      <w:marBottom w:val="0"/>
      <w:divBdr>
        <w:top w:val="none" w:sz="0" w:space="0" w:color="auto"/>
        <w:left w:val="none" w:sz="0" w:space="0" w:color="auto"/>
        <w:bottom w:val="none" w:sz="0" w:space="0" w:color="auto"/>
        <w:right w:val="none" w:sz="0" w:space="0" w:color="auto"/>
      </w:divBdr>
    </w:div>
    <w:div w:id="1720471945">
      <w:bodyDiv w:val="1"/>
      <w:marLeft w:val="0"/>
      <w:marRight w:val="0"/>
      <w:marTop w:val="0"/>
      <w:marBottom w:val="0"/>
      <w:divBdr>
        <w:top w:val="none" w:sz="0" w:space="0" w:color="auto"/>
        <w:left w:val="none" w:sz="0" w:space="0" w:color="auto"/>
        <w:bottom w:val="none" w:sz="0" w:space="0" w:color="auto"/>
        <w:right w:val="none" w:sz="0" w:space="0" w:color="auto"/>
      </w:divBdr>
    </w:div>
    <w:div w:id="1771387010">
      <w:bodyDiv w:val="1"/>
      <w:marLeft w:val="0"/>
      <w:marRight w:val="0"/>
      <w:marTop w:val="0"/>
      <w:marBottom w:val="0"/>
      <w:divBdr>
        <w:top w:val="none" w:sz="0" w:space="0" w:color="auto"/>
        <w:left w:val="none" w:sz="0" w:space="0" w:color="auto"/>
        <w:bottom w:val="none" w:sz="0" w:space="0" w:color="auto"/>
        <w:right w:val="none" w:sz="0" w:space="0" w:color="auto"/>
      </w:divBdr>
    </w:div>
    <w:div w:id="1777212551">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90706071">
      <w:bodyDiv w:val="1"/>
      <w:marLeft w:val="0"/>
      <w:marRight w:val="0"/>
      <w:marTop w:val="0"/>
      <w:marBottom w:val="0"/>
      <w:divBdr>
        <w:top w:val="none" w:sz="0" w:space="0" w:color="auto"/>
        <w:left w:val="none" w:sz="0" w:space="0" w:color="auto"/>
        <w:bottom w:val="none" w:sz="0" w:space="0" w:color="auto"/>
        <w:right w:val="none" w:sz="0" w:space="0" w:color="auto"/>
      </w:divBdr>
    </w:div>
    <w:div w:id="1822230998">
      <w:bodyDiv w:val="1"/>
      <w:marLeft w:val="0"/>
      <w:marRight w:val="0"/>
      <w:marTop w:val="0"/>
      <w:marBottom w:val="0"/>
      <w:divBdr>
        <w:top w:val="none" w:sz="0" w:space="0" w:color="auto"/>
        <w:left w:val="none" w:sz="0" w:space="0" w:color="auto"/>
        <w:bottom w:val="none" w:sz="0" w:space="0" w:color="auto"/>
        <w:right w:val="none" w:sz="0" w:space="0" w:color="auto"/>
      </w:divBdr>
    </w:div>
    <w:div w:id="1835996305">
      <w:bodyDiv w:val="1"/>
      <w:marLeft w:val="0"/>
      <w:marRight w:val="0"/>
      <w:marTop w:val="0"/>
      <w:marBottom w:val="0"/>
      <w:divBdr>
        <w:top w:val="none" w:sz="0" w:space="0" w:color="auto"/>
        <w:left w:val="none" w:sz="0" w:space="0" w:color="auto"/>
        <w:bottom w:val="none" w:sz="0" w:space="0" w:color="auto"/>
        <w:right w:val="none" w:sz="0" w:space="0" w:color="auto"/>
      </w:divBdr>
    </w:div>
    <w:div w:id="1842893356">
      <w:bodyDiv w:val="1"/>
      <w:marLeft w:val="0"/>
      <w:marRight w:val="0"/>
      <w:marTop w:val="0"/>
      <w:marBottom w:val="0"/>
      <w:divBdr>
        <w:top w:val="none" w:sz="0" w:space="0" w:color="auto"/>
        <w:left w:val="none" w:sz="0" w:space="0" w:color="auto"/>
        <w:bottom w:val="none" w:sz="0" w:space="0" w:color="auto"/>
        <w:right w:val="none" w:sz="0" w:space="0" w:color="auto"/>
      </w:divBdr>
    </w:div>
    <w:div w:id="1874223892">
      <w:bodyDiv w:val="1"/>
      <w:marLeft w:val="0"/>
      <w:marRight w:val="0"/>
      <w:marTop w:val="0"/>
      <w:marBottom w:val="0"/>
      <w:divBdr>
        <w:top w:val="none" w:sz="0" w:space="0" w:color="auto"/>
        <w:left w:val="none" w:sz="0" w:space="0" w:color="auto"/>
        <w:bottom w:val="none" w:sz="0" w:space="0" w:color="auto"/>
        <w:right w:val="none" w:sz="0" w:space="0" w:color="auto"/>
      </w:divBdr>
    </w:div>
    <w:div w:id="1875772708">
      <w:bodyDiv w:val="1"/>
      <w:marLeft w:val="0"/>
      <w:marRight w:val="0"/>
      <w:marTop w:val="0"/>
      <w:marBottom w:val="0"/>
      <w:divBdr>
        <w:top w:val="none" w:sz="0" w:space="0" w:color="auto"/>
        <w:left w:val="none" w:sz="0" w:space="0" w:color="auto"/>
        <w:bottom w:val="none" w:sz="0" w:space="0" w:color="auto"/>
        <w:right w:val="none" w:sz="0" w:space="0" w:color="auto"/>
      </w:divBdr>
    </w:div>
    <w:div w:id="1881891934">
      <w:bodyDiv w:val="1"/>
      <w:marLeft w:val="0"/>
      <w:marRight w:val="0"/>
      <w:marTop w:val="0"/>
      <w:marBottom w:val="0"/>
      <w:divBdr>
        <w:top w:val="none" w:sz="0" w:space="0" w:color="auto"/>
        <w:left w:val="none" w:sz="0" w:space="0" w:color="auto"/>
        <w:bottom w:val="none" w:sz="0" w:space="0" w:color="auto"/>
        <w:right w:val="none" w:sz="0" w:space="0" w:color="auto"/>
      </w:divBdr>
    </w:div>
    <w:div w:id="1889881065">
      <w:bodyDiv w:val="1"/>
      <w:marLeft w:val="0"/>
      <w:marRight w:val="0"/>
      <w:marTop w:val="0"/>
      <w:marBottom w:val="0"/>
      <w:divBdr>
        <w:top w:val="none" w:sz="0" w:space="0" w:color="auto"/>
        <w:left w:val="none" w:sz="0" w:space="0" w:color="auto"/>
        <w:bottom w:val="none" w:sz="0" w:space="0" w:color="auto"/>
        <w:right w:val="none" w:sz="0" w:space="0" w:color="auto"/>
      </w:divBdr>
    </w:div>
    <w:div w:id="1890723110">
      <w:bodyDiv w:val="1"/>
      <w:marLeft w:val="0"/>
      <w:marRight w:val="0"/>
      <w:marTop w:val="0"/>
      <w:marBottom w:val="0"/>
      <w:divBdr>
        <w:top w:val="none" w:sz="0" w:space="0" w:color="auto"/>
        <w:left w:val="none" w:sz="0" w:space="0" w:color="auto"/>
        <w:bottom w:val="none" w:sz="0" w:space="0" w:color="auto"/>
        <w:right w:val="none" w:sz="0" w:space="0" w:color="auto"/>
      </w:divBdr>
    </w:div>
    <w:div w:id="1902787018">
      <w:bodyDiv w:val="1"/>
      <w:marLeft w:val="0"/>
      <w:marRight w:val="0"/>
      <w:marTop w:val="0"/>
      <w:marBottom w:val="0"/>
      <w:divBdr>
        <w:top w:val="none" w:sz="0" w:space="0" w:color="auto"/>
        <w:left w:val="none" w:sz="0" w:space="0" w:color="auto"/>
        <w:bottom w:val="none" w:sz="0" w:space="0" w:color="auto"/>
        <w:right w:val="none" w:sz="0" w:space="0" w:color="auto"/>
      </w:divBdr>
    </w:div>
    <w:div w:id="1929120997">
      <w:bodyDiv w:val="1"/>
      <w:marLeft w:val="0"/>
      <w:marRight w:val="0"/>
      <w:marTop w:val="0"/>
      <w:marBottom w:val="0"/>
      <w:divBdr>
        <w:top w:val="none" w:sz="0" w:space="0" w:color="auto"/>
        <w:left w:val="none" w:sz="0" w:space="0" w:color="auto"/>
        <w:bottom w:val="none" w:sz="0" w:space="0" w:color="auto"/>
        <w:right w:val="none" w:sz="0" w:space="0" w:color="auto"/>
      </w:divBdr>
    </w:div>
    <w:div w:id="2003047005">
      <w:bodyDiv w:val="1"/>
      <w:marLeft w:val="0"/>
      <w:marRight w:val="0"/>
      <w:marTop w:val="0"/>
      <w:marBottom w:val="0"/>
      <w:divBdr>
        <w:top w:val="none" w:sz="0" w:space="0" w:color="auto"/>
        <w:left w:val="none" w:sz="0" w:space="0" w:color="auto"/>
        <w:bottom w:val="none" w:sz="0" w:space="0" w:color="auto"/>
        <w:right w:val="none" w:sz="0" w:space="0" w:color="auto"/>
      </w:divBdr>
    </w:div>
    <w:div w:id="2005158191">
      <w:bodyDiv w:val="1"/>
      <w:marLeft w:val="0"/>
      <w:marRight w:val="0"/>
      <w:marTop w:val="0"/>
      <w:marBottom w:val="0"/>
      <w:divBdr>
        <w:top w:val="none" w:sz="0" w:space="0" w:color="auto"/>
        <w:left w:val="none" w:sz="0" w:space="0" w:color="auto"/>
        <w:bottom w:val="none" w:sz="0" w:space="0" w:color="auto"/>
        <w:right w:val="none" w:sz="0" w:space="0" w:color="auto"/>
      </w:divBdr>
    </w:div>
    <w:div w:id="2009401582">
      <w:bodyDiv w:val="1"/>
      <w:marLeft w:val="0"/>
      <w:marRight w:val="0"/>
      <w:marTop w:val="0"/>
      <w:marBottom w:val="0"/>
      <w:divBdr>
        <w:top w:val="none" w:sz="0" w:space="0" w:color="auto"/>
        <w:left w:val="none" w:sz="0" w:space="0" w:color="auto"/>
        <w:bottom w:val="none" w:sz="0" w:space="0" w:color="auto"/>
        <w:right w:val="none" w:sz="0" w:space="0" w:color="auto"/>
      </w:divBdr>
    </w:div>
    <w:div w:id="2046369756">
      <w:bodyDiv w:val="1"/>
      <w:marLeft w:val="0"/>
      <w:marRight w:val="0"/>
      <w:marTop w:val="0"/>
      <w:marBottom w:val="0"/>
      <w:divBdr>
        <w:top w:val="none" w:sz="0" w:space="0" w:color="auto"/>
        <w:left w:val="none" w:sz="0" w:space="0" w:color="auto"/>
        <w:bottom w:val="none" w:sz="0" w:space="0" w:color="auto"/>
        <w:right w:val="none" w:sz="0" w:space="0" w:color="auto"/>
      </w:divBdr>
    </w:div>
    <w:div w:id="2073766859">
      <w:bodyDiv w:val="1"/>
      <w:marLeft w:val="0"/>
      <w:marRight w:val="0"/>
      <w:marTop w:val="0"/>
      <w:marBottom w:val="0"/>
      <w:divBdr>
        <w:top w:val="none" w:sz="0" w:space="0" w:color="auto"/>
        <w:left w:val="none" w:sz="0" w:space="0" w:color="auto"/>
        <w:bottom w:val="none" w:sz="0" w:space="0" w:color="auto"/>
        <w:right w:val="none" w:sz="0" w:space="0" w:color="auto"/>
      </w:divBdr>
    </w:div>
    <w:div w:id="2113427577">
      <w:bodyDiv w:val="1"/>
      <w:marLeft w:val="0"/>
      <w:marRight w:val="0"/>
      <w:marTop w:val="0"/>
      <w:marBottom w:val="0"/>
      <w:divBdr>
        <w:top w:val="none" w:sz="0" w:space="0" w:color="auto"/>
        <w:left w:val="none" w:sz="0" w:space="0" w:color="auto"/>
        <w:bottom w:val="none" w:sz="0" w:space="0" w:color="auto"/>
        <w:right w:val="none" w:sz="0" w:space="0" w:color="auto"/>
      </w:divBdr>
    </w:div>
    <w:div w:id="213228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pc.wa.gov.au/"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admin@dpc.wa.gov.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nzac.dpc.wa.gov.au/CommemorativeActivities/Pages/VictoriaCrossandGeorgeCrossRecipients.aspx"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EAE2606C6A6B45ACE323BE3FD48C26" ma:contentTypeVersion="1" ma:contentTypeDescription="Create a new document." ma:contentTypeScope="" ma:versionID="b9a5490435d3dc54ac0cc9650407e648">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E4522F-4190-4732-90B7-22ED707A66AA}"/>
</file>

<file path=customXml/itemProps2.xml><?xml version="1.0" encoding="utf-8"?>
<ds:datastoreItem xmlns:ds="http://schemas.openxmlformats.org/officeDocument/2006/customXml" ds:itemID="{840E2F7F-DD31-411C-A0E8-6D08D338CB4A}"/>
</file>

<file path=customXml/itemProps3.xml><?xml version="1.0" encoding="utf-8"?>
<ds:datastoreItem xmlns:ds="http://schemas.openxmlformats.org/officeDocument/2006/customXml" ds:itemID="{F3740D3F-B36C-4145-B767-9F47FF467096}"/>
</file>

<file path=customXml/itemProps4.xml><?xml version="1.0" encoding="utf-8"?>
<ds:datastoreItem xmlns:ds="http://schemas.openxmlformats.org/officeDocument/2006/customXml" ds:itemID="{679B2D8D-920A-4172-8A53-69B3187E7F05}"/>
</file>

<file path=docProps/app.xml><?xml version="1.0" encoding="utf-8"?>
<Properties xmlns="http://schemas.openxmlformats.org/officeDocument/2006/extended-properties" xmlns:vt="http://schemas.openxmlformats.org/officeDocument/2006/docPropsVTypes">
  <Template>37A1D68B.dotm</Template>
  <TotalTime>2023</TotalTime>
  <Pages>149</Pages>
  <Words>41139</Words>
  <Characters>234495</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DPC/PSC</Company>
  <LinksUpToDate>false</LinksUpToDate>
  <CharactersWithSpaces>275084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Catriona</dc:creator>
  <cp:lastModifiedBy>Catriona Lorenz</cp:lastModifiedBy>
  <cp:revision>25</cp:revision>
  <cp:lastPrinted>2015-08-15T11:08:00Z</cp:lastPrinted>
  <dcterms:created xsi:type="dcterms:W3CDTF">2015-09-18T04:57:00Z</dcterms:created>
  <dcterms:modified xsi:type="dcterms:W3CDTF">2015-09-21T02:28:00Z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0x010100A5EAE2606C6A6B45ACE323BE3FD48C26</vt:lpwstr>
  </property>
</Properties>
</file>