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CF" w:rsidRDefault="000D3BCF" w:rsidP="000D3BCF">
      <w:pPr>
        <w:spacing w:line="240" w:lineRule="auto"/>
        <w:jc w:val="center"/>
        <w:rPr>
          <w:rFonts w:ascii="Arial-BoldMT" w:hAnsi="Arial-BoldMT" w:cs="Arial-BoldMT"/>
          <w:b/>
          <w:bCs/>
          <w:color w:val="00476C"/>
          <w:sz w:val="100"/>
          <w:szCs w:val="100"/>
        </w:rPr>
      </w:pPr>
      <w:bookmarkStart w:id="0" w:name="_GoBack"/>
      <w:bookmarkEnd w:id="0"/>
    </w:p>
    <w:p w:rsidR="000D3BCF" w:rsidRDefault="000D3BCF" w:rsidP="000D3BCF">
      <w:pPr>
        <w:spacing w:line="240" w:lineRule="auto"/>
        <w:jc w:val="center"/>
        <w:rPr>
          <w:rFonts w:ascii="Arial-BoldMT" w:hAnsi="Arial-BoldMT" w:cs="Arial-BoldMT"/>
          <w:b/>
          <w:bCs/>
          <w:color w:val="00476C"/>
          <w:sz w:val="100"/>
          <w:szCs w:val="100"/>
        </w:rPr>
      </w:pPr>
    </w:p>
    <w:p w:rsidR="000D3BCF" w:rsidRDefault="005D350B" w:rsidP="000D3BCF">
      <w:pPr>
        <w:spacing w:line="240" w:lineRule="auto"/>
        <w:jc w:val="center"/>
        <w:rPr>
          <w:rFonts w:ascii="Arial-BoldMT" w:hAnsi="Arial-BoldMT" w:cs="Arial-BoldMT"/>
          <w:b/>
          <w:bCs/>
          <w:color w:val="00476C"/>
          <w:sz w:val="100"/>
          <w:szCs w:val="100"/>
        </w:rPr>
      </w:pPr>
      <w:r>
        <w:rPr>
          <w:rFonts w:ascii="Arial-BoldMT" w:hAnsi="Arial-BoldMT" w:cs="Arial-BoldMT"/>
          <w:b/>
          <w:bCs/>
          <w:color w:val="00476C"/>
          <w:sz w:val="100"/>
          <w:szCs w:val="100"/>
        </w:rPr>
        <w:t>The South West N</w:t>
      </w:r>
      <w:r w:rsidR="000D3BCF">
        <w:rPr>
          <w:rFonts w:ascii="Arial-BoldMT" w:hAnsi="Arial-BoldMT" w:cs="Arial-BoldMT"/>
          <w:b/>
          <w:bCs/>
          <w:color w:val="00476C"/>
          <w:sz w:val="100"/>
          <w:szCs w:val="100"/>
        </w:rPr>
        <w:t xml:space="preserve">ative Title Settlement </w:t>
      </w:r>
    </w:p>
    <w:p w:rsidR="000D3BCF" w:rsidRDefault="000D3BCF" w:rsidP="000D3BCF">
      <w:pPr>
        <w:spacing w:after="0" w:line="240" w:lineRule="auto"/>
        <w:rPr>
          <w:rFonts w:cs="Arial"/>
          <w:iCs/>
        </w:rPr>
      </w:pPr>
    </w:p>
    <w:p w:rsidR="000D3BCF" w:rsidRDefault="000D3BCF" w:rsidP="000D3BCF">
      <w:pPr>
        <w:spacing w:after="0" w:line="240" w:lineRule="auto"/>
        <w:jc w:val="center"/>
        <w:rPr>
          <w:rFonts w:cs="Arial"/>
          <w:iCs/>
        </w:rPr>
      </w:pPr>
    </w:p>
    <w:p w:rsidR="000D3BCF" w:rsidRDefault="000D3BCF" w:rsidP="000D3BCF">
      <w:pPr>
        <w:spacing w:after="0" w:line="240" w:lineRule="auto"/>
        <w:jc w:val="center"/>
        <w:rPr>
          <w:rFonts w:cs="Arial"/>
          <w:iCs/>
        </w:rPr>
      </w:pPr>
    </w:p>
    <w:p w:rsidR="000D3BCF" w:rsidRDefault="000D3BCF" w:rsidP="000D3BCF">
      <w:pPr>
        <w:spacing w:after="0" w:line="240" w:lineRule="auto"/>
        <w:jc w:val="center"/>
        <w:rPr>
          <w:rFonts w:ascii="ArialMT" w:hAnsi="ArialMT" w:cs="ArialMT"/>
          <w:color w:val="C75928"/>
          <w:sz w:val="48"/>
          <w:szCs w:val="48"/>
        </w:rPr>
      </w:pPr>
      <w:r w:rsidRPr="007D0F28">
        <w:rPr>
          <w:rFonts w:cs="Arial"/>
          <w:iCs/>
        </w:rPr>
        <w:br/>
      </w:r>
      <w:r w:rsidR="00701FB6">
        <w:rPr>
          <w:rFonts w:ascii="ArialMT" w:hAnsi="ArialMT" w:cs="ArialMT"/>
          <w:color w:val="C75928"/>
          <w:sz w:val="48"/>
          <w:szCs w:val="48"/>
        </w:rPr>
        <w:t xml:space="preserve">Newsletter </w:t>
      </w:r>
      <w:r w:rsidR="00F80CA2">
        <w:rPr>
          <w:rFonts w:ascii="ArialMT" w:hAnsi="ArialMT" w:cs="ArialMT"/>
          <w:color w:val="C75928"/>
          <w:sz w:val="48"/>
          <w:szCs w:val="48"/>
        </w:rPr>
        <w:t>May</w:t>
      </w:r>
      <w:r w:rsidR="00B937C4">
        <w:rPr>
          <w:rFonts w:ascii="ArialMT" w:hAnsi="ArialMT" w:cs="ArialMT"/>
          <w:color w:val="C75928"/>
          <w:sz w:val="48"/>
          <w:szCs w:val="48"/>
        </w:rPr>
        <w:t xml:space="preserve"> </w:t>
      </w:r>
      <w:r w:rsidR="00037323">
        <w:rPr>
          <w:rFonts w:ascii="ArialMT" w:hAnsi="ArialMT" w:cs="ArialMT"/>
          <w:color w:val="C75928"/>
          <w:sz w:val="48"/>
          <w:szCs w:val="48"/>
        </w:rPr>
        <w:t>201</w:t>
      </w:r>
      <w:r w:rsidR="006F0770">
        <w:rPr>
          <w:rFonts w:ascii="ArialMT" w:hAnsi="ArialMT" w:cs="ArialMT"/>
          <w:color w:val="C75928"/>
          <w:sz w:val="48"/>
          <w:szCs w:val="48"/>
        </w:rPr>
        <w:t>7</w:t>
      </w:r>
      <w:r>
        <w:rPr>
          <w:rFonts w:ascii="ArialMT" w:hAnsi="ArialMT" w:cs="ArialMT"/>
          <w:color w:val="C75928"/>
          <w:sz w:val="48"/>
          <w:szCs w:val="48"/>
        </w:rPr>
        <w:t xml:space="preserve">  </w:t>
      </w: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E53983" w:rsidP="000D3BCF">
      <w:pPr>
        <w:spacing w:line="240" w:lineRule="auto"/>
        <w:jc w:val="center"/>
        <w:rPr>
          <w:rFonts w:cs="Arial"/>
          <w:iCs/>
        </w:rPr>
      </w:pPr>
      <w:r w:rsidRPr="002531C3">
        <w:rPr>
          <w:rFonts w:cs="Arial"/>
          <w:i/>
          <w:iCs/>
          <w:noProof/>
          <w:lang w:eastAsia="en-AU"/>
        </w:rPr>
        <mc:AlternateContent>
          <mc:Choice Requires="wps">
            <w:drawing>
              <wp:anchor distT="0" distB="0" distL="114300" distR="114300" simplePos="0" relativeHeight="251660288" behindDoc="0" locked="0" layoutInCell="1" allowOverlap="1" wp14:anchorId="454643BC" wp14:editId="6DE03D02">
                <wp:simplePos x="0" y="0"/>
                <wp:positionH relativeFrom="column">
                  <wp:posOffset>-28575</wp:posOffset>
                </wp:positionH>
                <wp:positionV relativeFrom="paragraph">
                  <wp:posOffset>68580</wp:posOffset>
                </wp:positionV>
                <wp:extent cx="5953760" cy="30670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3067050"/>
                        </a:xfrm>
                        <a:prstGeom prst="rect">
                          <a:avLst/>
                        </a:prstGeom>
                        <a:solidFill>
                          <a:srgbClr val="FFFFFF"/>
                        </a:solidFill>
                        <a:ln w="9525">
                          <a:solidFill>
                            <a:srgbClr val="000000"/>
                          </a:solidFill>
                          <a:miter lim="800000"/>
                          <a:headEnd/>
                          <a:tailEnd/>
                        </a:ln>
                      </wps:spPr>
                      <wps:txbx>
                        <w:txbxContent>
                          <w:p w:rsidR="00E9010E" w:rsidRDefault="00E9010E" w:rsidP="00E9010E">
                            <w:pPr>
                              <w:spacing w:after="0"/>
                              <w:jc w:val="both"/>
                              <w:rPr>
                                <w:rFonts w:ascii="Arial" w:hAnsi="Arial" w:cs="Arial"/>
                                <w:iCs/>
                                <w:szCs w:val="24"/>
                              </w:rPr>
                            </w:pPr>
                          </w:p>
                          <w:p w:rsidR="00C74DC6" w:rsidRDefault="00C74DC6" w:rsidP="002531C3">
                            <w:pPr>
                              <w:spacing w:after="0"/>
                              <w:jc w:val="both"/>
                              <w:rPr>
                                <w:rFonts w:ascii="Arial" w:hAnsi="Arial" w:cs="Arial"/>
                                <w:iCs/>
                              </w:rPr>
                            </w:pPr>
                            <w:r w:rsidRPr="0099634F">
                              <w:rPr>
                                <w:rFonts w:ascii="Arial" w:hAnsi="Arial" w:cs="Arial"/>
                                <w:iCs/>
                              </w:rPr>
                              <w:t>The South West Native Title Settlement is the largest and most comprehensive agreement to settle Aboriginal interests over land in Australia since colonisation.  Involving around 30,000 Noongar people and covering approximately 200,000 square kilometres, the Settlement provides an opportunity for the WA Government to work in partnership with the Noongar community to improve their economic, social and cultural development. It represents a significant investment in both the Noongar community and the shared future of the Western Australian community as a whole.</w:t>
                            </w:r>
                          </w:p>
                          <w:p w:rsidR="00E53983" w:rsidRDefault="00E53983" w:rsidP="002531C3">
                            <w:pPr>
                              <w:spacing w:after="0"/>
                              <w:jc w:val="both"/>
                              <w:rPr>
                                <w:rFonts w:ascii="Arial" w:hAnsi="Arial" w:cs="Arial"/>
                                <w:iCs/>
                              </w:rPr>
                            </w:pPr>
                          </w:p>
                          <w:p w:rsidR="00E53983" w:rsidRDefault="00E53983" w:rsidP="00E53983">
                            <w:pPr>
                              <w:spacing w:after="0"/>
                              <w:jc w:val="both"/>
                              <w:rPr>
                                <w:rFonts w:ascii="Arial" w:hAnsi="Arial" w:cs="Arial"/>
                                <w:iCs/>
                              </w:rPr>
                            </w:pPr>
                            <w:r>
                              <w:rPr>
                                <w:rFonts w:ascii="Arial" w:hAnsi="Arial" w:cs="Arial"/>
                                <w:iCs/>
                              </w:rPr>
                              <w:t xml:space="preserve">On 8 June 2015 the </w:t>
                            </w:r>
                            <w:r w:rsidR="008334D3">
                              <w:rPr>
                                <w:rFonts w:ascii="Arial" w:hAnsi="Arial" w:cs="Arial"/>
                                <w:iCs/>
                              </w:rPr>
                              <w:t xml:space="preserve">WA </w:t>
                            </w:r>
                            <w:r>
                              <w:rPr>
                                <w:rFonts w:ascii="Arial" w:hAnsi="Arial" w:cs="Arial"/>
                                <w:iCs/>
                              </w:rPr>
                              <w:t>Government</w:t>
                            </w:r>
                            <w:r w:rsidRPr="000D3BCF">
                              <w:rPr>
                                <w:rFonts w:ascii="Arial" w:hAnsi="Arial" w:cs="Arial"/>
                                <w:iCs/>
                              </w:rPr>
                              <w:t xml:space="preserve"> execut</w:t>
                            </w:r>
                            <w:r>
                              <w:rPr>
                                <w:rFonts w:ascii="Arial" w:hAnsi="Arial" w:cs="Arial"/>
                                <w:iCs/>
                              </w:rPr>
                              <w:t>ed the six South West Native Title Settlement</w:t>
                            </w:r>
                            <w:r w:rsidRPr="000D3BCF">
                              <w:rPr>
                                <w:rFonts w:ascii="Arial" w:hAnsi="Arial" w:cs="Arial"/>
                                <w:iCs/>
                              </w:rPr>
                              <w:t xml:space="preserve"> </w:t>
                            </w:r>
                            <w:r>
                              <w:rPr>
                                <w:rFonts w:ascii="Arial" w:hAnsi="Arial" w:cs="Arial"/>
                                <w:iCs/>
                              </w:rPr>
                              <w:t>Agreements</w:t>
                            </w:r>
                            <w:r w:rsidRPr="000D3BCF">
                              <w:rPr>
                                <w:rFonts w:ascii="Arial" w:hAnsi="Arial" w:cs="Arial"/>
                                <w:iCs/>
                              </w:rPr>
                              <w:t xml:space="preserve"> </w:t>
                            </w:r>
                            <w:r>
                              <w:rPr>
                                <w:rFonts w:ascii="Arial" w:hAnsi="Arial" w:cs="Arial"/>
                                <w:iCs/>
                              </w:rPr>
                              <w:t xml:space="preserve">with the </w:t>
                            </w:r>
                            <w:r>
                              <w:rPr>
                                <w:rFonts w:ascii="Arial" w:hAnsi="Arial" w:cs="Arial"/>
                                <w:iCs/>
                                <w:szCs w:val="24"/>
                              </w:rPr>
                              <w:t xml:space="preserve">Ballardong People, </w:t>
                            </w:r>
                            <w:r w:rsidRPr="00993FDB">
                              <w:rPr>
                                <w:rFonts w:ascii="Arial" w:hAnsi="Arial" w:cs="Arial"/>
                                <w:iCs/>
                                <w:szCs w:val="24"/>
                              </w:rPr>
                              <w:t>Gnaala Karla Booja</w:t>
                            </w:r>
                            <w:r>
                              <w:rPr>
                                <w:rFonts w:ascii="Arial" w:hAnsi="Arial" w:cs="Arial"/>
                                <w:iCs/>
                                <w:szCs w:val="24"/>
                              </w:rPr>
                              <w:t xml:space="preserve">, South West Boojarah #2, </w:t>
                            </w:r>
                            <w:r w:rsidRPr="00993FDB">
                              <w:rPr>
                                <w:rFonts w:ascii="Arial" w:hAnsi="Arial" w:cs="Arial"/>
                                <w:iCs/>
                                <w:szCs w:val="24"/>
                              </w:rPr>
                              <w:t xml:space="preserve">Wagyl Kaip </w:t>
                            </w:r>
                            <w:r>
                              <w:rPr>
                                <w:rFonts w:ascii="Arial" w:hAnsi="Arial" w:cs="Arial"/>
                                <w:iCs/>
                                <w:szCs w:val="24"/>
                              </w:rPr>
                              <w:t xml:space="preserve">&amp; Southern Noongar, Whadjuk People and Yued native title agreement groups.   </w:t>
                            </w:r>
                            <w:r w:rsidR="00937199">
                              <w:rPr>
                                <w:rFonts w:ascii="Arial" w:hAnsi="Arial" w:cs="Arial"/>
                                <w:iCs/>
                              </w:rPr>
                              <w:t>Although the Agreements were signed, the Settlement, involving the exchange of native title rights and interests for the package of benefits under the Agreements, becomes fully effective only after all of the Agreements have been registered and any related Court proceedings have been resolved.</w:t>
                            </w:r>
                          </w:p>
                          <w:p w:rsidR="00E53983" w:rsidRPr="0099634F" w:rsidRDefault="00E53983" w:rsidP="002531C3">
                            <w:pPr>
                              <w:spacing w:after="0"/>
                              <w:jc w:val="both"/>
                              <w:rPr>
                                <w:rFonts w:ascii="Arial" w:hAnsi="Arial" w:cs="Arial"/>
                                <w:iCs/>
                              </w:rPr>
                            </w:pPr>
                          </w:p>
                          <w:p w:rsidR="00C74DC6" w:rsidRDefault="00C74D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643BC" id="_x0000_t202" coordsize="21600,21600" o:spt="202" path="m,l,21600r21600,l21600,xe">
                <v:stroke joinstyle="miter"/>
                <v:path gradientshapeok="t" o:connecttype="rect"/>
              </v:shapetype>
              <v:shape id="Text Box 2" o:spid="_x0000_s1026" type="#_x0000_t202" style="position:absolute;left:0;text-align:left;margin-left:-2.25pt;margin-top:5.4pt;width:468.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">
                <v:textbox>
                  <w:txbxContent>
                    <w:p w:rsidR="00E9010E" w:rsidRDefault="00E9010E" w:rsidP="00E9010E">
                      <w:pPr>
                        <w:spacing w:after="0"/>
                        <w:jc w:val="both"/>
                        <w:rPr>
                          <w:rFonts w:ascii="Arial" w:hAnsi="Arial" w:cs="Arial"/>
                          <w:iCs/>
                          <w:szCs w:val="24"/>
                        </w:rPr>
                      </w:pPr>
                    </w:p>
                    <w:p w:rsidR="00C74DC6" w:rsidRDefault="00C74DC6" w:rsidP="002531C3">
                      <w:pPr>
                        <w:spacing w:after="0"/>
                        <w:jc w:val="both"/>
                        <w:rPr>
                          <w:rFonts w:ascii="Arial" w:hAnsi="Arial" w:cs="Arial"/>
                          <w:iCs/>
                        </w:rPr>
                      </w:pPr>
                      <w:r w:rsidRPr="0099634F">
                        <w:rPr>
                          <w:rFonts w:ascii="Arial" w:hAnsi="Arial" w:cs="Arial"/>
                          <w:iCs/>
                        </w:rPr>
                        <w:t>The South West Native Title Settlement is the largest and most comprehensive agreement to settle Aboriginal interests over land in Australia since colonisation.  Involving around 30,000 Noongar people and covering approximately 200,000 square kilometres, the Settlement provides an opportunity for the WA Government to work in partnership with the Noongar community to improve their economic, social and cultural development. It represents a significant investment in both the Noongar community and the shared future of the Western Australian community as a whole.</w:t>
                      </w:r>
                    </w:p>
                    <w:p w:rsidR="00E53983" w:rsidRDefault="00E53983" w:rsidP="002531C3">
                      <w:pPr>
                        <w:spacing w:after="0"/>
                        <w:jc w:val="both"/>
                        <w:rPr>
                          <w:rFonts w:ascii="Arial" w:hAnsi="Arial" w:cs="Arial"/>
                          <w:iCs/>
                        </w:rPr>
                      </w:pPr>
                    </w:p>
                    <w:p w:rsidR="00E53983" w:rsidRDefault="00E53983" w:rsidP="00E53983">
                      <w:pPr>
                        <w:spacing w:after="0"/>
                        <w:jc w:val="both"/>
                        <w:rPr>
                          <w:rFonts w:ascii="Arial" w:hAnsi="Arial" w:cs="Arial"/>
                          <w:iCs/>
                        </w:rPr>
                      </w:pPr>
                      <w:r>
                        <w:rPr>
                          <w:rFonts w:ascii="Arial" w:hAnsi="Arial" w:cs="Arial"/>
                          <w:iCs/>
                        </w:rPr>
                        <w:t xml:space="preserve">On 8 June 2015 the </w:t>
                      </w:r>
                      <w:r w:rsidR="008334D3">
                        <w:rPr>
                          <w:rFonts w:ascii="Arial" w:hAnsi="Arial" w:cs="Arial"/>
                          <w:iCs/>
                        </w:rPr>
                        <w:t xml:space="preserve">WA </w:t>
                      </w:r>
                      <w:r>
                        <w:rPr>
                          <w:rFonts w:ascii="Arial" w:hAnsi="Arial" w:cs="Arial"/>
                          <w:iCs/>
                        </w:rPr>
                        <w:t>Government</w:t>
                      </w:r>
                      <w:r w:rsidRPr="000D3BCF">
                        <w:rPr>
                          <w:rFonts w:ascii="Arial" w:hAnsi="Arial" w:cs="Arial"/>
                          <w:iCs/>
                        </w:rPr>
                        <w:t xml:space="preserve"> execut</w:t>
                      </w:r>
                      <w:r>
                        <w:rPr>
                          <w:rFonts w:ascii="Arial" w:hAnsi="Arial" w:cs="Arial"/>
                          <w:iCs/>
                        </w:rPr>
                        <w:t>ed the six South West Native Title Settlement</w:t>
                      </w:r>
                      <w:r w:rsidRPr="000D3BCF">
                        <w:rPr>
                          <w:rFonts w:ascii="Arial" w:hAnsi="Arial" w:cs="Arial"/>
                          <w:iCs/>
                        </w:rPr>
                        <w:t xml:space="preserve"> </w:t>
                      </w:r>
                      <w:r>
                        <w:rPr>
                          <w:rFonts w:ascii="Arial" w:hAnsi="Arial" w:cs="Arial"/>
                          <w:iCs/>
                        </w:rPr>
                        <w:t>Agreements</w:t>
                      </w:r>
                      <w:r w:rsidRPr="000D3BCF">
                        <w:rPr>
                          <w:rFonts w:ascii="Arial" w:hAnsi="Arial" w:cs="Arial"/>
                          <w:iCs/>
                        </w:rPr>
                        <w:t xml:space="preserve"> </w:t>
                      </w:r>
                      <w:r>
                        <w:rPr>
                          <w:rFonts w:ascii="Arial" w:hAnsi="Arial" w:cs="Arial"/>
                          <w:iCs/>
                        </w:rPr>
                        <w:t xml:space="preserve">with the </w:t>
                      </w:r>
                      <w:r>
                        <w:rPr>
                          <w:rFonts w:ascii="Arial" w:hAnsi="Arial" w:cs="Arial"/>
                          <w:iCs/>
                          <w:szCs w:val="24"/>
                        </w:rPr>
                        <w:t xml:space="preserve">Ballardong People, </w:t>
                      </w:r>
                      <w:r w:rsidRPr="00993FDB">
                        <w:rPr>
                          <w:rFonts w:ascii="Arial" w:hAnsi="Arial" w:cs="Arial"/>
                          <w:iCs/>
                          <w:szCs w:val="24"/>
                        </w:rPr>
                        <w:t>Gnaala Karla Booja</w:t>
                      </w:r>
                      <w:r>
                        <w:rPr>
                          <w:rFonts w:ascii="Arial" w:hAnsi="Arial" w:cs="Arial"/>
                          <w:iCs/>
                          <w:szCs w:val="24"/>
                        </w:rPr>
                        <w:t xml:space="preserve">, South West Boojarah #2, </w:t>
                      </w:r>
                      <w:r w:rsidRPr="00993FDB">
                        <w:rPr>
                          <w:rFonts w:ascii="Arial" w:hAnsi="Arial" w:cs="Arial"/>
                          <w:iCs/>
                          <w:szCs w:val="24"/>
                        </w:rPr>
                        <w:t xml:space="preserve">Wagyl Kaip </w:t>
                      </w:r>
                      <w:r>
                        <w:rPr>
                          <w:rFonts w:ascii="Arial" w:hAnsi="Arial" w:cs="Arial"/>
                          <w:iCs/>
                          <w:szCs w:val="24"/>
                        </w:rPr>
                        <w:t xml:space="preserve">&amp; Southern Noongar, Whadjuk People and Yued native title agreement groups.   </w:t>
                      </w:r>
                      <w:r w:rsidR="00937199">
                        <w:rPr>
                          <w:rFonts w:ascii="Arial" w:hAnsi="Arial" w:cs="Arial"/>
                          <w:iCs/>
                        </w:rPr>
                        <w:t>Although the Agreements were signed, the Settlement, involving the exchange of native title rights and interests for the package of benefits under the Agreements, becomes fully effective only after all of the Agreements have been registered and any related Court proceedings have been resolved.</w:t>
                      </w:r>
                    </w:p>
                    <w:p w:rsidR="00E53983" w:rsidRPr="0099634F" w:rsidRDefault="00E53983" w:rsidP="002531C3">
                      <w:pPr>
                        <w:spacing w:after="0"/>
                        <w:jc w:val="both"/>
                        <w:rPr>
                          <w:rFonts w:ascii="Arial" w:hAnsi="Arial" w:cs="Arial"/>
                          <w:iCs/>
                        </w:rPr>
                      </w:pPr>
                    </w:p>
                    <w:p w:rsidR="00C74DC6" w:rsidRDefault="00C74DC6"/>
                  </w:txbxContent>
                </v:textbox>
              </v:shape>
            </w:pict>
          </mc:Fallback>
        </mc:AlternateContent>
      </w:r>
    </w:p>
    <w:p w:rsidR="000D3BCF" w:rsidRDefault="000D3BCF" w:rsidP="000D3BCF">
      <w:pPr>
        <w:spacing w:line="240" w:lineRule="auto"/>
        <w:jc w:val="center"/>
        <w:rPr>
          <w:rFonts w:cs="Arial"/>
          <w:i/>
          <w:iCs/>
        </w:rPr>
      </w:pPr>
    </w:p>
    <w:p w:rsidR="0023188A" w:rsidRDefault="0023188A" w:rsidP="000D3BCF">
      <w:pPr>
        <w:spacing w:line="240" w:lineRule="auto"/>
        <w:jc w:val="center"/>
        <w:rPr>
          <w:rFonts w:cs="Arial"/>
          <w:i/>
          <w:iCs/>
        </w:rPr>
      </w:pPr>
    </w:p>
    <w:p w:rsidR="0023188A" w:rsidRPr="0023188A" w:rsidRDefault="0023188A" w:rsidP="0023188A">
      <w:pPr>
        <w:spacing w:line="240" w:lineRule="auto"/>
        <w:rPr>
          <w:rFonts w:cs="Arial"/>
          <w:i/>
          <w:iCs/>
        </w:rPr>
      </w:pPr>
    </w:p>
    <w:p w:rsidR="000D3BCF" w:rsidRDefault="000D3BCF" w:rsidP="000D3BCF">
      <w:pPr>
        <w:spacing w:line="240" w:lineRule="auto"/>
        <w:jc w:val="center"/>
        <w:rPr>
          <w:rFonts w:cs="Arial"/>
          <w:iCs/>
        </w:rPr>
      </w:pPr>
    </w:p>
    <w:p w:rsidR="009474DD" w:rsidRDefault="009474DD" w:rsidP="00993FDB">
      <w:pPr>
        <w:spacing w:line="240" w:lineRule="auto"/>
        <w:jc w:val="center"/>
        <w:rPr>
          <w:rFonts w:ascii="ArialMT" w:hAnsi="ArialMT" w:cs="ArialMT"/>
          <w:color w:val="C75928"/>
          <w:sz w:val="48"/>
          <w:szCs w:val="48"/>
        </w:rPr>
      </w:pPr>
      <w:r>
        <w:rPr>
          <w:rFonts w:ascii="ArialMT" w:hAnsi="ArialMT" w:cs="ArialMT"/>
          <w:color w:val="C75928"/>
          <w:sz w:val="48"/>
          <w:szCs w:val="48"/>
        </w:rPr>
        <w:t>Pre-conditions to Settlement</w:t>
      </w:r>
    </w:p>
    <w:p w:rsidR="00701FB6" w:rsidRPr="008334D3" w:rsidRDefault="002531C3" w:rsidP="008334D3">
      <w:pPr>
        <w:rPr>
          <w:rFonts w:ascii="Arial" w:hAnsi="Arial" w:cs="Arial"/>
          <w:iCs/>
        </w:rPr>
      </w:pPr>
      <w:r>
        <w:rPr>
          <w:rFonts w:ascii="Arial" w:hAnsi="Arial" w:cs="Arial"/>
          <w:iCs/>
        </w:rPr>
        <w:br w:type="page"/>
      </w:r>
    </w:p>
    <w:p w:rsidR="00701FB6" w:rsidRPr="008334D3" w:rsidRDefault="00B937C4" w:rsidP="008334D3">
      <w:pPr>
        <w:spacing w:after="0"/>
        <w:jc w:val="center"/>
        <w:rPr>
          <w:rFonts w:ascii="ArialMT" w:hAnsi="ArialMT" w:cs="ArialMT"/>
          <w:color w:val="C75928"/>
          <w:sz w:val="48"/>
          <w:szCs w:val="48"/>
        </w:rPr>
      </w:pPr>
      <w:r>
        <w:rPr>
          <w:rFonts w:ascii="ArialMT" w:hAnsi="ArialMT" w:cs="ArialMT"/>
          <w:color w:val="C75928"/>
          <w:sz w:val="48"/>
          <w:szCs w:val="48"/>
        </w:rPr>
        <w:lastRenderedPageBreak/>
        <w:t>Registration</w:t>
      </w:r>
      <w:r w:rsidR="00E53983">
        <w:rPr>
          <w:rFonts w:ascii="ArialMT" w:hAnsi="ArialMT" w:cs="ArialMT"/>
          <w:color w:val="C75928"/>
          <w:sz w:val="48"/>
          <w:szCs w:val="48"/>
        </w:rPr>
        <w:t xml:space="preserve"> of the Agreements and the </w:t>
      </w:r>
      <w:r w:rsidR="007819C9">
        <w:rPr>
          <w:rFonts w:ascii="ArialMT" w:hAnsi="ArialMT" w:cs="ArialMT"/>
          <w:color w:val="C75928"/>
          <w:sz w:val="48"/>
          <w:szCs w:val="48"/>
        </w:rPr>
        <w:t>effect</w:t>
      </w:r>
      <w:r w:rsidR="0092552C">
        <w:rPr>
          <w:rFonts w:ascii="ArialMT" w:hAnsi="ArialMT" w:cs="ArialMT"/>
          <w:color w:val="C75928"/>
          <w:sz w:val="48"/>
          <w:szCs w:val="48"/>
        </w:rPr>
        <w:t xml:space="preserve"> of the </w:t>
      </w:r>
      <w:r w:rsidR="00E53983">
        <w:rPr>
          <w:rFonts w:ascii="ArialMT" w:hAnsi="ArialMT" w:cs="ArialMT"/>
          <w:color w:val="C75928"/>
          <w:sz w:val="48"/>
          <w:szCs w:val="48"/>
        </w:rPr>
        <w:t>McGlade Judg</w:t>
      </w:r>
      <w:r w:rsidR="003829E4">
        <w:rPr>
          <w:rFonts w:ascii="ArialMT" w:hAnsi="ArialMT" w:cs="ArialMT"/>
          <w:color w:val="C75928"/>
          <w:sz w:val="48"/>
          <w:szCs w:val="48"/>
        </w:rPr>
        <w:t>e</w:t>
      </w:r>
      <w:r w:rsidR="00E53983">
        <w:rPr>
          <w:rFonts w:ascii="ArialMT" w:hAnsi="ArialMT" w:cs="ArialMT"/>
          <w:color w:val="C75928"/>
          <w:sz w:val="48"/>
          <w:szCs w:val="48"/>
        </w:rPr>
        <w:t>ment</w:t>
      </w:r>
    </w:p>
    <w:p w:rsidR="00937199" w:rsidRDefault="006C0B0F" w:rsidP="0081535D">
      <w:pPr>
        <w:spacing w:after="0"/>
        <w:jc w:val="both"/>
        <w:rPr>
          <w:rFonts w:ascii="Arial" w:hAnsi="Arial" w:cs="Arial"/>
          <w:iCs/>
        </w:rPr>
      </w:pPr>
      <w:r>
        <w:rPr>
          <w:rFonts w:ascii="Arial" w:hAnsi="Arial" w:cs="Arial"/>
          <w:iCs/>
        </w:rPr>
        <w:t>F</w:t>
      </w:r>
      <w:r w:rsidR="007712F7" w:rsidRPr="004E5FAD">
        <w:rPr>
          <w:rFonts w:ascii="Arial" w:hAnsi="Arial" w:cs="Arial"/>
          <w:iCs/>
        </w:rPr>
        <w:t xml:space="preserve">our High Court applications </w:t>
      </w:r>
      <w:r w:rsidR="004E5FAD">
        <w:rPr>
          <w:rFonts w:ascii="Arial" w:hAnsi="Arial" w:cs="Arial"/>
          <w:iCs/>
        </w:rPr>
        <w:t>were</w:t>
      </w:r>
      <w:r w:rsidR="007712F7" w:rsidRPr="004E5FAD">
        <w:rPr>
          <w:rFonts w:ascii="Arial" w:hAnsi="Arial" w:cs="Arial"/>
          <w:iCs/>
        </w:rPr>
        <w:t xml:space="preserve"> commenced </w:t>
      </w:r>
      <w:r w:rsidR="004E5FAD">
        <w:rPr>
          <w:rFonts w:ascii="Arial" w:hAnsi="Arial" w:cs="Arial"/>
          <w:iCs/>
        </w:rPr>
        <w:t xml:space="preserve">in </w:t>
      </w:r>
      <w:r w:rsidR="00857BC1">
        <w:rPr>
          <w:rFonts w:ascii="Arial" w:hAnsi="Arial" w:cs="Arial"/>
          <w:iCs/>
        </w:rPr>
        <w:t xml:space="preserve">December 2015 </w:t>
      </w:r>
      <w:r w:rsidR="007712F7" w:rsidRPr="004E5FAD">
        <w:rPr>
          <w:rFonts w:ascii="Arial" w:hAnsi="Arial" w:cs="Arial"/>
          <w:iCs/>
        </w:rPr>
        <w:t xml:space="preserve">against the Native Title Registrar and the parties to the </w:t>
      </w:r>
      <w:r w:rsidR="00911AD6">
        <w:rPr>
          <w:rFonts w:ascii="Arial" w:hAnsi="Arial" w:cs="Arial"/>
          <w:iCs/>
        </w:rPr>
        <w:t xml:space="preserve">South West Native Title </w:t>
      </w:r>
      <w:r w:rsidR="005C1345">
        <w:rPr>
          <w:rFonts w:ascii="Arial" w:hAnsi="Arial" w:cs="Arial"/>
          <w:iCs/>
        </w:rPr>
        <w:t>Agreement</w:t>
      </w:r>
      <w:r w:rsidR="007712F7" w:rsidRPr="004E5FAD">
        <w:rPr>
          <w:rFonts w:ascii="Arial" w:hAnsi="Arial" w:cs="Arial"/>
          <w:iCs/>
        </w:rPr>
        <w:t>s, including the State and S</w:t>
      </w:r>
      <w:r w:rsidR="00B937C4">
        <w:rPr>
          <w:rFonts w:ascii="Arial" w:hAnsi="Arial" w:cs="Arial"/>
          <w:iCs/>
        </w:rPr>
        <w:t>out</w:t>
      </w:r>
      <w:r w:rsidR="004F3604">
        <w:rPr>
          <w:rFonts w:ascii="Arial" w:hAnsi="Arial" w:cs="Arial"/>
          <w:iCs/>
        </w:rPr>
        <w:t>h</w:t>
      </w:r>
      <w:r w:rsidR="00B937C4">
        <w:rPr>
          <w:rFonts w:ascii="Arial" w:hAnsi="Arial" w:cs="Arial"/>
          <w:iCs/>
        </w:rPr>
        <w:t xml:space="preserve"> </w:t>
      </w:r>
      <w:r w:rsidR="007712F7" w:rsidRPr="004E5FAD">
        <w:rPr>
          <w:rFonts w:ascii="Arial" w:hAnsi="Arial" w:cs="Arial"/>
          <w:iCs/>
        </w:rPr>
        <w:t>W</w:t>
      </w:r>
      <w:r w:rsidR="00B937C4">
        <w:rPr>
          <w:rFonts w:ascii="Arial" w:hAnsi="Arial" w:cs="Arial"/>
          <w:iCs/>
        </w:rPr>
        <w:t xml:space="preserve">est </w:t>
      </w:r>
      <w:r w:rsidR="007712F7" w:rsidRPr="004E5FAD">
        <w:rPr>
          <w:rFonts w:ascii="Arial" w:hAnsi="Arial" w:cs="Arial"/>
          <w:iCs/>
        </w:rPr>
        <w:t>A</w:t>
      </w:r>
      <w:r w:rsidR="00B937C4">
        <w:rPr>
          <w:rFonts w:ascii="Arial" w:hAnsi="Arial" w:cs="Arial"/>
          <w:iCs/>
        </w:rPr>
        <w:t xml:space="preserve">boriginal </w:t>
      </w:r>
      <w:r w:rsidR="007712F7" w:rsidRPr="004E5FAD">
        <w:rPr>
          <w:rFonts w:ascii="Arial" w:hAnsi="Arial" w:cs="Arial"/>
          <w:iCs/>
        </w:rPr>
        <w:t>L</w:t>
      </w:r>
      <w:r w:rsidR="00B937C4">
        <w:rPr>
          <w:rFonts w:ascii="Arial" w:hAnsi="Arial" w:cs="Arial"/>
          <w:iCs/>
        </w:rPr>
        <w:t xml:space="preserve">and and </w:t>
      </w:r>
      <w:r w:rsidR="007712F7" w:rsidRPr="004E5FAD">
        <w:rPr>
          <w:rFonts w:ascii="Arial" w:hAnsi="Arial" w:cs="Arial"/>
          <w:iCs/>
        </w:rPr>
        <w:t>S</w:t>
      </w:r>
      <w:r w:rsidR="00B937C4">
        <w:rPr>
          <w:rFonts w:ascii="Arial" w:hAnsi="Arial" w:cs="Arial"/>
          <w:iCs/>
        </w:rPr>
        <w:t xml:space="preserve">ea </w:t>
      </w:r>
      <w:r w:rsidR="007712F7" w:rsidRPr="004E5FAD">
        <w:rPr>
          <w:rFonts w:ascii="Arial" w:hAnsi="Arial" w:cs="Arial"/>
          <w:iCs/>
        </w:rPr>
        <w:t>C</w:t>
      </w:r>
      <w:r w:rsidR="00B937C4">
        <w:rPr>
          <w:rFonts w:ascii="Arial" w:hAnsi="Arial" w:cs="Arial"/>
          <w:iCs/>
        </w:rPr>
        <w:t>ouncil (SWALSC)</w:t>
      </w:r>
      <w:r w:rsidR="007712F7" w:rsidRPr="004E5FAD">
        <w:rPr>
          <w:rFonts w:ascii="Arial" w:hAnsi="Arial" w:cs="Arial"/>
          <w:iCs/>
        </w:rPr>
        <w:t xml:space="preserve">, seeking to prevent the </w:t>
      </w:r>
      <w:r w:rsidR="00FE26EA">
        <w:rPr>
          <w:rFonts w:ascii="Arial" w:hAnsi="Arial" w:cs="Arial"/>
          <w:iCs/>
        </w:rPr>
        <w:t>Native Title</w:t>
      </w:r>
      <w:r w:rsidR="00FE26EA" w:rsidRPr="004E5FAD">
        <w:rPr>
          <w:rFonts w:ascii="Arial" w:hAnsi="Arial" w:cs="Arial"/>
          <w:iCs/>
        </w:rPr>
        <w:t xml:space="preserve"> </w:t>
      </w:r>
      <w:r w:rsidR="007712F7" w:rsidRPr="004E5FAD">
        <w:rPr>
          <w:rFonts w:ascii="Arial" w:hAnsi="Arial" w:cs="Arial"/>
          <w:iCs/>
        </w:rPr>
        <w:t xml:space="preserve">Registrar from registering </w:t>
      </w:r>
      <w:r w:rsidR="004E5FAD">
        <w:rPr>
          <w:rFonts w:ascii="Arial" w:hAnsi="Arial" w:cs="Arial"/>
          <w:iCs/>
        </w:rPr>
        <w:t>the Whadjuk</w:t>
      </w:r>
      <w:r w:rsidR="00E37C73">
        <w:rPr>
          <w:rFonts w:ascii="Arial" w:hAnsi="Arial" w:cs="Arial"/>
          <w:iCs/>
        </w:rPr>
        <w:t xml:space="preserve"> People</w:t>
      </w:r>
      <w:r w:rsidR="004E5FAD">
        <w:rPr>
          <w:rFonts w:ascii="Arial" w:hAnsi="Arial" w:cs="Arial"/>
          <w:iCs/>
        </w:rPr>
        <w:t>, Ballardong</w:t>
      </w:r>
      <w:r w:rsidR="00E37C73">
        <w:rPr>
          <w:rFonts w:ascii="Arial" w:hAnsi="Arial" w:cs="Arial"/>
          <w:iCs/>
        </w:rPr>
        <w:t xml:space="preserve"> People</w:t>
      </w:r>
      <w:r w:rsidR="004E5FAD">
        <w:rPr>
          <w:rFonts w:ascii="Arial" w:hAnsi="Arial" w:cs="Arial"/>
          <w:iCs/>
        </w:rPr>
        <w:t xml:space="preserve">, South West Boojarah #2 </w:t>
      </w:r>
      <w:r w:rsidR="007712F7" w:rsidRPr="004E5FAD">
        <w:rPr>
          <w:rFonts w:ascii="Arial" w:hAnsi="Arial" w:cs="Arial"/>
          <w:iCs/>
        </w:rPr>
        <w:t>an</w:t>
      </w:r>
      <w:r w:rsidR="004E5FAD">
        <w:rPr>
          <w:rFonts w:ascii="Arial" w:hAnsi="Arial" w:cs="Arial"/>
          <w:iCs/>
        </w:rPr>
        <w:t>d Wagyl Kaip &amp;</w:t>
      </w:r>
      <w:r w:rsidR="00667D07">
        <w:rPr>
          <w:rFonts w:ascii="Arial" w:hAnsi="Arial" w:cs="Arial"/>
          <w:iCs/>
        </w:rPr>
        <w:t xml:space="preserve"> Southern Noongar Agreement</w:t>
      </w:r>
      <w:r w:rsidR="004E5FAD">
        <w:rPr>
          <w:rFonts w:ascii="Arial" w:hAnsi="Arial" w:cs="Arial"/>
          <w:iCs/>
        </w:rPr>
        <w:t>s</w:t>
      </w:r>
      <w:r w:rsidR="008E2C1E">
        <w:rPr>
          <w:rFonts w:ascii="Arial" w:hAnsi="Arial" w:cs="Arial"/>
          <w:iCs/>
        </w:rPr>
        <w:t xml:space="preserve">. </w:t>
      </w:r>
    </w:p>
    <w:p w:rsidR="00937199" w:rsidRDefault="00937199" w:rsidP="0081535D">
      <w:pPr>
        <w:spacing w:after="0"/>
        <w:jc w:val="both"/>
        <w:rPr>
          <w:rFonts w:ascii="Arial" w:hAnsi="Arial" w:cs="Arial"/>
          <w:iCs/>
        </w:rPr>
      </w:pPr>
    </w:p>
    <w:p w:rsidR="007712F7" w:rsidRDefault="008E2C1E" w:rsidP="0081535D">
      <w:pPr>
        <w:spacing w:after="0"/>
        <w:jc w:val="both"/>
        <w:rPr>
          <w:rFonts w:ascii="Arial" w:hAnsi="Arial" w:cs="Arial"/>
          <w:iCs/>
        </w:rPr>
      </w:pPr>
      <w:r>
        <w:rPr>
          <w:rFonts w:ascii="Arial" w:hAnsi="Arial" w:cs="Arial"/>
          <w:iCs/>
        </w:rPr>
        <w:t>The applications were made</w:t>
      </w:r>
      <w:r w:rsidR="004E5FAD">
        <w:rPr>
          <w:rFonts w:ascii="Arial" w:hAnsi="Arial" w:cs="Arial"/>
          <w:iCs/>
        </w:rPr>
        <w:t xml:space="preserve"> </w:t>
      </w:r>
      <w:r w:rsidR="007712F7" w:rsidRPr="004E5FAD">
        <w:rPr>
          <w:rFonts w:ascii="Arial" w:hAnsi="Arial" w:cs="Arial"/>
          <w:iCs/>
        </w:rPr>
        <w:t xml:space="preserve">on the basis </w:t>
      </w:r>
      <w:r w:rsidR="004E5FAD">
        <w:rPr>
          <w:rFonts w:ascii="Arial" w:hAnsi="Arial" w:cs="Arial"/>
          <w:iCs/>
        </w:rPr>
        <w:t xml:space="preserve">that these four </w:t>
      </w:r>
      <w:r w:rsidR="00667D07">
        <w:rPr>
          <w:rFonts w:ascii="Arial" w:hAnsi="Arial" w:cs="Arial"/>
          <w:iCs/>
        </w:rPr>
        <w:t>agreement</w:t>
      </w:r>
      <w:r w:rsidR="004E5FAD">
        <w:rPr>
          <w:rFonts w:ascii="Arial" w:hAnsi="Arial" w:cs="Arial"/>
          <w:iCs/>
        </w:rPr>
        <w:t>s are not "Indigenous L</w:t>
      </w:r>
      <w:r w:rsidR="007712F7" w:rsidRPr="004E5FAD">
        <w:rPr>
          <w:rFonts w:ascii="Arial" w:hAnsi="Arial" w:cs="Arial"/>
          <w:iCs/>
        </w:rPr>
        <w:t xml:space="preserve">and </w:t>
      </w:r>
      <w:r w:rsidR="004E5FAD">
        <w:rPr>
          <w:rFonts w:ascii="Arial" w:hAnsi="Arial" w:cs="Arial"/>
          <w:iCs/>
        </w:rPr>
        <w:t>U</w:t>
      </w:r>
      <w:r w:rsidR="007712F7" w:rsidRPr="004E5FAD">
        <w:rPr>
          <w:rFonts w:ascii="Arial" w:hAnsi="Arial" w:cs="Arial"/>
          <w:iCs/>
        </w:rPr>
        <w:t xml:space="preserve">se </w:t>
      </w:r>
      <w:r w:rsidR="004E5FAD">
        <w:rPr>
          <w:rFonts w:ascii="Arial" w:hAnsi="Arial" w:cs="Arial"/>
          <w:iCs/>
        </w:rPr>
        <w:t>A</w:t>
      </w:r>
      <w:r w:rsidR="007712F7" w:rsidRPr="004E5FAD">
        <w:rPr>
          <w:rFonts w:ascii="Arial" w:hAnsi="Arial" w:cs="Arial"/>
          <w:iCs/>
        </w:rPr>
        <w:t xml:space="preserve">greements" as defined in the </w:t>
      </w:r>
      <w:r w:rsidR="007712F7" w:rsidRPr="004E5FAD">
        <w:rPr>
          <w:rFonts w:ascii="Arial" w:hAnsi="Arial" w:cs="Arial"/>
          <w:i/>
          <w:iCs/>
        </w:rPr>
        <w:t>Native Title Act 1993</w:t>
      </w:r>
      <w:r w:rsidR="003445CF">
        <w:rPr>
          <w:rFonts w:ascii="Arial" w:hAnsi="Arial" w:cs="Arial"/>
          <w:i/>
          <w:iCs/>
        </w:rPr>
        <w:t xml:space="preserve"> </w:t>
      </w:r>
      <w:r w:rsidR="003445CF" w:rsidRPr="003445CF">
        <w:rPr>
          <w:rFonts w:ascii="Arial" w:hAnsi="Arial" w:cs="Arial"/>
          <w:iCs/>
        </w:rPr>
        <w:t>(Cth)</w:t>
      </w:r>
      <w:r w:rsidR="007712F7" w:rsidRPr="003445CF">
        <w:rPr>
          <w:rFonts w:ascii="Arial" w:hAnsi="Arial" w:cs="Arial"/>
          <w:iCs/>
        </w:rPr>
        <w:t>,</w:t>
      </w:r>
      <w:r w:rsidR="007712F7" w:rsidRPr="004E5FAD">
        <w:rPr>
          <w:rFonts w:ascii="Arial" w:hAnsi="Arial" w:cs="Arial"/>
          <w:iCs/>
        </w:rPr>
        <w:t xml:space="preserve"> and are therefore not capable of being registered. </w:t>
      </w:r>
      <w:r w:rsidR="00406554">
        <w:rPr>
          <w:rFonts w:ascii="Arial" w:hAnsi="Arial" w:cs="Arial"/>
          <w:iCs/>
        </w:rPr>
        <w:t xml:space="preserve"> </w:t>
      </w:r>
      <w:r w:rsidR="007712F7" w:rsidRPr="004E5FAD">
        <w:rPr>
          <w:rFonts w:ascii="Arial" w:hAnsi="Arial" w:cs="Arial"/>
          <w:iCs/>
        </w:rPr>
        <w:t xml:space="preserve">The applications </w:t>
      </w:r>
      <w:r w:rsidR="00857BC1">
        <w:rPr>
          <w:rFonts w:ascii="Arial" w:hAnsi="Arial" w:cs="Arial"/>
          <w:iCs/>
        </w:rPr>
        <w:t>were</w:t>
      </w:r>
      <w:r w:rsidR="007712F7" w:rsidRPr="004E5FAD">
        <w:rPr>
          <w:rFonts w:ascii="Arial" w:hAnsi="Arial" w:cs="Arial"/>
          <w:iCs/>
        </w:rPr>
        <w:t xml:space="preserve"> remitted to the Full Federal Court</w:t>
      </w:r>
      <w:r w:rsidR="00857BC1">
        <w:rPr>
          <w:rFonts w:ascii="Arial" w:hAnsi="Arial" w:cs="Arial"/>
          <w:iCs/>
        </w:rPr>
        <w:t xml:space="preserve"> in February 2016 and </w:t>
      </w:r>
      <w:r w:rsidR="0041255E">
        <w:rPr>
          <w:rFonts w:ascii="Arial" w:hAnsi="Arial" w:cs="Arial"/>
          <w:iCs/>
        </w:rPr>
        <w:t>were</w:t>
      </w:r>
      <w:r w:rsidR="007712F7" w:rsidRPr="004E5FAD">
        <w:rPr>
          <w:rFonts w:ascii="Arial" w:hAnsi="Arial" w:cs="Arial"/>
          <w:iCs/>
        </w:rPr>
        <w:t xml:space="preserve"> heard on 28 and 29 July 2016. </w:t>
      </w:r>
    </w:p>
    <w:p w:rsidR="00F42362" w:rsidRDefault="00F42362" w:rsidP="0081535D">
      <w:pPr>
        <w:spacing w:after="0"/>
        <w:jc w:val="both"/>
        <w:rPr>
          <w:rFonts w:ascii="Arial" w:hAnsi="Arial" w:cs="Arial"/>
          <w:iCs/>
        </w:rPr>
      </w:pPr>
    </w:p>
    <w:p w:rsidR="00462CB7" w:rsidRDefault="00665950" w:rsidP="005C1345">
      <w:pPr>
        <w:spacing w:after="0"/>
        <w:jc w:val="both"/>
        <w:rPr>
          <w:rFonts w:ascii="Arial" w:hAnsi="Arial" w:cs="Arial"/>
        </w:rPr>
      </w:pPr>
      <w:r w:rsidRPr="00094613">
        <w:rPr>
          <w:rFonts w:ascii="Arial" w:hAnsi="Arial" w:cs="Arial"/>
          <w:iCs/>
        </w:rPr>
        <w:t>On 2 February 2017 the Federal Court found that the Native Title Registrar does not have the jurisdiction to register the four Agreements as not all named applicants had signed the Agreements.</w:t>
      </w:r>
      <w:r>
        <w:rPr>
          <w:rFonts w:ascii="Arial" w:hAnsi="Arial" w:cs="Arial"/>
          <w:color w:val="000000"/>
          <w:sz w:val="18"/>
          <w:szCs w:val="18"/>
          <w:shd w:val="clear" w:color="auto" w:fill="FFFFFF"/>
        </w:rPr>
        <w:t xml:space="preserve"> </w:t>
      </w:r>
      <w:r w:rsidR="00DB67A7">
        <w:rPr>
          <w:rFonts w:ascii="Arial" w:hAnsi="Arial" w:cs="Arial"/>
          <w:iCs/>
        </w:rPr>
        <w:t xml:space="preserve">This </w:t>
      </w:r>
      <w:r w:rsidR="00DB67A7" w:rsidRPr="005C1345">
        <w:rPr>
          <w:rFonts w:ascii="Arial" w:hAnsi="Arial" w:cs="Arial"/>
          <w:iCs/>
        </w:rPr>
        <w:t xml:space="preserve">Full Court </w:t>
      </w:r>
      <w:r w:rsidR="00B33704">
        <w:rPr>
          <w:rFonts w:ascii="Arial" w:hAnsi="Arial" w:cs="Arial"/>
          <w:iCs/>
        </w:rPr>
        <w:t xml:space="preserve">judgement </w:t>
      </w:r>
      <w:r w:rsidR="00DB67A7" w:rsidRPr="005C1345">
        <w:rPr>
          <w:rFonts w:ascii="Arial" w:hAnsi="Arial" w:cs="Arial"/>
          <w:iCs/>
        </w:rPr>
        <w:t xml:space="preserve">declined to follow </w:t>
      </w:r>
      <w:r w:rsidR="00DB67A7">
        <w:rPr>
          <w:rFonts w:ascii="Arial" w:hAnsi="Arial" w:cs="Arial"/>
          <w:iCs/>
        </w:rPr>
        <w:t>an</w:t>
      </w:r>
      <w:r w:rsidR="00DB67A7" w:rsidRPr="005C1345">
        <w:rPr>
          <w:rFonts w:ascii="Arial" w:hAnsi="Arial" w:cs="Arial"/>
          <w:iCs/>
        </w:rPr>
        <w:t xml:space="preserve"> earlier single judge decision </w:t>
      </w:r>
      <w:r w:rsidR="00DB67A7">
        <w:rPr>
          <w:rFonts w:ascii="Arial" w:hAnsi="Arial" w:cs="Arial"/>
          <w:iCs/>
        </w:rPr>
        <w:t xml:space="preserve">which had been relied upon in relation to the Settlement Agreements, </w:t>
      </w:r>
      <w:r w:rsidR="00DB67A7" w:rsidRPr="005C1345">
        <w:rPr>
          <w:rFonts w:ascii="Arial" w:hAnsi="Arial" w:cs="Arial"/>
          <w:iCs/>
        </w:rPr>
        <w:t xml:space="preserve">and has clarified the case law in relation to execution of </w:t>
      </w:r>
      <w:r w:rsidR="00911AD6" w:rsidRPr="005C1345">
        <w:rPr>
          <w:rFonts w:ascii="Arial" w:hAnsi="Arial" w:cs="Arial"/>
          <w:iCs/>
        </w:rPr>
        <w:t>Indigenous Land Use Agreement</w:t>
      </w:r>
      <w:r w:rsidR="00911AD6">
        <w:rPr>
          <w:rFonts w:ascii="Arial" w:hAnsi="Arial" w:cs="Arial"/>
          <w:iCs/>
        </w:rPr>
        <w:t>s</w:t>
      </w:r>
      <w:r w:rsidR="00911AD6" w:rsidRPr="005C1345">
        <w:rPr>
          <w:rFonts w:ascii="Arial" w:hAnsi="Arial" w:cs="Arial"/>
          <w:iCs/>
        </w:rPr>
        <w:t xml:space="preserve"> </w:t>
      </w:r>
      <w:r w:rsidR="00911AD6">
        <w:rPr>
          <w:rFonts w:ascii="Arial" w:hAnsi="Arial" w:cs="Arial"/>
          <w:iCs/>
        </w:rPr>
        <w:t>(</w:t>
      </w:r>
      <w:r w:rsidR="00DB67A7" w:rsidRPr="005C1345">
        <w:rPr>
          <w:rFonts w:ascii="Arial" w:hAnsi="Arial" w:cs="Arial"/>
          <w:iCs/>
        </w:rPr>
        <w:t>ILUAs</w:t>
      </w:r>
      <w:r w:rsidR="00911AD6">
        <w:rPr>
          <w:rFonts w:ascii="Arial" w:hAnsi="Arial" w:cs="Arial"/>
          <w:iCs/>
        </w:rPr>
        <w:t>)</w:t>
      </w:r>
      <w:r w:rsidR="00DB67A7">
        <w:rPr>
          <w:rFonts w:ascii="Arial" w:hAnsi="Arial" w:cs="Arial"/>
          <w:iCs/>
        </w:rPr>
        <w:t>.</w:t>
      </w:r>
    </w:p>
    <w:p w:rsidR="005C1345" w:rsidRPr="005C1345" w:rsidRDefault="005C1345" w:rsidP="005C1345">
      <w:pPr>
        <w:spacing w:after="0"/>
        <w:jc w:val="both"/>
        <w:rPr>
          <w:rFonts w:ascii="Arial" w:hAnsi="Arial" w:cs="Arial"/>
          <w:iCs/>
        </w:rPr>
      </w:pPr>
    </w:p>
    <w:p w:rsidR="00162FD0" w:rsidRDefault="00462CB7" w:rsidP="00162FD0">
      <w:pPr>
        <w:spacing w:after="0"/>
        <w:jc w:val="both"/>
        <w:rPr>
          <w:rFonts w:ascii="Arial" w:hAnsi="Arial" w:cs="Arial"/>
          <w:iCs/>
        </w:rPr>
      </w:pPr>
      <w:r w:rsidRPr="005C1345">
        <w:rPr>
          <w:rFonts w:ascii="Arial" w:hAnsi="Arial" w:cs="Arial"/>
          <w:iCs/>
        </w:rPr>
        <w:t>A</w:t>
      </w:r>
      <w:r w:rsidR="00667D07">
        <w:rPr>
          <w:rFonts w:ascii="Arial" w:hAnsi="Arial" w:cs="Arial"/>
          <w:iCs/>
        </w:rPr>
        <w:t xml:space="preserve">s a result, the four </w:t>
      </w:r>
      <w:r w:rsidRPr="005C1345">
        <w:rPr>
          <w:rFonts w:ascii="Arial" w:hAnsi="Arial" w:cs="Arial"/>
          <w:iCs/>
        </w:rPr>
        <w:t>Agreements do not</w:t>
      </w:r>
      <w:r w:rsidR="00DB67A7">
        <w:rPr>
          <w:rFonts w:ascii="Arial" w:hAnsi="Arial" w:cs="Arial"/>
          <w:iCs/>
        </w:rPr>
        <w:t xml:space="preserve"> currently</w:t>
      </w:r>
      <w:r w:rsidRPr="005C1345">
        <w:rPr>
          <w:rFonts w:ascii="Arial" w:hAnsi="Arial" w:cs="Arial"/>
          <w:iCs/>
        </w:rPr>
        <w:t xml:space="preserve"> meet the necessary requirements to be an Indigenous Land Use Agreement (ILUA) and cannot be registered</w:t>
      </w:r>
      <w:r w:rsidR="00667D07">
        <w:rPr>
          <w:rFonts w:ascii="Arial" w:hAnsi="Arial" w:cs="Arial"/>
          <w:iCs/>
        </w:rPr>
        <w:t>,</w:t>
      </w:r>
      <w:r w:rsidRPr="005C1345">
        <w:rPr>
          <w:rFonts w:ascii="Arial" w:hAnsi="Arial" w:cs="Arial"/>
          <w:iCs/>
        </w:rPr>
        <w:t xml:space="preserve"> given that </w:t>
      </w:r>
      <w:r w:rsidRPr="00BB0763">
        <w:rPr>
          <w:rFonts w:ascii="Arial" w:hAnsi="Arial" w:cs="Arial"/>
          <w:iCs/>
        </w:rPr>
        <w:t xml:space="preserve">only </w:t>
      </w:r>
      <w:r w:rsidRPr="005C1345">
        <w:rPr>
          <w:rFonts w:ascii="Arial" w:hAnsi="Arial" w:cs="Arial"/>
          <w:iCs/>
        </w:rPr>
        <w:t xml:space="preserve">a majority of the persons comprising the Applicant signed. </w:t>
      </w:r>
    </w:p>
    <w:p w:rsidR="00701FB6" w:rsidRDefault="00701FB6" w:rsidP="00B937C4">
      <w:pPr>
        <w:spacing w:after="0"/>
        <w:jc w:val="both"/>
        <w:rPr>
          <w:rFonts w:ascii="Arial" w:hAnsi="Arial" w:cs="Arial"/>
          <w:iCs/>
        </w:rPr>
      </w:pPr>
    </w:p>
    <w:p w:rsidR="00B937C4" w:rsidRDefault="00B937C4" w:rsidP="00B937C4">
      <w:pPr>
        <w:spacing w:after="0"/>
        <w:jc w:val="both"/>
        <w:rPr>
          <w:rFonts w:ascii="Arial" w:hAnsi="Arial" w:cs="Arial"/>
        </w:rPr>
      </w:pPr>
      <w:r>
        <w:rPr>
          <w:rFonts w:ascii="Arial" w:hAnsi="Arial" w:cs="Arial"/>
          <w:iCs/>
        </w:rPr>
        <w:t>To address the implications of the Full Federal Court (</w:t>
      </w:r>
      <w:r w:rsidRPr="00B937C4">
        <w:rPr>
          <w:rFonts w:ascii="Arial" w:hAnsi="Arial" w:cs="Arial"/>
          <w:i/>
          <w:iCs/>
        </w:rPr>
        <w:t>McGlade</w:t>
      </w:r>
      <w:r>
        <w:rPr>
          <w:rFonts w:ascii="Arial" w:hAnsi="Arial" w:cs="Arial"/>
          <w:iCs/>
        </w:rPr>
        <w:t xml:space="preserve"> Decision) o</w:t>
      </w:r>
      <w:r w:rsidR="00EA255A" w:rsidRPr="00B937C4">
        <w:rPr>
          <w:rFonts w:ascii="Arial" w:hAnsi="Arial" w:cs="Arial"/>
          <w:iCs/>
        </w:rPr>
        <w:t>n</w:t>
      </w:r>
      <w:r w:rsidR="00EA255A" w:rsidRPr="00E14063">
        <w:rPr>
          <w:rFonts w:ascii="Arial" w:hAnsi="Arial" w:cs="Arial"/>
        </w:rPr>
        <w:t xml:space="preserve"> 15 February </w:t>
      </w:r>
      <w:r w:rsidR="00EA255A">
        <w:rPr>
          <w:rFonts w:ascii="Arial" w:hAnsi="Arial" w:cs="Arial"/>
        </w:rPr>
        <w:t xml:space="preserve">2017 </w:t>
      </w:r>
      <w:r w:rsidR="00EA255A" w:rsidRPr="00E14063">
        <w:rPr>
          <w:rFonts w:ascii="Arial" w:hAnsi="Arial" w:cs="Arial"/>
        </w:rPr>
        <w:t xml:space="preserve">the Commonwealth Government introduced </w:t>
      </w:r>
      <w:r w:rsidR="00EA255A">
        <w:rPr>
          <w:rFonts w:ascii="Arial" w:hAnsi="Arial" w:cs="Arial"/>
        </w:rPr>
        <w:t>t</w:t>
      </w:r>
      <w:r w:rsidR="00EA255A" w:rsidRPr="00E14063">
        <w:rPr>
          <w:rFonts w:ascii="Arial" w:hAnsi="Arial" w:cs="Arial"/>
        </w:rPr>
        <w:t xml:space="preserve">he </w:t>
      </w:r>
      <w:r w:rsidR="00EA255A" w:rsidRPr="00914DD7">
        <w:rPr>
          <w:rFonts w:ascii="Arial" w:hAnsi="Arial" w:cs="Arial"/>
          <w:i/>
        </w:rPr>
        <w:t>Native Title Amendment (Indigenous Land Use Agreements) Bill 2017</w:t>
      </w:r>
      <w:r w:rsidR="00EA255A" w:rsidRPr="00E14063">
        <w:rPr>
          <w:rFonts w:ascii="Arial" w:hAnsi="Arial" w:cs="Arial"/>
        </w:rPr>
        <w:t xml:space="preserve"> </w:t>
      </w:r>
      <w:r w:rsidR="00EA255A">
        <w:rPr>
          <w:rFonts w:ascii="Arial" w:hAnsi="Arial" w:cs="Arial"/>
        </w:rPr>
        <w:t xml:space="preserve">(the Bill). </w:t>
      </w:r>
      <w:r w:rsidR="00F05597">
        <w:rPr>
          <w:rFonts w:ascii="Arial" w:hAnsi="Arial" w:cs="Arial"/>
        </w:rPr>
        <w:t>Debate on t</w:t>
      </w:r>
      <w:r w:rsidR="00EA255A" w:rsidRPr="00F55A24">
        <w:rPr>
          <w:rFonts w:ascii="Arial" w:hAnsi="Arial" w:cs="Arial"/>
        </w:rPr>
        <w:t xml:space="preserve">he Bill </w:t>
      </w:r>
      <w:r w:rsidR="00F05597">
        <w:rPr>
          <w:rFonts w:ascii="Arial" w:hAnsi="Arial" w:cs="Arial"/>
        </w:rPr>
        <w:t xml:space="preserve">commenced but </w:t>
      </w:r>
      <w:r w:rsidR="00EA255A" w:rsidRPr="00F55A24">
        <w:rPr>
          <w:rFonts w:ascii="Arial" w:hAnsi="Arial" w:cs="Arial"/>
        </w:rPr>
        <w:t xml:space="preserve">was </w:t>
      </w:r>
      <w:r w:rsidR="00F05597">
        <w:rPr>
          <w:rFonts w:ascii="Arial" w:hAnsi="Arial" w:cs="Arial"/>
        </w:rPr>
        <w:t>interrupted during the May</w:t>
      </w:r>
      <w:r w:rsidR="00B30A5D">
        <w:rPr>
          <w:rFonts w:ascii="Arial" w:hAnsi="Arial" w:cs="Arial"/>
        </w:rPr>
        <w:t xml:space="preserve"> sitting</w:t>
      </w:r>
      <w:r w:rsidR="00F05597">
        <w:rPr>
          <w:rFonts w:ascii="Arial" w:hAnsi="Arial" w:cs="Arial"/>
        </w:rPr>
        <w:t>. The earliest next</w:t>
      </w:r>
      <w:r w:rsidR="00EA255A" w:rsidRPr="00F55A24">
        <w:rPr>
          <w:rFonts w:ascii="Arial" w:hAnsi="Arial" w:cs="Arial"/>
        </w:rPr>
        <w:t xml:space="preserve"> date of consideration will now be i</w:t>
      </w:r>
      <w:r w:rsidR="00F05597">
        <w:rPr>
          <w:rFonts w:ascii="Arial" w:hAnsi="Arial" w:cs="Arial"/>
        </w:rPr>
        <w:t>n the next Senate sitting in June</w:t>
      </w:r>
      <w:r w:rsidR="00EA255A" w:rsidRPr="00F55A24">
        <w:rPr>
          <w:rFonts w:ascii="Arial" w:hAnsi="Arial" w:cs="Arial"/>
        </w:rPr>
        <w:t>.</w:t>
      </w:r>
      <w:r w:rsidR="00EA255A">
        <w:rPr>
          <w:rFonts w:ascii="Arial" w:hAnsi="Arial" w:cs="Arial"/>
        </w:rPr>
        <w:t xml:space="preserve"> </w:t>
      </w:r>
    </w:p>
    <w:p w:rsidR="00B937C4" w:rsidRDefault="00B937C4" w:rsidP="00B937C4">
      <w:pPr>
        <w:spacing w:after="0"/>
        <w:jc w:val="both"/>
        <w:rPr>
          <w:rFonts w:ascii="Arial" w:hAnsi="Arial" w:cs="Arial"/>
        </w:rPr>
      </w:pPr>
    </w:p>
    <w:p w:rsidR="00937199" w:rsidRDefault="00EA255A" w:rsidP="00B937C4">
      <w:pPr>
        <w:spacing w:after="0"/>
        <w:jc w:val="both"/>
        <w:rPr>
          <w:rFonts w:ascii="Arial" w:hAnsi="Arial" w:cs="Arial"/>
        </w:rPr>
      </w:pPr>
      <w:r w:rsidRPr="00EA255A">
        <w:rPr>
          <w:rFonts w:ascii="Arial" w:hAnsi="Arial" w:cs="Arial"/>
        </w:rPr>
        <w:t xml:space="preserve">When the Bill is passed the 4 </w:t>
      </w:r>
      <w:r w:rsidR="00B937C4">
        <w:rPr>
          <w:rFonts w:ascii="Arial" w:hAnsi="Arial" w:cs="Arial"/>
        </w:rPr>
        <w:t>Agreements</w:t>
      </w:r>
      <w:r w:rsidR="00B937C4" w:rsidRPr="00EA255A">
        <w:rPr>
          <w:rFonts w:ascii="Arial" w:hAnsi="Arial" w:cs="Arial"/>
        </w:rPr>
        <w:t xml:space="preserve"> </w:t>
      </w:r>
      <w:r w:rsidRPr="00EA255A">
        <w:rPr>
          <w:rFonts w:ascii="Arial" w:hAnsi="Arial" w:cs="Arial"/>
        </w:rPr>
        <w:t xml:space="preserve">affected by the </w:t>
      </w:r>
      <w:r w:rsidRPr="00EA255A">
        <w:rPr>
          <w:rFonts w:ascii="Arial" w:hAnsi="Arial" w:cs="Arial"/>
          <w:i/>
        </w:rPr>
        <w:t xml:space="preserve">McGlade </w:t>
      </w:r>
      <w:r w:rsidRPr="00EA255A">
        <w:rPr>
          <w:rFonts w:ascii="Arial" w:hAnsi="Arial" w:cs="Arial"/>
        </w:rPr>
        <w:t>decision will be v</w:t>
      </w:r>
      <w:r w:rsidR="00094613">
        <w:rPr>
          <w:rFonts w:ascii="Arial" w:hAnsi="Arial" w:cs="Arial"/>
        </w:rPr>
        <w:t>alid for registration</w:t>
      </w:r>
      <w:r w:rsidRPr="00EA255A">
        <w:rPr>
          <w:rFonts w:ascii="Arial" w:hAnsi="Arial" w:cs="Arial"/>
        </w:rPr>
        <w:t>. They will then need to be re-lodged and considered for registration by the Registrar of the</w:t>
      </w:r>
      <w:r w:rsidR="00937199">
        <w:rPr>
          <w:rFonts w:ascii="Arial" w:hAnsi="Arial" w:cs="Arial"/>
        </w:rPr>
        <w:t xml:space="preserve"> </w:t>
      </w:r>
      <w:r w:rsidRPr="00EA255A">
        <w:rPr>
          <w:rFonts w:ascii="Arial" w:hAnsi="Arial" w:cs="Arial"/>
        </w:rPr>
        <w:t>National Native Title Tribunal (NNTT).</w:t>
      </w:r>
    </w:p>
    <w:p w:rsidR="00162FD0" w:rsidRDefault="00EA255A" w:rsidP="00162FD0">
      <w:pPr>
        <w:spacing w:after="0"/>
        <w:jc w:val="both"/>
        <w:rPr>
          <w:rFonts w:ascii="Arial" w:hAnsi="Arial" w:cs="Arial"/>
          <w:iCs/>
        </w:rPr>
      </w:pPr>
      <w:r w:rsidRPr="00EA255A">
        <w:rPr>
          <w:rFonts w:ascii="Arial" w:hAnsi="Arial" w:cs="Arial"/>
        </w:rPr>
        <w:t xml:space="preserve"> </w:t>
      </w:r>
    </w:p>
    <w:p w:rsidR="00D1328D" w:rsidRPr="00F80CA2" w:rsidRDefault="00D1328D" w:rsidP="00F80CA2">
      <w:pPr>
        <w:spacing w:after="0"/>
        <w:jc w:val="center"/>
        <w:rPr>
          <w:rFonts w:ascii="ArialMT" w:hAnsi="ArialMT" w:cs="ArialMT"/>
          <w:color w:val="C75928"/>
          <w:sz w:val="48"/>
          <w:szCs w:val="48"/>
        </w:rPr>
      </w:pPr>
      <w:r w:rsidRPr="003C2F31">
        <w:rPr>
          <w:rFonts w:ascii="ArialMT" w:hAnsi="ArialMT" w:cs="ArialMT"/>
          <w:color w:val="C75928"/>
          <w:sz w:val="48"/>
          <w:szCs w:val="48"/>
        </w:rPr>
        <w:t xml:space="preserve">Settlement </w:t>
      </w:r>
      <w:r w:rsidR="0092552C">
        <w:rPr>
          <w:rFonts w:ascii="ArialMT" w:hAnsi="ArialMT" w:cs="ArialMT"/>
          <w:color w:val="C75928"/>
          <w:sz w:val="48"/>
          <w:szCs w:val="48"/>
        </w:rPr>
        <w:t>Commencement</w:t>
      </w:r>
    </w:p>
    <w:p w:rsidR="00F80CA2" w:rsidRDefault="00162FD0" w:rsidP="00B41B96">
      <w:pPr>
        <w:spacing w:after="0"/>
        <w:jc w:val="both"/>
        <w:rPr>
          <w:rFonts w:ascii="Arial" w:hAnsi="Arial" w:cs="Arial"/>
          <w:iCs/>
        </w:rPr>
      </w:pPr>
      <w:r w:rsidRPr="00162FD0">
        <w:rPr>
          <w:rFonts w:ascii="Arial" w:hAnsi="Arial" w:cs="Arial"/>
          <w:iCs/>
        </w:rPr>
        <w:t xml:space="preserve">The </w:t>
      </w:r>
      <w:r w:rsidR="00B33704">
        <w:rPr>
          <w:rFonts w:ascii="Arial" w:hAnsi="Arial" w:cs="Arial"/>
          <w:iCs/>
        </w:rPr>
        <w:t>judgement</w:t>
      </w:r>
      <w:r w:rsidRPr="00162FD0">
        <w:rPr>
          <w:rFonts w:ascii="Arial" w:hAnsi="Arial" w:cs="Arial"/>
          <w:iCs/>
        </w:rPr>
        <w:t xml:space="preserve"> by the Full Federal Court </w:t>
      </w:r>
      <w:r w:rsidR="00B937C4">
        <w:rPr>
          <w:rFonts w:ascii="Arial" w:hAnsi="Arial" w:cs="Arial"/>
          <w:iCs/>
        </w:rPr>
        <w:t>has</w:t>
      </w:r>
      <w:r w:rsidR="00B937C4" w:rsidRPr="00162FD0">
        <w:rPr>
          <w:rFonts w:ascii="Arial" w:hAnsi="Arial" w:cs="Arial"/>
          <w:iCs/>
        </w:rPr>
        <w:t xml:space="preserve"> </w:t>
      </w:r>
      <w:r w:rsidRPr="00162FD0">
        <w:rPr>
          <w:rFonts w:ascii="Arial" w:hAnsi="Arial" w:cs="Arial"/>
          <w:iCs/>
        </w:rPr>
        <w:t>impact</w:t>
      </w:r>
      <w:r w:rsidR="00B937C4">
        <w:rPr>
          <w:rFonts w:ascii="Arial" w:hAnsi="Arial" w:cs="Arial"/>
          <w:iCs/>
        </w:rPr>
        <w:t>ed</w:t>
      </w:r>
      <w:r w:rsidRPr="00162FD0">
        <w:rPr>
          <w:rFonts w:ascii="Arial" w:hAnsi="Arial" w:cs="Arial"/>
          <w:iCs/>
        </w:rPr>
        <w:t xml:space="preserve"> the timing of registration of </w:t>
      </w:r>
      <w:r w:rsidR="002744E6">
        <w:rPr>
          <w:rFonts w:ascii="Arial" w:hAnsi="Arial" w:cs="Arial"/>
          <w:iCs/>
        </w:rPr>
        <w:t xml:space="preserve">the </w:t>
      </w:r>
      <w:r w:rsidRPr="00162FD0">
        <w:rPr>
          <w:rFonts w:ascii="Arial" w:hAnsi="Arial" w:cs="Arial"/>
          <w:iCs/>
        </w:rPr>
        <w:t xml:space="preserve">Settlement Agreements, resulting in a delay to the commencement of </w:t>
      </w:r>
      <w:r w:rsidR="0092552C">
        <w:rPr>
          <w:rFonts w:ascii="Arial" w:hAnsi="Arial" w:cs="Arial"/>
          <w:iCs/>
        </w:rPr>
        <w:t>all</w:t>
      </w:r>
      <w:r w:rsidRPr="00162FD0">
        <w:rPr>
          <w:rFonts w:ascii="Arial" w:hAnsi="Arial" w:cs="Arial"/>
          <w:iCs/>
        </w:rPr>
        <w:t xml:space="preserve"> 6 </w:t>
      </w:r>
      <w:r w:rsidR="0092552C">
        <w:rPr>
          <w:rFonts w:ascii="Arial" w:hAnsi="Arial" w:cs="Arial"/>
          <w:iCs/>
        </w:rPr>
        <w:t xml:space="preserve">of the </w:t>
      </w:r>
      <w:r w:rsidRPr="00162FD0">
        <w:rPr>
          <w:rFonts w:ascii="Arial" w:hAnsi="Arial" w:cs="Arial"/>
          <w:iCs/>
        </w:rPr>
        <w:t>S</w:t>
      </w:r>
      <w:r w:rsidR="00E662CE">
        <w:rPr>
          <w:rFonts w:ascii="Arial" w:hAnsi="Arial" w:cs="Arial"/>
          <w:iCs/>
        </w:rPr>
        <w:t>outh West</w:t>
      </w:r>
      <w:r w:rsidR="0092552C">
        <w:rPr>
          <w:rFonts w:ascii="Arial" w:hAnsi="Arial" w:cs="Arial"/>
          <w:iCs/>
        </w:rPr>
        <w:t xml:space="preserve"> Native Title</w:t>
      </w:r>
      <w:r w:rsidR="00E662CE">
        <w:rPr>
          <w:rFonts w:ascii="Arial" w:hAnsi="Arial" w:cs="Arial"/>
          <w:iCs/>
        </w:rPr>
        <w:t xml:space="preserve"> Settlement Agreements</w:t>
      </w:r>
      <w:r w:rsidR="00D1328D">
        <w:rPr>
          <w:rFonts w:ascii="Arial" w:hAnsi="Arial" w:cs="Arial"/>
          <w:iCs/>
        </w:rPr>
        <w:t xml:space="preserve">.  </w:t>
      </w:r>
      <w:r w:rsidR="00D3174E">
        <w:rPr>
          <w:rFonts w:ascii="Arial" w:hAnsi="Arial" w:cs="Arial"/>
          <w:iCs/>
        </w:rPr>
        <w:t xml:space="preserve">At this stage, the  </w:t>
      </w:r>
      <w:r w:rsidR="00B937C4">
        <w:rPr>
          <w:rFonts w:ascii="Arial" w:hAnsi="Arial" w:cs="Arial"/>
          <w:iCs/>
        </w:rPr>
        <w:t xml:space="preserve">earliest possible </w:t>
      </w:r>
      <w:r w:rsidR="00D3174E">
        <w:rPr>
          <w:rFonts w:ascii="Arial" w:hAnsi="Arial" w:cs="Arial"/>
          <w:iCs/>
        </w:rPr>
        <w:t xml:space="preserve">commencement date for the Settlement is mid-2018. </w:t>
      </w:r>
    </w:p>
    <w:p w:rsidR="00F80CA2" w:rsidRDefault="00F80CA2" w:rsidP="00B41B96">
      <w:pPr>
        <w:spacing w:after="0"/>
        <w:jc w:val="both"/>
        <w:rPr>
          <w:rFonts w:ascii="Arial" w:hAnsi="Arial" w:cs="Arial"/>
          <w:iCs/>
        </w:rPr>
      </w:pPr>
    </w:p>
    <w:p w:rsidR="00B41B96" w:rsidRDefault="00937199" w:rsidP="00B41B96">
      <w:pPr>
        <w:spacing w:after="0"/>
        <w:jc w:val="both"/>
        <w:rPr>
          <w:rFonts w:ascii="Arial" w:hAnsi="Arial" w:cs="Arial"/>
          <w:iCs/>
        </w:rPr>
      </w:pPr>
      <w:r>
        <w:rPr>
          <w:rFonts w:ascii="Arial" w:hAnsi="Arial" w:cs="Arial"/>
          <w:iCs/>
        </w:rPr>
        <w:t>T</w:t>
      </w:r>
      <w:r w:rsidRPr="00162FD0">
        <w:rPr>
          <w:rFonts w:ascii="Arial" w:hAnsi="Arial" w:cs="Arial"/>
          <w:iCs/>
        </w:rPr>
        <w:t xml:space="preserve">he </w:t>
      </w:r>
      <w:r>
        <w:rPr>
          <w:rFonts w:ascii="Arial" w:hAnsi="Arial" w:cs="Arial"/>
          <w:iCs/>
        </w:rPr>
        <w:t xml:space="preserve">Federal Court </w:t>
      </w:r>
      <w:r w:rsidR="00B33704">
        <w:rPr>
          <w:rFonts w:ascii="Arial" w:hAnsi="Arial" w:cs="Arial"/>
          <w:iCs/>
        </w:rPr>
        <w:t>judgement</w:t>
      </w:r>
      <w:r w:rsidRPr="00162FD0">
        <w:rPr>
          <w:rFonts w:ascii="Arial" w:hAnsi="Arial" w:cs="Arial"/>
          <w:iCs/>
        </w:rPr>
        <w:t xml:space="preserve"> does not have a bearing on the content of the 6 Sout</w:t>
      </w:r>
      <w:r>
        <w:rPr>
          <w:rFonts w:ascii="Arial" w:hAnsi="Arial" w:cs="Arial"/>
          <w:iCs/>
        </w:rPr>
        <w:t xml:space="preserve">h West Settlement Agreements, </w:t>
      </w:r>
      <w:r w:rsidR="00911AD6">
        <w:rPr>
          <w:rFonts w:ascii="Arial" w:hAnsi="Arial" w:cs="Arial"/>
          <w:iCs/>
        </w:rPr>
        <w:t>relating</w:t>
      </w:r>
      <w:r w:rsidRPr="00162FD0">
        <w:rPr>
          <w:rFonts w:ascii="Arial" w:hAnsi="Arial" w:cs="Arial"/>
          <w:iCs/>
        </w:rPr>
        <w:t xml:space="preserve"> only to th</w:t>
      </w:r>
      <w:r>
        <w:rPr>
          <w:rFonts w:ascii="Arial" w:hAnsi="Arial" w:cs="Arial"/>
          <w:iCs/>
        </w:rPr>
        <w:t xml:space="preserve">e registration of the </w:t>
      </w:r>
      <w:r w:rsidRPr="00162FD0">
        <w:rPr>
          <w:rFonts w:ascii="Arial" w:hAnsi="Arial" w:cs="Arial"/>
          <w:iCs/>
        </w:rPr>
        <w:t xml:space="preserve">Agreements under the </w:t>
      </w:r>
      <w:r w:rsidRPr="003C2F31">
        <w:rPr>
          <w:rFonts w:ascii="Arial" w:hAnsi="Arial" w:cs="Arial"/>
          <w:i/>
          <w:iCs/>
        </w:rPr>
        <w:t xml:space="preserve">Native </w:t>
      </w:r>
      <w:r w:rsidRPr="003C2F31">
        <w:rPr>
          <w:rFonts w:ascii="Arial" w:hAnsi="Arial" w:cs="Arial"/>
          <w:i/>
          <w:iCs/>
        </w:rPr>
        <w:lastRenderedPageBreak/>
        <w:t>Title Act 1993</w:t>
      </w:r>
      <w:r w:rsidRPr="00162FD0">
        <w:rPr>
          <w:rFonts w:ascii="Arial" w:hAnsi="Arial" w:cs="Arial"/>
          <w:iCs/>
        </w:rPr>
        <w:t>.</w:t>
      </w:r>
      <w:r w:rsidR="00F80CA2">
        <w:rPr>
          <w:rFonts w:ascii="Arial" w:hAnsi="Arial" w:cs="Arial"/>
          <w:iCs/>
        </w:rPr>
        <w:t xml:space="preserve"> P</w:t>
      </w:r>
      <w:r w:rsidR="00F80CA2" w:rsidRPr="00162FD0">
        <w:rPr>
          <w:rFonts w:ascii="Arial" w:hAnsi="Arial" w:cs="Arial"/>
          <w:iCs/>
        </w:rPr>
        <w:t>re-Settlement</w:t>
      </w:r>
      <w:r w:rsidR="00F80CA2">
        <w:rPr>
          <w:rFonts w:ascii="Arial" w:hAnsi="Arial" w:cs="Arial"/>
          <w:iCs/>
        </w:rPr>
        <w:t xml:space="preserve"> </w:t>
      </w:r>
      <w:r w:rsidR="00F80CA2" w:rsidRPr="00162FD0">
        <w:rPr>
          <w:rFonts w:ascii="Arial" w:hAnsi="Arial" w:cs="Arial"/>
          <w:iCs/>
        </w:rPr>
        <w:t xml:space="preserve">obligations </w:t>
      </w:r>
      <w:r w:rsidR="00F80CA2">
        <w:rPr>
          <w:rFonts w:ascii="Arial" w:hAnsi="Arial" w:cs="Arial"/>
          <w:iCs/>
        </w:rPr>
        <w:t xml:space="preserve">remain </w:t>
      </w:r>
      <w:r w:rsidR="00F80CA2" w:rsidRPr="00162FD0">
        <w:rPr>
          <w:rFonts w:ascii="Arial" w:hAnsi="Arial" w:cs="Arial"/>
          <w:iCs/>
        </w:rPr>
        <w:t xml:space="preserve">under the Agreements, including obligations in relation to the </w:t>
      </w:r>
      <w:hyperlink r:id="rId11" w:history="1">
        <w:r w:rsidR="00F80CA2" w:rsidRPr="008B746D">
          <w:rPr>
            <w:rStyle w:val="Hyperlink"/>
            <w:rFonts w:ascii="Arial" w:hAnsi="Arial" w:cs="Arial"/>
            <w:iCs/>
          </w:rPr>
          <w:t>Noongar Standard Heritage Agreement</w:t>
        </w:r>
      </w:hyperlink>
      <w:r w:rsidR="003829E4">
        <w:rPr>
          <w:rFonts w:ascii="Arial" w:hAnsi="Arial" w:cs="Arial"/>
          <w:iCs/>
        </w:rPr>
        <w:t xml:space="preserve">, </w:t>
      </w:r>
      <w:r w:rsidR="00F80CA2" w:rsidRPr="003829E4">
        <w:rPr>
          <w:rFonts w:ascii="Arial" w:hAnsi="Arial" w:cs="Arial"/>
          <w:iCs/>
        </w:rPr>
        <w:t xml:space="preserve">the </w:t>
      </w:r>
      <w:r w:rsidR="00F80CA2" w:rsidRPr="003829E4">
        <w:rPr>
          <w:rFonts w:ascii="Arial" w:hAnsi="Arial" w:cs="Arial"/>
        </w:rPr>
        <w:t>identification</w:t>
      </w:r>
      <w:r w:rsidR="00911AD6" w:rsidRPr="003829E4">
        <w:rPr>
          <w:rFonts w:ascii="Arial" w:hAnsi="Arial" w:cs="Arial"/>
        </w:rPr>
        <w:t xml:space="preserve"> and</w:t>
      </w:r>
      <w:r w:rsidR="00F80CA2" w:rsidRPr="003829E4">
        <w:rPr>
          <w:rFonts w:ascii="Arial" w:hAnsi="Arial" w:cs="Arial"/>
        </w:rPr>
        <w:t xml:space="preserve"> selection of land for inclusion in the Noongar Land Estate (NLE)</w:t>
      </w:r>
      <w:r w:rsidR="00C67E72">
        <w:rPr>
          <w:rFonts w:ascii="Arial" w:hAnsi="Arial" w:cs="Arial"/>
          <w:color w:val="000000"/>
          <w:lang w:val="en" w:eastAsia="en-AU"/>
        </w:rPr>
        <w:t xml:space="preserve">, the </w:t>
      </w:r>
      <w:hyperlink r:id="rId12" w:history="1">
        <w:r w:rsidR="00C67E72" w:rsidRPr="00C67E72">
          <w:rPr>
            <w:rStyle w:val="Hyperlink"/>
            <w:rFonts w:ascii="Arial" w:hAnsi="Arial" w:cs="Arial"/>
            <w:lang w:val="en" w:eastAsia="en-AU"/>
          </w:rPr>
          <w:t>gazettal of the Water By-Law Amendments</w:t>
        </w:r>
      </w:hyperlink>
      <w:r w:rsidR="00C67E72">
        <w:rPr>
          <w:rFonts w:ascii="Arial" w:hAnsi="Arial" w:cs="Arial"/>
          <w:color w:val="000000"/>
          <w:lang w:val="en" w:eastAsia="en-AU"/>
        </w:rPr>
        <w:t xml:space="preserve"> and </w:t>
      </w:r>
      <w:r w:rsidR="003829E4" w:rsidRPr="003829E4">
        <w:rPr>
          <w:rFonts w:ascii="Arial" w:hAnsi="Arial" w:cs="Arial"/>
          <w:color w:val="000000"/>
          <w:lang w:val="en" w:eastAsia="en-AU"/>
        </w:rPr>
        <w:t xml:space="preserve">the passing of the </w:t>
      </w:r>
      <w:hyperlink r:id="rId13" w:tgtFrame="_blank" w:history="1">
        <w:r w:rsidR="003829E4" w:rsidRPr="003829E4">
          <w:rPr>
            <w:rStyle w:val="Hyperlink"/>
            <w:rFonts w:ascii="Arial" w:hAnsi="Arial" w:cs="Arial"/>
            <w:color w:val="003366"/>
            <w:lang w:val="en" w:eastAsia="en-AU"/>
          </w:rPr>
          <w:t>Noongar (Koorah, Nitja, Boordahwan) (Past, Present, Future) Recognition Act 2016.</w:t>
        </w:r>
      </w:hyperlink>
      <w:r w:rsidR="00F80CA2" w:rsidRPr="003829E4">
        <w:rPr>
          <w:rFonts w:ascii="Arial" w:hAnsi="Arial" w:cs="Arial"/>
          <w:iCs/>
        </w:rPr>
        <w:t xml:space="preserve"> </w:t>
      </w:r>
      <w:r w:rsidR="00094613" w:rsidRPr="003829E4">
        <w:rPr>
          <w:rFonts w:ascii="Arial" w:hAnsi="Arial" w:cs="Arial"/>
          <w:iCs/>
        </w:rPr>
        <w:t>The</w:t>
      </w:r>
      <w:r w:rsidR="00E662CE" w:rsidRPr="003829E4">
        <w:rPr>
          <w:rFonts w:ascii="Arial" w:hAnsi="Arial" w:cs="Arial"/>
          <w:iCs/>
        </w:rPr>
        <w:t xml:space="preserve"> WA Government</w:t>
      </w:r>
      <w:r w:rsidR="00E662CE" w:rsidRPr="00162FD0">
        <w:rPr>
          <w:rFonts w:ascii="Arial" w:hAnsi="Arial" w:cs="Arial"/>
          <w:iCs/>
        </w:rPr>
        <w:t xml:space="preserve"> and the </w:t>
      </w:r>
      <w:r w:rsidR="00B937C4">
        <w:rPr>
          <w:rFonts w:ascii="Arial" w:hAnsi="Arial" w:cs="Arial"/>
          <w:iCs/>
        </w:rPr>
        <w:t>SWALSC</w:t>
      </w:r>
      <w:r w:rsidR="00E662CE" w:rsidRPr="00162FD0">
        <w:rPr>
          <w:rFonts w:ascii="Arial" w:hAnsi="Arial" w:cs="Arial"/>
          <w:iCs/>
        </w:rPr>
        <w:t xml:space="preserve"> remain committed to </w:t>
      </w:r>
      <w:r w:rsidR="004D1A83">
        <w:rPr>
          <w:rFonts w:ascii="Arial" w:hAnsi="Arial" w:cs="Arial"/>
          <w:iCs/>
        </w:rPr>
        <w:t xml:space="preserve">Settlement and continue to prepare for </w:t>
      </w:r>
      <w:r w:rsidR="00E662CE" w:rsidRPr="00162FD0">
        <w:rPr>
          <w:rFonts w:ascii="Arial" w:hAnsi="Arial" w:cs="Arial"/>
          <w:iCs/>
        </w:rPr>
        <w:t>the implementation of the South West Native Title Settlement as soon as possible</w:t>
      </w:r>
      <w:r w:rsidR="00C55D53" w:rsidRPr="00C55D53">
        <w:rPr>
          <w:rFonts w:ascii="Arial" w:hAnsi="Arial" w:cs="Arial"/>
        </w:rPr>
        <w:t>.</w:t>
      </w:r>
      <w:r w:rsidRPr="00937199">
        <w:rPr>
          <w:rFonts w:ascii="Arial" w:hAnsi="Arial" w:cs="Arial"/>
          <w:iCs/>
        </w:rPr>
        <w:t xml:space="preserve"> </w:t>
      </w:r>
    </w:p>
    <w:p w:rsidR="00162FD0" w:rsidRPr="00162FD0" w:rsidRDefault="00162FD0" w:rsidP="00162FD0">
      <w:pPr>
        <w:spacing w:after="0"/>
        <w:jc w:val="both"/>
        <w:rPr>
          <w:rFonts w:ascii="Arial" w:hAnsi="Arial" w:cs="Arial"/>
          <w:iCs/>
        </w:rPr>
      </w:pPr>
    </w:p>
    <w:p w:rsidR="00615E9F" w:rsidRPr="00F80CA2" w:rsidRDefault="00D3174E" w:rsidP="00F80CA2">
      <w:pPr>
        <w:spacing w:after="0"/>
        <w:jc w:val="center"/>
        <w:rPr>
          <w:rFonts w:ascii="ArialMT" w:hAnsi="ArialMT" w:cs="ArialMT"/>
          <w:color w:val="C75928"/>
          <w:sz w:val="48"/>
          <w:szCs w:val="48"/>
        </w:rPr>
      </w:pPr>
      <w:r>
        <w:rPr>
          <w:rFonts w:ascii="ArialMT" w:hAnsi="ArialMT" w:cs="ArialMT"/>
          <w:color w:val="C75928"/>
          <w:sz w:val="48"/>
          <w:szCs w:val="48"/>
        </w:rPr>
        <w:t>What’s Happening?</w:t>
      </w:r>
    </w:p>
    <w:p w:rsidR="00D3174E" w:rsidRDefault="00A633AA" w:rsidP="00D3174E">
      <w:pPr>
        <w:spacing w:after="0"/>
        <w:jc w:val="both"/>
        <w:rPr>
          <w:rFonts w:ascii="Arial" w:hAnsi="Arial" w:cs="Arial"/>
          <w:b/>
          <w:iCs/>
        </w:rPr>
      </w:pPr>
      <w:r w:rsidRPr="00615E9F">
        <w:rPr>
          <w:rFonts w:ascii="Arial" w:hAnsi="Arial" w:cs="Arial"/>
          <w:b/>
          <w:iCs/>
        </w:rPr>
        <w:t>Machinery of Government Changes</w:t>
      </w:r>
      <w:r w:rsidR="001705BC">
        <w:rPr>
          <w:rFonts w:ascii="Arial" w:hAnsi="Arial" w:cs="Arial"/>
          <w:b/>
          <w:iCs/>
        </w:rPr>
        <w:t xml:space="preserve"> and Settlement Preparations</w:t>
      </w:r>
    </w:p>
    <w:p w:rsidR="00A633AA" w:rsidRDefault="001705BC" w:rsidP="006670CB">
      <w:pPr>
        <w:spacing w:after="0"/>
        <w:jc w:val="both"/>
        <w:rPr>
          <w:rFonts w:ascii="Arial" w:hAnsi="Arial" w:cs="Arial"/>
          <w:iCs/>
        </w:rPr>
      </w:pPr>
      <w:r>
        <w:rPr>
          <w:rFonts w:ascii="Arial" w:hAnsi="Arial" w:cs="Arial"/>
          <w:iCs/>
        </w:rPr>
        <w:t>Machinery of Government changes</w:t>
      </w:r>
      <w:r w:rsidR="00E732DE">
        <w:rPr>
          <w:rFonts w:ascii="Arial" w:hAnsi="Arial" w:cs="Arial"/>
          <w:iCs/>
        </w:rPr>
        <w:t xml:space="preserve"> were</w:t>
      </w:r>
      <w:r w:rsidR="00A633AA">
        <w:rPr>
          <w:rFonts w:ascii="Arial" w:hAnsi="Arial" w:cs="Arial"/>
          <w:iCs/>
        </w:rPr>
        <w:t xml:space="preserve"> </w:t>
      </w:r>
      <w:r>
        <w:rPr>
          <w:rFonts w:ascii="Arial" w:hAnsi="Arial" w:cs="Arial"/>
          <w:iCs/>
        </w:rPr>
        <w:t>recently</w:t>
      </w:r>
      <w:r w:rsidR="00A633AA">
        <w:rPr>
          <w:rFonts w:ascii="Arial" w:hAnsi="Arial" w:cs="Arial"/>
          <w:iCs/>
        </w:rPr>
        <w:t xml:space="preserve"> announced</w:t>
      </w:r>
      <w:r w:rsidR="00E732DE">
        <w:rPr>
          <w:rFonts w:ascii="Arial" w:hAnsi="Arial" w:cs="Arial"/>
          <w:iCs/>
        </w:rPr>
        <w:t xml:space="preserve"> by the State Government, including a reduction in</w:t>
      </w:r>
      <w:r>
        <w:rPr>
          <w:rFonts w:ascii="Arial" w:hAnsi="Arial" w:cs="Arial"/>
          <w:iCs/>
        </w:rPr>
        <w:t xml:space="preserve"> the number of gov</w:t>
      </w:r>
      <w:r w:rsidR="00E732DE">
        <w:rPr>
          <w:rFonts w:ascii="Arial" w:hAnsi="Arial" w:cs="Arial"/>
          <w:iCs/>
        </w:rPr>
        <w:t>ernment departments. The</w:t>
      </w:r>
      <w:r w:rsidR="00A633AA">
        <w:rPr>
          <w:rFonts w:ascii="Arial" w:hAnsi="Arial" w:cs="Arial"/>
          <w:iCs/>
        </w:rPr>
        <w:t xml:space="preserve"> changes do not affect the State’s commitment to the implementation of the Settlement</w:t>
      </w:r>
      <w:r w:rsidR="00E732DE">
        <w:rPr>
          <w:rFonts w:ascii="Arial" w:hAnsi="Arial" w:cs="Arial"/>
          <w:iCs/>
        </w:rPr>
        <w:t>.</w:t>
      </w:r>
    </w:p>
    <w:p w:rsidR="00A633AA" w:rsidRDefault="00A633AA" w:rsidP="006670CB">
      <w:pPr>
        <w:spacing w:after="0"/>
        <w:jc w:val="both"/>
        <w:rPr>
          <w:rFonts w:ascii="Arial" w:hAnsi="Arial" w:cs="Arial"/>
          <w:iCs/>
        </w:rPr>
      </w:pPr>
    </w:p>
    <w:p w:rsidR="006670CB" w:rsidRDefault="00F80CA2" w:rsidP="006670CB">
      <w:pPr>
        <w:spacing w:after="0"/>
        <w:jc w:val="both"/>
        <w:rPr>
          <w:rFonts w:ascii="Arial" w:hAnsi="Arial" w:cs="Arial"/>
          <w:iCs/>
        </w:rPr>
      </w:pPr>
      <w:r>
        <w:rPr>
          <w:rFonts w:ascii="Arial" w:hAnsi="Arial" w:cs="Arial"/>
          <w:iCs/>
        </w:rPr>
        <w:t>T</w:t>
      </w:r>
      <w:r w:rsidR="00D3174E">
        <w:rPr>
          <w:rFonts w:ascii="Arial" w:hAnsi="Arial" w:cs="Arial"/>
          <w:iCs/>
        </w:rPr>
        <w:t xml:space="preserve">he </w:t>
      </w:r>
      <w:r w:rsidR="00911AD6">
        <w:rPr>
          <w:rFonts w:ascii="Arial" w:hAnsi="Arial" w:cs="Arial"/>
          <w:iCs/>
        </w:rPr>
        <w:t xml:space="preserve">Department of Premier and Cabinet’s (DPC) </w:t>
      </w:r>
      <w:r w:rsidR="00D3174E">
        <w:rPr>
          <w:rFonts w:ascii="Arial" w:hAnsi="Arial" w:cs="Arial"/>
          <w:iCs/>
        </w:rPr>
        <w:t>South West Settlement Implementa</w:t>
      </w:r>
      <w:r w:rsidR="001705BC">
        <w:rPr>
          <w:rFonts w:ascii="Arial" w:hAnsi="Arial" w:cs="Arial"/>
          <w:iCs/>
        </w:rPr>
        <w:t>tion Team continue</w:t>
      </w:r>
      <w:r w:rsidR="00911AD6">
        <w:rPr>
          <w:rFonts w:ascii="Arial" w:hAnsi="Arial" w:cs="Arial"/>
          <w:iCs/>
        </w:rPr>
        <w:t>s</w:t>
      </w:r>
      <w:r w:rsidR="001705BC">
        <w:rPr>
          <w:rFonts w:ascii="Arial" w:hAnsi="Arial" w:cs="Arial"/>
          <w:iCs/>
        </w:rPr>
        <w:t xml:space="preserve"> to work with</w:t>
      </w:r>
      <w:r w:rsidR="00D3174E">
        <w:rPr>
          <w:rFonts w:ascii="Arial" w:hAnsi="Arial" w:cs="Arial"/>
          <w:iCs/>
        </w:rPr>
        <w:t xml:space="preserve"> </w:t>
      </w:r>
      <w:r w:rsidR="0092552C">
        <w:rPr>
          <w:rFonts w:ascii="Arial" w:hAnsi="Arial" w:cs="Arial"/>
          <w:iCs/>
        </w:rPr>
        <w:t xml:space="preserve">government </w:t>
      </w:r>
      <w:r w:rsidR="00D3174E">
        <w:rPr>
          <w:rFonts w:ascii="Arial" w:hAnsi="Arial" w:cs="Arial"/>
          <w:iCs/>
        </w:rPr>
        <w:t xml:space="preserve">agencies to prepare for the implementation of the South West </w:t>
      </w:r>
      <w:r w:rsidR="0092552C">
        <w:rPr>
          <w:rFonts w:ascii="Arial" w:hAnsi="Arial" w:cs="Arial"/>
          <w:iCs/>
        </w:rPr>
        <w:t xml:space="preserve">Native Title </w:t>
      </w:r>
      <w:r w:rsidR="00D3174E">
        <w:rPr>
          <w:rFonts w:ascii="Arial" w:hAnsi="Arial" w:cs="Arial"/>
          <w:iCs/>
        </w:rPr>
        <w:t xml:space="preserve">Settlement. </w:t>
      </w:r>
      <w:r w:rsidR="0092552C">
        <w:rPr>
          <w:rFonts w:ascii="Arial" w:hAnsi="Arial" w:cs="Arial"/>
          <w:iCs/>
        </w:rPr>
        <w:t>This</w:t>
      </w:r>
      <w:r w:rsidR="00094613">
        <w:rPr>
          <w:rFonts w:ascii="Arial" w:hAnsi="Arial" w:cs="Arial"/>
          <w:iCs/>
        </w:rPr>
        <w:t xml:space="preserve"> </w:t>
      </w:r>
      <w:r w:rsidR="00EC3783">
        <w:rPr>
          <w:rFonts w:ascii="Arial" w:hAnsi="Arial" w:cs="Arial"/>
          <w:iCs/>
        </w:rPr>
        <w:t>work includes liaising with the Department of Lands and the Dep</w:t>
      </w:r>
      <w:r w:rsidR="006670CB">
        <w:rPr>
          <w:rFonts w:ascii="Arial" w:hAnsi="Arial" w:cs="Arial"/>
          <w:iCs/>
        </w:rPr>
        <w:t xml:space="preserve">artment of Aboriginal Affairs </w:t>
      </w:r>
      <w:r w:rsidR="00A633AA">
        <w:rPr>
          <w:rFonts w:ascii="Arial" w:hAnsi="Arial" w:cs="Arial"/>
          <w:iCs/>
        </w:rPr>
        <w:t xml:space="preserve">(soon to </w:t>
      </w:r>
      <w:r w:rsidR="00911AD6">
        <w:rPr>
          <w:rFonts w:ascii="Arial" w:hAnsi="Arial" w:cs="Arial"/>
          <w:iCs/>
        </w:rPr>
        <w:t>form part of</w:t>
      </w:r>
      <w:r w:rsidR="00A633AA">
        <w:rPr>
          <w:rFonts w:ascii="Arial" w:hAnsi="Arial" w:cs="Arial"/>
          <w:iCs/>
        </w:rPr>
        <w:t xml:space="preserve"> the combined Department of Planning, Lands and Heritage) </w:t>
      </w:r>
      <w:r w:rsidR="006670CB">
        <w:rPr>
          <w:rFonts w:ascii="Arial" w:hAnsi="Arial" w:cs="Arial"/>
          <w:iCs/>
        </w:rPr>
        <w:t xml:space="preserve">in preparing </w:t>
      </w:r>
      <w:r w:rsidR="00B30A5D">
        <w:rPr>
          <w:rFonts w:ascii="Arial" w:hAnsi="Arial" w:cs="Arial"/>
          <w:iCs/>
        </w:rPr>
        <w:t xml:space="preserve">for land </w:t>
      </w:r>
      <w:r w:rsidR="006670CB">
        <w:rPr>
          <w:rFonts w:ascii="Arial" w:hAnsi="Arial" w:cs="Arial"/>
          <w:iCs/>
        </w:rPr>
        <w:t>transfers as part of</w:t>
      </w:r>
      <w:r w:rsidR="00EC3783">
        <w:rPr>
          <w:rFonts w:ascii="Arial" w:hAnsi="Arial" w:cs="Arial"/>
          <w:iCs/>
        </w:rPr>
        <w:t xml:space="preserve"> the Land Base Strategy</w:t>
      </w:r>
      <w:r w:rsidR="006670CB">
        <w:rPr>
          <w:rFonts w:ascii="Arial" w:hAnsi="Arial" w:cs="Arial"/>
          <w:iCs/>
        </w:rPr>
        <w:t xml:space="preserve">, coordinating the Interim Period Advisory Group (IPAG) and working with other government departments on the </w:t>
      </w:r>
      <w:r w:rsidR="00911AD6">
        <w:rPr>
          <w:rFonts w:ascii="Arial" w:hAnsi="Arial" w:cs="Arial"/>
          <w:iCs/>
        </w:rPr>
        <w:t xml:space="preserve">operation of the </w:t>
      </w:r>
      <w:r w:rsidR="006670CB">
        <w:rPr>
          <w:rFonts w:ascii="Arial" w:hAnsi="Arial" w:cs="Arial"/>
          <w:iCs/>
        </w:rPr>
        <w:t>Noongar Standard Heritage Agreement.</w:t>
      </w:r>
    </w:p>
    <w:p w:rsidR="00701FB6" w:rsidRDefault="00701FB6" w:rsidP="00D3174E">
      <w:pPr>
        <w:spacing w:after="0"/>
        <w:jc w:val="both"/>
        <w:rPr>
          <w:rFonts w:ascii="Arial" w:hAnsi="Arial" w:cs="Arial"/>
          <w:b/>
          <w:iCs/>
        </w:rPr>
      </w:pPr>
    </w:p>
    <w:p w:rsidR="00B869E2" w:rsidRPr="00D10AF7" w:rsidRDefault="00B869E2" w:rsidP="00D3174E">
      <w:pPr>
        <w:spacing w:after="0"/>
        <w:jc w:val="both"/>
        <w:rPr>
          <w:rFonts w:ascii="Arial" w:hAnsi="Arial" w:cs="Arial"/>
          <w:b/>
          <w:iCs/>
        </w:rPr>
      </w:pPr>
      <w:r w:rsidRPr="00D10AF7">
        <w:rPr>
          <w:rFonts w:ascii="Arial" w:hAnsi="Arial" w:cs="Arial"/>
          <w:b/>
          <w:iCs/>
        </w:rPr>
        <w:t>Noongar Boodja Trustee</w:t>
      </w:r>
    </w:p>
    <w:p w:rsidR="00EC3783" w:rsidRDefault="00D3174E" w:rsidP="00D3174E">
      <w:pPr>
        <w:spacing w:after="0"/>
        <w:jc w:val="both"/>
        <w:rPr>
          <w:rFonts w:ascii="Arial" w:hAnsi="Arial" w:cs="Arial"/>
          <w:iCs/>
        </w:rPr>
      </w:pPr>
      <w:r w:rsidRPr="000D1F95">
        <w:rPr>
          <w:rFonts w:ascii="Arial" w:hAnsi="Arial" w:cs="Arial"/>
          <w:iCs/>
        </w:rPr>
        <w:t>Perpetual Trustee Company Limited remains the ‘Trustee in Waiting’ and will be formally appointed and commence its role as the Truste</w:t>
      </w:r>
      <w:r>
        <w:rPr>
          <w:rFonts w:ascii="Arial" w:hAnsi="Arial" w:cs="Arial"/>
          <w:iCs/>
        </w:rPr>
        <w:t xml:space="preserve">e at the ‘Trust Effective Date’. This </w:t>
      </w:r>
      <w:r w:rsidRPr="000D1F95">
        <w:rPr>
          <w:rFonts w:ascii="Arial" w:hAnsi="Arial" w:cs="Arial"/>
          <w:iCs/>
        </w:rPr>
        <w:t xml:space="preserve">date will occur following the conclusive registration of the 6 </w:t>
      </w:r>
      <w:r w:rsidR="004D1A83">
        <w:rPr>
          <w:rFonts w:ascii="Arial" w:hAnsi="Arial" w:cs="Arial"/>
          <w:iCs/>
        </w:rPr>
        <w:t>Settlement Agreement</w:t>
      </w:r>
      <w:r w:rsidR="004D1A83" w:rsidRPr="000D1F95">
        <w:rPr>
          <w:rFonts w:ascii="Arial" w:hAnsi="Arial" w:cs="Arial"/>
          <w:iCs/>
        </w:rPr>
        <w:t>s</w:t>
      </w:r>
      <w:r w:rsidRPr="000D1F95">
        <w:rPr>
          <w:rFonts w:ascii="Arial" w:hAnsi="Arial" w:cs="Arial"/>
          <w:iCs/>
        </w:rPr>
        <w:t>.</w:t>
      </w:r>
      <w:r w:rsidR="00A428D4">
        <w:rPr>
          <w:rFonts w:ascii="Arial" w:hAnsi="Arial" w:cs="Arial"/>
          <w:iCs/>
        </w:rPr>
        <w:t xml:space="preserve"> The I</w:t>
      </w:r>
      <w:r w:rsidR="00094613">
        <w:rPr>
          <w:rFonts w:ascii="Arial" w:hAnsi="Arial" w:cs="Arial"/>
          <w:iCs/>
        </w:rPr>
        <w:t xml:space="preserve">nterim </w:t>
      </w:r>
      <w:r w:rsidR="00A428D4">
        <w:rPr>
          <w:rFonts w:ascii="Arial" w:hAnsi="Arial" w:cs="Arial"/>
          <w:iCs/>
        </w:rPr>
        <w:t>P</w:t>
      </w:r>
      <w:r w:rsidR="00094613">
        <w:rPr>
          <w:rFonts w:ascii="Arial" w:hAnsi="Arial" w:cs="Arial"/>
          <w:iCs/>
        </w:rPr>
        <w:t xml:space="preserve">eriod </w:t>
      </w:r>
      <w:r w:rsidR="00A428D4">
        <w:rPr>
          <w:rFonts w:ascii="Arial" w:hAnsi="Arial" w:cs="Arial"/>
          <w:iCs/>
        </w:rPr>
        <w:t>A</w:t>
      </w:r>
      <w:r w:rsidR="00094613">
        <w:rPr>
          <w:rFonts w:ascii="Arial" w:hAnsi="Arial" w:cs="Arial"/>
          <w:iCs/>
        </w:rPr>
        <w:t xml:space="preserve">dvisory </w:t>
      </w:r>
      <w:r w:rsidR="00A428D4">
        <w:rPr>
          <w:rFonts w:ascii="Arial" w:hAnsi="Arial" w:cs="Arial"/>
          <w:iCs/>
        </w:rPr>
        <w:t>G</w:t>
      </w:r>
      <w:r w:rsidR="00094613">
        <w:rPr>
          <w:rFonts w:ascii="Arial" w:hAnsi="Arial" w:cs="Arial"/>
          <w:iCs/>
        </w:rPr>
        <w:t>roup (IPAG)</w:t>
      </w:r>
      <w:r w:rsidR="00A428D4">
        <w:rPr>
          <w:rFonts w:ascii="Arial" w:hAnsi="Arial" w:cs="Arial"/>
          <w:iCs/>
        </w:rPr>
        <w:t xml:space="preserve"> continues to </w:t>
      </w:r>
      <w:r w:rsidR="00A428D4" w:rsidRPr="00D10AF7">
        <w:rPr>
          <w:rFonts w:ascii="Arial" w:hAnsi="Arial" w:cs="Arial"/>
          <w:iCs/>
        </w:rPr>
        <w:t xml:space="preserve">advise Perpetual prior to the commencement of the Settlement, </w:t>
      </w:r>
      <w:r w:rsidR="00911AD6">
        <w:rPr>
          <w:rFonts w:ascii="Arial" w:hAnsi="Arial" w:cs="Arial"/>
          <w:iCs/>
        </w:rPr>
        <w:t>and at this stage is the</w:t>
      </w:r>
      <w:r w:rsidR="00A428D4" w:rsidRPr="00D10AF7">
        <w:rPr>
          <w:rFonts w:ascii="Arial" w:hAnsi="Arial" w:cs="Arial"/>
          <w:iCs/>
        </w:rPr>
        <w:t xml:space="preserve"> primary mechanism for communication between the Parties.</w:t>
      </w:r>
    </w:p>
    <w:p w:rsidR="00D3174E" w:rsidRDefault="00D3174E" w:rsidP="00D3174E">
      <w:pPr>
        <w:spacing w:after="0"/>
        <w:jc w:val="both"/>
        <w:rPr>
          <w:rFonts w:ascii="Arial" w:hAnsi="Arial" w:cs="Arial"/>
          <w:iCs/>
        </w:rPr>
      </w:pPr>
    </w:p>
    <w:p w:rsidR="00F80CA2" w:rsidRDefault="00B869E2" w:rsidP="00F80CA2">
      <w:pPr>
        <w:spacing w:after="0"/>
        <w:jc w:val="both"/>
        <w:rPr>
          <w:rFonts w:ascii="Arial" w:hAnsi="Arial" w:cs="Arial"/>
          <w:b/>
          <w:color w:val="000000"/>
          <w:lang w:val="en"/>
        </w:rPr>
      </w:pPr>
      <w:r w:rsidRPr="00D10AF7">
        <w:rPr>
          <w:rFonts w:ascii="Arial" w:hAnsi="Arial" w:cs="Arial"/>
          <w:b/>
          <w:color w:val="000000"/>
          <w:lang w:val="en"/>
        </w:rPr>
        <w:t xml:space="preserve">Establishment of Noongar Corporations </w:t>
      </w:r>
    </w:p>
    <w:p w:rsidR="000D1F95" w:rsidRDefault="00EC3783" w:rsidP="00911AD6">
      <w:pPr>
        <w:jc w:val="both"/>
        <w:rPr>
          <w:rFonts w:ascii="Arial" w:hAnsi="Arial" w:cs="Arial"/>
          <w:color w:val="000000"/>
          <w:lang w:val="en"/>
        </w:rPr>
      </w:pPr>
      <w:r>
        <w:rPr>
          <w:rFonts w:ascii="Arial" w:hAnsi="Arial" w:cs="Arial"/>
          <w:color w:val="000000"/>
          <w:lang w:val="en"/>
        </w:rPr>
        <w:t xml:space="preserve">The Noongar Native Title Agreement Groups, facilitated by SWALSC are currently working towards the </w:t>
      </w:r>
      <w:hyperlink r:id="rId14" w:tgtFrame="_blank" w:tooltip="Learn more about the Corporations" w:history="1">
        <w:r>
          <w:rPr>
            <w:rStyle w:val="Hyperlink"/>
            <w:rFonts w:ascii="Arial" w:hAnsi="Arial" w:cs="Arial"/>
            <w:color w:val="003366"/>
            <w:lang w:val="en"/>
          </w:rPr>
          <w:t xml:space="preserve">establishment of the </w:t>
        </w:r>
        <w:r w:rsidR="00911AD6">
          <w:rPr>
            <w:rStyle w:val="Hyperlink"/>
            <w:rFonts w:ascii="Arial" w:hAnsi="Arial" w:cs="Arial"/>
            <w:color w:val="003366"/>
            <w:lang w:val="en"/>
          </w:rPr>
          <w:t xml:space="preserve">6 </w:t>
        </w:r>
        <w:r>
          <w:rPr>
            <w:rStyle w:val="Hyperlink"/>
            <w:rFonts w:ascii="Arial" w:hAnsi="Arial" w:cs="Arial"/>
            <w:color w:val="003366"/>
            <w:lang w:val="en"/>
          </w:rPr>
          <w:t>Noongar Corporations</w:t>
        </w:r>
        <w:r w:rsidR="00911AD6">
          <w:rPr>
            <w:rStyle w:val="Hyperlink"/>
            <w:rFonts w:ascii="Arial" w:hAnsi="Arial" w:cs="Arial"/>
            <w:color w:val="003366"/>
            <w:lang w:val="en"/>
          </w:rPr>
          <w:t xml:space="preserve"> and Central Services Corporation</w:t>
        </w:r>
        <w:r>
          <w:rPr>
            <w:rStyle w:val="Hyperlink"/>
            <w:rFonts w:ascii="Arial" w:hAnsi="Arial" w:cs="Arial"/>
            <w:color w:val="003366"/>
            <w:lang w:val="en"/>
          </w:rPr>
          <w:t>.</w:t>
        </w:r>
      </w:hyperlink>
      <w:r>
        <w:rPr>
          <w:rFonts w:ascii="Arial" w:hAnsi="Arial" w:cs="Arial"/>
          <w:color w:val="000000"/>
          <w:lang w:val="en"/>
        </w:rPr>
        <w:t>  SWA</w:t>
      </w:r>
      <w:r w:rsidR="00B30A5D">
        <w:rPr>
          <w:rFonts w:ascii="Arial" w:hAnsi="Arial" w:cs="Arial"/>
          <w:color w:val="000000"/>
          <w:lang w:val="en"/>
        </w:rPr>
        <w:t>LSC’s role and functions remain</w:t>
      </w:r>
      <w:r>
        <w:rPr>
          <w:rFonts w:ascii="Arial" w:hAnsi="Arial" w:cs="Arial"/>
          <w:color w:val="000000"/>
          <w:lang w:val="en"/>
        </w:rPr>
        <w:t xml:space="preserve"> </w:t>
      </w:r>
      <w:r w:rsidR="004D1A83">
        <w:rPr>
          <w:rFonts w:ascii="Arial" w:hAnsi="Arial" w:cs="Arial"/>
          <w:color w:val="000000"/>
          <w:lang w:val="en"/>
        </w:rPr>
        <w:t>as a Native Title Service Provider</w:t>
      </w:r>
      <w:r w:rsidR="00911AD6">
        <w:rPr>
          <w:rFonts w:ascii="Arial" w:hAnsi="Arial" w:cs="Arial"/>
          <w:color w:val="000000"/>
          <w:lang w:val="en"/>
        </w:rPr>
        <w:t>,</w:t>
      </w:r>
      <w:r w:rsidR="004D1A83">
        <w:rPr>
          <w:rFonts w:ascii="Arial" w:hAnsi="Arial" w:cs="Arial"/>
          <w:color w:val="000000"/>
          <w:lang w:val="en"/>
        </w:rPr>
        <w:t xml:space="preserve"> however</w:t>
      </w:r>
      <w:r>
        <w:rPr>
          <w:rFonts w:ascii="Arial" w:hAnsi="Arial" w:cs="Arial"/>
          <w:color w:val="000000"/>
          <w:lang w:val="en"/>
        </w:rPr>
        <w:t xml:space="preserve"> also include</w:t>
      </w:r>
      <w:r w:rsidR="004D1A83">
        <w:rPr>
          <w:rFonts w:ascii="Arial" w:hAnsi="Arial" w:cs="Arial"/>
          <w:color w:val="000000"/>
          <w:lang w:val="en"/>
        </w:rPr>
        <w:t>s undertaking</w:t>
      </w:r>
      <w:r>
        <w:rPr>
          <w:rFonts w:ascii="Arial" w:hAnsi="Arial" w:cs="Arial"/>
          <w:color w:val="000000"/>
          <w:lang w:val="en"/>
        </w:rPr>
        <w:t xml:space="preserve"> the </w:t>
      </w:r>
      <w:r w:rsidR="004D1A83">
        <w:rPr>
          <w:rFonts w:ascii="Arial" w:hAnsi="Arial" w:cs="Arial"/>
          <w:color w:val="000000"/>
          <w:lang w:val="en"/>
        </w:rPr>
        <w:t xml:space="preserve">pre-Settlement obligations on behalf of the Noongar Agreement Groups and any </w:t>
      </w:r>
      <w:r>
        <w:rPr>
          <w:rFonts w:ascii="Arial" w:hAnsi="Arial" w:cs="Arial"/>
          <w:color w:val="000000"/>
          <w:lang w:val="en"/>
        </w:rPr>
        <w:t xml:space="preserve">preparatory work required for the implementation of the Settlement. </w:t>
      </w:r>
      <w:r w:rsidR="004D1A83">
        <w:rPr>
          <w:rFonts w:ascii="Arial" w:hAnsi="Arial" w:cs="Arial"/>
          <w:color w:val="000000"/>
          <w:lang w:val="en"/>
        </w:rPr>
        <w:t>K</w:t>
      </w:r>
      <w:r>
        <w:rPr>
          <w:rFonts w:ascii="Arial" w:hAnsi="Arial" w:cs="Arial"/>
          <w:color w:val="000000"/>
          <w:lang w:val="en"/>
        </w:rPr>
        <w:t xml:space="preserve">ey areas for SWALSC are the operation of the Noongar Standard Heritage Agreements and the identification </w:t>
      </w:r>
      <w:r w:rsidR="004D1A83">
        <w:rPr>
          <w:rFonts w:ascii="Arial" w:hAnsi="Arial" w:cs="Arial"/>
          <w:color w:val="000000"/>
          <w:lang w:val="en"/>
        </w:rPr>
        <w:t xml:space="preserve">and selection </w:t>
      </w:r>
      <w:r>
        <w:rPr>
          <w:rFonts w:ascii="Arial" w:hAnsi="Arial" w:cs="Arial"/>
          <w:color w:val="000000"/>
          <w:lang w:val="en"/>
        </w:rPr>
        <w:t>of potential land for the future Noongar Land Estate</w:t>
      </w:r>
      <w:r w:rsidR="006670CB">
        <w:rPr>
          <w:rFonts w:ascii="Arial" w:hAnsi="Arial" w:cs="Arial"/>
          <w:color w:val="000000"/>
          <w:lang w:val="en"/>
        </w:rPr>
        <w:t>. They continue to be</w:t>
      </w:r>
      <w:r>
        <w:rPr>
          <w:rFonts w:ascii="Arial" w:hAnsi="Arial" w:cs="Arial"/>
          <w:color w:val="000000"/>
          <w:lang w:val="en"/>
        </w:rPr>
        <w:t xml:space="preserve"> </w:t>
      </w:r>
      <w:r w:rsidR="00911AD6">
        <w:rPr>
          <w:rFonts w:ascii="Arial" w:hAnsi="Arial" w:cs="Arial"/>
          <w:color w:val="000000"/>
          <w:lang w:val="en"/>
        </w:rPr>
        <w:t>resourced</w:t>
      </w:r>
      <w:r>
        <w:rPr>
          <w:rFonts w:ascii="Arial" w:hAnsi="Arial" w:cs="Arial"/>
          <w:color w:val="000000"/>
          <w:lang w:val="en"/>
        </w:rPr>
        <w:t xml:space="preserve"> by the </w:t>
      </w:r>
      <w:r w:rsidR="004D1A83">
        <w:rPr>
          <w:rFonts w:ascii="Arial" w:hAnsi="Arial" w:cs="Arial"/>
          <w:color w:val="000000"/>
          <w:lang w:val="en"/>
        </w:rPr>
        <w:t>F</w:t>
      </w:r>
      <w:r w:rsidR="006670CB">
        <w:rPr>
          <w:rFonts w:ascii="Arial" w:hAnsi="Arial" w:cs="Arial"/>
          <w:color w:val="000000"/>
          <w:lang w:val="en"/>
        </w:rPr>
        <w:t xml:space="preserve">ederal </w:t>
      </w:r>
      <w:r>
        <w:rPr>
          <w:rFonts w:ascii="Arial" w:hAnsi="Arial" w:cs="Arial"/>
          <w:color w:val="000000"/>
          <w:lang w:val="en"/>
        </w:rPr>
        <w:t>Government</w:t>
      </w:r>
      <w:r w:rsidR="006670CB">
        <w:rPr>
          <w:rFonts w:ascii="Arial" w:hAnsi="Arial" w:cs="Arial"/>
          <w:color w:val="000000"/>
          <w:lang w:val="en"/>
        </w:rPr>
        <w:t xml:space="preserve"> </w:t>
      </w:r>
      <w:r w:rsidR="00911AD6">
        <w:rPr>
          <w:rFonts w:ascii="Arial" w:hAnsi="Arial" w:cs="Arial"/>
          <w:color w:val="000000"/>
          <w:lang w:val="en"/>
        </w:rPr>
        <w:t xml:space="preserve">as a Native Title Service Provider </w:t>
      </w:r>
      <w:r w:rsidR="006670CB">
        <w:rPr>
          <w:rFonts w:ascii="Arial" w:hAnsi="Arial" w:cs="Arial"/>
          <w:color w:val="000000"/>
          <w:lang w:val="en"/>
        </w:rPr>
        <w:t>during this interim period.</w:t>
      </w:r>
    </w:p>
    <w:p w:rsidR="0080770D" w:rsidRDefault="0080770D" w:rsidP="00911AD6">
      <w:pPr>
        <w:jc w:val="both"/>
        <w:rPr>
          <w:rFonts w:ascii="Arial" w:hAnsi="Arial" w:cs="Arial"/>
          <w:color w:val="000000"/>
          <w:lang w:val="en"/>
        </w:rPr>
      </w:pPr>
    </w:p>
    <w:p w:rsidR="0080770D" w:rsidRPr="00F80CA2" w:rsidRDefault="0080770D" w:rsidP="00911AD6">
      <w:pPr>
        <w:jc w:val="both"/>
        <w:rPr>
          <w:rFonts w:ascii="Arial" w:hAnsi="Arial" w:cs="Arial"/>
          <w:b/>
          <w:color w:val="000000"/>
          <w:lang w:val="en"/>
        </w:rPr>
      </w:pPr>
    </w:p>
    <w:p w:rsidR="00CE591C" w:rsidRPr="00F80CA2" w:rsidRDefault="00CE591C" w:rsidP="00911AD6">
      <w:pPr>
        <w:spacing w:after="0"/>
        <w:jc w:val="both"/>
        <w:rPr>
          <w:rFonts w:ascii="Arial" w:hAnsi="Arial" w:cs="Arial"/>
          <w:b/>
          <w:iCs/>
        </w:rPr>
      </w:pPr>
      <w:r w:rsidRPr="00F80CA2">
        <w:rPr>
          <w:rFonts w:ascii="Arial" w:hAnsi="Arial" w:cs="Arial"/>
          <w:b/>
          <w:color w:val="000000"/>
          <w:lang w:val="en"/>
        </w:rPr>
        <w:lastRenderedPageBreak/>
        <w:t>Future</w:t>
      </w:r>
      <w:r w:rsidRPr="00CE591C">
        <w:rPr>
          <w:rFonts w:ascii="Arial" w:hAnsi="Arial" w:cs="Arial"/>
          <w:b/>
          <w:iCs/>
        </w:rPr>
        <w:t xml:space="preserve"> Act provisions</w:t>
      </w:r>
    </w:p>
    <w:p w:rsidR="009C1D12" w:rsidRDefault="00E37C73" w:rsidP="00911AD6">
      <w:pPr>
        <w:spacing w:after="0" w:line="240" w:lineRule="auto"/>
        <w:jc w:val="both"/>
        <w:rPr>
          <w:rFonts w:ascii="Arial" w:hAnsi="Arial" w:cs="Arial"/>
          <w:color w:val="000000"/>
        </w:rPr>
      </w:pPr>
      <w:r>
        <w:rPr>
          <w:rFonts w:ascii="Arial" w:hAnsi="Arial" w:cs="Arial"/>
          <w:iCs/>
        </w:rPr>
        <w:t>U</w:t>
      </w:r>
      <w:r w:rsidR="00667D07">
        <w:rPr>
          <w:rFonts w:ascii="Arial" w:hAnsi="Arial" w:cs="Arial"/>
          <w:iCs/>
        </w:rPr>
        <w:t xml:space="preserve">ntil </w:t>
      </w:r>
      <w:r w:rsidR="008B746D" w:rsidRPr="008B746D">
        <w:rPr>
          <w:rFonts w:ascii="Arial" w:hAnsi="Arial" w:cs="Arial"/>
          <w:color w:val="000000"/>
        </w:rPr>
        <w:t xml:space="preserve">the successful registration of the six Settlement </w:t>
      </w:r>
      <w:r>
        <w:rPr>
          <w:rFonts w:ascii="Arial" w:hAnsi="Arial" w:cs="Arial"/>
          <w:color w:val="000000"/>
        </w:rPr>
        <w:t>Agreements</w:t>
      </w:r>
      <w:r w:rsidRPr="008B746D">
        <w:rPr>
          <w:rFonts w:ascii="Arial" w:hAnsi="Arial" w:cs="Arial"/>
          <w:color w:val="000000"/>
        </w:rPr>
        <w:t xml:space="preserve"> </w:t>
      </w:r>
      <w:r w:rsidR="008B746D" w:rsidRPr="008B746D">
        <w:rPr>
          <w:rFonts w:ascii="Arial" w:hAnsi="Arial" w:cs="Arial"/>
          <w:color w:val="000000"/>
        </w:rPr>
        <w:t xml:space="preserve">and the </w:t>
      </w:r>
      <w:r>
        <w:rPr>
          <w:rFonts w:ascii="Arial" w:hAnsi="Arial" w:cs="Arial"/>
          <w:color w:val="000000"/>
        </w:rPr>
        <w:t xml:space="preserve">Settlement </w:t>
      </w:r>
      <w:r w:rsidR="00911AD6">
        <w:rPr>
          <w:rFonts w:ascii="Arial" w:hAnsi="Arial" w:cs="Arial"/>
          <w:color w:val="000000"/>
        </w:rPr>
        <w:t>formally commences</w:t>
      </w:r>
      <w:r w:rsidR="008B746D" w:rsidRPr="008B746D">
        <w:rPr>
          <w:rFonts w:ascii="Arial" w:hAnsi="Arial" w:cs="Arial"/>
          <w:color w:val="000000"/>
        </w:rPr>
        <w:t xml:space="preserve">, the </w:t>
      </w:r>
      <w:r w:rsidR="008B746D">
        <w:rPr>
          <w:rFonts w:ascii="Arial" w:hAnsi="Arial" w:cs="Arial"/>
          <w:color w:val="000000"/>
        </w:rPr>
        <w:t xml:space="preserve">future act provisions of the </w:t>
      </w:r>
      <w:r w:rsidR="008B746D" w:rsidRPr="008B746D">
        <w:rPr>
          <w:rFonts w:ascii="Arial" w:hAnsi="Arial" w:cs="Arial"/>
          <w:i/>
          <w:color w:val="000000"/>
        </w:rPr>
        <w:t>Native Title Act</w:t>
      </w:r>
      <w:r w:rsidR="008B746D">
        <w:rPr>
          <w:rFonts w:ascii="Arial" w:hAnsi="Arial" w:cs="Arial"/>
          <w:i/>
          <w:color w:val="000000"/>
        </w:rPr>
        <w:t xml:space="preserve"> 1993</w:t>
      </w:r>
      <w:r w:rsidR="008B746D">
        <w:rPr>
          <w:rFonts w:ascii="Arial" w:hAnsi="Arial" w:cs="Arial"/>
          <w:color w:val="000000"/>
        </w:rPr>
        <w:t xml:space="preserve"> continue to apply</w:t>
      </w:r>
      <w:r w:rsidR="00A428D4">
        <w:rPr>
          <w:rFonts w:ascii="Arial" w:hAnsi="Arial" w:cs="Arial"/>
          <w:color w:val="000000"/>
        </w:rPr>
        <w:t xml:space="preserve"> across the South West</w:t>
      </w:r>
      <w:r w:rsidR="00A633AA">
        <w:rPr>
          <w:rFonts w:ascii="Arial" w:hAnsi="Arial" w:cs="Arial"/>
          <w:color w:val="000000"/>
        </w:rPr>
        <w:t>.</w:t>
      </w:r>
    </w:p>
    <w:p w:rsidR="00A633AA" w:rsidRPr="00A633AA" w:rsidRDefault="00A633AA" w:rsidP="00A633AA">
      <w:pPr>
        <w:spacing w:after="0" w:line="240" w:lineRule="auto"/>
        <w:jc w:val="both"/>
        <w:rPr>
          <w:rFonts w:ascii="Arial" w:hAnsi="Arial" w:cs="Arial"/>
          <w:color w:val="000000"/>
        </w:rPr>
      </w:pPr>
    </w:p>
    <w:p w:rsidR="00CE591C" w:rsidRPr="00F80CA2" w:rsidRDefault="00CE591C" w:rsidP="00F80CA2">
      <w:pPr>
        <w:spacing w:after="0"/>
        <w:jc w:val="center"/>
        <w:rPr>
          <w:rFonts w:ascii="ArialMT" w:hAnsi="ArialMT" w:cs="ArialMT"/>
          <w:color w:val="C75928"/>
          <w:sz w:val="48"/>
          <w:szCs w:val="48"/>
        </w:rPr>
      </w:pPr>
      <w:r w:rsidRPr="003C2F31">
        <w:rPr>
          <w:rFonts w:ascii="ArialMT" w:hAnsi="ArialMT" w:cs="ArialMT"/>
          <w:color w:val="C75928"/>
          <w:sz w:val="48"/>
          <w:szCs w:val="48"/>
        </w:rPr>
        <w:t>Further Information</w:t>
      </w:r>
    </w:p>
    <w:p w:rsidR="00667D07" w:rsidRDefault="00CE591C" w:rsidP="00667D07">
      <w:pPr>
        <w:spacing w:after="0"/>
        <w:jc w:val="both"/>
        <w:rPr>
          <w:rFonts w:ascii="Arial" w:eastAsia="Calibri" w:hAnsi="Arial" w:cs="Arial"/>
        </w:rPr>
      </w:pPr>
      <w:r>
        <w:rPr>
          <w:rFonts w:ascii="Arial" w:eastAsia="Calibri" w:hAnsi="Arial" w:cs="Arial"/>
        </w:rPr>
        <w:t xml:space="preserve">DPC’s </w:t>
      </w:r>
      <w:r w:rsidR="00667D07">
        <w:rPr>
          <w:rFonts w:ascii="Arial" w:eastAsia="Calibri" w:hAnsi="Arial" w:cs="Arial"/>
        </w:rPr>
        <w:t xml:space="preserve">South West Settlement Implementation Unit can be </w:t>
      </w:r>
      <w:r w:rsidR="00667D07" w:rsidRPr="007603AD">
        <w:rPr>
          <w:rFonts w:ascii="Arial" w:eastAsia="Calibri" w:hAnsi="Arial" w:cs="Arial"/>
        </w:rPr>
        <w:t>contact</w:t>
      </w:r>
      <w:r w:rsidR="00667D07">
        <w:rPr>
          <w:rFonts w:ascii="Arial" w:eastAsia="Calibri" w:hAnsi="Arial" w:cs="Arial"/>
        </w:rPr>
        <w:t>ed</w:t>
      </w:r>
      <w:r w:rsidR="00667D07" w:rsidRPr="007603AD">
        <w:rPr>
          <w:rFonts w:ascii="Arial" w:eastAsia="Calibri" w:hAnsi="Arial" w:cs="Arial"/>
        </w:rPr>
        <w:t xml:space="preserve"> directly: </w:t>
      </w:r>
    </w:p>
    <w:p w:rsidR="00F80CA2" w:rsidRDefault="00667D07" w:rsidP="00F80CA2">
      <w:pPr>
        <w:spacing w:after="0"/>
        <w:jc w:val="both"/>
        <w:rPr>
          <w:rFonts w:ascii="Arial" w:eastAsia="Calibri" w:hAnsi="Arial" w:cs="Arial"/>
        </w:rPr>
      </w:pPr>
      <w:r w:rsidRPr="007603AD">
        <w:rPr>
          <w:rFonts w:ascii="Arial" w:eastAsia="Calibri" w:hAnsi="Arial" w:cs="Arial"/>
        </w:rPr>
        <w:t>Email:</w:t>
      </w:r>
      <w:r>
        <w:rPr>
          <w:rFonts w:ascii="Arial" w:eastAsia="Calibri" w:hAnsi="Arial" w:cs="Arial"/>
        </w:rPr>
        <w:t xml:space="preserve"> </w:t>
      </w:r>
      <w:r>
        <w:rPr>
          <w:rFonts w:ascii="Arial" w:eastAsia="Calibri" w:hAnsi="Arial" w:cs="Arial"/>
        </w:rPr>
        <w:tab/>
      </w:r>
      <w:hyperlink r:id="rId15" w:history="1">
        <w:r w:rsidRPr="006804E2">
          <w:rPr>
            <w:rStyle w:val="Hyperlink"/>
            <w:rFonts w:ascii="Arial" w:eastAsia="Calibri" w:hAnsi="Arial" w:cs="Arial"/>
          </w:rPr>
          <w:t>South West Settlement Implementation Unit</w:t>
        </w:r>
      </w:hyperlink>
      <w:r>
        <w:rPr>
          <w:rStyle w:val="Hyperlink"/>
          <w:rFonts w:ascii="Arial" w:eastAsia="Calibri" w:hAnsi="Arial" w:cs="Arial"/>
        </w:rPr>
        <w:tab/>
      </w:r>
      <w:r>
        <w:t xml:space="preserve">       </w:t>
      </w:r>
      <w:r w:rsidRPr="006A1779">
        <w:rPr>
          <w:rFonts w:ascii="Arial" w:eastAsia="Calibri" w:hAnsi="Arial" w:cs="Arial"/>
        </w:rPr>
        <w:t>P</w:t>
      </w:r>
      <w:r>
        <w:rPr>
          <w:rFonts w:ascii="Arial" w:eastAsia="Calibri" w:hAnsi="Arial" w:cs="Arial"/>
        </w:rPr>
        <w:t xml:space="preserve">hone:  </w:t>
      </w:r>
      <w:r w:rsidRPr="007603AD">
        <w:rPr>
          <w:rFonts w:ascii="Arial" w:eastAsia="Calibri" w:hAnsi="Arial" w:cs="Arial"/>
        </w:rPr>
        <w:t>08 6552 6191</w:t>
      </w:r>
      <w:r w:rsidR="00F80CA2">
        <w:rPr>
          <w:rFonts w:ascii="Arial" w:eastAsia="Calibri" w:hAnsi="Arial" w:cs="Arial"/>
        </w:rPr>
        <w:t xml:space="preserve"> </w:t>
      </w:r>
    </w:p>
    <w:p w:rsidR="00911AD6" w:rsidRDefault="00911AD6" w:rsidP="00F80CA2">
      <w:pPr>
        <w:spacing w:after="0"/>
        <w:jc w:val="both"/>
        <w:rPr>
          <w:rFonts w:ascii="Arial" w:eastAsia="Calibri" w:hAnsi="Arial" w:cs="Arial"/>
        </w:rPr>
      </w:pPr>
    </w:p>
    <w:p w:rsidR="00F80CA2" w:rsidRDefault="00F80CA2" w:rsidP="00F80CA2">
      <w:pPr>
        <w:spacing w:after="0"/>
        <w:jc w:val="both"/>
        <w:rPr>
          <w:rFonts w:ascii="Arial" w:eastAsia="Calibri" w:hAnsi="Arial" w:cs="Arial"/>
        </w:rPr>
      </w:pPr>
      <w:r>
        <w:rPr>
          <w:rFonts w:ascii="Arial" w:eastAsia="Calibri" w:hAnsi="Arial" w:cs="Arial"/>
        </w:rPr>
        <w:t xml:space="preserve">Information and relevant documentation about the content of the Settlement is available on DPC website: </w:t>
      </w:r>
      <w:hyperlink r:id="rId16" w:history="1">
        <w:r w:rsidRPr="00CE591C">
          <w:rPr>
            <w:rStyle w:val="Hyperlink"/>
            <w:rFonts w:ascii="Arial" w:eastAsia="Calibri" w:hAnsi="Arial" w:cs="Arial"/>
          </w:rPr>
          <w:t>www.dpc.wa.gov.au</w:t>
        </w:r>
      </w:hyperlink>
      <w:r>
        <w:rPr>
          <w:rFonts w:ascii="Arial" w:eastAsia="Calibri" w:hAnsi="Arial" w:cs="Arial"/>
        </w:rPr>
        <w:t>.</w:t>
      </w:r>
    </w:p>
    <w:p w:rsidR="00F25837" w:rsidRDefault="00F25837" w:rsidP="0081535D">
      <w:pPr>
        <w:spacing w:after="0"/>
        <w:jc w:val="both"/>
        <w:rPr>
          <w:rFonts w:ascii="Arial" w:eastAsia="Calibri" w:hAnsi="Arial" w:cs="Arial"/>
        </w:rPr>
      </w:pPr>
    </w:p>
    <w:p w:rsidR="009C1D12" w:rsidRDefault="00EC3783" w:rsidP="0081535D">
      <w:pPr>
        <w:spacing w:after="0"/>
        <w:jc w:val="both"/>
        <w:rPr>
          <w:rFonts w:ascii="Arial" w:eastAsia="Calibri" w:hAnsi="Arial" w:cs="Arial"/>
        </w:rPr>
      </w:pPr>
      <w:r>
        <w:rPr>
          <w:rFonts w:ascii="Arial" w:eastAsia="Calibri" w:hAnsi="Arial" w:cs="Arial"/>
        </w:rPr>
        <w:t>P</w:t>
      </w:r>
      <w:r w:rsidR="00D80BC0">
        <w:rPr>
          <w:rFonts w:ascii="Arial" w:eastAsia="Calibri" w:hAnsi="Arial" w:cs="Arial"/>
        </w:rPr>
        <w:t xml:space="preserve">lease see the list below to find the best contact </w:t>
      </w:r>
      <w:r w:rsidR="00A428D4">
        <w:rPr>
          <w:rFonts w:ascii="Arial" w:eastAsia="Calibri" w:hAnsi="Arial" w:cs="Arial"/>
        </w:rPr>
        <w:t xml:space="preserve">at DPC </w:t>
      </w:r>
      <w:r w:rsidR="00D80BC0">
        <w:rPr>
          <w:rFonts w:ascii="Arial" w:eastAsia="Calibri" w:hAnsi="Arial" w:cs="Arial"/>
        </w:rPr>
        <w:t>for your enquiry.</w:t>
      </w:r>
      <w:r>
        <w:rPr>
          <w:rFonts w:ascii="Arial" w:eastAsia="Calibri" w:hAnsi="Arial" w:cs="Arial"/>
        </w:rPr>
        <w:t xml:space="preserve"> Our team will be able to direct your enquiry to </w:t>
      </w:r>
      <w:r w:rsidR="006670CB">
        <w:rPr>
          <w:rFonts w:ascii="Arial" w:eastAsia="Calibri" w:hAnsi="Arial" w:cs="Arial"/>
        </w:rPr>
        <w:t xml:space="preserve">other </w:t>
      </w:r>
      <w:r w:rsidR="00911AD6">
        <w:rPr>
          <w:rFonts w:ascii="Arial" w:eastAsia="Calibri" w:hAnsi="Arial" w:cs="Arial"/>
        </w:rPr>
        <w:t xml:space="preserve">government </w:t>
      </w:r>
      <w:r w:rsidR="006670CB">
        <w:rPr>
          <w:rFonts w:ascii="Arial" w:eastAsia="Calibri" w:hAnsi="Arial" w:cs="Arial"/>
        </w:rPr>
        <w:t>departments if required.</w:t>
      </w:r>
    </w:p>
    <w:p w:rsidR="00D80BC0" w:rsidRDefault="00D80BC0" w:rsidP="0081535D">
      <w:pPr>
        <w:spacing w:after="0"/>
        <w:jc w:val="both"/>
        <w:rPr>
          <w:rFonts w:ascii="Arial" w:eastAsia="Calibri" w:hAnsi="Arial" w:cs="Arial"/>
        </w:rPr>
      </w:pPr>
    </w:p>
    <w:tbl>
      <w:tblPr>
        <w:tblStyle w:val="GridTable4-Accent6"/>
        <w:tblW w:w="0" w:type="auto"/>
        <w:tblLook w:val="04A0" w:firstRow="1" w:lastRow="0" w:firstColumn="1" w:lastColumn="0" w:noHBand="0" w:noVBand="1"/>
      </w:tblPr>
      <w:tblGrid>
        <w:gridCol w:w="4508"/>
        <w:gridCol w:w="4508"/>
      </w:tblGrid>
      <w:tr w:rsidR="003D5BB8" w:rsidTr="003D5B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3D5BB8" w:rsidRDefault="009C1D12" w:rsidP="0081535D">
            <w:pPr>
              <w:jc w:val="both"/>
              <w:rPr>
                <w:rFonts w:ascii="Arial" w:eastAsia="Calibri" w:hAnsi="Arial" w:cs="Arial"/>
              </w:rPr>
            </w:pPr>
            <w:r>
              <w:rPr>
                <w:rFonts w:ascii="Arial" w:eastAsia="Calibri" w:hAnsi="Arial" w:cs="Arial"/>
              </w:rPr>
              <w:t>ILUA Component</w:t>
            </w:r>
          </w:p>
          <w:p w:rsidR="009C1D12" w:rsidRDefault="009C1D12" w:rsidP="0081535D">
            <w:pPr>
              <w:jc w:val="both"/>
              <w:rPr>
                <w:rFonts w:ascii="Arial" w:eastAsia="Calibri" w:hAnsi="Arial" w:cs="Arial"/>
              </w:rPr>
            </w:pPr>
          </w:p>
        </w:tc>
        <w:tc>
          <w:tcPr>
            <w:tcW w:w="4508" w:type="dxa"/>
          </w:tcPr>
          <w:p w:rsidR="003D5BB8" w:rsidRDefault="00521E5B" w:rsidP="0081535D">
            <w:pPr>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Contact</w:t>
            </w:r>
          </w:p>
        </w:tc>
      </w:tr>
      <w:tr w:rsidR="00D3174E" w:rsidTr="003D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3174E" w:rsidRDefault="00D3174E" w:rsidP="00B869E2">
            <w:pPr>
              <w:jc w:val="both"/>
              <w:rPr>
                <w:rFonts w:ascii="Arial" w:eastAsia="Calibri" w:hAnsi="Arial" w:cs="Arial"/>
              </w:rPr>
            </w:pPr>
            <w:r>
              <w:rPr>
                <w:rFonts w:ascii="Arial" w:eastAsia="Calibri" w:hAnsi="Arial" w:cs="Arial"/>
              </w:rPr>
              <w:t xml:space="preserve">Heritage </w:t>
            </w:r>
          </w:p>
          <w:p w:rsidR="00094613" w:rsidRDefault="00094613" w:rsidP="00B869E2">
            <w:pPr>
              <w:jc w:val="both"/>
              <w:rPr>
                <w:rFonts w:ascii="Arial" w:eastAsia="Calibri" w:hAnsi="Arial" w:cs="Arial"/>
              </w:rPr>
            </w:pPr>
          </w:p>
          <w:p w:rsidR="00094613" w:rsidRDefault="00094613" w:rsidP="00B869E2">
            <w:pPr>
              <w:jc w:val="both"/>
              <w:rPr>
                <w:rFonts w:ascii="Arial" w:eastAsia="Calibri" w:hAnsi="Arial" w:cs="Arial"/>
              </w:rPr>
            </w:pPr>
            <w:r>
              <w:rPr>
                <w:rFonts w:ascii="Arial" w:eastAsia="Calibri" w:hAnsi="Arial" w:cs="Arial"/>
              </w:rPr>
              <w:t>For all enquiries regarding the N</w:t>
            </w:r>
            <w:r w:rsidR="00CF7101">
              <w:rPr>
                <w:rFonts w:ascii="Arial" w:eastAsia="Calibri" w:hAnsi="Arial" w:cs="Arial"/>
              </w:rPr>
              <w:t xml:space="preserve">oongar </w:t>
            </w:r>
            <w:r>
              <w:rPr>
                <w:rFonts w:ascii="Arial" w:eastAsia="Calibri" w:hAnsi="Arial" w:cs="Arial"/>
              </w:rPr>
              <w:t>S</w:t>
            </w:r>
            <w:r w:rsidR="00CF7101">
              <w:rPr>
                <w:rFonts w:ascii="Arial" w:eastAsia="Calibri" w:hAnsi="Arial" w:cs="Arial"/>
              </w:rPr>
              <w:t xml:space="preserve">tandard </w:t>
            </w:r>
            <w:r>
              <w:rPr>
                <w:rFonts w:ascii="Arial" w:eastAsia="Calibri" w:hAnsi="Arial" w:cs="Arial"/>
              </w:rPr>
              <w:t>H</w:t>
            </w:r>
            <w:r w:rsidR="00CF7101">
              <w:rPr>
                <w:rFonts w:ascii="Arial" w:eastAsia="Calibri" w:hAnsi="Arial" w:cs="Arial"/>
              </w:rPr>
              <w:t xml:space="preserve">eritage </w:t>
            </w:r>
            <w:r>
              <w:rPr>
                <w:rFonts w:ascii="Arial" w:eastAsia="Calibri" w:hAnsi="Arial" w:cs="Arial"/>
              </w:rPr>
              <w:t>A</w:t>
            </w:r>
            <w:r w:rsidR="00CF7101">
              <w:rPr>
                <w:rFonts w:ascii="Arial" w:eastAsia="Calibri" w:hAnsi="Arial" w:cs="Arial"/>
              </w:rPr>
              <w:t>greement (NSHA)</w:t>
            </w:r>
          </w:p>
        </w:tc>
        <w:tc>
          <w:tcPr>
            <w:tcW w:w="4508" w:type="dxa"/>
          </w:tcPr>
          <w:p w:rsidR="00D3174E" w:rsidRDefault="00D3174E" w:rsidP="003D5BB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 xml:space="preserve">Natalie Contos </w:t>
            </w:r>
          </w:p>
          <w:p w:rsidR="00D3174E" w:rsidRDefault="00D3174E" w:rsidP="003D5BB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p w:rsidR="00094613" w:rsidRDefault="00094613" w:rsidP="003D5BB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Jeremy Elliot</w:t>
            </w:r>
            <w:r w:rsidR="0001664C">
              <w:rPr>
                <w:rFonts w:ascii="Arial" w:eastAsia="Calibri" w:hAnsi="Arial" w:cs="Arial"/>
              </w:rPr>
              <w:t>t</w:t>
            </w:r>
            <w:r>
              <w:rPr>
                <w:rFonts w:ascii="Arial" w:eastAsia="Calibri" w:hAnsi="Arial" w:cs="Arial"/>
              </w:rPr>
              <w:t xml:space="preserve">, DAA </w:t>
            </w:r>
          </w:p>
          <w:p w:rsidR="00094613" w:rsidRDefault="00094613" w:rsidP="003D5BB8">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w:t>
            </w:r>
            <w:hyperlink r:id="rId17" w:history="1">
              <w:r w:rsidR="0001664C" w:rsidRPr="00454F06">
                <w:rPr>
                  <w:rStyle w:val="Hyperlink"/>
                  <w:rFonts w:ascii="Arial" w:eastAsia="Calibri" w:hAnsi="Arial" w:cs="Arial"/>
                </w:rPr>
                <w:t>Jeremy.Elliott@daa.wa.gov.au</w:t>
              </w:r>
            </w:hyperlink>
            <w:r>
              <w:rPr>
                <w:rFonts w:ascii="Arial" w:eastAsia="Calibri" w:hAnsi="Arial" w:cs="Arial"/>
              </w:rPr>
              <w:t xml:space="preserve">) </w:t>
            </w:r>
          </w:p>
        </w:tc>
      </w:tr>
      <w:tr w:rsidR="00D3174E" w:rsidTr="00EC3783">
        <w:trPr>
          <w:trHeight w:val="409"/>
        </w:trPr>
        <w:tc>
          <w:tcPr>
            <w:cnfStyle w:val="001000000000" w:firstRow="0" w:lastRow="0" w:firstColumn="1" w:lastColumn="0" w:oddVBand="0" w:evenVBand="0" w:oddHBand="0" w:evenHBand="0" w:firstRowFirstColumn="0" w:firstRowLastColumn="0" w:lastRowFirstColumn="0" w:lastRowLastColumn="0"/>
            <w:tcW w:w="4508" w:type="dxa"/>
          </w:tcPr>
          <w:p w:rsidR="00D3174E" w:rsidRDefault="00D3174E" w:rsidP="003D5BB8">
            <w:pPr>
              <w:jc w:val="both"/>
              <w:rPr>
                <w:rFonts w:ascii="Arial" w:eastAsia="Calibri" w:hAnsi="Arial" w:cs="Arial"/>
              </w:rPr>
            </w:pPr>
            <w:r>
              <w:rPr>
                <w:rFonts w:ascii="Arial" w:eastAsia="Calibri" w:hAnsi="Arial" w:cs="Arial"/>
              </w:rPr>
              <w:t>Land Base Strategy</w:t>
            </w:r>
          </w:p>
          <w:p w:rsidR="00D3174E" w:rsidRDefault="00D3174E" w:rsidP="003D5BB8">
            <w:pPr>
              <w:jc w:val="both"/>
              <w:rPr>
                <w:rFonts w:ascii="Arial" w:eastAsia="Calibri" w:hAnsi="Arial" w:cs="Arial"/>
              </w:rPr>
            </w:pPr>
          </w:p>
        </w:tc>
        <w:tc>
          <w:tcPr>
            <w:tcW w:w="4508" w:type="dxa"/>
          </w:tcPr>
          <w:p w:rsidR="00D3174E" w:rsidRDefault="00D3174E" w:rsidP="003D5BB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Sarah Charbonneau</w:t>
            </w:r>
          </w:p>
          <w:p w:rsidR="00D3174E" w:rsidRDefault="00D3174E" w:rsidP="00D3174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D3174E" w:rsidTr="003D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3174E" w:rsidRPr="00F567E0" w:rsidRDefault="00D3174E" w:rsidP="003D5BB8">
            <w:pPr>
              <w:jc w:val="both"/>
              <w:rPr>
                <w:rFonts w:ascii="Arial" w:eastAsia="Calibri" w:hAnsi="Arial" w:cs="Arial"/>
                <w:b w:val="0"/>
                <w:i/>
              </w:rPr>
            </w:pPr>
            <w:r>
              <w:rPr>
                <w:rFonts w:ascii="Arial" w:eastAsia="Calibri" w:hAnsi="Arial" w:cs="Arial"/>
              </w:rPr>
              <w:t>Community Development</w:t>
            </w:r>
          </w:p>
        </w:tc>
        <w:tc>
          <w:tcPr>
            <w:tcW w:w="4508" w:type="dxa"/>
          </w:tcPr>
          <w:p w:rsidR="00D3174E" w:rsidRDefault="00D3174E" w:rsidP="00F567E0">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 xml:space="preserve">Natalie Contos </w:t>
            </w:r>
          </w:p>
          <w:p w:rsidR="00D3174E" w:rsidRDefault="00D3174E" w:rsidP="00D3174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D3174E" w:rsidTr="003D5BB8">
        <w:tc>
          <w:tcPr>
            <w:cnfStyle w:val="001000000000" w:firstRow="0" w:lastRow="0" w:firstColumn="1" w:lastColumn="0" w:oddVBand="0" w:evenVBand="0" w:oddHBand="0" w:evenHBand="0" w:firstRowFirstColumn="0" w:firstRowLastColumn="0" w:lastRowFirstColumn="0" w:lastRowLastColumn="0"/>
            <w:tcW w:w="4508" w:type="dxa"/>
          </w:tcPr>
          <w:p w:rsidR="00D3174E" w:rsidRDefault="00D3174E" w:rsidP="003D5BB8">
            <w:pPr>
              <w:jc w:val="both"/>
              <w:rPr>
                <w:rFonts w:ascii="Arial" w:eastAsia="Calibri" w:hAnsi="Arial" w:cs="Arial"/>
              </w:rPr>
            </w:pPr>
            <w:r>
              <w:rPr>
                <w:rFonts w:ascii="Arial" w:eastAsia="Calibri" w:hAnsi="Arial" w:cs="Arial"/>
              </w:rPr>
              <w:t>Economic Development</w:t>
            </w:r>
          </w:p>
        </w:tc>
        <w:tc>
          <w:tcPr>
            <w:tcW w:w="4508" w:type="dxa"/>
          </w:tcPr>
          <w:p w:rsidR="00D3174E" w:rsidRDefault="00D3174E" w:rsidP="003D5BB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Robyn Taylor</w:t>
            </w:r>
          </w:p>
          <w:p w:rsidR="00D3174E" w:rsidRDefault="00D3174E" w:rsidP="001F260E">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D3174E" w:rsidTr="003D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3174E" w:rsidRDefault="00D3174E" w:rsidP="003D5BB8">
            <w:pPr>
              <w:jc w:val="both"/>
              <w:rPr>
                <w:rFonts w:ascii="Arial" w:eastAsia="Calibri" w:hAnsi="Arial" w:cs="Arial"/>
              </w:rPr>
            </w:pPr>
            <w:r>
              <w:rPr>
                <w:rFonts w:ascii="Arial" w:eastAsia="Calibri" w:hAnsi="Arial" w:cs="Arial"/>
              </w:rPr>
              <w:t>Water</w:t>
            </w:r>
            <w:r w:rsidR="00B869E2">
              <w:rPr>
                <w:rFonts w:ascii="Arial" w:eastAsia="Calibri" w:hAnsi="Arial" w:cs="Arial"/>
              </w:rPr>
              <w:t xml:space="preserve"> By-Laws</w:t>
            </w:r>
          </w:p>
        </w:tc>
        <w:tc>
          <w:tcPr>
            <w:tcW w:w="4508" w:type="dxa"/>
          </w:tcPr>
          <w:p w:rsidR="00D3174E" w:rsidRDefault="00D3174E" w:rsidP="00F567E0">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Robyn Taylor</w:t>
            </w:r>
          </w:p>
          <w:p w:rsidR="00D3174E" w:rsidRDefault="00D3174E" w:rsidP="001F260E">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D3174E" w:rsidTr="003D5BB8">
        <w:tc>
          <w:tcPr>
            <w:cnfStyle w:val="001000000000" w:firstRow="0" w:lastRow="0" w:firstColumn="1" w:lastColumn="0" w:oddVBand="0" w:evenVBand="0" w:oddHBand="0" w:evenHBand="0" w:firstRowFirstColumn="0" w:firstRowLastColumn="0" w:lastRowFirstColumn="0" w:lastRowLastColumn="0"/>
            <w:tcW w:w="4508" w:type="dxa"/>
          </w:tcPr>
          <w:p w:rsidR="00D3174E" w:rsidRDefault="00D3174E" w:rsidP="003D5BB8">
            <w:pPr>
              <w:jc w:val="both"/>
              <w:rPr>
                <w:rFonts w:ascii="Arial" w:eastAsia="Calibri" w:hAnsi="Arial" w:cs="Arial"/>
              </w:rPr>
            </w:pPr>
            <w:r>
              <w:rPr>
                <w:rFonts w:ascii="Arial" w:eastAsia="Calibri" w:hAnsi="Arial" w:cs="Arial"/>
              </w:rPr>
              <w:t xml:space="preserve">Establishment of the </w:t>
            </w:r>
            <w:r w:rsidR="00B869E2">
              <w:rPr>
                <w:rFonts w:ascii="Arial" w:eastAsia="Calibri" w:hAnsi="Arial" w:cs="Arial"/>
              </w:rPr>
              <w:t xml:space="preserve">Noongar </w:t>
            </w:r>
            <w:r>
              <w:rPr>
                <w:rFonts w:ascii="Arial" w:eastAsia="Calibri" w:hAnsi="Arial" w:cs="Arial"/>
              </w:rPr>
              <w:t xml:space="preserve">Regional Corporations </w:t>
            </w:r>
          </w:p>
          <w:p w:rsidR="007865C0" w:rsidRDefault="007865C0" w:rsidP="003D5BB8">
            <w:pPr>
              <w:jc w:val="both"/>
              <w:rPr>
                <w:rFonts w:ascii="Arial" w:eastAsia="Calibri" w:hAnsi="Arial" w:cs="Arial"/>
              </w:rPr>
            </w:pPr>
          </w:p>
        </w:tc>
        <w:tc>
          <w:tcPr>
            <w:tcW w:w="4508" w:type="dxa"/>
          </w:tcPr>
          <w:p w:rsidR="00D3174E" w:rsidRDefault="00D3174E" w:rsidP="00F567E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Claire Egan</w:t>
            </w:r>
          </w:p>
          <w:p w:rsidR="00D3174E" w:rsidRDefault="00D3174E" w:rsidP="00EC3783">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D3174E" w:rsidTr="003D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D3174E" w:rsidRDefault="00D10AF7" w:rsidP="003D5BB8">
            <w:pPr>
              <w:jc w:val="both"/>
              <w:rPr>
                <w:rFonts w:ascii="Arial" w:eastAsia="Calibri" w:hAnsi="Arial" w:cs="Arial"/>
              </w:rPr>
            </w:pPr>
            <w:r>
              <w:rPr>
                <w:rFonts w:ascii="Arial" w:eastAsia="Calibri" w:hAnsi="Arial" w:cs="Arial"/>
              </w:rPr>
              <w:t>Housing</w:t>
            </w:r>
          </w:p>
          <w:p w:rsidR="007865C0" w:rsidRDefault="007865C0" w:rsidP="003D5BB8">
            <w:pPr>
              <w:jc w:val="both"/>
              <w:rPr>
                <w:rFonts w:ascii="Arial" w:eastAsia="Calibri" w:hAnsi="Arial" w:cs="Arial"/>
              </w:rPr>
            </w:pPr>
          </w:p>
        </w:tc>
        <w:tc>
          <w:tcPr>
            <w:tcW w:w="4508" w:type="dxa"/>
          </w:tcPr>
          <w:p w:rsidR="00D3174E" w:rsidRDefault="00D10AF7" w:rsidP="00F567E0">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Sarah Charbonneau</w:t>
            </w:r>
          </w:p>
        </w:tc>
      </w:tr>
      <w:tr w:rsidR="00A428D4" w:rsidTr="003D5BB8">
        <w:tc>
          <w:tcPr>
            <w:cnfStyle w:val="001000000000" w:firstRow="0" w:lastRow="0" w:firstColumn="1" w:lastColumn="0" w:oddVBand="0" w:evenVBand="0" w:oddHBand="0" w:evenHBand="0" w:firstRowFirstColumn="0" w:firstRowLastColumn="0" w:lastRowFirstColumn="0" w:lastRowLastColumn="0"/>
            <w:tcW w:w="4508" w:type="dxa"/>
          </w:tcPr>
          <w:p w:rsidR="00A428D4" w:rsidRDefault="00B869E2" w:rsidP="003D5BB8">
            <w:pPr>
              <w:jc w:val="both"/>
              <w:rPr>
                <w:rFonts w:ascii="Arial" w:eastAsia="Calibri" w:hAnsi="Arial" w:cs="Arial"/>
              </w:rPr>
            </w:pPr>
            <w:r>
              <w:rPr>
                <w:rFonts w:ascii="Arial" w:eastAsia="Calibri" w:hAnsi="Arial" w:cs="Arial"/>
              </w:rPr>
              <w:t>Joint Management Arrangements</w:t>
            </w:r>
          </w:p>
          <w:p w:rsidR="007865C0" w:rsidRDefault="007865C0" w:rsidP="003D5BB8">
            <w:pPr>
              <w:jc w:val="both"/>
              <w:rPr>
                <w:rFonts w:ascii="Arial" w:eastAsia="Calibri" w:hAnsi="Arial" w:cs="Arial"/>
              </w:rPr>
            </w:pPr>
          </w:p>
        </w:tc>
        <w:tc>
          <w:tcPr>
            <w:tcW w:w="4508" w:type="dxa"/>
          </w:tcPr>
          <w:p w:rsidR="00A428D4" w:rsidRDefault="00D10AF7" w:rsidP="00F567E0">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Pr>
                <w:rFonts w:ascii="Arial" w:eastAsia="Calibri" w:hAnsi="Arial" w:cs="Arial"/>
              </w:rPr>
              <w:t>Angela Elder</w:t>
            </w:r>
          </w:p>
        </w:tc>
      </w:tr>
      <w:tr w:rsidR="00B869E2" w:rsidTr="003D5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B869E2" w:rsidRDefault="00B869E2" w:rsidP="003D5BB8">
            <w:pPr>
              <w:jc w:val="both"/>
              <w:rPr>
                <w:rFonts w:ascii="Arial" w:eastAsia="Calibri" w:hAnsi="Arial" w:cs="Arial"/>
              </w:rPr>
            </w:pPr>
            <w:r>
              <w:rPr>
                <w:rFonts w:ascii="Arial" w:eastAsia="Calibri" w:hAnsi="Arial" w:cs="Arial"/>
              </w:rPr>
              <w:t>Noongar Boodja Trust</w:t>
            </w:r>
          </w:p>
          <w:p w:rsidR="007865C0" w:rsidRDefault="007865C0" w:rsidP="003D5BB8">
            <w:pPr>
              <w:jc w:val="both"/>
              <w:rPr>
                <w:rFonts w:ascii="Arial" w:eastAsia="Calibri" w:hAnsi="Arial" w:cs="Arial"/>
              </w:rPr>
            </w:pPr>
          </w:p>
        </w:tc>
        <w:tc>
          <w:tcPr>
            <w:tcW w:w="4508" w:type="dxa"/>
          </w:tcPr>
          <w:p w:rsidR="00B869E2" w:rsidRDefault="00D10AF7" w:rsidP="00F567E0">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Pr>
                <w:rFonts w:ascii="Arial" w:eastAsia="Calibri" w:hAnsi="Arial" w:cs="Arial"/>
              </w:rPr>
              <w:t>Claire Egan</w:t>
            </w:r>
          </w:p>
        </w:tc>
      </w:tr>
    </w:tbl>
    <w:p w:rsidR="00D80BC0" w:rsidRDefault="00D80BC0" w:rsidP="0081535D">
      <w:pPr>
        <w:spacing w:after="0"/>
        <w:jc w:val="both"/>
        <w:rPr>
          <w:rFonts w:ascii="Arial" w:eastAsia="Calibri" w:hAnsi="Arial" w:cs="Arial"/>
        </w:rPr>
      </w:pPr>
    </w:p>
    <w:p w:rsidR="00F25837" w:rsidRDefault="00F25837" w:rsidP="0081535D">
      <w:pPr>
        <w:spacing w:after="0"/>
        <w:jc w:val="both"/>
        <w:rPr>
          <w:rFonts w:ascii="Arial" w:eastAsia="Calibri" w:hAnsi="Arial" w:cs="Arial"/>
        </w:rPr>
      </w:pPr>
    </w:p>
    <w:p w:rsidR="00553AB5" w:rsidRPr="00530B00" w:rsidRDefault="00553AB5" w:rsidP="0081535D">
      <w:pPr>
        <w:spacing w:after="0"/>
        <w:jc w:val="both"/>
        <w:rPr>
          <w:rFonts w:ascii="Arial" w:eastAsia="Calibri" w:hAnsi="Arial" w:cs="Arial"/>
        </w:rPr>
      </w:pPr>
    </w:p>
    <w:sectPr w:rsidR="00553AB5" w:rsidRPr="00530B00" w:rsidSect="00DC6852">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7B" w:rsidRDefault="00A0167B" w:rsidP="009C1F7F">
      <w:pPr>
        <w:spacing w:after="0" w:line="240" w:lineRule="auto"/>
      </w:pPr>
      <w:r>
        <w:separator/>
      </w:r>
    </w:p>
  </w:endnote>
  <w:endnote w:type="continuationSeparator" w:id="0">
    <w:p w:rsidR="00A0167B" w:rsidRDefault="00A0167B" w:rsidP="009C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7084"/>
      <w:docPartObj>
        <w:docPartGallery w:val="Page Numbers (Bottom of Page)"/>
        <w:docPartUnique/>
      </w:docPartObj>
    </w:sdtPr>
    <w:sdtEndPr>
      <w:rPr>
        <w:noProof/>
      </w:rPr>
    </w:sdtEndPr>
    <w:sdtContent>
      <w:p w:rsidR="00C74DC6" w:rsidRDefault="00C74DC6">
        <w:pPr>
          <w:pStyle w:val="Footer"/>
          <w:jc w:val="center"/>
        </w:pPr>
        <w:r>
          <w:fldChar w:fldCharType="begin"/>
        </w:r>
        <w:r>
          <w:instrText xml:space="preserve"> PAGE  \* Arabic  \* MERGEFORMAT </w:instrText>
        </w:r>
        <w:r>
          <w:fldChar w:fldCharType="separate"/>
        </w:r>
        <w:r w:rsidR="001342F9">
          <w:rPr>
            <w:noProof/>
          </w:rPr>
          <w:t>4</w:t>
        </w:r>
        <w:r>
          <w:fldChar w:fldCharType="end"/>
        </w:r>
      </w:p>
    </w:sdtContent>
  </w:sdt>
  <w:p w:rsidR="00C74DC6" w:rsidRDefault="00C74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7B" w:rsidRDefault="00A0167B" w:rsidP="009C1F7F">
      <w:pPr>
        <w:spacing w:after="0" w:line="240" w:lineRule="auto"/>
      </w:pPr>
      <w:r>
        <w:separator/>
      </w:r>
    </w:p>
  </w:footnote>
  <w:footnote w:type="continuationSeparator" w:id="0">
    <w:p w:rsidR="00A0167B" w:rsidRDefault="00A0167B" w:rsidP="009C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C6" w:rsidRDefault="00C74DC6" w:rsidP="00DC6852">
    <w:pPr>
      <w:pStyle w:val="Header"/>
      <w:jc w:val="center"/>
    </w:pPr>
    <w:r w:rsidRPr="00375E3E">
      <w:rPr>
        <w:rFonts w:eastAsia="Times New Roman"/>
        <w:b/>
        <w:noProof/>
        <w:lang w:eastAsia="en-AU"/>
      </w:rPr>
      <w:drawing>
        <wp:inline distT="0" distB="0" distL="0" distR="0" wp14:anchorId="535351C5" wp14:editId="3E74D5EC">
          <wp:extent cx="4036423" cy="7837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534" cy="787095"/>
                  </a:xfrm>
                  <a:prstGeom prst="rect">
                    <a:avLst/>
                  </a:prstGeom>
                </pic:spPr>
              </pic:pic>
            </a:graphicData>
          </a:graphic>
        </wp:inline>
      </w:drawing>
    </w:r>
  </w:p>
  <w:p w:rsidR="00C74DC6" w:rsidRDefault="00C74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C6" w:rsidRDefault="00C74DC6" w:rsidP="00DC6852">
    <w:pPr>
      <w:pStyle w:val="Header"/>
      <w:tabs>
        <w:tab w:val="clear" w:pos="4513"/>
        <w:tab w:val="clear" w:pos="9026"/>
        <w:tab w:val="left" w:pos="3684"/>
      </w:tabs>
      <w:jc w:val="center"/>
    </w:pPr>
    <w:r w:rsidRPr="00375E3E">
      <w:rPr>
        <w:rFonts w:eastAsia="Times New Roman"/>
        <w:b/>
        <w:noProof/>
        <w:lang w:eastAsia="en-AU"/>
      </w:rPr>
      <w:drawing>
        <wp:inline distT="0" distB="0" distL="0" distR="0" wp14:anchorId="233F9308" wp14:editId="58F85AA5">
          <wp:extent cx="4040372" cy="861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534" cy="864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9A"/>
    <w:multiLevelType w:val="hybridMultilevel"/>
    <w:tmpl w:val="080AC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891FDB"/>
    <w:multiLevelType w:val="hybridMultilevel"/>
    <w:tmpl w:val="74F426E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15:restartNumberingAfterBreak="0">
    <w:nsid w:val="148D0A38"/>
    <w:multiLevelType w:val="hybridMultilevel"/>
    <w:tmpl w:val="7190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405F5"/>
    <w:multiLevelType w:val="hybridMultilevel"/>
    <w:tmpl w:val="149AC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33002"/>
    <w:multiLevelType w:val="multilevel"/>
    <w:tmpl w:val="CD8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96C3A"/>
    <w:multiLevelType w:val="multilevel"/>
    <w:tmpl w:val="9446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61096"/>
    <w:multiLevelType w:val="hybridMultilevel"/>
    <w:tmpl w:val="E00271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5F2314"/>
    <w:multiLevelType w:val="hybridMultilevel"/>
    <w:tmpl w:val="D8B65E32"/>
    <w:lvl w:ilvl="0" w:tplc="0C090001">
      <w:start w:val="1"/>
      <w:numFmt w:val="bullet"/>
      <w:lvlText w:val=""/>
      <w:lvlJc w:val="left"/>
      <w:pPr>
        <w:ind w:left="720" w:hanging="360"/>
      </w:pPr>
      <w:rPr>
        <w:rFonts w:ascii="Symbol" w:hAnsi="Symbol" w:hint="default"/>
        <w:b/>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2E830217"/>
    <w:multiLevelType w:val="multilevel"/>
    <w:tmpl w:val="AAA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74D36"/>
    <w:multiLevelType w:val="hybridMultilevel"/>
    <w:tmpl w:val="1CD470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2325ADB"/>
    <w:multiLevelType w:val="hybridMultilevel"/>
    <w:tmpl w:val="6F4ADC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630EB"/>
    <w:multiLevelType w:val="hybridMultilevel"/>
    <w:tmpl w:val="92F069E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2" w15:restartNumberingAfterBreak="0">
    <w:nsid w:val="37E8767B"/>
    <w:multiLevelType w:val="hybridMultilevel"/>
    <w:tmpl w:val="3C64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CE607A"/>
    <w:multiLevelType w:val="hybridMultilevel"/>
    <w:tmpl w:val="CE88DF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335B04"/>
    <w:multiLevelType w:val="hybridMultilevel"/>
    <w:tmpl w:val="F33A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4155A"/>
    <w:multiLevelType w:val="hybridMultilevel"/>
    <w:tmpl w:val="B1767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F6A7E9A"/>
    <w:multiLevelType w:val="hybridMultilevel"/>
    <w:tmpl w:val="88524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492E99"/>
    <w:multiLevelType w:val="hybridMultilevel"/>
    <w:tmpl w:val="D45C7A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724CF8"/>
    <w:multiLevelType w:val="hybridMultilevel"/>
    <w:tmpl w:val="FE5CA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0A766D"/>
    <w:multiLevelType w:val="hybridMultilevel"/>
    <w:tmpl w:val="13DAE410"/>
    <w:name w:val="(Unnamed Numbering Scheme)"/>
    <w:lvl w:ilvl="0" w:tplc="0C09000F">
      <w:start w:val="1"/>
      <w:numFmt w:val="decimal"/>
      <w:lvlText w:val="%1."/>
      <w:lvlJc w:val="left"/>
      <w:pPr>
        <w:ind w:left="720" w:hanging="360"/>
      </w:pPr>
      <w:rPr>
        <w:rFonts w:hint="default"/>
        <w:b/>
      </w:rPr>
    </w:lvl>
    <w:lvl w:ilvl="1" w:tplc="07A496E4">
      <w:start w:val="1"/>
      <w:numFmt w:val="lowerLetter"/>
      <w:lvlText w:val="%2."/>
      <w:lvlJc w:val="left"/>
      <w:pPr>
        <w:ind w:left="1440" w:hanging="360"/>
      </w:pPr>
      <w:rPr>
        <w:b w:val="0"/>
        <w:caps w:val="0"/>
      </w:rPr>
    </w:lvl>
    <w:lvl w:ilvl="2" w:tplc="E0C0C644">
      <w:start w:val="1"/>
      <w:numFmt w:val="lowerRoman"/>
      <w:lvlText w:val="%3)"/>
      <w:lvlJc w:val="left"/>
      <w:pPr>
        <w:ind w:left="2700" w:hanging="720"/>
      </w:pPr>
      <w:rPr>
        <w:rFonts w:hint="default"/>
        <w:b w:val="0"/>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6C58E3"/>
    <w:multiLevelType w:val="multilevel"/>
    <w:tmpl w:val="84D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90071"/>
    <w:multiLevelType w:val="multilevel"/>
    <w:tmpl w:val="54E6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76794"/>
    <w:multiLevelType w:val="hybridMultilevel"/>
    <w:tmpl w:val="BA0E539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3" w15:restartNumberingAfterBreak="0">
    <w:nsid w:val="5DC052C7"/>
    <w:multiLevelType w:val="hybridMultilevel"/>
    <w:tmpl w:val="5CE8A1F8"/>
    <w:lvl w:ilvl="0" w:tplc="23D4F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2A7672"/>
    <w:multiLevelType w:val="hybridMultilevel"/>
    <w:tmpl w:val="7B2A811C"/>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3">
      <w:start w:val="1"/>
      <w:numFmt w:val="bullet"/>
      <w:lvlText w:val="o"/>
      <w:lvlJc w:val="left"/>
      <w:pPr>
        <w:ind w:left="2880" w:hanging="360"/>
      </w:pPr>
      <w:rPr>
        <w:rFonts w:ascii="Courier New" w:hAnsi="Courier New" w:cs="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B264EA6"/>
    <w:multiLevelType w:val="multilevel"/>
    <w:tmpl w:val="0F1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FF6B19"/>
    <w:multiLevelType w:val="hybridMultilevel"/>
    <w:tmpl w:val="C8E82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A8045F6"/>
    <w:multiLevelType w:val="hybridMultilevel"/>
    <w:tmpl w:val="6BAC082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8" w15:restartNumberingAfterBreak="0">
    <w:nsid w:val="7CF21383"/>
    <w:multiLevelType w:val="hybridMultilevel"/>
    <w:tmpl w:val="807E00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23"/>
  </w:num>
  <w:num w:numId="3">
    <w:abstractNumId w:val="0"/>
  </w:num>
  <w:num w:numId="4">
    <w:abstractNumId w:val="15"/>
  </w:num>
  <w:num w:numId="5">
    <w:abstractNumId w:val="11"/>
  </w:num>
  <w:num w:numId="6">
    <w:abstractNumId w:val="3"/>
  </w:num>
  <w:num w:numId="7">
    <w:abstractNumId w:val="17"/>
  </w:num>
  <w:num w:numId="8">
    <w:abstractNumId w:val="21"/>
  </w:num>
  <w:num w:numId="9">
    <w:abstractNumId w:val="20"/>
  </w:num>
  <w:num w:numId="10">
    <w:abstractNumId w:val="8"/>
  </w:num>
  <w:num w:numId="11">
    <w:abstractNumId w:val="25"/>
  </w:num>
  <w:num w:numId="12">
    <w:abstractNumId w:val="4"/>
  </w:num>
  <w:num w:numId="13">
    <w:abstractNumId w:val="5"/>
  </w:num>
  <w:num w:numId="14">
    <w:abstractNumId w:val="7"/>
  </w:num>
  <w:num w:numId="15">
    <w:abstractNumId w:val="9"/>
  </w:num>
  <w:num w:numId="16">
    <w:abstractNumId w:val="13"/>
  </w:num>
  <w:num w:numId="17">
    <w:abstractNumId w:val="24"/>
  </w:num>
  <w:num w:numId="18">
    <w:abstractNumId w:val="2"/>
  </w:num>
  <w:num w:numId="19">
    <w:abstractNumId w:val="28"/>
  </w:num>
  <w:num w:numId="20">
    <w:abstractNumId w:val="1"/>
  </w:num>
  <w:num w:numId="21">
    <w:abstractNumId w:val="22"/>
  </w:num>
  <w:num w:numId="22">
    <w:abstractNumId w:val="12"/>
  </w:num>
  <w:num w:numId="23">
    <w:abstractNumId w:val="12"/>
  </w:num>
  <w:num w:numId="24">
    <w:abstractNumId w:val="14"/>
  </w:num>
  <w:num w:numId="25">
    <w:abstractNumId w:val="6"/>
  </w:num>
  <w:num w:numId="26">
    <w:abstractNumId w:val="18"/>
  </w:num>
  <w:num w:numId="27">
    <w:abstractNumId w:val="19"/>
  </w:num>
  <w:num w:numId="28">
    <w:abstractNumId w:val="27"/>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formatting="1" w:enforcement="1" w:cryptProviderType="rsaAES" w:cryptAlgorithmClass="hash" w:cryptAlgorithmType="typeAny" w:cryptAlgorithmSid="14" w:cryptSpinCount="100000" w:hash="B2gIXzjNs1ZGtvcchN/orL3Yhk2MDMBYVjF2I+6XZT7KQazr9ECxNgBdOg7pbZnXGiSnynzdHyFnntQKNfTaQw==" w:salt="1giL/xf1cEHAP5j2FIswY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A7"/>
    <w:rsid w:val="00003C34"/>
    <w:rsid w:val="00015F24"/>
    <w:rsid w:val="0001664C"/>
    <w:rsid w:val="00025896"/>
    <w:rsid w:val="00026DAC"/>
    <w:rsid w:val="00027CED"/>
    <w:rsid w:val="0003128A"/>
    <w:rsid w:val="00037323"/>
    <w:rsid w:val="00043CDC"/>
    <w:rsid w:val="000507F0"/>
    <w:rsid w:val="00054254"/>
    <w:rsid w:val="000766BD"/>
    <w:rsid w:val="00083EE0"/>
    <w:rsid w:val="00083F87"/>
    <w:rsid w:val="00085308"/>
    <w:rsid w:val="00086191"/>
    <w:rsid w:val="00094613"/>
    <w:rsid w:val="000953AF"/>
    <w:rsid w:val="000A0B3E"/>
    <w:rsid w:val="000A0B9F"/>
    <w:rsid w:val="000A547B"/>
    <w:rsid w:val="000B35EE"/>
    <w:rsid w:val="000B3893"/>
    <w:rsid w:val="000C224A"/>
    <w:rsid w:val="000C3A99"/>
    <w:rsid w:val="000D0D1D"/>
    <w:rsid w:val="000D1F95"/>
    <w:rsid w:val="000D32A5"/>
    <w:rsid w:val="000D3BCF"/>
    <w:rsid w:val="000D43D3"/>
    <w:rsid w:val="000D454A"/>
    <w:rsid w:val="000F14BE"/>
    <w:rsid w:val="000F3761"/>
    <w:rsid w:val="0010025E"/>
    <w:rsid w:val="001002CE"/>
    <w:rsid w:val="00102A9E"/>
    <w:rsid w:val="00103644"/>
    <w:rsid w:val="00103706"/>
    <w:rsid w:val="00115B22"/>
    <w:rsid w:val="0011744F"/>
    <w:rsid w:val="00127CF5"/>
    <w:rsid w:val="001342F9"/>
    <w:rsid w:val="00147473"/>
    <w:rsid w:val="00150296"/>
    <w:rsid w:val="00151B53"/>
    <w:rsid w:val="00155080"/>
    <w:rsid w:val="001606D4"/>
    <w:rsid w:val="00161A42"/>
    <w:rsid w:val="00161EB0"/>
    <w:rsid w:val="00162FD0"/>
    <w:rsid w:val="001705BC"/>
    <w:rsid w:val="00174D1C"/>
    <w:rsid w:val="001772B8"/>
    <w:rsid w:val="0018134B"/>
    <w:rsid w:val="00183BE2"/>
    <w:rsid w:val="001841FE"/>
    <w:rsid w:val="0018588B"/>
    <w:rsid w:val="00187D22"/>
    <w:rsid w:val="00190034"/>
    <w:rsid w:val="001A1493"/>
    <w:rsid w:val="001A4FED"/>
    <w:rsid w:val="001A76C9"/>
    <w:rsid w:val="001B1D34"/>
    <w:rsid w:val="001B5FF7"/>
    <w:rsid w:val="001B6E4C"/>
    <w:rsid w:val="001C1459"/>
    <w:rsid w:val="001C2C20"/>
    <w:rsid w:val="001C2C82"/>
    <w:rsid w:val="001C351C"/>
    <w:rsid w:val="001C38E8"/>
    <w:rsid w:val="001C5DA7"/>
    <w:rsid w:val="001D16FC"/>
    <w:rsid w:val="001D3131"/>
    <w:rsid w:val="001D3620"/>
    <w:rsid w:val="001D7323"/>
    <w:rsid w:val="001E656C"/>
    <w:rsid w:val="001F260E"/>
    <w:rsid w:val="001F70CC"/>
    <w:rsid w:val="00216AB9"/>
    <w:rsid w:val="00223753"/>
    <w:rsid w:val="00230210"/>
    <w:rsid w:val="0023188A"/>
    <w:rsid w:val="00233F2B"/>
    <w:rsid w:val="002531C3"/>
    <w:rsid w:val="00255B1D"/>
    <w:rsid w:val="00267682"/>
    <w:rsid w:val="00271B89"/>
    <w:rsid w:val="00272F12"/>
    <w:rsid w:val="002744E6"/>
    <w:rsid w:val="002746E5"/>
    <w:rsid w:val="00282C90"/>
    <w:rsid w:val="00284994"/>
    <w:rsid w:val="002909CA"/>
    <w:rsid w:val="00293A8B"/>
    <w:rsid w:val="002A4662"/>
    <w:rsid w:val="002A73B7"/>
    <w:rsid w:val="002B1241"/>
    <w:rsid w:val="002C6D87"/>
    <w:rsid w:val="002C7386"/>
    <w:rsid w:val="002E00AA"/>
    <w:rsid w:val="002E2FD4"/>
    <w:rsid w:val="002E60F7"/>
    <w:rsid w:val="002F28B1"/>
    <w:rsid w:val="002F4029"/>
    <w:rsid w:val="002F5086"/>
    <w:rsid w:val="00307972"/>
    <w:rsid w:val="0031171C"/>
    <w:rsid w:val="00332CB4"/>
    <w:rsid w:val="00335C87"/>
    <w:rsid w:val="00341C3A"/>
    <w:rsid w:val="0034236D"/>
    <w:rsid w:val="00342F5F"/>
    <w:rsid w:val="003445CF"/>
    <w:rsid w:val="003507EB"/>
    <w:rsid w:val="00362B51"/>
    <w:rsid w:val="003656D3"/>
    <w:rsid w:val="00366AD3"/>
    <w:rsid w:val="003716ED"/>
    <w:rsid w:val="00371BCB"/>
    <w:rsid w:val="00373C60"/>
    <w:rsid w:val="0038029A"/>
    <w:rsid w:val="003829E4"/>
    <w:rsid w:val="00385B82"/>
    <w:rsid w:val="00386A19"/>
    <w:rsid w:val="00391460"/>
    <w:rsid w:val="00397D3D"/>
    <w:rsid w:val="003A122B"/>
    <w:rsid w:val="003A2304"/>
    <w:rsid w:val="003A4507"/>
    <w:rsid w:val="003A67B0"/>
    <w:rsid w:val="003A7435"/>
    <w:rsid w:val="003B10B2"/>
    <w:rsid w:val="003B3367"/>
    <w:rsid w:val="003B564A"/>
    <w:rsid w:val="003B74DB"/>
    <w:rsid w:val="003B7624"/>
    <w:rsid w:val="003C2F31"/>
    <w:rsid w:val="003C5180"/>
    <w:rsid w:val="003C62F6"/>
    <w:rsid w:val="003C6C56"/>
    <w:rsid w:val="003D2272"/>
    <w:rsid w:val="003D34F0"/>
    <w:rsid w:val="003D5BB8"/>
    <w:rsid w:val="003D6CB1"/>
    <w:rsid w:val="003D71A2"/>
    <w:rsid w:val="003D7924"/>
    <w:rsid w:val="003E3E85"/>
    <w:rsid w:val="003E556F"/>
    <w:rsid w:val="003F13D7"/>
    <w:rsid w:val="003F4BDF"/>
    <w:rsid w:val="00402DAD"/>
    <w:rsid w:val="00406554"/>
    <w:rsid w:val="0041255E"/>
    <w:rsid w:val="00436EAC"/>
    <w:rsid w:val="00441D50"/>
    <w:rsid w:val="00445B03"/>
    <w:rsid w:val="0044616D"/>
    <w:rsid w:val="00446BC9"/>
    <w:rsid w:val="00457A3E"/>
    <w:rsid w:val="004618BB"/>
    <w:rsid w:val="00462321"/>
    <w:rsid w:val="00462911"/>
    <w:rsid w:val="00462CB7"/>
    <w:rsid w:val="00464F2A"/>
    <w:rsid w:val="00480C5B"/>
    <w:rsid w:val="00492B5B"/>
    <w:rsid w:val="00494732"/>
    <w:rsid w:val="00495992"/>
    <w:rsid w:val="004A1D43"/>
    <w:rsid w:val="004A56BC"/>
    <w:rsid w:val="004A7AFC"/>
    <w:rsid w:val="004B0F5D"/>
    <w:rsid w:val="004C0785"/>
    <w:rsid w:val="004C1942"/>
    <w:rsid w:val="004C21D2"/>
    <w:rsid w:val="004C37C1"/>
    <w:rsid w:val="004C7F48"/>
    <w:rsid w:val="004D0AF8"/>
    <w:rsid w:val="004D1A83"/>
    <w:rsid w:val="004D757E"/>
    <w:rsid w:val="004E4EA7"/>
    <w:rsid w:val="004E5FAD"/>
    <w:rsid w:val="004F3553"/>
    <w:rsid w:val="004F3604"/>
    <w:rsid w:val="004F78CE"/>
    <w:rsid w:val="004F7F97"/>
    <w:rsid w:val="005107D5"/>
    <w:rsid w:val="00511000"/>
    <w:rsid w:val="00521E5B"/>
    <w:rsid w:val="00530B00"/>
    <w:rsid w:val="00531DBB"/>
    <w:rsid w:val="005453B4"/>
    <w:rsid w:val="005458ED"/>
    <w:rsid w:val="00546229"/>
    <w:rsid w:val="005526F5"/>
    <w:rsid w:val="00553AB5"/>
    <w:rsid w:val="00554FC4"/>
    <w:rsid w:val="00566F9C"/>
    <w:rsid w:val="00567DC7"/>
    <w:rsid w:val="00573963"/>
    <w:rsid w:val="00574FE6"/>
    <w:rsid w:val="00587942"/>
    <w:rsid w:val="005B4C8C"/>
    <w:rsid w:val="005B59ED"/>
    <w:rsid w:val="005C1345"/>
    <w:rsid w:val="005C5F22"/>
    <w:rsid w:val="005C6378"/>
    <w:rsid w:val="005C645A"/>
    <w:rsid w:val="005D350B"/>
    <w:rsid w:val="005D39B1"/>
    <w:rsid w:val="005D3A4A"/>
    <w:rsid w:val="005D4964"/>
    <w:rsid w:val="005E3002"/>
    <w:rsid w:val="005E7C6E"/>
    <w:rsid w:val="0060679B"/>
    <w:rsid w:val="00606C6B"/>
    <w:rsid w:val="00615E9F"/>
    <w:rsid w:val="0063256D"/>
    <w:rsid w:val="00652DD6"/>
    <w:rsid w:val="00654780"/>
    <w:rsid w:val="00663237"/>
    <w:rsid w:val="00665950"/>
    <w:rsid w:val="006667DF"/>
    <w:rsid w:val="006670CB"/>
    <w:rsid w:val="00667D07"/>
    <w:rsid w:val="006804E2"/>
    <w:rsid w:val="00682A60"/>
    <w:rsid w:val="00684A68"/>
    <w:rsid w:val="006A1779"/>
    <w:rsid w:val="006A5A7D"/>
    <w:rsid w:val="006C062B"/>
    <w:rsid w:val="006C0B0F"/>
    <w:rsid w:val="006C3DE6"/>
    <w:rsid w:val="006D0CE9"/>
    <w:rsid w:val="006D436E"/>
    <w:rsid w:val="006D5C36"/>
    <w:rsid w:val="006D7117"/>
    <w:rsid w:val="006F0770"/>
    <w:rsid w:val="006F1E9C"/>
    <w:rsid w:val="006F21E7"/>
    <w:rsid w:val="00701FB6"/>
    <w:rsid w:val="007118DE"/>
    <w:rsid w:val="00714101"/>
    <w:rsid w:val="00714C0A"/>
    <w:rsid w:val="0072528C"/>
    <w:rsid w:val="00725D68"/>
    <w:rsid w:val="007416E7"/>
    <w:rsid w:val="007438D6"/>
    <w:rsid w:val="00746072"/>
    <w:rsid w:val="0075079C"/>
    <w:rsid w:val="00750DAD"/>
    <w:rsid w:val="00760C3E"/>
    <w:rsid w:val="00764053"/>
    <w:rsid w:val="007712F7"/>
    <w:rsid w:val="00772CF6"/>
    <w:rsid w:val="007749DA"/>
    <w:rsid w:val="007819C9"/>
    <w:rsid w:val="00781F7F"/>
    <w:rsid w:val="00782093"/>
    <w:rsid w:val="007865C0"/>
    <w:rsid w:val="00786DBA"/>
    <w:rsid w:val="007901F8"/>
    <w:rsid w:val="007A7036"/>
    <w:rsid w:val="007B1320"/>
    <w:rsid w:val="007B173D"/>
    <w:rsid w:val="007B26E0"/>
    <w:rsid w:val="007B2E20"/>
    <w:rsid w:val="007B4A3D"/>
    <w:rsid w:val="007C152B"/>
    <w:rsid w:val="007C3994"/>
    <w:rsid w:val="007C5E16"/>
    <w:rsid w:val="007D1172"/>
    <w:rsid w:val="007D13EC"/>
    <w:rsid w:val="007D3143"/>
    <w:rsid w:val="0080555F"/>
    <w:rsid w:val="00805D16"/>
    <w:rsid w:val="0080770D"/>
    <w:rsid w:val="0081535D"/>
    <w:rsid w:val="008154F8"/>
    <w:rsid w:val="00815A99"/>
    <w:rsid w:val="008334D3"/>
    <w:rsid w:val="00840FA2"/>
    <w:rsid w:val="00846EB8"/>
    <w:rsid w:val="00851F7E"/>
    <w:rsid w:val="00854E7E"/>
    <w:rsid w:val="00855C95"/>
    <w:rsid w:val="00857BC1"/>
    <w:rsid w:val="00864F45"/>
    <w:rsid w:val="00871236"/>
    <w:rsid w:val="0087653A"/>
    <w:rsid w:val="00892020"/>
    <w:rsid w:val="008927EE"/>
    <w:rsid w:val="008A204D"/>
    <w:rsid w:val="008B0F37"/>
    <w:rsid w:val="008B1616"/>
    <w:rsid w:val="008B2AFB"/>
    <w:rsid w:val="008B746D"/>
    <w:rsid w:val="008C3B53"/>
    <w:rsid w:val="008D0682"/>
    <w:rsid w:val="008D15F4"/>
    <w:rsid w:val="008D7BD6"/>
    <w:rsid w:val="008E1D9D"/>
    <w:rsid w:val="008E2278"/>
    <w:rsid w:val="008E240B"/>
    <w:rsid w:val="008E2C1E"/>
    <w:rsid w:val="008E6155"/>
    <w:rsid w:val="008E7474"/>
    <w:rsid w:val="008E781F"/>
    <w:rsid w:val="008F5277"/>
    <w:rsid w:val="00902AC4"/>
    <w:rsid w:val="00905D58"/>
    <w:rsid w:val="00911AD6"/>
    <w:rsid w:val="00911FDD"/>
    <w:rsid w:val="009161B6"/>
    <w:rsid w:val="00916837"/>
    <w:rsid w:val="00920F17"/>
    <w:rsid w:val="009241C4"/>
    <w:rsid w:val="0092552C"/>
    <w:rsid w:val="00931136"/>
    <w:rsid w:val="00932117"/>
    <w:rsid w:val="0093290C"/>
    <w:rsid w:val="00933771"/>
    <w:rsid w:val="009358CA"/>
    <w:rsid w:val="00937199"/>
    <w:rsid w:val="00945201"/>
    <w:rsid w:val="009460A5"/>
    <w:rsid w:val="009474DD"/>
    <w:rsid w:val="00950CC9"/>
    <w:rsid w:val="009552CC"/>
    <w:rsid w:val="0095581A"/>
    <w:rsid w:val="00961A83"/>
    <w:rsid w:val="00966EBC"/>
    <w:rsid w:val="00972E2E"/>
    <w:rsid w:val="009756CC"/>
    <w:rsid w:val="00976E30"/>
    <w:rsid w:val="0098502C"/>
    <w:rsid w:val="00993FDB"/>
    <w:rsid w:val="0099634F"/>
    <w:rsid w:val="009A7360"/>
    <w:rsid w:val="009B1982"/>
    <w:rsid w:val="009C1D12"/>
    <w:rsid w:val="009C1F7F"/>
    <w:rsid w:val="009C38A3"/>
    <w:rsid w:val="009D7AE5"/>
    <w:rsid w:val="009E2588"/>
    <w:rsid w:val="009E3EC4"/>
    <w:rsid w:val="009F04A7"/>
    <w:rsid w:val="009F3C2F"/>
    <w:rsid w:val="009F65FB"/>
    <w:rsid w:val="00A0167B"/>
    <w:rsid w:val="00A02109"/>
    <w:rsid w:val="00A02866"/>
    <w:rsid w:val="00A02CE4"/>
    <w:rsid w:val="00A04D55"/>
    <w:rsid w:val="00A102E1"/>
    <w:rsid w:val="00A11FA8"/>
    <w:rsid w:val="00A12E0B"/>
    <w:rsid w:val="00A1603B"/>
    <w:rsid w:val="00A16393"/>
    <w:rsid w:val="00A240B1"/>
    <w:rsid w:val="00A33FF3"/>
    <w:rsid w:val="00A36257"/>
    <w:rsid w:val="00A36722"/>
    <w:rsid w:val="00A426E1"/>
    <w:rsid w:val="00A428D4"/>
    <w:rsid w:val="00A44A59"/>
    <w:rsid w:val="00A44C36"/>
    <w:rsid w:val="00A5197D"/>
    <w:rsid w:val="00A54533"/>
    <w:rsid w:val="00A633AA"/>
    <w:rsid w:val="00A63B67"/>
    <w:rsid w:val="00A67642"/>
    <w:rsid w:val="00A71CE3"/>
    <w:rsid w:val="00A81BC6"/>
    <w:rsid w:val="00A85D7B"/>
    <w:rsid w:val="00A91A3C"/>
    <w:rsid w:val="00A92141"/>
    <w:rsid w:val="00A9403E"/>
    <w:rsid w:val="00A94BF1"/>
    <w:rsid w:val="00A950C4"/>
    <w:rsid w:val="00AA4F1D"/>
    <w:rsid w:val="00AC2A71"/>
    <w:rsid w:val="00AD3454"/>
    <w:rsid w:val="00AD4C12"/>
    <w:rsid w:val="00AD57F2"/>
    <w:rsid w:val="00AE36C9"/>
    <w:rsid w:val="00AE49B9"/>
    <w:rsid w:val="00AF032C"/>
    <w:rsid w:val="00AF7A1E"/>
    <w:rsid w:val="00B05CAA"/>
    <w:rsid w:val="00B1065E"/>
    <w:rsid w:val="00B205AE"/>
    <w:rsid w:val="00B218BC"/>
    <w:rsid w:val="00B23A08"/>
    <w:rsid w:val="00B26E6C"/>
    <w:rsid w:val="00B30A5D"/>
    <w:rsid w:val="00B33704"/>
    <w:rsid w:val="00B40B0F"/>
    <w:rsid w:val="00B41B96"/>
    <w:rsid w:val="00B51793"/>
    <w:rsid w:val="00B51E5B"/>
    <w:rsid w:val="00B52EB3"/>
    <w:rsid w:val="00B57F60"/>
    <w:rsid w:val="00B605FD"/>
    <w:rsid w:val="00B64A65"/>
    <w:rsid w:val="00B6655A"/>
    <w:rsid w:val="00B70BB5"/>
    <w:rsid w:val="00B7327E"/>
    <w:rsid w:val="00B74994"/>
    <w:rsid w:val="00B82787"/>
    <w:rsid w:val="00B83F6E"/>
    <w:rsid w:val="00B865F6"/>
    <w:rsid w:val="00B869E2"/>
    <w:rsid w:val="00B86A75"/>
    <w:rsid w:val="00B922C1"/>
    <w:rsid w:val="00B937C4"/>
    <w:rsid w:val="00B958C3"/>
    <w:rsid w:val="00B97265"/>
    <w:rsid w:val="00BA19D3"/>
    <w:rsid w:val="00BA3480"/>
    <w:rsid w:val="00BA6E25"/>
    <w:rsid w:val="00BB0763"/>
    <w:rsid w:val="00BD03C9"/>
    <w:rsid w:val="00BD6A25"/>
    <w:rsid w:val="00BD7847"/>
    <w:rsid w:val="00BE0A25"/>
    <w:rsid w:val="00BE427F"/>
    <w:rsid w:val="00BF0044"/>
    <w:rsid w:val="00BF0943"/>
    <w:rsid w:val="00BF1076"/>
    <w:rsid w:val="00BF13C1"/>
    <w:rsid w:val="00BF6A70"/>
    <w:rsid w:val="00BF7AE4"/>
    <w:rsid w:val="00BF7EBB"/>
    <w:rsid w:val="00C03972"/>
    <w:rsid w:val="00C047C7"/>
    <w:rsid w:val="00C16D00"/>
    <w:rsid w:val="00C16D1E"/>
    <w:rsid w:val="00C17A5C"/>
    <w:rsid w:val="00C223E8"/>
    <w:rsid w:val="00C3412D"/>
    <w:rsid w:val="00C37C65"/>
    <w:rsid w:val="00C40267"/>
    <w:rsid w:val="00C46AFA"/>
    <w:rsid w:val="00C50FBA"/>
    <w:rsid w:val="00C51129"/>
    <w:rsid w:val="00C52283"/>
    <w:rsid w:val="00C5466D"/>
    <w:rsid w:val="00C55D53"/>
    <w:rsid w:val="00C618A8"/>
    <w:rsid w:val="00C65710"/>
    <w:rsid w:val="00C67E72"/>
    <w:rsid w:val="00C74A32"/>
    <w:rsid w:val="00C74DC6"/>
    <w:rsid w:val="00C76F2E"/>
    <w:rsid w:val="00C91A18"/>
    <w:rsid w:val="00C9392D"/>
    <w:rsid w:val="00CA19C1"/>
    <w:rsid w:val="00CA3624"/>
    <w:rsid w:val="00CA3FDD"/>
    <w:rsid w:val="00CB09B5"/>
    <w:rsid w:val="00CB0C75"/>
    <w:rsid w:val="00CB2609"/>
    <w:rsid w:val="00CB62C1"/>
    <w:rsid w:val="00CB6A7A"/>
    <w:rsid w:val="00CC1523"/>
    <w:rsid w:val="00CC248C"/>
    <w:rsid w:val="00CC35A5"/>
    <w:rsid w:val="00CC3FAA"/>
    <w:rsid w:val="00CC50BC"/>
    <w:rsid w:val="00CC549B"/>
    <w:rsid w:val="00CE591C"/>
    <w:rsid w:val="00CF7101"/>
    <w:rsid w:val="00D00F29"/>
    <w:rsid w:val="00D0351A"/>
    <w:rsid w:val="00D0463D"/>
    <w:rsid w:val="00D04E67"/>
    <w:rsid w:val="00D10AF7"/>
    <w:rsid w:val="00D1328D"/>
    <w:rsid w:val="00D14841"/>
    <w:rsid w:val="00D236A6"/>
    <w:rsid w:val="00D23704"/>
    <w:rsid w:val="00D3174E"/>
    <w:rsid w:val="00D32487"/>
    <w:rsid w:val="00D365AC"/>
    <w:rsid w:val="00D6046B"/>
    <w:rsid w:val="00D60487"/>
    <w:rsid w:val="00D77F96"/>
    <w:rsid w:val="00D802AD"/>
    <w:rsid w:val="00D80BC0"/>
    <w:rsid w:val="00D853DC"/>
    <w:rsid w:val="00D9793B"/>
    <w:rsid w:val="00DA0387"/>
    <w:rsid w:val="00DA187A"/>
    <w:rsid w:val="00DA5EC4"/>
    <w:rsid w:val="00DB63AB"/>
    <w:rsid w:val="00DB67A7"/>
    <w:rsid w:val="00DB68CF"/>
    <w:rsid w:val="00DC6852"/>
    <w:rsid w:val="00DD1D30"/>
    <w:rsid w:val="00DE1222"/>
    <w:rsid w:val="00DE52F9"/>
    <w:rsid w:val="00DF0F45"/>
    <w:rsid w:val="00E01998"/>
    <w:rsid w:val="00E01B68"/>
    <w:rsid w:val="00E02606"/>
    <w:rsid w:val="00E06BC6"/>
    <w:rsid w:val="00E07271"/>
    <w:rsid w:val="00E106F9"/>
    <w:rsid w:val="00E23C14"/>
    <w:rsid w:val="00E37C73"/>
    <w:rsid w:val="00E45A47"/>
    <w:rsid w:val="00E53983"/>
    <w:rsid w:val="00E54969"/>
    <w:rsid w:val="00E662CE"/>
    <w:rsid w:val="00E679B6"/>
    <w:rsid w:val="00E732DE"/>
    <w:rsid w:val="00E84F63"/>
    <w:rsid w:val="00E9010E"/>
    <w:rsid w:val="00E96059"/>
    <w:rsid w:val="00EA255A"/>
    <w:rsid w:val="00EA3B53"/>
    <w:rsid w:val="00EB4BE5"/>
    <w:rsid w:val="00EC30E4"/>
    <w:rsid w:val="00EC3783"/>
    <w:rsid w:val="00EC418C"/>
    <w:rsid w:val="00EC5672"/>
    <w:rsid w:val="00EC59E1"/>
    <w:rsid w:val="00ED38BA"/>
    <w:rsid w:val="00EE0A4A"/>
    <w:rsid w:val="00EE2012"/>
    <w:rsid w:val="00EF4354"/>
    <w:rsid w:val="00F0109D"/>
    <w:rsid w:val="00F03A18"/>
    <w:rsid w:val="00F048B6"/>
    <w:rsid w:val="00F04ACE"/>
    <w:rsid w:val="00F05597"/>
    <w:rsid w:val="00F0683A"/>
    <w:rsid w:val="00F224AD"/>
    <w:rsid w:val="00F25837"/>
    <w:rsid w:val="00F26598"/>
    <w:rsid w:val="00F27308"/>
    <w:rsid w:val="00F3270E"/>
    <w:rsid w:val="00F327B2"/>
    <w:rsid w:val="00F35BD7"/>
    <w:rsid w:val="00F42362"/>
    <w:rsid w:val="00F5173B"/>
    <w:rsid w:val="00F528BE"/>
    <w:rsid w:val="00F567E0"/>
    <w:rsid w:val="00F60DE9"/>
    <w:rsid w:val="00F61915"/>
    <w:rsid w:val="00F65293"/>
    <w:rsid w:val="00F706D6"/>
    <w:rsid w:val="00F773AC"/>
    <w:rsid w:val="00F80CA2"/>
    <w:rsid w:val="00F80D12"/>
    <w:rsid w:val="00F82C3E"/>
    <w:rsid w:val="00F908FD"/>
    <w:rsid w:val="00F931F0"/>
    <w:rsid w:val="00F96C35"/>
    <w:rsid w:val="00F97400"/>
    <w:rsid w:val="00FA11EB"/>
    <w:rsid w:val="00FA2618"/>
    <w:rsid w:val="00FA775B"/>
    <w:rsid w:val="00FB5804"/>
    <w:rsid w:val="00FC4046"/>
    <w:rsid w:val="00FC58EE"/>
    <w:rsid w:val="00FC6A52"/>
    <w:rsid w:val="00FD4A2E"/>
    <w:rsid w:val="00FD595D"/>
    <w:rsid w:val="00FD7C1A"/>
    <w:rsid w:val="00FE1A1C"/>
    <w:rsid w:val="00FE26EA"/>
    <w:rsid w:val="00FE3053"/>
    <w:rsid w:val="00FE5E90"/>
    <w:rsid w:val="00FF29E3"/>
    <w:rsid w:val="00FF2ED2"/>
    <w:rsid w:val="00FF32C1"/>
    <w:rsid w:val="00FF47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C0A6821-14A7-443B-9B4D-3B15A65B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A7"/>
  </w:style>
  <w:style w:type="paragraph" w:styleId="Heading2">
    <w:name w:val="heading 2"/>
    <w:basedOn w:val="Normal"/>
    <w:next w:val="Normal"/>
    <w:link w:val="Heading2Char"/>
    <w:uiPriority w:val="9"/>
    <w:unhideWhenUsed/>
    <w:qFormat/>
    <w:rsid w:val="000766BD"/>
    <w:pPr>
      <w:keepNext/>
      <w:keepLines/>
      <w:autoSpaceDE w:val="0"/>
      <w:autoSpaceDN w:val="0"/>
      <w:adjustRightInd w:val="0"/>
      <w:spacing w:before="200" w:after="0" w:line="240" w:lineRule="auto"/>
      <w:jc w:val="both"/>
      <w:outlineLvl w:val="1"/>
    </w:pPr>
    <w:rPr>
      <w:rFonts w:asciiTheme="majorHAnsi" w:eastAsiaTheme="majorEastAsia" w:hAnsiTheme="majorHAnsi" w:cstheme="majorBidi"/>
      <w:b/>
      <w:bCs/>
      <w:color w:val="4F81BD"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A7"/>
    <w:pPr>
      <w:tabs>
        <w:tab w:val="center" w:pos="4513"/>
        <w:tab w:val="right" w:pos="9026"/>
      </w:tabs>
      <w:spacing w:after="0" w:line="240" w:lineRule="auto"/>
      <w:jc w:val="both"/>
    </w:pPr>
    <w:rPr>
      <w:rFonts w:ascii="Arial" w:eastAsia="Calibri" w:hAnsi="Arial" w:cs="Arial"/>
      <w:sz w:val="24"/>
      <w:szCs w:val="24"/>
    </w:rPr>
  </w:style>
  <w:style w:type="character" w:customStyle="1" w:styleId="HeaderChar">
    <w:name w:val="Header Char"/>
    <w:basedOn w:val="DefaultParagraphFont"/>
    <w:link w:val="Header"/>
    <w:uiPriority w:val="99"/>
    <w:rsid w:val="004E4EA7"/>
    <w:rPr>
      <w:rFonts w:ascii="Arial" w:eastAsia="Calibri" w:hAnsi="Arial" w:cs="Arial"/>
      <w:sz w:val="24"/>
      <w:szCs w:val="24"/>
    </w:rPr>
  </w:style>
  <w:style w:type="paragraph" w:styleId="Footer">
    <w:name w:val="footer"/>
    <w:basedOn w:val="Normal"/>
    <w:link w:val="FooterChar"/>
    <w:uiPriority w:val="99"/>
    <w:unhideWhenUsed/>
    <w:rsid w:val="004E4EA7"/>
    <w:pPr>
      <w:tabs>
        <w:tab w:val="center" w:pos="4513"/>
        <w:tab w:val="right" w:pos="9026"/>
      </w:tabs>
      <w:spacing w:after="0" w:line="240" w:lineRule="auto"/>
      <w:jc w:val="both"/>
    </w:pPr>
    <w:rPr>
      <w:rFonts w:ascii="Arial" w:eastAsia="Calibri" w:hAnsi="Arial" w:cs="Arial"/>
      <w:sz w:val="24"/>
      <w:szCs w:val="24"/>
    </w:rPr>
  </w:style>
  <w:style w:type="character" w:customStyle="1" w:styleId="FooterChar">
    <w:name w:val="Footer Char"/>
    <w:basedOn w:val="DefaultParagraphFont"/>
    <w:link w:val="Footer"/>
    <w:uiPriority w:val="99"/>
    <w:rsid w:val="004E4EA7"/>
    <w:rPr>
      <w:rFonts w:ascii="Arial" w:eastAsia="Calibri" w:hAnsi="Arial" w:cs="Arial"/>
      <w:sz w:val="24"/>
      <w:szCs w:val="24"/>
    </w:rPr>
  </w:style>
  <w:style w:type="paragraph" w:styleId="ListParagraph">
    <w:name w:val="List Paragraph"/>
    <w:basedOn w:val="Normal"/>
    <w:uiPriority w:val="34"/>
    <w:qFormat/>
    <w:rsid w:val="004E4EA7"/>
    <w:pPr>
      <w:ind w:left="720"/>
      <w:contextualSpacing/>
    </w:pPr>
  </w:style>
  <w:style w:type="table" w:styleId="TableGrid">
    <w:name w:val="Table Grid"/>
    <w:basedOn w:val="TableNormal"/>
    <w:uiPriority w:val="59"/>
    <w:rsid w:val="004E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A7"/>
    <w:rPr>
      <w:rFonts w:ascii="Tahoma" w:hAnsi="Tahoma" w:cs="Tahoma"/>
      <w:sz w:val="16"/>
      <w:szCs w:val="16"/>
    </w:rPr>
  </w:style>
  <w:style w:type="character" w:styleId="Hyperlink">
    <w:name w:val="Hyperlink"/>
    <w:basedOn w:val="DefaultParagraphFont"/>
    <w:uiPriority w:val="99"/>
    <w:unhideWhenUsed/>
    <w:rsid w:val="007A7036"/>
    <w:rPr>
      <w:color w:val="0000FF" w:themeColor="hyperlink"/>
      <w:u w:val="single"/>
    </w:rPr>
  </w:style>
  <w:style w:type="paragraph" w:customStyle="1" w:styleId="Default">
    <w:name w:val="Default"/>
    <w:rsid w:val="00373C6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F70CC"/>
    <w:rPr>
      <w:sz w:val="16"/>
      <w:szCs w:val="16"/>
    </w:rPr>
  </w:style>
  <w:style w:type="paragraph" w:styleId="CommentText">
    <w:name w:val="annotation text"/>
    <w:basedOn w:val="Normal"/>
    <w:link w:val="CommentTextChar"/>
    <w:uiPriority w:val="99"/>
    <w:unhideWhenUsed/>
    <w:rsid w:val="001F70CC"/>
    <w:pPr>
      <w:spacing w:line="240" w:lineRule="auto"/>
    </w:pPr>
    <w:rPr>
      <w:sz w:val="20"/>
      <w:szCs w:val="20"/>
    </w:rPr>
  </w:style>
  <w:style w:type="character" w:customStyle="1" w:styleId="CommentTextChar">
    <w:name w:val="Comment Text Char"/>
    <w:basedOn w:val="DefaultParagraphFont"/>
    <w:link w:val="CommentText"/>
    <w:uiPriority w:val="99"/>
    <w:rsid w:val="001F70CC"/>
    <w:rPr>
      <w:sz w:val="20"/>
      <w:szCs w:val="20"/>
    </w:rPr>
  </w:style>
  <w:style w:type="paragraph" w:styleId="CommentSubject">
    <w:name w:val="annotation subject"/>
    <w:basedOn w:val="CommentText"/>
    <w:next w:val="CommentText"/>
    <w:link w:val="CommentSubjectChar"/>
    <w:uiPriority w:val="99"/>
    <w:semiHidden/>
    <w:unhideWhenUsed/>
    <w:rsid w:val="001F70CC"/>
    <w:rPr>
      <w:b/>
      <w:bCs/>
    </w:rPr>
  </w:style>
  <w:style w:type="character" w:customStyle="1" w:styleId="CommentSubjectChar">
    <w:name w:val="Comment Subject Char"/>
    <w:basedOn w:val="CommentTextChar"/>
    <w:link w:val="CommentSubject"/>
    <w:uiPriority w:val="99"/>
    <w:semiHidden/>
    <w:rsid w:val="001F70CC"/>
    <w:rPr>
      <w:b/>
      <w:bCs/>
      <w:sz w:val="20"/>
      <w:szCs w:val="20"/>
    </w:rPr>
  </w:style>
  <w:style w:type="character" w:styleId="Emphasis">
    <w:name w:val="Emphasis"/>
    <w:basedOn w:val="DefaultParagraphFont"/>
    <w:uiPriority w:val="20"/>
    <w:qFormat/>
    <w:rsid w:val="00F706D6"/>
    <w:rPr>
      <w:i/>
      <w:iCs/>
    </w:rPr>
  </w:style>
  <w:style w:type="character" w:styleId="FollowedHyperlink">
    <w:name w:val="FollowedHyperlink"/>
    <w:basedOn w:val="DefaultParagraphFont"/>
    <w:uiPriority w:val="99"/>
    <w:semiHidden/>
    <w:unhideWhenUsed/>
    <w:rsid w:val="00F706D6"/>
    <w:rPr>
      <w:color w:val="800080" w:themeColor="followedHyperlink"/>
      <w:u w:val="single"/>
    </w:rPr>
  </w:style>
  <w:style w:type="character" w:styleId="Strong">
    <w:name w:val="Strong"/>
    <w:basedOn w:val="DefaultParagraphFont"/>
    <w:uiPriority w:val="22"/>
    <w:qFormat/>
    <w:rsid w:val="008E1D9D"/>
    <w:rPr>
      <w:b/>
      <w:bCs/>
    </w:rPr>
  </w:style>
  <w:style w:type="character" w:customStyle="1" w:styleId="Heading2Char">
    <w:name w:val="Heading 2 Char"/>
    <w:basedOn w:val="DefaultParagraphFont"/>
    <w:link w:val="Heading2"/>
    <w:uiPriority w:val="9"/>
    <w:rsid w:val="000766BD"/>
    <w:rPr>
      <w:rFonts w:asciiTheme="majorHAnsi" w:eastAsiaTheme="majorEastAsia" w:hAnsiTheme="majorHAnsi" w:cstheme="majorBidi"/>
      <w:b/>
      <w:bCs/>
      <w:color w:val="4F81BD" w:themeColor="accent1"/>
      <w:sz w:val="26"/>
      <w:szCs w:val="26"/>
      <w:lang w:eastAsia="en-AU"/>
    </w:rPr>
  </w:style>
  <w:style w:type="paragraph" w:styleId="FootnoteText">
    <w:name w:val="footnote text"/>
    <w:basedOn w:val="Normal"/>
    <w:link w:val="FootnoteTextChar"/>
    <w:uiPriority w:val="99"/>
    <w:semiHidden/>
    <w:unhideWhenUsed/>
    <w:rsid w:val="00FE2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6EA"/>
    <w:rPr>
      <w:sz w:val="20"/>
      <w:szCs w:val="20"/>
    </w:rPr>
  </w:style>
  <w:style w:type="character" w:styleId="FootnoteReference">
    <w:name w:val="footnote reference"/>
    <w:basedOn w:val="DefaultParagraphFont"/>
    <w:uiPriority w:val="99"/>
    <w:semiHidden/>
    <w:unhideWhenUsed/>
    <w:rsid w:val="00FE26EA"/>
    <w:rPr>
      <w:vertAlign w:val="superscript"/>
    </w:rPr>
  </w:style>
  <w:style w:type="paragraph" w:styleId="EndnoteText">
    <w:name w:val="endnote text"/>
    <w:basedOn w:val="Normal"/>
    <w:link w:val="EndnoteTextChar"/>
    <w:uiPriority w:val="99"/>
    <w:semiHidden/>
    <w:unhideWhenUsed/>
    <w:rsid w:val="00D132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328D"/>
    <w:rPr>
      <w:sz w:val="20"/>
      <w:szCs w:val="20"/>
    </w:rPr>
  </w:style>
  <w:style w:type="character" w:styleId="EndnoteReference">
    <w:name w:val="endnote reference"/>
    <w:basedOn w:val="DefaultParagraphFont"/>
    <w:uiPriority w:val="99"/>
    <w:semiHidden/>
    <w:unhideWhenUsed/>
    <w:rsid w:val="00D1328D"/>
    <w:rPr>
      <w:vertAlign w:val="superscript"/>
    </w:rPr>
  </w:style>
  <w:style w:type="paragraph" w:styleId="Revision">
    <w:name w:val="Revision"/>
    <w:hidden/>
    <w:uiPriority w:val="99"/>
    <w:semiHidden/>
    <w:rsid w:val="003445CF"/>
    <w:pPr>
      <w:spacing w:after="0" w:line="240" w:lineRule="auto"/>
    </w:pPr>
  </w:style>
  <w:style w:type="table" w:styleId="GridTable1Light-Accent6">
    <w:name w:val="Grid Table 1 Light Accent 6"/>
    <w:basedOn w:val="TableNormal"/>
    <w:uiPriority w:val="46"/>
    <w:rsid w:val="003D5BB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3D5BB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3D5B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3D5BB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apple-converted-space">
    <w:name w:val="apple-converted-space"/>
    <w:basedOn w:val="DefaultParagraphFont"/>
    <w:rsid w:val="0066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3096">
      <w:bodyDiv w:val="1"/>
      <w:marLeft w:val="0"/>
      <w:marRight w:val="0"/>
      <w:marTop w:val="0"/>
      <w:marBottom w:val="0"/>
      <w:divBdr>
        <w:top w:val="none" w:sz="0" w:space="0" w:color="auto"/>
        <w:left w:val="none" w:sz="0" w:space="0" w:color="auto"/>
        <w:bottom w:val="none" w:sz="0" w:space="0" w:color="auto"/>
        <w:right w:val="none" w:sz="0" w:space="0" w:color="auto"/>
      </w:divBdr>
    </w:div>
    <w:div w:id="118769407">
      <w:bodyDiv w:val="1"/>
      <w:marLeft w:val="0"/>
      <w:marRight w:val="0"/>
      <w:marTop w:val="0"/>
      <w:marBottom w:val="0"/>
      <w:divBdr>
        <w:top w:val="none" w:sz="0" w:space="0" w:color="auto"/>
        <w:left w:val="none" w:sz="0" w:space="0" w:color="auto"/>
        <w:bottom w:val="none" w:sz="0" w:space="0" w:color="auto"/>
        <w:right w:val="none" w:sz="0" w:space="0" w:color="auto"/>
      </w:divBdr>
      <w:divsChild>
        <w:div w:id="1957833774">
          <w:marLeft w:val="0"/>
          <w:marRight w:val="0"/>
          <w:marTop w:val="0"/>
          <w:marBottom w:val="0"/>
          <w:divBdr>
            <w:top w:val="none" w:sz="0" w:space="0" w:color="auto"/>
            <w:left w:val="none" w:sz="0" w:space="0" w:color="auto"/>
            <w:bottom w:val="none" w:sz="0" w:space="0" w:color="auto"/>
            <w:right w:val="none" w:sz="0" w:space="0" w:color="auto"/>
          </w:divBdr>
          <w:divsChild>
            <w:div w:id="769202561">
              <w:marLeft w:val="0"/>
              <w:marRight w:val="0"/>
              <w:marTop w:val="0"/>
              <w:marBottom w:val="0"/>
              <w:divBdr>
                <w:top w:val="none" w:sz="0" w:space="0" w:color="auto"/>
                <w:left w:val="none" w:sz="0" w:space="0" w:color="auto"/>
                <w:bottom w:val="none" w:sz="0" w:space="0" w:color="auto"/>
                <w:right w:val="none" w:sz="0" w:space="0" w:color="auto"/>
              </w:divBdr>
              <w:divsChild>
                <w:div w:id="1754349770">
                  <w:marLeft w:val="0"/>
                  <w:marRight w:val="0"/>
                  <w:marTop w:val="0"/>
                  <w:marBottom w:val="0"/>
                  <w:divBdr>
                    <w:top w:val="none" w:sz="0" w:space="0" w:color="auto"/>
                    <w:left w:val="none" w:sz="0" w:space="0" w:color="auto"/>
                    <w:bottom w:val="none" w:sz="0" w:space="0" w:color="auto"/>
                    <w:right w:val="none" w:sz="0" w:space="0" w:color="auto"/>
                  </w:divBdr>
                  <w:divsChild>
                    <w:div w:id="1520314697">
                      <w:marLeft w:val="0"/>
                      <w:marRight w:val="0"/>
                      <w:marTop w:val="0"/>
                      <w:marBottom w:val="0"/>
                      <w:divBdr>
                        <w:top w:val="none" w:sz="0" w:space="0" w:color="auto"/>
                        <w:left w:val="none" w:sz="0" w:space="0" w:color="auto"/>
                        <w:bottom w:val="none" w:sz="0" w:space="0" w:color="auto"/>
                        <w:right w:val="none" w:sz="0" w:space="0" w:color="auto"/>
                      </w:divBdr>
                      <w:divsChild>
                        <w:div w:id="1287735890">
                          <w:marLeft w:val="0"/>
                          <w:marRight w:val="0"/>
                          <w:marTop w:val="0"/>
                          <w:marBottom w:val="0"/>
                          <w:divBdr>
                            <w:top w:val="none" w:sz="0" w:space="0" w:color="auto"/>
                            <w:left w:val="none" w:sz="0" w:space="0" w:color="auto"/>
                            <w:bottom w:val="none" w:sz="0" w:space="0" w:color="auto"/>
                            <w:right w:val="none" w:sz="0" w:space="0" w:color="auto"/>
                          </w:divBdr>
                          <w:divsChild>
                            <w:div w:id="245765797">
                              <w:marLeft w:val="0"/>
                              <w:marRight w:val="0"/>
                              <w:marTop w:val="0"/>
                              <w:marBottom w:val="0"/>
                              <w:divBdr>
                                <w:top w:val="none" w:sz="0" w:space="0" w:color="auto"/>
                                <w:left w:val="none" w:sz="0" w:space="0" w:color="auto"/>
                                <w:bottom w:val="none" w:sz="0" w:space="0" w:color="auto"/>
                                <w:right w:val="none" w:sz="0" w:space="0" w:color="auto"/>
                              </w:divBdr>
                              <w:divsChild>
                                <w:div w:id="15608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9375">
      <w:bodyDiv w:val="1"/>
      <w:marLeft w:val="0"/>
      <w:marRight w:val="0"/>
      <w:marTop w:val="0"/>
      <w:marBottom w:val="0"/>
      <w:divBdr>
        <w:top w:val="none" w:sz="0" w:space="0" w:color="auto"/>
        <w:left w:val="none" w:sz="0" w:space="0" w:color="auto"/>
        <w:bottom w:val="none" w:sz="0" w:space="0" w:color="auto"/>
        <w:right w:val="none" w:sz="0" w:space="0" w:color="auto"/>
      </w:divBdr>
      <w:divsChild>
        <w:div w:id="610472798">
          <w:marLeft w:val="0"/>
          <w:marRight w:val="0"/>
          <w:marTop w:val="0"/>
          <w:marBottom w:val="0"/>
          <w:divBdr>
            <w:top w:val="none" w:sz="0" w:space="0" w:color="auto"/>
            <w:left w:val="none" w:sz="0" w:space="0" w:color="auto"/>
            <w:bottom w:val="none" w:sz="0" w:space="0" w:color="auto"/>
            <w:right w:val="none" w:sz="0" w:space="0" w:color="auto"/>
          </w:divBdr>
          <w:divsChild>
            <w:div w:id="2009942232">
              <w:marLeft w:val="0"/>
              <w:marRight w:val="0"/>
              <w:marTop w:val="0"/>
              <w:marBottom w:val="0"/>
              <w:divBdr>
                <w:top w:val="none" w:sz="0" w:space="0" w:color="auto"/>
                <w:left w:val="none" w:sz="0" w:space="0" w:color="auto"/>
                <w:bottom w:val="none" w:sz="0" w:space="0" w:color="auto"/>
                <w:right w:val="none" w:sz="0" w:space="0" w:color="auto"/>
              </w:divBdr>
              <w:divsChild>
                <w:div w:id="820728691">
                  <w:marLeft w:val="0"/>
                  <w:marRight w:val="0"/>
                  <w:marTop w:val="0"/>
                  <w:marBottom w:val="0"/>
                  <w:divBdr>
                    <w:top w:val="none" w:sz="0" w:space="0" w:color="auto"/>
                    <w:left w:val="none" w:sz="0" w:space="0" w:color="auto"/>
                    <w:bottom w:val="none" w:sz="0" w:space="0" w:color="auto"/>
                    <w:right w:val="none" w:sz="0" w:space="0" w:color="auto"/>
                  </w:divBdr>
                  <w:divsChild>
                    <w:div w:id="1225220247">
                      <w:marLeft w:val="0"/>
                      <w:marRight w:val="0"/>
                      <w:marTop w:val="0"/>
                      <w:marBottom w:val="0"/>
                      <w:divBdr>
                        <w:top w:val="none" w:sz="0" w:space="0" w:color="auto"/>
                        <w:left w:val="none" w:sz="0" w:space="0" w:color="auto"/>
                        <w:bottom w:val="none" w:sz="0" w:space="0" w:color="auto"/>
                        <w:right w:val="none" w:sz="0" w:space="0" w:color="auto"/>
                      </w:divBdr>
                      <w:divsChild>
                        <w:div w:id="140583577">
                          <w:marLeft w:val="0"/>
                          <w:marRight w:val="0"/>
                          <w:marTop w:val="0"/>
                          <w:marBottom w:val="0"/>
                          <w:divBdr>
                            <w:top w:val="none" w:sz="0" w:space="0" w:color="auto"/>
                            <w:left w:val="none" w:sz="0" w:space="0" w:color="auto"/>
                            <w:bottom w:val="none" w:sz="0" w:space="0" w:color="auto"/>
                            <w:right w:val="none" w:sz="0" w:space="0" w:color="auto"/>
                          </w:divBdr>
                          <w:divsChild>
                            <w:div w:id="1085036433">
                              <w:marLeft w:val="0"/>
                              <w:marRight w:val="0"/>
                              <w:marTop w:val="0"/>
                              <w:marBottom w:val="0"/>
                              <w:divBdr>
                                <w:top w:val="none" w:sz="0" w:space="0" w:color="auto"/>
                                <w:left w:val="none" w:sz="0" w:space="0" w:color="auto"/>
                                <w:bottom w:val="none" w:sz="0" w:space="0" w:color="auto"/>
                                <w:right w:val="none" w:sz="0" w:space="0" w:color="auto"/>
                              </w:divBdr>
                              <w:divsChild>
                                <w:div w:id="1842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3706">
      <w:bodyDiv w:val="1"/>
      <w:marLeft w:val="0"/>
      <w:marRight w:val="0"/>
      <w:marTop w:val="0"/>
      <w:marBottom w:val="0"/>
      <w:divBdr>
        <w:top w:val="none" w:sz="0" w:space="0" w:color="auto"/>
        <w:left w:val="none" w:sz="0" w:space="0" w:color="auto"/>
        <w:bottom w:val="none" w:sz="0" w:space="0" w:color="auto"/>
        <w:right w:val="none" w:sz="0" w:space="0" w:color="auto"/>
      </w:divBdr>
    </w:div>
    <w:div w:id="554782588">
      <w:bodyDiv w:val="1"/>
      <w:marLeft w:val="0"/>
      <w:marRight w:val="0"/>
      <w:marTop w:val="0"/>
      <w:marBottom w:val="0"/>
      <w:divBdr>
        <w:top w:val="none" w:sz="0" w:space="0" w:color="auto"/>
        <w:left w:val="none" w:sz="0" w:space="0" w:color="auto"/>
        <w:bottom w:val="none" w:sz="0" w:space="0" w:color="auto"/>
        <w:right w:val="none" w:sz="0" w:space="0" w:color="auto"/>
      </w:divBdr>
    </w:div>
    <w:div w:id="580528974">
      <w:bodyDiv w:val="1"/>
      <w:marLeft w:val="0"/>
      <w:marRight w:val="0"/>
      <w:marTop w:val="0"/>
      <w:marBottom w:val="0"/>
      <w:divBdr>
        <w:top w:val="none" w:sz="0" w:space="0" w:color="auto"/>
        <w:left w:val="none" w:sz="0" w:space="0" w:color="auto"/>
        <w:bottom w:val="none" w:sz="0" w:space="0" w:color="auto"/>
        <w:right w:val="none" w:sz="0" w:space="0" w:color="auto"/>
      </w:divBdr>
    </w:div>
    <w:div w:id="717627942">
      <w:bodyDiv w:val="1"/>
      <w:marLeft w:val="0"/>
      <w:marRight w:val="0"/>
      <w:marTop w:val="0"/>
      <w:marBottom w:val="0"/>
      <w:divBdr>
        <w:top w:val="none" w:sz="0" w:space="0" w:color="auto"/>
        <w:left w:val="none" w:sz="0" w:space="0" w:color="auto"/>
        <w:bottom w:val="none" w:sz="0" w:space="0" w:color="auto"/>
        <w:right w:val="none" w:sz="0" w:space="0" w:color="auto"/>
      </w:divBdr>
    </w:div>
    <w:div w:id="822047241">
      <w:bodyDiv w:val="1"/>
      <w:marLeft w:val="0"/>
      <w:marRight w:val="0"/>
      <w:marTop w:val="0"/>
      <w:marBottom w:val="0"/>
      <w:divBdr>
        <w:top w:val="none" w:sz="0" w:space="0" w:color="auto"/>
        <w:left w:val="none" w:sz="0" w:space="0" w:color="auto"/>
        <w:bottom w:val="none" w:sz="0" w:space="0" w:color="auto"/>
        <w:right w:val="none" w:sz="0" w:space="0" w:color="auto"/>
      </w:divBdr>
      <w:divsChild>
        <w:div w:id="228734364">
          <w:marLeft w:val="0"/>
          <w:marRight w:val="0"/>
          <w:marTop w:val="0"/>
          <w:marBottom w:val="0"/>
          <w:divBdr>
            <w:top w:val="none" w:sz="0" w:space="0" w:color="auto"/>
            <w:left w:val="none" w:sz="0" w:space="0" w:color="auto"/>
            <w:bottom w:val="none" w:sz="0" w:space="0" w:color="auto"/>
            <w:right w:val="none" w:sz="0" w:space="0" w:color="auto"/>
          </w:divBdr>
          <w:divsChild>
            <w:div w:id="935290207">
              <w:marLeft w:val="0"/>
              <w:marRight w:val="0"/>
              <w:marTop w:val="0"/>
              <w:marBottom w:val="0"/>
              <w:divBdr>
                <w:top w:val="none" w:sz="0" w:space="0" w:color="auto"/>
                <w:left w:val="none" w:sz="0" w:space="0" w:color="auto"/>
                <w:bottom w:val="none" w:sz="0" w:space="0" w:color="auto"/>
                <w:right w:val="none" w:sz="0" w:space="0" w:color="auto"/>
              </w:divBdr>
              <w:divsChild>
                <w:div w:id="85423203">
                  <w:marLeft w:val="0"/>
                  <w:marRight w:val="0"/>
                  <w:marTop w:val="0"/>
                  <w:marBottom w:val="0"/>
                  <w:divBdr>
                    <w:top w:val="none" w:sz="0" w:space="0" w:color="auto"/>
                    <w:left w:val="none" w:sz="0" w:space="0" w:color="auto"/>
                    <w:bottom w:val="none" w:sz="0" w:space="0" w:color="auto"/>
                    <w:right w:val="none" w:sz="0" w:space="0" w:color="auto"/>
                  </w:divBdr>
                  <w:divsChild>
                    <w:div w:id="917517836">
                      <w:marLeft w:val="0"/>
                      <w:marRight w:val="0"/>
                      <w:marTop w:val="0"/>
                      <w:marBottom w:val="0"/>
                      <w:divBdr>
                        <w:top w:val="none" w:sz="0" w:space="0" w:color="auto"/>
                        <w:left w:val="none" w:sz="0" w:space="0" w:color="auto"/>
                        <w:bottom w:val="none" w:sz="0" w:space="0" w:color="auto"/>
                        <w:right w:val="none" w:sz="0" w:space="0" w:color="auto"/>
                      </w:divBdr>
                      <w:divsChild>
                        <w:div w:id="176965882">
                          <w:marLeft w:val="0"/>
                          <w:marRight w:val="0"/>
                          <w:marTop w:val="0"/>
                          <w:marBottom w:val="0"/>
                          <w:divBdr>
                            <w:top w:val="none" w:sz="0" w:space="0" w:color="auto"/>
                            <w:left w:val="none" w:sz="0" w:space="0" w:color="auto"/>
                            <w:bottom w:val="none" w:sz="0" w:space="0" w:color="auto"/>
                            <w:right w:val="none" w:sz="0" w:space="0" w:color="auto"/>
                          </w:divBdr>
                          <w:divsChild>
                            <w:div w:id="2142921889">
                              <w:marLeft w:val="0"/>
                              <w:marRight w:val="0"/>
                              <w:marTop w:val="0"/>
                              <w:marBottom w:val="0"/>
                              <w:divBdr>
                                <w:top w:val="none" w:sz="0" w:space="0" w:color="auto"/>
                                <w:left w:val="none" w:sz="0" w:space="0" w:color="auto"/>
                                <w:bottom w:val="none" w:sz="0" w:space="0" w:color="auto"/>
                                <w:right w:val="none" w:sz="0" w:space="0" w:color="auto"/>
                              </w:divBdr>
                              <w:divsChild>
                                <w:div w:id="618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674224">
      <w:bodyDiv w:val="1"/>
      <w:marLeft w:val="0"/>
      <w:marRight w:val="0"/>
      <w:marTop w:val="0"/>
      <w:marBottom w:val="0"/>
      <w:divBdr>
        <w:top w:val="none" w:sz="0" w:space="0" w:color="auto"/>
        <w:left w:val="none" w:sz="0" w:space="0" w:color="auto"/>
        <w:bottom w:val="none" w:sz="0" w:space="0" w:color="auto"/>
        <w:right w:val="none" w:sz="0" w:space="0" w:color="auto"/>
      </w:divBdr>
    </w:div>
    <w:div w:id="892305287">
      <w:bodyDiv w:val="1"/>
      <w:marLeft w:val="0"/>
      <w:marRight w:val="0"/>
      <w:marTop w:val="0"/>
      <w:marBottom w:val="0"/>
      <w:divBdr>
        <w:top w:val="none" w:sz="0" w:space="0" w:color="auto"/>
        <w:left w:val="none" w:sz="0" w:space="0" w:color="auto"/>
        <w:bottom w:val="none" w:sz="0" w:space="0" w:color="auto"/>
        <w:right w:val="none" w:sz="0" w:space="0" w:color="auto"/>
      </w:divBdr>
    </w:div>
    <w:div w:id="899562088">
      <w:bodyDiv w:val="1"/>
      <w:marLeft w:val="0"/>
      <w:marRight w:val="0"/>
      <w:marTop w:val="0"/>
      <w:marBottom w:val="0"/>
      <w:divBdr>
        <w:top w:val="none" w:sz="0" w:space="0" w:color="auto"/>
        <w:left w:val="none" w:sz="0" w:space="0" w:color="auto"/>
        <w:bottom w:val="none" w:sz="0" w:space="0" w:color="auto"/>
        <w:right w:val="none" w:sz="0" w:space="0" w:color="auto"/>
      </w:divBdr>
    </w:div>
    <w:div w:id="982347698">
      <w:bodyDiv w:val="1"/>
      <w:marLeft w:val="0"/>
      <w:marRight w:val="0"/>
      <w:marTop w:val="0"/>
      <w:marBottom w:val="0"/>
      <w:divBdr>
        <w:top w:val="none" w:sz="0" w:space="0" w:color="auto"/>
        <w:left w:val="none" w:sz="0" w:space="0" w:color="auto"/>
        <w:bottom w:val="none" w:sz="0" w:space="0" w:color="auto"/>
        <w:right w:val="none" w:sz="0" w:space="0" w:color="auto"/>
      </w:divBdr>
    </w:div>
    <w:div w:id="1064524317">
      <w:bodyDiv w:val="1"/>
      <w:marLeft w:val="0"/>
      <w:marRight w:val="0"/>
      <w:marTop w:val="0"/>
      <w:marBottom w:val="0"/>
      <w:divBdr>
        <w:top w:val="none" w:sz="0" w:space="0" w:color="auto"/>
        <w:left w:val="none" w:sz="0" w:space="0" w:color="auto"/>
        <w:bottom w:val="none" w:sz="0" w:space="0" w:color="auto"/>
        <w:right w:val="none" w:sz="0" w:space="0" w:color="auto"/>
      </w:divBdr>
    </w:div>
    <w:div w:id="1106388292">
      <w:bodyDiv w:val="1"/>
      <w:marLeft w:val="0"/>
      <w:marRight w:val="0"/>
      <w:marTop w:val="0"/>
      <w:marBottom w:val="0"/>
      <w:divBdr>
        <w:top w:val="none" w:sz="0" w:space="0" w:color="auto"/>
        <w:left w:val="none" w:sz="0" w:space="0" w:color="auto"/>
        <w:bottom w:val="none" w:sz="0" w:space="0" w:color="auto"/>
        <w:right w:val="none" w:sz="0" w:space="0" w:color="auto"/>
      </w:divBdr>
    </w:div>
    <w:div w:id="1174762712">
      <w:bodyDiv w:val="1"/>
      <w:marLeft w:val="0"/>
      <w:marRight w:val="0"/>
      <w:marTop w:val="0"/>
      <w:marBottom w:val="0"/>
      <w:divBdr>
        <w:top w:val="none" w:sz="0" w:space="0" w:color="auto"/>
        <w:left w:val="none" w:sz="0" w:space="0" w:color="auto"/>
        <w:bottom w:val="none" w:sz="0" w:space="0" w:color="auto"/>
        <w:right w:val="none" w:sz="0" w:space="0" w:color="auto"/>
      </w:divBdr>
    </w:div>
    <w:div w:id="1203588939">
      <w:bodyDiv w:val="1"/>
      <w:marLeft w:val="0"/>
      <w:marRight w:val="0"/>
      <w:marTop w:val="0"/>
      <w:marBottom w:val="0"/>
      <w:divBdr>
        <w:top w:val="none" w:sz="0" w:space="0" w:color="auto"/>
        <w:left w:val="none" w:sz="0" w:space="0" w:color="auto"/>
        <w:bottom w:val="none" w:sz="0" w:space="0" w:color="auto"/>
        <w:right w:val="none" w:sz="0" w:space="0" w:color="auto"/>
      </w:divBdr>
    </w:div>
    <w:div w:id="1209222563">
      <w:bodyDiv w:val="1"/>
      <w:marLeft w:val="0"/>
      <w:marRight w:val="0"/>
      <w:marTop w:val="0"/>
      <w:marBottom w:val="0"/>
      <w:divBdr>
        <w:top w:val="none" w:sz="0" w:space="0" w:color="auto"/>
        <w:left w:val="none" w:sz="0" w:space="0" w:color="auto"/>
        <w:bottom w:val="none" w:sz="0" w:space="0" w:color="auto"/>
        <w:right w:val="none" w:sz="0" w:space="0" w:color="auto"/>
      </w:divBdr>
    </w:div>
    <w:div w:id="1265502614">
      <w:bodyDiv w:val="1"/>
      <w:marLeft w:val="0"/>
      <w:marRight w:val="0"/>
      <w:marTop w:val="0"/>
      <w:marBottom w:val="0"/>
      <w:divBdr>
        <w:top w:val="none" w:sz="0" w:space="0" w:color="auto"/>
        <w:left w:val="none" w:sz="0" w:space="0" w:color="auto"/>
        <w:bottom w:val="none" w:sz="0" w:space="0" w:color="auto"/>
        <w:right w:val="none" w:sz="0" w:space="0" w:color="auto"/>
      </w:divBdr>
    </w:div>
    <w:div w:id="1398355330">
      <w:bodyDiv w:val="1"/>
      <w:marLeft w:val="0"/>
      <w:marRight w:val="0"/>
      <w:marTop w:val="0"/>
      <w:marBottom w:val="0"/>
      <w:divBdr>
        <w:top w:val="none" w:sz="0" w:space="0" w:color="auto"/>
        <w:left w:val="none" w:sz="0" w:space="0" w:color="auto"/>
        <w:bottom w:val="none" w:sz="0" w:space="0" w:color="auto"/>
        <w:right w:val="none" w:sz="0" w:space="0" w:color="auto"/>
      </w:divBdr>
    </w:div>
    <w:div w:id="1447000648">
      <w:bodyDiv w:val="1"/>
      <w:marLeft w:val="0"/>
      <w:marRight w:val="0"/>
      <w:marTop w:val="0"/>
      <w:marBottom w:val="0"/>
      <w:divBdr>
        <w:top w:val="none" w:sz="0" w:space="0" w:color="auto"/>
        <w:left w:val="none" w:sz="0" w:space="0" w:color="auto"/>
        <w:bottom w:val="none" w:sz="0" w:space="0" w:color="auto"/>
        <w:right w:val="none" w:sz="0" w:space="0" w:color="auto"/>
      </w:divBdr>
    </w:div>
    <w:div w:id="1516458395">
      <w:bodyDiv w:val="1"/>
      <w:marLeft w:val="0"/>
      <w:marRight w:val="0"/>
      <w:marTop w:val="0"/>
      <w:marBottom w:val="0"/>
      <w:divBdr>
        <w:top w:val="none" w:sz="0" w:space="0" w:color="auto"/>
        <w:left w:val="none" w:sz="0" w:space="0" w:color="auto"/>
        <w:bottom w:val="none" w:sz="0" w:space="0" w:color="auto"/>
        <w:right w:val="none" w:sz="0" w:space="0" w:color="auto"/>
      </w:divBdr>
      <w:divsChild>
        <w:div w:id="969045670">
          <w:marLeft w:val="0"/>
          <w:marRight w:val="0"/>
          <w:marTop w:val="0"/>
          <w:marBottom w:val="0"/>
          <w:divBdr>
            <w:top w:val="none" w:sz="0" w:space="0" w:color="auto"/>
            <w:left w:val="none" w:sz="0" w:space="0" w:color="auto"/>
            <w:bottom w:val="none" w:sz="0" w:space="0" w:color="auto"/>
            <w:right w:val="none" w:sz="0" w:space="0" w:color="auto"/>
          </w:divBdr>
          <w:divsChild>
            <w:div w:id="412435135">
              <w:marLeft w:val="0"/>
              <w:marRight w:val="0"/>
              <w:marTop w:val="0"/>
              <w:marBottom w:val="0"/>
              <w:divBdr>
                <w:top w:val="none" w:sz="0" w:space="0" w:color="auto"/>
                <w:left w:val="none" w:sz="0" w:space="0" w:color="auto"/>
                <w:bottom w:val="none" w:sz="0" w:space="0" w:color="auto"/>
                <w:right w:val="none" w:sz="0" w:space="0" w:color="auto"/>
              </w:divBdr>
              <w:divsChild>
                <w:div w:id="860823228">
                  <w:marLeft w:val="0"/>
                  <w:marRight w:val="0"/>
                  <w:marTop w:val="0"/>
                  <w:marBottom w:val="0"/>
                  <w:divBdr>
                    <w:top w:val="none" w:sz="0" w:space="0" w:color="auto"/>
                    <w:left w:val="none" w:sz="0" w:space="0" w:color="auto"/>
                    <w:bottom w:val="none" w:sz="0" w:space="0" w:color="auto"/>
                    <w:right w:val="none" w:sz="0" w:space="0" w:color="auto"/>
                  </w:divBdr>
                  <w:divsChild>
                    <w:div w:id="202793165">
                      <w:marLeft w:val="0"/>
                      <w:marRight w:val="0"/>
                      <w:marTop w:val="0"/>
                      <w:marBottom w:val="0"/>
                      <w:divBdr>
                        <w:top w:val="none" w:sz="0" w:space="0" w:color="auto"/>
                        <w:left w:val="none" w:sz="0" w:space="0" w:color="auto"/>
                        <w:bottom w:val="none" w:sz="0" w:space="0" w:color="auto"/>
                        <w:right w:val="none" w:sz="0" w:space="0" w:color="auto"/>
                      </w:divBdr>
                      <w:divsChild>
                        <w:div w:id="766971265">
                          <w:marLeft w:val="0"/>
                          <w:marRight w:val="0"/>
                          <w:marTop w:val="0"/>
                          <w:marBottom w:val="0"/>
                          <w:divBdr>
                            <w:top w:val="none" w:sz="0" w:space="0" w:color="auto"/>
                            <w:left w:val="none" w:sz="0" w:space="0" w:color="auto"/>
                            <w:bottom w:val="none" w:sz="0" w:space="0" w:color="auto"/>
                            <w:right w:val="none" w:sz="0" w:space="0" w:color="auto"/>
                          </w:divBdr>
                          <w:divsChild>
                            <w:div w:id="904142438">
                              <w:marLeft w:val="0"/>
                              <w:marRight w:val="0"/>
                              <w:marTop w:val="0"/>
                              <w:marBottom w:val="0"/>
                              <w:divBdr>
                                <w:top w:val="none" w:sz="0" w:space="0" w:color="auto"/>
                                <w:left w:val="none" w:sz="0" w:space="0" w:color="auto"/>
                                <w:bottom w:val="none" w:sz="0" w:space="0" w:color="auto"/>
                                <w:right w:val="none" w:sz="0" w:space="0" w:color="auto"/>
                              </w:divBdr>
                              <w:divsChild>
                                <w:div w:id="10229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46688">
      <w:bodyDiv w:val="1"/>
      <w:marLeft w:val="0"/>
      <w:marRight w:val="0"/>
      <w:marTop w:val="0"/>
      <w:marBottom w:val="0"/>
      <w:divBdr>
        <w:top w:val="none" w:sz="0" w:space="0" w:color="auto"/>
        <w:left w:val="none" w:sz="0" w:space="0" w:color="auto"/>
        <w:bottom w:val="none" w:sz="0" w:space="0" w:color="auto"/>
        <w:right w:val="none" w:sz="0" w:space="0" w:color="auto"/>
      </w:divBdr>
      <w:divsChild>
        <w:div w:id="1008171559">
          <w:marLeft w:val="0"/>
          <w:marRight w:val="0"/>
          <w:marTop w:val="0"/>
          <w:marBottom w:val="0"/>
          <w:divBdr>
            <w:top w:val="none" w:sz="0" w:space="0" w:color="auto"/>
            <w:left w:val="none" w:sz="0" w:space="0" w:color="auto"/>
            <w:bottom w:val="none" w:sz="0" w:space="0" w:color="auto"/>
            <w:right w:val="none" w:sz="0" w:space="0" w:color="auto"/>
          </w:divBdr>
          <w:divsChild>
            <w:div w:id="1498836884">
              <w:marLeft w:val="0"/>
              <w:marRight w:val="0"/>
              <w:marTop w:val="0"/>
              <w:marBottom w:val="0"/>
              <w:divBdr>
                <w:top w:val="none" w:sz="0" w:space="0" w:color="auto"/>
                <w:left w:val="none" w:sz="0" w:space="0" w:color="auto"/>
                <w:bottom w:val="none" w:sz="0" w:space="0" w:color="auto"/>
                <w:right w:val="none" w:sz="0" w:space="0" w:color="auto"/>
              </w:divBdr>
              <w:divsChild>
                <w:div w:id="1031609555">
                  <w:marLeft w:val="0"/>
                  <w:marRight w:val="0"/>
                  <w:marTop w:val="0"/>
                  <w:marBottom w:val="0"/>
                  <w:divBdr>
                    <w:top w:val="none" w:sz="0" w:space="0" w:color="auto"/>
                    <w:left w:val="none" w:sz="0" w:space="0" w:color="auto"/>
                    <w:bottom w:val="none" w:sz="0" w:space="0" w:color="auto"/>
                    <w:right w:val="none" w:sz="0" w:space="0" w:color="auto"/>
                  </w:divBdr>
                  <w:divsChild>
                    <w:div w:id="1040665330">
                      <w:marLeft w:val="0"/>
                      <w:marRight w:val="0"/>
                      <w:marTop w:val="0"/>
                      <w:marBottom w:val="0"/>
                      <w:divBdr>
                        <w:top w:val="none" w:sz="0" w:space="0" w:color="auto"/>
                        <w:left w:val="none" w:sz="0" w:space="0" w:color="auto"/>
                        <w:bottom w:val="none" w:sz="0" w:space="0" w:color="auto"/>
                        <w:right w:val="none" w:sz="0" w:space="0" w:color="auto"/>
                      </w:divBdr>
                      <w:divsChild>
                        <w:div w:id="692145532">
                          <w:marLeft w:val="0"/>
                          <w:marRight w:val="0"/>
                          <w:marTop w:val="0"/>
                          <w:marBottom w:val="0"/>
                          <w:divBdr>
                            <w:top w:val="none" w:sz="0" w:space="0" w:color="auto"/>
                            <w:left w:val="none" w:sz="0" w:space="0" w:color="auto"/>
                            <w:bottom w:val="none" w:sz="0" w:space="0" w:color="auto"/>
                            <w:right w:val="none" w:sz="0" w:space="0" w:color="auto"/>
                          </w:divBdr>
                          <w:divsChild>
                            <w:div w:id="1240751171">
                              <w:marLeft w:val="0"/>
                              <w:marRight w:val="0"/>
                              <w:marTop w:val="0"/>
                              <w:marBottom w:val="0"/>
                              <w:divBdr>
                                <w:top w:val="none" w:sz="0" w:space="0" w:color="auto"/>
                                <w:left w:val="none" w:sz="0" w:space="0" w:color="auto"/>
                                <w:bottom w:val="none" w:sz="0" w:space="0" w:color="auto"/>
                                <w:right w:val="none" w:sz="0" w:space="0" w:color="auto"/>
                              </w:divBdr>
                              <w:divsChild>
                                <w:div w:id="7784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79364">
      <w:bodyDiv w:val="1"/>
      <w:marLeft w:val="0"/>
      <w:marRight w:val="0"/>
      <w:marTop w:val="0"/>
      <w:marBottom w:val="0"/>
      <w:divBdr>
        <w:top w:val="none" w:sz="0" w:space="0" w:color="auto"/>
        <w:left w:val="none" w:sz="0" w:space="0" w:color="auto"/>
        <w:bottom w:val="none" w:sz="0" w:space="0" w:color="auto"/>
        <w:right w:val="none" w:sz="0" w:space="0" w:color="auto"/>
      </w:divBdr>
    </w:div>
    <w:div w:id="1942256741">
      <w:bodyDiv w:val="1"/>
      <w:marLeft w:val="0"/>
      <w:marRight w:val="0"/>
      <w:marTop w:val="0"/>
      <w:marBottom w:val="0"/>
      <w:divBdr>
        <w:top w:val="none" w:sz="0" w:space="0" w:color="auto"/>
        <w:left w:val="none" w:sz="0" w:space="0" w:color="auto"/>
        <w:bottom w:val="none" w:sz="0" w:space="0" w:color="auto"/>
        <w:right w:val="none" w:sz="0" w:space="0" w:color="auto"/>
      </w:divBdr>
    </w:div>
    <w:div w:id="1979803927">
      <w:bodyDiv w:val="1"/>
      <w:marLeft w:val="0"/>
      <w:marRight w:val="0"/>
      <w:marTop w:val="0"/>
      <w:marBottom w:val="0"/>
      <w:divBdr>
        <w:top w:val="none" w:sz="0" w:space="0" w:color="auto"/>
        <w:left w:val="none" w:sz="0" w:space="0" w:color="auto"/>
        <w:bottom w:val="none" w:sz="0" w:space="0" w:color="auto"/>
        <w:right w:val="none" w:sz="0" w:space="0" w:color="auto"/>
      </w:divBdr>
    </w:div>
    <w:div w:id="2001427459">
      <w:bodyDiv w:val="1"/>
      <w:marLeft w:val="0"/>
      <w:marRight w:val="0"/>
      <w:marTop w:val="0"/>
      <w:marBottom w:val="0"/>
      <w:divBdr>
        <w:top w:val="none" w:sz="0" w:space="0" w:color="auto"/>
        <w:left w:val="none" w:sz="0" w:space="0" w:color="auto"/>
        <w:bottom w:val="none" w:sz="0" w:space="0" w:color="auto"/>
        <w:right w:val="none" w:sz="0" w:space="0" w:color="auto"/>
      </w:divBdr>
    </w:div>
    <w:div w:id="2038699649">
      <w:bodyDiv w:val="1"/>
      <w:marLeft w:val="0"/>
      <w:marRight w:val="0"/>
      <w:marTop w:val="0"/>
      <w:marBottom w:val="0"/>
      <w:divBdr>
        <w:top w:val="none" w:sz="0" w:space="0" w:color="auto"/>
        <w:left w:val="none" w:sz="0" w:space="0" w:color="auto"/>
        <w:bottom w:val="none" w:sz="0" w:space="0" w:color="auto"/>
        <w:right w:val="none" w:sz="0" w:space="0" w:color="auto"/>
      </w:divBdr>
      <w:divsChild>
        <w:div w:id="617446442">
          <w:marLeft w:val="0"/>
          <w:marRight w:val="0"/>
          <w:marTop w:val="0"/>
          <w:marBottom w:val="0"/>
          <w:divBdr>
            <w:top w:val="none" w:sz="0" w:space="0" w:color="auto"/>
            <w:left w:val="none" w:sz="0" w:space="0" w:color="auto"/>
            <w:bottom w:val="none" w:sz="0" w:space="0" w:color="auto"/>
            <w:right w:val="none" w:sz="0" w:space="0" w:color="auto"/>
          </w:divBdr>
          <w:divsChild>
            <w:div w:id="1067263546">
              <w:marLeft w:val="0"/>
              <w:marRight w:val="0"/>
              <w:marTop w:val="0"/>
              <w:marBottom w:val="0"/>
              <w:divBdr>
                <w:top w:val="none" w:sz="0" w:space="0" w:color="auto"/>
                <w:left w:val="none" w:sz="0" w:space="0" w:color="auto"/>
                <w:bottom w:val="none" w:sz="0" w:space="0" w:color="auto"/>
                <w:right w:val="none" w:sz="0" w:space="0" w:color="auto"/>
              </w:divBdr>
              <w:divsChild>
                <w:div w:id="780490136">
                  <w:marLeft w:val="0"/>
                  <w:marRight w:val="0"/>
                  <w:marTop w:val="0"/>
                  <w:marBottom w:val="0"/>
                  <w:divBdr>
                    <w:top w:val="none" w:sz="0" w:space="0" w:color="auto"/>
                    <w:left w:val="none" w:sz="0" w:space="0" w:color="auto"/>
                    <w:bottom w:val="none" w:sz="0" w:space="0" w:color="auto"/>
                    <w:right w:val="none" w:sz="0" w:space="0" w:color="auto"/>
                  </w:divBdr>
                  <w:divsChild>
                    <w:div w:id="1113791358">
                      <w:marLeft w:val="0"/>
                      <w:marRight w:val="0"/>
                      <w:marTop w:val="0"/>
                      <w:marBottom w:val="0"/>
                      <w:divBdr>
                        <w:top w:val="none" w:sz="0" w:space="0" w:color="auto"/>
                        <w:left w:val="none" w:sz="0" w:space="0" w:color="auto"/>
                        <w:bottom w:val="none" w:sz="0" w:space="0" w:color="auto"/>
                        <w:right w:val="none" w:sz="0" w:space="0" w:color="auto"/>
                      </w:divBdr>
                      <w:divsChild>
                        <w:div w:id="657458245">
                          <w:marLeft w:val="0"/>
                          <w:marRight w:val="0"/>
                          <w:marTop w:val="0"/>
                          <w:marBottom w:val="0"/>
                          <w:divBdr>
                            <w:top w:val="none" w:sz="0" w:space="0" w:color="auto"/>
                            <w:left w:val="none" w:sz="0" w:space="0" w:color="auto"/>
                            <w:bottom w:val="none" w:sz="0" w:space="0" w:color="auto"/>
                            <w:right w:val="none" w:sz="0" w:space="0" w:color="auto"/>
                          </w:divBdr>
                          <w:divsChild>
                            <w:div w:id="1360548197">
                              <w:marLeft w:val="0"/>
                              <w:marRight w:val="0"/>
                              <w:marTop w:val="0"/>
                              <w:marBottom w:val="0"/>
                              <w:divBdr>
                                <w:top w:val="none" w:sz="0" w:space="0" w:color="auto"/>
                                <w:left w:val="none" w:sz="0" w:space="0" w:color="auto"/>
                                <w:bottom w:val="none" w:sz="0" w:space="0" w:color="auto"/>
                                <w:right w:val="none" w:sz="0" w:space="0" w:color="auto"/>
                              </w:divBdr>
                              <w:divsChild>
                                <w:div w:id="12542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pc.wa.gov.au/lantu/south-west-native-title-settlement/Noongar-Recognition-Act-2016/Pages/defaul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pc.wa.gov.au/lantu/south-west-native-title-settlement/Pages/Water-By-Law-Amendments.aspx" TargetMode="External"/><Relationship Id="rId17" Type="http://schemas.openxmlformats.org/officeDocument/2006/relationships/hyperlink" Target="mailto:Jeremy.Elliott@daa.wa.gov.au" TargetMode="External"/><Relationship Id="rId2" Type="http://schemas.openxmlformats.org/officeDocument/2006/relationships/customXml" Target="../customXml/item2.xml"/><Relationship Id="rId16" Type="http://schemas.openxmlformats.org/officeDocument/2006/relationships/hyperlink" Target="https://www.dpc.wa.gov.au/lantu/south-west-native-title-settlement/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pc.wa.gov.au/lantu/south-west-native-title-settlement/Noongar-Standard-Heritage-Agreement/Pages/default.aspx" TargetMode="External"/><Relationship Id="rId5" Type="http://schemas.openxmlformats.org/officeDocument/2006/relationships/numbering" Target="numbering.xml"/><Relationship Id="rId15" Type="http://schemas.openxmlformats.org/officeDocument/2006/relationships/hyperlink" Target="mailto:southwestsettlement@dpc.wa.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c.wa.gov.au/lantu/south-west-native-title-settlement/Pages/Noongar-Corporation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2D79-C222-4846-9BEB-7924B947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E2F95-5F32-4B3F-BE97-338927BCB0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D29D765-FE89-49A1-896B-DCEC7EC1AC0D}">
  <ds:schemaRefs>
    <ds:schemaRef ds:uri="http://schemas.microsoft.com/sharepoint/v3/contenttype/forms"/>
  </ds:schemaRefs>
</ds:datastoreItem>
</file>

<file path=customXml/itemProps4.xml><?xml version="1.0" encoding="utf-8"?>
<ds:datastoreItem xmlns:ds="http://schemas.openxmlformats.org/officeDocument/2006/customXml" ds:itemID="{5A089573-0791-4A94-AE22-F388EC5C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6304</Characters>
  <Application>Microsoft Office Word</Application>
  <DocSecurity>12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DPC/PSC</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Elder, Angela</dc:creator>
  <cp:lastModifiedBy>Adolph, Fiona</cp:lastModifiedBy>
  <cp:revision>2</cp:revision>
  <cp:lastPrinted>2017-05-12T03:28:00Z</cp:lastPrinted>
  <dcterms:created xsi:type="dcterms:W3CDTF">2019-04-17T04:24:00Z</dcterms:created>
  <dcterms:modified xsi:type="dcterms:W3CDTF">2019-04-17T04:24:00Z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-230980559</vt:i4>
  </property>
  <property fmtid="{D5CDD505-2E9C-101B-9397-08002B2CF9AE}" pid="3" name="_NewReviewCycle">
    <vt:lpwstr/>
  </property>
  <property fmtid="{D5CDD505-2E9C-101B-9397-08002B2CF9AE}" pid="4" name="_EmailSubject">
    <vt:lpwstr>amendment</vt:lpwstr>
  </property>
  <property fmtid="{D5CDD505-2E9C-101B-9397-08002B2CF9AE}" pid="5" name="_AuthorEmail">
    <vt:lpwstr>Sarah.Charbonneau@dpc.wa.gov.au</vt:lpwstr>
  </property>
  <property fmtid="{D5CDD505-2E9C-101B-9397-08002B2CF9AE}" pid="6" name="_AuthorEmailDisplayName">
    <vt:lpwstr>Charbonneau, Sarah</vt:lpwstr>
  </property>
  <property fmtid="{D5CDD505-2E9C-101B-9397-08002B2CF9AE}" pid="7" name="_PreviousAdHocReviewCycleID">
    <vt:i4>-1225657589</vt:i4>
  </property>
  <property fmtid="{D5CDD505-2E9C-101B-9397-08002B2CF9AE}" pid="8" name="_ReviewingToolsShownOnce">
    <vt:lpwstr/>
  </property>
  <property fmtid="{D5CDD505-2E9C-101B-9397-08002B2CF9AE}" pid="9" name="ContentTypeId">
    <vt:lpwstr>0x010100B9A9C3AF00DDDD48948368C640BEDD83</vt:lpwstr>
  </property>
</Properties>
</file>