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B2" w:rsidRDefault="00B13AB2" w:rsidP="00B13AB2">
      <w:pPr>
        <w:spacing w:line="240" w:lineRule="auto"/>
        <w:jc w:val="center"/>
        <w:rPr>
          <w:rFonts w:ascii="Arial-BoldMT" w:hAnsi="Arial-BoldMT" w:cs="Arial-BoldMT"/>
          <w:b/>
          <w:bCs/>
          <w:color w:val="00476C"/>
          <w:sz w:val="100"/>
          <w:szCs w:val="100"/>
        </w:rPr>
      </w:pPr>
      <w:bookmarkStart w:id="0" w:name="_GoBack"/>
      <w:bookmarkEnd w:id="0"/>
      <w:r>
        <w:rPr>
          <w:rFonts w:ascii="Arial-BoldMT" w:hAnsi="Arial-BoldMT" w:cs="Arial-BoldMT"/>
          <w:b/>
          <w:bCs/>
          <w:color w:val="00476C"/>
          <w:sz w:val="100"/>
          <w:szCs w:val="100"/>
        </w:rPr>
        <w:t xml:space="preserve">The South West Native Title Settlement </w:t>
      </w:r>
    </w:p>
    <w:p w:rsidR="00B13AB2" w:rsidRDefault="00B13AB2" w:rsidP="00B13AB2">
      <w:pPr>
        <w:spacing w:after="0" w:line="240" w:lineRule="auto"/>
        <w:rPr>
          <w:rFonts w:cs="Arial"/>
          <w:iCs/>
        </w:rPr>
      </w:pPr>
    </w:p>
    <w:p w:rsidR="00B13AB2" w:rsidRDefault="00B13AB2" w:rsidP="00B13AB2">
      <w:pPr>
        <w:spacing w:after="0" w:line="240" w:lineRule="auto"/>
        <w:jc w:val="center"/>
        <w:rPr>
          <w:rFonts w:cs="Arial"/>
          <w:iCs/>
        </w:rPr>
      </w:pPr>
    </w:p>
    <w:p w:rsidR="00B13AB2" w:rsidRDefault="00B13AB2" w:rsidP="00B13AB2">
      <w:pPr>
        <w:spacing w:after="0" w:line="240" w:lineRule="auto"/>
        <w:jc w:val="center"/>
        <w:rPr>
          <w:rFonts w:cs="Arial"/>
          <w:iCs/>
        </w:rPr>
      </w:pPr>
    </w:p>
    <w:p w:rsidR="00B13AB2" w:rsidRPr="00FF64BC" w:rsidRDefault="00B13AB2" w:rsidP="00FF64BC">
      <w:pPr>
        <w:spacing w:after="0" w:line="240" w:lineRule="auto"/>
        <w:jc w:val="center"/>
        <w:rPr>
          <w:rFonts w:ascii="ArialMT" w:hAnsi="ArialMT" w:cs="ArialMT"/>
          <w:color w:val="C75928"/>
          <w:sz w:val="48"/>
          <w:szCs w:val="48"/>
        </w:rPr>
      </w:pPr>
    </w:p>
    <w:p w:rsidR="007F5760" w:rsidRDefault="00FD6C63" w:rsidP="00FD6C63">
      <w:pPr>
        <w:spacing w:line="240" w:lineRule="auto"/>
        <w:jc w:val="center"/>
        <w:rPr>
          <w:rFonts w:ascii="Arial-BoldMT" w:hAnsi="Arial-BoldMT" w:cs="Arial-BoldMT"/>
          <w:b/>
          <w:bCs/>
          <w:color w:val="00476C"/>
          <w:sz w:val="100"/>
          <w:szCs w:val="100"/>
        </w:rPr>
      </w:pPr>
      <w:r>
        <w:rPr>
          <w:rFonts w:ascii="Arial-BoldMT" w:hAnsi="Arial-BoldMT" w:cs="Arial-BoldMT"/>
          <w:b/>
          <w:bCs/>
          <w:color w:val="00476C"/>
          <w:sz w:val="100"/>
          <w:szCs w:val="100"/>
        </w:rPr>
        <w:t>Noongar Boodja</w:t>
      </w:r>
    </w:p>
    <w:p w:rsidR="00FD6C63" w:rsidRDefault="00FD6C63" w:rsidP="00FD6C63">
      <w:pPr>
        <w:spacing w:line="240" w:lineRule="auto"/>
        <w:jc w:val="center"/>
        <w:rPr>
          <w:rFonts w:ascii="Arial-BoldMT" w:hAnsi="Arial-BoldMT" w:cs="Arial-BoldMT"/>
          <w:b/>
          <w:bCs/>
          <w:color w:val="00476C"/>
          <w:sz w:val="100"/>
          <w:szCs w:val="100"/>
        </w:rPr>
      </w:pPr>
      <w:r>
        <w:rPr>
          <w:rFonts w:ascii="Arial-BoldMT" w:hAnsi="Arial-BoldMT" w:cs="Arial-BoldMT"/>
          <w:b/>
          <w:bCs/>
          <w:color w:val="00476C"/>
          <w:sz w:val="100"/>
          <w:szCs w:val="100"/>
        </w:rPr>
        <w:t>Trust</w:t>
      </w:r>
      <w:r w:rsidR="007F5760">
        <w:rPr>
          <w:rFonts w:ascii="Arial-BoldMT" w:hAnsi="Arial-BoldMT" w:cs="Arial-BoldMT"/>
          <w:b/>
          <w:bCs/>
          <w:color w:val="00476C"/>
          <w:sz w:val="100"/>
          <w:szCs w:val="100"/>
        </w:rPr>
        <w:t>ee Selection</w:t>
      </w:r>
      <w:r>
        <w:rPr>
          <w:rFonts w:ascii="Arial-BoldMT" w:hAnsi="Arial-BoldMT" w:cs="Arial-BoldMT"/>
          <w:b/>
          <w:bCs/>
          <w:color w:val="00476C"/>
          <w:sz w:val="100"/>
          <w:szCs w:val="100"/>
        </w:rPr>
        <w:t xml:space="preserve"> </w:t>
      </w:r>
    </w:p>
    <w:p w:rsidR="00FF64BC" w:rsidRDefault="00FF64BC" w:rsidP="00FD6C63">
      <w:pPr>
        <w:spacing w:line="240" w:lineRule="auto"/>
        <w:jc w:val="center"/>
        <w:rPr>
          <w:rFonts w:ascii="ArialMT" w:hAnsi="ArialMT" w:cs="ArialMT"/>
          <w:color w:val="C75928"/>
          <w:sz w:val="48"/>
          <w:szCs w:val="48"/>
        </w:rPr>
      </w:pPr>
    </w:p>
    <w:p w:rsidR="00FD6C63" w:rsidRDefault="00FF64BC" w:rsidP="003F4437">
      <w:pPr>
        <w:spacing w:after="0" w:line="240" w:lineRule="auto"/>
        <w:jc w:val="center"/>
        <w:rPr>
          <w:rFonts w:cs="Arial"/>
          <w:iCs/>
        </w:rPr>
      </w:pPr>
      <w:r>
        <w:rPr>
          <w:rFonts w:ascii="ArialMT" w:hAnsi="ArialMT" w:cs="ArialMT"/>
          <w:color w:val="C75928"/>
          <w:sz w:val="48"/>
          <w:szCs w:val="48"/>
        </w:rPr>
        <w:t>Newsletter September 2015</w:t>
      </w:r>
    </w:p>
    <w:p w:rsidR="00FD6C63" w:rsidRDefault="00FD6C63" w:rsidP="00FD6C63">
      <w:pPr>
        <w:spacing w:after="0" w:line="240" w:lineRule="auto"/>
        <w:jc w:val="center"/>
        <w:rPr>
          <w:rFonts w:cs="Arial"/>
          <w:iCs/>
        </w:rPr>
      </w:pPr>
    </w:p>
    <w:p w:rsidR="00FD6C63" w:rsidRDefault="00FD6C63" w:rsidP="00FD6C63">
      <w:pPr>
        <w:spacing w:after="0" w:line="240" w:lineRule="auto"/>
        <w:jc w:val="center"/>
        <w:rPr>
          <w:rFonts w:cs="Arial"/>
          <w:iCs/>
        </w:rPr>
      </w:pPr>
    </w:p>
    <w:p w:rsidR="00E96FB9" w:rsidRDefault="00FD6C63" w:rsidP="00FD6C63">
      <w:pPr>
        <w:spacing w:after="0" w:line="240" w:lineRule="auto"/>
        <w:jc w:val="center"/>
        <w:rPr>
          <w:rFonts w:ascii="ArialMT" w:hAnsi="ArialMT" w:cs="ArialMT"/>
          <w:color w:val="C75928"/>
          <w:sz w:val="48"/>
          <w:szCs w:val="48"/>
        </w:rPr>
      </w:pPr>
      <w:r w:rsidRPr="007D0F28">
        <w:rPr>
          <w:rFonts w:cs="Arial"/>
          <w:iCs/>
        </w:rPr>
        <w:br/>
      </w:r>
    </w:p>
    <w:p w:rsidR="00FD6C63" w:rsidRDefault="00FD6C63" w:rsidP="00FD6C63">
      <w:pPr>
        <w:spacing w:line="240" w:lineRule="auto"/>
        <w:jc w:val="center"/>
        <w:rPr>
          <w:rFonts w:cs="Arial"/>
          <w:iCs/>
        </w:rPr>
      </w:pPr>
    </w:p>
    <w:p w:rsidR="0022673E" w:rsidRDefault="0022673E" w:rsidP="00FF64BC">
      <w:pPr>
        <w:spacing w:after="0" w:line="240" w:lineRule="auto"/>
        <w:jc w:val="center"/>
        <w:rPr>
          <w:rFonts w:cs="Arial"/>
          <w:iCs/>
        </w:rPr>
      </w:pPr>
    </w:p>
    <w:p w:rsidR="0022673E" w:rsidRDefault="0022673E" w:rsidP="00FD6C63">
      <w:pPr>
        <w:spacing w:line="240" w:lineRule="auto"/>
        <w:jc w:val="center"/>
        <w:rPr>
          <w:rFonts w:cs="Arial"/>
          <w:iCs/>
        </w:rPr>
      </w:pPr>
    </w:p>
    <w:p w:rsidR="0022673E" w:rsidRDefault="0022673E" w:rsidP="00FD6C63">
      <w:pPr>
        <w:spacing w:line="240" w:lineRule="auto"/>
        <w:jc w:val="center"/>
        <w:rPr>
          <w:rFonts w:cs="Arial"/>
          <w:iCs/>
        </w:rPr>
      </w:pPr>
    </w:p>
    <w:p w:rsidR="0005031B" w:rsidRDefault="0005031B" w:rsidP="0005031B">
      <w:pPr>
        <w:spacing w:line="240" w:lineRule="auto"/>
        <w:jc w:val="center"/>
        <w:rPr>
          <w:rFonts w:ascii="ArialMT" w:hAnsi="ArialMT" w:cs="ArialMT"/>
          <w:color w:val="C75928"/>
          <w:sz w:val="48"/>
          <w:szCs w:val="48"/>
        </w:rPr>
      </w:pPr>
      <w:r>
        <w:rPr>
          <w:rFonts w:ascii="ArialMT" w:hAnsi="ArialMT" w:cs="ArialMT"/>
          <w:color w:val="C75928"/>
          <w:sz w:val="48"/>
          <w:szCs w:val="48"/>
        </w:rPr>
        <w:t xml:space="preserve">South West Native Title Settlement  </w:t>
      </w:r>
    </w:p>
    <w:p w:rsidR="0005031B" w:rsidRPr="009C3EED" w:rsidRDefault="0005031B" w:rsidP="0005031B">
      <w:pPr>
        <w:spacing w:line="240" w:lineRule="auto"/>
        <w:jc w:val="center"/>
        <w:rPr>
          <w:rFonts w:cs="Arial"/>
          <w:iCs/>
        </w:rPr>
      </w:pPr>
      <w:r>
        <w:rPr>
          <w:rFonts w:ascii="ArialMT" w:hAnsi="ArialMT" w:cs="ArialMT"/>
          <w:color w:val="C75928"/>
          <w:sz w:val="48"/>
          <w:szCs w:val="48"/>
        </w:rPr>
        <w:lastRenderedPageBreak/>
        <w:t>Current Status</w:t>
      </w:r>
    </w:p>
    <w:p w:rsidR="00B13AB2" w:rsidRDefault="00A113D8" w:rsidP="0005031B">
      <w:pPr>
        <w:spacing w:after="0" w:line="240" w:lineRule="auto"/>
        <w:jc w:val="both"/>
        <w:rPr>
          <w:rFonts w:ascii="Arial" w:hAnsi="Arial" w:cs="Arial"/>
          <w:iCs/>
          <w:sz w:val="24"/>
          <w:szCs w:val="24"/>
        </w:rPr>
      </w:pPr>
      <w:r>
        <w:rPr>
          <w:rFonts w:ascii="Arial" w:hAnsi="Arial" w:cs="Arial"/>
          <w:sz w:val="24"/>
          <w:szCs w:val="24"/>
        </w:rPr>
        <w:t>B</w:t>
      </w:r>
      <w:r w:rsidRPr="003B7BED">
        <w:rPr>
          <w:rFonts w:ascii="Arial" w:hAnsi="Arial" w:cs="Arial"/>
          <w:sz w:val="24"/>
          <w:szCs w:val="24"/>
        </w:rPr>
        <w:t>etween January and March 2015</w:t>
      </w:r>
      <w:r>
        <w:rPr>
          <w:rFonts w:ascii="Arial" w:hAnsi="Arial" w:cs="Arial"/>
          <w:sz w:val="24"/>
          <w:szCs w:val="24"/>
        </w:rPr>
        <w:t xml:space="preserve"> </w:t>
      </w:r>
      <w:r>
        <w:rPr>
          <w:rFonts w:ascii="Arial" w:hAnsi="Arial" w:cs="Arial"/>
          <w:iCs/>
          <w:sz w:val="24"/>
          <w:szCs w:val="24"/>
        </w:rPr>
        <w:t>t</w:t>
      </w:r>
      <w:r w:rsidRPr="003B7BED">
        <w:rPr>
          <w:rFonts w:ascii="Arial" w:hAnsi="Arial" w:cs="Arial"/>
          <w:iCs/>
          <w:sz w:val="24"/>
          <w:szCs w:val="24"/>
        </w:rPr>
        <w:t xml:space="preserve">he </w:t>
      </w:r>
      <w:r w:rsidR="00990C4C">
        <w:rPr>
          <w:rFonts w:ascii="Arial" w:hAnsi="Arial" w:cs="Arial"/>
          <w:iCs/>
          <w:sz w:val="24"/>
          <w:szCs w:val="24"/>
        </w:rPr>
        <w:t xml:space="preserve">South West Native Title Settlement (Settlement) </w:t>
      </w:r>
      <w:r w:rsidR="00990C4C" w:rsidRPr="009D7DAF">
        <w:rPr>
          <w:rFonts w:ascii="Arial" w:hAnsi="Arial" w:cs="Arial"/>
          <w:iCs/>
          <w:sz w:val="24"/>
          <w:szCs w:val="24"/>
        </w:rPr>
        <w:t>I</w:t>
      </w:r>
      <w:r w:rsidR="00990C4C">
        <w:rPr>
          <w:rFonts w:ascii="Arial" w:hAnsi="Arial" w:cs="Arial"/>
          <w:iCs/>
          <w:sz w:val="24"/>
          <w:szCs w:val="24"/>
        </w:rPr>
        <w:t xml:space="preserve">ndigenous </w:t>
      </w:r>
      <w:r w:rsidR="00990C4C" w:rsidRPr="009D7DAF">
        <w:rPr>
          <w:rFonts w:ascii="Arial" w:hAnsi="Arial" w:cs="Arial"/>
          <w:iCs/>
          <w:sz w:val="24"/>
          <w:szCs w:val="24"/>
        </w:rPr>
        <w:t>L</w:t>
      </w:r>
      <w:r w:rsidR="00990C4C">
        <w:rPr>
          <w:rFonts w:ascii="Arial" w:hAnsi="Arial" w:cs="Arial"/>
          <w:iCs/>
          <w:sz w:val="24"/>
          <w:szCs w:val="24"/>
        </w:rPr>
        <w:t xml:space="preserve">and </w:t>
      </w:r>
      <w:r w:rsidR="00990C4C" w:rsidRPr="009D7DAF">
        <w:rPr>
          <w:rFonts w:ascii="Arial" w:hAnsi="Arial" w:cs="Arial"/>
          <w:iCs/>
          <w:sz w:val="24"/>
          <w:szCs w:val="24"/>
        </w:rPr>
        <w:t>U</w:t>
      </w:r>
      <w:r w:rsidR="00990C4C">
        <w:rPr>
          <w:rFonts w:ascii="Arial" w:hAnsi="Arial" w:cs="Arial"/>
          <w:iCs/>
          <w:sz w:val="24"/>
          <w:szCs w:val="24"/>
        </w:rPr>
        <w:t xml:space="preserve">se </w:t>
      </w:r>
      <w:r w:rsidR="00990C4C" w:rsidRPr="009D7DAF">
        <w:rPr>
          <w:rFonts w:ascii="Arial" w:hAnsi="Arial" w:cs="Arial"/>
          <w:iCs/>
          <w:sz w:val="24"/>
          <w:szCs w:val="24"/>
        </w:rPr>
        <w:t>A</w:t>
      </w:r>
      <w:r w:rsidR="00990C4C">
        <w:rPr>
          <w:rFonts w:ascii="Arial" w:hAnsi="Arial" w:cs="Arial"/>
          <w:iCs/>
          <w:sz w:val="24"/>
          <w:szCs w:val="24"/>
        </w:rPr>
        <w:t>greement</w:t>
      </w:r>
      <w:r w:rsidR="00990C4C" w:rsidRPr="009D7DAF">
        <w:rPr>
          <w:rFonts w:ascii="Arial" w:hAnsi="Arial" w:cs="Arial"/>
          <w:iCs/>
          <w:sz w:val="24"/>
          <w:szCs w:val="24"/>
        </w:rPr>
        <w:t>s</w:t>
      </w:r>
      <w:r w:rsidR="00990C4C">
        <w:rPr>
          <w:rFonts w:ascii="Arial" w:hAnsi="Arial" w:cs="Arial"/>
          <w:iCs/>
          <w:sz w:val="24"/>
          <w:szCs w:val="24"/>
        </w:rPr>
        <w:t xml:space="preserve"> (ILUAs)</w:t>
      </w:r>
      <w:r w:rsidRPr="003B7BED">
        <w:rPr>
          <w:rFonts w:ascii="Arial" w:hAnsi="Arial" w:cs="Arial"/>
          <w:iCs/>
          <w:sz w:val="24"/>
          <w:szCs w:val="24"/>
        </w:rPr>
        <w:t xml:space="preserve"> were authorised by all 6 claimants groups</w:t>
      </w:r>
      <w:r w:rsidR="00990C4C">
        <w:rPr>
          <w:rFonts w:ascii="Arial" w:hAnsi="Arial" w:cs="Arial"/>
          <w:iCs/>
          <w:sz w:val="24"/>
          <w:szCs w:val="24"/>
        </w:rPr>
        <w:t>.</w:t>
      </w:r>
      <w:r w:rsidRPr="009D7DAF">
        <w:rPr>
          <w:rFonts w:ascii="Arial" w:hAnsi="Arial" w:cs="Arial"/>
          <w:iCs/>
          <w:sz w:val="24"/>
          <w:szCs w:val="24"/>
        </w:rPr>
        <w:t xml:space="preserve"> </w:t>
      </w:r>
      <w:r w:rsidR="0005031B" w:rsidRPr="009D7DAF">
        <w:rPr>
          <w:rFonts w:ascii="Arial" w:hAnsi="Arial" w:cs="Arial"/>
          <w:iCs/>
          <w:sz w:val="24"/>
          <w:szCs w:val="24"/>
        </w:rPr>
        <w:t>On 8 June 2015</w:t>
      </w:r>
      <w:r w:rsidR="003B7BED">
        <w:rPr>
          <w:rFonts w:ascii="Arial" w:hAnsi="Arial" w:cs="Arial"/>
          <w:iCs/>
          <w:sz w:val="24"/>
          <w:szCs w:val="24"/>
        </w:rPr>
        <w:t>,</w:t>
      </w:r>
      <w:r w:rsidR="0005031B" w:rsidRPr="009D7DAF">
        <w:rPr>
          <w:rFonts w:ascii="Arial" w:hAnsi="Arial" w:cs="Arial"/>
          <w:iCs/>
          <w:sz w:val="24"/>
          <w:szCs w:val="24"/>
        </w:rPr>
        <w:t xml:space="preserve"> the Government </w:t>
      </w:r>
      <w:r w:rsidR="00B13AB2">
        <w:rPr>
          <w:rFonts w:ascii="Arial" w:hAnsi="Arial" w:cs="Arial"/>
          <w:iCs/>
          <w:sz w:val="24"/>
          <w:szCs w:val="24"/>
        </w:rPr>
        <w:t xml:space="preserve">of Western Australia (WA Government) </w:t>
      </w:r>
      <w:r w:rsidR="0005031B" w:rsidRPr="009D7DAF">
        <w:rPr>
          <w:rFonts w:ascii="Arial" w:hAnsi="Arial" w:cs="Arial"/>
          <w:iCs/>
          <w:sz w:val="24"/>
          <w:szCs w:val="24"/>
        </w:rPr>
        <w:t xml:space="preserve">executed </w:t>
      </w:r>
      <w:r w:rsidR="0069147E" w:rsidRPr="009D7DAF">
        <w:rPr>
          <w:rFonts w:ascii="Arial" w:hAnsi="Arial" w:cs="Arial"/>
          <w:iCs/>
          <w:sz w:val="24"/>
          <w:szCs w:val="24"/>
        </w:rPr>
        <w:t>t</w:t>
      </w:r>
      <w:r w:rsidR="0005031B" w:rsidRPr="009D7DAF">
        <w:rPr>
          <w:rFonts w:ascii="Arial" w:hAnsi="Arial" w:cs="Arial"/>
          <w:iCs/>
          <w:sz w:val="24"/>
          <w:szCs w:val="24"/>
        </w:rPr>
        <w:t>he</w:t>
      </w:r>
      <w:r w:rsidR="00990C4C">
        <w:rPr>
          <w:rFonts w:ascii="Arial" w:hAnsi="Arial" w:cs="Arial"/>
          <w:iCs/>
          <w:sz w:val="24"/>
          <w:szCs w:val="24"/>
        </w:rPr>
        <w:t xml:space="preserve"> ILUAs. As a result</w:t>
      </w:r>
      <w:r w:rsidR="003B7BED">
        <w:t xml:space="preserve"> </w:t>
      </w:r>
      <w:r w:rsidR="00990C4C">
        <w:rPr>
          <w:rFonts w:ascii="Arial" w:hAnsi="Arial" w:cs="Arial"/>
          <w:iCs/>
          <w:sz w:val="24"/>
          <w:szCs w:val="24"/>
        </w:rPr>
        <w:t>t</w:t>
      </w:r>
      <w:r w:rsidR="00B13AB2">
        <w:rPr>
          <w:rFonts w:ascii="Arial" w:hAnsi="Arial" w:cs="Arial"/>
          <w:iCs/>
          <w:sz w:val="24"/>
          <w:szCs w:val="24"/>
        </w:rPr>
        <w:t>he ILUAs have</w:t>
      </w:r>
      <w:r w:rsidR="00990C4C">
        <w:rPr>
          <w:rFonts w:ascii="Arial" w:hAnsi="Arial" w:cs="Arial"/>
          <w:iCs/>
          <w:sz w:val="24"/>
          <w:szCs w:val="24"/>
        </w:rPr>
        <w:t xml:space="preserve"> now</w:t>
      </w:r>
      <w:r w:rsidR="00B13AB2">
        <w:rPr>
          <w:rFonts w:ascii="Arial" w:hAnsi="Arial" w:cs="Arial"/>
          <w:iCs/>
          <w:sz w:val="24"/>
          <w:szCs w:val="24"/>
        </w:rPr>
        <w:t xml:space="preserve"> been</w:t>
      </w:r>
      <w:r w:rsidR="0005031B" w:rsidRPr="009D7DAF">
        <w:rPr>
          <w:rFonts w:ascii="Arial" w:hAnsi="Arial" w:cs="Arial"/>
          <w:iCs/>
          <w:sz w:val="24"/>
          <w:szCs w:val="24"/>
        </w:rPr>
        <w:t xml:space="preserve"> lodged</w:t>
      </w:r>
      <w:r w:rsidR="007F5760">
        <w:rPr>
          <w:rFonts w:ascii="Arial" w:hAnsi="Arial" w:cs="Arial"/>
          <w:iCs/>
          <w:sz w:val="24"/>
          <w:szCs w:val="24"/>
        </w:rPr>
        <w:t xml:space="preserve"> for</w:t>
      </w:r>
      <w:r w:rsidR="003F4437">
        <w:rPr>
          <w:rFonts w:ascii="Arial" w:hAnsi="Arial" w:cs="Arial"/>
          <w:iCs/>
          <w:sz w:val="24"/>
          <w:szCs w:val="24"/>
        </w:rPr>
        <w:t xml:space="preserve"> registration with the National Native Title Tribunal (NNTT).</w:t>
      </w:r>
      <w:r w:rsidR="007F5760">
        <w:rPr>
          <w:rFonts w:ascii="Arial" w:hAnsi="Arial" w:cs="Arial"/>
          <w:iCs/>
          <w:sz w:val="24"/>
          <w:szCs w:val="24"/>
        </w:rPr>
        <w:t xml:space="preserve"> </w:t>
      </w:r>
    </w:p>
    <w:p w:rsidR="00B13AB2" w:rsidRDefault="00B13AB2" w:rsidP="0005031B">
      <w:pPr>
        <w:spacing w:after="0" w:line="240" w:lineRule="auto"/>
        <w:jc w:val="both"/>
        <w:rPr>
          <w:rFonts w:ascii="Arial" w:hAnsi="Arial" w:cs="Arial"/>
          <w:iCs/>
          <w:sz w:val="24"/>
          <w:szCs w:val="24"/>
        </w:rPr>
      </w:pPr>
    </w:p>
    <w:p w:rsidR="00570ACD" w:rsidRDefault="00B13AB2" w:rsidP="0005031B">
      <w:pPr>
        <w:spacing w:after="0" w:line="240" w:lineRule="auto"/>
        <w:jc w:val="both"/>
        <w:rPr>
          <w:rFonts w:ascii="Arial" w:eastAsia="Times New Roman" w:hAnsi="Arial" w:cs="Arial"/>
          <w:sz w:val="24"/>
          <w:szCs w:val="24"/>
          <w:lang w:val="en" w:eastAsia="en-AU"/>
        </w:rPr>
      </w:pPr>
      <w:r>
        <w:rPr>
          <w:rFonts w:ascii="Arial" w:eastAsia="Times New Roman" w:hAnsi="Arial" w:cs="Arial"/>
          <w:sz w:val="24"/>
          <w:szCs w:val="24"/>
          <w:lang w:val="en" w:eastAsia="en-AU"/>
        </w:rPr>
        <w:t>O</w:t>
      </w:r>
      <w:r w:rsidR="00B01638">
        <w:rPr>
          <w:rFonts w:ascii="Arial" w:eastAsia="Times New Roman" w:hAnsi="Arial" w:cs="Arial"/>
          <w:sz w:val="24"/>
          <w:szCs w:val="24"/>
          <w:lang w:val="en" w:eastAsia="en-AU"/>
        </w:rPr>
        <w:t xml:space="preserve">n </w:t>
      </w:r>
      <w:r w:rsidR="00B01638" w:rsidRPr="009D7DAF">
        <w:rPr>
          <w:rFonts w:ascii="Arial" w:eastAsia="Times New Roman" w:hAnsi="Arial" w:cs="Arial"/>
          <w:sz w:val="24"/>
          <w:szCs w:val="24"/>
          <w:lang w:val="en" w:eastAsia="en-AU"/>
        </w:rPr>
        <w:t>16 September 2015</w:t>
      </w:r>
      <w:r>
        <w:rPr>
          <w:rFonts w:ascii="Arial" w:eastAsia="Times New Roman" w:hAnsi="Arial" w:cs="Arial"/>
          <w:sz w:val="24"/>
          <w:szCs w:val="24"/>
          <w:lang w:val="en" w:eastAsia="en-AU"/>
        </w:rPr>
        <w:t>, the NNTT commenced</w:t>
      </w:r>
      <w:r w:rsidR="00B01638">
        <w:rPr>
          <w:rFonts w:ascii="Arial" w:eastAsia="Times New Roman" w:hAnsi="Arial" w:cs="Arial"/>
          <w:sz w:val="24"/>
          <w:szCs w:val="24"/>
          <w:lang w:val="en" w:eastAsia="en-AU"/>
        </w:rPr>
        <w:t xml:space="preserve"> </w:t>
      </w:r>
      <w:r w:rsidR="0005031B" w:rsidRPr="009D7DAF">
        <w:rPr>
          <w:rFonts w:ascii="Arial" w:eastAsia="Times New Roman" w:hAnsi="Arial" w:cs="Arial"/>
          <w:sz w:val="24"/>
          <w:szCs w:val="24"/>
          <w:lang w:val="en" w:eastAsia="en-AU"/>
        </w:rPr>
        <w:t>a three month notification period</w:t>
      </w:r>
      <w:r w:rsidR="001D170A" w:rsidRPr="009D7DAF">
        <w:rPr>
          <w:rFonts w:ascii="Arial" w:eastAsia="Times New Roman" w:hAnsi="Arial" w:cs="Arial"/>
          <w:sz w:val="24"/>
          <w:szCs w:val="24"/>
          <w:lang w:val="en" w:eastAsia="en-AU"/>
        </w:rPr>
        <w:t>,</w:t>
      </w:r>
      <w:r w:rsidR="0005031B" w:rsidRPr="009D7DAF">
        <w:rPr>
          <w:rFonts w:ascii="Arial" w:eastAsia="Times New Roman" w:hAnsi="Arial" w:cs="Arial"/>
          <w:sz w:val="24"/>
          <w:szCs w:val="24"/>
          <w:lang w:val="en" w:eastAsia="en-AU"/>
        </w:rPr>
        <w:t xml:space="preserve"> during </w:t>
      </w:r>
      <w:r>
        <w:rPr>
          <w:rFonts w:ascii="Arial" w:eastAsia="Times New Roman" w:hAnsi="Arial" w:cs="Arial"/>
          <w:sz w:val="24"/>
          <w:szCs w:val="24"/>
          <w:lang w:val="en" w:eastAsia="en-AU"/>
        </w:rPr>
        <w:t>this period</w:t>
      </w:r>
      <w:r w:rsidRPr="009D7DAF">
        <w:rPr>
          <w:rFonts w:ascii="Arial" w:eastAsia="Times New Roman" w:hAnsi="Arial" w:cs="Arial"/>
          <w:sz w:val="24"/>
          <w:szCs w:val="24"/>
          <w:lang w:val="en" w:eastAsia="en-AU"/>
        </w:rPr>
        <w:t xml:space="preserve"> </w:t>
      </w:r>
      <w:r w:rsidR="0005031B" w:rsidRPr="009D7DAF">
        <w:rPr>
          <w:rFonts w:ascii="Arial" w:eastAsia="Times New Roman" w:hAnsi="Arial" w:cs="Arial"/>
          <w:sz w:val="24"/>
          <w:szCs w:val="24"/>
          <w:lang w:val="en" w:eastAsia="en-AU"/>
        </w:rPr>
        <w:t xml:space="preserve">objections </w:t>
      </w:r>
      <w:r w:rsidR="001D170A" w:rsidRPr="009D7DAF">
        <w:rPr>
          <w:rFonts w:ascii="Arial" w:eastAsia="Times New Roman" w:hAnsi="Arial" w:cs="Arial"/>
          <w:sz w:val="24"/>
          <w:szCs w:val="24"/>
          <w:lang w:val="en" w:eastAsia="en-AU"/>
        </w:rPr>
        <w:t xml:space="preserve">to the ILUAs </w:t>
      </w:r>
      <w:r w:rsidR="0005031B" w:rsidRPr="009D7DAF">
        <w:rPr>
          <w:rFonts w:ascii="Arial" w:eastAsia="Times New Roman" w:hAnsi="Arial" w:cs="Arial"/>
          <w:sz w:val="24"/>
          <w:szCs w:val="24"/>
          <w:lang w:val="en" w:eastAsia="en-AU"/>
        </w:rPr>
        <w:t xml:space="preserve">can be lodged </w:t>
      </w:r>
      <w:r>
        <w:rPr>
          <w:rFonts w:ascii="Arial" w:eastAsia="Times New Roman" w:hAnsi="Arial" w:cs="Arial"/>
          <w:sz w:val="24"/>
          <w:szCs w:val="24"/>
          <w:lang w:val="en" w:eastAsia="en-AU"/>
        </w:rPr>
        <w:t>in accordance with the</w:t>
      </w:r>
      <w:r w:rsidR="0005031B" w:rsidRPr="009D7DAF">
        <w:rPr>
          <w:rFonts w:ascii="Arial" w:eastAsia="Times New Roman" w:hAnsi="Arial" w:cs="Arial"/>
          <w:sz w:val="24"/>
          <w:szCs w:val="24"/>
          <w:lang w:val="en" w:eastAsia="en-AU"/>
        </w:rPr>
        <w:t xml:space="preserve"> </w:t>
      </w:r>
      <w:r w:rsidR="0005031B" w:rsidRPr="0051079B">
        <w:rPr>
          <w:rFonts w:ascii="Arial" w:eastAsia="Times New Roman" w:hAnsi="Arial" w:cs="Arial"/>
          <w:sz w:val="24"/>
          <w:szCs w:val="24"/>
          <w:lang w:val="en" w:eastAsia="en-AU"/>
        </w:rPr>
        <w:t>Commonwealth</w:t>
      </w:r>
      <w:r w:rsidR="0005031B" w:rsidRPr="009D7DAF">
        <w:rPr>
          <w:rFonts w:ascii="Arial" w:eastAsia="Times New Roman" w:hAnsi="Arial" w:cs="Arial"/>
          <w:i/>
          <w:sz w:val="24"/>
          <w:szCs w:val="24"/>
          <w:lang w:val="en" w:eastAsia="en-AU"/>
        </w:rPr>
        <w:t xml:space="preserve"> Native Title Act</w:t>
      </w:r>
      <w:r w:rsidR="0005031B" w:rsidRPr="009D7DAF">
        <w:rPr>
          <w:rFonts w:ascii="Arial" w:eastAsia="Times New Roman" w:hAnsi="Arial" w:cs="Arial"/>
          <w:sz w:val="24"/>
          <w:szCs w:val="24"/>
          <w:lang w:val="en" w:eastAsia="en-AU"/>
        </w:rPr>
        <w:t xml:space="preserve"> </w:t>
      </w:r>
      <w:r w:rsidR="0005031B" w:rsidRPr="009D7DAF">
        <w:rPr>
          <w:rFonts w:ascii="Arial" w:eastAsia="Times New Roman" w:hAnsi="Arial" w:cs="Arial"/>
          <w:i/>
          <w:sz w:val="24"/>
          <w:szCs w:val="24"/>
          <w:lang w:val="en" w:eastAsia="en-AU"/>
        </w:rPr>
        <w:t>1993</w:t>
      </w:r>
      <w:r w:rsidR="0005031B" w:rsidRPr="009D7DAF">
        <w:rPr>
          <w:rFonts w:ascii="Arial" w:eastAsia="Times New Roman" w:hAnsi="Arial" w:cs="Arial"/>
          <w:sz w:val="24"/>
          <w:szCs w:val="24"/>
          <w:lang w:val="en" w:eastAsia="en-AU"/>
        </w:rPr>
        <w:t xml:space="preserve">. </w:t>
      </w:r>
    </w:p>
    <w:p w:rsidR="00570ACD" w:rsidRDefault="00570ACD" w:rsidP="0005031B">
      <w:pPr>
        <w:spacing w:after="0" w:line="240" w:lineRule="auto"/>
        <w:jc w:val="both"/>
        <w:rPr>
          <w:rFonts w:ascii="Arial" w:eastAsia="Times New Roman" w:hAnsi="Arial" w:cs="Arial"/>
          <w:sz w:val="24"/>
          <w:szCs w:val="24"/>
          <w:lang w:val="en" w:eastAsia="en-AU"/>
        </w:rPr>
      </w:pPr>
    </w:p>
    <w:p w:rsidR="0005031B" w:rsidRPr="009D7DAF" w:rsidRDefault="00570ACD" w:rsidP="0005031B">
      <w:pPr>
        <w:spacing w:after="0" w:line="240" w:lineRule="auto"/>
        <w:jc w:val="both"/>
        <w:rPr>
          <w:rFonts w:ascii="Arial" w:eastAsia="Times New Roman" w:hAnsi="Arial" w:cs="Arial"/>
          <w:sz w:val="24"/>
          <w:szCs w:val="24"/>
          <w:lang w:val="en" w:eastAsia="en-AU"/>
        </w:rPr>
      </w:pPr>
      <w:r>
        <w:rPr>
          <w:rFonts w:ascii="Arial" w:eastAsia="Times New Roman" w:hAnsi="Arial" w:cs="Arial"/>
          <w:sz w:val="24"/>
          <w:szCs w:val="24"/>
          <w:lang w:val="en" w:eastAsia="en-AU"/>
        </w:rPr>
        <w:t>It</w:t>
      </w:r>
      <w:r w:rsidR="009A2F7E">
        <w:rPr>
          <w:rFonts w:ascii="Arial" w:eastAsia="Times New Roman" w:hAnsi="Arial" w:cs="Arial"/>
          <w:sz w:val="24"/>
          <w:szCs w:val="24"/>
          <w:lang w:val="en" w:eastAsia="en-AU"/>
        </w:rPr>
        <w:t xml:space="preserve"> is</w:t>
      </w:r>
      <w:r>
        <w:rPr>
          <w:rFonts w:ascii="Arial" w:eastAsia="Times New Roman" w:hAnsi="Arial" w:cs="Arial"/>
          <w:sz w:val="24"/>
          <w:szCs w:val="24"/>
          <w:lang w:val="en" w:eastAsia="en-AU"/>
        </w:rPr>
        <w:t xml:space="preserve"> important to note that the</w:t>
      </w:r>
      <w:r w:rsidR="0005031B" w:rsidRPr="009D7DAF">
        <w:rPr>
          <w:rFonts w:ascii="Arial" w:eastAsia="Times New Roman" w:hAnsi="Arial" w:cs="Arial"/>
          <w:sz w:val="24"/>
          <w:szCs w:val="24"/>
          <w:lang w:val="en" w:eastAsia="en-AU"/>
        </w:rPr>
        <w:t xml:space="preserve"> ILUAs</w:t>
      </w:r>
      <w:r w:rsidR="001D170A" w:rsidRPr="009D7DAF">
        <w:rPr>
          <w:rFonts w:ascii="Arial" w:eastAsia="Times New Roman" w:hAnsi="Arial" w:cs="Arial"/>
          <w:sz w:val="24"/>
          <w:szCs w:val="24"/>
          <w:lang w:val="en" w:eastAsia="en-AU"/>
        </w:rPr>
        <w:t xml:space="preserve"> </w:t>
      </w:r>
      <w:r w:rsidR="0005031B" w:rsidRPr="009D7DAF">
        <w:rPr>
          <w:rFonts w:ascii="Arial" w:eastAsia="Times New Roman" w:hAnsi="Arial" w:cs="Arial"/>
          <w:sz w:val="24"/>
          <w:szCs w:val="24"/>
          <w:lang w:val="en" w:eastAsia="en-AU"/>
        </w:rPr>
        <w:t xml:space="preserve">only come into full effect </w:t>
      </w:r>
      <w:r w:rsidR="00526083">
        <w:rPr>
          <w:rFonts w:ascii="Arial" w:eastAsia="Times New Roman" w:hAnsi="Arial" w:cs="Arial"/>
          <w:sz w:val="24"/>
          <w:szCs w:val="24"/>
          <w:lang w:val="en" w:eastAsia="en-AU"/>
        </w:rPr>
        <w:t xml:space="preserve">after </w:t>
      </w:r>
      <w:r>
        <w:rPr>
          <w:rFonts w:ascii="Arial" w:eastAsia="Times New Roman" w:hAnsi="Arial" w:cs="Arial"/>
          <w:sz w:val="24"/>
          <w:szCs w:val="24"/>
          <w:lang w:val="en" w:eastAsia="en-AU"/>
        </w:rPr>
        <w:t>registration</w:t>
      </w:r>
      <w:r w:rsidR="00526083">
        <w:rPr>
          <w:rFonts w:ascii="Arial" w:eastAsia="Times New Roman" w:hAnsi="Arial" w:cs="Arial"/>
          <w:sz w:val="24"/>
          <w:szCs w:val="24"/>
          <w:lang w:val="en" w:eastAsia="en-AU"/>
        </w:rPr>
        <w:t xml:space="preserve"> by the NNTT</w:t>
      </w:r>
      <w:r>
        <w:rPr>
          <w:rFonts w:ascii="Arial" w:eastAsia="Times New Roman" w:hAnsi="Arial" w:cs="Arial"/>
          <w:sz w:val="24"/>
          <w:szCs w:val="24"/>
          <w:lang w:val="en" w:eastAsia="en-AU"/>
        </w:rPr>
        <w:t>.</w:t>
      </w:r>
      <w:r w:rsidRPr="009D7DAF">
        <w:rPr>
          <w:rFonts w:ascii="Arial" w:eastAsia="Times New Roman" w:hAnsi="Arial" w:cs="Arial"/>
          <w:sz w:val="24"/>
          <w:szCs w:val="24"/>
          <w:lang w:val="en" w:eastAsia="en-AU"/>
        </w:rPr>
        <w:t xml:space="preserve"> </w:t>
      </w:r>
      <w:r w:rsidR="009D7DAF">
        <w:rPr>
          <w:rFonts w:ascii="Arial" w:eastAsia="Times New Roman" w:hAnsi="Arial" w:cs="Arial"/>
          <w:sz w:val="24"/>
          <w:szCs w:val="24"/>
          <w:lang w:val="en" w:eastAsia="en-AU"/>
        </w:rPr>
        <w:t xml:space="preserve"> </w:t>
      </w:r>
      <w:r>
        <w:rPr>
          <w:rFonts w:ascii="Arial" w:eastAsia="Times New Roman" w:hAnsi="Arial" w:cs="Arial"/>
          <w:sz w:val="24"/>
          <w:szCs w:val="24"/>
          <w:lang w:val="en" w:eastAsia="en-AU"/>
        </w:rPr>
        <w:t>O</w:t>
      </w:r>
      <w:r w:rsidR="009D7DAF">
        <w:rPr>
          <w:rFonts w:ascii="Arial" w:eastAsia="Times New Roman" w:hAnsi="Arial" w:cs="Arial"/>
          <w:sz w:val="24"/>
          <w:szCs w:val="24"/>
          <w:lang w:val="en" w:eastAsia="en-AU"/>
        </w:rPr>
        <w:t>nce</w:t>
      </w:r>
      <w:r w:rsidR="00526083">
        <w:rPr>
          <w:rFonts w:ascii="Arial" w:eastAsia="Times New Roman" w:hAnsi="Arial" w:cs="Arial"/>
          <w:sz w:val="24"/>
          <w:szCs w:val="24"/>
          <w:lang w:val="en" w:eastAsia="en-AU"/>
        </w:rPr>
        <w:t xml:space="preserve"> the ILUAs come into effect the </w:t>
      </w:r>
      <w:r>
        <w:rPr>
          <w:rFonts w:ascii="Arial" w:eastAsia="Times New Roman" w:hAnsi="Arial" w:cs="Arial"/>
          <w:sz w:val="24"/>
          <w:szCs w:val="24"/>
          <w:lang w:val="en" w:eastAsia="en-AU"/>
        </w:rPr>
        <w:t>Noongar Boo</w:t>
      </w:r>
      <w:r w:rsidR="00526083">
        <w:rPr>
          <w:rFonts w:ascii="Arial" w:eastAsia="Times New Roman" w:hAnsi="Arial" w:cs="Arial"/>
          <w:sz w:val="24"/>
          <w:szCs w:val="24"/>
          <w:lang w:val="en" w:eastAsia="en-AU"/>
        </w:rPr>
        <w:t>d</w:t>
      </w:r>
      <w:r>
        <w:rPr>
          <w:rFonts w:ascii="Arial" w:eastAsia="Times New Roman" w:hAnsi="Arial" w:cs="Arial"/>
          <w:sz w:val="24"/>
          <w:szCs w:val="24"/>
          <w:lang w:val="en" w:eastAsia="en-AU"/>
        </w:rPr>
        <w:t xml:space="preserve">ja </w:t>
      </w:r>
      <w:r w:rsidR="009D7DAF">
        <w:rPr>
          <w:rFonts w:ascii="Arial" w:eastAsia="Times New Roman" w:hAnsi="Arial" w:cs="Arial"/>
          <w:sz w:val="24"/>
          <w:szCs w:val="24"/>
          <w:lang w:val="en" w:eastAsia="en-AU"/>
        </w:rPr>
        <w:t>Trust Deed commences</w:t>
      </w:r>
      <w:r w:rsidR="0005031B" w:rsidRPr="009D7DAF">
        <w:rPr>
          <w:rFonts w:ascii="Arial" w:eastAsia="Times New Roman" w:hAnsi="Arial" w:cs="Arial"/>
          <w:sz w:val="24"/>
          <w:szCs w:val="24"/>
          <w:lang w:val="en" w:eastAsia="en-AU"/>
        </w:rPr>
        <w:t>.</w:t>
      </w:r>
    </w:p>
    <w:p w:rsidR="001D170A" w:rsidRDefault="001D170A" w:rsidP="0005031B">
      <w:pPr>
        <w:spacing w:after="0" w:line="240" w:lineRule="auto"/>
        <w:jc w:val="both"/>
        <w:rPr>
          <w:rFonts w:ascii="Arial" w:eastAsia="Times New Roman" w:hAnsi="Arial" w:cs="Arial"/>
          <w:sz w:val="24"/>
          <w:szCs w:val="24"/>
          <w:lang w:val="en" w:eastAsia="en-AU"/>
        </w:rPr>
      </w:pPr>
    </w:p>
    <w:p w:rsidR="00570ACD" w:rsidRDefault="00570ACD" w:rsidP="00570ACD">
      <w:pPr>
        <w:spacing w:after="0" w:line="240" w:lineRule="auto"/>
        <w:jc w:val="both"/>
        <w:rPr>
          <w:rFonts w:ascii="Arial" w:hAnsi="Arial" w:cs="Arial"/>
          <w:iCs/>
          <w:sz w:val="24"/>
          <w:szCs w:val="24"/>
        </w:rPr>
      </w:pPr>
      <w:r>
        <w:rPr>
          <w:rFonts w:ascii="Arial" w:hAnsi="Arial" w:cs="Arial"/>
          <w:iCs/>
          <w:sz w:val="24"/>
          <w:szCs w:val="24"/>
        </w:rPr>
        <w:t xml:space="preserve">The comprehensive detail of the </w:t>
      </w:r>
      <w:r w:rsidR="00526083">
        <w:rPr>
          <w:rFonts w:ascii="Arial" w:hAnsi="Arial" w:cs="Arial"/>
          <w:iCs/>
          <w:sz w:val="24"/>
          <w:szCs w:val="24"/>
        </w:rPr>
        <w:t>Settlement</w:t>
      </w:r>
      <w:r>
        <w:rPr>
          <w:rFonts w:ascii="Arial" w:hAnsi="Arial" w:cs="Arial"/>
          <w:iCs/>
          <w:sz w:val="24"/>
          <w:szCs w:val="24"/>
        </w:rPr>
        <w:t>, including Trust Deed</w:t>
      </w:r>
      <w:r w:rsidRPr="009D7DAF">
        <w:rPr>
          <w:rFonts w:ascii="Arial" w:hAnsi="Arial" w:cs="Arial"/>
          <w:iCs/>
          <w:sz w:val="24"/>
          <w:szCs w:val="24"/>
        </w:rPr>
        <w:t>, is contained within the six ILUAs</w:t>
      </w:r>
      <w:r w:rsidR="00B20FC4">
        <w:rPr>
          <w:rFonts w:ascii="Arial" w:hAnsi="Arial" w:cs="Arial"/>
          <w:iCs/>
          <w:sz w:val="24"/>
          <w:szCs w:val="24"/>
        </w:rPr>
        <w:t xml:space="preserve"> a</w:t>
      </w:r>
      <w:r w:rsidR="00FC2B63">
        <w:rPr>
          <w:rFonts w:ascii="Arial" w:hAnsi="Arial" w:cs="Arial"/>
          <w:iCs/>
          <w:sz w:val="24"/>
          <w:szCs w:val="24"/>
        </w:rPr>
        <w:t>nd can be found on the website of the Department of the Premier and Cabinet</w:t>
      </w:r>
      <w:r w:rsidRPr="009D7DAF">
        <w:rPr>
          <w:rFonts w:ascii="Arial" w:hAnsi="Arial" w:cs="Arial"/>
          <w:iCs/>
          <w:sz w:val="24"/>
          <w:szCs w:val="24"/>
        </w:rPr>
        <w:t xml:space="preserve"> </w:t>
      </w:r>
      <w:r>
        <w:rPr>
          <w:rFonts w:ascii="Arial" w:hAnsi="Arial" w:cs="Arial"/>
          <w:iCs/>
          <w:sz w:val="24"/>
          <w:szCs w:val="24"/>
        </w:rPr>
        <w:t>(www.dpc.wa.gov.au/lantu)</w:t>
      </w:r>
    </w:p>
    <w:p w:rsidR="00570ACD" w:rsidRPr="009D7DAF" w:rsidRDefault="00570ACD" w:rsidP="0005031B">
      <w:pPr>
        <w:spacing w:after="0" w:line="240" w:lineRule="auto"/>
        <w:jc w:val="both"/>
        <w:rPr>
          <w:rFonts w:ascii="Arial" w:eastAsia="Times New Roman" w:hAnsi="Arial" w:cs="Arial"/>
          <w:sz w:val="24"/>
          <w:szCs w:val="24"/>
          <w:lang w:val="en" w:eastAsia="en-AU"/>
        </w:rPr>
      </w:pPr>
    </w:p>
    <w:p w:rsidR="001D170A" w:rsidRPr="009D7DAF" w:rsidRDefault="0051235A" w:rsidP="0005031B">
      <w:pPr>
        <w:spacing w:after="0" w:line="240" w:lineRule="auto"/>
        <w:jc w:val="both"/>
        <w:rPr>
          <w:rFonts w:ascii="Arial" w:eastAsia="Times New Roman" w:hAnsi="Arial" w:cs="Arial"/>
          <w:sz w:val="24"/>
          <w:szCs w:val="24"/>
          <w:lang w:val="en" w:eastAsia="en-AU"/>
        </w:rPr>
      </w:pPr>
      <w:r w:rsidRPr="009D7DAF">
        <w:rPr>
          <w:rFonts w:ascii="Arial" w:eastAsia="Times New Roman" w:hAnsi="Arial" w:cs="Arial"/>
          <w:sz w:val="24"/>
          <w:szCs w:val="24"/>
          <w:lang w:val="en" w:eastAsia="en-AU"/>
        </w:rPr>
        <w:t>T</w:t>
      </w:r>
      <w:r w:rsidR="001D170A" w:rsidRPr="009D7DAF">
        <w:rPr>
          <w:rFonts w:ascii="Arial" w:eastAsia="Times New Roman" w:hAnsi="Arial" w:cs="Arial"/>
          <w:sz w:val="24"/>
          <w:szCs w:val="24"/>
          <w:lang w:val="en" w:eastAsia="en-AU"/>
        </w:rPr>
        <w:t xml:space="preserve">he </w:t>
      </w:r>
      <w:r w:rsidR="00FC2B63">
        <w:rPr>
          <w:rFonts w:ascii="Arial" w:eastAsia="Times New Roman" w:hAnsi="Arial" w:cs="Arial"/>
          <w:sz w:val="24"/>
          <w:szCs w:val="24"/>
          <w:lang w:val="en" w:eastAsia="en-AU"/>
        </w:rPr>
        <w:t>WA Government</w:t>
      </w:r>
      <w:r w:rsidR="001D170A" w:rsidRPr="00B01638">
        <w:rPr>
          <w:rFonts w:ascii="Arial" w:eastAsia="Times New Roman" w:hAnsi="Arial" w:cs="Arial"/>
          <w:sz w:val="24"/>
          <w:szCs w:val="24"/>
          <w:lang w:val="en" w:eastAsia="en-AU"/>
        </w:rPr>
        <w:t xml:space="preserve"> and the South West</w:t>
      </w:r>
      <w:r w:rsidRPr="00B01638">
        <w:rPr>
          <w:rFonts w:ascii="Arial" w:eastAsia="Times New Roman" w:hAnsi="Arial" w:cs="Arial"/>
          <w:sz w:val="24"/>
          <w:szCs w:val="24"/>
          <w:lang w:val="en" w:eastAsia="en-AU"/>
        </w:rPr>
        <w:t xml:space="preserve"> Aboriginal</w:t>
      </w:r>
      <w:r w:rsidR="001D170A" w:rsidRPr="00B01638">
        <w:rPr>
          <w:rFonts w:ascii="Arial" w:eastAsia="Times New Roman" w:hAnsi="Arial" w:cs="Arial"/>
          <w:sz w:val="24"/>
          <w:szCs w:val="24"/>
          <w:lang w:val="en" w:eastAsia="en-AU"/>
        </w:rPr>
        <w:t xml:space="preserve"> Land and Sea Council </w:t>
      </w:r>
      <w:r w:rsidRPr="00B01638">
        <w:rPr>
          <w:rFonts w:ascii="Arial" w:eastAsia="Times New Roman" w:hAnsi="Arial" w:cs="Arial"/>
          <w:sz w:val="24"/>
          <w:szCs w:val="24"/>
          <w:lang w:val="en" w:eastAsia="en-AU"/>
        </w:rPr>
        <w:t xml:space="preserve">(SWALSC) </w:t>
      </w:r>
      <w:r w:rsidR="001D170A" w:rsidRPr="00B01638">
        <w:rPr>
          <w:rFonts w:ascii="Arial" w:eastAsia="Times New Roman" w:hAnsi="Arial" w:cs="Arial"/>
          <w:sz w:val="24"/>
          <w:szCs w:val="24"/>
          <w:lang w:val="en" w:eastAsia="en-AU"/>
        </w:rPr>
        <w:t xml:space="preserve">are </w:t>
      </w:r>
      <w:r w:rsidRPr="00B01638">
        <w:rPr>
          <w:rFonts w:ascii="Arial" w:eastAsia="Times New Roman" w:hAnsi="Arial" w:cs="Arial"/>
          <w:sz w:val="24"/>
          <w:szCs w:val="24"/>
          <w:lang w:val="en" w:eastAsia="en-AU"/>
        </w:rPr>
        <w:t xml:space="preserve">currently </w:t>
      </w:r>
      <w:r w:rsidR="001D170A" w:rsidRPr="00B01638">
        <w:rPr>
          <w:rFonts w:ascii="Arial" w:eastAsia="Times New Roman" w:hAnsi="Arial" w:cs="Arial"/>
          <w:sz w:val="24"/>
          <w:szCs w:val="24"/>
          <w:lang w:val="en" w:eastAsia="en-AU"/>
        </w:rPr>
        <w:t xml:space="preserve">working together to </w:t>
      </w:r>
      <w:r w:rsidRPr="00B01638">
        <w:rPr>
          <w:rFonts w:ascii="Arial" w:eastAsia="Times New Roman" w:hAnsi="Arial" w:cs="Arial"/>
          <w:sz w:val="24"/>
          <w:szCs w:val="24"/>
          <w:lang w:val="en" w:eastAsia="en-AU"/>
        </w:rPr>
        <w:t xml:space="preserve">select the Initial Independent Professional Trustee (Trustee) </w:t>
      </w:r>
      <w:r w:rsidR="007F5760" w:rsidRPr="00B01638">
        <w:rPr>
          <w:rFonts w:ascii="Arial" w:eastAsia="Times New Roman" w:hAnsi="Arial" w:cs="Arial"/>
          <w:sz w:val="24"/>
          <w:szCs w:val="24"/>
          <w:lang w:val="en" w:eastAsia="en-AU"/>
        </w:rPr>
        <w:t>for</w:t>
      </w:r>
      <w:r w:rsidRPr="00B01638">
        <w:rPr>
          <w:rFonts w:ascii="Arial" w:eastAsia="Times New Roman" w:hAnsi="Arial" w:cs="Arial"/>
          <w:sz w:val="24"/>
          <w:szCs w:val="24"/>
          <w:lang w:val="en" w:eastAsia="en-AU"/>
        </w:rPr>
        <w:t xml:space="preserve"> the Noongar Boodja Trust </w:t>
      </w:r>
      <w:r w:rsidR="00D90609" w:rsidRPr="00B01638">
        <w:rPr>
          <w:rFonts w:ascii="Arial" w:eastAsia="Times New Roman" w:hAnsi="Arial" w:cs="Arial"/>
          <w:sz w:val="24"/>
          <w:szCs w:val="24"/>
          <w:lang w:val="en" w:eastAsia="en-AU"/>
        </w:rPr>
        <w:t xml:space="preserve">in anticipation of the </w:t>
      </w:r>
      <w:r w:rsidRPr="00B01638">
        <w:rPr>
          <w:rFonts w:ascii="Arial" w:eastAsia="Times New Roman" w:hAnsi="Arial" w:cs="Arial"/>
          <w:sz w:val="24"/>
          <w:szCs w:val="24"/>
          <w:lang w:val="en" w:eastAsia="en-AU"/>
        </w:rPr>
        <w:t xml:space="preserve">ILUAs </w:t>
      </w:r>
      <w:r w:rsidR="00D90609" w:rsidRPr="00B01638">
        <w:rPr>
          <w:rFonts w:ascii="Arial" w:eastAsia="Times New Roman" w:hAnsi="Arial" w:cs="Arial"/>
          <w:sz w:val="24"/>
          <w:szCs w:val="24"/>
          <w:lang w:val="en" w:eastAsia="en-AU"/>
        </w:rPr>
        <w:t xml:space="preserve">being </w:t>
      </w:r>
      <w:r w:rsidR="007F5760" w:rsidRPr="00B01638">
        <w:rPr>
          <w:rFonts w:ascii="Arial" w:eastAsia="Times New Roman" w:hAnsi="Arial" w:cs="Arial"/>
          <w:sz w:val="24"/>
          <w:szCs w:val="24"/>
          <w:lang w:val="en" w:eastAsia="en-AU"/>
        </w:rPr>
        <w:t xml:space="preserve">registered and the </w:t>
      </w:r>
      <w:r w:rsidR="00D90609" w:rsidRPr="00002927">
        <w:rPr>
          <w:rFonts w:ascii="Arial" w:hAnsi="Arial" w:cs="Arial"/>
          <w:sz w:val="24"/>
          <w:szCs w:val="24"/>
        </w:rPr>
        <w:t>Settlement commencing</w:t>
      </w:r>
      <w:r w:rsidRPr="00B01638">
        <w:rPr>
          <w:rFonts w:ascii="Arial" w:eastAsia="Times New Roman" w:hAnsi="Arial" w:cs="Arial"/>
          <w:sz w:val="24"/>
          <w:szCs w:val="24"/>
          <w:lang w:val="en" w:eastAsia="en-AU"/>
        </w:rPr>
        <w:t>.</w:t>
      </w:r>
      <w:r w:rsidRPr="009D7DAF">
        <w:rPr>
          <w:rFonts w:ascii="Arial" w:eastAsia="Times New Roman" w:hAnsi="Arial" w:cs="Arial"/>
          <w:sz w:val="24"/>
          <w:szCs w:val="24"/>
          <w:lang w:val="en" w:eastAsia="en-AU"/>
        </w:rPr>
        <w:t xml:space="preserve"> </w:t>
      </w:r>
    </w:p>
    <w:p w:rsidR="0005031B" w:rsidRDefault="0005031B" w:rsidP="0005031B">
      <w:pPr>
        <w:spacing w:after="0" w:line="240" w:lineRule="auto"/>
        <w:jc w:val="both"/>
        <w:rPr>
          <w:rFonts w:ascii="MyriadPro-Semibold" w:hAnsi="MyriadPro-Semibold" w:cs="MyriadPro-Semibold"/>
          <w:color w:val="026694"/>
          <w:sz w:val="34"/>
          <w:szCs w:val="34"/>
        </w:rPr>
      </w:pPr>
    </w:p>
    <w:p w:rsidR="00A248D7" w:rsidRDefault="00A248D7" w:rsidP="0005031B">
      <w:pPr>
        <w:spacing w:after="0" w:line="240" w:lineRule="auto"/>
        <w:jc w:val="both"/>
        <w:rPr>
          <w:rFonts w:ascii="MyriadPro-Semibold" w:hAnsi="MyriadPro-Semibold" w:cs="MyriadPro-Semibold"/>
          <w:color w:val="026694"/>
          <w:sz w:val="34"/>
          <w:szCs w:val="34"/>
        </w:rPr>
      </w:pPr>
    </w:p>
    <w:p w:rsidR="0005031B" w:rsidRPr="009C3EED" w:rsidRDefault="0005031B" w:rsidP="0005031B">
      <w:pPr>
        <w:spacing w:line="240" w:lineRule="auto"/>
        <w:jc w:val="center"/>
        <w:rPr>
          <w:rFonts w:cs="Arial"/>
          <w:iCs/>
        </w:rPr>
      </w:pPr>
      <w:r>
        <w:rPr>
          <w:rFonts w:ascii="ArialMT" w:hAnsi="ArialMT" w:cs="ArialMT"/>
          <w:color w:val="C75928"/>
          <w:sz w:val="48"/>
          <w:szCs w:val="48"/>
        </w:rPr>
        <w:t>The Noongar Boodja Trust</w:t>
      </w:r>
    </w:p>
    <w:p w:rsidR="003F4437" w:rsidRDefault="001E4F36" w:rsidP="003F4437">
      <w:pPr>
        <w:pStyle w:val="BodyText"/>
        <w:spacing w:before="0" w:after="0"/>
        <w:ind w:left="0"/>
      </w:pPr>
      <w:r w:rsidRPr="0028347C">
        <w:t xml:space="preserve">The Noongar Boodja Trust (the Trust) is </w:t>
      </w:r>
      <w:r>
        <w:t xml:space="preserve">a key </w:t>
      </w:r>
      <w:r w:rsidR="00FC2B63">
        <w:t>component</w:t>
      </w:r>
      <w:r w:rsidR="00FC2B63" w:rsidRPr="0028347C">
        <w:t xml:space="preserve"> </w:t>
      </w:r>
      <w:r w:rsidRPr="0028347C">
        <w:t xml:space="preserve">of the Settlement, and has the potential to deliver </w:t>
      </w:r>
      <w:r w:rsidRPr="0051079B">
        <w:t>enduring economic, social and cultural benefits to the Noongar people for generations to come</w:t>
      </w:r>
      <w:r w:rsidRPr="0028347C">
        <w:t xml:space="preserve">. </w:t>
      </w:r>
      <w:r>
        <w:t xml:space="preserve">To </w:t>
      </w:r>
      <w:r w:rsidR="0051079B">
        <w:t>realise its</w:t>
      </w:r>
      <w:r w:rsidR="00FC2B63">
        <w:t xml:space="preserve"> </w:t>
      </w:r>
      <w:r>
        <w:t>potential t</w:t>
      </w:r>
      <w:r w:rsidRPr="0028347C">
        <w:t>he Trust has been designed as a special purpose charitable trust</w:t>
      </w:r>
      <w:r w:rsidR="00FC2B63">
        <w:t xml:space="preserve"> that will operate in per</w:t>
      </w:r>
      <w:r w:rsidR="00037374">
        <w:t>pe</w:t>
      </w:r>
      <w:r w:rsidR="00FC2B63">
        <w:t>tuity</w:t>
      </w:r>
      <w:r w:rsidRPr="0028347C">
        <w:t>.</w:t>
      </w:r>
    </w:p>
    <w:p w:rsidR="003F4437" w:rsidRDefault="003F4437" w:rsidP="003F4437">
      <w:pPr>
        <w:pStyle w:val="BodyText"/>
        <w:spacing w:before="0" w:after="0"/>
        <w:ind w:left="0"/>
      </w:pPr>
    </w:p>
    <w:p w:rsidR="00341670" w:rsidRDefault="00341670" w:rsidP="003F4437">
      <w:pPr>
        <w:pStyle w:val="BodyText"/>
        <w:spacing w:before="0" w:after="0"/>
        <w:ind w:left="0"/>
      </w:pPr>
      <w:r w:rsidRPr="0028347C">
        <w:t xml:space="preserve">The Trust is a charitable trust similar to a “Public Ancillary Fund” for tax purposes </w:t>
      </w:r>
      <w:r w:rsidR="00FC2B63">
        <w:t>and</w:t>
      </w:r>
      <w:r w:rsidR="00FC2B63" w:rsidRPr="0028347C">
        <w:t xml:space="preserve"> </w:t>
      </w:r>
      <w:r w:rsidRPr="0028347C">
        <w:t>is established solely for the provision of money, property or benefits to specified charities that are Australian Tax Office endorsed as income tax exempt charities. In this way, it is possible to have a</w:t>
      </w:r>
      <w:r w:rsidR="0051079B">
        <w:t xml:space="preserve"> specific group </w:t>
      </w:r>
      <w:r w:rsidRPr="0028347C">
        <w:t>of beneficiaries</w:t>
      </w:r>
      <w:r w:rsidR="0051079B">
        <w:t>, in this case the Noongar Corporations</w:t>
      </w:r>
      <w:r w:rsidRPr="0028347C">
        <w:t xml:space="preserve">. </w:t>
      </w:r>
    </w:p>
    <w:p w:rsidR="003F4437" w:rsidRPr="0028347C" w:rsidRDefault="003F4437" w:rsidP="003F4437">
      <w:pPr>
        <w:pStyle w:val="BodyText"/>
        <w:spacing w:before="0" w:after="0"/>
        <w:ind w:left="0"/>
      </w:pPr>
    </w:p>
    <w:p w:rsidR="00341670" w:rsidRDefault="00341670" w:rsidP="003F4437">
      <w:pPr>
        <w:pStyle w:val="BodyText"/>
        <w:spacing w:before="0" w:after="0"/>
        <w:ind w:left="0"/>
      </w:pPr>
      <w:r>
        <w:t>The</w:t>
      </w:r>
      <w:r w:rsidRPr="0028347C">
        <w:rPr>
          <w:rFonts w:eastAsia="Calibri"/>
        </w:rPr>
        <w:t xml:space="preserve"> Initial Trustee of the</w:t>
      </w:r>
      <w:r>
        <w:rPr>
          <w:rFonts w:eastAsia="Calibri"/>
        </w:rPr>
        <w:t xml:space="preserve"> Noongar Boodja Trust </w:t>
      </w:r>
      <w:r>
        <w:t>will be an independent Professional Trustee (Trustee), selected through a formal tendering process to manage the Trust.</w:t>
      </w:r>
      <w:r w:rsidRPr="003C2AFF">
        <w:t xml:space="preserve"> </w:t>
      </w:r>
      <w:r w:rsidRPr="0028347C">
        <w:t>The selection of the</w:t>
      </w:r>
      <w:r>
        <w:t xml:space="preserve"> </w:t>
      </w:r>
      <w:r w:rsidRPr="0028347C">
        <w:t xml:space="preserve">Trustee </w:t>
      </w:r>
      <w:r w:rsidR="00037374">
        <w:t>will</w:t>
      </w:r>
      <w:r w:rsidR="00037374" w:rsidRPr="0028347C">
        <w:t xml:space="preserve"> </w:t>
      </w:r>
      <w:r w:rsidRPr="0028347C">
        <w:t xml:space="preserve">be completed prior to the commencement of the </w:t>
      </w:r>
      <w:r w:rsidRPr="0028347C">
        <w:lastRenderedPageBreak/>
        <w:t>Trust Deed</w:t>
      </w:r>
      <w:r>
        <w:t xml:space="preserve">. </w:t>
      </w:r>
      <w:r w:rsidR="0051079B">
        <w:t xml:space="preserve">Commencement of the Trust Deed is </w:t>
      </w:r>
      <w:r>
        <w:t xml:space="preserve">dependent on the NNTT registering the ILUAs. </w:t>
      </w:r>
      <w:r w:rsidRPr="0028347C">
        <w:t xml:space="preserve"> </w:t>
      </w:r>
    </w:p>
    <w:p w:rsidR="003F4437" w:rsidRDefault="003F4437" w:rsidP="003F4437">
      <w:pPr>
        <w:pStyle w:val="BodyText"/>
        <w:spacing w:before="0" w:after="0"/>
        <w:ind w:left="0"/>
      </w:pPr>
    </w:p>
    <w:p w:rsidR="009D7DAF" w:rsidRDefault="00037374" w:rsidP="003F4437">
      <w:pPr>
        <w:pStyle w:val="BodyText"/>
        <w:spacing w:before="0" w:after="0"/>
        <w:ind w:left="0"/>
      </w:pPr>
      <w:r>
        <w:t>T</w:t>
      </w:r>
      <w:r w:rsidR="00D90609">
        <w:t>he Settlement</w:t>
      </w:r>
      <w:r>
        <w:t xml:space="preserve"> will provide</w:t>
      </w:r>
      <w:r w:rsidR="009D7DAF">
        <w:t xml:space="preserve"> </w:t>
      </w:r>
      <w:r w:rsidR="000B6AD7">
        <w:t>t</w:t>
      </w:r>
      <w:r w:rsidR="009D7DAF">
        <w:t xml:space="preserve">he Noongar Community </w:t>
      </w:r>
      <w:r>
        <w:t xml:space="preserve">with </w:t>
      </w:r>
      <w:r w:rsidR="009D7DAF">
        <w:t xml:space="preserve">a </w:t>
      </w:r>
      <w:r w:rsidR="000B6AD7">
        <w:t xml:space="preserve">range of </w:t>
      </w:r>
      <w:r w:rsidR="009D7DAF">
        <w:t xml:space="preserve">benefits </w:t>
      </w:r>
      <w:r w:rsidR="000B6AD7">
        <w:t xml:space="preserve">from the </w:t>
      </w:r>
      <w:r>
        <w:t xml:space="preserve">WA </w:t>
      </w:r>
      <w:r w:rsidR="000B6AD7">
        <w:t xml:space="preserve">Government over a 12 year period. </w:t>
      </w:r>
      <w:r w:rsidR="009D7DAF">
        <w:t xml:space="preserve">The Trust will receive, hold and </w:t>
      </w:r>
      <w:r w:rsidR="00D90609">
        <w:t>apply</w:t>
      </w:r>
      <w:r w:rsidR="009D7DAF">
        <w:t xml:space="preserve"> </w:t>
      </w:r>
      <w:r w:rsidR="000B6AD7">
        <w:t xml:space="preserve">these </w:t>
      </w:r>
      <w:r w:rsidR="009D7DAF">
        <w:t xml:space="preserve">benefits to or for the </w:t>
      </w:r>
      <w:r w:rsidR="00814AF8">
        <w:t xml:space="preserve">seven </w:t>
      </w:r>
      <w:r w:rsidR="009D7DAF">
        <w:t>Noongar Corporations</w:t>
      </w:r>
      <w:r w:rsidR="000B6AD7">
        <w:t xml:space="preserve">. The Noongar Corporations include </w:t>
      </w:r>
      <w:r w:rsidR="007F5760">
        <w:t xml:space="preserve">the </w:t>
      </w:r>
      <w:r w:rsidR="000B6AD7">
        <w:t>six Regional Corporations, which r</w:t>
      </w:r>
      <w:r w:rsidR="00C67AAA">
        <w:t>epresent the six ILUA areas and</w:t>
      </w:r>
      <w:r w:rsidR="00814AF8">
        <w:t xml:space="preserve"> </w:t>
      </w:r>
      <w:r w:rsidR="000B6AD7">
        <w:t>one Central Services Corporation.</w:t>
      </w:r>
    </w:p>
    <w:p w:rsidR="003F4437" w:rsidRDefault="003F4437" w:rsidP="003F4437">
      <w:pPr>
        <w:pStyle w:val="BodyText"/>
        <w:spacing w:before="0" w:after="0"/>
        <w:ind w:left="0"/>
      </w:pPr>
    </w:p>
    <w:p w:rsidR="000B6AD7" w:rsidRDefault="000B6AD7" w:rsidP="003F4437">
      <w:pPr>
        <w:pStyle w:val="BodyText"/>
        <w:spacing w:before="0" w:after="0"/>
        <w:ind w:left="0"/>
      </w:pPr>
      <w:r>
        <w:t>The Trust will</w:t>
      </w:r>
      <w:r w:rsidR="00D90609">
        <w:t xml:space="preserve"> receive and</w:t>
      </w:r>
      <w:r>
        <w:t xml:space="preserve"> </w:t>
      </w:r>
      <w:r w:rsidR="00D90609">
        <w:t xml:space="preserve">hold </w:t>
      </w:r>
      <w:r>
        <w:t>the following benefits:</w:t>
      </w:r>
    </w:p>
    <w:p w:rsidR="003F4437" w:rsidRDefault="003F4437" w:rsidP="003F4437">
      <w:pPr>
        <w:pStyle w:val="BodyText"/>
        <w:spacing w:before="0" w:after="0"/>
        <w:ind w:left="0"/>
      </w:pPr>
    </w:p>
    <w:p w:rsidR="009D7DAF" w:rsidRDefault="009D7DAF" w:rsidP="003F4437">
      <w:pPr>
        <w:pStyle w:val="BodyText"/>
        <w:numPr>
          <w:ilvl w:val="0"/>
          <w:numId w:val="13"/>
        </w:numPr>
        <w:spacing w:before="0"/>
      </w:pPr>
      <w:r>
        <w:t>Noongar Future Fund</w:t>
      </w:r>
      <w:r w:rsidR="001E4F36">
        <w:t xml:space="preserve"> - </w:t>
      </w:r>
      <w:r w:rsidR="001E4F36" w:rsidRPr="005726D1">
        <w:t>yearly instalme</w:t>
      </w:r>
      <w:r w:rsidR="001E4F36">
        <w:t>nts of $50 million for 12 years</w:t>
      </w:r>
      <w:r w:rsidR="00B01638">
        <w:t>;</w:t>
      </w:r>
    </w:p>
    <w:p w:rsidR="009D7DAF" w:rsidRDefault="009D7DAF" w:rsidP="003F4437">
      <w:pPr>
        <w:pStyle w:val="BodyText"/>
        <w:numPr>
          <w:ilvl w:val="0"/>
          <w:numId w:val="13"/>
        </w:numPr>
        <w:spacing w:before="0"/>
      </w:pPr>
      <w:r>
        <w:t>Operations Fund</w:t>
      </w:r>
      <w:r w:rsidR="001E4F36">
        <w:t xml:space="preserve"> - </w:t>
      </w:r>
      <w:r w:rsidR="001E4F36" w:rsidRPr="005726D1">
        <w:t xml:space="preserve">yearly </w:t>
      </w:r>
      <w:r w:rsidR="001E4F36">
        <w:t xml:space="preserve">instalments of </w:t>
      </w:r>
      <w:r w:rsidR="001E4F36" w:rsidRPr="005726D1">
        <w:t xml:space="preserve">$10 million </w:t>
      </w:r>
      <w:r w:rsidR="001E4F36">
        <w:t>for 12 years</w:t>
      </w:r>
      <w:r w:rsidR="00B01638">
        <w:t>;</w:t>
      </w:r>
    </w:p>
    <w:p w:rsidR="001E4F36" w:rsidRDefault="009D7DAF" w:rsidP="003F4437">
      <w:pPr>
        <w:pStyle w:val="BodyText"/>
        <w:numPr>
          <w:ilvl w:val="0"/>
          <w:numId w:val="13"/>
        </w:numPr>
        <w:spacing w:before="0"/>
      </w:pPr>
      <w:r>
        <w:t>Housing Land Fund</w:t>
      </w:r>
      <w:r w:rsidR="000B6AD7">
        <w:t xml:space="preserve"> - </w:t>
      </w:r>
      <w:r w:rsidR="000B6AD7" w:rsidRPr="005726D1">
        <w:t xml:space="preserve">121 </w:t>
      </w:r>
      <w:r w:rsidR="001E4F36">
        <w:t xml:space="preserve">Department of Housing </w:t>
      </w:r>
      <w:r w:rsidR="000B6AD7" w:rsidRPr="005726D1">
        <w:t>properties</w:t>
      </w:r>
      <w:r w:rsidR="000B6AD7">
        <w:t xml:space="preserve"> transferred in </w:t>
      </w:r>
      <w:r w:rsidR="000B6AD7" w:rsidRPr="005726D1">
        <w:t>freehold</w:t>
      </w:r>
      <w:r w:rsidR="000B6AD7">
        <w:t xml:space="preserve"> title</w:t>
      </w:r>
      <w:r w:rsidR="00B01638">
        <w:t>;</w:t>
      </w:r>
      <w:r w:rsidR="001E4F36">
        <w:t xml:space="preserve"> </w:t>
      </w:r>
    </w:p>
    <w:p w:rsidR="00341670" w:rsidRDefault="00341670" w:rsidP="003F4437">
      <w:pPr>
        <w:pStyle w:val="BodyText"/>
        <w:numPr>
          <w:ilvl w:val="0"/>
          <w:numId w:val="13"/>
        </w:numPr>
        <w:spacing w:before="0"/>
      </w:pPr>
      <w:r>
        <w:t xml:space="preserve">Cultural Land Fund – will hold land that forms part of the Noongar Land Estate for cultural purposes and </w:t>
      </w:r>
      <w:r w:rsidR="00C10B48">
        <w:t xml:space="preserve">is </w:t>
      </w:r>
      <w:r>
        <w:t>not for sale or development</w:t>
      </w:r>
      <w:r w:rsidR="00B01638">
        <w:t>; and</w:t>
      </w:r>
    </w:p>
    <w:p w:rsidR="000B6AD7" w:rsidRPr="00002927" w:rsidRDefault="00341670" w:rsidP="003F4437">
      <w:pPr>
        <w:pStyle w:val="BodyText"/>
        <w:numPr>
          <w:ilvl w:val="0"/>
          <w:numId w:val="13"/>
        </w:numPr>
        <w:spacing w:before="0"/>
      </w:pPr>
      <w:r>
        <w:t>Development Land Fund – will hold land that form</w:t>
      </w:r>
      <w:r w:rsidR="00C10B48">
        <w:t>s</w:t>
      </w:r>
      <w:r>
        <w:t xml:space="preserve"> part of the Noongar Land Estate </w:t>
      </w:r>
      <w:r w:rsidR="00C10B48">
        <w:t xml:space="preserve">for the purpose of development. </w:t>
      </w:r>
    </w:p>
    <w:p w:rsidR="00A248D7" w:rsidRDefault="00A248D7" w:rsidP="003F4437">
      <w:pPr>
        <w:pStyle w:val="BodyText"/>
        <w:spacing w:before="0"/>
        <w:ind w:left="720"/>
      </w:pPr>
    </w:p>
    <w:p w:rsidR="0005031B" w:rsidRDefault="0005031B" w:rsidP="0005031B">
      <w:pPr>
        <w:spacing w:after="0" w:line="240" w:lineRule="auto"/>
        <w:jc w:val="center"/>
        <w:rPr>
          <w:rFonts w:ascii="Arial" w:hAnsi="Arial" w:cs="Arial"/>
          <w:sz w:val="24"/>
          <w:szCs w:val="24"/>
        </w:rPr>
      </w:pPr>
      <w:r>
        <w:rPr>
          <w:rFonts w:ascii="ArialMT" w:hAnsi="ArialMT" w:cs="ArialMT"/>
          <w:color w:val="C75928"/>
          <w:sz w:val="48"/>
          <w:szCs w:val="48"/>
        </w:rPr>
        <w:t xml:space="preserve">What will the Noongar Boodja Trustee </w:t>
      </w:r>
      <w:r w:rsidR="00D90609">
        <w:rPr>
          <w:rFonts w:ascii="ArialMT" w:hAnsi="ArialMT" w:cs="ArialMT"/>
          <w:color w:val="C75928"/>
          <w:sz w:val="48"/>
          <w:szCs w:val="48"/>
        </w:rPr>
        <w:t>d</w:t>
      </w:r>
      <w:r>
        <w:rPr>
          <w:rFonts w:ascii="ArialMT" w:hAnsi="ArialMT" w:cs="ArialMT"/>
          <w:color w:val="C75928"/>
          <w:sz w:val="48"/>
          <w:szCs w:val="48"/>
        </w:rPr>
        <w:t>o?</w:t>
      </w:r>
    </w:p>
    <w:p w:rsidR="0005031B" w:rsidRDefault="0051235A" w:rsidP="003F4437">
      <w:pPr>
        <w:pStyle w:val="BodyText"/>
        <w:spacing w:after="0"/>
        <w:ind w:left="0"/>
      </w:pPr>
      <w:r>
        <w:t>The</w:t>
      </w:r>
      <w:r w:rsidRPr="0028347C">
        <w:rPr>
          <w:rFonts w:eastAsia="Calibri"/>
        </w:rPr>
        <w:t xml:space="preserve"> Initial Trustee of the</w:t>
      </w:r>
      <w:r>
        <w:rPr>
          <w:rFonts w:eastAsia="Calibri"/>
        </w:rPr>
        <w:t xml:space="preserve"> Noongar Boodja Trust </w:t>
      </w:r>
      <w:r w:rsidR="001E4F36">
        <w:t>will be an I</w:t>
      </w:r>
      <w:r>
        <w:t xml:space="preserve">ndependent </w:t>
      </w:r>
      <w:r w:rsidR="007F5760">
        <w:t xml:space="preserve">Professional Trustee, </w:t>
      </w:r>
      <w:r w:rsidR="001E4F36">
        <w:t xml:space="preserve">and </w:t>
      </w:r>
      <w:r w:rsidR="0005031B" w:rsidRPr="0028347C">
        <w:t xml:space="preserve">must apply the Trust Fund solely for the purpose of providing money, property or benefits to or for </w:t>
      </w:r>
      <w:r w:rsidR="001D3C28">
        <w:t xml:space="preserve">the Noongar Corporations. </w:t>
      </w:r>
      <w:r w:rsidR="001E4F36">
        <w:t>Importantly, t</w:t>
      </w:r>
      <w:r w:rsidR="0005031B" w:rsidRPr="0028347C">
        <w:t>he Trust</w:t>
      </w:r>
      <w:r w:rsidR="001D3C28">
        <w:t>ee</w:t>
      </w:r>
      <w:r w:rsidR="0005031B" w:rsidRPr="0028347C">
        <w:t xml:space="preserve"> cannot distribute </w:t>
      </w:r>
      <w:r w:rsidR="001E4F36">
        <w:t xml:space="preserve">any payments to individuals, as the seven Noongar Corporations are the only beneficiaries to the Trust. </w:t>
      </w:r>
    </w:p>
    <w:p w:rsidR="0005031B" w:rsidRDefault="0005031B" w:rsidP="003F4437">
      <w:pPr>
        <w:spacing w:after="0" w:line="240" w:lineRule="auto"/>
        <w:jc w:val="both"/>
        <w:rPr>
          <w:rFonts w:ascii="Arial" w:hAnsi="Arial" w:cs="Arial"/>
          <w:sz w:val="24"/>
          <w:szCs w:val="24"/>
        </w:rPr>
      </w:pPr>
    </w:p>
    <w:p w:rsidR="0005031B" w:rsidRDefault="0005031B" w:rsidP="003F4437">
      <w:pPr>
        <w:spacing w:after="0" w:line="240" w:lineRule="auto"/>
        <w:jc w:val="both"/>
        <w:rPr>
          <w:rFonts w:ascii="Arial" w:hAnsi="Arial" w:cs="Arial"/>
          <w:sz w:val="24"/>
          <w:szCs w:val="24"/>
        </w:rPr>
      </w:pPr>
      <w:r>
        <w:rPr>
          <w:rFonts w:ascii="Arial" w:hAnsi="Arial" w:cs="Arial"/>
          <w:sz w:val="24"/>
          <w:szCs w:val="24"/>
        </w:rPr>
        <w:t xml:space="preserve">The Independent Professional Trustee Company will </w:t>
      </w:r>
      <w:r w:rsidRPr="0028347C">
        <w:rPr>
          <w:rFonts w:ascii="Arial" w:hAnsi="Arial" w:cs="Arial"/>
          <w:sz w:val="24"/>
          <w:szCs w:val="24"/>
        </w:rPr>
        <w:t>provide the following services in two stages:</w:t>
      </w:r>
    </w:p>
    <w:p w:rsidR="0005031B" w:rsidRPr="0028347C" w:rsidRDefault="0005031B" w:rsidP="0005031B">
      <w:pPr>
        <w:spacing w:after="0" w:line="240" w:lineRule="auto"/>
        <w:jc w:val="both"/>
        <w:rPr>
          <w:rFonts w:ascii="Arial" w:hAnsi="Arial" w:cs="Arial"/>
          <w:sz w:val="24"/>
          <w:szCs w:val="24"/>
        </w:rPr>
      </w:pPr>
    </w:p>
    <w:p w:rsidR="0005031B" w:rsidRDefault="0005031B" w:rsidP="0005031B">
      <w:pPr>
        <w:pStyle w:val="ListParagraph"/>
        <w:numPr>
          <w:ilvl w:val="0"/>
          <w:numId w:val="8"/>
        </w:numPr>
        <w:spacing w:after="0"/>
        <w:jc w:val="both"/>
        <w:rPr>
          <w:rFonts w:ascii="Arial" w:eastAsia="Times New Roman" w:hAnsi="Arial" w:cs="Arial"/>
          <w:sz w:val="24"/>
          <w:szCs w:val="24"/>
        </w:rPr>
      </w:pPr>
      <w:r w:rsidRPr="0028347C">
        <w:rPr>
          <w:rFonts w:ascii="Arial" w:hAnsi="Arial" w:cs="Arial"/>
          <w:sz w:val="24"/>
          <w:szCs w:val="24"/>
        </w:rPr>
        <w:t xml:space="preserve">Preliminary </w:t>
      </w:r>
      <w:r>
        <w:rPr>
          <w:rFonts w:ascii="Arial" w:hAnsi="Arial" w:cs="Arial"/>
          <w:sz w:val="24"/>
          <w:szCs w:val="24"/>
        </w:rPr>
        <w:t>S</w:t>
      </w:r>
      <w:r w:rsidRPr="0028347C">
        <w:rPr>
          <w:rFonts w:ascii="Arial" w:hAnsi="Arial" w:cs="Arial"/>
          <w:sz w:val="24"/>
          <w:szCs w:val="24"/>
        </w:rPr>
        <w:t>ervices</w:t>
      </w:r>
      <w:r w:rsidR="00D90609">
        <w:rPr>
          <w:rFonts w:ascii="Arial" w:hAnsi="Arial" w:cs="Arial"/>
          <w:sz w:val="24"/>
          <w:szCs w:val="24"/>
        </w:rPr>
        <w:t>:</w:t>
      </w:r>
      <w:r w:rsidRPr="0028347C">
        <w:rPr>
          <w:rFonts w:ascii="Arial" w:hAnsi="Arial" w:cs="Arial"/>
          <w:sz w:val="24"/>
          <w:szCs w:val="24"/>
        </w:rPr>
        <w:t xml:space="preserve"> </w:t>
      </w:r>
      <w:r w:rsidRPr="0028347C">
        <w:rPr>
          <w:rFonts w:ascii="Arial" w:eastAsia="Times New Roman" w:hAnsi="Arial" w:cs="Arial"/>
          <w:sz w:val="24"/>
          <w:szCs w:val="24"/>
        </w:rPr>
        <w:t xml:space="preserve">which </w:t>
      </w:r>
      <w:r>
        <w:rPr>
          <w:rFonts w:ascii="Arial" w:eastAsia="Times New Roman" w:hAnsi="Arial" w:cs="Arial"/>
          <w:sz w:val="24"/>
          <w:szCs w:val="24"/>
        </w:rPr>
        <w:t xml:space="preserve">may </w:t>
      </w:r>
      <w:r w:rsidRPr="0028347C">
        <w:rPr>
          <w:rFonts w:ascii="Arial" w:eastAsia="Times New Roman" w:hAnsi="Arial" w:cs="Arial"/>
          <w:sz w:val="24"/>
          <w:szCs w:val="24"/>
        </w:rPr>
        <w:t xml:space="preserve">be provided </w:t>
      </w:r>
      <w:r>
        <w:rPr>
          <w:rFonts w:ascii="Arial" w:eastAsia="Times New Roman" w:hAnsi="Arial" w:cs="Arial"/>
          <w:sz w:val="24"/>
          <w:szCs w:val="24"/>
        </w:rPr>
        <w:t xml:space="preserve">prior to the declaration of the Trust, to </w:t>
      </w:r>
      <w:r w:rsidRPr="00C94C11">
        <w:rPr>
          <w:rFonts w:ascii="Arial" w:eastAsia="Times New Roman" w:hAnsi="Arial" w:cs="Arial"/>
          <w:sz w:val="24"/>
          <w:szCs w:val="24"/>
        </w:rPr>
        <w:t xml:space="preserve">pave the way for a successful and productive first year of the </w:t>
      </w:r>
      <w:r>
        <w:rPr>
          <w:rFonts w:ascii="Arial" w:eastAsia="Times New Roman" w:hAnsi="Arial" w:cs="Arial"/>
          <w:sz w:val="24"/>
          <w:szCs w:val="24"/>
        </w:rPr>
        <w:t>Trust</w:t>
      </w:r>
      <w:r w:rsidRPr="0028347C">
        <w:rPr>
          <w:rFonts w:ascii="Arial" w:eastAsia="Times New Roman" w:hAnsi="Arial" w:cs="Arial"/>
          <w:sz w:val="24"/>
          <w:szCs w:val="24"/>
        </w:rPr>
        <w:t>; and</w:t>
      </w:r>
    </w:p>
    <w:p w:rsidR="0005031B" w:rsidRDefault="0005031B" w:rsidP="0005031B">
      <w:pPr>
        <w:pStyle w:val="ListParagraph"/>
        <w:spacing w:after="0"/>
        <w:ind w:left="1080"/>
        <w:jc w:val="both"/>
        <w:rPr>
          <w:rFonts w:ascii="Arial" w:eastAsia="Times New Roman" w:hAnsi="Arial" w:cs="Arial"/>
          <w:sz w:val="24"/>
          <w:szCs w:val="24"/>
        </w:rPr>
      </w:pPr>
    </w:p>
    <w:p w:rsidR="0005031B" w:rsidRPr="00C94C11" w:rsidRDefault="0005031B" w:rsidP="0005031B">
      <w:pPr>
        <w:pStyle w:val="ListParagraph"/>
        <w:numPr>
          <w:ilvl w:val="0"/>
          <w:numId w:val="8"/>
        </w:numPr>
        <w:spacing w:after="0"/>
        <w:jc w:val="both"/>
        <w:rPr>
          <w:rFonts w:ascii="Arial" w:eastAsia="Times New Roman" w:hAnsi="Arial" w:cs="Arial"/>
          <w:sz w:val="24"/>
          <w:szCs w:val="24"/>
        </w:rPr>
      </w:pPr>
      <w:r w:rsidRPr="00C94C11">
        <w:rPr>
          <w:rFonts w:ascii="Arial" w:hAnsi="Arial" w:cs="Arial"/>
          <w:sz w:val="24"/>
          <w:szCs w:val="24"/>
        </w:rPr>
        <w:t xml:space="preserve">Professional Trustee </w:t>
      </w:r>
      <w:r>
        <w:rPr>
          <w:rFonts w:ascii="Arial" w:hAnsi="Arial" w:cs="Arial"/>
          <w:sz w:val="24"/>
          <w:szCs w:val="24"/>
        </w:rPr>
        <w:t>Services</w:t>
      </w:r>
      <w:r w:rsidR="00D90609">
        <w:rPr>
          <w:rFonts w:ascii="Arial" w:hAnsi="Arial" w:cs="Arial"/>
          <w:sz w:val="24"/>
          <w:szCs w:val="24"/>
        </w:rPr>
        <w:t>:</w:t>
      </w:r>
      <w:r>
        <w:rPr>
          <w:rFonts w:ascii="Arial" w:hAnsi="Arial" w:cs="Arial"/>
          <w:sz w:val="24"/>
          <w:szCs w:val="24"/>
        </w:rPr>
        <w:t xml:space="preserve"> </w:t>
      </w:r>
      <w:r w:rsidR="00E71336">
        <w:rPr>
          <w:rFonts w:ascii="Arial" w:hAnsi="Arial" w:cs="Arial"/>
          <w:sz w:val="24"/>
          <w:szCs w:val="24"/>
        </w:rPr>
        <w:t>to</w:t>
      </w:r>
      <w:r>
        <w:rPr>
          <w:rFonts w:ascii="Arial" w:hAnsi="Arial" w:cs="Arial"/>
          <w:sz w:val="24"/>
          <w:szCs w:val="24"/>
        </w:rPr>
        <w:t xml:space="preserve"> </w:t>
      </w:r>
      <w:r w:rsidRPr="00C94C11">
        <w:rPr>
          <w:rFonts w:ascii="Arial" w:hAnsi="Arial" w:cs="Arial"/>
          <w:sz w:val="24"/>
          <w:szCs w:val="24"/>
        </w:rPr>
        <w:t>be provided upon the commencement of the Noongar Boodja Trust Deed. It is contemplated that these services will be for a period of up to twelve years as provided under the Deed.</w:t>
      </w:r>
    </w:p>
    <w:p w:rsidR="0030450A" w:rsidRDefault="0030450A" w:rsidP="0005031B">
      <w:pPr>
        <w:pStyle w:val="BodyText"/>
        <w:ind w:left="0"/>
      </w:pPr>
    </w:p>
    <w:p w:rsidR="0005031B" w:rsidRDefault="001D3C28" w:rsidP="0005031B">
      <w:pPr>
        <w:pStyle w:val="BodyText"/>
        <w:ind w:left="0"/>
      </w:pPr>
      <w:r>
        <w:lastRenderedPageBreak/>
        <w:t>The Profe</w:t>
      </w:r>
      <w:r w:rsidR="007F5760">
        <w:t>ssional Trustee Services to be provided</w:t>
      </w:r>
      <w:r>
        <w:t xml:space="preserve"> by the Trustee </w:t>
      </w:r>
      <w:r w:rsidR="00A90BC5">
        <w:t xml:space="preserve">will </w:t>
      </w:r>
      <w:r>
        <w:t xml:space="preserve">include </w:t>
      </w:r>
      <w:r w:rsidR="00C527ED">
        <w:t>(but are not limited to)</w:t>
      </w:r>
      <w:r>
        <w:t xml:space="preserve"> the </w:t>
      </w:r>
      <w:r w:rsidR="00D90609">
        <w:t>following</w:t>
      </w:r>
      <w:r>
        <w:t xml:space="preserve">: </w:t>
      </w:r>
    </w:p>
    <w:p w:rsidR="00C527ED" w:rsidRDefault="00C527ED" w:rsidP="001D3C28">
      <w:pPr>
        <w:pStyle w:val="BodyText"/>
        <w:numPr>
          <w:ilvl w:val="0"/>
          <w:numId w:val="14"/>
        </w:numPr>
      </w:pPr>
      <w:r>
        <w:t>Support Noongar social, cultural and economic development</w:t>
      </w:r>
      <w:r w:rsidR="00B01638">
        <w:t>;</w:t>
      </w:r>
    </w:p>
    <w:p w:rsidR="0051235A" w:rsidRDefault="0051235A" w:rsidP="001D3C28">
      <w:pPr>
        <w:pStyle w:val="BodyText"/>
        <w:numPr>
          <w:ilvl w:val="0"/>
          <w:numId w:val="14"/>
        </w:numPr>
      </w:pPr>
      <w:r>
        <w:t xml:space="preserve">Manage the Future Fund so that it can meet operating costs of the Noongar Corporations </w:t>
      </w:r>
      <w:r w:rsidR="007F5760">
        <w:t xml:space="preserve">after the 12 year </w:t>
      </w:r>
      <w:r w:rsidR="00E71336">
        <w:t xml:space="preserve">WA Government </w:t>
      </w:r>
      <w:r w:rsidR="007F5760">
        <w:t>Contribution Period</w:t>
      </w:r>
      <w:r w:rsidR="00B01638">
        <w:t>;</w:t>
      </w:r>
    </w:p>
    <w:p w:rsidR="00C527ED" w:rsidRDefault="00C527ED" w:rsidP="001D3C28">
      <w:pPr>
        <w:pStyle w:val="BodyText"/>
        <w:numPr>
          <w:ilvl w:val="0"/>
          <w:numId w:val="14"/>
        </w:numPr>
      </w:pPr>
      <w:r>
        <w:t xml:space="preserve">Invest </w:t>
      </w:r>
      <w:r w:rsidR="0051079B">
        <w:t xml:space="preserve">and manage </w:t>
      </w:r>
      <w:r>
        <w:t xml:space="preserve">the Future Fund to reach a Target Capital Base, this is 90% of the total value of the Future Fund at the end of the 12 years </w:t>
      </w:r>
      <w:r w:rsidR="0030450A">
        <w:t xml:space="preserve">of Government instalments. The Trustee will not be able to draw down on the Capital Base, </w:t>
      </w:r>
      <w:r w:rsidR="0051079B">
        <w:t xml:space="preserve">to </w:t>
      </w:r>
      <w:r w:rsidR="0030450A">
        <w:t>ensur</w:t>
      </w:r>
      <w:r w:rsidR="0051079B">
        <w:t>e</w:t>
      </w:r>
      <w:r w:rsidR="0030450A">
        <w:t xml:space="preserve"> perpetual funds for the </w:t>
      </w:r>
      <w:r w:rsidR="0097475E">
        <w:t>benefit of the Noongar Community</w:t>
      </w:r>
      <w:r w:rsidR="00B01638">
        <w:t>;</w:t>
      </w:r>
    </w:p>
    <w:p w:rsidR="0030450A" w:rsidRDefault="0030450A" w:rsidP="001D3C28">
      <w:pPr>
        <w:pStyle w:val="BodyText"/>
        <w:numPr>
          <w:ilvl w:val="0"/>
          <w:numId w:val="14"/>
        </w:numPr>
      </w:pPr>
      <w:r>
        <w:t xml:space="preserve">Invest and manage the Operations Fund for annual distribution to the </w:t>
      </w:r>
      <w:r w:rsidR="0097475E">
        <w:t>Noongar Corporations</w:t>
      </w:r>
      <w:r w:rsidR="00B01638">
        <w:t>;</w:t>
      </w:r>
    </w:p>
    <w:p w:rsidR="00C527ED" w:rsidRDefault="00C527ED" w:rsidP="001D3C28">
      <w:pPr>
        <w:pStyle w:val="BodyText"/>
        <w:numPr>
          <w:ilvl w:val="0"/>
          <w:numId w:val="14"/>
        </w:numPr>
      </w:pPr>
      <w:r>
        <w:t>Manage the Land Estate so that it contributes profit</w:t>
      </w:r>
      <w:r w:rsidR="00E71336">
        <w:t>s</w:t>
      </w:r>
      <w:r>
        <w:t xml:space="preserve"> to the Future Fund and supports </w:t>
      </w:r>
      <w:r w:rsidR="0097475E">
        <w:t>Noongar b</w:t>
      </w:r>
      <w:r>
        <w:t xml:space="preserve">usiness </w:t>
      </w:r>
      <w:r w:rsidR="0097475E">
        <w:t xml:space="preserve">and cultural development </w:t>
      </w:r>
      <w:r>
        <w:t>where possible</w:t>
      </w:r>
      <w:r w:rsidR="00B01638">
        <w:t>;</w:t>
      </w:r>
    </w:p>
    <w:p w:rsidR="009946DC" w:rsidRDefault="009946DC" w:rsidP="001D3C28">
      <w:pPr>
        <w:pStyle w:val="BodyText"/>
        <w:numPr>
          <w:ilvl w:val="0"/>
          <w:numId w:val="14"/>
        </w:numPr>
      </w:pPr>
      <w:r>
        <w:t xml:space="preserve">Hold and invest the housing stock in a manner that improves </w:t>
      </w:r>
      <w:r w:rsidRPr="00B20FC4">
        <w:t>housing</w:t>
      </w:r>
      <w:r>
        <w:t xml:space="preserve"> outcomes for the Noongar Community</w:t>
      </w:r>
      <w:r w:rsidR="00B01638">
        <w:t>; and</w:t>
      </w:r>
    </w:p>
    <w:p w:rsidR="00FF64BC" w:rsidRPr="003F4437" w:rsidRDefault="009946DC" w:rsidP="003F4437">
      <w:pPr>
        <w:pStyle w:val="BodyText"/>
        <w:numPr>
          <w:ilvl w:val="0"/>
          <w:numId w:val="14"/>
        </w:numPr>
      </w:pPr>
      <w:r>
        <w:t xml:space="preserve">Consult with the </w:t>
      </w:r>
      <w:r w:rsidR="0097475E">
        <w:t xml:space="preserve">Noongar Corporations Committee, the Noongar Advisory Company, </w:t>
      </w:r>
      <w:r w:rsidR="00A90BC5">
        <w:t xml:space="preserve">the </w:t>
      </w:r>
      <w:r w:rsidR="0097475E">
        <w:t xml:space="preserve">Noongar Relationships Committee, </w:t>
      </w:r>
      <w:r w:rsidR="00A90BC5">
        <w:t xml:space="preserve">the </w:t>
      </w:r>
      <w:r w:rsidR="0097475E">
        <w:t>Nominations Committee and</w:t>
      </w:r>
      <w:r w:rsidR="00A90BC5">
        <w:t xml:space="preserve"> the</w:t>
      </w:r>
      <w:r w:rsidR="0097475E">
        <w:t xml:space="preserve"> Investments Commi</w:t>
      </w:r>
      <w:r w:rsidR="00A90BC5">
        <w:t>ttee to ensure the</w:t>
      </w:r>
      <w:r w:rsidR="0097475E">
        <w:t xml:space="preserve"> Trustee is meeting the needs of the Noongar Community. </w:t>
      </w:r>
    </w:p>
    <w:p w:rsidR="0051079B" w:rsidRDefault="0051079B" w:rsidP="0005031B">
      <w:pPr>
        <w:spacing w:after="0" w:line="240" w:lineRule="auto"/>
        <w:jc w:val="both"/>
        <w:rPr>
          <w:rFonts w:ascii="Arial" w:hAnsi="Arial" w:cs="Arial"/>
        </w:rPr>
      </w:pPr>
    </w:p>
    <w:p w:rsidR="0005031B" w:rsidRDefault="0005031B" w:rsidP="0005031B">
      <w:pPr>
        <w:spacing w:line="240" w:lineRule="auto"/>
        <w:jc w:val="center"/>
        <w:rPr>
          <w:rFonts w:ascii="ArialMT" w:hAnsi="ArialMT" w:cs="ArialMT"/>
          <w:color w:val="C75928"/>
          <w:sz w:val="48"/>
          <w:szCs w:val="48"/>
        </w:rPr>
      </w:pPr>
      <w:r>
        <w:rPr>
          <w:rFonts w:ascii="ArialMT" w:hAnsi="ArialMT" w:cs="ArialMT"/>
          <w:color w:val="C75928"/>
          <w:sz w:val="48"/>
          <w:szCs w:val="48"/>
        </w:rPr>
        <w:t xml:space="preserve">How will the </w:t>
      </w:r>
      <w:r w:rsidR="00BD73A3">
        <w:rPr>
          <w:rFonts w:ascii="ArialMT" w:hAnsi="ArialMT" w:cs="ArialMT"/>
          <w:color w:val="C75928"/>
          <w:sz w:val="48"/>
          <w:szCs w:val="48"/>
        </w:rPr>
        <w:t xml:space="preserve">Professional </w:t>
      </w:r>
      <w:r>
        <w:rPr>
          <w:rFonts w:ascii="ArialMT" w:hAnsi="ArialMT" w:cs="ArialMT"/>
          <w:color w:val="C75928"/>
          <w:sz w:val="48"/>
          <w:szCs w:val="48"/>
        </w:rPr>
        <w:t>Trustee be selected?</w:t>
      </w:r>
    </w:p>
    <w:p w:rsidR="00FF64BC" w:rsidRDefault="00E71336" w:rsidP="0005031B">
      <w:pPr>
        <w:spacing w:after="0" w:line="240" w:lineRule="auto"/>
        <w:jc w:val="both"/>
        <w:rPr>
          <w:rFonts w:ascii="Arial" w:eastAsia="Calibri" w:hAnsi="Arial" w:cs="Arial"/>
          <w:sz w:val="24"/>
          <w:szCs w:val="24"/>
        </w:rPr>
      </w:pPr>
      <w:r>
        <w:rPr>
          <w:rFonts w:ascii="Arial" w:eastAsia="Calibri" w:hAnsi="Arial" w:cs="Arial"/>
          <w:sz w:val="24"/>
          <w:szCs w:val="24"/>
        </w:rPr>
        <w:t>F</w:t>
      </w:r>
      <w:r w:rsidR="0005031B" w:rsidRPr="0028347C">
        <w:rPr>
          <w:rFonts w:ascii="Arial" w:eastAsia="Calibri" w:hAnsi="Arial" w:cs="Arial"/>
          <w:sz w:val="24"/>
          <w:szCs w:val="24"/>
        </w:rPr>
        <w:t>or the selection and appointment o</w:t>
      </w:r>
      <w:r w:rsidR="0005031B">
        <w:rPr>
          <w:rFonts w:ascii="Arial" w:eastAsia="Calibri" w:hAnsi="Arial" w:cs="Arial"/>
          <w:sz w:val="24"/>
          <w:szCs w:val="24"/>
        </w:rPr>
        <w:t>f the</w:t>
      </w:r>
      <w:r w:rsidR="0005031B" w:rsidRPr="0028347C">
        <w:rPr>
          <w:rFonts w:ascii="Arial" w:eastAsia="Calibri" w:hAnsi="Arial" w:cs="Arial"/>
          <w:sz w:val="24"/>
          <w:szCs w:val="24"/>
        </w:rPr>
        <w:t xml:space="preserve"> Trustee </w:t>
      </w:r>
      <w:r>
        <w:rPr>
          <w:rFonts w:ascii="Arial" w:eastAsia="Calibri" w:hAnsi="Arial" w:cs="Arial"/>
          <w:sz w:val="24"/>
          <w:szCs w:val="24"/>
        </w:rPr>
        <w:t xml:space="preserve">a formal tendering process, </w:t>
      </w:r>
      <w:r w:rsidR="0005031B" w:rsidRPr="0028347C">
        <w:rPr>
          <w:rFonts w:ascii="Arial" w:eastAsia="Calibri" w:hAnsi="Arial" w:cs="Arial"/>
          <w:sz w:val="24"/>
          <w:szCs w:val="24"/>
        </w:rPr>
        <w:t xml:space="preserve">in accordance with </w:t>
      </w:r>
      <w:r>
        <w:rPr>
          <w:rFonts w:ascii="Arial" w:eastAsia="Calibri" w:hAnsi="Arial" w:cs="Arial"/>
          <w:sz w:val="24"/>
          <w:szCs w:val="24"/>
        </w:rPr>
        <w:t>WA Government</w:t>
      </w:r>
      <w:r w:rsidR="0005031B" w:rsidRPr="0028347C">
        <w:rPr>
          <w:rFonts w:ascii="Arial" w:eastAsia="Calibri" w:hAnsi="Arial" w:cs="Arial"/>
          <w:sz w:val="24"/>
          <w:szCs w:val="24"/>
        </w:rPr>
        <w:t xml:space="preserve"> procurement policies</w:t>
      </w:r>
      <w:r w:rsidR="001C3CDE">
        <w:rPr>
          <w:rFonts w:ascii="Arial" w:eastAsia="Calibri" w:hAnsi="Arial" w:cs="Arial"/>
          <w:sz w:val="24"/>
          <w:szCs w:val="24"/>
        </w:rPr>
        <w:t xml:space="preserve"> will take place</w:t>
      </w:r>
      <w:r>
        <w:rPr>
          <w:rFonts w:ascii="Arial" w:eastAsia="Calibri" w:hAnsi="Arial" w:cs="Arial"/>
          <w:sz w:val="24"/>
          <w:szCs w:val="24"/>
        </w:rPr>
        <w:t>.</w:t>
      </w:r>
      <w:r w:rsidR="0005031B" w:rsidRPr="0028347C">
        <w:rPr>
          <w:rFonts w:ascii="Arial" w:eastAsia="Calibri" w:hAnsi="Arial" w:cs="Arial"/>
          <w:sz w:val="24"/>
          <w:szCs w:val="24"/>
        </w:rPr>
        <w:t xml:space="preserve"> </w:t>
      </w:r>
      <w:r>
        <w:rPr>
          <w:rFonts w:ascii="Arial" w:hAnsi="Arial" w:cs="Arial"/>
          <w:sz w:val="24"/>
          <w:szCs w:val="24"/>
        </w:rPr>
        <w:t>This</w:t>
      </w:r>
      <w:r w:rsidR="0005031B" w:rsidRPr="0028347C">
        <w:rPr>
          <w:rFonts w:ascii="Arial" w:hAnsi="Arial" w:cs="Arial"/>
          <w:sz w:val="24"/>
          <w:szCs w:val="24"/>
        </w:rPr>
        <w:t xml:space="preserve"> </w:t>
      </w:r>
      <w:r w:rsidR="001C3CDE" w:rsidRPr="0028347C">
        <w:rPr>
          <w:rFonts w:ascii="Arial" w:hAnsi="Arial" w:cs="Arial"/>
          <w:sz w:val="24"/>
          <w:szCs w:val="24"/>
        </w:rPr>
        <w:t>important</w:t>
      </w:r>
      <w:r w:rsidR="0005031B" w:rsidRPr="0028347C">
        <w:rPr>
          <w:rFonts w:ascii="Arial" w:hAnsi="Arial" w:cs="Arial"/>
          <w:sz w:val="24"/>
          <w:szCs w:val="24"/>
        </w:rPr>
        <w:t xml:space="preserve"> process </w:t>
      </w:r>
      <w:r w:rsidR="001C3CDE">
        <w:rPr>
          <w:rFonts w:ascii="Arial" w:hAnsi="Arial" w:cs="Arial"/>
          <w:sz w:val="24"/>
          <w:szCs w:val="24"/>
        </w:rPr>
        <w:t>will be managed</w:t>
      </w:r>
      <w:r w:rsidR="001C3CDE" w:rsidRPr="0028347C">
        <w:rPr>
          <w:rFonts w:ascii="Arial" w:hAnsi="Arial" w:cs="Arial"/>
          <w:sz w:val="24"/>
          <w:szCs w:val="24"/>
        </w:rPr>
        <w:t xml:space="preserve"> </w:t>
      </w:r>
      <w:r w:rsidR="0005031B">
        <w:rPr>
          <w:rFonts w:ascii="Arial" w:hAnsi="Arial" w:cs="Arial"/>
          <w:sz w:val="24"/>
          <w:szCs w:val="24"/>
        </w:rPr>
        <w:t xml:space="preserve">collaboratively </w:t>
      </w:r>
      <w:r w:rsidR="0005031B" w:rsidRPr="0028347C">
        <w:rPr>
          <w:rFonts w:ascii="Arial" w:hAnsi="Arial" w:cs="Arial"/>
          <w:sz w:val="24"/>
          <w:szCs w:val="24"/>
        </w:rPr>
        <w:t xml:space="preserve">between the </w:t>
      </w:r>
      <w:r w:rsidR="001C3CDE">
        <w:rPr>
          <w:rFonts w:ascii="Arial" w:hAnsi="Arial" w:cs="Arial"/>
          <w:sz w:val="24"/>
          <w:szCs w:val="24"/>
        </w:rPr>
        <w:t xml:space="preserve">WA </w:t>
      </w:r>
      <w:r w:rsidR="00A90BC5">
        <w:rPr>
          <w:rFonts w:ascii="Arial" w:hAnsi="Arial" w:cs="Arial"/>
          <w:sz w:val="24"/>
          <w:szCs w:val="24"/>
        </w:rPr>
        <w:t>Government and SWALSC</w:t>
      </w:r>
      <w:r w:rsidR="007F5760">
        <w:rPr>
          <w:rFonts w:ascii="Arial" w:eastAsia="Calibri" w:hAnsi="Arial" w:cs="Arial"/>
          <w:sz w:val="24"/>
          <w:szCs w:val="24"/>
        </w:rPr>
        <w:t>.</w:t>
      </w:r>
    </w:p>
    <w:p w:rsidR="00FF64BC" w:rsidRDefault="00FF64BC" w:rsidP="0005031B">
      <w:pPr>
        <w:spacing w:after="0" w:line="240" w:lineRule="auto"/>
        <w:jc w:val="both"/>
        <w:rPr>
          <w:rFonts w:ascii="Arial" w:eastAsia="Calibri" w:hAnsi="Arial" w:cs="Arial"/>
          <w:sz w:val="24"/>
          <w:szCs w:val="24"/>
        </w:rPr>
      </w:pPr>
    </w:p>
    <w:p w:rsidR="0005031B" w:rsidRDefault="0005031B" w:rsidP="0005031B">
      <w:pPr>
        <w:spacing w:after="0" w:line="240" w:lineRule="auto"/>
        <w:jc w:val="both"/>
        <w:rPr>
          <w:rFonts w:ascii="Arial" w:eastAsia="Calibri" w:hAnsi="Arial" w:cs="Arial"/>
          <w:sz w:val="24"/>
          <w:szCs w:val="24"/>
        </w:rPr>
      </w:pPr>
      <w:r>
        <w:rPr>
          <w:rFonts w:ascii="Arial" w:eastAsia="Calibri" w:hAnsi="Arial" w:cs="Arial"/>
          <w:sz w:val="24"/>
          <w:szCs w:val="24"/>
        </w:rPr>
        <w:t>Th</w:t>
      </w:r>
      <w:r w:rsidR="001C3CDE">
        <w:rPr>
          <w:rFonts w:ascii="Arial" w:eastAsia="Calibri" w:hAnsi="Arial" w:cs="Arial"/>
          <w:sz w:val="24"/>
          <w:szCs w:val="24"/>
        </w:rPr>
        <w:t>e</w:t>
      </w:r>
      <w:r>
        <w:rPr>
          <w:rFonts w:ascii="Arial" w:eastAsia="Calibri" w:hAnsi="Arial" w:cs="Arial"/>
          <w:sz w:val="24"/>
          <w:szCs w:val="24"/>
        </w:rPr>
        <w:t xml:space="preserve"> process includes:</w:t>
      </w:r>
    </w:p>
    <w:p w:rsidR="0005031B" w:rsidRDefault="0005031B" w:rsidP="0005031B">
      <w:pPr>
        <w:spacing w:after="0" w:line="240" w:lineRule="auto"/>
        <w:jc w:val="both"/>
        <w:rPr>
          <w:rFonts w:ascii="Arial" w:eastAsia="Calibri" w:hAnsi="Arial" w:cs="Arial"/>
          <w:sz w:val="24"/>
          <w:szCs w:val="24"/>
        </w:rPr>
      </w:pPr>
    </w:p>
    <w:p w:rsidR="0005031B" w:rsidRDefault="00C67AAA" w:rsidP="0005031B">
      <w:pPr>
        <w:pStyle w:val="ListParagraph"/>
        <w:numPr>
          <w:ilvl w:val="0"/>
          <w:numId w:val="11"/>
        </w:numPr>
        <w:spacing w:after="0"/>
        <w:jc w:val="both"/>
        <w:rPr>
          <w:rFonts w:ascii="Arial" w:eastAsia="Calibri" w:hAnsi="Arial" w:cs="Arial"/>
          <w:sz w:val="24"/>
          <w:szCs w:val="24"/>
        </w:rPr>
      </w:pPr>
      <w:r>
        <w:rPr>
          <w:rFonts w:ascii="Arial" w:eastAsia="Calibri" w:hAnsi="Arial" w:cs="Arial"/>
          <w:sz w:val="24"/>
          <w:szCs w:val="24"/>
        </w:rPr>
        <w:t>A</w:t>
      </w:r>
      <w:r w:rsidR="0005031B">
        <w:rPr>
          <w:rFonts w:ascii="Arial" w:eastAsia="Calibri" w:hAnsi="Arial" w:cs="Arial"/>
          <w:sz w:val="24"/>
          <w:szCs w:val="24"/>
        </w:rPr>
        <w:t>n a</w:t>
      </w:r>
      <w:r w:rsidR="0005031B" w:rsidRPr="00C94C11">
        <w:rPr>
          <w:rFonts w:ascii="Arial" w:eastAsia="Calibri" w:hAnsi="Arial" w:cs="Arial"/>
          <w:sz w:val="24"/>
          <w:szCs w:val="24"/>
        </w:rPr>
        <w:t>greed State/S</w:t>
      </w:r>
      <w:r w:rsidR="0005031B">
        <w:rPr>
          <w:rFonts w:ascii="Arial" w:eastAsia="Calibri" w:hAnsi="Arial" w:cs="Arial"/>
          <w:sz w:val="24"/>
          <w:szCs w:val="24"/>
        </w:rPr>
        <w:t xml:space="preserve">WALSC Trustee Selection Process, </w:t>
      </w:r>
      <w:r w:rsidR="0005031B" w:rsidRPr="00C94C11">
        <w:rPr>
          <w:rFonts w:ascii="Arial" w:eastAsia="Calibri" w:hAnsi="Arial" w:cs="Arial"/>
          <w:sz w:val="24"/>
          <w:szCs w:val="24"/>
        </w:rPr>
        <w:t xml:space="preserve">in accordance with </w:t>
      </w:r>
      <w:r w:rsidR="0005031B">
        <w:rPr>
          <w:rFonts w:ascii="Arial" w:eastAsia="Calibri" w:hAnsi="Arial" w:cs="Arial"/>
          <w:sz w:val="24"/>
          <w:szCs w:val="24"/>
        </w:rPr>
        <w:t xml:space="preserve">State </w:t>
      </w:r>
      <w:r w:rsidR="00A90BC5">
        <w:rPr>
          <w:rFonts w:ascii="Arial" w:eastAsia="Calibri" w:hAnsi="Arial" w:cs="Arial"/>
          <w:sz w:val="24"/>
          <w:szCs w:val="24"/>
        </w:rPr>
        <w:t>Government procurement policies</w:t>
      </w:r>
      <w:r w:rsidR="00B01638">
        <w:rPr>
          <w:rFonts w:ascii="Arial" w:eastAsia="Calibri" w:hAnsi="Arial" w:cs="Arial"/>
          <w:sz w:val="24"/>
          <w:szCs w:val="24"/>
        </w:rPr>
        <w:t>;</w:t>
      </w:r>
    </w:p>
    <w:p w:rsidR="003F4437" w:rsidRPr="00C94C11" w:rsidRDefault="003F4437" w:rsidP="003F4437">
      <w:pPr>
        <w:pStyle w:val="ListParagraph"/>
        <w:spacing w:after="0"/>
        <w:jc w:val="both"/>
        <w:rPr>
          <w:rFonts w:ascii="Arial" w:eastAsia="Calibri" w:hAnsi="Arial" w:cs="Arial"/>
          <w:sz w:val="24"/>
          <w:szCs w:val="24"/>
        </w:rPr>
      </w:pPr>
    </w:p>
    <w:p w:rsidR="0005031B" w:rsidRDefault="00C67AAA" w:rsidP="0005031B">
      <w:pPr>
        <w:pStyle w:val="ListParagraph"/>
        <w:numPr>
          <w:ilvl w:val="0"/>
          <w:numId w:val="11"/>
        </w:numPr>
        <w:spacing w:after="0"/>
        <w:jc w:val="both"/>
        <w:rPr>
          <w:rFonts w:ascii="Arial" w:hAnsi="Arial" w:cs="Arial"/>
          <w:sz w:val="24"/>
          <w:szCs w:val="24"/>
        </w:rPr>
      </w:pPr>
      <w:r>
        <w:rPr>
          <w:rFonts w:ascii="Arial" w:eastAsia="Calibri" w:hAnsi="Arial" w:cs="Arial"/>
          <w:sz w:val="24"/>
          <w:szCs w:val="24"/>
        </w:rPr>
        <w:t>T</w:t>
      </w:r>
      <w:r w:rsidR="0005031B">
        <w:rPr>
          <w:rFonts w:ascii="Arial" w:eastAsia="Calibri" w:hAnsi="Arial" w:cs="Arial"/>
          <w:sz w:val="24"/>
          <w:szCs w:val="24"/>
        </w:rPr>
        <w:t xml:space="preserve">he establishment of a </w:t>
      </w:r>
      <w:r w:rsidR="0005031B" w:rsidRPr="00C94C11">
        <w:rPr>
          <w:rFonts w:ascii="Arial" w:eastAsia="Calibri" w:hAnsi="Arial" w:cs="Arial"/>
          <w:sz w:val="24"/>
          <w:szCs w:val="24"/>
        </w:rPr>
        <w:t>N</w:t>
      </w:r>
      <w:r w:rsidR="0005031B">
        <w:rPr>
          <w:rFonts w:ascii="Arial" w:eastAsia="Calibri" w:hAnsi="Arial" w:cs="Arial"/>
          <w:sz w:val="24"/>
          <w:szCs w:val="24"/>
        </w:rPr>
        <w:t xml:space="preserve">oongar </w:t>
      </w:r>
      <w:r w:rsidR="0005031B" w:rsidRPr="00C94C11">
        <w:rPr>
          <w:rFonts w:ascii="Arial" w:eastAsia="Calibri" w:hAnsi="Arial" w:cs="Arial"/>
          <w:sz w:val="24"/>
          <w:szCs w:val="24"/>
        </w:rPr>
        <w:t>B</w:t>
      </w:r>
      <w:r w:rsidR="0005031B">
        <w:rPr>
          <w:rFonts w:ascii="Arial" w:eastAsia="Calibri" w:hAnsi="Arial" w:cs="Arial"/>
          <w:sz w:val="24"/>
          <w:szCs w:val="24"/>
        </w:rPr>
        <w:t>oodja</w:t>
      </w:r>
      <w:r w:rsidR="0005031B" w:rsidRPr="00C94C11">
        <w:rPr>
          <w:rFonts w:ascii="Arial" w:eastAsia="Calibri" w:hAnsi="Arial" w:cs="Arial"/>
          <w:sz w:val="24"/>
          <w:szCs w:val="24"/>
        </w:rPr>
        <w:t xml:space="preserve"> Trustee Selection Taskfo</w:t>
      </w:r>
      <w:r w:rsidR="0005031B">
        <w:rPr>
          <w:rFonts w:ascii="Arial" w:eastAsia="Calibri" w:hAnsi="Arial" w:cs="Arial"/>
          <w:sz w:val="24"/>
          <w:szCs w:val="24"/>
        </w:rPr>
        <w:t>rce</w:t>
      </w:r>
      <w:r w:rsidR="0005031B" w:rsidRPr="00C94C11">
        <w:rPr>
          <w:rFonts w:ascii="Arial" w:eastAsia="Calibri" w:hAnsi="Arial" w:cs="Arial"/>
          <w:sz w:val="24"/>
          <w:szCs w:val="24"/>
        </w:rPr>
        <w:t xml:space="preserve"> to </w:t>
      </w:r>
      <w:r w:rsidR="0005031B" w:rsidRPr="00C94C11">
        <w:rPr>
          <w:rFonts w:ascii="Arial" w:hAnsi="Arial" w:cs="Arial"/>
          <w:sz w:val="24"/>
          <w:szCs w:val="24"/>
        </w:rPr>
        <w:t>facilitate the select</w:t>
      </w:r>
      <w:r w:rsidR="0005031B">
        <w:rPr>
          <w:rFonts w:ascii="Arial" w:hAnsi="Arial" w:cs="Arial"/>
          <w:sz w:val="24"/>
          <w:szCs w:val="24"/>
        </w:rPr>
        <w:t>ion of the Professional Trustee</w:t>
      </w:r>
      <w:r w:rsidR="00B01638">
        <w:rPr>
          <w:rFonts w:ascii="Arial" w:hAnsi="Arial" w:cs="Arial"/>
          <w:sz w:val="24"/>
          <w:szCs w:val="24"/>
        </w:rPr>
        <w:t>;</w:t>
      </w:r>
    </w:p>
    <w:p w:rsidR="003F4437" w:rsidRPr="003F4437" w:rsidRDefault="003F4437" w:rsidP="003F4437">
      <w:pPr>
        <w:pStyle w:val="ListParagraph"/>
        <w:rPr>
          <w:rFonts w:ascii="Arial" w:hAnsi="Arial" w:cs="Arial"/>
          <w:sz w:val="24"/>
          <w:szCs w:val="24"/>
        </w:rPr>
      </w:pPr>
    </w:p>
    <w:p w:rsidR="003F4437" w:rsidRPr="00C94C11" w:rsidRDefault="003F4437" w:rsidP="003F4437">
      <w:pPr>
        <w:pStyle w:val="ListParagraph"/>
        <w:spacing w:after="0"/>
        <w:jc w:val="both"/>
        <w:rPr>
          <w:rFonts w:ascii="Arial" w:hAnsi="Arial" w:cs="Arial"/>
          <w:sz w:val="24"/>
          <w:szCs w:val="24"/>
        </w:rPr>
      </w:pPr>
    </w:p>
    <w:p w:rsidR="00002927" w:rsidRDefault="00C67AAA" w:rsidP="00002927">
      <w:pPr>
        <w:pStyle w:val="ListParagraph"/>
        <w:numPr>
          <w:ilvl w:val="0"/>
          <w:numId w:val="11"/>
        </w:numPr>
        <w:spacing w:after="0"/>
        <w:jc w:val="both"/>
        <w:rPr>
          <w:rFonts w:ascii="Arial" w:hAnsi="Arial" w:cs="Arial"/>
          <w:sz w:val="24"/>
          <w:szCs w:val="24"/>
        </w:rPr>
      </w:pPr>
      <w:r>
        <w:rPr>
          <w:rFonts w:ascii="Arial" w:eastAsia="Calibri" w:hAnsi="Arial" w:cs="Arial"/>
          <w:sz w:val="24"/>
          <w:szCs w:val="24"/>
        </w:rPr>
        <w:lastRenderedPageBreak/>
        <w:t>T</w:t>
      </w:r>
      <w:r w:rsidR="0005031B">
        <w:rPr>
          <w:rFonts w:ascii="Arial" w:eastAsia="Calibri" w:hAnsi="Arial" w:cs="Arial"/>
          <w:sz w:val="24"/>
          <w:szCs w:val="24"/>
        </w:rPr>
        <w:t xml:space="preserve">he establishment of a </w:t>
      </w:r>
      <w:r w:rsidR="0005031B" w:rsidRPr="00C94C11">
        <w:rPr>
          <w:rFonts w:ascii="Arial" w:eastAsia="Calibri" w:hAnsi="Arial" w:cs="Arial"/>
          <w:sz w:val="24"/>
          <w:szCs w:val="24"/>
        </w:rPr>
        <w:t>N</w:t>
      </w:r>
      <w:r w:rsidR="0005031B">
        <w:rPr>
          <w:rFonts w:ascii="Arial" w:eastAsia="Calibri" w:hAnsi="Arial" w:cs="Arial"/>
          <w:sz w:val="24"/>
          <w:szCs w:val="24"/>
        </w:rPr>
        <w:t xml:space="preserve">oongar </w:t>
      </w:r>
      <w:r w:rsidR="0005031B" w:rsidRPr="00C94C11">
        <w:rPr>
          <w:rFonts w:ascii="Arial" w:eastAsia="Calibri" w:hAnsi="Arial" w:cs="Arial"/>
          <w:sz w:val="24"/>
          <w:szCs w:val="24"/>
        </w:rPr>
        <w:t>B</w:t>
      </w:r>
      <w:r w:rsidR="0005031B">
        <w:rPr>
          <w:rFonts w:ascii="Arial" w:eastAsia="Calibri" w:hAnsi="Arial" w:cs="Arial"/>
          <w:sz w:val="24"/>
          <w:szCs w:val="24"/>
        </w:rPr>
        <w:t>oodja</w:t>
      </w:r>
      <w:r w:rsidR="0005031B" w:rsidRPr="00C94C11">
        <w:rPr>
          <w:rFonts w:ascii="Arial" w:eastAsia="Calibri" w:hAnsi="Arial" w:cs="Arial"/>
          <w:sz w:val="24"/>
          <w:szCs w:val="24"/>
        </w:rPr>
        <w:t xml:space="preserve"> Trustee Selection </w:t>
      </w:r>
      <w:r w:rsidR="0005031B">
        <w:rPr>
          <w:rFonts w:ascii="Arial" w:hAnsi="Arial" w:cs="Arial"/>
          <w:sz w:val="24"/>
          <w:szCs w:val="24"/>
        </w:rPr>
        <w:t>Panel to</w:t>
      </w:r>
      <w:r w:rsidR="0005031B" w:rsidRPr="00C94C11">
        <w:rPr>
          <w:rFonts w:ascii="Arial" w:hAnsi="Arial" w:cs="Arial"/>
          <w:sz w:val="24"/>
          <w:szCs w:val="24"/>
        </w:rPr>
        <w:t xml:space="preserve"> </w:t>
      </w:r>
      <w:r w:rsidR="0005031B">
        <w:rPr>
          <w:rFonts w:ascii="Arial" w:hAnsi="Arial" w:cs="Arial"/>
          <w:sz w:val="24"/>
          <w:szCs w:val="24"/>
        </w:rPr>
        <w:t>conduct</w:t>
      </w:r>
      <w:r w:rsidR="0005031B" w:rsidRPr="00C94C11">
        <w:rPr>
          <w:rFonts w:ascii="Arial" w:hAnsi="Arial" w:cs="Arial"/>
          <w:sz w:val="24"/>
          <w:szCs w:val="24"/>
        </w:rPr>
        <w:t xml:space="preserve"> </w:t>
      </w:r>
      <w:r w:rsidR="0005031B">
        <w:rPr>
          <w:rFonts w:ascii="Arial" w:hAnsi="Arial" w:cs="Arial"/>
          <w:sz w:val="24"/>
          <w:szCs w:val="24"/>
        </w:rPr>
        <w:t xml:space="preserve">the </w:t>
      </w:r>
      <w:r w:rsidR="001C3CDE">
        <w:rPr>
          <w:rFonts w:ascii="Arial" w:hAnsi="Arial" w:cs="Arial"/>
          <w:sz w:val="24"/>
          <w:szCs w:val="24"/>
        </w:rPr>
        <w:t xml:space="preserve">assessment and </w:t>
      </w:r>
      <w:r w:rsidR="0005031B">
        <w:rPr>
          <w:rFonts w:ascii="Arial" w:hAnsi="Arial" w:cs="Arial"/>
          <w:sz w:val="24"/>
          <w:szCs w:val="24"/>
        </w:rPr>
        <w:t xml:space="preserve">selection process and </w:t>
      </w:r>
      <w:r w:rsidR="001C3CDE">
        <w:rPr>
          <w:rFonts w:ascii="Arial" w:hAnsi="Arial" w:cs="Arial"/>
          <w:sz w:val="24"/>
          <w:szCs w:val="24"/>
        </w:rPr>
        <w:t xml:space="preserve"> to </w:t>
      </w:r>
      <w:r w:rsidR="0005031B">
        <w:rPr>
          <w:rFonts w:ascii="Arial" w:hAnsi="Arial" w:cs="Arial"/>
          <w:sz w:val="24"/>
          <w:szCs w:val="24"/>
        </w:rPr>
        <w:t>make</w:t>
      </w:r>
      <w:r w:rsidR="0005031B" w:rsidRPr="00C94C11">
        <w:rPr>
          <w:rFonts w:ascii="Arial" w:hAnsi="Arial" w:cs="Arial"/>
          <w:sz w:val="24"/>
          <w:szCs w:val="24"/>
        </w:rPr>
        <w:t xml:space="preserve"> the final formal appointment</w:t>
      </w:r>
      <w:r w:rsidR="00B01638">
        <w:rPr>
          <w:rFonts w:ascii="Arial" w:hAnsi="Arial" w:cs="Arial"/>
          <w:sz w:val="24"/>
          <w:szCs w:val="24"/>
        </w:rPr>
        <w:t>; and</w:t>
      </w:r>
    </w:p>
    <w:p w:rsidR="003F4437" w:rsidRDefault="003F4437" w:rsidP="003F4437">
      <w:pPr>
        <w:pStyle w:val="ListParagraph"/>
        <w:spacing w:after="0"/>
        <w:jc w:val="both"/>
        <w:rPr>
          <w:rFonts w:ascii="Arial" w:hAnsi="Arial" w:cs="Arial"/>
          <w:sz w:val="24"/>
          <w:szCs w:val="24"/>
        </w:rPr>
      </w:pPr>
    </w:p>
    <w:p w:rsidR="00B816B1" w:rsidRPr="00002927" w:rsidRDefault="00C67AAA" w:rsidP="00002927">
      <w:pPr>
        <w:pStyle w:val="ListParagraph"/>
        <w:numPr>
          <w:ilvl w:val="0"/>
          <w:numId w:val="11"/>
        </w:numPr>
        <w:spacing w:after="0"/>
        <w:jc w:val="both"/>
        <w:rPr>
          <w:rFonts w:ascii="Arial" w:hAnsi="Arial" w:cs="Arial"/>
          <w:sz w:val="24"/>
          <w:szCs w:val="24"/>
        </w:rPr>
      </w:pPr>
      <w:r>
        <w:rPr>
          <w:rFonts w:ascii="Arial" w:hAnsi="Arial" w:cs="Arial"/>
          <w:sz w:val="24"/>
          <w:szCs w:val="24"/>
        </w:rPr>
        <w:t>T</w:t>
      </w:r>
      <w:r w:rsidR="0005031B" w:rsidRPr="00002927">
        <w:rPr>
          <w:rFonts w:ascii="Arial" w:hAnsi="Arial" w:cs="Arial"/>
          <w:sz w:val="24"/>
          <w:szCs w:val="24"/>
        </w:rPr>
        <w:t>he a</w:t>
      </w:r>
      <w:r w:rsidR="00A90BC5" w:rsidRPr="00002927">
        <w:rPr>
          <w:rFonts w:ascii="Arial" w:hAnsi="Arial" w:cs="Arial"/>
          <w:sz w:val="24"/>
          <w:szCs w:val="24"/>
        </w:rPr>
        <w:t xml:space="preserve">ppointment of </w:t>
      </w:r>
      <w:r w:rsidR="00E969C0" w:rsidRPr="00002927">
        <w:rPr>
          <w:rFonts w:ascii="Arial" w:hAnsi="Arial" w:cs="Arial"/>
          <w:sz w:val="24"/>
          <w:szCs w:val="24"/>
        </w:rPr>
        <w:t xml:space="preserve">the </w:t>
      </w:r>
      <w:r w:rsidR="00A90BC5" w:rsidRPr="00002927">
        <w:rPr>
          <w:rFonts w:ascii="Arial" w:hAnsi="Arial" w:cs="Arial"/>
          <w:sz w:val="24"/>
          <w:szCs w:val="24"/>
        </w:rPr>
        <w:t>Trustee</w:t>
      </w:r>
      <w:r w:rsidR="00B01638" w:rsidRPr="00002927">
        <w:rPr>
          <w:rFonts w:ascii="Arial" w:hAnsi="Arial" w:cs="Arial"/>
          <w:sz w:val="24"/>
          <w:szCs w:val="24"/>
        </w:rPr>
        <w:t>.</w:t>
      </w:r>
    </w:p>
    <w:p w:rsidR="0005031B" w:rsidRDefault="0005031B" w:rsidP="0005031B">
      <w:pPr>
        <w:spacing w:after="0" w:line="240" w:lineRule="auto"/>
        <w:jc w:val="both"/>
        <w:rPr>
          <w:rFonts w:ascii="Arial" w:hAnsi="Arial" w:cs="Arial"/>
          <w:sz w:val="24"/>
          <w:szCs w:val="24"/>
        </w:rPr>
      </w:pPr>
    </w:p>
    <w:p w:rsidR="00A248D7" w:rsidRDefault="0005031B" w:rsidP="00A248D7">
      <w:pPr>
        <w:rPr>
          <w:rFonts w:ascii="ArialMT" w:hAnsi="ArialMT" w:cs="ArialMT"/>
          <w:color w:val="C75928"/>
          <w:sz w:val="48"/>
          <w:szCs w:val="48"/>
        </w:rPr>
      </w:pPr>
      <w:r>
        <w:rPr>
          <w:rFonts w:ascii="Arial" w:hAnsi="Arial" w:cs="Arial"/>
          <w:noProof/>
          <w:sz w:val="24"/>
          <w:szCs w:val="24"/>
          <w:lang w:eastAsia="en-AU"/>
        </w:rPr>
        <mc:AlternateContent>
          <mc:Choice Requires="wpg">
            <w:drawing>
              <wp:anchor distT="0" distB="0" distL="114300" distR="114300" simplePos="0" relativeHeight="251659264" behindDoc="0" locked="0" layoutInCell="1" allowOverlap="1" wp14:anchorId="125378AD" wp14:editId="015AB110">
                <wp:simplePos x="0" y="0"/>
                <wp:positionH relativeFrom="column">
                  <wp:posOffset>-171450</wp:posOffset>
                </wp:positionH>
                <wp:positionV relativeFrom="paragraph">
                  <wp:posOffset>69850</wp:posOffset>
                </wp:positionV>
                <wp:extent cx="6334125" cy="3276600"/>
                <wp:effectExtent l="57150" t="38100" r="85725" b="95250"/>
                <wp:wrapNone/>
                <wp:docPr id="10" name="Group 10"/>
                <wp:cNvGraphicFramePr/>
                <a:graphic xmlns:a="http://schemas.openxmlformats.org/drawingml/2006/main">
                  <a:graphicData uri="http://schemas.microsoft.com/office/word/2010/wordprocessingGroup">
                    <wpg:wgp>
                      <wpg:cNvGrpSpPr/>
                      <wpg:grpSpPr>
                        <a:xfrm>
                          <a:off x="0" y="0"/>
                          <a:ext cx="6334125" cy="3276600"/>
                          <a:chOff x="0" y="0"/>
                          <a:chExt cx="6334125" cy="2219325"/>
                        </a:xfrm>
                      </wpg:grpSpPr>
                      <wps:wsp>
                        <wps:cNvPr id="1" name="Rounded Rectangle 1"/>
                        <wps:cNvSpPr/>
                        <wps:spPr>
                          <a:xfrm>
                            <a:off x="1676400" y="76200"/>
                            <a:ext cx="2209800" cy="9239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5031B" w:rsidRPr="00B532D7" w:rsidRDefault="0005031B" w:rsidP="0005031B">
                              <w:pPr>
                                <w:jc w:val="center"/>
                                <w:rPr>
                                  <w:rFonts w:ascii="Calibri Light" w:hAnsi="Calibri Light"/>
                                </w:rPr>
                              </w:pPr>
                              <w:r w:rsidRPr="00B532D7">
                                <w:rPr>
                                  <w:rFonts w:ascii="Calibri Light" w:hAnsi="Calibri Light"/>
                                </w:rPr>
                                <w:t xml:space="preserve">Noongar Boodja Trustee Selection Panel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4714875" y="28575"/>
                            <a:ext cx="1619250" cy="148590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05031B" w:rsidRPr="00B532D7" w:rsidRDefault="0005031B" w:rsidP="0005031B">
                              <w:pPr>
                                <w:jc w:val="center"/>
                                <w:rPr>
                                  <w:rFonts w:ascii="Calibri Light" w:hAnsi="Calibri Light"/>
                                </w:rPr>
                              </w:pPr>
                              <w:r w:rsidRPr="00B532D7">
                                <w:rPr>
                                  <w:rFonts w:ascii="Calibri Light" w:hAnsi="Calibri Light"/>
                                </w:rPr>
                                <w:t>Appointed Noongar Boodja Professional Trustee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04950" y="1571625"/>
                            <a:ext cx="2581275" cy="6477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05031B" w:rsidRPr="00B532D7" w:rsidRDefault="0005031B" w:rsidP="0005031B">
                              <w:pPr>
                                <w:jc w:val="center"/>
                                <w:rPr>
                                  <w:rFonts w:ascii="Calibri Light" w:hAnsi="Calibri Light"/>
                                </w:rPr>
                              </w:pPr>
                              <w:r w:rsidRPr="00B532D7">
                                <w:rPr>
                                  <w:rFonts w:ascii="Calibri Light" w:hAnsi="Calibri Light"/>
                                </w:rPr>
                                <w:t>Noongar Boodja Trustee Taskforce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495300" cy="22193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5031B" w:rsidRPr="00B532D7" w:rsidRDefault="0005031B" w:rsidP="0005031B">
                              <w:pPr>
                                <w:jc w:val="center"/>
                                <w:rPr>
                                  <w:rFonts w:ascii="Calibri Light" w:hAnsi="Calibri Light"/>
                                </w:rPr>
                              </w:pPr>
                              <w:r w:rsidRPr="00B532D7">
                                <w:rPr>
                                  <w:rFonts w:ascii="Calibri Light" w:hAnsi="Calibri Light"/>
                                </w:rPr>
                                <w:t>D</w:t>
                              </w:r>
                              <w:r w:rsidR="00D90609">
                                <w:rPr>
                                  <w:rFonts w:ascii="Calibri Light" w:hAnsi="Calibri Light"/>
                                </w:rPr>
                                <w:t>P</w:t>
                              </w:r>
                              <w:r w:rsidRPr="00B532D7">
                                <w:rPr>
                                  <w:rFonts w:ascii="Calibri Light" w:hAnsi="Calibri Light"/>
                                </w:rPr>
                                <w:t>C Secretariat Support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4850" y="266700"/>
                            <a:ext cx="590550"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704850" y="1724025"/>
                            <a:ext cx="589915"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2733675" y="110490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3962400" y="55245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25378AD" id="Group 10" o:spid="_x0000_s1026" style="position:absolute;margin-left:-13.5pt;margin-top:5.5pt;width:498.75pt;height:258pt;z-index:251659264;mso-height-relative:margin" coordsize="63341,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">
                <v:roundrect id="Rounded Rectangle 1" o:spid="_x0000_s1027" style="position:absolute;left:16764;top:762;width:22098;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" fillcolor="#cdddac [1622]" strokecolor="#94b64e [3046]">
                  <v:fill color2="#f0f4e6 [502]" rotate="t" angle="180" colors="0 #dafda7;22938f #e4fdc2;1 #f5ffe6" focus="100%" type="gradient"/>
                  <v:shadow on="t" color="black" opacity="24903f" origin=",.5" offset="0,.55556mm"/>
                  <v:textbox>
                    <w:txbxContent>
                      <w:p w:rsidR="0005031B" w:rsidRPr="00B532D7" w:rsidRDefault="0005031B" w:rsidP="0005031B">
                        <w:pPr>
                          <w:jc w:val="center"/>
                          <w:rPr>
                            <w:rFonts w:ascii="Calibri Light" w:hAnsi="Calibri Light"/>
                          </w:rPr>
                        </w:pPr>
                        <w:r w:rsidRPr="00B532D7">
                          <w:rPr>
                            <w:rFonts w:ascii="Calibri Light" w:hAnsi="Calibri Light"/>
                          </w:rPr>
                          <w:t xml:space="preserve">Noongar Boodja Trustee Selection Panel </w:t>
                        </w:r>
                      </w:p>
                    </w:txbxContent>
                  </v:textbox>
                </v:roundrect>
                <v:oval id="Oval 3" o:spid="_x0000_s1028" style="position:absolute;left:47148;top:285;width:16193;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05031B" w:rsidRPr="00B532D7" w:rsidRDefault="0005031B" w:rsidP="0005031B">
                        <w:pPr>
                          <w:jc w:val="center"/>
                          <w:rPr>
                            <w:rFonts w:ascii="Calibri Light" w:hAnsi="Calibri Light"/>
                          </w:rPr>
                        </w:pPr>
                        <w:r w:rsidRPr="00B532D7">
                          <w:rPr>
                            <w:rFonts w:ascii="Calibri Light" w:hAnsi="Calibri Light"/>
                          </w:rPr>
                          <w:t>Appointed Noongar Boodja Professional Trustee</w:t>
                        </w:r>
                      </w:p>
                    </w:txbxContent>
                  </v:textbox>
                </v:oval>
                <v:rect id="Rectangle 9" o:spid="_x0000_s1029" style="position:absolute;left:15049;top:15716;width:2581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rsidR="0005031B" w:rsidRPr="00B532D7" w:rsidRDefault="0005031B" w:rsidP="0005031B">
                        <w:pPr>
                          <w:jc w:val="center"/>
                          <w:rPr>
                            <w:rFonts w:ascii="Calibri Light" w:hAnsi="Calibri Light"/>
                          </w:rPr>
                        </w:pPr>
                        <w:r w:rsidRPr="00B532D7">
                          <w:rPr>
                            <w:rFonts w:ascii="Calibri Light" w:hAnsi="Calibri Light"/>
                          </w:rPr>
                          <w:t>Noongar Boodja Trustee Taskforce</w:t>
                        </w:r>
                      </w:p>
                    </w:txbxContent>
                  </v:textbox>
                </v:rect>
                <v:rect id="Rectangle 4" o:spid="_x0000_s1030" style="position:absolute;width:4953;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style="layout-flow:vertical">
                    <w:txbxContent>
                      <w:p w:rsidR="0005031B" w:rsidRPr="00B532D7" w:rsidRDefault="0005031B" w:rsidP="0005031B">
                        <w:pPr>
                          <w:jc w:val="center"/>
                          <w:rPr>
                            <w:rFonts w:ascii="Calibri Light" w:hAnsi="Calibri Light"/>
                          </w:rPr>
                        </w:pPr>
                        <w:r w:rsidRPr="00B532D7">
                          <w:rPr>
                            <w:rFonts w:ascii="Calibri Light" w:hAnsi="Calibri Light"/>
                          </w:rPr>
                          <w:t>D</w:t>
                        </w:r>
                        <w:r w:rsidR="00D90609">
                          <w:rPr>
                            <w:rFonts w:ascii="Calibri Light" w:hAnsi="Calibri Light"/>
                          </w:rPr>
                          <w:t>P</w:t>
                        </w:r>
                        <w:r w:rsidRPr="00B532D7">
                          <w:rPr>
                            <w:rFonts w:ascii="Calibri Light" w:hAnsi="Calibri Light"/>
                          </w:rPr>
                          <w:t>C Secretariat Support</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7048;top:2667;width:5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" strokecolor="#4579b8 [3044]">
                  <v:stroke dashstyle="dash" endarrow="open"/>
                </v:shape>
                <v:shape id="Straight Arrow Connector 6" o:spid="_x0000_s1032" type="#_x0000_t32" style="position:absolute;left:7048;top:17240;width:58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" strokecolor="#4579b8 [3044]">
                  <v:stroke dashstyle="dash" endarrow="open"/>
                </v:shape>
                <v:shape id="Straight Arrow Connector 7" o:spid="_x0000_s1033" type="#_x0000_t32" style="position:absolute;left:27336;top:11049;width:0;height:4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" strokecolor="#4579b8 [3044]">
                  <v:stroke endarrow="open"/>
                </v:shape>
                <v:shape id="Straight Arrow Connector 8" o:spid="_x0000_s1034" type="#_x0000_t32" style="position:absolute;left:39624;top:5524;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" strokecolor="#4579b8 [3044]">
                  <v:stroke endarrow="open"/>
                </v:shape>
              </v:group>
            </w:pict>
          </mc:Fallback>
        </mc:AlternateContent>
      </w:r>
    </w:p>
    <w:p w:rsidR="00A248D7" w:rsidRPr="00002927" w:rsidRDefault="00A248D7" w:rsidP="00A248D7">
      <w:pPr>
        <w:rPr>
          <w:rFonts w:ascii="ArialMT" w:hAnsi="ArialMT" w:cs="ArialMT"/>
          <w:sz w:val="48"/>
          <w:szCs w:val="48"/>
        </w:rPr>
      </w:pPr>
    </w:p>
    <w:p w:rsidR="00B01638" w:rsidRDefault="00B01638" w:rsidP="00A248D7">
      <w:pPr>
        <w:jc w:val="center"/>
        <w:rPr>
          <w:rFonts w:ascii="ArialMT" w:hAnsi="ArialMT" w:cs="ArialMT"/>
          <w:sz w:val="48"/>
          <w:szCs w:val="48"/>
        </w:rPr>
      </w:pPr>
    </w:p>
    <w:p w:rsidR="00B01638" w:rsidRDefault="00B01638" w:rsidP="00A248D7">
      <w:pPr>
        <w:jc w:val="center"/>
        <w:rPr>
          <w:rFonts w:ascii="ArialMT" w:hAnsi="ArialMT" w:cs="ArialMT"/>
          <w:sz w:val="48"/>
          <w:szCs w:val="48"/>
        </w:rPr>
      </w:pPr>
    </w:p>
    <w:p w:rsidR="00B01638" w:rsidRDefault="00B01638" w:rsidP="00A248D7">
      <w:pPr>
        <w:jc w:val="center"/>
        <w:rPr>
          <w:rFonts w:ascii="ArialMT" w:hAnsi="ArialMT" w:cs="ArialMT"/>
          <w:sz w:val="48"/>
          <w:szCs w:val="48"/>
        </w:rPr>
      </w:pPr>
    </w:p>
    <w:p w:rsidR="00B01638" w:rsidRDefault="00B01638" w:rsidP="00A248D7">
      <w:pPr>
        <w:jc w:val="center"/>
        <w:rPr>
          <w:rFonts w:ascii="ArialMT" w:hAnsi="ArialMT" w:cs="ArialMT"/>
          <w:sz w:val="48"/>
          <w:szCs w:val="48"/>
        </w:rPr>
      </w:pPr>
    </w:p>
    <w:p w:rsidR="00FF64BC" w:rsidRDefault="00FF64BC" w:rsidP="00A248D7">
      <w:pPr>
        <w:jc w:val="center"/>
        <w:rPr>
          <w:rFonts w:ascii="ArialMT" w:hAnsi="ArialMT" w:cs="ArialMT"/>
          <w:sz w:val="48"/>
          <w:szCs w:val="48"/>
        </w:rPr>
      </w:pPr>
    </w:p>
    <w:p w:rsidR="0005031B" w:rsidRDefault="0005031B" w:rsidP="00A248D7">
      <w:pPr>
        <w:jc w:val="center"/>
        <w:rPr>
          <w:rFonts w:ascii="Arial" w:hAnsi="Arial" w:cs="Arial"/>
          <w:sz w:val="24"/>
          <w:szCs w:val="24"/>
        </w:rPr>
      </w:pPr>
      <w:r w:rsidRPr="00E93B67">
        <w:rPr>
          <w:rFonts w:ascii="ArialMT" w:hAnsi="ArialMT" w:cs="ArialMT"/>
          <w:color w:val="C75928"/>
          <w:sz w:val="48"/>
          <w:szCs w:val="48"/>
        </w:rPr>
        <w:t>What</w:t>
      </w:r>
      <w:r>
        <w:rPr>
          <w:rFonts w:ascii="Arial" w:hAnsi="Arial" w:cs="Arial"/>
          <w:sz w:val="24"/>
          <w:szCs w:val="24"/>
        </w:rPr>
        <w:t xml:space="preserve"> </w:t>
      </w:r>
      <w:r w:rsidRPr="00E93B67">
        <w:rPr>
          <w:rFonts w:ascii="ArialMT" w:hAnsi="ArialMT" w:cs="ArialMT"/>
          <w:color w:val="C75928"/>
          <w:sz w:val="48"/>
          <w:szCs w:val="48"/>
        </w:rPr>
        <w:t>is</w:t>
      </w:r>
      <w:r>
        <w:rPr>
          <w:rFonts w:ascii="Arial" w:hAnsi="Arial" w:cs="Arial"/>
          <w:sz w:val="24"/>
          <w:szCs w:val="24"/>
        </w:rPr>
        <w:t xml:space="preserve"> </w:t>
      </w:r>
      <w:r w:rsidRPr="00E93B67">
        <w:rPr>
          <w:rFonts w:ascii="ArialMT" w:hAnsi="ArialMT" w:cs="ArialMT"/>
          <w:color w:val="C75928"/>
          <w:sz w:val="48"/>
          <w:szCs w:val="48"/>
        </w:rPr>
        <w:t>the</w:t>
      </w:r>
      <w:r>
        <w:rPr>
          <w:rFonts w:ascii="Arial" w:hAnsi="Arial" w:cs="Arial"/>
          <w:sz w:val="24"/>
          <w:szCs w:val="24"/>
        </w:rPr>
        <w:t xml:space="preserve"> </w:t>
      </w:r>
      <w:r w:rsidRPr="00E93B67">
        <w:rPr>
          <w:rFonts w:ascii="ArialMT" w:hAnsi="ArialMT" w:cs="ArialMT"/>
          <w:color w:val="C75928"/>
          <w:sz w:val="48"/>
          <w:szCs w:val="48"/>
        </w:rPr>
        <w:t>role</w:t>
      </w:r>
      <w:r>
        <w:rPr>
          <w:rFonts w:ascii="Arial" w:hAnsi="Arial" w:cs="Arial"/>
          <w:sz w:val="24"/>
          <w:szCs w:val="24"/>
        </w:rPr>
        <w:t xml:space="preserve"> </w:t>
      </w:r>
      <w:r w:rsidRPr="00E93B67">
        <w:rPr>
          <w:rFonts w:ascii="ArialMT" w:hAnsi="ArialMT" w:cs="ArialMT"/>
          <w:color w:val="C75928"/>
          <w:sz w:val="48"/>
          <w:szCs w:val="48"/>
        </w:rPr>
        <w:t>of</w:t>
      </w:r>
      <w:r>
        <w:rPr>
          <w:rFonts w:ascii="Arial" w:hAnsi="Arial" w:cs="Arial"/>
          <w:sz w:val="24"/>
          <w:szCs w:val="24"/>
        </w:rPr>
        <w:t xml:space="preserve"> </w:t>
      </w:r>
      <w:r w:rsidRPr="00E93B67">
        <w:rPr>
          <w:rFonts w:ascii="ArialMT" w:hAnsi="ArialMT" w:cs="ArialMT"/>
          <w:color w:val="C75928"/>
          <w:sz w:val="48"/>
          <w:szCs w:val="48"/>
        </w:rPr>
        <w:t>the</w:t>
      </w:r>
      <w:r>
        <w:rPr>
          <w:rFonts w:ascii="Arial" w:hAnsi="Arial" w:cs="Arial"/>
          <w:sz w:val="24"/>
          <w:szCs w:val="24"/>
        </w:rPr>
        <w:t xml:space="preserve"> </w:t>
      </w:r>
      <w:r>
        <w:rPr>
          <w:rFonts w:ascii="ArialMT" w:hAnsi="ArialMT" w:cs="ArialMT"/>
          <w:color w:val="C75928"/>
          <w:sz w:val="48"/>
          <w:szCs w:val="48"/>
        </w:rPr>
        <w:t>Taskforce?</w:t>
      </w:r>
    </w:p>
    <w:p w:rsidR="0005031B" w:rsidRDefault="00A90BC5" w:rsidP="0005031B">
      <w:pPr>
        <w:spacing w:after="0" w:line="240" w:lineRule="auto"/>
        <w:jc w:val="both"/>
        <w:rPr>
          <w:rFonts w:ascii="Arial" w:eastAsia="Calibri" w:hAnsi="Arial" w:cs="Arial"/>
          <w:sz w:val="24"/>
          <w:szCs w:val="24"/>
        </w:rPr>
      </w:pPr>
      <w:r>
        <w:rPr>
          <w:rFonts w:ascii="Arial" w:hAnsi="Arial" w:cs="Arial"/>
          <w:sz w:val="24"/>
          <w:szCs w:val="24"/>
        </w:rPr>
        <w:t xml:space="preserve">The </w:t>
      </w:r>
      <w:r w:rsidR="001C3CDE">
        <w:rPr>
          <w:rFonts w:ascii="Arial" w:hAnsi="Arial" w:cs="Arial"/>
          <w:sz w:val="24"/>
          <w:szCs w:val="24"/>
        </w:rPr>
        <w:t xml:space="preserve">WA </w:t>
      </w:r>
      <w:r>
        <w:rPr>
          <w:rFonts w:ascii="Arial" w:hAnsi="Arial" w:cs="Arial"/>
          <w:sz w:val="24"/>
          <w:szCs w:val="24"/>
        </w:rPr>
        <w:t xml:space="preserve">Government </w:t>
      </w:r>
      <w:r w:rsidR="0005031B" w:rsidRPr="0028347C">
        <w:rPr>
          <w:rFonts w:ascii="Arial" w:hAnsi="Arial" w:cs="Arial"/>
          <w:sz w:val="24"/>
          <w:szCs w:val="24"/>
        </w:rPr>
        <w:t xml:space="preserve">and SWALSC have delegated their authority to </w:t>
      </w:r>
      <w:r w:rsidR="0005031B">
        <w:rPr>
          <w:rFonts w:ascii="Arial" w:hAnsi="Arial" w:cs="Arial"/>
          <w:sz w:val="24"/>
          <w:szCs w:val="24"/>
        </w:rPr>
        <w:t>facilitate</w:t>
      </w:r>
      <w:r w:rsidR="0005031B" w:rsidRPr="0028347C">
        <w:rPr>
          <w:rFonts w:ascii="Arial" w:hAnsi="Arial" w:cs="Arial"/>
          <w:sz w:val="24"/>
          <w:szCs w:val="24"/>
        </w:rPr>
        <w:t xml:space="preserve"> the selection of the Professional Trustee to the Noongar Boodja Trustee Selection Taskforce (Taskforce), </w:t>
      </w:r>
      <w:r w:rsidR="0005031B" w:rsidRPr="00FF64BC">
        <w:rPr>
          <w:rFonts w:ascii="Arial" w:hAnsi="Arial" w:cs="Arial"/>
          <w:sz w:val="24"/>
          <w:szCs w:val="24"/>
        </w:rPr>
        <w:t>in accordance with</w:t>
      </w:r>
      <w:r w:rsidR="001C3CDE" w:rsidRPr="00FF64BC">
        <w:rPr>
          <w:rFonts w:ascii="Arial" w:hAnsi="Arial" w:cs="Arial"/>
          <w:sz w:val="24"/>
          <w:szCs w:val="24"/>
        </w:rPr>
        <w:t xml:space="preserve"> WA</w:t>
      </w:r>
      <w:r w:rsidRPr="00FF64BC">
        <w:rPr>
          <w:rFonts w:ascii="Arial" w:hAnsi="Arial" w:cs="Arial"/>
          <w:sz w:val="24"/>
          <w:szCs w:val="24"/>
        </w:rPr>
        <w:t xml:space="preserve"> </w:t>
      </w:r>
      <w:r w:rsidR="001C3CDE" w:rsidRPr="00FF64BC">
        <w:rPr>
          <w:rFonts w:ascii="Arial" w:hAnsi="Arial" w:cs="Arial"/>
          <w:sz w:val="24"/>
          <w:szCs w:val="24"/>
        </w:rPr>
        <w:t>G</w:t>
      </w:r>
      <w:r w:rsidRPr="00FF64BC">
        <w:rPr>
          <w:rFonts w:ascii="Arial" w:hAnsi="Arial" w:cs="Arial"/>
          <w:sz w:val="24"/>
          <w:szCs w:val="24"/>
        </w:rPr>
        <w:t>overnment procurement policies</w:t>
      </w:r>
      <w:r w:rsidR="0005031B" w:rsidRPr="00FF64BC">
        <w:rPr>
          <w:rFonts w:ascii="Arial" w:hAnsi="Arial" w:cs="Arial"/>
          <w:sz w:val="24"/>
          <w:szCs w:val="24"/>
        </w:rPr>
        <w:t>.</w:t>
      </w:r>
      <w:r w:rsidR="0005031B" w:rsidRPr="0028347C">
        <w:rPr>
          <w:rFonts w:ascii="Arial" w:hAnsi="Arial" w:cs="Arial"/>
          <w:sz w:val="24"/>
          <w:szCs w:val="24"/>
        </w:rPr>
        <w:t xml:space="preserve">  </w:t>
      </w:r>
      <w:r w:rsidR="0005031B" w:rsidRPr="0028347C">
        <w:rPr>
          <w:rFonts w:ascii="Arial" w:eastAsia="Calibri" w:hAnsi="Arial" w:cs="Arial"/>
          <w:sz w:val="24"/>
          <w:szCs w:val="24"/>
        </w:rPr>
        <w:t>Th</w:t>
      </w:r>
      <w:r w:rsidR="007F5760">
        <w:rPr>
          <w:rFonts w:ascii="Arial" w:eastAsia="Calibri" w:hAnsi="Arial" w:cs="Arial"/>
          <w:sz w:val="24"/>
          <w:szCs w:val="24"/>
        </w:rPr>
        <w:t xml:space="preserve">e Taskforce </w:t>
      </w:r>
      <w:r w:rsidR="001C3CDE">
        <w:rPr>
          <w:rFonts w:ascii="Arial" w:eastAsia="Calibri" w:hAnsi="Arial" w:cs="Arial"/>
          <w:sz w:val="24"/>
          <w:szCs w:val="24"/>
        </w:rPr>
        <w:t xml:space="preserve">is made up </w:t>
      </w:r>
      <w:r w:rsidR="007F5760">
        <w:rPr>
          <w:rFonts w:ascii="Arial" w:eastAsia="Calibri" w:hAnsi="Arial" w:cs="Arial"/>
          <w:sz w:val="24"/>
          <w:szCs w:val="24"/>
        </w:rPr>
        <w:t>of an I</w:t>
      </w:r>
      <w:r w:rsidR="0005031B" w:rsidRPr="0028347C">
        <w:rPr>
          <w:rFonts w:ascii="Arial" w:eastAsia="Calibri" w:hAnsi="Arial" w:cs="Arial"/>
          <w:sz w:val="24"/>
          <w:szCs w:val="24"/>
        </w:rPr>
        <w:t xml:space="preserve">ndependent Chair, and four </w:t>
      </w:r>
      <w:r w:rsidR="0005031B" w:rsidRPr="00FF64BC">
        <w:rPr>
          <w:rFonts w:ascii="Arial" w:eastAsia="Calibri" w:hAnsi="Arial" w:cs="Arial"/>
          <w:sz w:val="24"/>
          <w:szCs w:val="24"/>
        </w:rPr>
        <w:t xml:space="preserve">representatives from  </w:t>
      </w:r>
      <w:r w:rsidR="001C3CDE" w:rsidRPr="00FF64BC">
        <w:rPr>
          <w:rFonts w:ascii="Arial" w:eastAsia="Calibri" w:hAnsi="Arial" w:cs="Arial"/>
          <w:sz w:val="24"/>
          <w:szCs w:val="24"/>
        </w:rPr>
        <w:t xml:space="preserve">WA Government </w:t>
      </w:r>
      <w:r w:rsidR="0005031B" w:rsidRPr="00FF64BC">
        <w:rPr>
          <w:rFonts w:ascii="Arial" w:eastAsia="Calibri" w:hAnsi="Arial" w:cs="Arial"/>
          <w:sz w:val="24"/>
          <w:szCs w:val="24"/>
        </w:rPr>
        <w:t>and SWALSC.</w:t>
      </w:r>
      <w:r w:rsidR="0005031B" w:rsidRPr="0028347C">
        <w:rPr>
          <w:rFonts w:ascii="Arial" w:eastAsia="Calibri" w:hAnsi="Arial" w:cs="Arial"/>
          <w:sz w:val="24"/>
          <w:szCs w:val="24"/>
        </w:rPr>
        <w:t xml:space="preserve">   </w:t>
      </w:r>
    </w:p>
    <w:p w:rsidR="0005031B" w:rsidRDefault="0005031B" w:rsidP="0005031B">
      <w:pPr>
        <w:spacing w:after="0" w:line="240" w:lineRule="auto"/>
        <w:jc w:val="both"/>
        <w:rPr>
          <w:rFonts w:ascii="Arial" w:eastAsia="Calibri" w:hAnsi="Arial" w:cs="Arial"/>
          <w:sz w:val="24"/>
          <w:szCs w:val="24"/>
        </w:rPr>
      </w:pPr>
    </w:p>
    <w:p w:rsidR="0005031B" w:rsidRPr="001D3C28" w:rsidRDefault="001C3CDE" w:rsidP="001D3C28">
      <w:pPr>
        <w:jc w:val="both"/>
        <w:rPr>
          <w:rFonts w:ascii="Arial" w:hAnsi="Arial" w:cs="Arial"/>
          <w:sz w:val="24"/>
          <w:szCs w:val="24"/>
        </w:rPr>
      </w:pPr>
      <w:r>
        <w:rPr>
          <w:rFonts w:ascii="Arial" w:hAnsi="Arial" w:cs="Arial"/>
          <w:sz w:val="24"/>
          <w:szCs w:val="24"/>
        </w:rPr>
        <w:t>The Taskforce</w:t>
      </w:r>
      <w:r w:rsidR="007F5760">
        <w:rPr>
          <w:rFonts w:ascii="Arial" w:hAnsi="Arial" w:cs="Arial"/>
          <w:sz w:val="24"/>
          <w:szCs w:val="24"/>
        </w:rPr>
        <w:t xml:space="preserve"> </w:t>
      </w:r>
      <w:r>
        <w:rPr>
          <w:rFonts w:ascii="Arial" w:hAnsi="Arial" w:cs="Arial"/>
          <w:sz w:val="24"/>
          <w:szCs w:val="24"/>
        </w:rPr>
        <w:t xml:space="preserve">will </w:t>
      </w:r>
      <w:r w:rsidR="007F5760">
        <w:rPr>
          <w:rFonts w:ascii="Arial" w:hAnsi="Arial" w:cs="Arial"/>
          <w:sz w:val="24"/>
          <w:szCs w:val="24"/>
        </w:rPr>
        <w:t>driv</w:t>
      </w:r>
      <w:r>
        <w:rPr>
          <w:rFonts w:ascii="Arial" w:hAnsi="Arial" w:cs="Arial"/>
          <w:sz w:val="24"/>
          <w:szCs w:val="24"/>
        </w:rPr>
        <w:t>e</w:t>
      </w:r>
      <w:r w:rsidR="007F5760">
        <w:rPr>
          <w:rFonts w:ascii="Arial" w:hAnsi="Arial" w:cs="Arial"/>
          <w:sz w:val="24"/>
          <w:szCs w:val="24"/>
        </w:rPr>
        <w:t xml:space="preserve"> the Trustee Selection P</w:t>
      </w:r>
      <w:r w:rsidR="0005031B" w:rsidRPr="00694F46">
        <w:rPr>
          <w:rFonts w:ascii="Arial" w:hAnsi="Arial" w:cs="Arial"/>
          <w:sz w:val="24"/>
          <w:szCs w:val="24"/>
        </w:rPr>
        <w:t xml:space="preserve">rocess, </w:t>
      </w:r>
      <w:r>
        <w:rPr>
          <w:rFonts w:ascii="Arial" w:hAnsi="Arial" w:cs="Arial"/>
          <w:sz w:val="24"/>
          <w:szCs w:val="24"/>
        </w:rPr>
        <w:t>and</w:t>
      </w:r>
      <w:r w:rsidR="0005031B" w:rsidRPr="00694F46">
        <w:rPr>
          <w:rFonts w:ascii="Arial" w:hAnsi="Arial" w:cs="Arial"/>
          <w:sz w:val="24"/>
          <w:szCs w:val="24"/>
        </w:rPr>
        <w:t xml:space="preserve"> is responsible for developing </w:t>
      </w:r>
      <w:r>
        <w:rPr>
          <w:rFonts w:ascii="Arial" w:hAnsi="Arial" w:cs="Arial"/>
          <w:sz w:val="24"/>
          <w:szCs w:val="24"/>
        </w:rPr>
        <w:t xml:space="preserve">the </w:t>
      </w:r>
      <w:r w:rsidR="0005031B" w:rsidRPr="00694F46">
        <w:rPr>
          <w:rFonts w:ascii="Arial" w:hAnsi="Arial" w:cs="Arial"/>
          <w:sz w:val="24"/>
          <w:szCs w:val="24"/>
        </w:rPr>
        <w:t xml:space="preserve">key documentation that will guide the selection of the Trustee. </w:t>
      </w:r>
      <w:r w:rsidR="001D3C28">
        <w:rPr>
          <w:rFonts w:ascii="Arial" w:hAnsi="Arial" w:cs="Arial"/>
          <w:sz w:val="24"/>
          <w:szCs w:val="24"/>
        </w:rPr>
        <w:t>The Taskforce is also responsible for selecting</w:t>
      </w:r>
      <w:r w:rsidR="00A90BC5">
        <w:rPr>
          <w:rFonts w:ascii="Arial" w:hAnsi="Arial" w:cs="Arial"/>
          <w:sz w:val="24"/>
          <w:szCs w:val="24"/>
        </w:rPr>
        <w:t xml:space="preserve"> the Noongar Boodja Trustee Selection Panel, who will ultimately select the Trustee</w:t>
      </w:r>
      <w:r w:rsidR="0022673E">
        <w:rPr>
          <w:rFonts w:ascii="Arial" w:hAnsi="Arial" w:cs="Arial"/>
          <w:sz w:val="24"/>
          <w:szCs w:val="24"/>
        </w:rPr>
        <w:t xml:space="preserve">. </w:t>
      </w:r>
    </w:p>
    <w:p w:rsidR="00B01638" w:rsidRDefault="00B01638">
      <w:pPr>
        <w:rPr>
          <w:rFonts w:ascii="ArialMT" w:hAnsi="ArialMT" w:cs="ArialMT"/>
          <w:color w:val="C75928"/>
          <w:sz w:val="48"/>
          <w:szCs w:val="48"/>
        </w:rPr>
      </w:pPr>
    </w:p>
    <w:p w:rsidR="0005031B" w:rsidRPr="007F5760" w:rsidRDefault="0005031B" w:rsidP="007F5760">
      <w:pPr>
        <w:jc w:val="center"/>
        <w:rPr>
          <w:rFonts w:ascii="ArialMT" w:hAnsi="ArialMT" w:cs="ArialMT"/>
          <w:color w:val="C75928"/>
          <w:sz w:val="48"/>
          <w:szCs w:val="48"/>
        </w:rPr>
      </w:pPr>
      <w:r w:rsidRPr="00E93B67">
        <w:rPr>
          <w:rFonts w:ascii="ArialMT" w:hAnsi="ArialMT" w:cs="ArialMT"/>
          <w:color w:val="C75928"/>
          <w:sz w:val="48"/>
          <w:szCs w:val="48"/>
        </w:rPr>
        <w:lastRenderedPageBreak/>
        <w:t>Who</w:t>
      </w:r>
      <w:r>
        <w:rPr>
          <w:rFonts w:ascii="Arial" w:hAnsi="Arial" w:cs="Arial"/>
          <w:sz w:val="24"/>
          <w:szCs w:val="24"/>
        </w:rPr>
        <w:t xml:space="preserve"> </w:t>
      </w:r>
      <w:r w:rsidRPr="00E93B67">
        <w:rPr>
          <w:rFonts w:ascii="ArialMT" w:hAnsi="ArialMT" w:cs="ArialMT"/>
          <w:color w:val="C75928"/>
          <w:sz w:val="48"/>
          <w:szCs w:val="48"/>
        </w:rPr>
        <w:t>is</w:t>
      </w:r>
      <w:r>
        <w:rPr>
          <w:rFonts w:ascii="Arial" w:hAnsi="Arial" w:cs="Arial"/>
          <w:sz w:val="24"/>
          <w:szCs w:val="24"/>
        </w:rPr>
        <w:t xml:space="preserve"> </w:t>
      </w:r>
      <w:r w:rsidRPr="00E93B67">
        <w:rPr>
          <w:rFonts w:ascii="ArialMT" w:hAnsi="ArialMT" w:cs="ArialMT"/>
          <w:color w:val="C75928"/>
          <w:sz w:val="48"/>
          <w:szCs w:val="48"/>
        </w:rPr>
        <w:t>on</w:t>
      </w:r>
      <w:r>
        <w:rPr>
          <w:rFonts w:ascii="Arial" w:hAnsi="Arial" w:cs="Arial"/>
          <w:sz w:val="24"/>
          <w:szCs w:val="24"/>
        </w:rPr>
        <w:t xml:space="preserve"> </w:t>
      </w:r>
      <w:r w:rsidRPr="00E93B67">
        <w:rPr>
          <w:rFonts w:ascii="ArialMT" w:hAnsi="ArialMT" w:cs="ArialMT"/>
          <w:color w:val="C75928"/>
          <w:sz w:val="48"/>
          <w:szCs w:val="48"/>
        </w:rPr>
        <w:t>the</w:t>
      </w:r>
      <w:r>
        <w:rPr>
          <w:rFonts w:ascii="Arial" w:hAnsi="Arial" w:cs="Arial"/>
          <w:sz w:val="24"/>
          <w:szCs w:val="24"/>
        </w:rPr>
        <w:t xml:space="preserve"> </w:t>
      </w:r>
      <w:r>
        <w:rPr>
          <w:rFonts w:ascii="ArialMT" w:hAnsi="ArialMT" w:cs="ArialMT"/>
          <w:color w:val="C75928"/>
          <w:sz w:val="48"/>
          <w:szCs w:val="48"/>
        </w:rPr>
        <w:t>Taskforce?</w:t>
      </w:r>
    </w:p>
    <w:p w:rsidR="00156349" w:rsidRDefault="00156349" w:rsidP="0005031B">
      <w:pPr>
        <w:spacing w:after="0" w:line="240" w:lineRule="auto"/>
        <w:jc w:val="both"/>
        <w:rPr>
          <w:rFonts w:ascii="Arial" w:hAnsi="Arial" w:cs="Arial"/>
          <w:sz w:val="24"/>
          <w:szCs w:val="24"/>
        </w:rPr>
      </w:pPr>
      <w:r>
        <w:rPr>
          <w:rFonts w:ascii="Arial" w:hAnsi="Arial" w:cs="Arial"/>
          <w:sz w:val="24"/>
          <w:szCs w:val="24"/>
        </w:rPr>
        <w:t xml:space="preserve">The </w:t>
      </w:r>
      <w:r w:rsidR="00B01638">
        <w:rPr>
          <w:rFonts w:ascii="Arial" w:hAnsi="Arial" w:cs="Arial"/>
          <w:sz w:val="24"/>
          <w:szCs w:val="24"/>
        </w:rPr>
        <w:t>Taskforce was</w:t>
      </w:r>
      <w:r>
        <w:rPr>
          <w:rFonts w:ascii="Arial" w:hAnsi="Arial" w:cs="Arial"/>
          <w:sz w:val="24"/>
          <w:szCs w:val="24"/>
        </w:rPr>
        <w:t xml:space="preserve"> selected </w:t>
      </w:r>
      <w:r w:rsidR="001C3CDE">
        <w:rPr>
          <w:rFonts w:ascii="Arial" w:hAnsi="Arial" w:cs="Arial"/>
          <w:sz w:val="24"/>
          <w:szCs w:val="24"/>
        </w:rPr>
        <w:t xml:space="preserve">collaboratively </w:t>
      </w:r>
      <w:r>
        <w:rPr>
          <w:rFonts w:ascii="Arial" w:hAnsi="Arial" w:cs="Arial"/>
          <w:sz w:val="24"/>
          <w:szCs w:val="24"/>
        </w:rPr>
        <w:t xml:space="preserve">by the </w:t>
      </w:r>
      <w:r w:rsidR="001C3CDE">
        <w:rPr>
          <w:rFonts w:ascii="Arial" w:hAnsi="Arial" w:cs="Arial"/>
          <w:sz w:val="24"/>
          <w:szCs w:val="24"/>
        </w:rPr>
        <w:t xml:space="preserve">WA </w:t>
      </w:r>
      <w:r>
        <w:rPr>
          <w:rFonts w:ascii="Arial" w:hAnsi="Arial" w:cs="Arial"/>
          <w:sz w:val="24"/>
          <w:szCs w:val="24"/>
        </w:rPr>
        <w:t>Government and SWALSC</w:t>
      </w:r>
      <w:r w:rsidR="001C3CDE">
        <w:rPr>
          <w:rFonts w:ascii="Arial" w:hAnsi="Arial" w:cs="Arial"/>
          <w:sz w:val="24"/>
          <w:szCs w:val="24"/>
        </w:rPr>
        <w:t>.</w:t>
      </w:r>
      <w:r>
        <w:rPr>
          <w:rFonts w:ascii="Arial" w:hAnsi="Arial" w:cs="Arial"/>
          <w:sz w:val="24"/>
          <w:szCs w:val="24"/>
        </w:rPr>
        <w:t xml:space="preserve"> </w:t>
      </w:r>
      <w:r w:rsidR="000F5AA9">
        <w:rPr>
          <w:rFonts w:ascii="Arial" w:hAnsi="Arial" w:cs="Arial"/>
          <w:sz w:val="24"/>
          <w:szCs w:val="24"/>
        </w:rPr>
        <w:t>M</w:t>
      </w:r>
      <w:r w:rsidR="00B01638">
        <w:rPr>
          <w:rFonts w:ascii="Arial" w:hAnsi="Arial" w:cs="Arial"/>
          <w:sz w:val="24"/>
          <w:szCs w:val="24"/>
        </w:rPr>
        <w:t xml:space="preserve">embers </w:t>
      </w:r>
      <w:r>
        <w:rPr>
          <w:rFonts w:ascii="Arial" w:hAnsi="Arial" w:cs="Arial"/>
          <w:sz w:val="24"/>
          <w:szCs w:val="24"/>
        </w:rPr>
        <w:t>were appointed based on their practical experience and expertise</w:t>
      </w:r>
      <w:r w:rsidR="00FF64BC">
        <w:rPr>
          <w:rFonts w:ascii="Arial" w:hAnsi="Arial" w:cs="Arial"/>
          <w:sz w:val="24"/>
          <w:szCs w:val="24"/>
        </w:rPr>
        <w:t>.</w:t>
      </w:r>
    </w:p>
    <w:p w:rsidR="00156349" w:rsidRDefault="00156349" w:rsidP="0005031B">
      <w:pPr>
        <w:spacing w:after="0" w:line="240" w:lineRule="auto"/>
        <w:jc w:val="both"/>
        <w:rPr>
          <w:rFonts w:ascii="Arial" w:hAnsi="Arial" w:cs="Arial"/>
          <w:sz w:val="24"/>
          <w:szCs w:val="24"/>
        </w:rPr>
      </w:pPr>
    </w:p>
    <w:p w:rsidR="0005031B" w:rsidRPr="00694F46" w:rsidRDefault="0005031B" w:rsidP="0005031B">
      <w:pPr>
        <w:spacing w:after="0" w:line="240" w:lineRule="auto"/>
        <w:jc w:val="both"/>
        <w:rPr>
          <w:rFonts w:ascii="Arial" w:hAnsi="Arial" w:cs="Arial"/>
          <w:sz w:val="24"/>
          <w:szCs w:val="24"/>
        </w:rPr>
      </w:pPr>
      <w:r w:rsidRPr="00694F46">
        <w:rPr>
          <w:rFonts w:ascii="Arial" w:hAnsi="Arial" w:cs="Arial"/>
          <w:sz w:val="24"/>
          <w:szCs w:val="24"/>
        </w:rPr>
        <w:t xml:space="preserve">The Taskforce membership </w:t>
      </w:r>
      <w:r w:rsidR="00B01638">
        <w:rPr>
          <w:rFonts w:ascii="Arial" w:hAnsi="Arial" w:cs="Arial"/>
          <w:sz w:val="24"/>
          <w:szCs w:val="24"/>
        </w:rPr>
        <w:t>is as follows</w:t>
      </w:r>
      <w:r w:rsidRPr="00694F46">
        <w:rPr>
          <w:rFonts w:ascii="Arial" w:hAnsi="Arial" w:cs="Arial"/>
          <w:sz w:val="24"/>
          <w:szCs w:val="24"/>
        </w:rPr>
        <w:t>:</w:t>
      </w:r>
    </w:p>
    <w:p w:rsidR="0005031B" w:rsidRPr="00694F46" w:rsidRDefault="0005031B" w:rsidP="0005031B">
      <w:pPr>
        <w:spacing w:after="0" w:line="240" w:lineRule="auto"/>
        <w:jc w:val="both"/>
        <w:rPr>
          <w:rFonts w:ascii="Arial" w:hAnsi="Arial" w:cs="Arial"/>
          <w:sz w:val="24"/>
          <w:szCs w:val="24"/>
        </w:rPr>
      </w:pPr>
    </w:p>
    <w:p w:rsidR="0005031B" w:rsidRPr="00694F46"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Debbie Karasinski, Independent, Non-voting Chair</w:t>
      </w:r>
      <w:r w:rsidR="00B01638">
        <w:rPr>
          <w:rFonts w:ascii="Arial" w:hAnsi="Arial" w:cs="Arial"/>
          <w:sz w:val="24"/>
          <w:szCs w:val="24"/>
        </w:rPr>
        <w:t>;</w:t>
      </w:r>
    </w:p>
    <w:p w:rsidR="0005031B" w:rsidRPr="00694F46"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 xml:space="preserve">Angela Elder, </w:t>
      </w:r>
      <w:r w:rsidR="000F5AA9">
        <w:rPr>
          <w:rFonts w:ascii="Arial" w:hAnsi="Arial" w:cs="Arial"/>
          <w:sz w:val="24"/>
          <w:szCs w:val="24"/>
        </w:rPr>
        <w:t>WA</w:t>
      </w:r>
      <w:r w:rsidRPr="00694F46">
        <w:rPr>
          <w:rFonts w:ascii="Arial" w:hAnsi="Arial" w:cs="Arial"/>
          <w:sz w:val="24"/>
          <w:szCs w:val="24"/>
        </w:rPr>
        <w:t xml:space="preserve"> Government Representative</w:t>
      </w:r>
      <w:r w:rsidR="00B01638">
        <w:rPr>
          <w:rFonts w:ascii="Arial" w:hAnsi="Arial" w:cs="Arial"/>
          <w:sz w:val="24"/>
          <w:szCs w:val="24"/>
        </w:rPr>
        <w:t>;</w:t>
      </w:r>
    </w:p>
    <w:p w:rsidR="0005031B" w:rsidRPr="00694F46"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 xml:space="preserve">Adam Levin, </w:t>
      </w:r>
      <w:r w:rsidR="000F5AA9">
        <w:rPr>
          <w:rFonts w:ascii="Arial" w:hAnsi="Arial" w:cs="Arial"/>
          <w:sz w:val="24"/>
          <w:szCs w:val="24"/>
        </w:rPr>
        <w:t>WA</w:t>
      </w:r>
      <w:r w:rsidRPr="00694F46">
        <w:rPr>
          <w:rFonts w:ascii="Arial" w:hAnsi="Arial" w:cs="Arial"/>
          <w:sz w:val="24"/>
          <w:szCs w:val="24"/>
        </w:rPr>
        <w:t xml:space="preserve"> Government Representative</w:t>
      </w:r>
      <w:r w:rsidR="00B01638">
        <w:rPr>
          <w:rFonts w:ascii="Arial" w:hAnsi="Arial" w:cs="Arial"/>
          <w:sz w:val="24"/>
          <w:szCs w:val="24"/>
        </w:rPr>
        <w:t>;</w:t>
      </w:r>
    </w:p>
    <w:p w:rsidR="0005031B" w:rsidRPr="00002927"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 xml:space="preserve">Jackie Tang, </w:t>
      </w:r>
      <w:r w:rsidR="000F5AA9">
        <w:rPr>
          <w:rFonts w:ascii="Arial" w:hAnsi="Arial" w:cs="Arial"/>
          <w:sz w:val="24"/>
          <w:szCs w:val="24"/>
        </w:rPr>
        <w:t>WA</w:t>
      </w:r>
      <w:r w:rsidRPr="00694F46">
        <w:rPr>
          <w:rFonts w:ascii="Arial" w:hAnsi="Arial" w:cs="Arial"/>
          <w:sz w:val="24"/>
          <w:szCs w:val="24"/>
        </w:rPr>
        <w:t xml:space="preserve"> Government Representative</w:t>
      </w:r>
      <w:r w:rsidR="00B01638">
        <w:rPr>
          <w:rFonts w:ascii="Arial" w:hAnsi="Arial" w:cs="Arial"/>
          <w:sz w:val="24"/>
          <w:szCs w:val="24"/>
        </w:rPr>
        <w:t>;</w:t>
      </w:r>
    </w:p>
    <w:p w:rsidR="00C10B48" w:rsidRPr="00694F46" w:rsidRDefault="00C10B48" w:rsidP="0005031B">
      <w:pPr>
        <w:pStyle w:val="ListParagraph"/>
        <w:numPr>
          <w:ilvl w:val="0"/>
          <w:numId w:val="9"/>
        </w:numPr>
        <w:spacing w:after="0" w:line="240" w:lineRule="auto"/>
        <w:jc w:val="both"/>
        <w:rPr>
          <w:rFonts w:ascii="Arial" w:eastAsia="Calibri" w:hAnsi="Arial" w:cs="Arial"/>
          <w:sz w:val="24"/>
          <w:szCs w:val="24"/>
        </w:rPr>
      </w:pPr>
      <w:r>
        <w:rPr>
          <w:rFonts w:ascii="Arial" w:hAnsi="Arial" w:cs="Arial"/>
          <w:sz w:val="24"/>
          <w:szCs w:val="24"/>
        </w:rPr>
        <w:t xml:space="preserve">Craig Murrihy, </w:t>
      </w:r>
      <w:r w:rsidR="000F5AA9">
        <w:rPr>
          <w:rFonts w:ascii="Arial" w:hAnsi="Arial" w:cs="Arial"/>
          <w:sz w:val="24"/>
          <w:szCs w:val="24"/>
        </w:rPr>
        <w:t>WA</w:t>
      </w:r>
      <w:r>
        <w:rPr>
          <w:rFonts w:ascii="Arial" w:hAnsi="Arial" w:cs="Arial"/>
          <w:sz w:val="24"/>
          <w:szCs w:val="24"/>
        </w:rPr>
        <w:t xml:space="preserve"> Government Representative</w:t>
      </w:r>
      <w:r w:rsidR="00B01638">
        <w:rPr>
          <w:rFonts w:ascii="Arial" w:hAnsi="Arial" w:cs="Arial"/>
          <w:sz w:val="24"/>
          <w:szCs w:val="24"/>
        </w:rPr>
        <w:t>;</w:t>
      </w:r>
    </w:p>
    <w:p w:rsidR="0005031B" w:rsidRPr="00694F46"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Gordon Cole, SWALSC Representative</w:t>
      </w:r>
      <w:r w:rsidR="00B01638">
        <w:rPr>
          <w:rFonts w:ascii="Arial" w:hAnsi="Arial" w:cs="Arial"/>
          <w:sz w:val="24"/>
          <w:szCs w:val="24"/>
        </w:rPr>
        <w:t>;</w:t>
      </w:r>
    </w:p>
    <w:p w:rsidR="0005031B" w:rsidRPr="00694F46"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Malcolm Firth, SWALSC Representative</w:t>
      </w:r>
      <w:r w:rsidR="00B01638">
        <w:rPr>
          <w:rFonts w:ascii="Arial" w:hAnsi="Arial" w:cs="Arial"/>
          <w:sz w:val="24"/>
          <w:szCs w:val="24"/>
        </w:rPr>
        <w:t>;</w:t>
      </w:r>
    </w:p>
    <w:p w:rsidR="0005031B" w:rsidRPr="00694F46"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Glen Kelly, SWALSC Representative</w:t>
      </w:r>
      <w:r w:rsidR="00B01638">
        <w:rPr>
          <w:rFonts w:ascii="Arial" w:hAnsi="Arial" w:cs="Arial"/>
          <w:sz w:val="24"/>
          <w:szCs w:val="24"/>
        </w:rPr>
        <w:t>; and</w:t>
      </w:r>
    </w:p>
    <w:p w:rsidR="0005031B" w:rsidRPr="00694F46" w:rsidRDefault="0005031B" w:rsidP="0005031B">
      <w:pPr>
        <w:pStyle w:val="ListParagraph"/>
        <w:numPr>
          <w:ilvl w:val="0"/>
          <w:numId w:val="9"/>
        </w:numPr>
        <w:spacing w:after="0" w:line="240" w:lineRule="auto"/>
        <w:jc w:val="both"/>
        <w:rPr>
          <w:rFonts w:ascii="Arial" w:eastAsia="Calibri" w:hAnsi="Arial" w:cs="Arial"/>
          <w:sz w:val="24"/>
          <w:szCs w:val="24"/>
        </w:rPr>
      </w:pPr>
      <w:r w:rsidRPr="00694F46">
        <w:rPr>
          <w:rFonts w:ascii="Arial" w:hAnsi="Arial" w:cs="Arial"/>
          <w:sz w:val="24"/>
          <w:szCs w:val="24"/>
        </w:rPr>
        <w:t>Kate Wilson, SWALSC Representative</w:t>
      </w:r>
      <w:r w:rsidR="00B01638">
        <w:rPr>
          <w:rFonts w:ascii="Arial" w:hAnsi="Arial" w:cs="Arial"/>
          <w:sz w:val="24"/>
          <w:szCs w:val="24"/>
        </w:rPr>
        <w:t>.</w:t>
      </w:r>
    </w:p>
    <w:p w:rsidR="00A248D7" w:rsidRDefault="00A248D7" w:rsidP="007F5760">
      <w:pPr>
        <w:spacing w:after="0" w:line="240" w:lineRule="auto"/>
        <w:rPr>
          <w:rFonts w:ascii="ArialMT" w:hAnsi="ArialMT" w:cs="ArialMT"/>
          <w:color w:val="C75928"/>
          <w:sz w:val="48"/>
          <w:szCs w:val="48"/>
        </w:rPr>
      </w:pPr>
    </w:p>
    <w:p w:rsidR="0051079B" w:rsidRDefault="0051079B" w:rsidP="007F5760">
      <w:pPr>
        <w:spacing w:after="0" w:line="240" w:lineRule="auto"/>
        <w:rPr>
          <w:rFonts w:ascii="ArialMT" w:hAnsi="ArialMT" w:cs="ArialMT"/>
          <w:color w:val="C75928"/>
          <w:sz w:val="48"/>
          <w:szCs w:val="48"/>
        </w:rPr>
      </w:pPr>
    </w:p>
    <w:p w:rsidR="0051079B" w:rsidRDefault="0051079B" w:rsidP="007F5760">
      <w:pPr>
        <w:spacing w:after="0" w:line="240" w:lineRule="auto"/>
        <w:rPr>
          <w:rFonts w:ascii="ArialMT" w:hAnsi="ArialMT" w:cs="ArialMT"/>
          <w:color w:val="C75928"/>
          <w:sz w:val="48"/>
          <w:szCs w:val="48"/>
        </w:rPr>
      </w:pPr>
    </w:p>
    <w:p w:rsidR="0005031B" w:rsidRDefault="0005031B" w:rsidP="0005031B">
      <w:pPr>
        <w:spacing w:after="0" w:line="240" w:lineRule="auto"/>
        <w:jc w:val="center"/>
        <w:rPr>
          <w:rFonts w:ascii="MyriadPro-Semibold" w:hAnsi="MyriadPro-Semibold" w:cs="MyriadPro-Semibold"/>
          <w:color w:val="026694"/>
          <w:sz w:val="34"/>
          <w:szCs w:val="34"/>
        </w:rPr>
      </w:pPr>
      <w:r>
        <w:rPr>
          <w:rFonts w:ascii="ArialMT" w:hAnsi="ArialMT" w:cs="ArialMT"/>
          <w:color w:val="C75928"/>
          <w:sz w:val="48"/>
          <w:szCs w:val="48"/>
        </w:rPr>
        <w:t xml:space="preserve">What is the </w:t>
      </w:r>
      <w:r w:rsidR="00F8250C">
        <w:rPr>
          <w:rFonts w:ascii="ArialMT" w:hAnsi="ArialMT" w:cs="ArialMT"/>
          <w:color w:val="C75928"/>
          <w:sz w:val="48"/>
          <w:szCs w:val="48"/>
        </w:rPr>
        <w:t xml:space="preserve">role of the </w:t>
      </w:r>
      <w:r>
        <w:rPr>
          <w:rFonts w:ascii="ArialMT" w:hAnsi="ArialMT" w:cs="ArialMT"/>
          <w:color w:val="C75928"/>
          <w:sz w:val="48"/>
          <w:szCs w:val="48"/>
        </w:rPr>
        <w:t>Noongar Boodja Trustee Selection Panel?</w:t>
      </w:r>
    </w:p>
    <w:p w:rsidR="0005031B" w:rsidRPr="00D36562" w:rsidRDefault="0005031B" w:rsidP="0005031B">
      <w:pPr>
        <w:spacing w:after="0" w:line="240" w:lineRule="auto"/>
        <w:jc w:val="both"/>
        <w:rPr>
          <w:rFonts w:ascii="MyriadPro-Semibold" w:hAnsi="MyriadPro-Semibold" w:cs="MyriadPro-Semibold"/>
          <w:color w:val="026694"/>
          <w:sz w:val="34"/>
          <w:szCs w:val="34"/>
        </w:rPr>
      </w:pPr>
    </w:p>
    <w:p w:rsidR="0005031B" w:rsidRDefault="0005031B" w:rsidP="0005031B">
      <w:pPr>
        <w:jc w:val="both"/>
        <w:rPr>
          <w:rFonts w:ascii="Arial" w:hAnsi="Arial" w:cs="Arial"/>
          <w:sz w:val="24"/>
          <w:szCs w:val="24"/>
        </w:rPr>
      </w:pPr>
      <w:r w:rsidRPr="00B514A4">
        <w:rPr>
          <w:rFonts w:ascii="Arial" w:hAnsi="Arial" w:cs="Arial"/>
          <w:sz w:val="24"/>
          <w:szCs w:val="24"/>
        </w:rPr>
        <w:t>The Panel will be responsible for the ultimate selection</w:t>
      </w:r>
      <w:r w:rsidR="000F5AA9">
        <w:rPr>
          <w:rFonts w:ascii="Arial" w:hAnsi="Arial" w:cs="Arial"/>
          <w:sz w:val="24"/>
          <w:szCs w:val="24"/>
        </w:rPr>
        <w:t xml:space="preserve"> and formal appointment</w:t>
      </w:r>
      <w:r w:rsidRPr="00B514A4">
        <w:rPr>
          <w:rFonts w:ascii="Arial" w:hAnsi="Arial" w:cs="Arial"/>
          <w:sz w:val="24"/>
          <w:szCs w:val="24"/>
        </w:rPr>
        <w:t xml:space="preserve"> of the Trustee, </w:t>
      </w:r>
      <w:r>
        <w:rPr>
          <w:rFonts w:ascii="Arial" w:hAnsi="Arial" w:cs="Arial"/>
          <w:sz w:val="24"/>
          <w:szCs w:val="24"/>
        </w:rPr>
        <w:t xml:space="preserve">through </w:t>
      </w:r>
      <w:r w:rsidRPr="00B514A4">
        <w:rPr>
          <w:rFonts w:ascii="Arial" w:hAnsi="Arial" w:cs="Arial"/>
          <w:sz w:val="24"/>
          <w:szCs w:val="24"/>
        </w:rPr>
        <w:t xml:space="preserve">the </w:t>
      </w:r>
      <w:r w:rsidR="00F8250C">
        <w:rPr>
          <w:rFonts w:ascii="Arial" w:eastAsia="Calibri" w:hAnsi="Arial" w:cs="Arial"/>
          <w:sz w:val="24"/>
          <w:szCs w:val="24"/>
        </w:rPr>
        <w:t>a</w:t>
      </w:r>
      <w:r w:rsidR="00F8250C" w:rsidRPr="00C94C11">
        <w:rPr>
          <w:rFonts w:ascii="Arial" w:eastAsia="Calibri" w:hAnsi="Arial" w:cs="Arial"/>
          <w:sz w:val="24"/>
          <w:szCs w:val="24"/>
        </w:rPr>
        <w:t xml:space="preserve">greed </w:t>
      </w:r>
      <w:r w:rsidR="000F5AA9">
        <w:rPr>
          <w:rFonts w:ascii="Arial" w:eastAsia="Calibri" w:hAnsi="Arial" w:cs="Arial"/>
          <w:sz w:val="24"/>
          <w:szCs w:val="24"/>
        </w:rPr>
        <w:t xml:space="preserve">WA Government </w:t>
      </w:r>
      <w:r w:rsidR="00F8250C" w:rsidRPr="00C94C11">
        <w:rPr>
          <w:rFonts w:ascii="Arial" w:eastAsia="Calibri" w:hAnsi="Arial" w:cs="Arial"/>
          <w:sz w:val="24"/>
          <w:szCs w:val="24"/>
        </w:rPr>
        <w:t>/</w:t>
      </w:r>
      <w:r w:rsidR="00C67AAA">
        <w:rPr>
          <w:rFonts w:ascii="Arial" w:eastAsia="Calibri" w:hAnsi="Arial" w:cs="Arial"/>
          <w:sz w:val="24"/>
          <w:szCs w:val="24"/>
        </w:rPr>
        <w:t xml:space="preserve"> </w:t>
      </w:r>
      <w:r w:rsidR="00F8250C" w:rsidRPr="00C94C11">
        <w:rPr>
          <w:rFonts w:ascii="Arial" w:eastAsia="Calibri" w:hAnsi="Arial" w:cs="Arial"/>
          <w:sz w:val="24"/>
          <w:szCs w:val="24"/>
        </w:rPr>
        <w:t>S</w:t>
      </w:r>
      <w:r w:rsidR="00F8250C">
        <w:rPr>
          <w:rFonts w:ascii="Arial" w:eastAsia="Calibri" w:hAnsi="Arial" w:cs="Arial"/>
          <w:sz w:val="24"/>
          <w:szCs w:val="24"/>
        </w:rPr>
        <w:t>WALSC Trustee Selection Process</w:t>
      </w:r>
      <w:r w:rsidRPr="00B514A4">
        <w:rPr>
          <w:rFonts w:ascii="Arial" w:hAnsi="Arial" w:cs="Arial"/>
          <w:sz w:val="24"/>
          <w:szCs w:val="24"/>
        </w:rPr>
        <w:t xml:space="preserve">. </w:t>
      </w:r>
      <w:r w:rsidR="00940CDC" w:rsidRPr="0028347C">
        <w:rPr>
          <w:rFonts w:ascii="Arial" w:hAnsi="Arial" w:cs="Arial"/>
          <w:sz w:val="24"/>
          <w:szCs w:val="24"/>
        </w:rPr>
        <w:t xml:space="preserve">Following </w:t>
      </w:r>
      <w:r w:rsidR="00940CDC">
        <w:rPr>
          <w:rFonts w:ascii="Arial" w:hAnsi="Arial" w:cs="Arial"/>
          <w:sz w:val="24"/>
          <w:szCs w:val="24"/>
        </w:rPr>
        <w:t xml:space="preserve">this evaluation, the </w:t>
      </w:r>
      <w:r w:rsidR="00940CDC" w:rsidRPr="0028347C">
        <w:rPr>
          <w:rFonts w:ascii="Arial" w:hAnsi="Arial" w:cs="Arial"/>
          <w:sz w:val="24"/>
          <w:szCs w:val="24"/>
        </w:rPr>
        <w:t>Panel will select a Professional</w:t>
      </w:r>
      <w:r w:rsidR="00940CDC">
        <w:rPr>
          <w:rFonts w:ascii="Arial" w:hAnsi="Arial" w:cs="Arial"/>
          <w:sz w:val="24"/>
          <w:szCs w:val="24"/>
        </w:rPr>
        <w:t xml:space="preserve"> Trustee Company to be appointed as the Trustee. </w:t>
      </w:r>
      <w:r w:rsidR="00940CDC" w:rsidRPr="0028347C">
        <w:rPr>
          <w:rFonts w:ascii="Arial" w:hAnsi="Arial" w:cs="Arial"/>
          <w:sz w:val="24"/>
          <w:szCs w:val="24"/>
        </w:rPr>
        <w:t xml:space="preserve"> </w:t>
      </w:r>
      <w:r w:rsidR="000A34B6">
        <w:rPr>
          <w:rFonts w:ascii="Arial" w:hAnsi="Arial" w:cs="Arial"/>
          <w:sz w:val="24"/>
          <w:szCs w:val="24"/>
        </w:rPr>
        <w:t xml:space="preserve">The Taskforce will </w:t>
      </w:r>
      <w:r w:rsidR="000A34B6" w:rsidRPr="0028347C">
        <w:rPr>
          <w:rFonts w:ascii="Arial" w:hAnsi="Arial" w:cs="Arial"/>
          <w:sz w:val="24"/>
          <w:szCs w:val="24"/>
        </w:rPr>
        <w:t xml:space="preserve">provide </w:t>
      </w:r>
      <w:r w:rsidR="000A34B6">
        <w:rPr>
          <w:rFonts w:ascii="Arial" w:hAnsi="Arial" w:cs="Arial"/>
          <w:sz w:val="24"/>
          <w:szCs w:val="24"/>
        </w:rPr>
        <w:t xml:space="preserve">the Panel with </w:t>
      </w:r>
      <w:r w:rsidR="000A34B6" w:rsidRPr="0028347C">
        <w:rPr>
          <w:rFonts w:ascii="Arial" w:hAnsi="Arial" w:cs="Arial"/>
          <w:sz w:val="24"/>
          <w:szCs w:val="24"/>
        </w:rPr>
        <w:t>strat</w:t>
      </w:r>
      <w:r w:rsidR="000A34B6">
        <w:rPr>
          <w:rFonts w:ascii="Arial" w:hAnsi="Arial" w:cs="Arial"/>
          <w:sz w:val="24"/>
          <w:szCs w:val="24"/>
        </w:rPr>
        <w:t xml:space="preserve">egic direction during </w:t>
      </w:r>
      <w:r w:rsidR="001F3B11">
        <w:rPr>
          <w:rFonts w:ascii="Arial" w:hAnsi="Arial" w:cs="Arial"/>
          <w:sz w:val="24"/>
          <w:szCs w:val="24"/>
        </w:rPr>
        <w:t xml:space="preserve">this process which </w:t>
      </w:r>
      <w:r w:rsidR="001F3B11" w:rsidRPr="0028347C">
        <w:rPr>
          <w:rFonts w:ascii="Arial" w:hAnsi="Arial" w:cs="Arial"/>
          <w:sz w:val="24"/>
          <w:szCs w:val="24"/>
        </w:rPr>
        <w:t xml:space="preserve">will run from July 2015 to </w:t>
      </w:r>
      <w:r w:rsidR="00C10B48">
        <w:rPr>
          <w:rFonts w:ascii="Arial" w:hAnsi="Arial" w:cs="Arial"/>
          <w:sz w:val="24"/>
          <w:szCs w:val="24"/>
        </w:rPr>
        <w:t>April</w:t>
      </w:r>
      <w:r w:rsidR="00B01638">
        <w:rPr>
          <w:rFonts w:ascii="Arial" w:hAnsi="Arial" w:cs="Arial"/>
          <w:sz w:val="24"/>
          <w:szCs w:val="24"/>
        </w:rPr>
        <w:t xml:space="preserve"> </w:t>
      </w:r>
      <w:r w:rsidR="001F3B11" w:rsidRPr="0028347C">
        <w:rPr>
          <w:rFonts w:ascii="Arial" w:hAnsi="Arial" w:cs="Arial"/>
          <w:sz w:val="24"/>
          <w:szCs w:val="24"/>
        </w:rPr>
        <w:t>2016.</w:t>
      </w:r>
    </w:p>
    <w:p w:rsidR="00B01638" w:rsidRDefault="0005031B" w:rsidP="0051079B">
      <w:pPr>
        <w:spacing w:after="0" w:line="240" w:lineRule="auto"/>
        <w:jc w:val="both"/>
        <w:rPr>
          <w:rFonts w:ascii="Arial" w:hAnsi="Arial" w:cs="Arial"/>
          <w:sz w:val="24"/>
          <w:szCs w:val="24"/>
        </w:rPr>
      </w:pPr>
      <w:r w:rsidRPr="0028347C">
        <w:rPr>
          <w:rFonts w:ascii="Arial" w:hAnsi="Arial" w:cs="Arial"/>
          <w:sz w:val="24"/>
          <w:szCs w:val="24"/>
        </w:rPr>
        <w:t xml:space="preserve">The Taskforce </w:t>
      </w:r>
      <w:r w:rsidR="00156EAE">
        <w:rPr>
          <w:rFonts w:ascii="Arial" w:hAnsi="Arial" w:cs="Arial"/>
          <w:sz w:val="24"/>
          <w:szCs w:val="24"/>
        </w:rPr>
        <w:t>ha</w:t>
      </w:r>
      <w:r w:rsidR="001F3B11">
        <w:rPr>
          <w:rFonts w:ascii="Arial" w:hAnsi="Arial" w:cs="Arial"/>
          <w:sz w:val="24"/>
          <w:szCs w:val="24"/>
        </w:rPr>
        <w:t>ve developed Selection C</w:t>
      </w:r>
      <w:r w:rsidR="00156EAE">
        <w:rPr>
          <w:rFonts w:ascii="Arial" w:hAnsi="Arial" w:cs="Arial"/>
          <w:sz w:val="24"/>
          <w:szCs w:val="24"/>
        </w:rPr>
        <w:t>riteria that will guide the appointment of</w:t>
      </w:r>
      <w:r w:rsidR="00A90BC5">
        <w:rPr>
          <w:rFonts w:ascii="Arial" w:hAnsi="Arial" w:cs="Arial"/>
          <w:sz w:val="24"/>
          <w:szCs w:val="24"/>
        </w:rPr>
        <w:t xml:space="preserve"> Panel Members</w:t>
      </w:r>
      <w:r w:rsidR="00156EAE">
        <w:rPr>
          <w:rFonts w:ascii="Arial" w:hAnsi="Arial" w:cs="Arial"/>
          <w:sz w:val="24"/>
          <w:szCs w:val="24"/>
        </w:rPr>
        <w:t>.</w:t>
      </w:r>
      <w:r w:rsidR="000A34B6">
        <w:rPr>
          <w:rFonts w:ascii="Arial" w:hAnsi="Arial" w:cs="Arial"/>
          <w:sz w:val="24"/>
          <w:szCs w:val="24"/>
        </w:rPr>
        <w:t xml:space="preserve"> </w:t>
      </w:r>
    </w:p>
    <w:p w:rsidR="0051079B" w:rsidRDefault="0051079B" w:rsidP="0051079B">
      <w:pPr>
        <w:spacing w:after="0" w:line="240" w:lineRule="auto"/>
        <w:jc w:val="both"/>
        <w:rPr>
          <w:rFonts w:ascii="ArialMT" w:hAnsi="ArialMT" w:cs="ArialMT"/>
          <w:color w:val="C75928"/>
          <w:sz w:val="48"/>
          <w:szCs w:val="48"/>
        </w:rPr>
      </w:pPr>
    </w:p>
    <w:p w:rsidR="003F4437" w:rsidRDefault="003F4437" w:rsidP="0051079B">
      <w:pPr>
        <w:spacing w:after="0" w:line="240" w:lineRule="auto"/>
        <w:jc w:val="both"/>
        <w:rPr>
          <w:rFonts w:ascii="ArialMT" w:hAnsi="ArialMT" w:cs="ArialMT"/>
          <w:color w:val="C75928"/>
          <w:sz w:val="48"/>
          <w:szCs w:val="48"/>
        </w:rPr>
      </w:pPr>
    </w:p>
    <w:p w:rsidR="003F4437" w:rsidRDefault="003F4437" w:rsidP="0051079B">
      <w:pPr>
        <w:spacing w:after="0" w:line="240" w:lineRule="auto"/>
        <w:jc w:val="both"/>
        <w:rPr>
          <w:rFonts w:ascii="ArialMT" w:hAnsi="ArialMT" w:cs="ArialMT"/>
          <w:color w:val="C75928"/>
          <w:sz w:val="48"/>
          <w:szCs w:val="48"/>
        </w:rPr>
      </w:pPr>
    </w:p>
    <w:p w:rsidR="003F4437" w:rsidRDefault="003F4437" w:rsidP="0051079B">
      <w:pPr>
        <w:spacing w:after="0" w:line="240" w:lineRule="auto"/>
        <w:jc w:val="both"/>
        <w:rPr>
          <w:rFonts w:ascii="ArialMT" w:hAnsi="ArialMT" w:cs="ArialMT"/>
          <w:color w:val="C75928"/>
          <w:sz w:val="48"/>
          <w:szCs w:val="48"/>
        </w:rPr>
      </w:pPr>
    </w:p>
    <w:p w:rsidR="0005031B" w:rsidRPr="00B514A4" w:rsidRDefault="0005031B" w:rsidP="00A90BC5">
      <w:pPr>
        <w:jc w:val="center"/>
        <w:rPr>
          <w:rFonts w:ascii="Arial" w:hAnsi="Arial" w:cs="Arial"/>
          <w:sz w:val="24"/>
          <w:szCs w:val="24"/>
        </w:rPr>
      </w:pPr>
      <w:r w:rsidRPr="00E93B67">
        <w:rPr>
          <w:rFonts w:ascii="ArialMT" w:hAnsi="ArialMT" w:cs="ArialMT"/>
          <w:color w:val="C75928"/>
          <w:sz w:val="48"/>
          <w:szCs w:val="48"/>
        </w:rPr>
        <w:lastRenderedPageBreak/>
        <w:t>Membership</w:t>
      </w:r>
      <w:r>
        <w:rPr>
          <w:rFonts w:ascii="Arial" w:hAnsi="Arial" w:cs="Arial"/>
          <w:sz w:val="24"/>
          <w:szCs w:val="24"/>
        </w:rPr>
        <w:t xml:space="preserve"> </w:t>
      </w:r>
      <w:r w:rsidRPr="00E93B67">
        <w:rPr>
          <w:rFonts w:ascii="ArialMT" w:hAnsi="ArialMT" w:cs="ArialMT"/>
          <w:color w:val="C75928"/>
          <w:sz w:val="48"/>
          <w:szCs w:val="48"/>
        </w:rPr>
        <w:t>of</w:t>
      </w:r>
      <w:r>
        <w:rPr>
          <w:rFonts w:ascii="Arial" w:hAnsi="Arial" w:cs="Arial"/>
          <w:sz w:val="24"/>
          <w:szCs w:val="24"/>
        </w:rPr>
        <w:t xml:space="preserve"> </w:t>
      </w:r>
      <w:r w:rsidRPr="00E93B67">
        <w:rPr>
          <w:rFonts w:ascii="ArialMT" w:hAnsi="ArialMT" w:cs="ArialMT"/>
          <w:color w:val="C75928"/>
          <w:sz w:val="48"/>
          <w:szCs w:val="48"/>
        </w:rPr>
        <w:t>the</w:t>
      </w:r>
      <w:r>
        <w:rPr>
          <w:rFonts w:ascii="Arial" w:hAnsi="Arial" w:cs="Arial"/>
          <w:sz w:val="24"/>
          <w:szCs w:val="24"/>
        </w:rPr>
        <w:t xml:space="preserve"> </w:t>
      </w:r>
      <w:r w:rsidRPr="00E93B67">
        <w:rPr>
          <w:rFonts w:ascii="ArialMT" w:hAnsi="ArialMT" w:cs="ArialMT"/>
          <w:color w:val="C75928"/>
          <w:sz w:val="48"/>
          <w:szCs w:val="48"/>
        </w:rPr>
        <w:t>Panel</w:t>
      </w:r>
    </w:p>
    <w:p w:rsidR="0005031B" w:rsidRPr="00B514A4" w:rsidRDefault="0005031B" w:rsidP="0005031B">
      <w:pPr>
        <w:jc w:val="both"/>
        <w:rPr>
          <w:rFonts w:ascii="Arial" w:hAnsi="Arial" w:cs="Arial"/>
          <w:sz w:val="24"/>
          <w:szCs w:val="24"/>
        </w:rPr>
      </w:pPr>
      <w:r w:rsidRPr="00B514A4">
        <w:rPr>
          <w:rFonts w:ascii="Arial" w:hAnsi="Arial" w:cs="Arial"/>
          <w:sz w:val="24"/>
          <w:szCs w:val="24"/>
        </w:rPr>
        <w:t>The Panel will have fixed membership of six people, appointed by the Taskforce in accordance with the</w:t>
      </w:r>
      <w:r w:rsidR="00A90BC5">
        <w:rPr>
          <w:rFonts w:ascii="Arial" w:hAnsi="Arial" w:cs="Arial"/>
          <w:sz w:val="24"/>
          <w:szCs w:val="24"/>
        </w:rPr>
        <w:t>ir</w:t>
      </w:r>
      <w:r w:rsidRPr="00B514A4">
        <w:rPr>
          <w:rFonts w:ascii="Arial" w:hAnsi="Arial" w:cs="Arial"/>
          <w:sz w:val="24"/>
          <w:szCs w:val="24"/>
        </w:rPr>
        <w:t xml:space="preserve"> Terms of Reference</w:t>
      </w:r>
      <w:r w:rsidR="001F3B11">
        <w:rPr>
          <w:rFonts w:ascii="Arial" w:hAnsi="Arial" w:cs="Arial"/>
          <w:sz w:val="24"/>
          <w:szCs w:val="24"/>
        </w:rPr>
        <w:t xml:space="preserve"> and Selection Criteria</w:t>
      </w:r>
      <w:r w:rsidRPr="00B514A4">
        <w:rPr>
          <w:rFonts w:ascii="Arial" w:hAnsi="Arial" w:cs="Arial"/>
          <w:sz w:val="24"/>
          <w:szCs w:val="24"/>
        </w:rPr>
        <w:t xml:space="preserve">.  </w:t>
      </w:r>
      <w:r w:rsidR="000F5AA9">
        <w:rPr>
          <w:rFonts w:ascii="Arial" w:hAnsi="Arial" w:cs="Arial"/>
          <w:sz w:val="24"/>
          <w:szCs w:val="24"/>
        </w:rPr>
        <w:t xml:space="preserve">Panel </w:t>
      </w:r>
      <w:r w:rsidRPr="00B514A4">
        <w:rPr>
          <w:rFonts w:ascii="Arial" w:hAnsi="Arial" w:cs="Arial"/>
          <w:sz w:val="24"/>
          <w:szCs w:val="24"/>
        </w:rPr>
        <w:t xml:space="preserve">membership </w:t>
      </w:r>
      <w:r>
        <w:rPr>
          <w:rFonts w:ascii="Arial" w:hAnsi="Arial" w:cs="Arial"/>
          <w:sz w:val="24"/>
          <w:szCs w:val="24"/>
        </w:rPr>
        <w:t xml:space="preserve">will consist </w:t>
      </w:r>
      <w:r w:rsidRPr="00B514A4">
        <w:rPr>
          <w:rFonts w:ascii="Arial" w:hAnsi="Arial" w:cs="Arial"/>
          <w:sz w:val="24"/>
          <w:szCs w:val="24"/>
        </w:rPr>
        <w:t>of the following representatives:</w:t>
      </w:r>
    </w:p>
    <w:p w:rsidR="0005031B" w:rsidRPr="00B514A4" w:rsidRDefault="0005031B" w:rsidP="0005031B">
      <w:pPr>
        <w:pStyle w:val="ListParagraph"/>
        <w:numPr>
          <w:ilvl w:val="0"/>
          <w:numId w:val="6"/>
        </w:numPr>
        <w:spacing w:after="0" w:line="240" w:lineRule="auto"/>
        <w:jc w:val="both"/>
        <w:rPr>
          <w:rFonts w:ascii="Arial" w:hAnsi="Arial" w:cs="Arial"/>
          <w:sz w:val="24"/>
          <w:szCs w:val="24"/>
        </w:rPr>
      </w:pPr>
      <w:r w:rsidRPr="00B514A4">
        <w:rPr>
          <w:rFonts w:ascii="Arial" w:hAnsi="Arial" w:cs="Arial"/>
          <w:sz w:val="24"/>
          <w:szCs w:val="24"/>
        </w:rPr>
        <w:t xml:space="preserve">An Independent non-voting Chair; </w:t>
      </w:r>
    </w:p>
    <w:p w:rsidR="0005031B" w:rsidRPr="00B514A4" w:rsidRDefault="0005031B" w:rsidP="0005031B">
      <w:pPr>
        <w:pStyle w:val="ListParagraph"/>
        <w:numPr>
          <w:ilvl w:val="0"/>
          <w:numId w:val="6"/>
        </w:numPr>
        <w:spacing w:after="0" w:line="240" w:lineRule="auto"/>
        <w:jc w:val="both"/>
        <w:rPr>
          <w:rFonts w:ascii="Arial" w:hAnsi="Arial" w:cs="Arial"/>
          <w:sz w:val="24"/>
          <w:szCs w:val="24"/>
        </w:rPr>
      </w:pPr>
      <w:r w:rsidRPr="00B514A4">
        <w:rPr>
          <w:rFonts w:ascii="Arial" w:hAnsi="Arial" w:cs="Arial"/>
          <w:sz w:val="24"/>
          <w:szCs w:val="24"/>
        </w:rPr>
        <w:t xml:space="preserve">An Independent Financial Expert; </w:t>
      </w:r>
    </w:p>
    <w:p w:rsidR="0005031B" w:rsidRPr="00B514A4" w:rsidRDefault="0005031B" w:rsidP="0005031B">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An Independent Legal Expert;</w:t>
      </w:r>
    </w:p>
    <w:p w:rsidR="0005031B" w:rsidRPr="00B514A4" w:rsidRDefault="0005031B" w:rsidP="0005031B">
      <w:pPr>
        <w:pStyle w:val="ListParagraph"/>
        <w:numPr>
          <w:ilvl w:val="0"/>
          <w:numId w:val="6"/>
        </w:numPr>
        <w:spacing w:after="0" w:line="240" w:lineRule="auto"/>
        <w:jc w:val="both"/>
        <w:rPr>
          <w:rFonts w:ascii="Arial" w:hAnsi="Arial" w:cs="Arial"/>
          <w:sz w:val="24"/>
          <w:szCs w:val="24"/>
        </w:rPr>
      </w:pPr>
      <w:r w:rsidRPr="00B514A4">
        <w:rPr>
          <w:rFonts w:ascii="Arial" w:hAnsi="Arial" w:cs="Arial"/>
          <w:sz w:val="24"/>
          <w:szCs w:val="24"/>
        </w:rPr>
        <w:t>An Independent Practical Expert</w:t>
      </w:r>
      <w:r>
        <w:rPr>
          <w:rFonts w:ascii="Arial" w:hAnsi="Arial" w:cs="Arial"/>
          <w:sz w:val="24"/>
          <w:szCs w:val="24"/>
        </w:rPr>
        <w:t>;</w:t>
      </w:r>
    </w:p>
    <w:p w:rsidR="0005031B" w:rsidRPr="00B514A4" w:rsidRDefault="0005031B" w:rsidP="0005031B">
      <w:pPr>
        <w:pStyle w:val="ListParagraph"/>
        <w:numPr>
          <w:ilvl w:val="0"/>
          <w:numId w:val="6"/>
        </w:numPr>
        <w:spacing w:after="0" w:line="240" w:lineRule="auto"/>
        <w:jc w:val="both"/>
        <w:rPr>
          <w:rFonts w:ascii="Arial" w:hAnsi="Arial" w:cs="Arial"/>
          <w:sz w:val="24"/>
          <w:szCs w:val="24"/>
        </w:rPr>
      </w:pPr>
      <w:r w:rsidRPr="00B514A4">
        <w:rPr>
          <w:rFonts w:ascii="Arial" w:hAnsi="Arial" w:cs="Arial"/>
          <w:sz w:val="24"/>
          <w:szCs w:val="24"/>
        </w:rPr>
        <w:t xml:space="preserve">A </w:t>
      </w:r>
      <w:r w:rsidR="000F5AA9">
        <w:rPr>
          <w:rFonts w:ascii="Arial" w:hAnsi="Arial" w:cs="Arial"/>
          <w:sz w:val="24"/>
          <w:szCs w:val="24"/>
        </w:rPr>
        <w:t>WA Government</w:t>
      </w:r>
      <w:r w:rsidRPr="00B514A4">
        <w:rPr>
          <w:rFonts w:ascii="Arial" w:hAnsi="Arial" w:cs="Arial"/>
          <w:sz w:val="24"/>
          <w:szCs w:val="24"/>
        </w:rPr>
        <w:t>-nominated Representative;</w:t>
      </w:r>
      <w:r>
        <w:rPr>
          <w:rFonts w:ascii="Arial" w:hAnsi="Arial" w:cs="Arial"/>
          <w:sz w:val="24"/>
          <w:szCs w:val="24"/>
        </w:rPr>
        <w:t xml:space="preserve"> and</w:t>
      </w:r>
      <w:r w:rsidRPr="00B514A4">
        <w:rPr>
          <w:rFonts w:ascii="Arial" w:hAnsi="Arial" w:cs="Arial"/>
          <w:sz w:val="24"/>
          <w:szCs w:val="24"/>
        </w:rPr>
        <w:t xml:space="preserve"> </w:t>
      </w:r>
    </w:p>
    <w:p w:rsidR="0005031B" w:rsidRDefault="0005031B" w:rsidP="0005031B">
      <w:pPr>
        <w:pStyle w:val="ListParagraph"/>
        <w:numPr>
          <w:ilvl w:val="0"/>
          <w:numId w:val="6"/>
        </w:numPr>
        <w:spacing w:after="0" w:line="240" w:lineRule="auto"/>
        <w:jc w:val="both"/>
        <w:rPr>
          <w:rFonts w:ascii="Arial" w:hAnsi="Arial" w:cs="Arial"/>
          <w:sz w:val="24"/>
          <w:szCs w:val="24"/>
        </w:rPr>
      </w:pPr>
      <w:r w:rsidRPr="00B514A4">
        <w:rPr>
          <w:rFonts w:ascii="Arial" w:hAnsi="Arial" w:cs="Arial"/>
          <w:sz w:val="24"/>
          <w:szCs w:val="24"/>
        </w:rPr>
        <w:t xml:space="preserve">A </w:t>
      </w:r>
      <w:r>
        <w:rPr>
          <w:rFonts w:ascii="Arial" w:hAnsi="Arial" w:cs="Arial"/>
          <w:sz w:val="24"/>
          <w:szCs w:val="24"/>
        </w:rPr>
        <w:t>SWALSC-nominated Representative.</w:t>
      </w:r>
    </w:p>
    <w:p w:rsidR="0005031B" w:rsidRDefault="0005031B" w:rsidP="0005031B">
      <w:pPr>
        <w:spacing w:after="0" w:line="240" w:lineRule="auto"/>
        <w:jc w:val="both"/>
        <w:rPr>
          <w:rFonts w:ascii="Arial" w:hAnsi="Arial" w:cs="Arial"/>
          <w:sz w:val="24"/>
          <w:szCs w:val="24"/>
        </w:rPr>
      </w:pPr>
    </w:p>
    <w:p w:rsidR="00AB0968" w:rsidRPr="00E63259" w:rsidRDefault="00E63259" w:rsidP="00AB0968">
      <w:pPr>
        <w:spacing w:after="0" w:line="240" w:lineRule="auto"/>
        <w:jc w:val="both"/>
        <w:rPr>
          <w:rFonts w:ascii="Arial" w:hAnsi="Arial" w:cs="Arial"/>
          <w:sz w:val="24"/>
          <w:szCs w:val="24"/>
        </w:rPr>
      </w:pPr>
      <w:r>
        <w:rPr>
          <w:rFonts w:ascii="Arial" w:hAnsi="Arial" w:cs="Arial"/>
          <w:sz w:val="24"/>
          <w:szCs w:val="24"/>
        </w:rPr>
        <w:t xml:space="preserve">The </w:t>
      </w:r>
      <w:r w:rsidR="0005031B">
        <w:rPr>
          <w:rFonts w:ascii="Arial" w:hAnsi="Arial" w:cs="Arial"/>
          <w:sz w:val="24"/>
          <w:szCs w:val="24"/>
        </w:rPr>
        <w:t>Panel</w:t>
      </w:r>
      <w:r>
        <w:rPr>
          <w:rFonts w:ascii="Arial" w:hAnsi="Arial" w:cs="Arial"/>
          <w:sz w:val="24"/>
          <w:szCs w:val="24"/>
        </w:rPr>
        <w:t xml:space="preserve"> Membership is currently</w:t>
      </w:r>
      <w:r w:rsidR="0005031B">
        <w:rPr>
          <w:rFonts w:ascii="Arial" w:hAnsi="Arial" w:cs="Arial"/>
          <w:sz w:val="24"/>
          <w:szCs w:val="24"/>
        </w:rPr>
        <w:t xml:space="preserve"> be</w:t>
      </w:r>
      <w:r>
        <w:rPr>
          <w:rFonts w:ascii="Arial" w:hAnsi="Arial" w:cs="Arial"/>
          <w:sz w:val="24"/>
          <w:szCs w:val="24"/>
        </w:rPr>
        <w:t>ing</w:t>
      </w:r>
      <w:r w:rsidR="0005031B">
        <w:rPr>
          <w:rFonts w:ascii="Arial" w:hAnsi="Arial" w:cs="Arial"/>
          <w:sz w:val="24"/>
          <w:szCs w:val="24"/>
        </w:rPr>
        <w:t xml:space="preserve"> settled.  </w:t>
      </w:r>
      <w:r w:rsidR="0005031B" w:rsidRPr="00237600">
        <w:rPr>
          <w:rFonts w:ascii="Arial" w:hAnsi="Arial" w:cs="Arial"/>
          <w:sz w:val="24"/>
          <w:szCs w:val="24"/>
        </w:rPr>
        <w:t xml:space="preserve"> </w:t>
      </w:r>
    </w:p>
    <w:p w:rsidR="00AB0968" w:rsidRDefault="00AB0968" w:rsidP="00AB0968">
      <w:pPr>
        <w:spacing w:after="0" w:line="240" w:lineRule="auto"/>
        <w:jc w:val="both"/>
        <w:rPr>
          <w:rFonts w:ascii="Calibri Light" w:hAnsi="Calibri Light"/>
        </w:rPr>
      </w:pPr>
    </w:p>
    <w:p w:rsidR="00A248D7" w:rsidRDefault="00A248D7" w:rsidP="00AB0968">
      <w:pPr>
        <w:spacing w:after="0" w:line="240" w:lineRule="auto"/>
        <w:jc w:val="both"/>
        <w:rPr>
          <w:rFonts w:ascii="Calibri Light" w:hAnsi="Calibri Light"/>
        </w:rPr>
      </w:pPr>
    </w:p>
    <w:p w:rsidR="00A248D7" w:rsidRPr="00AB0968" w:rsidRDefault="00A248D7" w:rsidP="00AB0968">
      <w:pPr>
        <w:spacing w:after="0" w:line="240" w:lineRule="auto"/>
        <w:jc w:val="both"/>
        <w:rPr>
          <w:rFonts w:ascii="Calibri Light" w:hAnsi="Calibri Light"/>
        </w:rPr>
      </w:pPr>
    </w:p>
    <w:p w:rsidR="00A90BC5" w:rsidRDefault="00B01638" w:rsidP="00A90BC5">
      <w:pPr>
        <w:spacing w:after="0" w:line="240" w:lineRule="auto"/>
        <w:jc w:val="center"/>
        <w:rPr>
          <w:rFonts w:ascii="MyriadPro-Semibold" w:hAnsi="MyriadPro-Semibold" w:cs="MyriadPro-Semibold"/>
          <w:color w:val="026694"/>
          <w:sz w:val="34"/>
          <w:szCs w:val="34"/>
        </w:rPr>
      </w:pPr>
      <w:r>
        <w:rPr>
          <w:rFonts w:ascii="ArialMT" w:hAnsi="ArialMT" w:cs="ArialMT"/>
          <w:color w:val="C75928"/>
          <w:sz w:val="48"/>
          <w:szCs w:val="48"/>
        </w:rPr>
        <w:t xml:space="preserve">Further </w:t>
      </w:r>
      <w:r w:rsidR="00A90BC5">
        <w:rPr>
          <w:rFonts w:ascii="ArialMT" w:hAnsi="ArialMT" w:cs="ArialMT"/>
          <w:color w:val="C75928"/>
          <w:sz w:val="48"/>
          <w:szCs w:val="48"/>
        </w:rPr>
        <w:t>Information</w:t>
      </w:r>
    </w:p>
    <w:p w:rsidR="00FD6C63" w:rsidRDefault="00FD6C63" w:rsidP="00FD6C63">
      <w:pPr>
        <w:spacing w:after="0" w:line="240" w:lineRule="auto"/>
        <w:jc w:val="both"/>
        <w:rPr>
          <w:rFonts w:ascii="Arial" w:hAnsi="Arial" w:cs="Arial"/>
        </w:rPr>
      </w:pPr>
    </w:p>
    <w:p w:rsidR="00FD6C63" w:rsidRDefault="000F5AA9" w:rsidP="009A2F7E">
      <w:pPr>
        <w:spacing w:after="0" w:line="240" w:lineRule="auto"/>
        <w:jc w:val="both"/>
        <w:rPr>
          <w:rFonts w:ascii="Arial" w:hAnsi="Arial" w:cs="Arial"/>
        </w:rPr>
      </w:pPr>
      <w:r>
        <w:rPr>
          <w:rFonts w:ascii="Arial" w:hAnsi="Arial" w:cs="Arial"/>
        </w:rPr>
        <w:t>D</w:t>
      </w:r>
      <w:r w:rsidR="00FD6C63">
        <w:rPr>
          <w:rFonts w:ascii="Arial" w:hAnsi="Arial" w:cs="Arial"/>
        </w:rPr>
        <w:t xml:space="preserve">ocumentation </w:t>
      </w:r>
      <w:r>
        <w:rPr>
          <w:rFonts w:ascii="Arial" w:hAnsi="Arial" w:cs="Arial"/>
        </w:rPr>
        <w:t xml:space="preserve">about </w:t>
      </w:r>
      <w:r w:rsidR="00FD6C63">
        <w:rPr>
          <w:rFonts w:ascii="Arial" w:hAnsi="Arial" w:cs="Arial"/>
        </w:rPr>
        <w:t>the ILUA</w:t>
      </w:r>
      <w:r>
        <w:rPr>
          <w:rFonts w:ascii="Arial" w:hAnsi="Arial" w:cs="Arial"/>
        </w:rPr>
        <w:t>s and the Settlement</w:t>
      </w:r>
      <w:r w:rsidR="00FD6C63">
        <w:rPr>
          <w:rFonts w:ascii="Arial" w:hAnsi="Arial" w:cs="Arial"/>
        </w:rPr>
        <w:t xml:space="preserve"> is available on the </w:t>
      </w:r>
      <w:r>
        <w:rPr>
          <w:rFonts w:ascii="Arial" w:hAnsi="Arial" w:cs="Arial"/>
        </w:rPr>
        <w:t xml:space="preserve">Department of the Premier and Cabinet </w:t>
      </w:r>
      <w:r w:rsidR="00FD6C63">
        <w:rPr>
          <w:rFonts w:ascii="Arial" w:hAnsi="Arial" w:cs="Arial"/>
        </w:rPr>
        <w:t xml:space="preserve">website: </w:t>
      </w:r>
      <w:hyperlink r:id="rId11" w:history="1">
        <w:r w:rsidR="00FD6C63" w:rsidRPr="00351D70">
          <w:rPr>
            <w:rStyle w:val="Hyperlink"/>
            <w:rFonts w:ascii="Arial" w:hAnsi="Arial" w:cs="Arial"/>
          </w:rPr>
          <w:t>www.dpc.wa.gov.au</w:t>
        </w:r>
      </w:hyperlink>
      <w:r w:rsidR="00FD6C63">
        <w:rPr>
          <w:rFonts w:ascii="Arial" w:hAnsi="Arial" w:cs="Arial"/>
        </w:rPr>
        <w:t xml:space="preserve"> </w:t>
      </w:r>
      <w:r w:rsidR="00FD6C63">
        <w:rPr>
          <w:rFonts w:ascii="Arial" w:eastAsia="Calibri" w:hAnsi="Arial" w:cs="Arial"/>
        </w:rPr>
        <w:t xml:space="preserve">and can be accessed by </w:t>
      </w:r>
      <w:r w:rsidR="00FD6C63" w:rsidRPr="007603AD">
        <w:rPr>
          <w:rFonts w:ascii="Arial" w:eastAsia="Calibri" w:hAnsi="Arial" w:cs="Arial"/>
        </w:rPr>
        <w:t>press</w:t>
      </w:r>
      <w:r w:rsidR="00FD6C63">
        <w:rPr>
          <w:rFonts w:ascii="Arial" w:eastAsia="Calibri" w:hAnsi="Arial" w:cs="Arial"/>
        </w:rPr>
        <w:t>ing</w:t>
      </w:r>
      <w:r w:rsidR="00FD6C63" w:rsidRPr="007603AD">
        <w:rPr>
          <w:rFonts w:ascii="Arial" w:eastAsia="Calibri" w:hAnsi="Arial" w:cs="Arial"/>
        </w:rPr>
        <w:t xml:space="preserve"> the South West Settlement ‘button’</w:t>
      </w:r>
      <w:r w:rsidR="00FD6C63">
        <w:rPr>
          <w:rFonts w:ascii="Arial" w:eastAsia="Calibri" w:hAnsi="Arial" w:cs="Arial"/>
        </w:rPr>
        <w:t xml:space="preserve">. </w:t>
      </w:r>
      <w:r w:rsidR="009A2F7E">
        <w:rPr>
          <w:rFonts w:ascii="Arial" w:hAnsi="Arial" w:cs="Arial"/>
        </w:rPr>
        <w:t>Information</w:t>
      </w:r>
      <w:r>
        <w:rPr>
          <w:rFonts w:ascii="Arial" w:hAnsi="Arial" w:cs="Arial"/>
        </w:rPr>
        <w:t xml:space="preserve"> </w:t>
      </w:r>
      <w:r w:rsidR="00FD6C63">
        <w:rPr>
          <w:rFonts w:ascii="Arial" w:hAnsi="Arial" w:cs="Arial"/>
        </w:rPr>
        <w:t>includes:</w:t>
      </w:r>
      <w:r w:rsidR="009A2F7E">
        <w:rPr>
          <w:rFonts w:ascii="Arial" w:hAnsi="Arial" w:cs="Arial"/>
        </w:rPr>
        <w:t xml:space="preserve">  </w:t>
      </w:r>
    </w:p>
    <w:p w:rsidR="009A2F7E" w:rsidRDefault="009A2F7E" w:rsidP="009A2F7E">
      <w:pPr>
        <w:spacing w:after="0" w:line="240" w:lineRule="auto"/>
        <w:jc w:val="both"/>
        <w:rPr>
          <w:rFonts w:ascii="Arial" w:hAnsi="Arial" w:cs="Arial"/>
        </w:rPr>
      </w:pPr>
    </w:p>
    <w:p w:rsidR="00FD6C63" w:rsidRPr="00E35FFF" w:rsidRDefault="00FD6C63" w:rsidP="00E35FFF">
      <w:pPr>
        <w:pStyle w:val="ListParagraph"/>
        <w:numPr>
          <w:ilvl w:val="0"/>
          <w:numId w:val="1"/>
        </w:numPr>
        <w:rPr>
          <w:rFonts w:ascii="Arial" w:hAnsi="Arial" w:cs="Arial"/>
        </w:rPr>
      </w:pPr>
      <w:r>
        <w:rPr>
          <w:rFonts w:ascii="Arial" w:hAnsi="Arial" w:cs="Arial"/>
        </w:rPr>
        <w:t>Copies of each of the 6 executed ILUAs</w:t>
      </w:r>
      <w:r w:rsidR="00E35FFF">
        <w:rPr>
          <w:rFonts w:ascii="Arial" w:hAnsi="Arial" w:cs="Arial"/>
        </w:rPr>
        <w:t xml:space="preserve"> (The Noongar Boodja Trust Deed is located at Annexure G, page 296);</w:t>
      </w:r>
    </w:p>
    <w:p w:rsidR="00FD6C63" w:rsidRDefault="00FD6C63" w:rsidP="00FD6C63">
      <w:pPr>
        <w:pStyle w:val="ListParagraph"/>
        <w:numPr>
          <w:ilvl w:val="0"/>
          <w:numId w:val="1"/>
        </w:numPr>
        <w:rPr>
          <w:rFonts w:ascii="Arial" w:hAnsi="Arial" w:cs="Arial"/>
        </w:rPr>
      </w:pPr>
      <w:r>
        <w:rPr>
          <w:rFonts w:ascii="Arial" w:hAnsi="Arial" w:cs="Arial"/>
        </w:rPr>
        <w:t>Maps of the relevant ILUA area boundaries;</w:t>
      </w:r>
    </w:p>
    <w:p w:rsidR="00FD6C63" w:rsidRPr="00E35FFF" w:rsidRDefault="00FD6C63" w:rsidP="00E35FFF">
      <w:pPr>
        <w:pStyle w:val="ListParagraph"/>
        <w:numPr>
          <w:ilvl w:val="0"/>
          <w:numId w:val="1"/>
        </w:numPr>
        <w:rPr>
          <w:rFonts w:ascii="Arial" w:hAnsi="Arial" w:cs="Arial"/>
        </w:rPr>
      </w:pPr>
      <w:r>
        <w:rPr>
          <w:rFonts w:ascii="Arial" w:hAnsi="Arial" w:cs="Arial"/>
        </w:rPr>
        <w:t>Technical descri</w:t>
      </w:r>
      <w:r w:rsidR="00E35FFF">
        <w:rPr>
          <w:rFonts w:ascii="Arial" w:hAnsi="Arial" w:cs="Arial"/>
        </w:rPr>
        <w:t>ptions of the 6 ILUA boundaries</w:t>
      </w:r>
      <w:r w:rsidRPr="00E35FFF">
        <w:rPr>
          <w:rFonts w:ascii="Arial" w:hAnsi="Arial" w:cs="Arial"/>
        </w:rPr>
        <w:t>; and</w:t>
      </w:r>
    </w:p>
    <w:p w:rsidR="00FD6C63" w:rsidRPr="007A7036" w:rsidRDefault="00FD6C63" w:rsidP="00FD6C63">
      <w:pPr>
        <w:pStyle w:val="ListParagraph"/>
        <w:numPr>
          <w:ilvl w:val="0"/>
          <w:numId w:val="1"/>
        </w:numPr>
        <w:rPr>
          <w:rFonts w:ascii="Arial" w:hAnsi="Arial" w:cs="Arial"/>
        </w:rPr>
      </w:pPr>
      <w:r>
        <w:rPr>
          <w:rFonts w:ascii="Arial" w:hAnsi="Arial" w:cs="Arial"/>
        </w:rPr>
        <w:t>S</w:t>
      </w:r>
      <w:r w:rsidRPr="007A7036">
        <w:rPr>
          <w:rFonts w:ascii="Arial" w:hAnsi="Arial" w:cs="Arial"/>
        </w:rPr>
        <w:t>upporting information</w:t>
      </w:r>
      <w:r>
        <w:rPr>
          <w:rFonts w:ascii="Arial" w:hAnsi="Arial" w:cs="Arial"/>
        </w:rPr>
        <w:t>,</w:t>
      </w:r>
      <w:r w:rsidRPr="007A7036">
        <w:rPr>
          <w:rFonts w:ascii="Arial" w:hAnsi="Arial" w:cs="Arial"/>
        </w:rPr>
        <w:t xml:space="preserve"> such as </w:t>
      </w:r>
      <w:r>
        <w:rPr>
          <w:rFonts w:ascii="Arial" w:hAnsi="Arial" w:cs="Arial"/>
        </w:rPr>
        <w:t>the</w:t>
      </w:r>
      <w:r w:rsidRPr="007A7036">
        <w:rPr>
          <w:rFonts w:ascii="Arial" w:hAnsi="Arial" w:cs="Arial"/>
        </w:rPr>
        <w:t xml:space="preserve"> Fact Sheets</w:t>
      </w:r>
      <w:r>
        <w:rPr>
          <w:rFonts w:ascii="Arial" w:hAnsi="Arial" w:cs="Arial"/>
        </w:rPr>
        <w:t>,</w:t>
      </w:r>
      <w:r w:rsidRPr="007A7036">
        <w:rPr>
          <w:rFonts w:ascii="Arial" w:hAnsi="Arial" w:cs="Arial"/>
        </w:rPr>
        <w:t xml:space="preserve"> </w:t>
      </w:r>
      <w:r>
        <w:rPr>
          <w:rFonts w:ascii="Arial" w:hAnsi="Arial" w:cs="Arial"/>
        </w:rPr>
        <w:t>that</w:t>
      </w:r>
      <w:r w:rsidRPr="007A7036">
        <w:rPr>
          <w:rFonts w:ascii="Arial" w:hAnsi="Arial" w:cs="Arial"/>
        </w:rPr>
        <w:t xml:space="preserve"> may assist in understanding of the Settlement.</w:t>
      </w:r>
    </w:p>
    <w:p w:rsidR="00FD6C63" w:rsidRDefault="00FD6C63" w:rsidP="00FD6C63">
      <w:pPr>
        <w:spacing w:after="0" w:line="240" w:lineRule="auto"/>
        <w:jc w:val="both"/>
        <w:rPr>
          <w:rFonts w:ascii="Arial" w:eastAsia="Calibri" w:hAnsi="Arial" w:cs="Arial"/>
        </w:rPr>
      </w:pPr>
      <w:r>
        <w:rPr>
          <w:rFonts w:ascii="Arial" w:eastAsia="Calibri" w:hAnsi="Arial" w:cs="Arial"/>
        </w:rPr>
        <w:t xml:space="preserve">DPC’s South West Settlement Implementation Unit can also be </w:t>
      </w:r>
      <w:r w:rsidRPr="007603AD">
        <w:rPr>
          <w:rFonts w:ascii="Arial" w:eastAsia="Calibri" w:hAnsi="Arial" w:cs="Arial"/>
        </w:rPr>
        <w:t>contact</w:t>
      </w:r>
      <w:r>
        <w:rPr>
          <w:rFonts w:ascii="Arial" w:eastAsia="Calibri" w:hAnsi="Arial" w:cs="Arial"/>
        </w:rPr>
        <w:t>ed</w:t>
      </w:r>
      <w:r w:rsidRPr="007603AD">
        <w:rPr>
          <w:rFonts w:ascii="Arial" w:eastAsia="Calibri" w:hAnsi="Arial" w:cs="Arial"/>
        </w:rPr>
        <w:t xml:space="preserve"> directly</w:t>
      </w:r>
      <w:r>
        <w:rPr>
          <w:rFonts w:ascii="Arial" w:eastAsia="Calibri" w:hAnsi="Arial" w:cs="Arial"/>
        </w:rPr>
        <w:t xml:space="preserve"> on</w:t>
      </w:r>
      <w:r w:rsidRPr="007603AD">
        <w:rPr>
          <w:rFonts w:ascii="Arial" w:eastAsia="Calibri" w:hAnsi="Arial" w:cs="Arial"/>
        </w:rPr>
        <w:t xml:space="preserve">: </w:t>
      </w:r>
    </w:p>
    <w:p w:rsidR="009A2F7E" w:rsidRDefault="009A2F7E" w:rsidP="00FD6C63">
      <w:pPr>
        <w:spacing w:after="0" w:line="240" w:lineRule="auto"/>
        <w:jc w:val="both"/>
        <w:rPr>
          <w:rFonts w:ascii="Arial" w:eastAsia="Calibri" w:hAnsi="Arial" w:cs="Arial"/>
        </w:rPr>
      </w:pPr>
    </w:p>
    <w:p w:rsidR="00FD6C63" w:rsidRPr="009A2F7E" w:rsidRDefault="00FD6C63" w:rsidP="009A2F7E">
      <w:pPr>
        <w:pStyle w:val="ListParagraph"/>
        <w:numPr>
          <w:ilvl w:val="0"/>
          <w:numId w:val="16"/>
        </w:numPr>
        <w:spacing w:after="0" w:line="240" w:lineRule="auto"/>
        <w:jc w:val="both"/>
        <w:rPr>
          <w:rFonts w:ascii="Arial" w:eastAsia="Calibri" w:hAnsi="Arial" w:cs="Arial"/>
        </w:rPr>
      </w:pPr>
      <w:r w:rsidRPr="009A2F7E">
        <w:rPr>
          <w:rFonts w:ascii="Arial" w:eastAsia="Calibri" w:hAnsi="Arial" w:cs="Arial"/>
        </w:rPr>
        <w:t xml:space="preserve">Email:    </w:t>
      </w:r>
      <w:hyperlink r:id="rId12" w:history="1">
        <w:r w:rsidRPr="009A2F7E">
          <w:rPr>
            <w:rFonts w:ascii="Arial" w:eastAsia="Calibri" w:hAnsi="Arial" w:cs="Arial"/>
            <w:color w:val="0000FF" w:themeColor="hyperlink"/>
            <w:u w:val="single"/>
          </w:rPr>
          <w:t>southwestsettlement@dpc.wa.gov.au</w:t>
        </w:r>
      </w:hyperlink>
      <w:r w:rsidRPr="009A2F7E">
        <w:rPr>
          <w:rFonts w:ascii="Arial" w:eastAsia="Calibri" w:hAnsi="Arial" w:cs="Arial"/>
        </w:rPr>
        <w:t xml:space="preserve"> </w:t>
      </w:r>
    </w:p>
    <w:p w:rsidR="00FD6C63" w:rsidRPr="009A2F7E" w:rsidRDefault="00FD6C63" w:rsidP="009A2F7E">
      <w:pPr>
        <w:pStyle w:val="ListParagraph"/>
        <w:numPr>
          <w:ilvl w:val="0"/>
          <w:numId w:val="16"/>
        </w:numPr>
        <w:spacing w:after="0" w:line="240" w:lineRule="auto"/>
        <w:jc w:val="both"/>
        <w:rPr>
          <w:rFonts w:ascii="Arial" w:eastAsia="Calibri" w:hAnsi="Arial" w:cs="Arial"/>
        </w:rPr>
      </w:pPr>
      <w:r w:rsidRPr="009A2F7E">
        <w:rPr>
          <w:rFonts w:ascii="Arial" w:eastAsia="Calibri" w:hAnsi="Arial" w:cs="Arial"/>
        </w:rPr>
        <w:t>Phone:  08 6552 6191</w:t>
      </w:r>
    </w:p>
    <w:p w:rsidR="00E35FFF" w:rsidRDefault="00E35FFF" w:rsidP="00FD6C63">
      <w:pPr>
        <w:spacing w:after="0" w:line="240" w:lineRule="auto"/>
        <w:jc w:val="both"/>
        <w:rPr>
          <w:rFonts w:ascii="Arial" w:eastAsia="Calibri" w:hAnsi="Arial" w:cs="Arial"/>
        </w:rPr>
      </w:pPr>
    </w:p>
    <w:p w:rsidR="00E35FFF" w:rsidRDefault="00E35FFF" w:rsidP="00FD6C63">
      <w:pPr>
        <w:spacing w:after="0" w:line="240" w:lineRule="auto"/>
        <w:jc w:val="both"/>
        <w:rPr>
          <w:rFonts w:ascii="Arial" w:eastAsia="Calibri" w:hAnsi="Arial" w:cs="Arial"/>
        </w:rPr>
      </w:pPr>
      <w:r>
        <w:rPr>
          <w:rFonts w:ascii="Arial" w:eastAsia="Calibri" w:hAnsi="Arial" w:cs="Arial"/>
        </w:rPr>
        <w:t xml:space="preserve">Relevant documentation is also located on the SWALSC website: </w:t>
      </w:r>
      <w:hyperlink r:id="rId13" w:history="1">
        <w:r w:rsidRPr="009536CF">
          <w:rPr>
            <w:rStyle w:val="Hyperlink"/>
            <w:rFonts w:ascii="Arial" w:eastAsia="Calibri" w:hAnsi="Arial" w:cs="Arial"/>
          </w:rPr>
          <w:t>http://www.noongar.org.au/</w:t>
        </w:r>
      </w:hyperlink>
      <w:r>
        <w:rPr>
          <w:rFonts w:ascii="Arial" w:eastAsia="Calibri" w:hAnsi="Arial" w:cs="Arial"/>
        </w:rPr>
        <w:t xml:space="preserve"> and can be accessed under the Noongar Settlement Information tab. This includes:</w:t>
      </w:r>
    </w:p>
    <w:p w:rsidR="00E35FFF" w:rsidRDefault="00E35FFF" w:rsidP="00E35FFF">
      <w:pPr>
        <w:pStyle w:val="ListParagraph"/>
        <w:numPr>
          <w:ilvl w:val="0"/>
          <w:numId w:val="15"/>
        </w:numPr>
        <w:spacing w:after="0" w:line="240" w:lineRule="auto"/>
        <w:jc w:val="both"/>
        <w:rPr>
          <w:rFonts w:ascii="Arial" w:eastAsia="Calibri" w:hAnsi="Arial" w:cs="Arial"/>
        </w:rPr>
      </w:pPr>
      <w:r>
        <w:rPr>
          <w:rFonts w:ascii="Arial" w:eastAsia="Calibri" w:hAnsi="Arial" w:cs="Arial"/>
        </w:rPr>
        <w:t xml:space="preserve">Quick </w:t>
      </w:r>
      <w:r w:rsidR="00E969C0">
        <w:rPr>
          <w:rFonts w:ascii="Arial" w:eastAsia="Calibri" w:hAnsi="Arial" w:cs="Arial"/>
        </w:rPr>
        <w:t xml:space="preserve">and Summary </w:t>
      </w:r>
      <w:r>
        <w:rPr>
          <w:rFonts w:ascii="Arial" w:eastAsia="Calibri" w:hAnsi="Arial" w:cs="Arial"/>
        </w:rPr>
        <w:t xml:space="preserve">guides to the Settlement; and </w:t>
      </w:r>
    </w:p>
    <w:p w:rsidR="00E35FFF" w:rsidRPr="00E35FFF" w:rsidRDefault="00E35FFF" w:rsidP="00E35FFF">
      <w:pPr>
        <w:pStyle w:val="ListParagraph"/>
        <w:numPr>
          <w:ilvl w:val="0"/>
          <w:numId w:val="15"/>
        </w:numPr>
        <w:spacing w:after="0" w:line="240" w:lineRule="auto"/>
        <w:jc w:val="both"/>
        <w:rPr>
          <w:rFonts w:ascii="Arial" w:eastAsia="Calibri" w:hAnsi="Arial" w:cs="Arial"/>
        </w:rPr>
      </w:pPr>
      <w:r>
        <w:rPr>
          <w:rFonts w:ascii="Arial" w:eastAsia="Calibri" w:hAnsi="Arial" w:cs="Arial"/>
        </w:rPr>
        <w:t>Apical Ancestor Lists for each claim area.</w:t>
      </w:r>
    </w:p>
    <w:p w:rsidR="00E35FFF" w:rsidRDefault="00E35FFF" w:rsidP="00FD6C63">
      <w:pPr>
        <w:spacing w:after="0" w:line="240" w:lineRule="auto"/>
        <w:jc w:val="both"/>
        <w:rPr>
          <w:rFonts w:ascii="Arial" w:hAnsi="Arial" w:cs="Arial"/>
        </w:rPr>
      </w:pPr>
    </w:p>
    <w:p w:rsidR="00695417" w:rsidRDefault="00695417"/>
    <w:sectPr w:rsidR="0069541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2C" w:rsidRDefault="00BF2C2C">
      <w:pPr>
        <w:spacing w:after="0" w:line="240" w:lineRule="auto"/>
      </w:pPr>
      <w:r>
        <w:separator/>
      </w:r>
    </w:p>
  </w:endnote>
  <w:endnote w:type="continuationSeparator" w:id="0">
    <w:p w:rsidR="00BF2C2C" w:rsidRDefault="00BF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Semi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684369"/>
      <w:docPartObj>
        <w:docPartGallery w:val="Page Numbers (Bottom of Page)"/>
        <w:docPartUnique/>
      </w:docPartObj>
    </w:sdtPr>
    <w:sdtEndPr>
      <w:rPr>
        <w:noProof/>
        <w:sz w:val="18"/>
        <w:szCs w:val="18"/>
      </w:rPr>
    </w:sdtEndPr>
    <w:sdtContent>
      <w:p w:rsidR="000118AC" w:rsidRPr="000118AC" w:rsidRDefault="00CE117A">
        <w:pPr>
          <w:pStyle w:val="Footer"/>
          <w:jc w:val="right"/>
          <w:rPr>
            <w:sz w:val="18"/>
            <w:szCs w:val="18"/>
          </w:rPr>
        </w:pPr>
        <w:r w:rsidRPr="000118AC">
          <w:rPr>
            <w:sz w:val="18"/>
            <w:szCs w:val="18"/>
          </w:rPr>
          <w:fldChar w:fldCharType="begin"/>
        </w:r>
        <w:r w:rsidRPr="000118AC">
          <w:rPr>
            <w:sz w:val="18"/>
            <w:szCs w:val="18"/>
          </w:rPr>
          <w:instrText xml:space="preserve"> PAGE   \* MERGEFORMAT </w:instrText>
        </w:r>
        <w:r w:rsidRPr="000118AC">
          <w:rPr>
            <w:sz w:val="18"/>
            <w:szCs w:val="18"/>
          </w:rPr>
          <w:fldChar w:fldCharType="separate"/>
        </w:r>
        <w:r w:rsidR="001F363B">
          <w:rPr>
            <w:noProof/>
            <w:sz w:val="18"/>
            <w:szCs w:val="18"/>
          </w:rPr>
          <w:t>1</w:t>
        </w:r>
        <w:r w:rsidRPr="000118AC">
          <w:rPr>
            <w:noProof/>
            <w:sz w:val="18"/>
            <w:szCs w:val="18"/>
          </w:rPr>
          <w:fldChar w:fldCharType="end"/>
        </w:r>
      </w:p>
    </w:sdtContent>
  </w:sdt>
  <w:p w:rsidR="00395710" w:rsidRDefault="001F3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2C" w:rsidRDefault="00BF2C2C">
      <w:pPr>
        <w:spacing w:after="0" w:line="240" w:lineRule="auto"/>
      </w:pPr>
      <w:r>
        <w:separator/>
      </w:r>
    </w:p>
  </w:footnote>
  <w:footnote w:type="continuationSeparator" w:id="0">
    <w:p w:rsidR="00BF2C2C" w:rsidRDefault="00BF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98" w:rsidRDefault="00747898" w:rsidP="00747898">
    <w:pPr>
      <w:pStyle w:val="Header"/>
    </w:pPr>
  </w:p>
  <w:p w:rsidR="00747898" w:rsidRDefault="00747898" w:rsidP="009A2F7E">
    <w:pPr>
      <w:pStyle w:val="Header"/>
      <w:jc w:val="center"/>
    </w:pPr>
    <w:r w:rsidRPr="00375E3E">
      <w:rPr>
        <w:rFonts w:eastAsia="Times New Roman"/>
        <w:b/>
        <w:noProof/>
        <w:lang w:eastAsia="en-AU"/>
      </w:rPr>
      <w:drawing>
        <wp:inline distT="0" distB="0" distL="0" distR="0" wp14:anchorId="4F1717FD" wp14:editId="4400300F">
          <wp:extent cx="4036423" cy="78377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534" cy="787095"/>
                  </a:xfrm>
                  <a:prstGeom prst="rect">
                    <a:avLst/>
                  </a:prstGeom>
                </pic:spPr>
              </pic:pic>
            </a:graphicData>
          </a:graphic>
        </wp:inline>
      </w:drawing>
    </w:r>
  </w:p>
  <w:p w:rsidR="009C1F7F" w:rsidRDefault="001F363B">
    <w:pPr>
      <w:pStyle w:val="Header"/>
    </w:pPr>
  </w:p>
  <w:p w:rsidR="00395710" w:rsidRDefault="001F3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F48"/>
    <w:multiLevelType w:val="hybridMultilevel"/>
    <w:tmpl w:val="E8127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507FE"/>
    <w:multiLevelType w:val="hybridMultilevel"/>
    <w:tmpl w:val="C526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5762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057B16"/>
    <w:multiLevelType w:val="hybridMultilevel"/>
    <w:tmpl w:val="B34E3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56675"/>
    <w:multiLevelType w:val="hybridMultilevel"/>
    <w:tmpl w:val="7D582954"/>
    <w:lvl w:ilvl="0" w:tplc="0C090017">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C61497C"/>
    <w:multiLevelType w:val="hybridMultilevel"/>
    <w:tmpl w:val="B84CE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B630EB"/>
    <w:multiLevelType w:val="hybridMultilevel"/>
    <w:tmpl w:val="D81AFA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6C315F7"/>
    <w:multiLevelType w:val="hybridMultilevel"/>
    <w:tmpl w:val="4DC02AF2"/>
    <w:lvl w:ilvl="0" w:tplc="B50876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74155A"/>
    <w:multiLevelType w:val="hybridMultilevel"/>
    <w:tmpl w:val="B176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12C57"/>
    <w:multiLevelType w:val="hybridMultilevel"/>
    <w:tmpl w:val="7DA4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086B41"/>
    <w:multiLevelType w:val="hybridMultilevel"/>
    <w:tmpl w:val="B4D4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7C0CB3"/>
    <w:multiLevelType w:val="hybridMultilevel"/>
    <w:tmpl w:val="E2EA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91626"/>
    <w:multiLevelType w:val="hybridMultilevel"/>
    <w:tmpl w:val="C7DCFC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51C2E03"/>
    <w:multiLevelType w:val="hybridMultilevel"/>
    <w:tmpl w:val="DB748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3229E3"/>
    <w:multiLevelType w:val="hybridMultilevel"/>
    <w:tmpl w:val="3862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2"/>
  </w:num>
  <w:num w:numId="5">
    <w:abstractNumId w:val="9"/>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1"/>
  </w:num>
  <w:num w:numId="12">
    <w:abstractNumId w:val="4"/>
  </w:num>
  <w:num w:numId="13">
    <w:abstractNumId w:val="10"/>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63"/>
    <w:rsid w:val="00002927"/>
    <w:rsid w:val="00037374"/>
    <w:rsid w:val="0005031B"/>
    <w:rsid w:val="00067149"/>
    <w:rsid w:val="000A34B6"/>
    <w:rsid w:val="000B6AD7"/>
    <w:rsid w:val="000F5AA9"/>
    <w:rsid w:val="000F5FF3"/>
    <w:rsid w:val="00104260"/>
    <w:rsid w:val="00156349"/>
    <w:rsid w:val="00156EAE"/>
    <w:rsid w:val="00171DBC"/>
    <w:rsid w:val="001C3CDE"/>
    <w:rsid w:val="001D170A"/>
    <w:rsid w:val="001D3C28"/>
    <w:rsid w:val="001E4F36"/>
    <w:rsid w:val="001F363B"/>
    <w:rsid w:val="001F3B11"/>
    <w:rsid w:val="0022673E"/>
    <w:rsid w:val="0030450A"/>
    <w:rsid w:val="00341670"/>
    <w:rsid w:val="003B7BED"/>
    <w:rsid w:val="003F4437"/>
    <w:rsid w:val="0051079B"/>
    <w:rsid w:val="0051235A"/>
    <w:rsid w:val="00526083"/>
    <w:rsid w:val="00570ACD"/>
    <w:rsid w:val="005C65B0"/>
    <w:rsid w:val="0064612A"/>
    <w:rsid w:val="0069147E"/>
    <w:rsid w:val="00695417"/>
    <w:rsid w:val="006E1821"/>
    <w:rsid w:val="0073556E"/>
    <w:rsid w:val="00747898"/>
    <w:rsid w:val="007F5760"/>
    <w:rsid w:val="00814AF8"/>
    <w:rsid w:val="008B2F89"/>
    <w:rsid w:val="009107F0"/>
    <w:rsid w:val="00940CDC"/>
    <w:rsid w:val="0094145B"/>
    <w:rsid w:val="0097475E"/>
    <w:rsid w:val="00990C4C"/>
    <w:rsid w:val="009946DC"/>
    <w:rsid w:val="009A2F7E"/>
    <w:rsid w:val="009D7DAF"/>
    <w:rsid w:val="009F4472"/>
    <w:rsid w:val="00A113D8"/>
    <w:rsid w:val="00A248D7"/>
    <w:rsid w:val="00A90BC5"/>
    <w:rsid w:val="00AB0968"/>
    <w:rsid w:val="00B01638"/>
    <w:rsid w:val="00B13AB2"/>
    <w:rsid w:val="00B20FC4"/>
    <w:rsid w:val="00B5368F"/>
    <w:rsid w:val="00B816B1"/>
    <w:rsid w:val="00BD73A3"/>
    <w:rsid w:val="00BF2C2C"/>
    <w:rsid w:val="00C10B48"/>
    <w:rsid w:val="00C527ED"/>
    <w:rsid w:val="00C67AAA"/>
    <w:rsid w:val="00CB18DF"/>
    <w:rsid w:val="00CD0819"/>
    <w:rsid w:val="00CE117A"/>
    <w:rsid w:val="00D77D0D"/>
    <w:rsid w:val="00D90609"/>
    <w:rsid w:val="00E35FFF"/>
    <w:rsid w:val="00E63259"/>
    <w:rsid w:val="00E71336"/>
    <w:rsid w:val="00E969C0"/>
    <w:rsid w:val="00E96FB9"/>
    <w:rsid w:val="00F8250C"/>
    <w:rsid w:val="00FC2B63"/>
    <w:rsid w:val="00FD6C63"/>
    <w:rsid w:val="00FF6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21F7E2-8242-4181-882D-F70F251F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C63"/>
    <w:pPr>
      <w:tabs>
        <w:tab w:val="center" w:pos="4513"/>
        <w:tab w:val="right" w:pos="9026"/>
      </w:tabs>
      <w:spacing w:after="0" w:line="240" w:lineRule="auto"/>
      <w:jc w:val="both"/>
    </w:pPr>
    <w:rPr>
      <w:rFonts w:ascii="Arial" w:eastAsia="Calibri" w:hAnsi="Arial" w:cs="Arial"/>
      <w:sz w:val="24"/>
      <w:szCs w:val="24"/>
    </w:rPr>
  </w:style>
  <w:style w:type="character" w:customStyle="1" w:styleId="HeaderChar">
    <w:name w:val="Header Char"/>
    <w:basedOn w:val="DefaultParagraphFont"/>
    <w:link w:val="Header"/>
    <w:uiPriority w:val="99"/>
    <w:rsid w:val="00FD6C63"/>
    <w:rPr>
      <w:rFonts w:ascii="Arial" w:eastAsia="Calibri" w:hAnsi="Arial" w:cs="Arial"/>
      <w:sz w:val="24"/>
      <w:szCs w:val="24"/>
    </w:rPr>
  </w:style>
  <w:style w:type="paragraph" w:styleId="Footer">
    <w:name w:val="footer"/>
    <w:basedOn w:val="Normal"/>
    <w:link w:val="FooterChar"/>
    <w:uiPriority w:val="99"/>
    <w:unhideWhenUsed/>
    <w:rsid w:val="00FD6C63"/>
    <w:pPr>
      <w:tabs>
        <w:tab w:val="center" w:pos="4513"/>
        <w:tab w:val="right" w:pos="9026"/>
      </w:tabs>
      <w:spacing w:after="0" w:line="240" w:lineRule="auto"/>
      <w:jc w:val="both"/>
    </w:pPr>
    <w:rPr>
      <w:rFonts w:ascii="Arial" w:eastAsia="Calibri" w:hAnsi="Arial" w:cs="Arial"/>
      <w:sz w:val="24"/>
      <w:szCs w:val="24"/>
    </w:rPr>
  </w:style>
  <w:style w:type="character" w:customStyle="1" w:styleId="FooterChar">
    <w:name w:val="Footer Char"/>
    <w:basedOn w:val="DefaultParagraphFont"/>
    <w:link w:val="Footer"/>
    <w:uiPriority w:val="99"/>
    <w:rsid w:val="00FD6C63"/>
    <w:rPr>
      <w:rFonts w:ascii="Arial" w:eastAsia="Calibri" w:hAnsi="Arial" w:cs="Arial"/>
      <w:sz w:val="24"/>
      <w:szCs w:val="24"/>
    </w:rPr>
  </w:style>
  <w:style w:type="paragraph" w:styleId="ListParagraph">
    <w:name w:val="List Paragraph"/>
    <w:basedOn w:val="Normal"/>
    <w:uiPriority w:val="34"/>
    <w:qFormat/>
    <w:rsid w:val="00FD6C63"/>
    <w:pPr>
      <w:ind w:left="720"/>
      <w:contextualSpacing/>
    </w:pPr>
  </w:style>
  <w:style w:type="character" w:styleId="Hyperlink">
    <w:name w:val="Hyperlink"/>
    <w:basedOn w:val="DefaultParagraphFont"/>
    <w:uiPriority w:val="99"/>
    <w:unhideWhenUsed/>
    <w:rsid w:val="00FD6C63"/>
    <w:rPr>
      <w:color w:val="0000FF" w:themeColor="hyperlink"/>
      <w:u w:val="single"/>
    </w:rPr>
  </w:style>
  <w:style w:type="paragraph" w:styleId="BalloonText">
    <w:name w:val="Balloon Text"/>
    <w:basedOn w:val="Normal"/>
    <w:link w:val="BalloonTextChar"/>
    <w:uiPriority w:val="99"/>
    <w:semiHidden/>
    <w:unhideWhenUsed/>
    <w:rsid w:val="00FD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63"/>
    <w:rPr>
      <w:rFonts w:ascii="Tahoma" w:hAnsi="Tahoma" w:cs="Tahoma"/>
      <w:sz w:val="16"/>
      <w:szCs w:val="16"/>
    </w:rPr>
  </w:style>
  <w:style w:type="paragraph" w:styleId="NoSpacing">
    <w:name w:val="No Spacing"/>
    <w:uiPriority w:val="1"/>
    <w:qFormat/>
    <w:rsid w:val="00FD6C63"/>
    <w:pPr>
      <w:spacing w:after="0" w:line="240" w:lineRule="auto"/>
    </w:pPr>
  </w:style>
  <w:style w:type="character" w:customStyle="1" w:styleId="BodyTextChar">
    <w:name w:val="Body Text Char"/>
    <w:aliases w:val="Heading 1 text Char,Body Char"/>
    <w:basedOn w:val="DefaultParagraphFont"/>
    <w:link w:val="BodyText"/>
    <w:locked/>
    <w:rsid w:val="0005031B"/>
    <w:rPr>
      <w:rFonts w:ascii="Arial" w:hAnsi="Arial" w:cs="Arial"/>
      <w:sz w:val="24"/>
      <w:szCs w:val="24"/>
    </w:rPr>
  </w:style>
  <w:style w:type="paragraph" w:styleId="BodyText">
    <w:name w:val="Body Text"/>
    <w:aliases w:val="Heading 1 text,Body"/>
    <w:basedOn w:val="Normal"/>
    <w:link w:val="BodyTextChar"/>
    <w:unhideWhenUsed/>
    <w:rsid w:val="0005031B"/>
    <w:pPr>
      <w:spacing w:before="80" w:after="120" w:line="240" w:lineRule="auto"/>
      <w:ind w:left="902"/>
      <w:jc w:val="both"/>
    </w:pPr>
    <w:rPr>
      <w:rFonts w:ascii="Arial" w:hAnsi="Arial" w:cs="Arial"/>
      <w:sz w:val="24"/>
      <w:szCs w:val="24"/>
    </w:rPr>
  </w:style>
  <w:style w:type="character" w:customStyle="1" w:styleId="BodyTextChar1">
    <w:name w:val="Body Text Char1"/>
    <w:basedOn w:val="DefaultParagraphFont"/>
    <w:uiPriority w:val="99"/>
    <w:semiHidden/>
    <w:rsid w:val="0005031B"/>
  </w:style>
  <w:style w:type="paragraph" w:customStyle="1" w:styleId="Default">
    <w:name w:val="Default"/>
    <w:rsid w:val="000B6AD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D3C28"/>
    <w:rPr>
      <w:sz w:val="16"/>
      <w:szCs w:val="16"/>
    </w:rPr>
  </w:style>
  <w:style w:type="paragraph" w:styleId="CommentText">
    <w:name w:val="annotation text"/>
    <w:basedOn w:val="Normal"/>
    <w:link w:val="CommentTextChar"/>
    <w:uiPriority w:val="99"/>
    <w:semiHidden/>
    <w:unhideWhenUsed/>
    <w:rsid w:val="001D3C28"/>
    <w:pPr>
      <w:spacing w:line="240" w:lineRule="auto"/>
    </w:pPr>
    <w:rPr>
      <w:sz w:val="20"/>
      <w:szCs w:val="20"/>
    </w:rPr>
  </w:style>
  <w:style w:type="character" w:customStyle="1" w:styleId="CommentTextChar">
    <w:name w:val="Comment Text Char"/>
    <w:basedOn w:val="DefaultParagraphFont"/>
    <w:link w:val="CommentText"/>
    <w:uiPriority w:val="99"/>
    <w:semiHidden/>
    <w:rsid w:val="001D3C28"/>
    <w:rPr>
      <w:sz w:val="20"/>
      <w:szCs w:val="20"/>
    </w:rPr>
  </w:style>
  <w:style w:type="paragraph" w:styleId="CommentSubject">
    <w:name w:val="annotation subject"/>
    <w:basedOn w:val="CommentText"/>
    <w:next w:val="CommentText"/>
    <w:link w:val="CommentSubjectChar"/>
    <w:uiPriority w:val="99"/>
    <w:semiHidden/>
    <w:unhideWhenUsed/>
    <w:rsid w:val="001D3C28"/>
    <w:rPr>
      <w:b/>
      <w:bCs/>
    </w:rPr>
  </w:style>
  <w:style w:type="character" w:customStyle="1" w:styleId="CommentSubjectChar">
    <w:name w:val="Comment Subject Char"/>
    <w:basedOn w:val="CommentTextChar"/>
    <w:link w:val="CommentSubject"/>
    <w:uiPriority w:val="99"/>
    <w:semiHidden/>
    <w:rsid w:val="001D3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997494">
      <w:bodyDiv w:val="1"/>
      <w:marLeft w:val="0"/>
      <w:marRight w:val="0"/>
      <w:marTop w:val="0"/>
      <w:marBottom w:val="0"/>
      <w:divBdr>
        <w:top w:val="none" w:sz="0" w:space="0" w:color="auto"/>
        <w:left w:val="none" w:sz="0" w:space="0" w:color="auto"/>
        <w:bottom w:val="none" w:sz="0" w:space="0" w:color="auto"/>
        <w:right w:val="none" w:sz="0" w:space="0" w:color="auto"/>
      </w:divBdr>
    </w:div>
    <w:div w:id="19402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ongar.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thwestsettlement@dp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c.w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2576-496A-4639-AF4C-C77C132B679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92AADB5-FE09-499E-8ACB-92BE6B047D5F}">
  <ds:schemaRefs>
    <ds:schemaRef ds:uri="http://schemas.microsoft.com/sharepoint/v3/contenttype/forms"/>
  </ds:schemaRefs>
</ds:datastoreItem>
</file>

<file path=customXml/itemProps3.xml><?xml version="1.0" encoding="utf-8"?>
<ds:datastoreItem xmlns:ds="http://schemas.openxmlformats.org/officeDocument/2006/customXml" ds:itemID="{6BBA885A-6010-4B17-B4EA-FAC8F17C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049F8-C033-4D23-8B28-6D32E9CB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1436</Words>
  <Characters>8189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DPC/PSC</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Egan, Claire</dc:creator>
  <cp:lastModifiedBy>Adolph, Fiona</cp:lastModifiedBy>
  <cp:revision>2</cp:revision>
  <cp:lastPrinted>2015-09-24T04:32:00Z</cp:lastPrinted>
  <dcterms:created xsi:type="dcterms:W3CDTF">2019-04-17T04:30:00Z</dcterms:created>
  <dcterms:modified xsi:type="dcterms:W3CDTF">2019-04-17T04:30:00Z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-1937631672</vt:i4>
  </property>
  <property fmtid="{D5CDD505-2E9C-101B-9397-08002B2CF9AE}" pid="3" name="_NewReviewCycle">
    <vt:lpwstr/>
  </property>
  <property fmtid="{D5CDD505-2E9C-101B-9397-08002B2CF9AE}" pid="4" name="_EmailSubject">
    <vt:lpwstr>Doc - Trust </vt:lpwstr>
  </property>
  <property fmtid="{D5CDD505-2E9C-101B-9397-08002B2CF9AE}" pid="5" name="_AuthorEmail">
    <vt:lpwstr>Robyn.Taylor@dpc.wa.gov.au</vt:lpwstr>
  </property>
  <property fmtid="{D5CDD505-2E9C-101B-9397-08002B2CF9AE}" pid="6" name="_AuthorEmailDisplayName">
    <vt:lpwstr>Taylor, Robyn</vt:lpwstr>
  </property>
  <property fmtid="{D5CDD505-2E9C-101B-9397-08002B2CF9AE}" pid="7" name="_PreviousAdHocReviewCycleID">
    <vt:i4>-394138943</vt:i4>
  </property>
  <property fmtid="{D5CDD505-2E9C-101B-9397-08002B2CF9AE}" pid="8" name="_ReviewingToolsShownOnce">
    <vt:lpwstr/>
  </property>
  <property fmtid="{D5CDD505-2E9C-101B-9397-08002B2CF9AE}" pid="9" name="ContentTypeId">
    <vt:lpwstr>0x010100B9A9C3AF00DDDD48948368C640BEDD83</vt:lpwstr>
  </property>
  <property fmtid="{D5CDD505-2E9C-101B-9397-08002B2CF9AE}" pid="10" name="Order">
    <vt:r8>7200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