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04776" w14:textId="3D9D2F42" w:rsidR="00026659" w:rsidRDefault="001A1A43" w:rsidP="00CE226E">
      <w:pPr>
        <w:pStyle w:val="Heading1"/>
      </w:pPr>
      <w:r>
        <w:t>Risk Assessment for Cloud T</w:t>
      </w:r>
      <w:bookmarkStart w:id="0" w:name="_GoBack"/>
      <w:bookmarkEnd w:id="0"/>
      <w:r w:rsidR="00BA4D7D" w:rsidRPr="00BA4D7D">
        <w:t xml:space="preserve">ransition </w:t>
      </w:r>
    </w:p>
    <w:p w14:paraId="21C2A8D6" w14:textId="43D3D34A" w:rsidR="00B46E5D" w:rsidRPr="00B46E5D" w:rsidRDefault="00B46E5D" w:rsidP="00B46E5D">
      <w:pPr>
        <w:pStyle w:val="Heading2"/>
      </w:pPr>
      <w:r>
        <w:t>Cloud Policy Fact Sheet 4.1</w:t>
      </w:r>
    </w:p>
    <w:p w14:paraId="1536A883" w14:textId="4F511C74" w:rsidR="008A1916" w:rsidRDefault="008A1916" w:rsidP="00CE226E">
      <w:r>
        <w:t xml:space="preserve">A risk assessment enables an agency to identify the risks and vulnerabilities within your ICT program that could affect adoption of the </w:t>
      </w:r>
      <w:r w:rsidR="00BA4D7D">
        <w:t>c</w:t>
      </w:r>
      <w:r w:rsidR="00BD446B">
        <w:t>loud</w:t>
      </w:r>
      <w:r>
        <w:t>. A risk assessment allows you to plan and initiate actions (controls) and treatments to address these risks.</w:t>
      </w:r>
      <w:r w:rsidR="001F0320">
        <w:t xml:space="preserve"> </w:t>
      </w:r>
    </w:p>
    <w:p w14:paraId="7ADDD66A" w14:textId="0D6D70F0" w:rsidR="008A1916" w:rsidRPr="008A1916" w:rsidRDefault="008A1916" w:rsidP="00CE226E">
      <w:pPr>
        <w:pStyle w:val="Heading2"/>
      </w:pPr>
      <w:r w:rsidRPr="008A1916">
        <w:t xml:space="preserve">Objective </w:t>
      </w:r>
    </w:p>
    <w:p w14:paraId="206BD82A" w14:textId="2B779DB7" w:rsidR="008A1916" w:rsidRPr="00CE226E" w:rsidRDefault="008A1916" w:rsidP="00CE226E">
      <w:pPr>
        <w:rPr>
          <w:b/>
        </w:rPr>
      </w:pPr>
      <w:r w:rsidRPr="00CE226E">
        <w:rPr>
          <w:b/>
        </w:rPr>
        <w:t>Conduct a risk assessment.</w:t>
      </w:r>
    </w:p>
    <w:p w14:paraId="343E4F0C" w14:textId="6195C23A" w:rsidR="008A1916" w:rsidRPr="008A1916" w:rsidRDefault="008A1916" w:rsidP="00CE226E">
      <w:pPr>
        <w:pStyle w:val="Heading2"/>
      </w:pPr>
      <w:r>
        <w:t>Process</w:t>
      </w:r>
      <w:r w:rsidRPr="008A1916">
        <w:t xml:space="preserve"> </w:t>
      </w:r>
    </w:p>
    <w:p w14:paraId="26AD3974" w14:textId="0F07A759" w:rsidR="008A1916" w:rsidRDefault="008A1916" w:rsidP="00CE226E">
      <w:r>
        <w:t xml:space="preserve">Risk assessment involves evaluating which risks need to be treated, and the selection of the most appropriate risk treatment strategy and controls. This Fact Sheet provides a guide for what to consider during your agency’s risk assessment of the transition to the </w:t>
      </w:r>
      <w:r w:rsidR="00BA4D7D">
        <w:t>c</w:t>
      </w:r>
      <w:r w:rsidR="00BD446B">
        <w:t>loud</w:t>
      </w:r>
      <w:r>
        <w:t xml:space="preserve">. </w:t>
      </w:r>
    </w:p>
    <w:p w14:paraId="5E81E4D7" w14:textId="640D3049" w:rsidR="008A1916" w:rsidRDefault="008A1916" w:rsidP="00CE226E">
      <w:r>
        <w:t xml:space="preserve">Conducting a risk assessment is essential to identify existing and new risk factors which can emerge during the transition to the </w:t>
      </w:r>
      <w:r w:rsidR="00BA4D7D">
        <w:t>c</w:t>
      </w:r>
      <w:r w:rsidR="00BD446B">
        <w:t>loud</w:t>
      </w:r>
      <w:r>
        <w:t xml:space="preserve"> or due to the adoption of </w:t>
      </w:r>
      <w:r w:rsidR="00BA4D7D">
        <w:t>c</w:t>
      </w:r>
      <w:r w:rsidR="00BD446B">
        <w:t>loud</w:t>
      </w:r>
      <w:r>
        <w:t xml:space="preserve"> services. </w:t>
      </w:r>
    </w:p>
    <w:p w14:paraId="3834F3CF" w14:textId="663EC697" w:rsidR="008A1916" w:rsidRPr="00CE226E" w:rsidRDefault="0009669A" w:rsidP="00CE226E">
      <w:pPr>
        <w:rPr>
          <w:i/>
        </w:rPr>
      </w:pPr>
      <w:r w:rsidRPr="00CE226E">
        <w:rPr>
          <w:i/>
        </w:rPr>
        <w:t>Initialise r</w:t>
      </w:r>
      <w:r w:rsidR="008A1916" w:rsidRPr="00CE226E">
        <w:rPr>
          <w:i/>
        </w:rPr>
        <w:t xml:space="preserve">isk </w:t>
      </w:r>
      <w:r w:rsidRPr="00CE226E">
        <w:rPr>
          <w:i/>
        </w:rPr>
        <w:t>a</w:t>
      </w:r>
      <w:r w:rsidR="008A1916" w:rsidRPr="00CE226E">
        <w:rPr>
          <w:i/>
        </w:rPr>
        <w:t xml:space="preserve">ssessment </w:t>
      </w:r>
    </w:p>
    <w:p w14:paraId="627A0EA9" w14:textId="5C7629EC" w:rsidR="008A1916" w:rsidRDefault="008A1916" w:rsidP="00CE226E">
      <w:r>
        <w:t xml:space="preserve">Understand your current situation in terms of how information is stored and used and the maturity of internal policies which will assist the migration to </w:t>
      </w:r>
      <w:r w:rsidR="00BA4D7D">
        <w:t>c</w:t>
      </w:r>
      <w:r w:rsidR="00BD446B">
        <w:t>loud</w:t>
      </w:r>
      <w:r>
        <w:t xml:space="preserve"> and determine your agency’s needs. Refer to the Fact Sheet </w:t>
      </w:r>
      <w:r w:rsidR="004E1888">
        <w:t>“</w:t>
      </w:r>
      <w:r w:rsidR="004E1888" w:rsidRPr="004E1888">
        <w:t>Situational analysis to inform Cloud transition</w:t>
      </w:r>
      <w:r w:rsidR="004E1888">
        <w:t>”</w:t>
      </w:r>
      <w:r>
        <w:t xml:space="preserve">. </w:t>
      </w:r>
    </w:p>
    <w:p w14:paraId="7F9147A7" w14:textId="49B0D9D7" w:rsidR="008A1916" w:rsidRPr="00CE226E" w:rsidRDefault="0009669A" w:rsidP="00CE226E">
      <w:pPr>
        <w:rPr>
          <w:i/>
        </w:rPr>
      </w:pPr>
      <w:r w:rsidRPr="00CE226E">
        <w:rPr>
          <w:i/>
        </w:rPr>
        <w:t>Plan the risk a</w:t>
      </w:r>
      <w:r w:rsidR="008A1916" w:rsidRPr="00CE226E">
        <w:rPr>
          <w:i/>
        </w:rPr>
        <w:t xml:space="preserve">ssessment </w:t>
      </w:r>
    </w:p>
    <w:p w14:paraId="0376BED8" w14:textId="143BA2F7" w:rsidR="008A1916" w:rsidRDefault="008A1916" w:rsidP="00CE226E">
      <w:r>
        <w:t xml:space="preserve">Planning the risk assessment requires determining the scope, schedule and resources, risk treatment and monitoring strategy based on your current situation and anticipated needs. </w:t>
      </w:r>
      <w:r w:rsidR="004E1888">
        <w:t xml:space="preserve"> </w:t>
      </w:r>
      <w:r>
        <w:t xml:space="preserve">Risk assessment for the </w:t>
      </w:r>
      <w:r w:rsidR="00BA4D7D">
        <w:t>c</w:t>
      </w:r>
      <w:r w:rsidR="00BD446B">
        <w:t>loud</w:t>
      </w:r>
      <w:r w:rsidR="004E1888">
        <w:t xml:space="preserve"> requires</w:t>
      </w:r>
      <w:r>
        <w:t xml:space="preserve"> reviewing complex migration decisions </w:t>
      </w:r>
      <w:r w:rsidR="004E1888">
        <w:t>such as the</w:t>
      </w:r>
      <w:r>
        <w:t xml:space="preserve"> potential</w:t>
      </w:r>
      <w:r w:rsidR="004E1888">
        <w:t xml:space="preserve"> impacts on cost, schedule, </w:t>
      </w:r>
      <w:r>
        <w:t xml:space="preserve">business continuity, and identifying key controls. </w:t>
      </w:r>
    </w:p>
    <w:p w14:paraId="7D840A9B" w14:textId="2B835E0F" w:rsidR="008A1916" w:rsidRDefault="008A1916" w:rsidP="00CE226E">
      <w:r>
        <w:t xml:space="preserve">The risk assessment and management process for migration to the </w:t>
      </w:r>
      <w:r w:rsidR="00BA4D7D">
        <w:t>c</w:t>
      </w:r>
      <w:r w:rsidR="00BD446B">
        <w:t>loud</w:t>
      </w:r>
      <w:r>
        <w:t xml:space="preserve"> </w:t>
      </w:r>
      <w:r w:rsidR="0009669A">
        <w:t>can</w:t>
      </w:r>
      <w:r>
        <w:t xml:space="preserve"> be undertaken using the agency’s existing risk management framework and processes. </w:t>
      </w:r>
    </w:p>
    <w:p w14:paraId="4D97C79B" w14:textId="1530DFBE" w:rsidR="008A1916" w:rsidRPr="00CE226E" w:rsidRDefault="0009669A" w:rsidP="00CE226E">
      <w:pPr>
        <w:rPr>
          <w:i/>
        </w:rPr>
      </w:pPr>
      <w:r w:rsidRPr="00CE226E">
        <w:rPr>
          <w:i/>
        </w:rPr>
        <w:t>Identify and c</w:t>
      </w:r>
      <w:r w:rsidR="008A1916" w:rsidRPr="00CE226E">
        <w:rPr>
          <w:i/>
        </w:rPr>
        <w:t xml:space="preserve">ategorise </w:t>
      </w:r>
      <w:r w:rsidRPr="00CE226E">
        <w:rPr>
          <w:i/>
        </w:rPr>
        <w:t>r</w:t>
      </w:r>
      <w:r w:rsidR="008A1916" w:rsidRPr="00CE226E">
        <w:rPr>
          <w:i/>
        </w:rPr>
        <w:t xml:space="preserve">isks </w:t>
      </w:r>
    </w:p>
    <w:p w14:paraId="52D16358" w14:textId="712088F2" w:rsidR="008A1916" w:rsidRDefault="008A1916" w:rsidP="00CE226E">
      <w:r>
        <w:t xml:space="preserve">Identifying the risks involves determining as many potential risk factors as possible so that the agency is aware of the possible </w:t>
      </w:r>
      <w:r w:rsidR="0009669A">
        <w:t>issues that may arise d</w:t>
      </w:r>
      <w:r>
        <w:t xml:space="preserve">uring or as a result of the migration. </w:t>
      </w:r>
    </w:p>
    <w:p w14:paraId="45DCFF3C" w14:textId="08328E73" w:rsidR="008A1916" w:rsidRDefault="008A1916" w:rsidP="00CE226E">
      <w:r>
        <w:t xml:space="preserve">Different risk identification techniques may be useful to use in the different sections of your agency. </w:t>
      </w:r>
      <w:r w:rsidR="0009669A">
        <w:t xml:space="preserve"> </w:t>
      </w:r>
      <w:r>
        <w:t xml:space="preserve">The ISO/IEC 31010:2009 Risk management – Risk assessment techniques, is a supporting standard that provides useful descriptions of a variety of systematic risk identification techniques. </w:t>
      </w:r>
    </w:p>
    <w:p w14:paraId="3C3E94D7" w14:textId="3E8BA6A4" w:rsidR="008A1916" w:rsidRDefault="008A1916" w:rsidP="00CE226E">
      <w:r>
        <w:t>Risks should be categorised in accordance with their potential impact on the agency’s overall business continuity and ability to fulfil its functions.</w:t>
      </w:r>
    </w:p>
    <w:p w14:paraId="5A28FDEE" w14:textId="77777777" w:rsidR="0009669A" w:rsidRDefault="00C769A4" w:rsidP="00CE226E">
      <w:pPr>
        <w:sectPr w:rsidR="0009669A" w:rsidSect="00CE226E">
          <w:headerReference w:type="first" r:id="rId8"/>
          <w:pgSz w:w="11906" w:h="16838"/>
          <w:pgMar w:top="1843" w:right="1440" w:bottom="1440" w:left="1440" w:header="708" w:footer="708" w:gutter="0"/>
          <w:cols w:space="708"/>
          <w:titlePg/>
          <w:docGrid w:linePitch="360"/>
        </w:sectPr>
      </w:pPr>
      <w:r>
        <w:t xml:space="preserve">Categorising risks by the domain or section of the agency that is affected can be useful to identify responsibility for risk control areas or mechanisms. </w:t>
      </w:r>
      <w:r w:rsidR="0009669A">
        <w:t xml:space="preserve"> </w:t>
      </w:r>
      <w:r>
        <w:t>An example of this app</w:t>
      </w:r>
      <w:r w:rsidR="0009669A">
        <w:t xml:space="preserve">roach is shown in the </w:t>
      </w:r>
    </w:p>
    <w:p w14:paraId="4D7FF09F" w14:textId="7E63EA85" w:rsidR="00C769A4" w:rsidRDefault="0009669A" w:rsidP="00CE226E">
      <w:r>
        <w:lastRenderedPageBreak/>
        <w:t>‘T</w:t>
      </w:r>
      <w:r w:rsidR="00C769A4">
        <w:t xml:space="preserve">able of suggested risks for </w:t>
      </w:r>
      <w:r w:rsidR="00BA4D7D">
        <w:t>cl</w:t>
      </w:r>
      <w:r w:rsidR="00BD446B">
        <w:t>oud</w:t>
      </w:r>
      <w:r w:rsidR="00C769A4">
        <w:t xml:space="preserve"> sourcing</w:t>
      </w:r>
      <w:r>
        <w:t>’ in</w:t>
      </w:r>
      <w:r w:rsidR="00C769A4">
        <w:t xml:space="preserve"> section 3.2 </w:t>
      </w:r>
      <w:r>
        <w:t xml:space="preserve">of </w:t>
      </w:r>
      <w:r w:rsidR="00C769A4">
        <w:t xml:space="preserve">Risk Identification in the </w:t>
      </w:r>
      <w:r w:rsidR="00C769A4">
        <w:rPr>
          <w:i/>
          <w:iCs/>
        </w:rPr>
        <w:t xml:space="preserve">ICT-as-a-service risk assessment - guideline </w:t>
      </w:r>
      <w:r w:rsidR="00C769A4">
        <w:t xml:space="preserve">(Queensland Government, 2014). </w:t>
      </w:r>
    </w:p>
    <w:p w14:paraId="403EE265" w14:textId="0362F2E6" w:rsidR="00C769A4" w:rsidRPr="00CE226E" w:rsidRDefault="0009669A" w:rsidP="00CE226E">
      <w:pPr>
        <w:rPr>
          <w:i/>
        </w:rPr>
      </w:pPr>
      <w:r w:rsidRPr="00CE226E">
        <w:rPr>
          <w:i/>
        </w:rPr>
        <w:t>Assess and c</w:t>
      </w:r>
      <w:r w:rsidR="00C769A4" w:rsidRPr="00CE226E">
        <w:rPr>
          <w:i/>
        </w:rPr>
        <w:t xml:space="preserve">ontrol </w:t>
      </w:r>
      <w:r w:rsidRPr="00CE226E">
        <w:rPr>
          <w:i/>
        </w:rPr>
        <w:t>r</w:t>
      </w:r>
      <w:r w:rsidR="00C769A4" w:rsidRPr="00CE226E">
        <w:rPr>
          <w:i/>
        </w:rPr>
        <w:t xml:space="preserve">isks through </w:t>
      </w:r>
      <w:r w:rsidRPr="00CE226E">
        <w:rPr>
          <w:i/>
        </w:rPr>
        <w:t>m</w:t>
      </w:r>
      <w:r w:rsidR="00C769A4" w:rsidRPr="00CE226E">
        <w:rPr>
          <w:i/>
        </w:rPr>
        <w:t xml:space="preserve">itigating </w:t>
      </w:r>
      <w:r w:rsidRPr="00CE226E">
        <w:rPr>
          <w:i/>
        </w:rPr>
        <w:t>s</w:t>
      </w:r>
      <w:r w:rsidR="00C769A4" w:rsidRPr="00CE226E">
        <w:rPr>
          <w:i/>
        </w:rPr>
        <w:t xml:space="preserve">trategies </w:t>
      </w:r>
    </w:p>
    <w:p w14:paraId="47802657" w14:textId="77777777" w:rsidR="00C769A4" w:rsidRDefault="00C769A4" w:rsidP="00CE226E">
      <w:r>
        <w:t xml:space="preserve">This activity identifies the potential actions (controls) for mitigating the risks. </w:t>
      </w:r>
    </w:p>
    <w:p w14:paraId="1A4BB5CB" w14:textId="32E624CD" w:rsidR="00C769A4" w:rsidRDefault="00C769A4" w:rsidP="00CE226E">
      <w:r>
        <w:t xml:space="preserve">Develop the mitigating strategies and actions to address the risks. </w:t>
      </w:r>
      <w:r w:rsidR="0009669A">
        <w:t xml:space="preserve"> </w:t>
      </w:r>
      <w:r>
        <w:t xml:space="preserve">This may involve looking at external case studies and relevant policies and legislation as well as your agency’s current practices. </w:t>
      </w:r>
    </w:p>
    <w:p w14:paraId="6589EC95" w14:textId="0FB8360B" w:rsidR="00C769A4" w:rsidRPr="00CE226E" w:rsidRDefault="00C769A4" w:rsidP="00CE226E">
      <w:pPr>
        <w:rPr>
          <w:i/>
        </w:rPr>
      </w:pPr>
      <w:r w:rsidRPr="00CE226E">
        <w:rPr>
          <w:i/>
        </w:rPr>
        <w:t xml:space="preserve">Rank the </w:t>
      </w:r>
      <w:r w:rsidR="0009669A" w:rsidRPr="00CE226E">
        <w:rPr>
          <w:i/>
        </w:rPr>
        <w:t>r</w:t>
      </w:r>
      <w:r w:rsidRPr="00CE226E">
        <w:rPr>
          <w:i/>
        </w:rPr>
        <w:t xml:space="preserve">isks and </w:t>
      </w:r>
      <w:r w:rsidR="0009669A" w:rsidRPr="00CE226E">
        <w:rPr>
          <w:i/>
        </w:rPr>
        <w:t>p</w:t>
      </w:r>
      <w:r w:rsidRPr="00CE226E">
        <w:rPr>
          <w:i/>
        </w:rPr>
        <w:t xml:space="preserve">rioritise </w:t>
      </w:r>
      <w:r w:rsidR="0009669A" w:rsidRPr="00CE226E">
        <w:rPr>
          <w:i/>
        </w:rPr>
        <w:t>a</w:t>
      </w:r>
      <w:r w:rsidRPr="00CE226E">
        <w:rPr>
          <w:i/>
        </w:rPr>
        <w:t>ctions (</w:t>
      </w:r>
      <w:r w:rsidR="0009669A" w:rsidRPr="00CE226E">
        <w:rPr>
          <w:i/>
        </w:rPr>
        <w:t>c</w:t>
      </w:r>
      <w:r w:rsidRPr="00CE226E">
        <w:rPr>
          <w:i/>
        </w:rPr>
        <w:t xml:space="preserve">ontrols) </w:t>
      </w:r>
    </w:p>
    <w:p w14:paraId="77460709" w14:textId="28FDFD2B" w:rsidR="00C769A4" w:rsidRDefault="00C769A4" w:rsidP="00CE226E">
      <w:r>
        <w:t xml:space="preserve">Assess the risk and consequence of each risk occurring, taking into account existing controls. </w:t>
      </w:r>
      <w:r w:rsidR="0009669A">
        <w:t xml:space="preserve"> </w:t>
      </w:r>
      <w:r>
        <w:t xml:space="preserve">The highest priority for action should be given to risks that are evaluated as being unacceptable, these should be treated through improving controls or developing new controls. </w:t>
      </w:r>
    </w:p>
    <w:p w14:paraId="5488EE96" w14:textId="5043B6F7" w:rsidR="00C769A4" w:rsidRPr="00CE226E" w:rsidRDefault="0009669A" w:rsidP="00CE226E">
      <w:pPr>
        <w:rPr>
          <w:i/>
        </w:rPr>
      </w:pPr>
      <w:r w:rsidRPr="00CE226E">
        <w:rPr>
          <w:i/>
        </w:rPr>
        <w:t>Migration decision and r</w:t>
      </w:r>
      <w:r w:rsidR="00C769A4" w:rsidRPr="00CE226E">
        <w:rPr>
          <w:i/>
        </w:rPr>
        <w:t xml:space="preserve">isk </w:t>
      </w:r>
      <w:r w:rsidRPr="00CE226E">
        <w:rPr>
          <w:i/>
        </w:rPr>
        <w:t>m</w:t>
      </w:r>
      <w:r w:rsidR="00C769A4" w:rsidRPr="00CE226E">
        <w:rPr>
          <w:i/>
        </w:rPr>
        <w:t xml:space="preserve">onitoring </w:t>
      </w:r>
    </w:p>
    <w:p w14:paraId="2435D652" w14:textId="50CEF2CD" w:rsidR="00C769A4" w:rsidRDefault="00C769A4" w:rsidP="00CE226E">
      <w:r>
        <w:t xml:space="preserve">Migrating to the </w:t>
      </w:r>
      <w:r w:rsidR="00BA4D7D">
        <w:t>c</w:t>
      </w:r>
      <w:r w:rsidR="00BD446B">
        <w:t>loud</w:t>
      </w:r>
      <w:r>
        <w:t xml:space="preserve"> should be based on the agency’s understanding of the potential risks and with fully developed control measures for risk mitigation in place. </w:t>
      </w:r>
      <w:r w:rsidR="0009669A">
        <w:t xml:space="preserve"> </w:t>
      </w:r>
      <w:r>
        <w:t xml:space="preserve">See Table 1 for an example of a risk management matrix populated with some common risks which agencies will need to address. </w:t>
      </w:r>
    </w:p>
    <w:p w14:paraId="146BB9E5" w14:textId="1D12811D" w:rsidR="008A1916" w:rsidRDefault="00C769A4" w:rsidP="00CE226E">
      <w:r>
        <w:t xml:space="preserve">Your agency’s business management frameworks will need to be updated to require ongoing monitoring of the risks and mitigating strategies in place for the transition and the adoption of </w:t>
      </w:r>
      <w:r w:rsidR="00BA4D7D">
        <w:t>c</w:t>
      </w:r>
      <w:r w:rsidR="00BD446B">
        <w:t>loud</w:t>
      </w:r>
      <w:r>
        <w:t xml:space="preserve"> services.</w:t>
      </w:r>
    </w:p>
    <w:p w14:paraId="65056829" w14:textId="295BE2FE" w:rsidR="003974C2" w:rsidRPr="00CE226E" w:rsidRDefault="00936C44" w:rsidP="00CE226E">
      <w:pPr>
        <w:rPr>
          <w:i/>
        </w:rPr>
      </w:pPr>
      <w:r w:rsidRPr="00CE226E">
        <w:rPr>
          <w:i/>
        </w:rPr>
        <w:t xml:space="preserve">Offshoring </w:t>
      </w:r>
      <w:r w:rsidR="00922B35" w:rsidRPr="00CE226E">
        <w:rPr>
          <w:i/>
        </w:rPr>
        <w:t>and data classification</w:t>
      </w:r>
    </w:p>
    <w:p w14:paraId="5E66C4B1" w14:textId="6B41B335" w:rsidR="00922B35" w:rsidRDefault="00922B35" w:rsidP="00CE226E">
      <w:r w:rsidRPr="00922B35">
        <w:t>Western Australian public sector agencies</w:t>
      </w:r>
      <w:r>
        <w:t xml:space="preserve"> must</w:t>
      </w:r>
      <w:r w:rsidRPr="00922B35">
        <w:t xml:space="preserve"> give strong care and consideration to the nature </w:t>
      </w:r>
      <w:r>
        <w:t xml:space="preserve">and sensitivity </w:t>
      </w:r>
      <w:r w:rsidRPr="00922B35">
        <w:t>of their data, and where it will be stored.</w:t>
      </w:r>
      <w:r>
        <w:t xml:space="preserve">  Cloud Policy Fact Sheet 1.2 outlines the WA </w:t>
      </w:r>
      <w:r w:rsidRPr="00922B35">
        <w:t>Government</w:t>
      </w:r>
      <w:r>
        <w:t>’s</w:t>
      </w:r>
      <w:r w:rsidRPr="00922B35">
        <w:t xml:space="preserve"> data offshoring position </w:t>
      </w:r>
      <w:r>
        <w:t>and provides guidance for the public sector.</w:t>
      </w:r>
    </w:p>
    <w:p w14:paraId="7D78428E" w14:textId="77777777" w:rsidR="006A5DD4" w:rsidRPr="00CE226E" w:rsidRDefault="006A5DD4" w:rsidP="00CE226E">
      <w:pPr>
        <w:rPr>
          <w:i/>
        </w:rPr>
      </w:pPr>
      <w:r w:rsidRPr="00CE226E">
        <w:rPr>
          <w:i/>
        </w:rPr>
        <w:t>Protect Intellectual Property</w:t>
      </w:r>
    </w:p>
    <w:p w14:paraId="099E3820" w14:textId="1F8E9C88" w:rsidR="006A5DD4" w:rsidRDefault="004E6FB3" w:rsidP="00CE226E">
      <w:r>
        <w:t>Offshored intellectual property is vulnerable to law enforcement intrusions</w:t>
      </w:r>
      <w:r w:rsidR="00582130">
        <w:t>, theft or misappropriation</w:t>
      </w:r>
      <w:r>
        <w:t xml:space="preserve">. These </w:t>
      </w:r>
      <w:r w:rsidR="006A5DD4">
        <w:t xml:space="preserve">may result in </w:t>
      </w:r>
      <w:r>
        <w:t xml:space="preserve">an </w:t>
      </w:r>
      <w:r w:rsidR="006A5DD4">
        <w:t xml:space="preserve">accidental or wilful disclosure of confidential information and trade secrets. </w:t>
      </w:r>
      <w:r w:rsidR="0009669A">
        <w:t xml:space="preserve"> </w:t>
      </w:r>
      <w:r w:rsidR="006A5DD4">
        <w:t xml:space="preserve">Ensure the mechanisms to protect </w:t>
      </w:r>
      <w:r w:rsidR="00BA60E4">
        <w:t xml:space="preserve">your agency’s </w:t>
      </w:r>
      <w:r w:rsidR="006A5DD4">
        <w:t>information are in the contract</w:t>
      </w:r>
      <w:r w:rsidR="00A14358">
        <w:t xml:space="preserve"> and </w:t>
      </w:r>
      <w:r w:rsidR="00226D82">
        <w:t xml:space="preserve">are </w:t>
      </w:r>
      <w:r w:rsidR="00A14358">
        <w:t>monitored continuously</w:t>
      </w:r>
      <w:r w:rsidR="006A5DD4">
        <w:t>.</w:t>
      </w:r>
      <w:r w:rsidR="006A5DD4" w:rsidRPr="003A2C1C">
        <w:t xml:space="preserve">  </w:t>
      </w:r>
    </w:p>
    <w:p w14:paraId="446424CD" w14:textId="0DA677DC" w:rsidR="005F4B49" w:rsidRPr="00CE226E" w:rsidRDefault="00552AB8" w:rsidP="00CE226E">
      <w:pPr>
        <w:rPr>
          <w:i/>
        </w:rPr>
      </w:pPr>
      <w:r w:rsidRPr="00CE226E">
        <w:rPr>
          <w:i/>
        </w:rPr>
        <w:t>Retriev</w:t>
      </w:r>
      <w:r w:rsidR="006A5DD4" w:rsidRPr="00CE226E">
        <w:rPr>
          <w:i/>
        </w:rPr>
        <w:t>al of</w:t>
      </w:r>
      <w:r w:rsidR="005F4B49" w:rsidRPr="00CE226E">
        <w:rPr>
          <w:i/>
        </w:rPr>
        <w:t xml:space="preserve"> Data</w:t>
      </w:r>
    </w:p>
    <w:p w14:paraId="50E4AC75" w14:textId="3D17C0A8" w:rsidR="005F4B49" w:rsidRDefault="00236213" w:rsidP="00CE226E">
      <w:r w:rsidRPr="001355F0">
        <w:t xml:space="preserve">Entrusting data management responsibilities to providers located offshore may render data controls inadequate. </w:t>
      </w:r>
      <w:r w:rsidR="0009669A">
        <w:t xml:space="preserve"> </w:t>
      </w:r>
      <w:r w:rsidR="00091103" w:rsidRPr="001355F0">
        <w:t xml:space="preserve">Proximity and geopolitical risks may affect the provider’s ability to </w:t>
      </w:r>
      <w:r w:rsidRPr="001355F0">
        <w:t xml:space="preserve">enable rapid retrieval of data </w:t>
      </w:r>
      <w:r w:rsidR="005F4B49">
        <w:t xml:space="preserve">(e.g. for administrative purposes or litigation). Ensure the provider </w:t>
      </w:r>
      <w:r w:rsidR="00612A88">
        <w:t>stores</w:t>
      </w:r>
      <w:r w:rsidR="005F4B49" w:rsidRPr="003C21A9">
        <w:t xml:space="preserve"> </w:t>
      </w:r>
      <w:r w:rsidR="00552AB8">
        <w:t>data</w:t>
      </w:r>
      <w:r w:rsidR="005F4B49" w:rsidRPr="003C21A9">
        <w:t xml:space="preserve"> </w:t>
      </w:r>
      <w:r w:rsidR="005F4B49">
        <w:t>in accordance with your agency’s accountability requirements</w:t>
      </w:r>
      <w:r w:rsidR="0069231D">
        <w:t xml:space="preserve"> and applicable </w:t>
      </w:r>
      <w:r w:rsidR="00E51A90">
        <w:t>Australian and Western Australian legislation and guidelines</w:t>
      </w:r>
      <w:r w:rsidR="005F4B49">
        <w:t>.</w:t>
      </w:r>
      <w:r w:rsidR="005F4B49" w:rsidRPr="003C21A9">
        <w:t xml:space="preserve"> </w:t>
      </w:r>
    </w:p>
    <w:p w14:paraId="56584542" w14:textId="6B314E31" w:rsidR="008A78BC" w:rsidRPr="00CE226E" w:rsidRDefault="008A78BC" w:rsidP="00CE226E">
      <w:pPr>
        <w:rPr>
          <w:i/>
        </w:rPr>
      </w:pPr>
      <w:r w:rsidRPr="00CE226E">
        <w:rPr>
          <w:i/>
        </w:rPr>
        <w:t xml:space="preserve">Know </w:t>
      </w:r>
      <w:r w:rsidR="00A308BD" w:rsidRPr="00CE226E">
        <w:rPr>
          <w:i/>
        </w:rPr>
        <w:t>the</w:t>
      </w:r>
      <w:r w:rsidRPr="00CE226E">
        <w:rPr>
          <w:i/>
        </w:rPr>
        <w:t xml:space="preserve"> Provider</w:t>
      </w:r>
    </w:p>
    <w:p w14:paraId="4FD26DFB" w14:textId="7C0BFEAC" w:rsidR="00922B35" w:rsidRPr="00CE226E" w:rsidRDefault="001833E6" w:rsidP="00CE226E">
      <w:r>
        <w:t xml:space="preserve">Maintain </w:t>
      </w:r>
      <w:r w:rsidR="00BA60E4">
        <w:t xml:space="preserve">your </w:t>
      </w:r>
      <w:r>
        <w:t xml:space="preserve">relationship with </w:t>
      </w:r>
      <w:r w:rsidR="00E338B5">
        <w:t>the</w:t>
      </w:r>
      <w:r>
        <w:t xml:space="preserve"> provider and be aware of any </w:t>
      </w:r>
      <w:r w:rsidR="00E338B5">
        <w:t xml:space="preserve">changes to ownership or </w:t>
      </w:r>
      <w:r w:rsidR="005901EF">
        <w:t>subcontractors</w:t>
      </w:r>
      <w:r w:rsidR="0092379C">
        <w:t xml:space="preserve"> or to their risk profile</w:t>
      </w:r>
      <w:r w:rsidR="00454681">
        <w:t xml:space="preserve">. </w:t>
      </w:r>
      <w:r w:rsidR="0009669A">
        <w:t xml:space="preserve"> </w:t>
      </w:r>
      <w:r w:rsidR="00454681">
        <w:t xml:space="preserve">These </w:t>
      </w:r>
      <w:r w:rsidR="008A78BC">
        <w:t xml:space="preserve">may </w:t>
      </w:r>
      <w:r w:rsidR="0083412D">
        <w:t xml:space="preserve">result in </w:t>
      </w:r>
      <w:r w:rsidR="00CB57D4">
        <w:t xml:space="preserve">inadequate </w:t>
      </w:r>
      <w:r w:rsidR="0083412D">
        <w:t xml:space="preserve">data management controls and </w:t>
      </w:r>
      <w:r w:rsidR="008A78BC">
        <w:t xml:space="preserve">compromise </w:t>
      </w:r>
      <w:r w:rsidR="00CB57D4">
        <w:t>the</w:t>
      </w:r>
      <w:r w:rsidR="00DA00BB">
        <w:t xml:space="preserve"> </w:t>
      </w:r>
      <w:r w:rsidR="0092379C">
        <w:t>security of the data.</w:t>
      </w:r>
      <w:r w:rsidR="008A78BC">
        <w:t xml:space="preserve"> Ensure the contract</w:t>
      </w:r>
      <w:r w:rsidR="005901EF">
        <w:t xml:space="preserve"> </w:t>
      </w:r>
      <w:r w:rsidR="0092379C">
        <w:t>provides contingencies for such changes.</w:t>
      </w:r>
    </w:p>
    <w:p w14:paraId="1315FAC6" w14:textId="77777777" w:rsidR="0009669A" w:rsidRPr="00073042" w:rsidRDefault="0009669A" w:rsidP="00CE226E">
      <w:pPr>
        <w:pStyle w:val="Heading2"/>
      </w:pPr>
      <w:r w:rsidRPr="00073042">
        <w:lastRenderedPageBreak/>
        <w:t>Useful tools</w:t>
      </w:r>
    </w:p>
    <w:p w14:paraId="4D424749" w14:textId="6D60CFF0" w:rsidR="0009669A" w:rsidRPr="00CE226E" w:rsidRDefault="001A1A43" w:rsidP="0009669A">
      <w:pPr>
        <w:tabs>
          <w:tab w:val="left" w:pos="1230"/>
        </w:tabs>
        <w:spacing w:after="240"/>
        <w:contextualSpacing/>
        <w:jc w:val="both"/>
        <w:rPr>
          <w:rFonts w:cs="Arial"/>
        </w:rPr>
      </w:pPr>
      <w:hyperlink r:id="rId9" w:history="1">
        <w:r w:rsidR="0009669A" w:rsidRPr="00CE226E">
          <w:rPr>
            <w:rStyle w:val="Hyperlink"/>
            <w:rFonts w:cs="Arial"/>
          </w:rPr>
          <w:t>European Commission. Adequacy of the protection of personal data in non-EU countries</w:t>
        </w:r>
      </w:hyperlink>
      <w:r w:rsidR="0009669A" w:rsidRPr="00CE226E">
        <w:rPr>
          <w:rFonts w:cs="Arial"/>
        </w:rPr>
        <w:t>.</w:t>
      </w:r>
    </w:p>
    <w:p w14:paraId="091AAA76" w14:textId="77777777" w:rsidR="000A2B0E" w:rsidRPr="00CE226E" w:rsidRDefault="000A2B0E" w:rsidP="0009669A">
      <w:pPr>
        <w:tabs>
          <w:tab w:val="left" w:pos="1230"/>
        </w:tabs>
        <w:jc w:val="both"/>
        <w:rPr>
          <w:rStyle w:val="Hyperlink"/>
          <w:rFonts w:cs="Arial"/>
        </w:rPr>
      </w:pPr>
    </w:p>
    <w:p w14:paraId="0A2FE79B" w14:textId="36161B1B" w:rsidR="0009669A" w:rsidRPr="00CE226E" w:rsidRDefault="0009669A" w:rsidP="0009669A">
      <w:pPr>
        <w:tabs>
          <w:tab w:val="left" w:pos="1230"/>
        </w:tabs>
        <w:jc w:val="both"/>
        <w:rPr>
          <w:rFonts w:cs="Arial"/>
        </w:rPr>
      </w:pPr>
      <w:r w:rsidRPr="00CE226E">
        <w:rPr>
          <w:rFonts w:cs="Arial"/>
        </w:rPr>
        <w:t>Government of Western Australia:</w:t>
      </w:r>
    </w:p>
    <w:p w14:paraId="6AD4EDD7" w14:textId="0D11784E" w:rsidR="0009669A" w:rsidRPr="00CE226E" w:rsidRDefault="001A1A43" w:rsidP="0009669A">
      <w:pPr>
        <w:pStyle w:val="ListParagraph"/>
        <w:numPr>
          <w:ilvl w:val="0"/>
          <w:numId w:val="19"/>
        </w:numPr>
        <w:tabs>
          <w:tab w:val="left" w:pos="1230"/>
        </w:tabs>
        <w:spacing w:after="0"/>
        <w:ind w:left="426"/>
        <w:rPr>
          <w:rFonts w:cs="Arial"/>
        </w:rPr>
      </w:pPr>
      <w:hyperlink r:id="rId10" w:history="1">
        <w:r w:rsidR="0009669A" w:rsidRPr="00CE226E">
          <w:rPr>
            <w:rStyle w:val="Hyperlink"/>
            <w:rFonts w:cs="Arial"/>
          </w:rPr>
          <w:t>Department of Finance. Western Australian Government risk management guidelines for using offshore ICT arrangements to store and process information</w:t>
        </w:r>
      </w:hyperlink>
      <w:r w:rsidR="0009669A" w:rsidRPr="00CE226E">
        <w:rPr>
          <w:rFonts w:cs="Arial"/>
        </w:rPr>
        <w:t>. November 2014.</w:t>
      </w:r>
    </w:p>
    <w:p w14:paraId="05B53B59" w14:textId="6E41C842" w:rsidR="0009669A" w:rsidRPr="00CE226E" w:rsidRDefault="001A1A43" w:rsidP="0009669A">
      <w:pPr>
        <w:tabs>
          <w:tab w:val="left" w:pos="1230"/>
        </w:tabs>
        <w:spacing w:after="240"/>
        <w:ind w:left="426"/>
        <w:contextualSpacing/>
        <w:jc w:val="both"/>
        <w:rPr>
          <w:rFonts w:cs="Arial"/>
        </w:rPr>
      </w:pPr>
      <w:hyperlink w:history="1"/>
    </w:p>
    <w:p w14:paraId="14B27F68" w14:textId="499798B9" w:rsidR="0009669A" w:rsidRPr="00CE226E" w:rsidRDefault="0009669A" w:rsidP="0009669A">
      <w:pPr>
        <w:pStyle w:val="ListParagraph"/>
        <w:numPr>
          <w:ilvl w:val="0"/>
          <w:numId w:val="19"/>
        </w:numPr>
        <w:tabs>
          <w:tab w:val="left" w:pos="1230"/>
        </w:tabs>
        <w:spacing w:after="240"/>
        <w:ind w:left="426"/>
        <w:jc w:val="both"/>
        <w:rPr>
          <w:rFonts w:cs="Arial"/>
        </w:rPr>
      </w:pPr>
      <w:r w:rsidRPr="00CE226E">
        <w:rPr>
          <w:rFonts w:cs="Arial"/>
        </w:rPr>
        <w:t xml:space="preserve">Office of </w:t>
      </w:r>
      <w:r w:rsidR="000A2B0E" w:rsidRPr="00CE226E">
        <w:rPr>
          <w:rFonts w:cs="Arial"/>
        </w:rPr>
        <w:t>Digital Government</w:t>
      </w:r>
      <w:r w:rsidRPr="00CE226E">
        <w:rPr>
          <w:rFonts w:cs="Arial"/>
        </w:rPr>
        <w:t xml:space="preserve">. Cloud Policy – Factsheet 3.1 ‘Understand your current situation’. November 2017. </w:t>
      </w:r>
    </w:p>
    <w:p w14:paraId="1ECE637E" w14:textId="5A4F1B3F" w:rsidR="0009669A" w:rsidRPr="00CE226E" w:rsidRDefault="00512EAC" w:rsidP="0009669A">
      <w:pPr>
        <w:tabs>
          <w:tab w:val="left" w:pos="1230"/>
        </w:tabs>
        <w:jc w:val="both"/>
        <w:rPr>
          <w:rFonts w:cs="Arial"/>
        </w:rPr>
      </w:pPr>
      <w:r w:rsidRPr="00CE226E">
        <w:rPr>
          <w:rFonts w:cs="Arial"/>
        </w:rPr>
        <w:t>International Organisation for Standardis</w:t>
      </w:r>
      <w:r w:rsidR="0009669A" w:rsidRPr="00CE226E">
        <w:rPr>
          <w:rFonts w:cs="Arial"/>
        </w:rPr>
        <w:t>ation (ISO):</w:t>
      </w:r>
    </w:p>
    <w:p w14:paraId="14E3E17D" w14:textId="1D9ABE1B" w:rsidR="0009669A" w:rsidRPr="00CE226E" w:rsidRDefault="001A1A43" w:rsidP="001965D8">
      <w:pPr>
        <w:pStyle w:val="ListParagraph"/>
        <w:numPr>
          <w:ilvl w:val="0"/>
          <w:numId w:val="19"/>
        </w:numPr>
        <w:tabs>
          <w:tab w:val="left" w:pos="1230"/>
        </w:tabs>
        <w:spacing w:after="0"/>
        <w:ind w:left="426"/>
        <w:rPr>
          <w:rFonts w:cs="Arial"/>
        </w:rPr>
      </w:pPr>
      <w:hyperlink r:id="rId11" w:history="1">
        <w:r w:rsidR="0009669A" w:rsidRPr="00CE226E">
          <w:rPr>
            <w:rStyle w:val="Hyperlink"/>
            <w:rFonts w:cs="Arial"/>
          </w:rPr>
          <w:t>ISO/IEC 27000 family - Information security management systems</w:t>
        </w:r>
      </w:hyperlink>
      <w:r w:rsidR="0009669A" w:rsidRPr="00CE226E">
        <w:rPr>
          <w:rFonts w:cs="Arial"/>
        </w:rPr>
        <w:t xml:space="preserve"> </w:t>
      </w:r>
    </w:p>
    <w:p w14:paraId="5F55EF88" w14:textId="77777777" w:rsidR="000A2B0E" w:rsidRPr="00CE226E" w:rsidRDefault="001A1A43" w:rsidP="000A2B0E">
      <w:pPr>
        <w:pStyle w:val="ListParagraph"/>
        <w:numPr>
          <w:ilvl w:val="0"/>
          <w:numId w:val="19"/>
        </w:numPr>
        <w:tabs>
          <w:tab w:val="left" w:pos="1230"/>
        </w:tabs>
        <w:spacing w:after="120"/>
        <w:ind w:left="425" w:hanging="357"/>
        <w:jc w:val="both"/>
        <w:rPr>
          <w:rFonts w:cs="Arial"/>
        </w:rPr>
      </w:pPr>
      <w:hyperlink r:id="rId12" w:history="1">
        <w:r w:rsidR="0009669A" w:rsidRPr="00CE226E">
          <w:rPr>
            <w:rStyle w:val="Hyperlink"/>
            <w:rFonts w:cs="Arial"/>
          </w:rPr>
          <w:t>ISO/IEC 31010:2009 Risk management – Risk assessment techniques - supporting standard for ISO 31000:2009 Risk management – Principles and guidelines</w:t>
        </w:r>
      </w:hyperlink>
      <w:r w:rsidR="0009669A" w:rsidRPr="00CE226E">
        <w:rPr>
          <w:rFonts w:cs="Arial"/>
        </w:rPr>
        <w:t>.</w:t>
      </w:r>
      <w:r w:rsidR="000A2B0E" w:rsidRPr="00CE226E">
        <w:rPr>
          <w:rFonts w:cs="Arial"/>
        </w:rPr>
        <w:t xml:space="preserve"> </w:t>
      </w:r>
    </w:p>
    <w:p w14:paraId="7ED31177" w14:textId="77777777" w:rsidR="000A2B0E" w:rsidRPr="00CE226E" w:rsidRDefault="000A2B0E" w:rsidP="000A2B0E">
      <w:pPr>
        <w:pStyle w:val="ListParagraph"/>
        <w:rPr>
          <w:rFonts w:cs="Arial"/>
        </w:rPr>
      </w:pPr>
    </w:p>
    <w:p w14:paraId="7BBF689E" w14:textId="46239D4A" w:rsidR="0009669A" w:rsidRPr="00CE226E" w:rsidRDefault="0009669A" w:rsidP="000A2B0E">
      <w:pPr>
        <w:tabs>
          <w:tab w:val="left" w:pos="1230"/>
        </w:tabs>
        <w:spacing w:after="120"/>
        <w:jc w:val="both"/>
        <w:rPr>
          <w:rFonts w:cs="Arial"/>
        </w:rPr>
      </w:pPr>
      <w:r w:rsidRPr="00CE226E">
        <w:rPr>
          <w:rFonts w:cs="Arial"/>
        </w:rPr>
        <w:t>Queensland Government:</w:t>
      </w:r>
    </w:p>
    <w:p w14:paraId="791D64D0" w14:textId="39918BB3" w:rsidR="0009669A" w:rsidRPr="00CE226E" w:rsidRDefault="001A1A43" w:rsidP="0009669A">
      <w:pPr>
        <w:pStyle w:val="ListParagraph"/>
        <w:numPr>
          <w:ilvl w:val="0"/>
          <w:numId w:val="19"/>
        </w:numPr>
        <w:tabs>
          <w:tab w:val="left" w:pos="1230"/>
        </w:tabs>
        <w:spacing w:after="0"/>
        <w:ind w:left="426" w:hanging="357"/>
        <w:jc w:val="both"/>
        <w:rPr>
          <w:rFonts w:cs="Arial"/>
        </w:rPr>
      </w:pPr>
      <w:hyperlink r:id="rId13" w:history="1">
        <w:r w:rsidR="0009669A" w:rsidRPr="00CE226E">
          <w:rPr>
            <w:rStyle w:val="Hyperlink"/>
            <w:rFonts w:cs="Arial"/>
          </w:rPr>
          <w:t>Queensland Government Chief Information Office. ICT-as-a-service risk assessment guide. February 2014</w:t>
        </w:r>
      </w:hyperlink>
      <w:r w:rsidR="0009669A" w:rsidRPr="00CE226E">
        <w:rPr>
          <w:rFonts w:cs="Arial"/>
        </w:rPr>
        <w:t xml:space="preserve">. </w:t>
      </w:r>
    </w:p>
    <w:p w14:paraId="6911F406" w14:textId="12DB145E" w:rsidR="0009669A" w:rsidRPr="00CE226E" w:rsidRDefault="001A1A43" w:rsidP="000A2B0E">
      <w:pPr>
        <w:pStyle w:val="ListParagraph"/>
        <w:numPr>
          <w:ilvl w:val="0"/>
          <w:numId w:val="19"/>
        </w:numPr>
        <w:tabs>
          <w:tab w:val="left" w:pos="1230"/>
        </w:tabs>
        <w:spacing w:after="0"/>
        <w:ind w:left="426" w:hanging="357"/>
        <w:jc w:val="both"/>
        <w:rPr>
          <w:rFonts w:cs="Arial"/>
        </w:rPr>
      </w:pPr>
      <w:hyperlink r:id="rId14" w:history="1">
        <w:r w:rsidR="0009669A" w:rsidRPr="00CE226E">
          <w:rPr>
            <w:rStyle w:val="Hyperlink"/>
            <w:rFonts w:cs="Arial"/>
          </w:rPr>
          <w:t>Queensland Government Chief Information Office. ICT Risk Management Table</w:t>
        </w:r>
      </w:hyperlink>
      <w:r w:rsidR="0009669A" w:rsidRPr="00CE226E">
        <w:rPr>
          <w:rFonts w:cs="Arial"/>
        </w:rPr>
        <w:t xml:space="preserve">. </w:t>
      </w:r>
    </w:p>
    <w:p w14:paraId="4766D2DD" w14:textId="388D5173" w:rsidR="0009669A" w:rsidRPr="00CE226E" w:rsidRDefault="001A1A43" w:rsidP="000A2B0E">
      <w:pPr>
        <w:pStyle w:val="ListParagraph"/>
        <w:numPr>
          <w:ilvl w:val="0"/>
          <w:numId w:val="19"/>
        </w:numPr>
        <w:tabs>
          <w:tab w:val="left" w:pos="1230"/>
        </w:tabs>
        <w:spacing w:after="0"/>
        <w:ind w:left="426" w:hanging="357"/>
        <w:jc w:val="both"/>
        <w:rPr>
          <w:rStyle w:val="Hyperlink"/>
          <w:rFonts w:cs="Arial"/>
          <w:color w:val="auto"/>
          <w:u w:val="none"/>
        </w:rPr>
      </w:pPr>
      <w:hyperlink r:id="rId15" w:history="1">
        <w:r w:rsidR="0009669A" w:rsidRPr="00CE226E">
          <w:rPr>
            <w:rStyle w:val="Hyperlink"/>
            <w:rFonts w:cs="Arial"/>
          </w:rPr>
          <w:t>Queensland Government Chief Information Office. ICT Risk management tools and techniques</w:t>
        </w:r>
      </w:hyperlink>
      <w:r w:rsidR="0009669A" w:rsidRPr="00CE226E">
        <w:rPr>
          <w:rFonts w:cs="Arial"/>
        </w:rPr>
        <w:t xml:space="preserve">. </w:t>
      </w:r>
    </w:p>
    <w:p w14:paraId="775BF4A2" w14:textId="7DAA6576" w:rsidR="0009669A" w:rsidRPr="00CE226E" w:rsidRDefault="001A1A43" w:rsidP="000A2B0E">
      <w:pPr>
        <w:pStyle w:val="ListParagraph"/>
        <w:numPr>
          <w:ilvl w:val="0"/>
          <w:numId w:val="19"/>
        </w:numPr>
        <w:tabs>
          <w:tab w:val="left" w:pos="1230"/>
        </w:tabs>
        <w:spacing w:after="0"/>
        <w:ind w:left="426" w:hanging="357"/>
        <w:jc w:val="both"/>
        <w:rPr>
          <w:rFonts w:cs="Arial"/>
        </w:rPr>
      </w:pPr>
      <w:hyperlink r:id="rId16" w:history="1">
        <w:r w:rsidR="0009669A" w:rsidRPr="00CE226E">
          <w:rPr>
            <w:rStyle w:val="Hyperlink"/>
            <w:rFonts w:cs="Arial"/>
          </w:rPr>
          <w:t>Queensland Treasury. ICT Risk Management Matrix. July 2011</w:t>
        </w:r>
      </w:hyperlink>
      <w:r w:rsidR="0009669A" w:rsidRPr="00CE226E">
        <w:rPr>
          <w:rFonts w:cs="Arial"/>
        </w:rPr>
        <w:t xml:space="preserve">. </w:t>
      </w:r>
    </w:p>
    <w:p w14:paraId="0D036133" w14:textId="77777777" w:rsidR="000A2B0E" w:rsidRPr="00CE226E" w:rsidRDefault="000A2B0E" w:rsidP="000A2B0E">
      <w:pPr>
        <w:pStyle w:val="ListParagraph"/>
        <w:tabs>
          <w:tab w:val="left" w:pos="1230"/>
        </w:tabs>
        <w:spacing w:after="0"/>
        <w:ind w:left="426"/>
        <w:jc w:val="both"/>
        <w:rPr>
          <w:rFonts w:cs="Arial"/>
        </w:rPr>
      </w:pPr>
    </w:p>
    <w:p w14:paraId="1DC4F2B3" w14:textId="405B01BD" w:rsidR="0009669A" w:rsidRPr="00CE226E" w:rsidRDefault="001A1A43" w:rsidP="0009669A">
      <w:pPr>
        <w:tabs>
          <w:tab w:val="left" w:pos="1230"/>
        </w:tabs>
        <w:spacing w:after="0"/>
        <w:rPr>
          <w:rFonts w:cs="Arial"/>
        </w:rPr>
      </w:pPr>
      <w:hyperlink r:id="rId17" w:history="1">
        <w:r w:rsidR="0009669A" w:rsidRPr="00CE226E">
          <w:rPr>
            <w:rStyle w:val="Hyperlink"/>
            <w:rFonts w:cs="Arial"/>
          </w:rPr>
          <w:t xml:space="preserve">Tasmanian Department of Premier and Cabinet Office of </w:t>
        </w:r>
        <w:proofErr w:type="spellStart"/>
        <w:r w:rsidR="0009669A" w:rsidRPr="00CE226E">
          <w:rPr>
            <w:rStyle w:val="Hyperlink"/>
            <w:rFonts w:cs="Arial"/>
          </w:rPr>
          <w:t>eGovernment</w:t>
        </w:r>
        <w:proofErr w:type="spellEnd"/>
        <w:r w:rsidR="0009669A" w:rsidRPr="00CE226E">
          <w:rPr>
            <w:rStyle w:val="Hyperlink"/>
            <w:rFonts w:cs="Arial"/>
          </w:rPr>
          <w:t>. Tasmanian Cloud Policy. October 2015. ‘Appendix 1 - Cloud Risk Assessment’</w:t>
        </w:r>
      </w:hyperlink>
    </w:p>
    <w:p w14:paraId="0B384BE6" w14:textId="77777777" w:rsidR="000A2B0E" w:rsidRPr="00CE226E" w:rsidRDefault="000A2B0E" w:rsidP="001355F0">
      <w:pPr>
        <w:pStyle w:val="Default"/>
        <w:spacing w:after="160"/>
        <w:jc w:val="both"/>
        <w:rPr>
          <w:rFonts w:ascii="Arial" w:hAnsi="Arial" w:cs="Arial"/>
          <w:sz w:val="22"/>
          <w:szCs w:val="22"/>
        </w:rPr>
      </w:pPr>
    </w:p>
    <w:p w14:paraId="79AB7534" w14:textId="7E5E8599" w:rsidR="0009669A" w:rsidRPr="00CE226E" w:rsidRDefault="00512EAC" w:rsidP="001355F0">
      <w:pPr>
        <w:pStyle w:val="Default"/>
        <w:spacing w:after="160"/>
        <w:jc w:val="both"/>
        <w:rPr>
          <w:rFonts w:ascii="Arial" w:hAnsi="Arial" w:cs="Arial"/>
          <w:sz w:val="22"/>
          <w:szCs w:val="22"/>
        </w:rPr>
      </w:pPr>
      <w:r w:rsidRPr="00CE226E">
        <w:rPr>
          <w:rFonts w:ascii="Arial" w:hAnsi="Arial" w:cs="Arial"/>
          <w:sz w:val="22"/>
          <w:szCs w:val="22"/>
        </w:rPr>
        <w:t>Related Cloud Policy Fact Sheets</w:t>
      </w:r>
    </w:p>
    <w:p w14:paraId="6FBDFF4D" w14:textId="2EE558E2" w:rsidR="0032515B" w:rsidRPr="00CE226E" w:rsidRDefault="00512EAC" w:rsidP="00922B35">
      <w:pPr>
        <w:pStyle w:val="Default"/>
        <w:tabs>
          <w:tab w:val="left" w:pos="426"/>
        </w:tabs>
        <w:spacing w:after="160"/>
        <w:jc w:val="both"/>
        <w:rPr>
          <w:rFonts w:ascii="Arial" w:hAnsi="Arial" w:cs="Arial"/>
          <w:sz w:val="22"/>
          <w:szCs w:val="22"/>
        </w:rPr>
      </w:pPr>
      <w:r w:rsidRPr="00CE226E">
        <w:rPr>
          <w:rFonts w:ascii="Arial" w:hAnsi="Arial" w:cs="Arial"/>
          <w:sz w:val="22"/>
          <w:szCs w:val="22"/>
        </w:rPr>
        <w:t>1.2</w:t>
      </w:r>
      <w:r w:rsidRPr="00CE226E">
        <w:rPr>
          <w:rFonts w:ascii="Arial" w:hAnsi="Arial" w:cs="Arial"/>
          <w:sz w:val="22"/>
          <w:szCs w:val="22"/>
        </w:rPr>
        <w:tab/>
        <w:t>WA Government Data Offshoring position and guidance</w:t>
      </w:r>
    </w:p>
    <w:p w14:paraId="7D9F75EC" w14:textId="033C2D9E" w:rsidR="00C343F5" w:rsidRPr="00C343F5" w:rsidRDefault="00C343F5" w:rsidP="00C343F5">
      <w:pPr>
        <w:tabs>
          <w:tab w:val="left" w:pos="1230"/>
        </w:tabs>
        <w:jc w:val="both"/>
        <w:rPr>
          <w:sz w:val="23"/>
          <w:szCs w:val="23"/>
        </w:rPr>
        <w:sectPr w:rsidR="00C343F5" w:rsidRPr="00C343F5" w:rsidSect="0009669A">
          <w:pgSz w:w="11906" w:h="16838"/>
          <w:pgMar w:top="1418" w:right="1440" w:bottom="1440" w:left="1440" w:header="708" w:footer="708" w:gutter="0"/>
          <w:cols w:space="708"/>
          <w:docGrid w:linePitch="360"/>
        </w:sectPr>
      </w:pPr>
    </w:p>
    <w:p w14:paraId="262D9A54" w14:textId="0863B5DF" w:rsidR="00B43824" w:rsidRPr="007A5B35" w:rsidRDefault="00D3294A" w:rsidP="00F7689F">
      <w:pPr>
        <w:pStyle w:val="Heading2"/>
      </w:pPr>
      <w:r w:rsidRPr="007A5B35">
        <w:lastRenderedPageBreak/>
        <w:t xml:space="preserve">Table 1.  </w:t>
      </w:r>
      <w:r w:rsidR="00B43824" w:rsidRPr="007A5B35">
        <w:t>Exam</w:t>
      </w:r>
      <w:r w:rsidRPr="007A5B35">
        <w:t>ple of a Risk management matrix.</w:t>
      </w:r>
      <w:r w:rsidR="00CD324D" w:rsidRPr="007A5B35">
        <w:t xml:space="preserve">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268"/>
        <w:gridCol w:w="1022"/>
        <w:gridCol w:w="3123"/>
        <w:gridCol w:w="3402"/>
      </w:tblGrid>
      <w:tr w:rsidR="00B946D4" w:rsidRPr="00390089" w14:paraId="0B4690EE" w14:textId="77777777" w:rsidTr="008F74E5">
        <w:trPr>
          <w:tblHeader/>
          <w:jc w:val="center"/>
        </w:trPr>
        <w:tc>
          <w:tcPr>
            <w:tcW w:w="533" w:type="dxa"/>
            <w:shd w:val="clear" w:color="auto" w:fill="CCCCCC"/>
          </w:tcPr>
          <w:p w14:paraId="1C70B78F" w14:textId="7F07CAA1" w:rsidR="00B946D4" w:rsidRPr="00F7689F" w:rsidRDefault="00B946D4" w:rsidP="00490A80">
            <w:pPr>
              <w:pStyle w:val="bodytable"/>
              <w:jc w:val="center"/>
              <w:rPr>
                <w:rFonts w:cs="Arial"/>
                <w:b/>
                <w:bCs/>
                <w:color w:val="2D2F32"/>
                <w:sz w:val="22"/>
                <w:szCs w:val="19"/>
              </w:rPr>
            </w:pPr>
          </w:p>
          <w:p w14:paraId="6AF579AE" w14:textId="4FE4ED4E" w:rsidR="00F7689F" w:rsidRPr="00F7689F" w:rsidRDefault="00F7689F" w:rsidP="00490A80">
            <w:pPr>
              <w:pStyle w:val="bodytable"/>
              <w:jc w:val="center"/>
              <w:rPr>
                <w:rFonts w:cs="Arial"/>
                <w:b/>
                <w:bCs/>
                <w:color w:val="2D2F32"/>
                <w:sz w:val="19"/>
                <w:szCs w:val="19"/>
              </w:rPr>
            </w:pPr>
          </w:p>
        </w:tc>
        <w:tc>
          <w:tcPr>
            <w:tcW w:w="2268" w:type="dxa"/>
            <w:shd w:val="clear" w:color="auto" w:fill="CCCCCC"/>
          </w:tcPr>
          <w:p w14:paraId="6649F72D" w14:textId="7C24E50D" w:rsidR="00B946D4" w:rsidRPr="00F7689F" w:rsidRDefault="00A12D4F" w:rsidP="00A12D4F">
            <w:pPr>
              <w:pStyle w:val="bodytable"/>
              <w:jc w:val="center"/>
              <w:rPr>
                <w:rFonts w:cs="Arial"/>
                <w:b/>
                <w:bCs/>
                <w:color w:val="2D2F32"/>
                <w:sz w:val="19"/>
                <w:szCs w:val="19"/>
              </w:rPr>
            </w:pPr>
            <w:r w:rsidRPr="00F7689F">
              <w:rPr>
                <w:rFonts w:cs="Arial"/>
                <w:b/>
                <w:bCs/>
                <w:color w:val="2D2F32"/>
                <w:sz w:val="19"/>
                <w:szCs w:val="19"/>
              </w:rPr>
              <w:t>Risk a</w:t>
            </w:r>
            <w:r w:rsidR="00B946D4" w:rsidRPr="00F7689F">
              <w:rPr>
                <w:rFonts w:cs="Arial"/>
                <w:b/>
                <w:bCs/>
                <w:color w:val="2D2F32"/>
                <w:sz w:val="19"/>
                <w:szCs w:val="19"/>
              </w:rPr>
              <w:t>ssumption</w:t>
            </w:r>
          </w:p>
        </w:tc>
        <w:tc>
          <w:tcPr>
            <w:tcW w:w="1022" w:type="dxa"/>
            <w:shd w:val="clear" w:color="auto" w:fill="CCCCCC"/>
          </w:tcPr>
          <w:p w14:paraId="3C705C25" w14:textId="0D2D48FB" w:rsidR="00B946D4" w:rsidRPr="00F7689F" w:rsidRDefault="00B946D4" w:rsidP="00B946D4">
            <w:pPr>
              <w:pStyle w:val="bodytable"/>
              <w:jc w:val="center"/>
              <w:rPr>
                <w:rFonts w:cs="Arial"/>
                <w:b/>
                <w:bCs/>
                <w:color w:val="2D2F32"/>
                <w:sz w:val="19"/>
                <w:szCs w:val="19"/>
              </w:rPr>
            </w:pPr>
            <w:r w:rsidRPr="00F7689F">
              <w:rPr>
                <w:rFonts w:cs="Arial"/>
                <w:b/>
                <w:bCs/>
                <w:color w:val="2D2F32"/>
                <w:sz w:val="19"/>
                <w:szCs w:val="19"/>
              </w:rPr>
              <w:t xml:space="preserve">Risk </w:t>
            </w:r>
            <w:r w:rsidR="00A12D4F" w:rsidRPr="00F7689F">
              <w:rPr>
                <w:rFonts w:cs="Arial"/>
                <w:b/>
                <w:bCs/>
                <w:color w:val="2D2F32"/>
                <w:szCs w:val="18"/>
              </w:rPr>
              <w:t>category</w:t>
            </w:r>
          </w:p>
        </w:tc>
        <w:tc>
          <w:tcPr>
            <w:tcW w:w="3123" w:type="dxa"/>
            <w:shd w:val="clear" w:color="auto" w:fill="CCCCCC"/>
          </w:tcPr>
          <w:p w14:paraId="3E9C7A00" w14:textId="784CFC1A" w:rsidR="00B946D4" w:rsidRPr="00F7689F" w:rsidRDefault="00B946D4" w:rsidP="00490A80">
            <w:pPr>
              <w:pStyle w:val="bodytable"/>
              <w:jc w:val="center"/>
              <w:rPr>
                <w:rFonts w:cs="Arial"/>
                <w:b/>
                <w:bCs/>
                <w:color w:val="2D2F32"/>
                <w:sz w:val="19"/>
                <w:szCs w:val="19"/>
              </w:rPr>
            </w:pPr>
            <w:r w:rsidRPr="00F7689F">
              <w:rPr>
                <w:rFonts w:cs="Arial"/>
                <w:b/>
                <w:bCs/>
                <w:color w:val="2D2F32"/>
                <w:sz w:val="19"/>
                <w:szCs w:val="19"/>
              </w:rPr>
              <w:t>Mitigating Strategy</w:t>
            </w:r>
          </w:p>
        </w:tc>
        <w:tc>
          <w:tcPr>
            <w:tcW w:w="3402" w:type="dxa"/>
            <w:shd w:val="clear" w:color="auto" w:fill="CCCCCC"/>
          </w:tcPr>
          <w:p w14:paraId="1401271F" w14:textId="77777777" w:rsidR="00B946D4" w:rsidRPr="00F7689F" w:rsidRDefault="00B946D4" w:rsidP="00490A80">
            <w:pPr>
              <w:pStyle w:val="bodytable"/>
              <w:jc w:val="center"/>
              <w:rPr>
                <w:rFonts w:cs="Arial"/>
                <w:b/>
                <w:bCs/>
                <w:color w:val="2D2F32"/>
                <w:sz w:val="19"/>
                <w:szCs w:val="19"/>
              </w:rPr>
            </w:pPr>
            <w:r w:rsidRPr="00F7689F">
              <w:rPr>
                <w:rFonts w:cs="Arial"/>
                <w:b/>
                <w:bCs/>
                <w:color w:val="2D2F32"/>
                <w:sz w:val="19"/>
                <w:szCs w:val="19"/>
              </w:rPr>
              <w:t>Project Actions</w:t>
            </w:r>
          </w:p>
        </w:tc>
      </w:tr>
      <w:tr w:rsidR="00B946D4" w:rsidRPr="00390089" w14:paraId="6426B682" w14:textId="77777777" w:rsidTr="00F7689F">
        <w:trPr>
          <w:jc w:val="center"/>
        </w:trPr>
        <w:tc>
          <w:tcPr>
            <w:tcW w:w="533" w:type="dxa"/>
            <w:vAlign w:val="center"/>
          </w:tcPr>
          <w:p w14:paraId="2D32A492" w14:textId="77777777" w:rsidR="00B946D4" w:rsidRPr="00F7689F" w:rsidRDefault="00B946D4" w:rsidP="00490A8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1</w:t>
            </w:r>
          </w:p>
        </w:tc>
        <w:tc>
          <w:tcPr>
            <w:tcW w:w="2268" w:type="dxa"/>
            <w:vAlign w:val="center"/>
          </w:tcPr>
          <w:p w14:paraId="0AE05207" w14:textId="5D2AFF2F" w:rsidR="00B946D4" w:rsidRPr="00F7689F" w:rsidRDefault="00B946D4" w:rsidP="00BA4D7D">
            <w:pPr>
              <w:pStyle w:val="bodytable"/>
              <w:jc w:val="left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Time constraints set on implementing </w:t>
            </w:r>
            <w:r w:rsidR="00BA4D7D" w:rsidRPr="00F7689F">
              <w:rPr>
                <w:rFonts w:cs="Arial"/>
                <w:sz w:val="19"/>
                <w:szCs w:val="19"/>
              </w:rPr>
              <w:t>c</w:t>
            </w:r>
            <w:r w:rsidR="00BD446B" w:rsidRPr="00F7689F">
              <w:rPr>
                <w:rFonts w:cs="Arial"/>
                <w:sz w:val="19"/>
                <w:szCs w:val="19"/>
              </w:rPr>
              <w:t>loud</w:t>
            </w:r>
            <w:r w:rsidRPr="00F7689F">
              <w:rPr>
                <w:rFonts w:cs="Arial"/>
                <w:sz w:val="19"/>
                <w:szCs w:val="19"/>
              </w:rPr>
              <w:t xml:space="preserve"> migration.</w:t>
            </w:r>
          </w:p>
        </w:tc>
        <w:tc>
          <w:tcPr>
            <w:tcW w:w="1022" w:type="dxa"/>
          </w:tcPr>
          <w:p w14:paraId="35EE9F97" w14:textId="77777777" w:rsidR="00B946D4" w:rsidRPr="00F7689F" w:rsidRDefault="00B946D4" w:rsidP="00B946D4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5AB799FA" w14:textId="726EA7C6" w:rsidR="00B946D4" w:rsidRPr="00F7689F" w:rsidRDefault="00B946D4" w:rsidP="00C330C1">
            <w:pPr>
              <w:keepLines/>
              <w:numPr>
                <w:ilvl w:val="0"/>
                <w:numId w:val="7"/>
              </w:numPr>
              <w:tabs>
                <w:tab w:val="num" w:pos="210"/>
              </w:tabs>
              <w:suppressAutoHyphens/>
              <w:spacing w:before="60" w:after="60" w:line="240" w:lineRule="auto"/>
              <w:ind w:left="493" w:hanging="493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Develop </w:t>
            </w:r>
            <w:r w:rsidR="00B82ACD" w:rsidRPr="00F7689F">
              <w:rPr>
                <w:rFonts w:cs="Arial"/>
                <w:sz w:val="19"/>
                <w:szCs w:val="19"/>
              </w:rPr>
              <w:t xml:space="preserve">a </w:t>
            </w:r>
            <w:r w:rsidR="00C675E5" w:rsidRPr="00F7689F">
              <w:rPr>
                <w:rFonts w:cs="Arial"/>
                <w:sz w:val="19"/>
                <w:szCs w:val="19"/>
              </w:rPr>
              <w:t>prioritised plan</w:t>
            </w:r>
          </w:p>
        </w:tc>
        <w:tc>
          <w:tcPr>
            <w:tcW w:w="3402" w:type="dxa"/>
            <w:vAlign w:val="center"/>
          </w:tcPr>
          <w:p w14:paraId="509AF7F1" w14:textId="3CFFE9AA" w:rsidR="00B946D4" w:rsidRPr="00F7689F" w:rsidRDefault="000B7E95" w:rsidP="00BA4D7D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Use</w:t>
            </w:r>
            <w:r w:rsidR="00B946D4" w:rsidRPr="00F7689F">
              <w:rPr>
                <w:rFonts w:cs="Arial"/>
                <w:sz w:val="19"/>
                <w:szCs w:val="19"/>
              </w:rPr>
              <w:t xml:space="preserve"> a risk management process to prioritise mandatory principles </w:t>
            </w:r>
            <w:r w:rsidR="00C675E5" w:rsidRPr="00F7689F">
              <w:rPr>
                <w:rFonts w:cs="Arial"/>
                <w:sz w:val="19"/>
                <w:szCs w:val="19"/>
              </w:rPr>
              <w:t xml:space="preserve">associated with </w:t>
            </w:r>
            <w:r w:rsidR="00BA4D7D" w:rsidRPr="00F7689F">
              <w:rPr>
                <w:rFonts w:cs="Arial"/>
                <w:sz w:val="19"/>
                <w:szCs w:val="19"/>
              </w:rPr>
              <w:t>cl</w:t>
            </w:r>
            <w:r w:rsidR="00BD446B" w:rsidRPr="00F7689F">
              <w:rPr>
                <w:rFonts w:cs="Arial"/>
                <w:sz w:val="19"/>
                <w:szCs w:val="19"/>
              </w:rPr>
              <w:t>oud</w:t>
            </w:r>
            <w:r w:rsidR="00C675E5" w:rsidRPr="00F7689F">
              <w:rPr>
                <w:rFonts w:cs="Arial"/>
                <w:sz w:val="19"/>
                <w:szCs w:val="19"/>
              </w:rPr>
              <w:t xml:space="preserve"> migration</w:t>
            </w:r>
          </w:p>
        </w:tc>
      </w:tr>
      <w:tr w:rsidR="00B946D4" w:rsidRPr="00390089" w14:paraId="3220EB97" w14:textId="77777777" w:rsidTr="00F7689F">
        <w:trPr>
          <w:jc w:val="center"/>
        </w:trPr>
        <w:tc>
          <w:tcPr>
            <w:tcW w:w="533" w:type="dxa"/>
            <w:vAlign w:val="center"/>
          </w:tcPr>
          <w:p w14:paraId="3C3490E3" w14:textId="77777777" w:rsidR="00B946D4" w:rsidRPr="00F7689F" w:rsidRDefault="00B946D4" w:rsidP="00490A8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2</w:t>
            </w:r>
          </w:p>
        </w:tc>
        <w:tc>
          <w:tcPr>
            <w:tcW w:w="2268" w:type="dxa"/>
            <w:vAlign w:val="center"/>
          </w:tcPr>
          <w:p w14:paraId="47A73160" w14:textId="77777777" w:rsidR="00B946D4" w:rsidRPr="00F7689F" w:rsidRDefault="00B946D4" w:rsidP="00C330C1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Latency</w:t>
            </w:r>
          </w:p>
        </w:tc>
        <w:tc>
          <w:tcPr>
            <w:tcW w:w="1022" w:type="dxa"/>
          </w:tcPr>
          <w:p w14:paraId="5F496E51" w14:textId="77777777" w:rsidR="00B946D4" w:rsidRPr="00F7689F" w:rsidRDefault="00B946D4" w:rsidP="00B946D4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741E12B4" w14:textId="075E1882" w:rsidR="00B946D4" w:rsidRPr="00F7689F" w:rsidRDefault="00F36039" w:rsidP="00F36039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Review b</w:t>
            </w:r>
            <w:r w:rsidR="00C675E5" w:rsidRPr="00F7689F">
              <w:rPr>
                <w:rFonts w:cs="Arial"/>
                <w:sz w:val="19"/>
                <w:szCs w:val="19"/>
              </w:rPr>
              <w:t>usiness continuity and service capacity</w:t>
            </w:r>
          </w:p>
        </w:tc>
        <w:tc>
          <w:tcPr>
            <w:tcW w:w="3402" w:type="dxa"/>
            <w:vAlign w:val="center"/>
          </w:tcPr>
          <w:p w14:paraId="40C073A2" w14:textId="69278811" w:rsidR="00B946D4" w:rsidRPr="00F7689F" w:rsidRDefault="00C675E5" w:rsidP="00C675E5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Ensure the project contains elements in its scope to investigate and address any perceived incapacity</w:t>
            </w:r>
          </w:p>
        </w:tc>
      </w:tr>
      <w:tr w:rsidR="0018408E" w:rsidRPr="00390089" w14:paraId="3878606F" w14:textId="77777777" w:rsidTr="00F7689F">
        <w:trPr>
          <w:jc w:val="center"/>
        </w:trPr>
        <w:tc>
          <w:tcPr>
            <w:tcW w:w="533" w:type="dxa"/>
            <w:vAlign w:val="center"/>
          </w:tcPr>
          <w:p w14:paraId="33FABC40" w14:textId="77777777" w:rsidR="0018408E" w:rsidRPr="00F7689F" w:rsidRDefault="0018408E" w:rsidP="0018408E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3</w:t>
            </w:r>
          </w:p>
        </w:tc>
        <w:tc>
          <w:tcPr>
            <w:tcW w:w="2268" w:type="dxa"/>
            <w:vAlign w:val="center"/>
          </w:tcPr>
          <w:p w14:paraId="74375499" w14:textId="3B7D7E32" w:rsidR="0018408E" w:rsidRPr="00F7689F" w:rsidRDefault="0018408E" w:rsidP="00132254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Portability of the data</w:t>
            </w:r>
          </w:p>
        </w:tc>
        <w:tc>
          <w:tcPr>
            <w:tcW w:w="1022" w:type="dxa"/>
          </w:tcPr>
          <w:p w14:paraId="461F9521" w14:textId="77777777" w:rsidR="0018408E" w:rsidRPr="00F7689F" w:rsidRDefault="0018408E" w:rsidP="0018408E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09B56C65" w14:textId="5183FF4F" w:rsidR="0018408E" w:rsidRPr="00F7689F" w:rsidRDefault="00132254" w:rsidP="00BA4D7D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Develop a </w:t>
            </w:r>
            <w:r w:rsidR="00BA4D7D" w:rsidRPr="00F7689F">
              <w:rPr>
                <w:rFonts w:cs="Arial"/>
                <w:sz w:val="19"/>
                <w:szCs w:val="19"/>
              </w:rPr>
              <w:t>c</w:t>
            </w:r>
            <w:r w:rsidR="00BD446B" w:rsidRPr="00F7689F">
              <w:rPr>
                <w:rFonts w:cs="Arial"/>
                <w:sz w:val="19"/>
                <w:szCs w:val="19"/>
              </w:rPr>
              <w:t>loud</w:t>
            </w:r>
            <w:r w:rsidRPr="00F7689F">
              <w:rPr>
                <w:rFonts w:cs="Arial"/>
                <w:sz w:val="19"/>
                <w:szCs w:val="19"/>
              </w:rPr>
              <w:t xml:space="preserve"> data approach</w:t>
            </w:r>
            <w:r w:rsidR="00A173BA" w:rsidRPr="00F7689F">
              <w:rPr>
                <w:rFonts w:cs="Arial"/>
                <w:sz w:val="19"/>
                <w:szCs w:val="19"/>
                <w:u w:val="single"/>
              </w:rPr>
              <w:t xml:space="preserve"> </w:t>
            </w:r>
            <w:r w:rsidR="0018408E" w:rsidRPr="00F7689F">
              <w:rPr>
                <w:rFonts w:cs="Arial"/>
                <w:sz w:val="19"/>
                <w:szCs w:val="19"/>
                <w:u w:val="single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7E9DB62D" w14:textId="539CB405" w:rsidR="0018408E" w:rsidRPr="00F7689F" w:rsidRDefault="00132254" w:rsidP="008A5EB8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C</w:t>
            </w:r>
            <w:r w:rsidR="00AA4795" w:rsidRPr="00F7689F">
              <w:rPr>
                <w:rFonts w:cs="Arial"/>
                <w:sz w:val="19"/>
                <w:szCs w:val="19"/>
              </w:rPr>
              <w:t xml:space="preserve">hoose </w:t>
            </w:r>
            <w:r w:rsidR="00BA4D7D" w:rsidRPr="00F7689F">
              <w:rPr>
                <w:rFonts w:cs="Arial"/>
                <w:sz w:val="19"/>
                <w:szCs w:val="19"/>
              </w:rPr>
              <w:t>c</w:t>
            </w:r>
            <w:r w:rsidR="00BD446B" w:rsidRPr="00F7689F">
              <w:rPr>
                <w:rFonts w:cs="Arial"/>
                <w:sz w:val="19"/>
                <w:szCs w:val="19"/>
              </w:rPr>
              <w:t>loud</w:t>
            </w:r>
            <w:r w:rsidR="00AA4795" w:rsidRPr="00F7689F">
              <w:rPr>
                <w:rFonts w:cs="Arial"/>
                <w:sz w:val="19"/>
                <w:szCs w:val="19"/>
              </w:rPr>
              <w:t xml:space="preserve"> services with multi-</w:t>
            </w:r>
            <w:r w:rsidRPr="00F7689F">
              <w:rPr>
                <w:rFonts w:cs="Arial"/>
                <w:sz w:val="19"/>
                <w:szCs w:val="19"/>
              </w:rPr>
              <w:t>vendor adoption</w:t>
            </w:r>
          </w:p>
          <w:p w14:paraId="170289E1" w14:textId="77777777" w:rsidR="00132254" w:rsidRPr="00F7689F" w:rsidRDefault="00132254" w:rsidP="00132254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181" w:hanging="219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Favour vendors that offer portability and interoperability</w:t>
            </w:r>
          </w:p>
          <w:p w14:paraId="100C0715" w14:textId="187773A9" w:rsidR="00132254" w:rsidRPr="00F7689F" w:rsidRDefault="00132254" w:rsidP="00BA4D7D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181" w:hanging="219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Use an abstraction layer in front of proprietary </w:t>
            </w:r>
            <w:r w:rsidR="00BA4D7D" w:rsidRPr="00F7689F">
              <w:rPr>
                <w:rFonts w:cs="Arial"/>
                <w:sz w:val="19"/>
                <w:szCs w:val="19"/>
              </w:rPr>
              <w:t>c</w:t>
            </w:r>
            <w:r w:rsidR="00BD446B" w:rsidRPr="00F7689F">
              <w:rPr>
                <w:rFonts w:cs="Arial"/>
                <w:sz w:val="19"/>
                <w:szCs w:val="19"/>
              </w:rPr>
              <w:t>loud</w:t>
            </w:r>
            <w:r w:rsidRPr="00F7689F">
              <w:rPr>
                <w:rFonts w:cs="Arial"/>
                <w:sz w:val="19"/>
                <w:szCs w:val="19"/>
              </w:rPr>
              <w:t xml:space="preserve"> services</w:t>
            </w:r>
          </w:p>
        </w:tc>
      </w:tr>
      <w:tr w:rsidR="0018408E" w:rsidRPr="00390089" w14:paraId="77F8F763" w14:textId="77777777" w:rsidTr="00F7689F">
        <w:trPr>
          <w:jc w:val="center"/>
        </w:trPr>
        <w:tc>
          <w:tcPr>
            <w:tcW w:w="533" w:type="dxa"/>
            <w:vAlign w:val="center"/>
          </w:tcPr>
          <w:p w14:paraId="7D1857D0" w14:textId="77777777" w:rsidR="0018408E" w:rsidRPr="00F7689F" w:rsidRDefault="0018408E" w:rsidP="0018408E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4</w:t>
            </w:r>
          </w:p>
        </w:tc>
        <w:tc>
          <w:tcPr>
            <w:tcW w:w="2268" w:type="dxa"/>
            <w:vAlign w:val="center"/>
          </w:tcPr>
          <w:p w14:paraId="2361EE32" w14:textId="53C15887" w:rsidR="0018408E" w:rsidRPr="00F7689F" w:rsidRDefault="0018408E" w:rsidP="00132254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Data privacy</w:t>
            </w:r>
          </w:p>
        </w:tc>
        <w:tc>
          <w:tcPr>
            <w:tcW w:w="1022" w:type="dxa"/>
          </w:tcPr>
          <w:p w14:paraId="1D36ADD9" w14:textId="77777777" w:rsidR="0018408E" w:rsidRPr="00F7689F" w:rsidRDefault="0018408E" w:rsidP="0018408E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74B5AC97" w14:textId="78AB077A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0" w:hanging="210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Understand the value or sensitivity of the data that will be stored or processed by the agency</w:t>
            </w:r>
          </w:p>
          <w:p w14:paraId="7EFBACA8" w14:textId="44CFD89C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0" w:hanging="210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 Develop data security protocols</w:t>
            </w:r>
          </w:p>
        </w:tc>
        <w:tc>
          <w:tcPr>
            <w:tcW w:w="3402" w:type="dxa"/>
            <w:vAlign w:val="center"/>
          </w:tcPr>
          <w:p w14:paraId="7659D4DD" w14:textId="5B2CB866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Classify data</w:t>
            </w:r>
          </w:p>
          <w:p w14:paraId="223E64D0" w14:textId="488EFA45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Implement an Information Security management system</w:t>
            </w:r>
          </w:p>
          <w:p w14:paraId="16EE6E93" w14:textId="7A59D7B1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Review governance and accountability</w:t>
            </w:r>
          </w:p>
          <w:p w14:paraId="181BA797" w14:textId="2DF35BD5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Assess and treat security</w:t>
            </w:r>
          </w:p>
        </w:tc>
      </w:tr>
      <w:tr w:rsidR="0018408E" w:rsidRPr="00390089" w14:paraId="1F2A772D" w14:textId="77777777" w:rsidTr="00F7689F">
        <w:trPr>
          <w:jc w:val="center"/>
        </w:trPr>
        <w:tc>
          <w:tcPr>
            <w:tcW w:w="533" w:type="dxa"/>
            <w:vAlign w:val="center"/>
          </w:tcPr>
          <w:p w14:paraId="25377F43" w14:textId="77777777" w:rsidR="0018408E" w:rsidRPr="00F7689F" w:rsidRDefault="0018408E" w:rsidP="0018408E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5</w:t>
            </w:r>
          </w:p>
        </w:tc>
        <w:tc>
          <w:tcPr>
            <w:tcW w:w="2268" w:type="dxa"/>
            <w:vAlign w:val="center"/>
          </w:tcPr>
          <w:p w14:paraId="46FA6AC4" w14:textId="585F1BFB" w:rsidR="0018408E" w:rsidRPr="00F7689F" w:rsidRDefault="0018408E" w:rsidP="00132254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Data sovereignty</w:t>
            </w:r>
          </w:p>
        </w:tc>
        <w:tc>
          <w:tcPr>
            <w:tcW w:w="1022" w:type="dxa"/>
          </w:tcPr>
          <w:p w14:paraId="14A1B12A" w14:textId="77777777" w:rsidR="0018408E" w:rsidRPr="00F7689F" w:rsidRDefault="0018408E" w:rsidP="0018408E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0FDEC8FB" w14:textId="04FC7E5E" w:rsidR="0018408E" w:rsidRPr="00F7689F" w:rsidRDefault="0018408E" w:rsidP="004B0E32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Review </w:t>
            </w:r>
            <w:r w:rsidR="004B0E32" w:rsidRPr="00F7689F">
              <w:rPr>
                <w:rFonts w:cs="Arial"/>
                <w:sz w:val="19"/>
                <w:szCs w:val="19"/>
              </w:rPr>
              <w:t>the requirements of the State Records Act 2000</w:t>
            </w:r>
          </w:p>
        </w:tc>
        <w:tc>
          <w:tcPr>
            <w:tcW w:w="3402" w:type="dxa"/>
            <w:vAlign w:val="center"/>
          </w:tcPr>
          <w:p w14:paraId="70D10E9C" w14:textId="19A01376" w:rsidR="0018408E" w:rsidRPr="00F7689F" w:rsidRDefault="0018408E" w:rsidP="004B0E32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1" w:hanging="2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Ensure</w:t>
            </w:r>
            <w:r w:rsidR="004B0E32" w:rsidRPr="00F7689F">
              <w:rPr>
                <w:rFonts w:cs="Arial"/>
                <w:sz w:val="19"/>
                <w:szCs w:val="19"/>
              </w:rPr>
              <w:t xml:space="preserve"> the terms and conditions of contracts meet your obligations under the Act.</w:t>
            </w:r>
          </w:p>
        </w:tc>
      </w:tr>
      <w:tr w:rsidR="0018408E" w:rsidRPr="00390089" w14:paraId="30B72D43" w14:textId="77777777" w:rsidTr="00F7689F">
        <w:trPr>
          <w:jc w:val="center"/>
        </w:trPr>
        <w:tc>
          <w:tcPr>
            <w:tcW w:w="533" w:type="dxa"/>
            <w:vAlign w:val="center"/>
          </w:tcPr>
          <w:p w14:paraId="6C3AE59D" w14:textId="75312FB1" w:rsidR="0018408E" w:rsidRPr="00F7689F" w:rsidRDefault="0018408E" w:rsidP="0018408E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6</w:t>
            </w:r>
          </w:p>
        </w:tc>
        <w:tc>
          <w:tcPr>
            <w:tcW w:w="2268" w:type="dxa"/>
            <w:vAlign w:val="center"/>
          </w:tcPr>
          <w:p w14:paraId="2A87A7E8" w14:textId="4E38F843" w:rsidR="0018408E" w:rsidRPr="00F7689F" w:rsidRDefault="0018408E" w:rsidP="0018408E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Data security</w:t>
            </w:r>
          </w:p>
        </w:tc>
        <w:tc>
          <w:tcPr>
            <w:tcW w:w="1022" w:type="dxa"/>
          </w:tcPr>
          <w:p w14:paraId="31412A1A" w14:textId="77777777" w:rsidR="0018408E" w:rsidRPr="00F7689F" w:rsidRDefault="0018408E" w:rsidP="0018408E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2BF8F17A" w14:textId="233FD6C4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172" w:hanging="172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Understand data classification and related security requirements </w:t>
            </w:r>
          </w:p>
        </w:tc>
        <w:tc>
          <w:tcPr>
            <w:tcW w:w="3402" w:type="dxa"/>
            <w:vAlign w:val="center"/>
          </w:tcPr>
          <w:p w14:paraId="08549A7C" w14:textId="602174FE" w:rsidR="0018408E" w:rsidRPr="00F7689F" w:rsidRDefault="0018408E" w:rsidP="0018408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1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Ensure security standards meet ISO27001 – Information Security Standard</w:t>
            </w:r>
          </w:p>
        </w:tc>
      </w:tr>
      <w:tr w:rsidR="00840DA0" w:rsidRPr="00390089" w14:paraId="3BC26DD1" w14:textId="77777777" w:rsidTr="00F7689F">
        <w:trPr>
          <w:jc w:val="center"/>
        </w:trPr>
        <w:tc>
          <w:tcPr>
            <w:tcW w:w="533" w:type="dxa"/>
            <w:vAlign w:val="center"/>
          </w:tcPr>
          <w:p w14:paraId="1CEE518A" w14:textId="77777777" w:rsidR="00840DA0" w:rsidRPr="00F7689F" w:rsidRDefault="00840DA0" w:rsidP="00840DA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7</w:t>
            </w:r>
          </w:p>
        </w:tc>
        <w:tc>
          <w:tcPr>
            <w:tcW w:w="2268" w:type="dxa"/>
            <w:vAlign w:val="center"/>
          </w:tcPr>
          <w:p w14:paraId="0310A2C9" w14:textId="3B6E25E9" w:rsidR="00840DA0" w:rsidRPr="00F7689F" w:rsidRDefault="00840DA0" w:rsidP="00132254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Service performance</w:t>
            </w:r>
          </w:p>
        </w:tc>
        <w:tc>
          <w:tcPr>
            <w:tcW w:w="1022" w:type="dxa"/>
          </w:tcPr>
          <w:p w14:paraId="68052CF1" w14:textId="77777777" w:rsidR="00840DA0" w:rsidRPr="00F7689F" w:rsidRDefault="00840DA0" w:rsidP="00840DA0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3041BABC" w14:textId="404D2AF6" w:rsidR="00840DA0" w:rsidRPr="00F7689F" w:rsidRDefault="00F36039" w:rsidP="00840DA0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172" w:hanging="172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Ensure the project contains elements in its scope to produce and measure service performance and align penalties to organisational risk</w:t>
            </w:r>
          </w:p>
        </w:tc>
        <w:tc>
          <w:tcPr>
            <w:tcW w:w="3402" w:type="dxa"/>
            <w:vAlign w:val="center"/>
          </w:tcPr>
          <w:p w14:paraId="64A57D3D" w14:textId="59D6CC27" w:rsidR="00840DA0" w:rsidRPr="00F7689F" w:rsidRDefault="00F36039" w:rsidP="00840DA0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Ensure service broker agreements address service performance criteria for the agency</w:t>
            </w:r>
          </w:p>
        </w:tc>
      </w:tr>
      <w:tr w:rsidR="00840DA0" w:rsidRPr="00390089" w14:paraId="325318A4" w14:textId="77777777" w:rsidTr="00F7689F">
        <w:trPr>
          <w:jc w:val="center"/>
        </w:trPr>
        <w:tc>
          <w:tcPr>
            <w:tcW w:w="533" w:type="dxa"/>
            <w:vAlign w:val="center"/>
          </w:tcPr>
          <w:p w14:paraId="2CFBD0E8" w14:textId="77777777" w:rsidR="00840DA0" w:rsidRPr="00F7689F" w:rsidRDefault="00840DA0" w:rsidP="00840DA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8</w:t>
            </w:r>
          </w:p>
        </w:tc>
        <w:tc>
          <w:tcPr>
            <w:tcW w:w="2268" w:type="dxa"/>
            <w:vAlign w:val="center"/>
          </w:tcPr>
          <w:p w14:paraId="538A0FEC" w14:textId="77777777" w:rsidR="00840DA0" w:rsidRPr="00F7689F" w:rsidRDefault="00840DA0" w:rsidP="00840DA0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Service downtime</w:t>
            </w:r>
          </w:p>
        </w:tc>
        <w:tc>
          <w:tcPr>
            <w:tcW w:w="1022" w:type="dxa"/>
          </w:tcPr>
          <w:p w14:paraId="17061C5C" w14:textId="77777777" w:rsidR="00840DA0" w:rsidRPr="00F7689F" w:rsidRDefault="00840DA0" w:rsidP="00840DA0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7291C10D" w14:textId="5753B68F" w:rsidR="00840DA0" w:rsidRPr="00F7689F" w:rsidRDefault="00D222EF" w:rsidP="00840DA0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Plan appropriate measures for acceptable downtime and penalties</w:t>
            </w:r>
          </w:p>
        </w:tc>
        <w:tc>
          <w:tcPr>
            <w:tcW w:w="3402" w:type="dxa"/>
            <w:vAlign w:val="center"/>
          </w:tcPr>
          <w:p w14:paraId="5CA7F446" w14:textId="24AF5EFB" w:rsidR="00840DA0" w:rsidRPr="00F7689F" w:rsidRDefault="00D222EF" w:rsidP="00AA4795">
            <w:pPr>
              <w:keepLines/>
              <w:numPr>
                <w:ilvl w:val="0"/>
                <w:numId w:val="7"/>
              </w:numPr>
              <w:tabs>
                <w:tab w:val="num" w:pos="281"/>
              </w:tabs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Build a </w:t>
            </w:r>
            <w:r w:rsidR="00AA4795" w:rsidRPr="00F7689F">
              <w:rPr>
                <w:rFonts w:cs="Arial"/>
                <w:sz w:val="19"/>
                <w:szCs w:val="19"/>
              </w:rPr>
              <w:t>Disaster Recovery</w:t>
            </w:r>
            <w:r w:rsidRPr="00F7689F">
              <w:rPr>
                <w:rFonts w:cs="Arial"/>
                <w:sz w:val="19"/>
                <w:szCs w:val="19"/>
              </w:rPr>
              <w:t xml:space="preserve"> Plan </w:t>
            </w:r>
            <w:r w:rsidR="00AA4795" w:rsidRPr="00F7689F">
              <w:rPr>
                <w:rFonts w:cs="Arial"/>
                <w:sz w:val="19"/>
                <w:szCs w:val="19"/>
              </w:rPr>
              <w:t>for business continuity</w:t>
            </w:r>
          </w:p>
        </w:tc>
      </w:tr>
      <w:tr w:rsidR="00840DA0" w:rsidRPr="00390089" w14:paraId="00B4DE89" w14:textId="77777777" w:rsidTr="00F7689F">
        <w:trPr>
          <w:jc w:val="center"/>
        </w:trPr>
        <w:tc>
          <w:tcPr>
            <w:tcW w:w="533" w:type="dxa"/>
            <w:vAlign w:val="center"/>
          </w:tcPr>
          <w:p w14:paraId="38E5250B" w14:textId="77777777" w:rsidR="00840DA0" w:rsidRPr="00F7689F" w:rsidRDefault="00840DA0" w:rsidP="00840DA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9</w:t>
            </w:r>
          </w:p>
        </w:tc>
        <w:tc>
          <w:tcPr>
            <w:tcW w:w="2268" w:type="dxa"/>
            <w:vAlign w:val="center"/>
          </w:tcPr>
          <w:p w14:paraId="08D3DB70" w14:textId="7A765993" w:rsidR="00840DA0" w:rsidRPr="00F7689F" w:rsidRDefault="00840DA0" w:rsidP="00B34F98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C</w:t>
            </w:r>
            <w:r w:rsidR="00B34F98" w:rsidRPr="00F7689F">
              <w:rPr>
                <w:rFonts w:cs="Arial"/>
                <w:sz w:val="19"/>
                <w:szCs w:val="19"/>
              </w:rPr>
              <w:t>ost of the service</w:t>
            </w:r>
          </w:p>
        </w:tc>
        <w:tc>
          <w:tcPr>
            <w:tcW w:w="1022" w:type="dxa"/>
          </w:tcPr>
          <w:p w14:paraId="5C52555D" w14:textId="77777777" w:rsidR="00840DA0" w:rsidRPr="00F7689F" w:rsidRDefault="00840DA0" w:rsidP="00840DA0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4295FDAD" w14:textId="5472AC09" w:rsidR="00840DA0" w:rsidRPr="00F7689F" w:rsidRDefault="00840DA0" w:rsidP="00BA4D7D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0" w:hanging="210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Review current expenditure vs </w:t>
            </w:r>
            <w:r w:rsidR="00BA4D7D" w:rsidRPr="00F7689F">
              <w:rPr>
                <w:rFonts w:cs="Arial"/>
                <w:sz w:val="19"/>
                <w:szCs w:val="19"/>
              </w:rPr>
              <w:t>c</w:t>
            </w:r>
            <w:r w:rsidR="00BD446B" w:rsidRPr="00F7689F">
              <w:rPr>
                <w:rFonts w:cs="Arial"/>
                <w:sz w:val="19"/>
                <w:szCs w:val="19"/>
              </w:rPr>
              <w:t>loud</w:t>
            </w:r>
            <w:r w:rsidRPr="00F7689F">
              <w:rPr>
                <w:rFonts w:cs="Arial"/>
                <w:sz w:val="19"/>
                <w:szCs w:val="19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0F31B336" w14:textId="516FF4AA" w:rsidR="00840DA0" w:rsidRPr="00F7689F" w:rsidRDefault="00840DA0" w:rsidP="00106B0E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Conduct a TCO – see Factsheet </w:t>
            </w:r>
            <w:r w:rsidR="00106B0E" w:rsidRPr="00F7689F">
              <w:rPr>
                <w:rFonts w:cs="Arial"/>
                <w:sz w:val="19"/>
                <w:szCs w:val="19"/>
              </w:rPr>
              <w:t>‘Conduct a total cost of operation comparison’</w:t>
            </w:r>
          </w:p>
        </w:tc>
      </w:tr>
      <w:tr w:rsidR="00840DA0" w:rsidRPr="00390089" w14:paraId="0DC0C0F8" w14:textId="77777777" w:rsidTr="00F7689F">
        <w:trPr>
          <w:jc w:val="center"/>
        </w:trPr>
        <w:tc>
          <w:tcPr>
            <w:tcW w:w="533" w:type="dxa"/>
            <w:vAlign w:val="center"/>
          </w:tcPr>
          <w:p w14:paraId="35C9DEEC" w14:textId="77777777" w:rsidR="00840DA0" w:rsidRPr="00F7689F" w:rsidRDefault="00840DA0" w:rsidP="00840DA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10</w:t>
            </w:r>
          </w:p>
        </w:tc>
        <w:tc>
          <w:tcPr>
            <w:tcW w:w="2268" w:type="dxa"/>
            <w:vAlign w:val="center"/>
          </w:tcPr>
          <w:p w14:paraId="1C79E392" w14:textId="77777777" w:rsidR="00840DA0" w:rsidRPr="00F7689F" w:rsidRDefault="00840DA0" w:rsidP="00840DA0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Legislative environment</w:t>
            </w:r>
          </w:p>
        </w:tc>
        <w:tc>
          <w:tcPr>
            <w:tcW w:w="1022" w:type="dxa"/>
          </w:tcPr>
          <w:p w14:paraId="208E319B" w14:textId="77777777" w:rsidR="00840DA0" w:rsidRPr="00F7689F" w:rsidRDefault="00840DA0" w:rsidP="00840DA0">
            <w:pPr>
              <w:keepLines/>
              <w:suppressAutoHyphens/>
              <w:spacing w:before="60" w:after="60" w:line="240" w:lineRule="auto"/>
              <w:rPr>
                <w:rFonts w:cs="Arial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0B1C2332" w14:textId="5DA1BAF5" w:rsidR="00840DA0" w:rsidRPr="00F7689F" w:rsidRDefault="00840DA0" w:rsidP="00840DA0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0" w:hanging="210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Review legislative requirements including polices and Premiers Circulars</w:t>
            </w:r>
          </w:p>
        </w:tc>
        <w:tc>
          <w:tcPr>
            <w:tcW w:w="3402" w:type="dxa"/>
            <w:vAlign w:val="center"/>
          </w:tcPr>
          <w:p w14:paraId="517EEFC2" w14:textId="1EF99AC1" w:rsidR="00840DA0" w:rsidRPr="00F7689F" w:rsidRDefault="00840DA0" w:rsidP="00840DA0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Ensure internal policies are up to date and reflect the legislative requirements </w:t>
            </w:r>
          </w:p>
        </w:tc>
      </w:tr>
      <w:tr w:rsidR="00840DA0" w:rsidRPr="00390089" w14:paraId="23F7EA6D" w14:textId="77777777" w:rsidTr="00F7689F">
        <w:trPr>
          <w:jc w:val="center"/>
        </w:trPr>
        <w:tc>
          <w:tcPr>
            <w:tcW w:w="533" w:type="dxa"/>
            <w:vAlign w:val="center"/>
          </w:tcPr>
          <w:p w14:paraId="36B79541" w14:textId="77777777" w:rsidR="00840DA0" w:rsidRPr="00F7689F" w:rsidRDefault="00840DA0" w:rsidP="00840DA0">
            <w:pPr>
              <w:pStyle w:val="bodytable"/>
              <w:jc w:val="center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11</w:t>
            </w:r>
          </w:p>
        </w:tc>
        <w:tc>
          <w:tcPr>
            <w:tcW w:w="2268" w:type="dxa"/>
            <w:vAlign w:val="center"/>
          </w:tcPr>
          <w:p w14:paraId="3BE5AA11" w14:textId="77777777" w:rsidR="00840DA0" w:rsidRPr="00F7689F" w:rsidRDefault="00840DA0" w:rsidP="00840DA0">
            <w:pPr>
              <w:tabs>
                <w:tab w:val="left" w:pos="1230"/>
              </w:tabs>
              <w:ind w:left="-11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Lack support from the business unit</w:t>
            </w:r>
          </w:p>
        </w:tc>
        <w:tc>
          <w:tcPr>
            <w:tcW w:w="1022" w:type="dxa"/>
          </w:tcPr>
          <w:p w14:paraId="687EDCED" w14:textId="77777777" w:rsidR="00840DA0" w:rsidRPr="00F7689F" w:rsidRDefault="00840DA0" w:rsidP="00840DA0">
            <w:pPr>
              <w:keepLines/>
              <w:suppressAutoHyphens/>
              <w:spacing w:before="60" w:after="60" w:line="240" w:lineRule="auto"/>
              <w:rPr>
                <w:rFonts w:cs="Arial"/>
                <w:color w:val="0070C0"/>
                <w:sz w:val="19"/>
                <w:szCs w:val="19"/>
              </w:rPr>
            </w:pPr>
          </w:p>
        </w:tc>
        <w:tc>
          <w:tcPr>
            <w:tcW w:w="3123" w:type="dxa"/>
            <w:vAlign w:val="center"/>
          </w:tcPr>
          <w:p w14:paraId="74BA24A4" w14:textId="0A11D0AB" w:rsidR="00840DA0" w:rsidRPr="00F7689F" w:rsidRDefault="00840DA0" w:rsidP="00840DA0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0" w:hanging="210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Senior Management to provide visible commitment to the approach.</w:t>
            </w:r>
          </w:p>
        </w:tc>
        <w:tc>
          <w:tcPr>
            <w:tcW w:w="3402" w:type="dxa"/>
            <w:vAlign w:val="center"/>
          </w:tcPr>
          <w:p w14:paraId="241C98F2" w14:textId="54638744" w:rsidR="00840DA0" w:rsidRPr="00F7689F" w:rsidRDefault="00840DA0" w:rsidP="00840DA0">
            <w:pPr>
              <w:keepLines/>
              <w:numPr>
                <w:ilvl w:val="0"/>
                <w:numId w:val="7"/>
              </w:numPr>
              <w:suppressAutoHyphens/>
              <w:spacing w:before="60" w:after="60" w:line="240" w:lineRule="auto"/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 xml:space="preserve">Ensure adequate education, awareness and understanding of </w:t>
            </w:r>
            <w:r w:rsidR="00BA4D7D" w:rsidRPr="00F7689F">
              <w:rPr>
                <w:rFonts w:cs="Arial"/>
                <w:sz w:val="19"/>
                <w:szCs w:val="19"/>
              </w:rPr>
              <w:t>c</w:t>
            </w:r>
            <w:r w:rsidR="00BD446B" w:rsidRPr="00F7689F">
              <w:rPr>
                <w:rFonts w:cs="Arial"/>
                <w:sz w:val="19"/>
                <w:szCs w:val="19"/>
              </w:rPr>
              <w:t>loud</w:t>
            </w:r>
            <w:r w:rsidRPr="00F7689F">
              <w:rPr>
                <w:rFonts w:cs="Arial"/>
                <w:sz w:val="19"/>
                <w:szCs w:val="19"/>
              </w:rPr>
              <w:t xml:space="preserve"> migration risk management and its application to the agency’s business environment.</w:t>
            </w:r>
          </w:p>
          <w:p w14:paraId="78244F02" w14:textId="77777777" w:rsidR="00840DA0" w:rsidRPr="00F7689F" w:rsidRDefault="00840DA0" w:rsidP="00840DA0">
            <w:pPr>
              <w:pStyle w:val="ListParagraph"/>
              <w:numPr>
                <w:ilvl w:val="0"/>
                <w:numId w:val="7"/>
              </w:numPr>
              <w:ind w:left="218" w:hanging="218"/>
              <w:rPr>
                <w:rFonts w:cs="Arial"/>
                <w:sz w:val="19"/>
                <w:szCs w:val="19"/>
              </w:rPr>
            </w:pPr>
            <w:r w:rsidRPr="00F7689F">
              <w:rPr>
                <w:rFonts w:cs="Arial"/>
                <w:sz w:val="19"/>
                <w:szCs w:val="19"/>
              </w:rPr>
              <w:t>Seek senior management intervention</w:t>
            </w:r>
          </w:p>
        </w:tc>
      </w:tr>
    </w:tbl>
    <w:p w14:paraId="64A6CE0B" w14:textId="12817F45" w:rsidR="00A7750F" w:rsidRDefault="00A7750F" w:rsidP="00026659">
      <w:pPr>
        <w:tabs>
          <w:tab w:val="left" w:pos="1230"/>
        </w:tabs>
        <w:rPr>
          <w:sz w:val="23"/>
          <w:szCs w:val="23"/>
        </w:rPr>
      </w:pPr>
    </w:p>
    <w:p w14:paraId="0CFC2C59" w14:textId="413E013D" w:rsidR="00DD78DB" w:rsidRDefault="00DD78DB" w:rsidP="00026659">
      <w:pPr>
        <w:tabs>
          <w:tab w:val="left" w:pos="1230"/>
        </w:tabs>
        <w:rPr>
          <w:sz w:val="23"/>
          <w:szCs w:val="23"/>
        </w:rPr>
      </w:pPr>
    </w:p>
    <w:p w14:paraId="02C24FC4" w14:textId="4409A0B2" w:rsidR="00DD78DB" w:rsidRDefault="00DD78DB" w:rsidP="00026659">
      <w:pPr>
        <w:tabs>
          <w:tab w:val="left" w:pos="1230"/>
        </w:tabs>
        <w:rPr>
          <w:sz w:val="23"/>
          <w:szCs w:val="23"/>
        </w:rPr>
      </w:pPr>
    </w:p>
    <w:p w14:paraId="4071C972" w14:textId="3AC9AE68" w:rsidR="0088207C" w:rsidRDefault="0088207C" w:rsidP="00F7689F">
      <w:pPr>
        <w:pStyle w:val="Heading2"/>
      </w:pPr>
      <w:r>
        <w:t>Table 2</w:t>
      </w:r>
      <w:r w:rsidRPr="00D3294A">
        <w:t xml:space="preserve">.  </w:t>
      </w:r>
      <w:r w:rsidR="00E80608">
        <w:t>Examples of</w:t>
      </w:r>
      <w:r w:rsidR="00EE7E5B">
        <w:t xml:space="preserve"> other</w:t>
      </w:r>
      <w:r w:rsidR="00E80608">
        <w:t xml:space="preserve"> </w:t>
      </w:r>
      <w:r w:rsidR="00B90D15">
        <w:t>r</w:t>
      </w:r>
      <w:r w:rsidR="00122FDC">
        <w:t>isks</w:t>
      </w:r>
      <w:r w:rsidR="006E206E">
        <w:t xml:space="preserve"> associated with offshoring</w:t>
      </w:r>
      <w:r>
        <w:t xml:space="preserve">. </w:t>
      </w:r>
    </w:p>
    <w:p w14:paraId="697AE037" w14:textId="77777777" w:rsidR="00D41F01" w:rsidRPr="00F7689F" w:rsidRDefault="00D41F01" w:rsidP="00F7689F">
      <w:pPr>
        <w:rPr>
          <w:b/>
          <w:lang w:eastAsia="en-AU"/>
        </w:rPr>
      </w:pPr>
      <w:r w:rsidRPr="00F7689F">
        <w:rPr>
          <w:b/>
          <w:lang w:eastAsia="en-AU"/>
        </w:rPr>
        <w:t xml:space="preserve">Protection of Information </w:t>
      </w:r>
    </w:p>
    <w:p w14:paraId="6634A937" w14:textId="3256E9A7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 xml:space="preserve">Privacy </w:t>
      </w:r>
    </w:p>
    <w:p w14:paraId="4B4E6B35" w14:textId="38735A49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Security</w:t>
      </w:r>
    </w:p>
    <w:p w14:paraId="3C5B6A00" w14:textId="0195236D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Confidentiality</w:t>
      </w:r>
    </w:p>
    <w:p w14:paraId="517CB595" w14:textId="64013011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Records management requirements</w:t>
      </w:r>
    </w:p>
    <w:p w14:paraId="1C9DDAF6" w14:textId="079A693E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Ownership of records</w:t>
      </w:r>
    </w:p>
    <w:p w14:paraId="49C42A31" w14:textId="7B853BA8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Custody of records</w:t>
      </w:r>
    </w:p>
    <w:p w14:paraId="414E980A" w14:textId="5022959F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Retrieval of records</w:t>
      </w:r>
    </w:p>
    <w:p w14:paraId="59D2D5B8" w14:textId="5DD37BDA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Disposal of records</w:t>
      </w:r>
    </w:p>
    <w:p w14:paraId="15433217" w14:textId="7AF26333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Auditing</w:t>
      </w:r>
    </w:p>
    <w:p w14:paraId="2EE2A3AE" w14:textId="2A4F98AA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Compensation for data loss/misuse</w:t>
      </w:r>
    </w:p>
    <w:p w14:paraId="4AA06934" w14:textId="30DF13C5" w:rsidR="00D41F01" w:rsidRPr="00F7689F" w:rsidRDefault="00D41F01" w:rsidP="00D41F01">
      <w:pPr>
        <w:pStyle w:val="ListParagraph"/>
        <w:numPr>
          <w:ilvl w:val="0"/>
          <w:numId w:val="20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Appropriate approvals</w:t>
      </w:r>
    </w:p>
    <w:p w14:paraId="617C2119" w14:textId="5077E5BA" w:rsidR="00D41F01" w:rsidRPr="00F7689F" w:rsidRDefault="00D41F01" w:rsidP="00D41F01">
      <w:pPr>
        <w:tabs>
          <w:tab w:val="left" w:pos="1230"/>
        </w:tabs>
        <w:spacing w:after="0"/>
        <w:rPr>
          <w:b/>
          <w:szCs w:val="23"/>
        </w:rPr>
      </w:pPr>
      <w:r w:rsidRPr="00F7689F">
        <w:rPr>
          <w:b/>
          <w:szCs w:val="23"/>
        </w:rPr>
        <w:t xml:space="preserve">Liability </w:t>
      </w:r>
    </w:p>
    <w:p w14:paraId="22B4F307" w14:textId="5D4C6076" w:rsidR="00D41F01" w:rsidRPr="00F7689F" w:rsidRDefault="00D41F01" w:rsidP="00D41F01">
      <w:pPr>
        <w:pStyle w:val="ListParagraph"/>
        <w:numPr>
          <w:ilvl w:val="0"/>
          <w:numId w:val="21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Limitations on liability</w:t>
      </w:r>
    </w:p>
    <w:p w14:paraId="561D81A8" w14:textId="2BF83345" w:rsidR="00D41F01" w:rsidRPr="00F7689F" w:rsidRDefault="00D41F01" w:rsidP="00D41F01">
      <w:pPr>
        <w:pStyle w:val="ListParagraph"/>
        <w:numPr>
          <w:ilvl w:val="0"/>
          <w:numId w:val="21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Indemnity</w:t>
      </w:r>
    </w:p>
    <w:p w14:paraId="6BD39DAE" w14:textId="05C16C28" w:rsidR="00D41F01" w:rsidRPr="00F7689F" w:rsidRDefault="00D41F01" w:rsidP="00D41F01">
      <w:pPr>
        <w:tabs>
          <w:tab w:val="left" w:pos="1230"/>
        </w:tabs>
        <w:spacing w:after="0"/>
        <w:rPr>
          <w:b/>
          <w:szCs w:val="23"/>
        </w:rPr>
      </w:pPr>
      <w:r w:rsidRPr="00F7689F">
        <w:rPr>
          <w:b/>
          <w:szCs w:val="23"/>
        </w:rPr>
        <w:t>Performance Management</w:t>
      </w:r>
    </w:p>
    <w:p w14:paraId="685EDB93" w14:textId="59393315" w:rsidR="00D41F01" w:rsidRPr="00F7689F" w:rsidRDefault="00D41F01" w:rsidP="00D41F01">
      <w:pPr>
        <w:pStyle w:val="ListParagraph"/>
        <w:numPr>
          <w:ilvl w:val="0"/>
          <w:numId w:val="22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Service levels</w:t>
      </w:r>
    </w:p>
    <w:p w14:paraId="02698FEA" w14:textId="5FD3E7A1" w:rsidR="00D41F01" w:rsidRPr="00F7689F" w:rsidRDefault="00D41F01" w:rsidP="00D41F01">
      <w:pPr>
        <w:pStyle w:val="ListParagraph"/>
        <w:numPr>
          <w:ilvl w:val="0"/>
          <w:numId w:val="22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Response times</w:t>
      </w:r>
    </w:p>
    <w:p w14:paraId="5F69FA61" w14:textId="5C335704" w:rsidR="00D41F01" w:rsidRPr="00F7689F" w:rsidRDefault="00D41F01" w:rsidP="00D41F01">
      <w:pPr>
        <w:pStyle w:val="ListParagraph"/>
        <w:numPr>
          <w:ilvl w:val="0"/>
          <w:numId w:val="22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Flexibility of service</w:t>
      </w:r>
    </w:p>
    <w:p w14:paraId="389E29CB" w14:textId="0F49BF24" w:rsidR="00D41F01" w:rsidRPr="00F7689F" w:rsidRDefault="00D41F01" w:rsidP="00D41F01">
      <w:pPr>
        <w:pStyle w:val="ListParagraph"/>
        <w:numPr>
          <w:ilvl w:val="0"/>
          <w:numId w:val="22"/>
        </w:numPr>
        <w:tabs>
          <w:tab w:val="left" w:pos="1230"/>
        </w:tabs>
        <w:spacing w:after="240"/>
        <w:rPr>
          <w:b/>
          <w:szCs w:val="23"/>
        </w:rPr>
      </w:pPr>
      <w:r w:rsidRPr="00F7689F">
        <w:rPr>
          <w:szCs w:val="23"/>
        </w:rPr>
        <w:t>Business continuity and disaster recovery</w:t>
      </w:r>
    </w:p>
    <w:p w14:paraId="1B367197" w14:textId="772C7E22" w:rsidR="00D41F01" w:rsidRPr="00F7689F" w:rsidRDefault="00D41F01" w:rsidP="00D41F01">
      <w:pPr>
        <w:tabs>
          <w:tab w:val="left" w:pos="1230"/>
        </w:tabs>
        <w:spacing w:after="240"/>
        <w:rPr>
          <w:b/>
          <w:szCs w:val="23"/>
        </w:rPr>
      </w:pPr>
      <w:r w:rsidRPr="00F7689F">
        <w:rPr>
          <w:b/>
          <w:szCs w:val="23"/>
        </w:rPr>
        <w:t>Ending the contract/exit strategy</w:t>
      </w:r>
    </w:p>
    <w:p w14:paraId="00EFCDC6" w14:textId="2E3E6FF2" w:rsidR="00D41F01" w:rsidRPr="00F7689F" w:rsidRDefault="00D41F01" w:rsidP="00D41F01">
      <w:pPr>
        <w:pStyle w:val="ListParagraph"/>
        <w:numPr>
          <w:ilvl w:val="0"/>
          <w:numId w:val="23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Early termination fees</w:t>
      </w:r>
    </w:p>
    <w:p w14:paraId="2C595029" w14:textId="6E4DFE16" w:rsidR="00D41F01" w:rsidRPr="00F7689F" w:rsidRDefault="00D41F01" w:rsidP="00D41F01">
      <w:pPr>
        <w:pStyle w:val="ListParagraph"/>
        <w:numPr>
          <w:ilvl w:val="0"/>
          <w:numId w:val="23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Termination for default</w:t>
      </w:r>
    </w:p>
    <w:p w14:paraId="411983A9" w14:textId="4F14C8B4" w:rsidR="00D41F01" w:rsidRPr="00F7689F" w:rsidRDefault="00D41F01" w:rsidP="00D41F01">
      <w:pPr>
        <w:pStyle w:val="ListParagraph"/>
        <w:numPr>
          <w:ilvl w:val="0"/>
          <w:numId w:val="23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Provider’s right to terminate</w:t>
      </w:r>
    </w:p>
    <w:p w14:paraId="6B647B87" w14:textId="7D19BED1" w:rsidR="00D41F01" w:rsidRPr="00F7689F" w:rsidRDefault="00D41F01" w:rsidP="00D41F01">
      <w:pPr>
        <w:pStyle w:val="ListParagraph"/>
        <w:numPr>
          <w:ilvl w:val="0"/>
          <w:numId w:val="23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Legal advice on termination</w:t>
      </w:r>
    </w:p>
    <w:p w14:paraId="5FBA52CE" w14:textId="2C17278F" w:rsidR="00D41F01" w:rsidRPr="00F7689F" w:rsidRDefault="00D41F01" w:rsidP="00D41F01">
      <w:pPr>
        <w:pStyle w:val="ListParagraph"/>
        <w:numPr>
          <w:ilvl w:val="0"/>
          <w:numId w:val="23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Disengagement/transition of services</w:t>
      </w:r>
    </w:p>
    <w:p w14:paraId="0F55635B" w14:textId="2E4405F4" w:rsidR="00D41F01" w:rsidRPr="00F7689F" w:rsidRDefault="00D41F01" w:rsidP="00D41F01">
      <w:pPr>
        <w:tabs>
          <w:tab w:val="left" w:pos="1230"/>
        </w:tabs>
        <w:spacing w:after="240"/>
        <w:rPr>
          <w:b/>
          <w:szCs w:val="23"/>
        </w:rPr>
      </w:pPr>
      <w:r w:rsidRPr="00F7689F">
        <w:rPr>
          <w:b/>
          <w:szCs w:val="23"/>
        </w:rPr>
        <w:t>Other risks</w:t>
      </w:r>
    </w:p>
    <w:p w14:paraId="02A53796" w14:textId="1CAB771D" w:rsidR="00D41F01" w:rsidRPr="00F7689F" w:rsidRDefault="00D41F01" w:rsidP="00D41F01">
      <w:pPr>
        <w:pStyle w:val="ListParagraph"/>
        <w:numPr>
          <w:ilvl w:val="0"/>
          <w:numId w:val="24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Change of contract party</w:t>
      </w:r>
    </w:p>
    <w:p w14:paraId="79054A01" w14:textId="704AE94D" w:rsidR="00D41F01" w:rsidRPr="00F7689F" w:rsidRDefault="00D41F01" w:rsidP="00D41F01">
      <w:pPr>
        <w:pStyle w:val="ListParagraph"/>
        <w:numPr>
          <w:ilvl w:val="0"/>
          <w:numId w:val="24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Application of foreign laws</w:t>
      </w:r>
    </w:p>
    <w:p w14:paraId="04E531F4" w14:textId="1E88ABB5" w:rsidR="00D41F01" w:rsidRPr="00F7689F" w:rsidRDefault="00D41F01" w:rsidP="00D41F01">
      <w:pPr>
        <w:pStyle w:val="ListParagraph"/>
        <w:numPr>
          <w:ilvl w:val="0"/>
          <w:numId w:val="24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Intellectual property ownership</w:t>
      </w:r>
    </w:p>
    <w:p w14:paraId="7C30015D" w14:textId="46EE6477" w:rsidR="00D41F01" w:rsidRPr="00F7689F" w:rsidRDefault="00D41F01" w:rsidP="00D41F01">
      <w:pPr>
        <w:tabs>
          <w:tab w:val="left" w:pos="1230"/>
        </w:tabs>
        <w:spacing w:after="240"/>
        <w:rPr>
          <w:b/>
          <w:szCs w:val="23"/>
        </w:rPr>
      </w:pPr>
      <w:r w:rsidRPr="00F7689F">
        <w:rPr>
          <w:b/>
          <w:szCs w:val="23"/>
        </w:rPr>
        <w:t>Managing the contract</w:t>
      </w:r>
    </w:p>
    <w:p w14:paraId="440D29E2" w14:textId="31AD28CF" w:rsidR="00D41F01" w:rsidRPr="00F7689F" w:rsidRDefault="00D41F01" w:rsidP="00D41F01">
      <w:pPr>
        <w:pStyle w:val="ListParagraph"/>
        <w:numPr>
          <w:ilvl w:val="0"/>
          <w:numId w:val="25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Understanding the contract terms</w:t>
      </w:r>
    </w:p>
    <w:p w14:paraId="5B0363F7" w14:textId="7C4F38AC" w:rsidR="00D41F01" w:rsidRPr="00F7689F" w:rsidRDefault="00D41F01" w:rsidP="00D41F01">
      <w:pPr>
        <w:pStyle w:val="ListParagraph"/>
        <w:numPr>
          <w:ilvl w:val="0"/>
          <w:numId w:val="25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Enforcing the terms of the contract</w:t>
      </w:r>
    </w:p>
    <w:p w14:paraId="063E0810" w14:textId="31917FE2" w:rsidR="00D41F01" w:rsidRPr="00F7689F" w:rsidRDefault="00D41F01" w:rsidP="00D41F01">
      <w:pPr>
        <w:pStyle w:val="ListParagraph"/>
        <w:numPr>
          <w:ilvl w:val="0"/>
          <w:numId w:val="25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Auditing the provider</w:t>
      </w:r>
    </w:p>
    <w:p w14:paraId="35E3DDDD" w14:textId="6767FC62" w:rsidR="00D41F01" w:rsidRPr="00F7689F" w:rsidRDefault="00D41F01" w:rsidP="00D41F01">
      <w:pPr>
        <w:pStyle w:val="ListParagraph"/>
        <w:numPr>
          <w:ilvl w:val="0"/>
          <w:numId w:val="25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Maintaining a relationship with the provider</w:t>
      </w:r>
    </w:p>
    <w:p w14:paraId="1B4A31D7" w14:textId="529F23D5" w:rsidR="00D41F01" w:rsidRPr="00F7689F" w:rsidRDefault="00D41F01" w:rsidP="00D41F01">
      <w:pPr>
        <w:pStyle w:val="ListParagraph"/>
        <w:numPr>
          <w:ilvl w:val="0"/>
          <w:numId w:val="25"/>
        </w:numPr>
        <w:tabs>
          <w:tab w:val="left" w:pos="1230"/>
        </w:tabs>
        <w:spacing w:after="240"/>
        <w:rPr>
          <w:szCs w:val="23"/>
        </w:rPr>
      </w:pPr>
      <w:r w:rsidRPr="00F7689F">
        <w:rPr>
          <w:szCs w:val="23"/>
        </w:rPr>
        <w:t>Awareness of contractual rights and obligations</w:t>
      </w:r>
    </w:p>
    <w:p w14:paraId="4066B68A" w14:textId="0483DDB0" w:rsidR="00CA73D0" w:rsidRPr="00D41F01" w:rsidRDefault="00D41F01" w:rsidP="00026659">
      <w:pPr>
        <w:pStyle w:val="ListParagraph"/>
        <w:numPr>
          <w:ilvl w:val="0"/>
          <w:numId w:val="25"/>
        </w:numPr>
        <w:tabs>
          <w:tab w:val="left" w:pos="1230"/>
        </w:tabs>
        <w:spacing w:after="240"/>
        <w:rPr>
          <w:sz w:val="23"/>
          <w:szCs w:val="23"/>
        </w:rPr>
      </w:pPr>
      <w:r w:rsidRPr="00F7689F">
        <w:rPr>
          <w:szCs w:val="23"/>
        </w:rPr>
        <w:t>Seeking legal advice if necessary</w:t>
      </w:r>
    </w:p>
    <w:sectPr w:rsidR="00CA73D0" w:rsidRPr="00D41F01" w:rsidSect="00537627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E984C" w14:textId="77777777" w:rsidR="00C35EA1" w:rsidRDefault="00C35EA1" w:rsidP="00EF0A64">
      <w:pPr>
        <w:spacing w:after="0" w:line="240" w:lineRule="auto"/>
      </w:pPr>
      <w:r>
        <w:separator/>
      </w:r>
    </w:p>
  </w:endnote>
  <w:endnote w:type="continuationSeparator" w:id="0">
    <w:p w14:paraId="6AACB6DA" w14:textId="77777777" w:rsidR="00C35EA1" w:rsidRDefault="00C35EA1" w:rsidP="00EF0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94651" w14:textId="77777777" w:rsidR="00C35EA1" w:rsidRDefault="00C35EA1" w:rsidP="00EF0A64">
      <w:pPr>
        <w:spacing w:after="0" w:line="240" w:lineRule="auto"/>
      </w:pPr>
      <w:r>
        <w:separator/>
      </w:r>
    </w:p>
  </w:footnote>
  <w:footnote w:type="continuationSeparator" w:id="0">
    <w:p w14:paraId="21AEB19E" w14:textId="77777777" w:rsidR="00C35EA1" w:rsidRDefault="00C35EA1" w:rsidP="00EF0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46FC3" w14:textId="31C60789" w:rsidR="000D7BB5" w:rsidRDefault="004E1888">
    <w:pPr>
      <w:pStyle w:val="Header"/>
    </w:pPr>
    <w:r>
      <w:rPr>
        <w:noProof/>
        <w:lang w:eastAsia="en-AU"/>
      </w:rPr>
      <w:drawing>
        <wp:inline distT="0" distB="0" distL="0" distR="0" wp14:anchorId="79133DEE" wp14:editId="42F18ABF">
          <wp:extent cx="2638425" cy="458857"/>
          <wp:effectExtent l="0" t="0" r="0" b="0"/>
          <wp:docPr id="5" name="Picture 5" descr="Office of digital government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ck logo_368x6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003" cy="469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4115"/>
    <w:multiLevelType w:val="hybridMultilevel"/>
    <w:tmpl w:val="7DA82CB6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A4F12"/>
    <w:multiLevelType w:val="hybridMultilevel"/>
    <w:tmpl w:val="3FF88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780"/>
    <w:multiLevelType w:val="hybridMultilevel"/>
    <w:tmpl w:val="E6026B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E3713"/>
    <w:multiLevelType w:val="hybridMultilevel"/>
    <w:tmpl w:val="2A766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F20FD"/>
    <w:multiLevelType w:val="hybridMultilevel"/>
    <w:tmpl w:val="77D218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B21E8"/>
    <w:multiLevelType w:val="hybridMultilevel"/>
    <w:tmpl w:val="ED522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F72A53"/>
    <w:multiLevelType w:val="hybridMultilevel"/>
    <w:tmpl w:val="3BBAD6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06452"/>
    <w:multiLevelType w:val="hybridMultilevel"/>
    <w:tmpl w:val="203E508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1A03E9"/>
    <w:multiLevelType w:val="hybridMultilevel"/>
    <w:tmpl w:val="449434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80518E"/>
    <w:multiLevelType w:val="hybridMultilevel"/>
    <w:tmpl w:val="1A3AA02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795891"/>
    <w:multiLevelType w:val="hybridMultilevel"/>
    <w:tmpl w:val="742894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62AD4"/>
    <w:multiLevelType w:val="hybridMultilevel"/>
    <w:tmpl w:val="F2AA08C4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2D274A"/>
    <w:multiLevelType w:val="hybridMultilevel"/>
    <w:tmpl w:val="E736AD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A57BC"/>
    <w:multiLevelType w:val="hybridMultilevel"/>
    <w:tmpl w:val="2E4C918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05043"/>
    <w:multiLevelType w:val="hybridMultilevel"/>
    <w:tmpl w:val="A29CC8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119A2"/>
    <w:multiLevelType w:val="hybridMultilevel"/>
    <w:tmpl w:val="280E16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BD5B22"/>
    <w:multiLevelType w:val="hybridMultilevel"/>
    <w:tmpl w:val="C20E0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F6348"/>
    <w:multiLevelType w:val="hybridMultilevel"/>
    <w:tmpl w:val="D9E48D0A"/>
    <w:lvl w:ilvl="0" w:tplc="D2BC14D0">
      <w:start w:val="1"/>
      <w:numFmt w:val="lowerLetter"/>
      <w:lvlText w:val="(%1)"/>
      <w:lvlJc w:val="left"/>
      <w:pPr>
        <w:tabs>
          <w:tab w:val="num" w:pos="568"/>
        </w:tabs>
        <w:ind w:left="568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8" w15:restartNumberingAfterBreak="0">
    <w:nsid w:val="67380D73"/>
    <w:multiLevelType w:val="hybridMultilevel"/>
    <w:tmpl w:val="3D684A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97D4B"/>
    <w:multiLevelType w:val="hybridMultilevel"/>
    <w:tmpl w:val="8A2C3D42"/>
    <w:lvl w:ilvl="0" w:tplc="67802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73B4"/>
    <w:multiLevelType w:val="hybridMultilevel"/>
    <w:tmpl w:val="DAB62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F96341"/>
    <w:multiLevelType w:val="hybridMultilevel"/>
    <w:tmpl w:val="F44CA4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92230D"/>
    <w:multiLevelType w:val="hybridMultilevel"/>
    <w:tmpl w:val="A874F93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F92552"/>
    <w:multiLevelType w:val="hybridMultilevel"/>
    <w:tmpl w:val="04E2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7B2656"/>
    <w:multiLevelType w:val="hybridMultilevel"/>
    <w:tmpl w:val="D012B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7"/>
  </w:num>
  <w:num w:numId="4">
    <w:abstractNumId w:val="9"/>
  </w:num>
  <w:num w:numId="5">
    <w:abstractNumId w:val="18"/>
  </w:num>
  <w:num w:numId="6">
    <w:abstractNumId w:val="16"/>
  </w:num>
  <w:num w:numId="7">
    <w:abstractNumId w:val="21"/>
  </w:num>
  <w:num w:numId="8">
    <w:abstractNumId w:val="22"/>
  </w:num>
  <w:num w:numId="9">
    <w:abstractNumId w:val="19"/>
  </w:num>
  <w:num w:numId="10">
    <w:abstractNumId w:val="20"/>
  </w:num>
  <w:num w:numId="11">
    <w:abstractNumId w:val="10"/>
  </w:num>
  <w:num w:numId="12">
    <w:abstractNumId w:val="11"/>
  </w:num>
  <w:num w:numId="13">
    <w:abstractNumId w:val="7"/>
  </w:num>
  <w:num w:numId="14">
    <w:abstractNumId w:val="6"/>
  </w:num>
  <w:num w:numId="15">
    <w:abstractNumId w:val="24"/>
  </w:num>
  <w:num w:numId="16">
    <w:abstractNumId w:val="2"/>
  </w:num>
  <w:num w:numId="17">
    <w:abstractNumId w:val="0"/>
  </w:num>
  <w:num w:numId="18">
    <w:abstractNumId w:val="15"/>
  </w:num>
  <w:num w:numId="19">
    <w:abstractNumId w:val="1"/>
  </w:num>
  <w:num w:numId="20">
    <w:abstractNumId w:val="3"/>
  </w:num>
  <w:num w:numId="21">
    <w:abstractNumId w:val="5"/>
  </w:num>
  <w:num w:numId="22">
    <w:abstractNumId w:val="8"/>
  </w:num>
  <w:num w:numId="23">
    <w:abstractNumId w:val="4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C2"/>
    <w:rsid w:val="00000D70"/>
    <w:rsid w:val="00002CA8"/>
    <w:rsid w:val="00003DA0"/>
    <w:rsid w:val="00007321"/>
    <w:rsid w:val="00007FE1"/>
    <w:rsid w:val="00012E69"/>
    <w:rsid w:val="00013214"/>
    <w:rsid w:val="000147F4"/>
    <w:rsid w:val="0001510E"/>
    <w:rsid w:val="00023B15"/>
    <w:rsid w:val="000241AE"/>
    <w:rsid w:val="000243E2"/>
    <w:rsid w:val="000260DA"/>
    <w:rsid w:val="00026659"/>
    <w:rsid w:val="00026C9D"/>
    <w:rsid w:val="00030A61"/>
    <w:rsid w:val="00030D19"/>
    <w:rsid w:val="00031516"/>
    <w:rsid w:val="000337CF"/>
    <w:rsid w:val="00033A44"/>
    <w:rsid w:val="00034C6A"/>
    <w:rsid w:val="000368FB"/>
    <w:rsid w:val="00044957"/>
    <w:rsid w:val="00044FC8"/>
    <w:rsid w:val="00046FF7"/>
    <w:rsid w:val="00047EBA"/>
    <w:rsid w:val="00051A78"/>
    <w:rsid w:val="00052843"/>
    <w:rsid w:val="000533E7"/>
    <w:rsid w:val="00056804"/>
    <w:rsid w:val="000568B0"/>
    <w:rsid w:val="00061A8C"/>
    <w:rsid w:val="00062738"/>
    <w:rsid w:val="00065403"/>
    <w:rsid w:val="00065E68"/>
    <w:rsid w:val="00066349"/>
    <w:rsid w:val="00070984"/>
    <w:rsid w:val="00070FF8"/>
    <w:rsid w:val="000718F8"/>
    <w:rsid w:val="00071E58"/>
    <w:rsid w:val="00073042"/>
    <w:rsid w:val="00073345"/>
    <w:rsid w:val="00076103"/>
    <w:rsid w:val="000773CF"/>
    <w:rsid w:val="000776E9"/>
    <w:rsid w:val="00080C45"/>
    <w:rsid w:val="000826B4"/>
    <w:rsid w:val="000827A5"/>
    <w:rsid w:val="00083E2C"/>
    <w:rsid w:val="00086593"/>
    <w:rsid w:val="00090170"/>
    <w:rsid w:val="00090E17"/>
    <w:rsid w:val="00091103"/>
    <w:rsid w:val="00092287"/>
    <w:rsid w:val="00092E0E"/>
    <w:rsid w:val="00095B4D"/>
    <w:rsid w:val="00095DE2"/>
    <w:rsid w:val="0009669A"/>
    <w:rsid w:val="00097014"/>
    <w:rsid w:val="000A0D62"/>
    <w:rsid w:val="000A1735"/>
    <w:rsid w:val="000A2B0E"/>
    <w:rsid w:val="000A538E"/>
    <w:rsid w:val="000A53BE"/>
    <w:rsid w:val="000A737F"/>
    <w:rsid w:val="000A7E49"/>
    <w:rsid w:val="000B13B4"/>
    <w:rsid w:val="000B2094"/>
    <w:rsid w:val="000B2F1C"/>
    <w:rsid w:val="000B43D2"/>
    <w:rsid w:val="000B567B"/>
    <w:rsid w:val="000B7E95"/>
    <w:rsid w:val="000C0E58"/>
    <w:rsid w:val="000C1A32"/>
    <w:rsid w:val="000C1EC3"/>
    <w:rsid w:val="000C2639"/>
    <w:rsid w:val="000C5014"/>
    <w:rsid w:val="000C6B35"/>
    <w:rsid w:val="000D05E8"/>
    <w:rsid w:val="000D0FC1"/>
    <w:rsid w:val="000D20ED"/>
    <w:rsid w:val="000D303E"/>
    <w:rsid w:val="000D3AC3"/>
    <w:rsid w:val="000D5375"/>
    <w:rsid w:val="000D5C85"/>
    <w:rsid w:val="000D76E4"/>
    <w:rsid w:val="000D7BB5"/>
    <w:rsid w:val="000E169C"/>
    <w:rsid w:val="000E1DDB"/>
    <w:rsid w:val="000E1EFD"/>
    <w:rsid w:val="000E225E"/>
    <w:rsid w:val="000E2C17"/>
    <w:rsid w:val="000E59E3"/>
    <w:rsid w:val="000E5BA2"/>
    <w:rsid w:val="000E5D04"/>
    <w:rsid w:val="000F1B05"/>
    <w:rsid w:val="000F1CB8"/>
    <w:rsid w:val="000F1E2B"/>
    <w:rsid w:val="000F2B33"/>
    <w:rsid w:val="000F382F"/>
    <w:rsid w:val="000F604F"/>
    <w:rsid w:val="001026E9"/>
    <w:rsid w:val="00103F6F"/>
    <w:rsid w:val="00106B0E"/>
    <w:rsid w:val="00107E55"/>
    <w:rsid w:val="00110353"/>
    <w:rsid w:val="001119B5"/>
    <w:rsid w:val="00112C38"/>
    <w:rsid w:val="0011768C"/>
    <w:rsid w:val="00122FDC"/>
    <w:rsid w:val="00123C06"/>
    <w:rsid w:val="0012527D"/>
    <w:rsid w:val="00125478"/>
    <w:rsid w:val="00131219"/>
    <w:rsid w:val="00132254"/>
    <w:rsid w:val="00134892"/>
    <w:rsid w:val="001355F0"/>
    <w:rsid w:val="001367C5"/>
    <w:rsid w:val="00136812"/>
    <w:rsid w:val="00137395"/>
    <w:rsid w:val="001404D6"/>
    <w:rsid w:val="00140DED"/>
    <w:rsid w:val="001431A1"/>
    <w:rsid w:val="001464EE"/>
    <w:rsid w:val="00146E9E"/>
    <w:rsid w:val="001476F4"/>
    <w:rsid w:val="00150A1F"/>
    <w:rsid w:val="0015340F"/>
    <w:rsid w:val="00153C05"/>
    <w:rsid w:val="0015674A"/>
    <w:rsid w:val="00156B38"/>
    <w:rsid w:val="00157899"/>
    <w:rsid w:val="001647FF"/>
    <w:rsid w:val="0016695D"/>
    <w:rsid w:val="001712F9"/>
    <w:rsid w:val="00172288"/>
    <w:rsid w:val="00172AF4"/>
    <w:rsid w:val="0017495C"/>
    <w:rsid w:val="00174BC0"/>
    <w:rsid w:val="00176595"/>
    <w:rsid w:val="00180E5E"/>
    <w:rsid w:val="001821F1"/>
    <w:rsid w:val="001833E6"/>
    <w:rsid w:val="00183C73"/>
    <w:rsid w:val="0018408E"/>
    <w:rsid w:val="0018636C"/>
    <w:rsid w:val="00187152"/>
    <w:rsid w:val="00190B88"/>
    <w:rsid w:val="00191607"/>
    <w:rsid w:val="00192014"/>
    <w:rsid w:val="00192C30"/>
    <w:rsid w:val="00193361"/>
    <w:rsid w:val="001933CC"/>
    <w:rsid w:val="00195195"/>
    <w:rsid w:val="00195750"/>
    <w:rsid w:val="001965D8"/>
    <w:rsid w:val="001977FC"/>
    <w:rsid w:val="001A1A43"/>
    <w:rsid w:val="001A200D"/>
    <w:rsid w:val="001A3CD5"/>
    <w:rsid w:val="001A5804"/>
    <w:rsid w:val="001A674E"/>
    <w:rsid w:val="001A7522"/>
    <w:rsid w:val="001A7F85"/>
    <w:rsid w:val="001B0471"/>
    <w:rsid w:val="001B44F8"/>
    <w:rsid w:val="001B4AAC"/>
    <w:rsid w:val="001B7187"/>
    <w:rsid w:val="001B7B7B"/>
    <w:rsid w:val="001C0748"/>
    <w:rsid w:val="001C0C0B"/>
    <w:rsid w:val="001C2318"/>
    <w:rsid w:val="001C2827"/>
    <w:rsid w:val="001C71D2"/>
    <w:rsid w:val="001C7D13"/>
    <w:rsid w:val="001D239B"/>
    <w:rsid w:val="001D332F"/>
    <w:rsid w:val="001D35BF"/>
    <w:rsid w:val="001D4034"/>
    <w:rsid w:val="001D4542"/>
    <w:rsid w:val="001D4B36"/>
    <w:rsid w:val="001D4FE5"/>
    <w:rsid w:val="001D761E"/>
    <w:rsid w:val="001E1AC6"/>
    <w:rsid w:val="001E4037"/>
    <w:rsid w:val="001E4BE0"/>
    <w:rsid w:val="001F0320"/>
    <w:rsid w:val="001F09C3"/>
    <w:rsid w:val="001F26F9"/>
    <w:rsid w:val="001F4497"/>
    <w:rsid w:val="001F71A6"/>
    <w:rsid w:val="002001F1"/>
    <w:rsid w:val="002006C7"/>
    <w:rsid w:val="00201D81"/>
    <w:rsid w:val="002027AD"/>
    <w:rsid w:val="0020303F"/>
    <w:rsid w:val="00203681"/>
    <w:rsid w:val="002055AB"/>
    <w:rsid w:val="002118C3"/>
    <w:rsid w:val="00211AA0"/>
    <w:rsid w:val="0021246D"/>
    <w:rsid w:val="0021549C"/>
    <w:rsid w:val="00215A72"/>
    <w:rsid w:val="00215E79"/>
    <w:rsid w:val="00216468"/>
    <w:rsid w:val="00216846"/>
    <w:rsid w:val="002175E8"/>
    <w:rsid w:val="002179C8"/>
    <w:rsid w:val="00217CA4"/>
    <w:rsid w:val="0022212C"/>
    <w:rsid w:val="00222170"/>
    <w:rsid w:val="00222322"/>
    <w:rsid w:val="00224EC9"/>
    <w:rsid w:val="00226D82"/>
    <w:rsid w:val="00227ABE"/>
    <w:rsid w:val="00232768"/>
    <w:rsid w:val="00236213"/>
    <w:rsid w:val="002362D7"/>
    <w:rsid w:val="002477E2"/>
    <w:rsid w:val="00250295"/>
    <w:rsid w:val="002527B0"/>
    <w:rsid w:val="00253B65"/>
    <w:rsid w:val="00253D56"/>
    <w:rsid w:val="00257A1B"/>
    <w:rsid w:val="00260700"/>
    <w:rsid w:val="00263025"/>
    <w:rsid w:val="00263403"/>
    <w:rsid w:val="002735CC"/>
    <w:rsid w:val="00273849"/>
    <w:rsid w:val="00274A99"/>
    <w:rsid w:val="00274C05"/>
    <w:rsid w:val="00276176"/>
    <w:rsid w:val="00276BBD"/>
    <w:rsid w:val="00281B3B"/>
    <w:rsid w:val="00282BA2"/>
    <w:rsid w:val="00283CEC"/>
    <w:rsid w:val="002876AC"/>
    <w:rsid w:val="002907F1"/>
    <w:rsid w:val="00291B64"/>
    <w:rsid w:val="00293D19"/>
    <w:rsid w:val="00293FE0"/>
    <w:rsid w:val="002976B5"/>
    <w:rsid w:val="00297D55"/>
    <w:rsid w:val="002A134E"/>
    <w:rsid w:val="002A1D8B"/>
    <w:rsid w:val="002A35BF"/>
    <w:rsid w:val="002A421E"/>
    <w:rsid w:val="002A65D7"/>
    <w:rsid w:val="002A71C2"/>
    <w:rsid w:val="002B0326"/>
    <w:rsid w:val="002B0A98"/>
    <w:rsid w:val="002B0AC3"/>
    <w:rsid w:val="002B1722"/>
    <w:rsid w:val="002B238C"/>
    <w:rsid w:val="002B4240"/>
    <w:rsid w:val="002B5C5F"/>
    <w:rsid w:val="002B63AA"/>
    <w:rsid w:val="002B6449"/>
    <w:rsid w:val="002B6A09"/>
    <w:rsid w:val="002C1B39"/>
    <w:rsid w:val="002C2918"/>
    <w:rsid w:val="002C3BDA"/>
    <w:rsid w:val="002C600D"/>
    <w:rsid w:val="002C684E"/>
    <w:rsid w:val="002D01E9"/>
    <w:rsid w:val="002D7775"/>
    <w:rsid w:val="002E2430"/>
    <w:rsid w:val="002E3137"/>
    <w:rsid w:val="002E3E91"/>
    <w:rsid w:val="002E4C7A"/>
    <w:rsid w:val="002E5DDD"/>
    <w:rsid w:val="002E66BF"/>
    <w:rsid w:val="002E7DFA"/>
    <w:rsid w:val="002F2532"/>
    <w:rsid w:val="002F3F39"/>
    <w:rsid w:val="002F4472"/>
    <w:rsid w:val="002F4F64"/>
    <w:rsid w:val="002F56CB"/>
    <w:rsid w:val="00300DAB"/>
    <w:rsid w:val="003012EB"/>
    <w:rsid w:val="0030151F"/>
    <w:rsid w:val="003018F9"/>
    <w:rsid w:val="00302415"/>
    <w:rsid w:val="00302721"/>
    <w:rsid w:val="00303415"/>
    <w:rsid w:val="003038D6"/>
    <w:rsid w:val="00304010"/>
    <w:rsid w:val="003040F4"/>
    <w:rsid w:val="003123EA"/>
    <w:rsid w:val="00312496"/>
    <w:rsid w:val="00312696"/>
    <w:rsid w:val="003132E3"/>
    <w:rsid w:val="003137CB"/>
    <w:rsid w:val="00315AF7"/>
    <w:rsid w:val="00315FAF"/>
    <w:rsid w:val="00322012"/>
    <w:rsid w:val="0032515B"/>
    <w:rsid w:val="00326189"/>
    <w:rsid w:val="003309E8"/>
    <w:rsid w:val="00331237"/>
    <w:rsid w:val="003337B3"/>
    <w:rsid w:val="00335F15"/>
    <w:rsid w:val="00337A53"/>
    <w:rsid w:val="00340E74"/>
    <w:rsid w:val="00342574"/>
    <w:rsid w:val="00343A99"/>
    <w:rsid w:val="00343E0A"/>
    <w:rsid w:val="00344BEA"/>
    <w:rsid w:val="0035449D"/>
    <w:rsid w:val="00355DBF"/>
    <w:rsid w:val="003567CD"/>
    <w:rsid w:val="00357497"/>
    <w:rsid w:val="00357FEF"/>
    <w:rsid w:val="003619D5"/>
    <w:rsid w:val="00363A70"/>
    <w:rsid w:val="00364B6D"/>
    <w:rsid w:val="003651ED"/>
    <w:rsid w:val="00365260"/>
    <w:rsid w:val="00376A38"/>
    <w:rsid w:val="00380E15"/>
    <w:rsid w:val="00381357"/>
    <w:rsid w:val="0038157D"/>
    <w:rsid w:val="00381778"/>
    <w:rsid w:val="003846C6"/>
    <w:rsid w:val="0038512C"/>
    <w:rsid w:val="00387F3F"/>
    <w:rsid w:val="003910E3"/>
    <w:rsid w:val="00391D53"/>
    <w:rsid w:val="00392DDB"/>
    <w:rsid w:val="003974C2"/>
    <w:rsid w:val="003A2C1C"/>
    <w:rsid w:val="003A3268"/>
    <w:rsid w:val="003A346A"/>
    <w:rsid w:val="003A37FF"/>
    <w:rsid w:val="003A59C5"/>
    <w:rsid w:val="003A6A21"/>
    <w:rsid w:val="003B090B"/>
    <w:rsid w:val="003B0C30"/>
    <w:rsid w:val="003B0C92"/>
    <w:rsid w:val="003B3295"/>
    <w:rsid w:val="003B35EE"/>
    <w:rsid w:val="003B3B13"/>
    <w:rsid w:val="003C21A9"/>
    <w:rsid w:val="003C303C"/>
    <w:rsid w:val="003C537B"/>
    <w:rsid w:val="003D3EC8"/>
    <w:rsid w:val="003D4003"/>
    <w:rsid w:val="003D667C"/>
    <w:rsid w:val="003E12F8"/>
    <w:rsid w:val="003E4843"/>
    <w:rsid w:val="003E6CB0"/>
    <w:rsid w:val="003E7081"/>
    <w:rsid w:val="003F0292"/>
    <w:rsid w:val="003F04C6"/>
    <w:rsid w:val="003F16A8"/>
    <w:rsid w:val="003F18C4"/>
    <w:rsid w:val="003F273E"/>
    <w:rsid w:val="003F3DB7"/>
    <w:rsid w:val="003F4820"/>
    <w:rsid w:val="003F5D2B"/>
    <w:rsid w:val="003F63DB"/>
    <w:rsid w:val="00400862"/>
    <w:rsid w:val="00402281"/>
    <w:rsid w:val="0040669D"/>
    <w:rsid w:val="00410294"/>
    <w:rsid w:val="00411A57"/>
    <w:rsid w:val="004137DF"/>
    <w:rsid w:val="004174C8"/>
    <w:rsid w:val="00417794"/>
    <w:rsid w:val="0042102A"/>
    <w:rsid w:val="00421240"/>
    <w:rsid w:val="00422774"/>
    <w:rsid w:val="0042373D"/>
    <w:rsid w:val="00433EEA"/>
    <w:rsid w:val="00435E11"/>
    <w:rsid w:val="00436A9C"/>
    <w:rsid w:val="004378E2"/>
    <w:rsid w:val="00442448"/>
    <w:rsid w:val="00444BCE"/>
    <w:rsid w:val="0044608D"/>
    <w:rsid w:val="004461B0"/>
    <w:rsid w:val="00446DBF"/>
    <w:rsid w:val="0044735F"/>
    <w:rsid w:val="0044758C"/>
    <w:rsid w:val="004504CE"/>
    <w:rsid w:val="00450A98"/>
    <w:rsid w:val="00450FEF"/>
    <w:rsid w:val="004542A8"/>
    <w:rsid w:val="00454681"/>
    <w:rsid w:val="00457A09"/>
    <w:rsid w:val="00457F7A"/>
    <w:rsid w:val="00460774"/>
    <w:rsid w:val="0046162E"/>
    <w:rsid w:val="004639E5"/>
    <w:rsid w:val="00466558"/>
    <w:rsid w:val="0046667C"/>
    <w:rsid w:val="004674A6"/>
    <w:rsid w:val="00467D96"/>
    <w:rsid w:val="004725D7"/>
    <w:rsid w:val="00475033"/>
    <w:rsid w:val="00475D39"/>
    <w:rsid w:val="004773E2"/>
    <w:rsid w:val="00477762"/>
    <w:rsid w:val="0048113B"/>
    <w:rsid w:val="00484431"/>
    <w:rsid w:val="00486E62"/>
    <w:rsid w:val="004870A6"/>
    <w:rsid w:val="00493B4A"/>
    <w:rsid w:val="0049442F"/>
    <w:rsid w:val="00495EAB"/>
    <w:rsid w:val="00496E38"/>
    <w:rsid w:val="004A1195"/>
    <w:rsid w:val="004A21ED"/>
    <w:rsid w:val="004A408A"/>
    <w:rsid w:val="004A43FC"/>
    <w:rsid w:val="004A4408"/>
    <w:rsid w:val="004A709D"/>
    <w:rsid w:val="004A7C0C"/>
    <w:rsid w:val="004B0A46"/>
    <w:rsid w:val="004B0E32"/>
    <w:rsid w:val="004B10D8"/>
    <w:rsid w:val="004B15A4"/>
    <w:rsid w:val="004B1C80"/>
    <w:rsid w:val="004B1DAE"/>
    <w:rsid w:val="004B3E7A"/>
    <w:rsid w:val="004B4B55"/>
    <w:rsid w:val="004B4CEB"/>
    <w:rsid w:val="004B4D57"/>
    <w:rsid w:val="004B5538"/>
    <w:rsid w:val="004B79CB"/>
    <w:rsid w:val="004C0634"/>
    <w:rsid w:val="004C2F0C"/>
    <w:rsid w:val="004C5F82"/>
    <w:rsid w:val="004C707F"/>
    <w:rsid w:val="004C79BC"/>
    <w:rsid w:val="004C7DD1"/>
    <w:rsid w:val="004D289C"/>
    <w:rsid w:val="004D2EDC"/>
    <w:rsid w:val="004D315A"/>
    <w:rsid w:val="004D39D9"/>
    <w:rsid w:val="004D5AC3"/>
    <w:rsid w:val="004D6924"/>
    <w:rsid w:val="004E1888"/>
    <w:rsid w:val="004E1D88"/>
    <w:rsid w:val="004E6FB3"/>
    <w:rsid w:val="004F3310"/>
    <w:rsid w:val="004F40B9"/>
    <w:rsid w:val="004F7925"/>
    <w:rsid w:val="0050099B"/>
    <w:rsid w:val="00501371"/>
    <w:rsid w:val="005026AF"/>
    <w:rsid w:val="0050377C"/>
    <w:rsid w:val="00504286"/>
    <w:rsid w:val="005063FC"/>
    <w:rsid w:val="00506EDB"/>
    <w:rsid w:val="00512EAC"/>
    <w:rsid w:val="00513256"/>
    <w:rsid w:val="005133F8"/>
    <w:rsid w:val="00516399"/>
    <w:rsid w:val="0051644C"/>
    <w:rsid w:val="005178E9"/>
    <w:rsid w:val="00517B5F"/>
    <w:rsid w:val="0052089C"/>
    <w:rsid w:val="00520F49"/>
    <w:rsid w:val="00524C23"/>
    <w:rsid w:val="005270ED"/>
    <w:rsid w:val="00530ABD"/>
    <w:rsid w:val="00532810"/>
    <w:rsid w:val="00533FB8"/>
    <w:rsid w:val="00537159"/>
    <w:rsid w:val="005373ED"/>
    <w:rsid w:val="00537627"/>
    <w:rsid w:val="0054035E"/>
    <w:rsid w:val="00540AC6"/>
    <w:rsid w:val="00541027"/>
    <w:rsid w:val="00541F13"/>
    <w:rsid w:val="00543CBE"/>
    <w:rsid w:val="0054438B"/>
    <w:rsid w:val="00552AB8"/>
    <w:rsid w:val="00552FDD"/>
    <w:rsid w:val="005557F6"/>
    <w:rsid w:val="005575F2"/>
    <w:rsid w:val="00561092"/>
    <w:rsid w:val="00565CD6"/>
    <w:rsid w:val="00566662"/>
    <w:rsid w:val="00567589"/>
    <w:rsid w:val="005723F5"/>
    <w:rsid w:val="00573262"/>
    <w:rsid w:val="0057615C"/>
    <w:rsid w:val="005762A8"/>
    <w:rsid w:val="005809FE"/>
    <w:rsid w:val="005811C4"/>
    <w:rsid w:val="00582130"/>
    <w:rsid w:val="005829D0"/>
    <w:rsid w:val="0058332E"/>
    <w:rsid w:val="0058616A"/>
    <w:rsid w:val="005901EF"/>
    <w:rsid w:val="00590D90"/>
    <w:rsid w:val="00593502"/>
    <w:rsid w:val="00593D06"/>
    <w:rsid w:val="00593DBA"/>
    <w:rsid w:val="00597DCB"/>
    <w:rsid w:val="005A13CC"/>
    <w:rsid w:val="005A193D"/>
    <w:rsid w:val="005A4CD8"/>
    <w:rsid w:val="005A5781"/>
    <w:rsid w:val="005A6D0B"/>
    <w:rsid w:val="005B3EE2"/>
    <w:rsid w:val="005B5967"/>
    <w:rsid w:val="005B6044"/>
    <w:rsid w:val="005B7DE1"/>
    <w:rsid w:val="005C3A1B"/>
    <w:rsid w:val="005C3EDC"/>
    <w:rsid w:val="005C5AB5"/>
    <w:rsid w:val="005C5AD0"/>
    <w:rsid w:val="005C5E3C"/>
    <w:rsid w:val="005C67DF"/>
    <w:rsid w:val="005D3A21"/>
    <w:rsid w:val="005D3F8A"/>
    <w:rsid w:val="005D40C9"/>
    <w:rsid w:val="005D56E9"/>
    <w:rsid w:val="005E0D4B"/>
    <w:rsid w:val="005E3788"/>
    <w:rsid w:val="005E759B"/>
    <w:rsid w:val="005E7BBA"/>
    <w:rsid w:val="005E7FD3"/>
    <w:rsid w:val="005F0684"/>
    <w:rsid w:val="005F07FE"/>
    <w:rsid w:val="005F2EFE"/>
    <w:rsid w:val="005F4002"/>
    <w:rsid w:val="005F4B49"/>
    <w:rsid w:val="005F55AC"/>
    <w:rsid w:val="005F7101"/>
    <w:rsid w:val="00600B85"/>
    <w:rsid w:val="0060375F"/>
    <w:rsid w:val="00603D3A"/>
    <w:rsid w:val="00605D53"/>
    <w:rsid w:val="006078CC"/>
    <w:rsid w:val="00612A88"/>
    <w:rsid w:val="00612B7E"/>
    <w:rsid w:val="006163A7"/>
    <w:rsid w:val="00616574"/>
    <w:rsid w:val="006165C1"/>
    <w:rsid w:val="00621AB1"/>
    <w:rsid w:val="0062544C"/>
    <w:rsid w:val="0062544D"/>
    <w:rsid w:val="006312A8"/>
    <w:rsid w:val="0063202D"/>
    <w:rsid w:val="00632A97"/>
    <w:rsid w:val="00632F20"/>
    <w:rsid w:val="00642334"/>
    <w:rsid w:val="00642668"/>
    <w:rsid w:val="0064298C"/>
    <w:rsid w:val="00642B2D"/>
    <w:rsid w:val="006431BA"/>
    <w:rsid w:val="006434FB"/>
    <w:rsid w:val="006438D2"/>
    <w:rsid w:val="00646B1E"/>
    <w:rsid w:val="00647BFC"/>
    <w:rsid w:val="006511B6"/>
    <w:rsid w:val="00652A09"/>
    <w:rsid w:val="00652B50"/>
    <w:rsid w:val="006545E7"/>
    <w:rsid w:val="00655B03"/>
    <w:rsid w:val="006568C9"/>
    <w:rsid w:val="006570D2"/>
    <w:rsid w:val="00657FFD"/>
    <w:rsid w:val="00662B07"/>
    <w:rsid w:val="00663463"/>
    <w:rsid w:val="00670829"/>
    <w:rsid w:val="00670C67"/>
    <w:rsid w:val="00672757"/>
    <w:rsid w:val="00674DE6"/>
    <w:rsid w:val="00676F2C"/>
    <w:rsid w:val="00677031"/>
    <w:rsid w:val="00677F2E"/>
    <w:rsid w:val="006810F8"/>
    <w:rsid w:val="00684F2D"/>
    <w:rsid w:val="006878D1"/>
    <w:rsid w:val="00687B51"/>
    <w:rsid w:val="0069231D"/>
    <w:rsid w:val="0069483F"/>
    <w:rsid w:val="00697299"/>
    <w:rsid w:val="006A24B0"/>
    <w:rsid w:val="006A5DD4"/>
    <w:rsid w:val="006B6A90"/>
    <w:rsid w:val="006C2173"/>
    <w:rsid w:val="006C2581"/>
    <w:rsid w:val="006C5700"/>
    <w:rsid w:val="006C6001"/>
    <w:rsid w:val="006C79AD"/>
    <w:rsid w:val="006D0B86"/>
    <w:rsid w:val="006D6185"/>
    <w:rsid w:val="006D7C30"/>
    <w:rsid w:val="006E0085"/>
    <w:rsid w:val="006E1923"/>
    <w:rsid w:val="006E206E"/>
    <w:rsid w:val="006E282B"/>
    <w:rsid w:val="006E3602"/>
    <w:rsid w:val="006E61D3"/>
    <w:rsid w:val="006E637D"/>
    <w:rsid w:val="006E799F"/>
    <w:rsid w:val="006F0C84"/>
    <w:rsid w:val="006F173F"/>
    <w:rsid w:val="006F1AFA"/>
    <w:rsid w:val="006F3961"/>
    <w:rsid w:val="006F3F76"/>
    <w:rsid w:val="006F42F1"/>
    <w:rsid w:val="006F4AC5"/>
    <w:rsid w:val="006F7AEE"/>
    <w:rsid w:val="006F7E58"/>
    <w:rsid w:val="00703355"/>
    <w:rsid w:val="00704010"/>
    <w:rsid w:val="007050A4"/>
    <w:rsid w:val="00705BBF"/>
    <w:rsid w:val="0070662B"/>
    <w:rsid w:val="0071301E"/>
    <w:rsid w:val="007141E4"/>
    <w:rsid w:val="00715D82"/>
    <w:rsid w:val="00717121"/>
    <w:rsid w:val="00717FEF"/>
    <w:rsid w:val="0072013B"/>
    <w:rsid w:val="00723B6F"/>
    <w:rsid w:val="00730A67"/>
    <w:rsid w:val="007324CE"/>
    <w:rsid w:val="00732805"/>
    <w:rsid w:val="00733AC8"/>
    <w:rsid w:val="0073459E"/>
    <w:rsid w:val="00736E70"/>
    <w:rsid w:val="007414A1"/>
    <w:rsid w:val="007433F4"/>
    <w:rsid w:val="00744C64"/>
    <w:rsid w:val="00745A46"/>
    <w:rsid w:val="00746004"/>
    <w:rsid w:val="00746715"/>
    <w:rsid w:val="007503AB"/>
    <w:rsid w:val="00754451"/>
    <w:rsid w:val="00756403"/>
    <w:rsid w:val="007564C4"/>
    <w:rsid w:val="0076064C"/>
    <w:rsid w:val="00761EE0"/>
    <w:rsid w:val="00763641"/>
    <w:rsid w:val="007637A4"/>
    <w:rsid w:val="00766898"/>
    <w:rsid w:val="00773F26"/>
    <w:rsid w:val="00775670"/>
    <w:rsid w:val="0077782F"/>
    <w:rsid w:val="00777A0D"/>
    <w:rsid w:val="00777B03"/>
    <w:rsid w:val="0078030B"/>
    <w:rsid w:val="00781F38"/>
    <w:rsid w:val="00783CE3"/>
    <w:rsid w:val="00792995"/>
    <w:rsid w:val="00794A58"/>
    <w:rsid w:val="007964DB"/>
    <w:rsid w:val="0079708D"/>
    <w:rsid w:val="007A1895"/>
    <w:rsid w:val="007A1C93"/>
    <w:rsid w:val="007A4165"/>
    <w:rsid w:val="007A4F97"/>
    <w:rsid w:val="007A5452"/>
    <w:rsid w:val="007A5B35"/>
    <w:rsid w:val="007B1756"/>
    <w:rsid w:val="007B5168"/>
    <w:rsid w:val="007B6BEA"/>
    <w:rsid w:val="007C06BA"/>
    <w:rsid w:val="007C0D43"/>
    <w:rsid w:val="007C1B95"/>
    <w:rsid w:val="007C1E49"/>
    <w:rsid w:val="007C23A1"/>
    <w:rsid w:val="007C4491"/>
    <w:rsid w:val="007C490E"/>
    <w:rsid w:val="007C4B0B"/>
    <w:rsid w:val="007C5354"/>
    <w:rsid w:val="007C5375"/>
    <w:rsid w:val="007C5E8D"/>
    <w:rsid w:val="007C6CCB"/>
    <w:rsid w:val="007C73CD"/>
    <w:rsid w:val="007C765C"/>
    <w:rsid w:val="007C7F81"/>
    <w:rsid w:val="007D0CBB"/>
    <w:rsid w:val="007D1B4D"/>
    <w:rsid w:val="007D37BD"/>
    <w:rsid w:val="007D3A0C"/>
    <w:rsid w:val="007D4133"/>
    <w:rsid w:val="007D4F6E"/>
    <w:rsid w:val="007D4FE8"/>
    <w:rsid w:val="007D63C9"/>
    <w:rsid w:val="007D6C3B"/>
    <w:rsid w:val="007E0CC1"/>
    <w:rsid w:val="007E1476"/>
    <w:rsid w:val="007E393F"/>
    <w:rsid w:val="007E4618"/>
    <w:rsid w:val="007E4667"/>
    <w:rsid w:val="007E51D7"/>
    <w:rsid w:val="007E66FE"/>
    <w:rsid w:val="007F0191"/>
    <w:rsid w:val="007F4480"/>
    <w:rsid w:val="007F4DBA"/>
    <w:rsid w:val="007F6BBA"/>
    <w:rsid w:val="0080141E"/>
    <w:rsid w:val="0080345F"/>
    <w:rsid w:val="008049F3"/>
    <w:rsid w:val="00804A50"/>
    <w:rsid w:val="00805E57"/>
    <w:rsid w:val="00805ED9"/>
    <w:rsid w:val="0081068C"/>
    <w:rsid w:val="00810EF3"/>
    <w:rsid w:val="00816B69"/>
    <w:rsid w:val="00817197"/>
    <w:rsid w:val="00817A2F"/>
    <w:rsid w:val="00820247"/>
    <w:rsid w:val="00822695"/>
    <w:rsid w:val="00824E3A"/>
    <w:rsid w:val="00833C3E"/>
    <w:rsid w:val="0083412D"/>
    <w:rsid w:val="008361E3"/>
    <w:rsid w:val="00836822"/>
    <w:rsid w:val="00837AA7"/>
    <w:rsid w:val="00840A81"/>
    <w:rsid w:val="00840DA0"/>
    <w:rsid w:val="0085042F"/>
    <w:rsid w:val="00851160"/>
    <w:rsid w:val="00852B0A"/>
    <w:rsid w:val="00853890"/>
    <w:rsid w:val="00853BF9"/>
    <w:rsid w:val="008544A4"/>
    <w:rsid w:val="008545B3"/>
    <w:rsid w:val="00857B8D"/>
    <w:rsid w:val="008652B0"/>
    <w:rsid w:val="00865FAC"/>
    <w:rsid w:val="00867502"/>
    <w:rsid w:val="008710DD"/>
    <w:rsid w:val="0087393B"/>
    <w:rsid w:val="00875E89"/>
    <w:rsid w:val="008770B1"/>
    <w:rsid w:val="00881312"/>
    <w:rsid w:val="00881D55"/>
    <w:rsid w:val="0088207C"/>
    <w:rsid w:val="00882A4C"/>
    <w:rsid w:val="00885D0F"/>
    <w:rsid w:val="008870D0"/>
    <w:rsid w:val="00895177"/>
    <w:rsid w:val="00895A36"/>
    <w:rsid w:val="00895CBE"/>
    <w:rsid w:val="00895F29"/>
    <w:rsid w:val="00896693"/>
    <w:rsid w:val="008972A5"/>
    <w:rsid w:val="008A10BF"/>
    <w:rsid w:val="008A1587"/>
    <w:rsid w:val="008A1916"/>
    <w:rsid w:val="008A1B7C"/>
    <w:rsid w:val="008A1D6A"/>
    <w:rsid w:val="008A4D49"/>
    <w:rsid w:val="008A5EB8"/>
    <w:rsid w:val="008A78BC"/>
    <w:rsid w:val="008B3D84"/>
    <w:rsid w:val="008B5C88"/>
    <w:rsid w:val="008B6CB7"/>
    <w:rsid w:val="008C0412"/>
    <w:rsid w:val="008C0902"/>
    <w:rsid w:val="008C3EDF"/>
    <w:rsid w:val="008C5265"/>
    <w:rsid w:val="008C5C76"/>
    <w:rsid w:val="008C5DC6"/>
    <w:rsid w:val="008C5E11"/>
    <w:rsid w:val="008C681F"/>
    <w:rsid w:val="008C6B77"/>
    <w:rsid w:val="008C6D73"/>
    <w:rsid w:val="008C7836"/>
    <w:rsid w:val="008D0C4A"/>
    <w:rsid w:val="008D225E"/>
    <w:rsid w:val="008D2E72"/>
    <w:rsid w:val="008D476E"/>
    <w:rsid w:val="008D5AA0"/>
    <w:rsid w:val="008D6045"/>
    <w:rsid w:val="008E23B3"/>
    <w:rsid w:val="008E7818"/>
    <w:rsid w:val="008F0B94"/>
    <w:rsid w:val="008F1788"/>
    <w:rsid w:val="008F1DD6"/>
    <w:rsid w:val="008F3845"/>
    <w:rsid w:val="008F71E3"/>
    <w:rsid w:val="008F74BE"/>
    <w:rsid w:val="008F74E5"/>
    <w:rsid w:val="0090172E"/>
    <w:rsid w:val="009033BD"/>
    <w:rsid w:val="00906E07"/>
    <w:rsid w:val="009073BA"/>
    <w:rsid w:val="009113BF"/>
    <w:rsid w:val="0091706D"/>
    <w:rsid w:val="00922216"/>
    <w:rsid w:val="00922B35"/>
    <w:rsid w:val="0092379C"/>
    <w:rsid w:val="00927065"/>
    <w:rsid w:val="00927298"/>
    <w:rsid w:val="009304A0"/>
    <w:rsid w:val="009308FF"/>
    <w:rsid w:val="0093219C"/>
    <w:rsid w:val="00934322"/>
    <w:rsid w:val="00934669"/>
    <w:rsid w:val="00935983"/>
    <w:rsid w:val="009368BA"/>
    <w:rsid w:val="00936C44"/>
    <w:rsid w:val="00951063"/>
    <w:rsid w:val="00951273"/>
    <w:rsid w:val="00951D3D"/>
    <w:rsid w:val="009527B9"/>
    <w:rsid w:val="00953922"/>
    <w:rsid w:val="00954B96"/>
    <w:rsid w:val="00955388"/>
    <w:rsid w:val="00956720"/>
    <w:rsid w:val="009567FE"/>
    <w:rsid w:val="00957870"/>
    <w:rsid w:val="0096024E"/>
    <w:rsid w:val="0096076E"/>
    <w:rsid w:val="00960F53"/>
    <w:rsid w:val="0096275C"/>
    <w:rsid w:val="00963212"/>
    <w:rsid w:val="00963D9F"/>
    <w:rsid w:val="00965E3F"/>
    <w:rsid w:val="00966E9E"/>
    <w:rsid w:val="00970B4D"/>
    <w:rsid w:val="009710C5"/>
    <w:rsid w:val="009741CC"/>
    <w:rsid w:val="00974661"/>
    <w:rsid w:val="00975625"/>
    <w:rsid w:val="00975FC0"/>
    <w:rsid w:val="0097779E"/>
    <w:rsid w:val="00977D41"/>
    <w:rsid w:val="00977D74"/>
    <w:rsid w:val="00980E47"/>
    <w:rsid w:val="00981FF4"/>
    <w:rsid w:val="00983310"/>
    <w:rsid w:val="00983656"/>
    <w:rsid w:val="00983BBD"/>
    <w:rsid w:val="009841FD"/>
    <w:rsid w:val="00986622"/>
    <w:rsid w:val="0098778D"/>
    <w:rsid w:val="0099168C"/>
    <w:rsid w:val="00994004"/>
    <w:rsid w:val="009969D2"/>
    <w:rsid w:val="00997032"/>
    <w:rsid w:val="00997366"/>
    <w:rsid w:val="009977F0"/>
    <w:rsid w:val="009A0647"/>
    <w:rsid w:val="009A091E"/>
    <w:rsid w:val="009A5714"/>
    <w:rsid w:val="009B3949"/>
    <w:rsid w:val="009B7AEB"/>
    <w:rsid w:val="009C15CD"/>
    <w:rsid w:val="009C17FD"/>
    <w:rsid w:val="009C453F"/>
    <w:rsid w:val="009C64F7"/>
    <w:rsid w:val="009D32E5"/>
    <w:rsid w:val="009D7257"/>
    <w:rsid w:val="009E0E3F"/>
    <w:rsid w:val="009E12E8"/>
    <w:rsid w:val="009E20CA"/>
    <w:rsid w:val="009E2739"/>
    <w:rsid w:val="009E3DFE"/>
    <w:rsid w:val="009E3EB6"/>
    <w:rsid w:val="009E6957"/>
    <w:rsid w:val="009F1B35"/>
    <w:rsid w:val="009F26A6"/>
    <w:rsid w:val="009F3B4A"/>
    <w:rsid w:val="009F48C5"/>
    <w:rsid w:val="009F5240"/>
    <w:rsid w:val="009F52D2"/>
    <w:rsid w:val="009F6531"/>
    <w:rsid w:val="00A00707"/>
    <w:rsid w:val="00A01104"/>
    <w:rsid w:val="00A0411C"/>
    <w:rsid w:val="00A05009"/>
    <w:rsid w:val="00A11349"/>
    <w:rsid w:val="00A12D4F"/>
    <w:rsid w:val="00A14358"/>
    <w:rsid w:val="00A153FD"/>
    <w:rsid w:val="00A15F76"/>
    <w:rsid w:val="00A173BA"/>
    <w:rsid w:val="00A17CD3"/>
    <w:rsid w:val="00A205A3"/>
    <w:rsid w:val="00A21CE5"/>
    <w:rsid w:val="00A21F2E"/>
    <w:rsid w:val="00A22D5C"/>
    <w:rsid w:val="00A244B0"/>
    <w:rsid w:val="00A25C97"/>
    <w:rsid w:val="00A25FA8"/>
    <w:rsid w:val="00A26D52"/>
    <w:rsid w:val="00A308BD"/>
    <w:rsid w:val="00A318BD"/>
    <w:rsid w:val="00A34025"/>
    <w:rsid w:val="00A35318"/>
    <w:rsid w:val="00A3647B"/>
    <w:rsid w:val="00A372E3"/>
    <w:rsid w:val="00A403B4"/>
    <w:rsid w:val="00A41042"/>
    <w:rsid w:val="00A41C75"/>
    <w:rsid w:val="00A41CBB"/>
    <w:rsid w:val="00A42C43"/>
    <w:rsid w:val="00A4529C"/>
    <w:rsid w:val="00A464C6"/>
    <w:rsid w:val="00A479CE"/>
    <w:rsid w:val="00A47C00"/>
    <w:rsid w:val="00A523A3"/>
    <w:rsid w:val="00A554BB"/>
    <w:rsid w:val="00A562B2"/>
    <w:rsid w:val="00A56F06"/>
    <w:rsid w:val="00A5731D"/>
    <w:rsid w:val="00A57551"/>
    <w:rsid w:val="00A6332E"/>
    <w:rsid w:val="00A65A7F"/>
    <w:rsid w:val="00A66D16"/>
    <w:rsid w:val="00A70A85"/>
    <w:rsid w:val="00A71352"/>
    <w:rsid w:val="00A713F8"/>
    <w:rsid w:val="00A719FC"/>
    <w:rsid w:val="00A72D4B"/>
    <w:rsid w:val="00A74A87"/>
    <w:rsid w:val="00A75240"/>
    <w:rsid w:val="00A75B3E"/>
    <w:rsid w:val="00A7610D"/>
    <w:rsid w:val="00A76F71"/>
    <w:rsid w:val="00A7750F"/>
    <w:rsid w:val="00A8008F"/>
    <w:rsid w:val="00A81574"/>
    <w:rsid w:val="00A81DA9"/>
    <w:rsid w:val="00A845EC"/>
    <w:rsid w:val="00A8522F"/>
    <w:rsid w:val="00A87B85"/>
    <w:rsid w:val="00A91CC9"/>
    <w:rsid w:val="00A922E6"/>
    <w:rsid w:val="00A93110"/>
    <w:rsid w:val="00A93E2A"/>
    <w:rsid w:val="00A95655"/>
    <w:rsid w:val="00A96251"/>
    <w:rsid w:val="00A97456"/>
    <w:rsid w:val="00AA0107"/>
    <w:rsid w:val="00AA1ED2"/>
    <w:rsid w:val="00AA1F6D"/>
    <w:rsid w:val="00AA4795"/>
    <w:rsid w:val="00AA5A6D"/>
    <w:rsid w:val="00AA7D2A"/>
    <w:rsid w:val="00AB0BC5"/>
    <w:rsid w:val="00AB1B1C"/>
    <w:rsid w:val="00AB28BA"/>
    <w:rsid w:val="00AB3F8A"/>
    <w:rsid w:val="00AB62B1"/>
    <w:rsid w:val="00AB7FC0"/>
    <w:rsid w:val="00AC175F"/>
    <w:rsid w:val="00AC1987"/>
    <w:rsid w:val="00AC2FCC"/>
    <w:rsid w:val="00AC4095"/>
    <w:rsid w:val="00AC4C11"/>
    <w:rsid w:val="00AC641A"/>
    <w:rsid w:val="00AC6C60"/>
    <w:rsid w:val="00AD09E2"/>
    <w:rsid w:val="00AD2407"/>
    <w:rsid w:val="00AD2757"/>
    <w:rsid w:val="00AD2D0E"/>
    <w:rsid w:val="00AD31E4"/>
    <w:rsid w:val="00AD49D7"/>
    <w:rsid w:val="00AE0E21"/>
    <w:rsid w:val="00AE2712"/>
    <w:rsid w:val="00AE384B"/>
    <w:rsid w:val="00AE463F"/>
    <w:rsid w:val="00AF0005"/>
    <w:rsid w:val="00AF180D"/>
    <w:rsid w:val="00AF18D5"/>
    <w:rsid w:val="00AF1A24"/>
    <w:rsid w:val="00AF2C74"/>
    <w:rsid w:val="00AF2D57"/>
    <w:rsid w:val="00AF4BB5"/>
    <w:rsid w:val="00AF5924"/>
    <w:rsid w:val="00AF7BCD"/>
    <w:rsid w:val="00B0082D"/>
    <w:rsid w:val="00B00CBA"/>
    <w:rsid w:val="00B02249"/>
    <w:rsid w:val="00B0339C"/>
    <w:rsid w:val="00B04D9E"/>
    <w:rsid w:val="00B05A91"/>
    <w:rsid w:val="00B07BDF"/>
    <w:rsid w:val="00B07D32"/>
    <w:rsid w:val="00B1146F"/>
    <w:rsid w:val="00B13DE2"/>
    <w:rsid w:val="00B16511"/>
    <w:rsid w:val="00B167DC"/>
    <w:rsid w:val="00B17EC6"/>
    <w:rsid w:val="00B207FE"/>
    <w:rsid w:val="00B22D51"/>
    <w:rsid w:val="00B23402"/>
    <w:rsid w:val="00B23955"/>
    <w:rsid w:val="00B24528"/>
    <w:rsid w:val="00B247C7"/>
    <w:rsid w:val="00B25EB9"/>
    <w:rsid w:val="00B273E8"/>
    <w:rsid w:val="00B31E4E"/>
    <w:rsid w:val="00B3288E"/>
    <w:rsid w:val="00B3309E"/>
    <w:rsid w:val="00B34055"/>
    <w:rsid w:val="00B342BD"/>
    <w:rsid w:val="00B34F98"/>
    <w:rsid w:val="00B35356"/>
    <w:rsid w:val="00B35DB4"/>
    <w:rsid w:val="00B3720D"/>
    <w:rsid w:val="00B37FED"/>
    <w:rsid w:val="00B4163F"/>
    <w:rsid w:val="00B42B86"/>
    <w:rsid w:val="00B43824"/>
    <w:rsid w:val="00B441A5"/>
    <w:rsid w:val="00B46E5D"/>
    <w:rsid w:val="00B51A8E"/>
    <w:rsid w:val="00B522B2"/>
    <w:rsid w:val="00B52501"/>
    <w:rsid w:val="00B54260"/>
    <w:rsid w:val="00B57C2C"/>
    <w:rsid w:val="00B57F18"/>
    <w:rsid w:val="00B6067C"/>
    <w:rsid w:val="00B62588"/>
    <w:rsid w:val="00B62889"/>
    <w:rsid w:val="00B6295B"/>
    <w:rsid w:val="00B647BF"/>
    <w:rsid w:val="00B66674"/>
    <w:rsid w:val="00B66764"/>
    <w:rsid w:val="00B66CE7"/>
    <w:rsid w:val="00B67355"/>
    <w:rsid w:val="00B67709"/>
    <w:rsid w:val="00B73D74"/>
    <w:rsid w:val="00B74807"/>
    <w:rsid w:val="00B80AD4"/>
    <w:rsid w:val="00B8240E"/>
    <w:rsid w:val="00B82ACD"/>
    <w:rsid w:val="00B83D8D"/>
    <w:rsid w:val="00B87F92"/>
    <w:rsid w:val="00B9073A"/>
    <w:rsid w:val="00B90D15"/>
    <w:rsid w:val="00B9378B"/>
    <w:rsid w:val="00B9388C"/>
    <w:rsid w:val="00B946AA"/>
    <w:rsid w:val="00B946D4"/>
    <w:rsid w:val="00B95213"/>
    <w:rsid w:val="00B96FB3"/>
    <w:rsid w:val="00B96FD7"/>
    <w:rsid w:val="00BA1381"/>
    <w:rsid w:val="00BA36CA"/>
    <w:rsid w:val="00BA4D7D"/>
    <w:rsid w:val="00BA5F50"/>
    <w:rsid w:val="00BA60E4"/>
    <w:rsid w:val="00BA6386"/>
    <w:rsid w:val="00BA709D"/>
    <w:rsid w:val="00BA710E"/>
    <w:rsid w:val="00BB0B6F"/>
    <w:rsid w:val="00BB1213"/>
    <w:rsid w:val="00BB5FDC"/>
    <w:rsid w:val="00BB64E8"/>
    <w:rsid w:val="00BB7B0E"/>
    <w:rsid w:val="00BC088D"/>
    <w:rsid w:val="00BC0A9B"/>
    <w:rsid w:val="00BC1110"/>
    <w:rsid w:val="00BC425A"/>
    <w:rsid w:val="00BC483A"/>
    <w:rsid w:val="00BC4C86"/>
    <w:rsid w:val="00BC5421"/>
    <w:rsid w:val="00BC6F0D"/>
    <w:rsid w:val="00BC7FC7"/>
    <w:rsid w:val="00BD1A32"/>
    <w:rsid w:val="00BD2E2C"/>
    <w:rsid w:val="00BD446B"/>
    <w:rsid w:val="00BD6CBB"/>
    <w:rsid w:val="00BD7F75"/>
    <w:rsid w:val="00BE14DF"/>
    <w:rsid w:val="00BE1556"/>
    <w:rsid w:val="00BE2E89"/>
    <w:rsid w:val="00BE3159"/>
    <w:rsid w:val="00BE3EB9"/>
    <w:rsid w:val="00BE3FF7"/>
    <w:rsid w:val="00BE44E7"/>
    <w:rsid w:val="00BE49EC"/>
    <w:rsid w:val="00BF00AC"/>
    <w:rsid w:val="00BF0348"/>
    <w:rsid w:val="00BF09C4"/>
    <w:rsid w:val="00BF0BB5"/>
    <w:rsid w:val="00BF0F5A"/>
    <w:rsid w:val="00BF2711"/>
    <w:rsid w:val="00BF438C"/>
    <w:rsid w:val="00BF4FFA"/>
    <w:rsid w:val="00BF7324"/>
    <w:rsid w:val="00BF77CC"/>
    <w:rsid w:val="00C0007C"/>
    <w:rsid w:val="00C03075"/>
    <w:rsid w:val="00C04916"/>
    <w:rsid w:val="00C053BA"/>
    <w:rsid w:val="00C057B8"/>
    <w:rsid w:val="00C06C4B"/>
    <w:rsid w:val="00C07411"/>
    <w:rsid w:val="00C11499"/>
    <w:rsid w:val="00C11EEE"/>
    <w:rsid w:val="00C202B2"/>
    <w:rsid w:val="00C26EDA"/>
    <w:rsid w:val="00C317B8"/>
    <w:rsid w:val="00C330C1"/>
    <w:rsid w:val="00C335E5"/>
    <w:rsid w:val="00C343F5"/>
    <w:rsid w:val="00C349C6"/>
    <w:rsid w:val="00C351E9"/>
    <w:rsid w:val="00C352CC"/>
    <w:rsid w:val="00C35EA1"/>
    <w:rsid w:val="00C35F4A"/>
    <w:rsid w:val="00C361DF"/>
    <w:rsid w:val="00C40BD0"/>
    <w:rsid w:val="00C422F9"/>
    <w:rsid w:val="00C44D6E"/>
    <w:rsid w:val="00C462DC"/>
    <w:rsid w:val="00C465E5"/>
    <w:rsid w:val="00C5031E"/>
    <w:rsid w:val="00C533BA"/>
    <w:rsid w:val="00C536EC"/>
    <w:rsid w:val="00C53F09"/>
    <w:rsid w:val="00C55C22"/>
    <w:rsid w:val="00C560BD"/>
    <w:rsid w:val="00C56A20"/>
    <w:rsid w:val="00C60A7F"/>
    <w:rsid w:val="00C6140E"/>
    <w:rsid w:val="00C61F9E"/>
    <w:rsid w:val="00C65DE4"/>
    <w:rsid w:val="00C65E75"/>
    <w:rsid w:val="00C675E5"/>
    <w:rsid w:val="00C75C3E"/>
    <w:rsid w:val="00C769A4"/>
    <w:rsid w:val="00C76C6B"/>
    <w:rsid w:val="00C77C0F"/>
    <w:rsid w:val="00C802E8"/>
    <w:rsid w:val="00C80E8F"/>
    <w:rsid w:val="00C819CB"/>
    <w:rsid w:val="00C828BF"/>
    <w:rsid w:val="00C82980"/>
    <w:rsid w:val="00C83751"/>
    <w:rsid w:val="00C8635B"/>
    <w:rsid w:val="00C86E97"/>
    <w:rsid w:val="00C872CF"/>
    <w:rsid w:val="00C879DC"/>
    <w:rsid w:val="00C9026A"/>
    <w:rsid w:val="00C90C07"/>
    <w:rsid w:val="00C91514"/>
    <w:rsid w:val="00C929CA"/>
    <w:rsid w:val="00C93205"/>
    <w:rsid w:val="00C93FEB"/>
    <w:rsid w:val="00C94656"/>
    <w:rsid w:val="00C94912"/>
    <w:rsid w:val="00C94AAF"/>
    <w:rsid w:val="00C973ED"/>
    <w:rsid w:val="00C975DA"/>
    <w:rsid w:val="00CA0575"/>
    <w:rsid w:val="00CA07FB"/>
    <w:rsid w:val="00CA1703"/>
    <w:rsid w:val="00CA3200"/>
    <w:rsid w:val="00CA3D13"/>
    <w:rsid w:val="00CA5353"/>
    <w:rsid w:val="00CA6D94"/>
    <w:rsid w:val="00CA73D0"/>
    <w:rsid w:val="00CA7898"/>
    <w:rsid w:val="00CB3F3F"/>
    <w:rsid w:val="00CB4DD3"/>
    <w:rsid w:val="00CB57D4"/>
    <w:rsid w:val="00CB5A40"/>
    <w:rsid w:val="00CB7FE4"/>
    <w:rsid w:val="00CC0A57"/>
    <w:rsid w:val="00CC2ADE"/>
    <w:rsid w:val="00CC6D60"/>
    <w:rsid w:val="00CC7CC6"/>
    <w:rsid w:val="00CD324D"/>
    <w:rsid w:val="00CD33C8"/>
    <w:rsid w:val="00CD37BA"/>
    <w:rsid w:val="00CD44F7"/>
    <w:rsid w:val="00CD518C"/>
    <w:rsid w:val="00CD5F83"/>
    <w:rsid w:val="00CD64DF"/>
    <w:rsid w:val="00CD6E5F"/>
    <w:rsid w:val="00CE1D71"/>
    <w:rsid w:val="00CE226E"/>
    <w:rsid w:val="00CE4466"/>
    <w:rsid w:val="00CE73AB"/>
    <w:rsid w:val="00CF146A"/>
    <w:rsid w:val="00CF17FD"/>
    <w:rsid w:val="00CF3F57"/>
    <w:rsid w:val="00CF4141"/>
    <w:rsid w:val="00CF4EC9"/>
    <w:rsid w:val="00CF4F4F"/>
    <w:rsid w:val="00CF79B1"/>
    <w:rsid w:val="00D0136C"/>
    <w:rsid w:val="00D018C3"/>
    <w:rsid w:val="00D01EDC"/>
    <w:rsid w:val="00D02467"/>
    <w:rsid w:val="00D0279C"/>
    <w:rsid w:val="00D04E46"/>
    <w:rsid w:val="00D05663"/>
    <w:rsid w:val="00D0619D"/>
    <w:rsid w:val="00D065DF"/>
    <w:rsid w:val="00D07D7A"/>
    <w:rsid w:val="00D1062B"/>
    <w:rsid w:val="00D15784"/>
    <w:rsid w:val="00D21225"/>
    <w:rsid w:val="00D222C7"/>
    <w:rsid w:val="00D222EF"/>
    <w:rsid w:val="00D2339B"/>
    <w:rsid w:val="00D235C6"/>
    <w:rsid w:val="00D23A1B"/>
    <w:rsid w:val="00D243C2"/>
    <w:rsid w:val="00D24A3F"/>
    <w:rsid w:val="00D275DD"/>
    <w:rsid w:val="00D277BB"/>
    <w:rsid w:val="00D325A5"/>
    <w:rsid w:val="00D3294A"/>
    <w:rsid w:val="00D3455C"/>
    <w:rsid w:val="00D361F9"/>
    <w:rsid w:val="00D36C84"/>
    <w:rsid w:val="00D37045"/>
    <w:rsid w:val="00D4196D"/>
    <w:rsid w:val="00D41F01"/>
    <w:rsid w:val="00D43902"/>
    <w:rsid w:val="00D44615"/>
    <w:rsid w:val="00D4535E"/>
    <w:rsid w:val="00D45655"/>
    <w:rsid w:val="00D4764C"/>
    <w:rsid w:val="00D50D09"/>
    <w:rsid w:val="00D53457"/>
    <w:rsid w:val="00D550E0"/>
    <w:rsid w:val="00D61535"/>
    <w:rsid w:val="00D61A78"/>
    <w:rsid w:val="00D63A85"/>
    <w:rsid w:val="00D66310"/>
    <w:rsid w:val="00D70810"/>
    <w:rsid w:val="00D71281"/>
    <w:rsid w:val="00D73AA8"/>
    <w:rsid w:val="00D74472"/>
    <w:rsid w:val="00D752EC"/>
    <w:rsid w:val="00D75792"/>
    <w:rsid w:val="00D76BEB"/>
    <w:rsid w:val="00D777B1"/>
    <w:rsid w:val="00D80B7D"/>
    <w:rsid w:val="00D81E24"/>
    <w:rsid w:val="00D82844"/>
    <w:rsid w:val="00D86B4B"/>
    <w:rsid w:val="00D8797D"/>
    <w:rsid w:val="00D91ABF"/>
    <w:rsid w:val="00D94502"/>
    <w:rsid w:val="00D96015"/>
    <w:rsid w:val="00DA00BB"/>
    <w:rsid w:val="00DA23C7"/>
    <w:rsid w:val="00DA6A35"/>
    <w:rsid w:val="00DA6F50"/>
    <w:rsid w:val="00DB135E"/>
    <w:rsid w:val="00DB301D"/>
    <w:rsid w:val="00DB3E6C"/>
    <w:rsid w:val="00DB4171"/>
    <w:rsid w:val="00DB5BBA"/>
    <w:rsid w:val="00DB5E29"/>
    <w:rsid w:val="00DC11F2"/>
    <w:rsid w:val="00DC22C4"/>
    <w:rsid w:val="00DC373A"/>
    <w:rsid w:val="00DD3BBE"/>
    <w:rsid w:val="00DD5A2C"/>
    <w:rsid w:val="00DD6CAA"/>
    <w:rsid w:val="00DD78DB"/>
    <w:rsid w:val="00DE084C"/>
    <w:rsid w:val="00DE2BA8"/>
    <w:rsid w:val="00DE63C2"/>
    <w:rsid w:val="00DE7054"/>
    <w:rsid w:val="00DF1351"/>
    <w:rsid w:val="00DF2405"/>
    <w:rsid w:val="00DF2B9C"/>
    <w:rsid w:val="00DF489D"/>
    <w:rsid w:val="00E00317"/>
    <w:rsid w:val="00E02B91"/>
    <w:rsid w:val="00E03204"/>
    <w:rsid w:val="00E04704"/>
    <w:rsid w:val="00E05368"/>
    <w:rsid w:val="00E067F6"/>
    <w:rsid w:val="00E06BFC"/>
    <w:rsid w:val="00E07117"/>
    <w:rsid w:val="00E15784"/>
    <w:rsid w:val="00E24F54"/>
    <w:rsid w:val="00E26D25"/>
    <w:rsid w:val="00E26D8E"/>
    <w:rsid w:val="00E3069E"/>
    <w:rsid w:val="00E31B91"/>
    <w:rsid w:val="00E338B5"/>
    <w:rsid w:val="00E34AC8"/>
    <w:rsid w:val="00E35998"/>
    <w:rsid w:val="00E4196C"/>
    <w:rsid w:val="00E43B49"/>
    <w:rsid w:val="00E441B7"/>
    <w:rsid w:val="00E44BAB"/>
    <w:rsid w:val="00E44BE7"/>
    <w:rsid w:val="00E44F2D"/>
    <w:rsid w:val="00E45DE1"/>
    <w:rsid w:val="00E462F8"/>
    <w:rsid w:val="00E4711E"/>
    <w:rsid w:val="00E47664"/>
    <w:rsid w:val="00E47CA6"/>
    <w:rsid w:val="00E51A90"/>
    <w:rsid w:val="00E5413F"/>
    <w:rsid w:val="00E54E84"/>
    <w:rsid w:val="00E5738E"/>
    <w:rsid w:val="00E61765"/>
    <w:rsid w:val="00E634BD"/>
    <w:rsid w:val="00E6483E"/>
    <w:rsid w:val="00E65C4D"/>
    <w:rsid w:val="00E65EEC"/>
    <w:rsid w:val="00E664C9"/>
    <w:rsid w:val="00E66980"/>
    <w:rsid w:val="00E66AD7"/>
    <w:rsid w:val="00E6737F"/>
    <w:rsid w:val="00E742A1"/>
    <w:rsid w:val="00E764A8"/>
    <w:rsid w:val="00E80608"/>
    <w:rsid w:val="00E8100D"/>
    <w:rsid w:val="00E8105F"/>
    <w:rsid w:val="00E82D8D"/>
    <w:rsid w:val="00E83E67"/>
    <w:rsid w:val="00E84023"/>
    <w:rsid w:val="00E85061"/>
    <w:rsid w:val="00E8770A"/>
    <w:rsid w:val="00E90338"/>
    <w:rsid w:val="00E91B89"/>
    <w:rsid w:val="00E93DB7"/>
    <w:rsid w:val="00E952EF"/>
    <w:rsid w:val="00E9570A"/>
    <w:rsid w:val="00E95A4D"/>
    <w:rsid w:val="00E96336"/>
    <w:rsid w:val="00E97B9C"/>
    <w:rsid w:val="00EA1384"/>
    <w:rsid w:val="00EA2071"/>
    <w:rsid w:val="00EA3175"/>
    <w:rsid w:val="00EA414D"/>
    <w:rsid w:val="00EA4656"/>
    <w:rsid w:val="00EA5CA7"/>
    <w:rsid w:val="00EA5FBB"/>
    <w:rsid w:val="00EB3502"/>
    <w:rsid w:val="00EB3739"/>
    <w:rsid w:val="00EB419C"/>
    <w:rsid w:val="00EB4DDC"/>
    <w:rsid w:val="00EB579F"/>
    <w:rsid w:val="00EB7C30"/>
    <w:rsid w:val="00EB7F3C"/>
    <w:rsid w:val="00ED090A"/>
    <w:rsid w:val="00ED18A6"/>
    <w:rsid w:val="00ED2A92"/>
    <w:rsid w:val="00ED5A96"/>
    <w:rsid w:val="00ED7AD2"/>
    <w:rsid w:val="00EE06CA"/>
    <w:rsid w:val="00EE4505"/>
    <w:rsid w:val="00EE57AD"/>
    <w:rsid w:val="00EE63B1"/>
    <w:rsid w:val="00EE7E5B"/>
    <w:rsid w:val="00EF0552"/>
    <w:rsid w:val="00EF0A64"/>
    <w:rsid w:val="00EF295B"/>
    <w:rsid w:val="00EF5714"/>
    <w:rsid w:val="00EF6539"/>
    <w:rsid w:val="00EF6B8B"/>
    <w:rsid w:val="00EF70E1"/>
    <w:rsid w:val="00EF7F1C"/>
    <w:rsid w:val="00F01987"/>
    <w:rsid w:val="00F022CD"/>
    <w:rsid w:val="00F0282A"/>
    <w:rsid w:val="00F03299"/>
    <w:rsid w:val="00F04941"/>
    <w:rsid w:val="00F05BF0"/>
    <w:rsid w:val="00F1090F"/>
    <w:rsid w:val="00F13667"/>
    <w:rsid w:val="00F1387E"/>
    <w:rsid w:val="00F13F35"/>
    <w:rsid w:val="00F14B34"/>
    <w:rsid w:val="00F14F1E"/>
    <w:rsid w:val="00F16E3E"/>
    <w:rsid w:val="00F172C8"/>
    <w:rsid w:val="00F22616"/>
    <w:rsid w:val="00F33D92"/>
    <w:rsid w:val="00F33F88"/>
    <w:rsid w:val="00F345CD"/>
    <w:rsid w:val="00F36039"/>
    <w:rsid w:val="00F3686F"/>
    <w:rsid w:val="00F37578"/>
    <w:rsid w:val="00F40B22"/>
    <w:rsid w:val="00F422A9"/>
    <w:rsid w:val="00F44493"/>
    <w:rsid w:val="00F46D8F"/>
    <w:rsid w:val="00F52F06"/>
    <w:rsid w:val="00F531D6"/>
    <w:rsid w:val="00F535C1"/>
    <w:rsid w:val="00F54E54"/>
    <w:rsid w:val="00F5595A"/>
    <w:rsid w:val="00F5767B"/>
    <w:rsid w:val="00F61176"/>
    <w:rsid w:val="00F64C78"/>
    <w:rsid w:val="00F64CAD"/>
    <w:rsid w:val="00F654FB"/>
    <w:rsid w:val="00F670B4"/>
    <w:rsid w:val="00F679FF"/>
    <w:rsid w:val="00F67E4D"/>
    <w:rsid w:val="00F71213"/>
    <w:rsid w:val="00F72930"/>
    <w:rsid w:val="00F7321B"/>
    <w:rsid w:val="00F74672"/>
    <w:rsid w:val="00F7689F"/>
    <w:rsid w:val="00F77804"/>
    <w:rsid w:val="00F818BE"/>
    <w:rsid w:val="00F85FBF"/>
    <w:rsid w:val="00F86E3D"/>
    <w:rsid w:val="00F86FCF"/>
    <w:rsid w:val="00F902B3"/>
    <w:rsid w:val="00F951A5"/>
    <w:rsid w:val="00F95A4A"/>
    <w:rsid w:val="00FA3B27"/>
    <w:rsid w:val="00FA68B5"/>
    <w:rsid w:val="00FA7438"/>
    <w:rsid w:val="00FB058D"/>
    <w:rsid w:val="00FB1C7D"/>
    <w:rsid w:val="00FB2E43"/>
    <w:rsid w:val="00FB383C"/>
    <w:rsid w:val="00FB7C1D"/>
    <w:rsid w:val="00FC06FD"/>
    <w:rsid w:val="00FC5420"/>
    <w:rsid w:val="00FD09AA"/>
    <w:rsid w:val="00FD12E1"/>
    <w:rsid w:val="00FD2A6C"/>
    <w:rsid w:val="00FD4374"/>
    <w:rsid w:val="00FD736D"/>
    <w:rsid w:val="00FE316E"/>
    <w:rsid w:val="00FE5A65"/>
    <w:rsid w:val="00FE60DB"/>
    <w:rsid w:val="00FF16AB"/>
    <w:rsid w:val="00FF1C22"/>
    <w:rsid w:val="00FF2898"/>
    <w:rsid w:val="00FF3885"/>
    <w:rsid w:val="00FF414F"/>
    <w:rsid w:val="00FF4AD0"/>
    <w:rsid w:val="00FF570F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14964B"/>
  <w15:chartTrackingRefBased/>
  <w15:docId w15:val="{3E54232A-69A3-4287-8AC1-F09FAF9A4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26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226E"/>
    <w:pPr>
      <w:keepNext/>
      <w:keepLines/>
      <w:spacing w:before="360" w:after="120"/>
      <w:outlineLvl w:val="0"/>
    </w:pPr>
    <w:rPr>
      <w:rFonts w:eastAsiaTheme="majorEastAsia" w:cstheme="majorBidi"/>
      <w:color w:val="2D2F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26E"/>
    <w:pPr>
      <w:keepNext/>
      <w:keepLines/>
      <w:spacing w:before="160" w:after="120"/>
      <w:outlineLvl w:val="1"/>
    </w:pPr>
    <w:rPr>
      <w:rFonts w:eastAsiaTheme="majorEastAsia" w:cstheme="majorBidi"/>
      <w:color w:val="2D2F3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A64"/>
  </w:style>
  <w:style w:type="paragraph" w:styleId="Footer">
    <w:name w:val="footer"/>
    <w:basedOn w:val="Normal"/>
    <w:link w:val="FooterChar"/>
    <w:uiPriority w:val="99"/>
    <w:unhideWhenUsed/>
    <w:rsid w:val="00EF0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64"/>
  </w:style>
  <w:style w:type="paragraph" w:customStyle="1" w:styleId="bodytable">
    <w:name w:val="body table"/>
    <w:basedOn w:val="BodyText"/>
    <w:rsid w:val="003974C2"/>
    <w:pPr>
      <w:keepLines/>
      <w:widowControl w:val="0"/>
      <w:spacing w:before="60" w:after="60" w:line="240" w:lineRule="auto"/>
      <w:jc w:val="both"/>
    </w:pPr>
    <w:rPr>
      <w:rFonts w:eastAsia="Times New Roman" w:cs="Times New Roman"/>
      <w:sz w:val="18"/>
      <w:szCs w:val="20"/>
      <w:lang w:bidi="he-IL"/>
    </w:rPr>
  </w:style>
  <w:style w:type="paragraph" w:styleId="BodyText">
    <w:name w:val="Body Text"/>
    <w:basedOn w:val="Normal"/>
    <w:link w:val="BodyTextChar"/>
    <w:uiPriority w:val="99"/>
    <w:semiHidden/>
    <w:unhideWhenUsed/>
    <w:rsid w:val="003974C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974C2"/>
  </w:style>
  <w:style w:type="character" w:styleId="Hyperlink">
    <w:name w:val="Hyperlink"/>
    <w:basedOn w:val="DefaultParagraphFont"/>
    <w:uiPriority w:val="99"/>
    <w:unhideWhenUsed/>
    <w:rsid w:val="0007304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2E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14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4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4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4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4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4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C86E97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3F63DB"/>
    <w:rPr>
      <w:b/>
      <w:bCs/>
    </w:rPr>
  </w:style>
  <w:style w:type="paragraph" w:customStyle="1" w:styleId="Default">
    <w:name w:val="Default"/>
    <w:rsid w:val="008A1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63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63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D63C9"/>
    <w:rPr>
      <w:vertAlign w:val="superscript"/>
    </w:rPr>
  </w:style>
  <w:style w:type="table" w:styleId="TableGrid">
    <w:name w:val="Table Grid"/>
    <w:basedOn w:val="TableNormal"/>
    <w:uiPriority w:val="39"/>
    <w:rsid w:val="00472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226E"/>
    <w:rPr>
      <w:rFonts w:ascii="Arial" w:eastAsiaTheme="majorEastAsia" w:hAnsi="Arial" w:cstheme="majorBidi"/>
      <w:color w:val="2D2F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226E"/>
    <w:rPr>
      <w:rFonts w:ascii="Arial" w:eastAsiaTheme="majorEastAsia" w:hAnsi="Arial" w:cstheme="majorBidi"/>
      <w:color w:val="2D2F32"/>
      <w:sz w:val="28"/>
      <w:szCs w:val="26"/>
    </w:rPr>
  </w:style>
  <w:style w:type="paragraph" w:styleId="NoSpacing">
    <w:name w:val="No Spacing"/>
    <w:uiPriority w:val="1"/>
    <w:qFormat/>
    <w:rsid w:val="00CE226E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qgcio.qld.gov.au/products/qgea-documents/3241-ict-as-a-service-risk-assessment-guidelin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o.org/iso-31000-risk-management.html" TargetMode="External"/><Relationship Id="rId17" Type="http://schemas.openxmlformats.org/officeDocument/2006/relationships/hyperlink" Target="http://www.egovernment.tas.gov.au/__data/assets/pdf_file/0008/271979/Tasmanian_Cloud_Policy_-_Version_1_October_2015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reasury.qld.gov.au/resource/guide-risk-managemen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o.org/isoiec-27001-information-secur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qgcio.qld.gov.au/products/ict-risk-management" TargetMode="External"/><Relationship Id="rId10" Type="http://schemas.openxmlformats.org/officeDocument/2006/relationships/hyperlink" Target="https://www.contractswa.finance.wa.gov.au/resources/Risk_Management_-_15091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c.europa.eu/info/law/law-topic/data-protection/data-transfers-outside-eu/adequacy-protection-personal-data-non-eu-countries_en" TargetMode="External"/><Relationship Id="rId14" Type="http://schemas.openxmlformats.org/officeDocument/2006/relationships/hyperlink" Target="https://www.qgcio.qld.gov.au/products/ict-risk-manag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CT%20Policy%20&amp;%20Governance\Cloud%20toolkit\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2E453-BE8A-4581-A6EF-36F6CDDAF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TEMPLATE.dotx</Template>
  <TotalTime>354</TotalTime>
  <Pages>5</Pages>
  <Words>1512</Words>
  <Characters>9226</Characters>
  <Application>Microsoft Office Word</Application>
  <DocSecurity>0</DocSecurity>
  <Lines>297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Cloud Policy Fact Sheet 4.1 - Risk assessment for Cloud transition</vt:lpstr>
    </vt:vector>
  </TitlesOfParts>
  <Manager/>
  <Company>Office of Digital Government</Company>
  <LinksUpToDate>false</LinksUpToDate>
  <CharactersWithSpaces>10557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Cloud Policy Fact Sheet 4.1 - Risk assessment for Cloud transition</dc:title>
  <dc:subject>risk assessment for Cloud transition</dc:subject>
  <dc:creator>Office of Digital Government</dc:creator>
  <cp:keywords>cloud policy, risk assessment, cloud transition</cp:keywords>
  <dc:description/>
  <cp:lastModifiedBy>D'Angelo, Juliette</cp:lastModifiedBy>
  <cp:revision>64</cp:revision>
  <cp:lastPrinted>2018-10-16T08:14:00Z</cp:lastPrinted>
  <dcterms:created xsi:type="dcterms:W3CDTF">2018-03-08T05:40:00Z</dcterms:created>
  <dcterms:modified xsi:type="dcterms:W3CDTF">2019-01-31T05:43:00Z</dcterms:modified>
  <cp:category>Cloud policy fact sheet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-1878266009</vt:i4>
  </property>
</Properties>
</file>