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8D7E3" w14:textId="35B25A53" w:rsidR="00B61157" w:rsidRDefault="00A76482" w:rsidP="00C94F00">
      <w:pPr>
        <w:pStyle w:val="Heading1"/>
      </w:pPr>
      <w:r>
        <w:t>W</w:t>
      </w:r>
      <w:r w:rsidR="00215296">
        <w:t>orkforce C</w:t>
      </w:r>
      <w:r w:rsidR="00B61157" w:rsidRPr="00C4753D">
        <w:t>apability</w:t>
      </w:r>
      <w:r w:rsidR="00215296">
        <w:t xml:space="preserve"> Gap Assessment for Cloud T</w:t>
      </w:r>
      <w:r>
        <w:t>ransition</w:t>
      </w:r>
    </w:p>
    <w:p w14:paraId="5770B746" w14:textId="1A33D3EB" w:rsidR="00215296" w:rsidRPr="00215296" w:rsidRDefault="00215296" w:rsidP="00215296">
      <w:pPr>
        <w:pStyle w:val="Heading2"/>
      </w:pPr>
      <w:r>
        <w:t>Cloud Policy Fact Sheet 2.1</w:t>
      </w:r>
    </w:p>
    <w:p w14:paraId="0B1F608B" w14:textId="09DF7CE6" w:rsidR="00245AF0" w:rsidRPr="00526D9B" w:rsidRDefault="00245AF0" w:rsidP="00B61157">
      <w:pPr>
        <w:tabs>
          <w:tab w:val="left" w:pos="1230"/>
        </w:tabs>
        <w:jc w:val="both"/>
        <w:rPr>
          <w:szCs w:val="23"/>
        </w:rPr>
      </w:pPr>
      <w:r w:rsidRPr="00526D9B">
        <w:rPr>
          <w:szCs w:val="23"/>
        </w:rPr>
        <w:t xml:space="preserve">Transition to cloud services changes the role of ICT from an owner and operator of infrastructure to becoming a broker, manager and or operator of services. </w:t>
      </w:r>
      <w:r w:rsidR="00AB3D83" w:rsidRPr="00526D9B">
        <w:rPr>
          <w:szCs w:val="23"/>
        </w:rPr>
        <w:t xml:space="preserve"> This is a fundamental change to the</w:t>
      </w:r>
      <w:r w:rsidRPr="00526D9B">
        <w:rPr>
          <w:szCs w:val="23"/>
        </w:rPr>
        <w:t xml:space="preserve"> skill sets and capabilities of the ICT workforce.  This fact sheet will assist with </w:t>
      </w:r>
      <w:r w:rsidR="00AB3D83" w:rsidRPr="00526D9B">
        <w:rPr>
          <w:szCs w:val="23"/>
        </w:rPr>
        <w:t xml:space="preserve">conducting a gap analysis </w:t>
      </w:r>
      <w:r w:rsidRPr="00526D9B">
        <w:rPr>
          <w:szCs w:val="23"/>
        </w:rPr>
        <w:t>between the current state and desired capability set</w:t>
      </w:r>
      <w:r w:rsidR="00D85D6C" w:rsidRPr="00526D9B">
        <w:rPr>
          <w:szCs w:val="23"/>
        </w:rPr>
        <w:t>.</w:t>
      </w:r>
    </w:p>
    <w:p w14:paraId="6782E858" w14:textId="77777777" w:rsidR="00B61157" w:rsidRPr="00C4753D" w:rsidRDefault="00B61157" w:rsidP="00C94F00">
      <w:pPr>
        <w:pStyle w:val="Heading2"/>
      </w:pPr>
      <w:r>
        <w:t>Objective</w:t>
      </w:r>
      <w:bookmarkStart w:id="0" w:name="_GoBack"/>
      <w:bookmarkEnd w:id="0"/>
    </w:p>
    <w:p w14:paraId="6CA77C14" w14:textId="526227FD" w:rsidR="00B61157" w:rsidRPr="00C94F00" w:rsidRDefault="00B61157" w:rsidP="00C94F00">
      <w:pPr>
        <w:rPr>
          <w:b/>
        </w:rPr>
      </w:pPr>
      <w:r w:rsidRPr="00C94F00">
        <w:rPr>
          <w:b/>
        </w:rPr>
        <w:t xml:space="preserve">Assess the skills and capabilities of your agency </w:t>
      </w:r>
      <w:r w:rsidR="00AB3D83" w:rsidRPr="00C94F00">
        <w:rPr>
          <w:b/>
        </w:rPr>
        <w:t>to plan, assess and implement c</w:t>
      </w:r>
      <w:r w:rsidRPr="00C94F00">
        <w:rPr>
          <w:b/>
        </w:rPr>
        <w:t>loud offerings.</w:t>
      </w:r>
    </w:p>
    <w:p w14:paraId="0BDCA5E0" w14:textId="77777777" w:rsidR="00B61157" w:rsidRPr="00C4753D" w:rsidRDefault="00B61157" w:rsidP="00C94F00">
      <w:pPr>
        <w:pStyle w:val="Heading2"/>
      </w:pPr>
      <w:r>
        <w:t>Process</w:t>
      </w:r>
    </w:p>
    <w:p w14:paraId="2C27C730" w14:textId="71954F44" w:rsidR="00B61157" w:rsidRPr="008F62D5" w:rsidRDefault="00AB3D83" w:rsidP="00C94F00">
      <w:r>
        <w:t>Transitioning to the c</w:t>
      </w:r>
      <w:r w:rsidR="00AE631A">
        <w:t>loud will require a change in skill s</w:t>
      </w:r>
      <w:r w:rsidR="009C5E12">
        <w:t xml:space="preserve">ets, as ICT changes from being consumers of </w:t>
      </w:r>
      <w:r w:rsidR="005144B0">
        <w:t>technology</w:t>
      </w:r>
      <w:r w:rsidR="009C5E12">
        <w:t xml:space="preserve"> to brokers of </w:t>
      </w:r>
      <w:r>
        <w:t>c</w:t>
      </w:r>
      <w:r w:rsidR="009C5E12">
        <w:t>loud services.</w:t>
      </w:r>
      <w:r>
        <w:t xml:space="preserve"> </w:t>
      </w:r>
      <w:r w:rsidR="009C5E12">
        <w:t xml:space="preserve"> </w:t>
      </w:r>
      <w:r w:rsidR="00245AF0">
        <w:t>To assist this transition, y</w:t>
      </w:r>
      <w:r w:rsidR="00B61157" w:rsidRPr="008F62D5">
        <w:t>our agency will</w:t>
      </w:r>
      <w:r>
        <w:t xml:space="preserve"> be required</w:t>
      </w:r>
      <w:r w:rsidR="00B61157" w:rsidRPr="008F62D5">
        <w:t xml:space="preserve"> to create a com</w:t>
      </w:r>
      <w:r>
        <w:t>prehensive plan to ensure your c</w:t>
      </w:r>
      <w:r w:rsidR="00B61157" w:rsidRPr="008F62D5">
        <w:t>loud</w:t>
      </w:r>
      <w:r w:rsidR="005144B0">
        <w:t xml:space="preserve"> </w:t>
      </w:r>
      <w:r>
        <w:t>transformation</w:t>
      </w:r>
      <w:r w:rsidR="00B61157" w:rsidRPr="008F62D5">
        <w:t xml:space="preserve"> is sufficiently </w:t>
      </w:r>
      <w:r w:rsidR="009C5E12">
        <w:t xml:space="preserve">planned for and </w:t>
      </w:r>
      <w:r w:rsidR="00B61157" w:rsidRPr="008F62D5">
        <w:t>resourced.</w:t>
      </w:r>
      <w:r w:rsidR="005144B0">
        <w:t xml:space="preserve"> Following are some key considerations.</w:t>
      </w:r>
    </w:p>
    <w:p w14:paraId="3C001F99" w14:textId="77777777" w:rsidR="00B61157" w:rsidRPr="00C94F00" w:rsidRDefault="00B61157" w:rsidP="00C94F00">
      <w:pPr>
        <w:rPr>
          <w:i/>
        </w:rPr>
      </w:pPr>
      <w:r w:rsidRPr="00C94F00">
        <w:rPr>
          <w:i/>
        </w:rPr>
        <w:t>Analyse your current situation</w:t>
      </w:r>
    </w:p>
    <w:p w14:paraId="706F695B" w14:textId="42625EDD" w:rsidR="00B61157" w:rsidRPr="008F62D5" w:rsidRDefault="00B61157" w:rsidP="00C94F00">
      <w:r w:rsidRPr="008F62D5">
        <w:t>Perform a thorough analysis of your agency’s</w:t>
      </w:r>
      <w:r w:rsidR="00245AF0" w:rsidRPr="00245AF0">
        <w:t xml:space="preserve"> </w:t>
      </w:r>
      <w:r w:rsidR="00245AF0">
        <w:t>applications</w:t>
      </w:r>
      <w:r w:rsidRPr="008F62D5">
        <w:t xml:space="preserve">, </w:t>
      </w:r>
      <w:r w:rsidR="00245AF0" w:rsidRPr="008F62D5">
        <w:t>budget levels</w:t>
      </w:r>
      <w:r w:rsidR="00245AF0">
        <w:t xml:space="preserve"> and skill sets </w:t>
      </w:r>
      <w:r w:rsidRPr="008F62D5">
        <w:t>to build a picture of your current</w:t>
      </w:r>
      <w:r w:rsidR="004A7190">
        <w:t xml:space="preserve"> workforce capability</w:t>
      </w:r>
      <w:r w:rsidRPr="008F62D5">
        <w:t>.</w:t>
      </w:r>
    </w:p>
    <w:p w14:paraId="4C4680D9" w14:textId="71448CE7" w:rsidR="00245AF0" w:rsidRDefault="00245AF0" w:rsidP="00B61157">
      <w:pPr>
        <w:pStyle w:val="ListParagraph"/>
        <w:numPr>
          <w:ilvl w:val="0"/>
          <w:numId w:val="2"/>
        </w:numPr>
        <w:tabs>
          <w:tab w:val="left" w:pos="1230"/>
        </w:tabs>
        <w:ind w:left="426"/>
        <w:jc w:val="both"/>
        <w:rPr>
          <w:szCs w:val="23"/>
        </w:rPr>
      </w:pPr>
      <w:r w:rsidRPr="00C94F00">
        <w:rPr>
          <w:szCs w:val="23"/>
        </w:rPr>
        <w:t>Describe the assessing environment. This will assist to determine the initial number of staff required and particular skill sets related to the applications that will be migrated.</w:t>
      </w:r>
    </w:p>
    <w:p w14:paraId="6DDE5F71" w14:textId="77777777" w:rsidR="00C94F00" w:rsidRPr="00C94F00" w:rsidRDefault="00C94F00" w:rsidP="00C94F00">
      <w:pPr>
        <w:pStyle w:val="ListParagraph"/>
        <w:tabs>
          <w:tab w:val="left" w:pos="1230"/>
        </w:tabs>
        <w:ind w:left="426"/>
        <w:jc w:val="both"/>
        <w:rPr>
          <w:szCs w:val="23"/>
        </w:rPr>
      </w:pPr>
    </w:p>
    <w:p w14:paraId="013CAF22" w14:textId="1CEFF9B1" w:rsidR="00245AF0" w:rsidRPr="00C94F00" w:rsidRDefault="00B61157" w:rsidP="00C94F00">
      <w:pPr>
        <w:pStyle w:val="ListParagraph"/>
        <w:numPr>
          <w:ilvl w:val="0"/>
          <w:numId w:val="4"/>
        </w:numPr>
        <w:spacing w:before="120" w:after="120"/>
        <w:ind w:left="850" w:hanging="357"/>
        <w:contextualSpacing w:val="0"/>
        <w:jc w:val="both"/>
        <w:rPr>
          <w:szCs w:val="23"/>
        </w:rPr>
      </w:pPr>
      <w:r w:rsidRPr="00C94F00">
        <w:rPr>
          <w:szCs w:val="23"/>
        </w:rPr>
        <w:t>Determine which app</w:t>
      </w:r>
      <w:r w:rsidR="00AB3D83" w:rsidRPr="00C94F00">
        <w:rPr>
          <w:szCs w:val="23"/>
        </w:rPr>
        <w:t>lications will be moved to the c</w:t>
      </w:r>
      <w:r w:rsidRPr="00C94F00">
        <w:rPr>
          <w:szCs w:val="23"/>
        </w:rPr>
        <w:t>loud. You may choose to pilot the migration of on</w:t>
      </w:r>
      <w:r w:rsidR="00AB3D83" w:rsidRPr="00C94F00">
        <w:rPr>
          <w:szCs w:val="23"/>
        </w:rPr>
        <w:t>e area of your business to the c</w:t>
      </w:r>
      <w:r w:rsidRPr="00C94F00">
        <w:rPr>
          <w:szCs w:val="23"/>
        </w:rPr>
        <w:t>loud first. A small scale pilot can be used to evaluate the resources</w:t>
      </w:r>
      <w:r w:rsidR="000B1ED3" w:rsidRPr="00C94F00">
        <w:rPr>
          <w:szCs w:val="23"/>
        </w:rPr>
        <w:t xml:space="preserve"> and </w:t>
      </w:r>
      <w:r w:rsidRPr="00C94F00">
        <w:rPr>
          <w:szCs w:val="23"/>
        </w:rPr>
        <w:t xml:space="preserve">time </w:t>
      </w:r>
      <w:r w:rsidR="000B1ED3" w:rsidRPr="00C94F00">
        <w:rPr>
          <w:szCs w:val="23"/>
        </w:rPr>
        <w:t xml:space="preserve">required; </w:t>
      </w:r>
      <w:r w:rsidRPr="00C94F00">
        <w:rPr>
          <w:szCs w:val="23"/>
        </w:rPr>
        <w:t xml:space="preserve">and identify any adverse events which will then assist in the larger scale </w:t>
      </w:r>
      <w:r w:rsidR="005144B0" w:rsidRPr="00C94F00">
        <w:rPr>
          <w:szCs w:val="23"/>
        </w:rPr>
        <w:t xml:space="preserve">transition </w:t>
      </w:r>
      <w:r w:rsidRPr="00C94F00">
        <w:rPr>
          <w:szCs w:val="23"/>
        </w:rPr>
        <w:t xml:space="preserve">to </w:t>
      </w:r>
      <w:r w:rsidR="00AB3D83" w:rsidRPr="00C94F00">
        <w:rPr>
          <w:szCs w:val="23"/>
        </w:rPr>
        <w:t>c</w:t>
      </w:r>
      <w:r w:rsidRPr="00C94F00">
        <w:rPr>
          <w:szCs w:val="23"/>
        </w:rPr>
        <w:t>loud.</w:t>
      </w:r>
      <w:r w:rsidR="00245AF0" w:rsidRPr="00C94F00">
        <w:rPr>
          <w:szCs w:val="23"/>
        </w:rPr>
        <w:t xml:space="preserve"> </w:t>
      </w:r>
    </w:p>
    <w:p w14:paraId="130FB6FF" w14:textId="6B8F7D6C" w:rsidR="00245AF0" w:rsidRDefault="00245AF0" w:rsidP="00736436">
      <w:pPr>
        <w:pStyle w:val="ListParagraph"/>
        <w:numPr>
          <w:ilvl w:val="0"/>
          <w:numId w:val="4"/>
        </w:numPr>
        <w:ind w:left="851"/>
        <w:jc w:val="both"/>
        <w:rPr>
          <w:szCs w:val="23"/>
        </w:rPr>
      </w:pPr>
      <w:r w:rsidRPr="00C94F00">
        <w:rPr>
          <w:szCs w:val="23"/>
        </w:rPr>
        <w:t>Determine the migration timelines, and audit your current infrastructure to get a better idea of the scope, scale and costs of the migration. You will need to consider:</w:t>
      </w:r>
    </w:p>
    <w:p w14:paraId="7ACB7FA2" w14:textId="77777777" w:rsidR="00C94F00" w:rsidRPr="00C94F00" w:rsidRDefault="00C94F00" w:rsidP="00C94F00">
      <w:pPr>
        <w:pStyle w:val="ListParagraph"/>
        <w:ind w:left="851"/>
        <w:jc w:val="both"/>
        <w:rPr>
          <w:szCs w:val="23"/>
        </w:rPr>
      </w:pPr>
    </w:p>
    <w:p w14:paraId="5A81130D" w14:textId="153DA3D2" w:rsidR="00245AF0" w:rsidRPr="00C94F00" w:rsidRDefault="00AB3D83" w:rsidP="00C94F00">
      <w:pPr>
        <w:pStyle w:val="ListParagraph"/>
        <w:numPr>
          <w:ilvl w:val="0"/>
          <w:numId w:val="5"/>
        </w:numPr>
        <w:tabs>
          <w:tab w:val="left" w:pos="1560"/>
        </w:tabs>
        <w:spacing w:before="120" w:after="120"/>
        <w:ind w:left="1276" w:hanging="357"/>
        <w:contextualSpacing w:val="0"/>
        <w:jc w:val="both"/>
      </w:pPr>
      <w:r w:rsidRPr="00C94F00">
        <w:t>Which</w:t>
      </w:r>
      <w:r w:rsidR="00245AF0" w:rsidRPr="00C94F00">
        <w:t xml:space="preserve"> applicatio</w:t>
      </w:r>
      <w:r w:rsidRPr="00C94F00">
        <w:t>ns are best fit to move to the cloud?</w:t>
      </w:r>
    </w:p>
    <w:p w14:paraId="072A3D0B" w14:textId="68FB8A52" w:rsidR="00245AF0" w:rsidRPr="00C94F00" w:rsidRDefault="00245AF0" w:rsidP="00C94F00">
      <w:pPr>
        <w:pStyle w:val="ListParagraph"/>
        <w:numPr>
          <w:ilvl w:val="0"/>
          <w:numId w:val="5"/>
        </w:numPr>
        <w:tabs>
          <w:tab w:val="left" w:pos="1560"/>
        </w:tabs>
        <w:spacing w:before="120" w:after="120"/>
        <w:ind w:left="1276" w:hanging="357"/>
        <w:contextualSpacing w:val="0"/>
        <w:jc w:val="both"/>
      </w:pPr>
      <w:r w:rsidRPr="00C94F00">
        <w:t>What is the current level of storage you are using and what types of storage do you use? What are the costs involved? Data centres are a key area where agencies can make savings, so knowing how much data centres cost helps th</w:t>
      </w:r>
      <w:r w:rsidR="00AB3D83" w:rsidRPr="00C94F00">
        <w:t>e business decision to move to c</w:t>
      </w:r>
      <w:r w:rsidRPr="00C94F00">
        <w:t>loud.</w:t>
      </w:r>
    </w:p>
    <w:p w14:paraId="59B50EEE" w14:textId="77777777" w:rsidR="00245AF0" w:rsidRPr="00C94F00" w:rsidRDefault="00245AF0" w:rsidP="00C94F00">
      <w:pPr>
        <w:pStyle w:val="ListParagraph"/>
        <w:numPr>
          <w:ilvl w:val="0"/>
          <w:numId w:val="5"/>
        </w:numPr>
        <w:tabs>
          <w:tab w:val="left" w:pos="1560"/>
        </w:tabs>
        <w:spacing w:before="120" w:after="120"/>
        <w:ind w:left="1276" w:hanging="357"/>
        <w:contextualSpacing w:val="0"/>
        <w:jc w:val="both"/>
      </w:pPr>
      <w:r w:rsidRPr="00C94F00">
        <w:t>How much data do you create and store on a daily, monthly, and yearly basis, and how fast is that growing?</w:t>
      </w:r>
    </w:p>
    <w:p w14:paraId="2958E81B" w14:textId="77777777" w:rsidR="00245AF0" w:rsidRPr="00C94F00" w:rsidRDefault="00245AF0" w:rsidP="00C94F00">
      <w:pPr>
        <w:pStyle w:val="ListParagraph"/>
        <w:numPr>
          <w:ilvl w:val="0"/>
          <w:numId w:val="5"/>
        </w:numPr>
        <w:tabs>
          <w:tab w:val="left" w:pos="1560"/>
        </w:tabs>
        <w:spacing w:before="120" w:after="120"/>
        <w:ind w:left="1276" w:hanging="357"/>
        <w:contextualSpacing w:val="0"/>
        <w:jc w:val="both"/>
      </w:pPr>
      <w:r w:rsidRPr="00C94F00">
        <w:t>What kind of databases do you employ?</w:t>
      </w:r>
    </w:p>
    <w:p w14:paraId="24AD8FD9" w14:textId="77777777" w:rsidR="00245AF0" w:rsidRPr="00C94F00" w:rsidRDefault="00245AF0" w:rsidP="00C94F00">
      <w:pPr>
        <w:pStyle w:val="ListParagraph"/>
        <w:numPr>
          <w:ilvl w:val="0"/>
          <w:numId w:val="5"/>
        </w:numPr>
        <w:tabs>
          <w:tab w:val="left" w:pos="1560"/>
        </w:tabs>
        <w:spacing w:before="120" w:after="120"/>
        <w:ind w:left="1276" w:hanging="357"/>
        <w:contextualSpacing w:val="0"/>
        <w:jc w:val="both"/>
      </w:pPr>
      <w:r w:rsidRPr="00C94F00">
        <w:t>What does your networking environment look like?</w:t>
      </w:r>
    </w:p>
    <w:p w14:paraId="40AA0F8D" w14:textId="77777777" w:rsidR="00245AF0" w:rsidRPr="00C94F00" w:rsidRDefault="00245AF0" w:rsidP="00C94F00">
      <w:pPr>
        <w:pStyle w:val="ListParagraph"/>
        <w:numPr>
          <w:ilvl w:val="0"/>
          <w:numId w:val="5"/>
        </w:numPr>
        <w:tabs>
          <w:tab w:val="left" w:pos="1560"/>
        </w:tabs>
        <w:spacing w:before="120" w:after="120"/>
        <w:ind w:left="1276" w:hanging="357"/>
        <w:contextualSpacing w:val="0"/>
        <w:jc w:val="both"/>
        <w:sectPr w:rsidR="00245AF0" w:rsidRPr="00C94F00" w:rsidSect="00C94F00">
          <w:headerReference w:type="default" r:id="rId8"/>
          <w:pgSz w:w="11906" w:h="16838"/>
          <w:pgMar w:top="1701" w:right="1440" w:bottom="1440" w:left="1440" w:header="708" w:footer="708" w:gutter="0"/>
          <w:cols w:space="708"/>
          <w:docGrid w:linePitch="360"/>
        </w:sectPr>
      </w:pPr>
      <w:r w:rsidRPr="00C94F00">
        <w:t>What kind of analytics programs do you currently use?</w:t>
      </w:r>
    </w:p>
    <w:p w14:paraId="42872698" w14:textId="090DC747" w:rsidR="00EC1393" w:rsidRPr="00C94F00" w:rsidRDefault="00EC1393" w:rsidP="00177F74">
      <w:pPr>
        <w:pStyle w:val="ListParagraph"/>
        <w:numPr>
          <w:ilvl w:val="0"/>
          <w:numId w:val="2"/>
        </w:numPr>
        <w:tabs>
          <w:tab w:val="left" w:pos="1230"/>
        </w:tabs>
        <w:ind w:left="426"/>
        <w:jc w:val="both"/>
        <w:rPr>
          <w:szCs w:val="23"/>
        </w:rPr>
      </w:pPr>
      <w:r w:rsidRPr="00C94F00">
        <w:rPr>
          <w:szCs w:val="23"/>
        </w:rPr>
        <w:lastRenderedPageBreak/>
        <w:t>Determine any gaps by e</w:t>
      </w:r>
      <w:r w:rsidR="56F716C0" w:rsidRPr="00C94F00">
        <w:rPr>
          <w:szCs w:val="23"/>
        </w:rPr>
        <w:t>xamin</w:t>
      </w:r>
      <w:r w:rsidRPr="00C94F00">
        <w:rPr>
          <w:szCs w:val="23"/>
        </w:rPr>
        <w:t>ing</w:t>
      </w:r>
      <w:r w:rsidR="56F716C0" w:rsidRPr="00C94F00">
        <w:rPr>
          <w:szCs w:val="23"/>
        </w:rPr>
        <w:t xml:space="preserve"> the skills of your current ICT team on both an individual and collective basis</w:t>
      </w:r>
      <w:r w:rsidRPr="00C94F00">
        <w:rPr>
          <w:szCs w:val="23"/>
        </w:rPr>
        <w:t xml:space="preserve"> against the skills that will be required during and after the transition</w:t>
      </w:r>
      <w:r w:rsidR="56F716C0" w:rsidRPr="00C94F00">
        <w:rPr>
          <w:szCs w:val="23"/>
        </w:rPr>
        <w:t>. This will assist with understanding the ICT staff who migh</w:t>
      </w:r>
      <w:r w:rsidR="00AB3D83" w:rsidRPr="00C94F00">
        <w:rPr>
          <w:szCs w:val="23"/>
        </w:rPr>
        <w:t>t be initially impacted by the c</w:t>
      </w:r>
      <w:r w:rsidR="56F716C0" w:rsidRPr="00C94F00">
        <w:rPr>
          <w:szCs w:val="23"/>
        </w:rPr>
        <w:t>loud</w:t>
      </w:r>
      <w:r w:rsidR="00245AF0" w:rsidRPr="00C94F00">
        <w:rPr>
          <w:szCs w:val="23"/>
        </w:rPr>
        <w:t xml:space="preserve"> </w:t>
      </w:r>
      <w:r w:rsidR="005144B0" w:rsidRPr="00C94F00">
        <w:rPr>
          <w:szCs w:val="23"/>
        </w:rPr>
        <w:t xml:space="preserve">transition </w:t>
      </w:r>
      <w:r w:rsidR="56F716C0" w:rsidRPr="00C94F00">
        <w:rPr>
          <w:szCs w:val="23"/>
        </w:rPr>
        <w:t xml:space="preserve">and the speed at which you will need to augment their skills or add to the team. </w:t>
      </w:r>
    </w:p>
    <w:p w14:paraId="1D118FA2" w14:textId="77777777" w:rsidR="00EC1393" w:rsidRPr="00C94F00" w:rsidRDefault="00EC1393" w:rsidP="00EC1393">
      <w:pPr>
        <w:pStyle w:val="ListParagraph"/>
        <w:tabs>
          <w:tab w:val="left" w:pos="1230"/>
        </w:tabs>
        <w:ind w:left="426"/>
        <w:jc w:val="both"/>
        <w:rPr>
          <w:szCs w:val="23"/>
        </w:rPr>
      </w:pPr>
    </w:p>
    <w:p w14:paraId="0990AEFB" w14:textId="130CBDC8" w:rsidR="00B61157" w:rsidRPr="00C94F00" w:rsidRDefault="56F716C0" w:rsidP="00EC1393">
      <w:pPr>
        <w:pStyle w:val="ListParagraph"/>
        <w:tabs>
          <w:tab w:val="left" w:pos="1230"/>
        </w:tabs>
        <w:ind w:left="426"/>
        <w:jc w:val="both"/>
        <w:rPr>
          <w:szCs w:val="23"/>
        </w:rPr>
      </w:pPr>
      <w:r w:rsidRPr="00C94F00">
        <w:rPr>
          <w:szCs w:val="23"/>
        </w:rPr>
        <w:t xml:space="preserve">The </w:t>
      </w:r>
      <w:r w:rsidR="00AB3D83" w:rsidRPr="00C94F00">
        <w:rPr>
          <w:szCs w:val="23"/>
        </w:rPr>
        <w:t>Office of Digital Government</w:t>
      </w:r>
      <w:r w:rsidRPr="00C94F00">
        <w:rPr>
          <w:szCs w:val="23"/>
        </w:rPr>
        <w:t xml:space="preserve"> ha</w:t>
      </w:r>
      <w:r w:rsidR="00542548" w:rsidRPr="00C94F00">
        <w:rPr>
          <w:szCs w:val="23"/>
        </w:rPr>
        <w:t>s</w:t>
      </w:r>
      <w:r w:rsidRPr="00C94F00">
        <w:rPr>
          <w:szCs w:val="23"/>
        </w:rPr>
        <w:t xml:space="preserve"> prepared the ‘Information and communications technology capability framework’</w:t>
      </w:r>
      <w:r w:rsidR="00AB3D83" w:rsidRPr="00C94F00">
        <w:rPr>
          <w:szCs w:val="23"/>
        </w:rPr>
        <w:t xml:space="preserve">. </w:t>
      </w:r>
      <w:r w:rsidRPr="00C94F00">
        <w:rPr>
          <w:szCs w:val="23"/>
        </w:rPr>
        <w:t xml:space="preserve"> The framework </w:t>
      </w:r>
      <w:r w:rsidR="00EC1393" w:rsidRPr="00C94F00">
        <w:rPr>
          <w:szCs w:val="23"/>
        </w:rPr>
        <w:t>incorporates the WA Public Sector Levels 1 to 6 and the Leadership capability profiles, and the Skills Framework for the Information Age (SFIA). The framework assists agencies to ali</w:t>
      </w:r>
      <w:r w:rsidRPr="00C94F00">
        <w:rPr>
          <w:szCs w:val="23"/>
        </w:rPr>
        <w:t xml:space="preserve">gn ICT skill capabilities to core government functions and activities, and provides agencies with a consistent approach and platform for performance management, training and development, and workforce planning. </w:t>
      </w:r>
    </w:p>
    <w:p w14:paraId="25C9AE20" w14:textId="77777777" w:rsidR="003C1DB3" w:rsidRPr="008F62D5" w:rsidRDefault="003C1DB3" w:rsidP="003C1DB3">
      <w:pPr>
        <w:pStyle w:val="ListParagraph"/>
        <w:tabs>
          <w:tab w:val="left" w:pos="1230"/>
        </w:tabs>
        <w:ind w:left="426"/>
        <w:jc w:val="both"/>
        <w:rPr>
          <w:sz w:val="23"/>
          <w:szCs w:val="23"/>
        </w:rPr>
      </w:pPr>
    </w:p>
    <w:p w14:paraId="6EB81727" w14:textId="322DB1FE" w:rsidR="0068514A" w:rsidRPr="00C94F00" w:rsidRDefault="00B61157" w:rsidP="00EB174F">
      <w:pPr>
        <w:pStyle w:val="ListParagraph"/>
        <w:numPr>
          <w:ilvl w:val="0"/>
          <w:numId w:val="2"/>
        </w:numPr>
        <w:tabs>
          <w:tab w:val="left" w:pos="1230"/>
        </w:tabs>
        <w:ind w:left="426"/>
        <w:jc w:val="both"/>
        <w:rPr>
          <w:szCs w:val="23"/>
        </w:rPr>
      </w:pPr>
      <w:r w:rsidRPr="00C94F00">
        <w:rPr>
          <w:szCs w:val="23"/>
        </w:rPr>
        <w:t>Review the level of</w:t>
      </w:r>
      <w:r w:rsidR="0068514A" w:rsidRPr="00C94F00">
        <w:rPr>
          <w:szCs w:val="23"/>
        </w:rPr>
        <w:t xml:space="preserve"> workforce</w:t>
      </w:r>
      <w:r w:rsidRPr="00C94F00">
        <w:rPr>
          <w:szCs w:val="23"/>
        </w:rPr>
        <w:t xml:space="preserve"> resourcing</w:t>
      </w:r>
      <w:r w:rsidR="0068514A" w:rsidRPr="00C94F00">
        <w:rPr>
          <w:szCs w:val="23"/>
        </w:rPr>
        <w:t>.</w:t>
      </w:r>
      <w:r w:rsidR="00AB3D83" w:rsidRPr="00C94F00">
        <w:rPr>
          <w:szCs w:val="23"/>
        </w:rPr>
        <w:t xml:space="preserve"> </w:t>
      </w:r>
      <w:r w:rsidR="0068514A" w:rsidRPr="00C94F00">
        <w:rPr>
          <w:szCs w:val="23"/>
        </w:rPr>
        <w:t xml:space="preserve"> Do they reflect the anticipated workforce changes identified in the step above? </w:t>
      </w:r>
      <w:r w:rsidR="00AB3D83" w:rsidRPr="00C94F00">
        <w:rPr>
          <w:szCs w:val="23"/>
        </w:rPr>
        <w:t xml:space="preserve"> </w:t>
      </w:r>
      <w:r w:rsidR="00D31F03" w:rsidRPr="00C94F00">
        <w:rPr>
          <w:szCs w:val="23"/>
        </w:rPr>
        <w:t xml:space="preserve">The above process can assist </w:t>
      </w:r>
      <w:r w:rsidR="00AB3D83" w:rsidRPr="00C94F00">
        <w:rPr>
          <w:szCs w:val="23"/>
        </w:rPr>
        <w:t>to inform a business case to plan for cloud transition and determine budgets</w:t>
      </w:r>
      <w:r w:rsidR="0068514A" w:rsidRPr="00C94F00">
        <w:rPr>
          <w:szCs w:val="23"/>
        </w:rPr>
        <w:t>.</w:t>
      </w:r>
    </w:p>
    <w:p w14:paraId="477AAB14" w14:textId="77777777" w:rsidR="0068514A" w:rsidRDefault="0068514A" w:rsidP="0068514A">
      <w:pPr>
        <w:pStyle w:val="ListParagraph"/>
        <w:tabs>
          <w:tab w:val="left" w:pos="1230"/>
        </w:tabs>
        <w:ind w:left="426"/>
        <w:jc w:val="both"/>
        <w:rPr>
          <w:sz w:val="23"/>
          <w:szCs w:val="23"/>
        </w:rPr>
      </w:pPr>
    </w:p>
    <w:p w14:paraId="104DAD7C" w14:textId="77777777" w:rsidR="00B61157" w:rsidRPr="007352C2" w:rsidRDefault="00B61157" w:rsidP="00B61157">
      <w:pPr>
        <w:pStyle w:val="ListParagraph"/>
        <w:tabs>
          <w:tab w:val="left" w:pos="1230"/>
        </w:tabs>
        <w:jc w:val="both"/>
        <w:rPr>
          <w:sz w:val="23"/>
          <w:szCs w:val="23"/>
        </w:rPr>
      </w:pPr>
    </w:p>
    <w:p w14:paraId="31B87DE4" w14:textId="77777777" w:rsidR="00B61157" w:rsidRPr="008038A8" w:rsidRDefault="00B61157" w:rsidP="00C94F00">
      <w:pPr>
        <w:pStyle w:val="Heading2"/>
      </w:pPr>
      <w:r>
        <w:t>Useful Tools</w:t>
      </w:r>
    </w:p>
    <w:p w14:paraId="0EC6650C" w14:textId="59714BC1" w:rsidR="00B61157" w:rsidRPr="00C94F00" w:rsidRDefault="00215296" w:rsidP="00B61157">
      <w:pPr>
        <w:jc w:val="both"/>
        <w:rPr>
          <w:szCs w:val="23"/>
        </w:rPr>
      </w:pPr>
      <w:hyperlink r:id="rId9" w:history="1">
        <w:r w:rsidR="00B61157" w:rsidRPr="00C94F00">
          <w:rPr>
            <w:rStyle w:val="Hyperlink"/>
            <w:szCs w:val="23"/>
          </w:rPr>
          <w:t>State of Western Australia, 2017. Information and communications technology capability framework: A guide for practitioners and leaders in information and communications technology (ICT).</w:t>
        </w:r>
      </w:hyperlink>
      <w:r w:rsidR="00B61157" w:rsidRPr="00C94F00">
        <w:rPr>
          <w:szCs w:val="23"/>
        </w:rPr>
        <w:t xml:space="preserve"> </w:t>
      </w:r>
    </w:p>
    <w:p w14:paraId="01FCDEA6" w14:textId="77777777" w:rsidR="00854257" w:rsidRPr="00C94F00" w:rsidRDefault="00854257" w:rsidP="00B61157">
      <w:pPr>
        <w:jc w:val="both"/>
        <w:rPr>
          <w:rStyle w:val="Hyperlink"/>
          <w:szCs w:val="23"/>
        </w:rPr>
      </w:pPr>
    </w:p>
    <w:p w14:paraId="52CC2BD5" w14:textId="726DF89A" w:rsidR="00B61157" w:rsidRPr="00C94F00" w:rsidRDefault="00215296" w:rsidP="00B61157">
      <w:pPr>
        <w:jc w:val="both"/>
        <w:rPr>
          <w:szCs w:val="23"/>
        </w:rPr>
      </w:pPr>
      <w:hyperlink r:id="rId10" w:history="1">
        <w:r w:rsidR="00B61157" w:rsidRPr="00C94F00">
          <w:rPr>
            <w:rStyle w:val="Hyperlink"/>
            <w:szCs w:val="23"/>
          </w:rPr>
          <w:t>SFIA – The Skills Framework for the Information Age</w:t>
        </w:r>
        <w:r w:rsidR="001A0A27" w:rsidRPr="00C94F00">
          <w:rPr>
            <w:rStyle w:val="Hyperlink"/>
            <w:szCs w:val="23"/>
          </w:rPr>
          <w:t xml:space="preserve"> - describes skills required by professionals in roles involving information and communications technology.</w:t>
        </w:r>
      </w:hyperlink>
    </w:p>
    <w:p w14:paraId="5EF7E931" w14:textId="77777777" w:rsidR="00854257" w:rsidRPr="00C94F00" w:rsidRDefault="00854257" w:rsidP="00C306B3">
      <w:pPr>
        <w:jc w:val="both"/>
        <w:rPr>
          <w:rStyle w:val="Hyperlink"/>
          <w:szCs w:val="23"/>
        </w:rPr>
      </w:pPr>
    </w:p>
    <w:p w14:paraId="05FA2334" w14:textId="0F8F36B9" w:rsidR="00C306B3" w:rsidRPr="00C94F00" w:rsidRDefault="00215296" w:rsidP="00C306B3">
      <w:pPr>
        <w:jc w:val="both"/>
        <w:rPr>
          <w:szCs w:val="23"/>
        </w:rPr>
      </w:pPr>
      <w:hyperlink r:id="rId11" w:history="1">
        <w:r w:rsidR="00C306B3" w:rsidRPr="00C94F00">
          <w:rPr>
            <w:rStyle w:val="Hyperlink"/>
            <w:szCs w:val="23"/>
          </w:rPr>
          <w:t>Public Sector Commission, 2016. Capability Profile: Levels 1-6 Guidelines</w:t>
        </w:r>
      </w:hyperlink>
      <w:r w:rsidR="00C306B3" w:rsidRPr="00C94F00">
        <w:rPr>
          <w:szCs w:val="23"/>
        </w:rPr>
        <w:t>.</w:t>
      </w:r>
    </w:p>
    <w:p w14:paraId="365B7FAB" w14:textId="77777777" w:rsidR="00854257" w:rsidRDefault="00854257" w:rsidP="00B26CB4">
      <w:pPr>
        <w:rPr>
          <w:rStyle w:val="Hyperlink"/>
          <w:sz w:val="23"/>
          <w:szCs w:val="23"/>
        </w:rPr>
      </w:pPr>
    </w:p>
    <w:p w14:paraId="67B8BB0A" w14:textId="0433128E" w:rsidR="00B26CB4" w:rsidRPr="00C94F00" w:rsidRDefault="00EC1393" w:rsidP="00B26CB4">
      <w:pPr>
        <w:rPr>
          <w:szCs w:val="23"/>
        </w:rPr>
      </w:pPr>
      <w:r w:rsidRPr="00C94F00">
        <w:rPr>
          <w:szCs w:val="23"/>
        </w:rPr>
        <w:t>Related</w:t>
      </w:r>
      <w:r w:rsidR="00756C8A" w:rsidRPr="00C94F00">
        <w:rPr>
          <w:szCs w:val="23"/>
        </w:rPr>
        <w:t xml:space="preserve"> Cloud Policy F</w:t>
      </w:r>
      <w:r w:rsidRPr="00C94F00">
        <w:rPr>
          <w:szCs w:val="23"/>
        </w:rPr>
        <w:t xml:space="preserve">act </w:t>
      </w:r>
      <w:r w:rsidR="00756C8A" w:rsidRPr="00C94F00">
        <w:rPr>
          <w:szCs w:val="23"/>
        </w:rPr>
        <w:t>S</w:t>
      </w:r>
      <w:r w:rsidRPr="00C94F00">
        <w:rPr>
          <w:szCs w:val="23"/>
        </w:rPr>
        <w:t>heets:</w:t>
      </w:r>
    </w:p>
    <w:p w14:paraId="0688DF37" w14:textId="43D04036" w:rsidR="00EC1393" w:rsidRPr="00C94F00" w:rsidRDefault="00756C8A" w:rsidP="00EC1393">
      <w:pPr>
        <w:spacing w:after="0"/>
        <w:rPr>
          <w:szCs w:val="23"/>
        </w:rPr>
      </w:pPr>
      <w:r w:rsidRPr="00C94F00">
        <w:rPr>
          <w:szCs w:val="23"/>
        </w:rPr>
        <w:t>2.2</w:t>
      </w:r>
      <w:r w:rsidRPr="00C94F00">
        <w:rPr>
          <w:szCs w:val="23"/>
        </w:rPr>
        <w:tab/>
      </w:r>
      <w:r w:rsidR="003A4A28" w:rsidRPr="00C94F00">
        <w:rPr>
          <w:szCs w:val="23"/>
        </w:rPr>
        <w:t>Workforce development planning for cloud transition</w:t>
      </w:r>
    </w:p>
    <w:p w14:paraId="2E89D2C5" w14:textId="147DD804" w:rsidR="00EC1393" w:rsidRPr="00C94F00" w:rsidRDefault="00756C8A" w:rsidP="00EC1393">
      <w:pPr>
        <w:spacing w:after="0"/>
        <w:rPr>
          <w:szCs w:val="23"/>
        </w:rPr>
      </w:pPr>
      <w:r w:rsidRPr="00C94F00">
        <w:rPr>
          <w:szCs w:val="23"/>
        </w:rPr>
        <w:t>2.3</w:t>
      </w:r>
      <w:r w:rsidRPr="00C94F00">
        <w:rPr>
          <w:szCs w:val="23"/>
        </w:rPr>
        <w:tab/>
      </w:r>
      <w:r w:rsidR="003A4A28" w:rsidRPr="00C94F00">
        <w:rPr>
          <w:szCs w:val="23"/>
        </w:rPr>
        <w:t>Improving workforce capability for cloud transition</w:t>
      </w:r>
    </w:p>
    <w:p w14:paraId="2C6A5737" w14:textId="72A206E6" w:rsidR="00EC1393" w:rsidRPr="00C94F00" w:rsidRDefault="00756C8A" w:rsidP="00EC1393">
      <w:pPr>
        <w:spacing w:after="0"/>
        <w:rPr>
          <w:szCs w:val="23"/>
        </w:rPr>
      </w:pPr>
      <w:r w:rsidRPr="00C94F00">
        <w:rPr>
          <w:szCs w:val="23"/>
        </w:rPr>
        <w:t>2.4</w:t>
      </w:r>
      <w:r w:rsidRPr="00C94F00">
        <w:rPr>
          <w:szCs w:val="23"/>
        </w:rPr>
        <w:tab/>
      </w:r>
      <w:r w:rsidR="003A4A28" w:rsidRPr="00C94F00">
        <w:rPr>
          <w:szCs w:val="23"/>
        </w:rPr>
        <w:t>Reviewing workforce capability for Cloud transition</w:t>
      </w:r>
    </w:p>
    <w:p w14:paraId="2F06676E" w14:textId="521B206B" w:rsidR="00D31F03" w:rsidRPr="00C94F00" w:rsidRDefault="00756C8A" w:rsidP="00EC1393">
      <w:pPr>
        <w:spacing w:after="0"/>
        <w:rPr>
          <w:szCs w:val="23"/>
        </w:rPr>
      </w:pPr>
      <w:r w:rsidRPr="00C94F00">
        <w:rPr>
          <w:szCs w:val="23"/>
        </w:rPr>
        <w:t>4.2</w:t>
      </w:r>
      <w:r w:rsidRPr="00C94F00">
        <w:rPr>
          <w:szCs w:val="23"/>
        </w:rPr>
        <w:tab/>
      </w:r>
      <w:r w:rsidR="003A4A28" w:rsidRPr="00C94F00">
        <w:rPr>
          <w:szCs w:val="23"/>
        </w:rPr>
        <w:t>Planning an approach for cloud transition</w:t>
      </w:r>
    </w:p>
    <w:sectPr w:rsidR="00D31F03" w:rsidRPr="00C94F00" w:rsidSect="003C1DB3">
      <w:pgSz w:w="11906" w:h="16838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A72DD" w14:textId="77777777" w:rsidR="00B61157" w:rsidRDefault="00B61157" w:rsidP="00B26CB4">
      <w:pPr>
        <w:spacing w:after="0" w:line="240" w:lineRule="auto"/>
      </w:pPr>
      <w:r>
        <w:separator/>
      </w:r>
    </w:p>
  </w:endnote>
  <w:endnote w:type="continuationSeparator" w:id="0">
    <w:p w14:paraId="18B5FACB" w14:textId="77777777" w:rsidR="00B61157" w:rsidRDefault="00B61157" w:rsidP="00B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FF4FE" w14:textId="77777777" w:rsidR="00B61157" w:rsidRDefault="00B61157" w:rsidP="00B26CB4">
      <w:pPr>
        <w:spacing w:after="0" w:line="240" w:lineRule="auto"/>
      </w:pPr>
      <w:r>
        <w:separator/>
      </w:r>
    </w:p>
  </w:footnote>
  <w:footnote w:type="continuationSeparator" w:id="0">
    <w:p w14:paraId="57201E4A" w14:textId="77777777" w:rsidR="00B61157" w:rsidRDefault="00B61157" w:rsidP="00B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D0A0D" w14:textId="5F1A5319" w:rsidR="00B26CB4" w:rsidRDefault="00AB3D83">
    <w:pPr>
      <w:pStyle w:val="Header"/>
    </w:pPr>
    <w:r>
      <w:rPr>
        <w:noProof/>
        <w:lang w:eastAsia="en-AU"/>
      </w:rPr>
      <w:drawing>
        <wp:inline distT="0" distB="0" distL="0" distR="0" wp14:anchorId="19C31893" wp14:editId="07110AA4">
          <wp:extent cx="2514600" cy="437322"/>
          <wp:effectExtent l="0" t="0" r="0" b="1270"/>
          <wp:docPr id="9" name="Picture 9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7204" cy="44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62BB"/>
    <w:multiLevelType w:val="hybridMultilevel"/>
    <w:tmpl w:val="E7B0DD5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2AA268E"/>
    <w:multiLevelType w:val="hybridMultilevel"/>
    <w:tmpl w:val="92F42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A77D5"/>
    <w:multiLevelType w:val="hybridMultilevel"/>
    <w:tmpl w:val="85E2A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D59F5"/>
    <w:multiLevelType w:val="hybridMultilevel"/>
    <w:tmpl w:val="88025236"/>
    <w:lvl w:ilvl="0" w:tplc="940616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0A4DB2"/>
    <w:multiLevelType w:val="hybridMultilevel"/>
    <w:tmpl w:val="CE645FE8"/>
    <w:lvl w:ilvl="0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7"/>
    <w:rsid w:val="000B1ED3"/>
    <w:rsid w:val="001059B6"/>
    <w:rsid w:val="001A0A27"/>
    <w:rsid w:val="001A58E7"/>
    <w:rsid w:val="001C17D0"/>
    <w:rsid w:val="00215296"/>
    <w:rsid w:val="00245AF0"/>
    <w:rsid w:val="003A4A28"/>
    <w:rsid w:val="003C1DB3"/>
    <w:rsid w:val="00453D7A"/>
    <w:rsid w:val="004A7190"/>
    <w:rsid w:val="004B7498"/>
    <w:rsid w:val="005144B0"/>
    <w:rsid w:val="00526D9B"/>
    <w:rsid w:val="00542548"/>
    <w:rsid w:val="005914BA"/>
    <w:rsid w:val="0068514A"/>
    <w:rsid w:val="006A6DD0"/>
    <w:rsid w:val="006E42AB"/>
    <w:rsid w:val="00736436"/>
    <w:rsid w:val="00756C8A"/>
    <w:rsid w:val="007654C5"/>
    <w:rsid w:val="008509E5"/>
    <w:rsid w:val="00854257"/>
    <w:rsid w:val="008F62D5"/>
    <w:rsid w:val="009C5E12"/>
    <w:rsid w:val="00A123E0"/>
    <w:rsid w:val="00A76482"/>
    <w:rsid w:val="00AB3D83"/>
    <w:rsid w:val="00AE631A"/>
    <w:rsid w:val="00B26CB4"/>
    <w:rsid w:val="00B61157"/>
    <w:rsid w:val="00B86504"/>
    <w:rsid w:val="00C036FF"/>
    <w:rsid w:val="00C306B3"/>
    <w:rsid w:val="00C94F00"/>
    <w:rsid w:val="00D31F03"/>
    <w:rsid w:val="00D364A7"/>
    <w:rsid w:val="00D85D6C"/>
    <w:rsid w:val="00DE529C"/>
    <w:rsid w:val="00E41D1B"/>
    <w:rsid w:val="00E71452"/>
    <w:rsid w:val="00EB2F83"/>
    <w:rsid w:val="00EC1393"/>
    <w:rsid w:val="00EF765F"/>
    <w:rsid w:val="56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7740048"/>
  <w15:chartTrackingRefBased/>
  <w15:docId w15:val="{B78A83A3-6826-4CEE-9FF7-8F69453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0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00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F00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B4"/>
  </w:style>
  <w:style w:type="paragraph" w:styleId="Footer">
    <w:name w:val="footer"/>
    <w:basedOn w:val="Normal"/>
    <w:link w:val="Foot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B4"/>
  </w:style>
  <w:style w:type="character" w:styleId="Hyperlink">
    <w:name w:val="Hyperlink"/>
    <w:basedOn w:val="DefaultParagraphFont"/>
    <w:uiPriority w:val="99"/>
    <w:unhideWhenUsed/>
    <w:rsid w:val="00B611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1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115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6B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2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2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29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94F00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4F00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sector.wa.gov.au/document/capability-profile-levels-1-%E2%80%93-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fia-online.org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io.wa.gov.au/ict-capability-framewor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F115-C178-4F72-9DC9-FA7021E2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179</TotalTime>
  <Pages>2</Pages>
  <Words>629</Words>
  <Characters>3717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2.1 - Workforce Capability Gap Assessment for Cloud Transition</vt:lpstr>
    </vt:vector>
  </TitlesOfParts>
  <Company>Office of Digital Government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2.1 - Workforce Capability Gap Assessment for Cloud Transition</dc:title>
  <dc:subject>Workforce Capability gap assessment</dc:subject>
  <dc:creator>Office of Digital Government</dc:creator>
  <cp:keywords>cloud policy, cloud transition, workforce capability, gap assessment</cp:keywords>
  <dc:description/>
  <cp:lastModifiedBy>D'Angelo, Juliette</cp:lastModifiedBy>
  <cp:revision>21</cp:revision>
  <dcterms:created xsi:type="dcterms:W3CDTF">2017-10-03T01:30:00Z</dcterms:created>
  <dcterms:modified xsi:type="dcterms:W3CDTF">2019-01-31T05:34:00Z</dcterms:modified>
  <cp:category>Cloud Ppolicy, Cloud transition</cp:category>
</cp:coreProperties>
</file>