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FB2" w:rsidRPr="002C2FB2" w:rsidRDefault="002C2FB2" w:rsidP="002C2FB2">
      <w:pPr>
        <w:spacing w:line="240" w:lineRule="auto"/>
        <w:jc w:val="center"/>
        <w:rPr>
          <w:rFonts w:cs="Arial"/>
          <w:b/>
        </w:rPr>
      </w:pPr>
      <w:r w:rsidRPr="002C2FB2">
        <w:rPr>
          <w:rFonts w:cs="Arial"/>
          <w:noProof/>
          <w:lang w:eastAsia="en-AU"/>
        </w:rPr>
        <w:drawing>
          <wp:inline distT="0" distB="0" distL="0" distR="0">
            <wp:extent cx="1059180" cy="1005840"/>
            <wp:effectExtent l="0" t="0" r="0" b="0"/>
            <wp:docPr id="4" name="Picture 4" descr="Government of WA crest" title="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mmonbadge.dpc.wa.gov.au/PublishingImages/downloads/govOfWA+Text/govOfWA+TextBlackWeb_111x106.jpg"/>
                    <pic:cNvPicPr>
                      <a:picLocks noChangeAspect="1" noChangeArrowheads="1"/>
                    </pic:cNvPicPr>
                  </pic:nvPicPr>
                  <pic:blipFill>
                    <a:blip r:embed="rId8" cstate="print"/>
                    <a:srcRect/>
                    <a:stretch>
                      <a:fillRect/>
                    </a:stretch>
                  </pic:blipFill>
                  <pic:spPr bwMode="auto">
                    <a:xfrm>
                      <a:off x="0" y="0"/>
                      <a:ext cx="1059180" cy="1005840"/>
                    </a:xfrm>
                    <a:prstGeom prst="rect">
                      <a:avLst/>
                    </a:prstGeom>
                    <a:noFill/>
                    <a:ln w="9525">
                      <a:noFill/>
                      <a:miter lim="800000"/>
                      <a:headEnd/>
                      <a:tailEnd/>
                    </a:ln>
                  </pic:spPr>
                </pic:pic>
              </a:graphicData>
            </a:graphic>
          </wp:inline>
        </w:drawing>
      </w:r>
    </w:p>
    <w:p w:rsidR="002C2FB2" w:rsidRPr="002C2FB2" w:rsidRDefault="002C2FB2" w:rsidP="002C2FB2">
      <w:pPr>
        <w:spacing w:line="240" w:lineRule="auto"/>
        <w:jc w:val="center"/>
        <w:rPr>
          <w:rFonts w:cs="Arial"/>
          <w:b/>
        </w:rPr>
      </w:pPr>
    </w:p>
    <w:p w:rsidR="002C2FB2" w:rsidRPr="002C2FB2" w:rsidRDefault="002C2FB2" w:rsidP="002C2FB2">
      <w:pPr>
        <w:spacing w:line="240" w:lineRule="auto"/>
        <w:jc w:val="center"/>
        <w:rPr>
          <w:rFonts w:cs="Arial"/>
          <w:b/>
        </w:rPr>
      </w:pPr>
    </w:p>
    <w:p w:rsidR="002C2FB2" w:rsidRPr="002C2FB2" w:rsidRDefault="002C2FB2" w:rsidP="002C2FB2">
      <w:pPr>
        <w:spacing w:line="240" w:lineRule="auto"/>
        <w:jc w:val="center"/>
        <w:rPr>
          <w:rFonts w:cs="Arial"/>
          <w:b/>
        </w:rPr>
      </w:pPr>
    </w:p>
    <w:p w:rsidR="002C2FB2" w:rsidRPr="002C2FB2" w:rsidRDefault="002C2FB2" w:rsidP="002C2FB2">
      <w:pPr>
        <w:spacing w:line="240" w:lineRule="auto"/>
        <w:jc w:val="center"/>
        <w:rPr>
          <w:rFonts w:cs="Arial"/>
          <w:b/>
        </w:rPr>
      </w:pPr>
    </w:p>
    <w:p w:rsidR="002C2FB2" w:rsidRPr="002C2FB2" w:rsidRDefault="002C2FB2" w:rsidP="002C2FB2">
      <w:pPr>
        <w:spacing w:line="240" w:lineRule="auto"/>
        <w:jc w:val="center"/>
        <w:rPr>
          <w:rStyle w:val="BookTitle"/>
        </w:rPr>
      </w:pPr>
      <w:bookmarkStart w:id="0" w:name="_GoBack"/>
      <w:bookmarkEnd w:id="0"/>
      <w:r w:rsidRPr="002C2FB2">
        <w:rPr>
          <w:rStyle w:val="BookTitle"/>
        </w:rPr>
        <w:t>Whole of Government</w:t>
      </w:r>
    </w:p>
    <w:p w:rsidR="002C2FB2" w:rsidRPr="002C2FB2" w:rsidRDefault="002C2FB2" w:rsidP="002C2FB2">
      <w:pPr>
        <w:spacing w:line="240" w:lineRule="auto"/>
        <w:jc w:val="center"/>
        <w:rPr>
          <w:rFonts w:cs="Arial"/>
          <w:b/>
          <w:sz w:val="32"/>
          <w:szCs w:val="32"/>
        </w:rPr>
      </w:pPr>
    </w:p>
    <w:p w:rsidR="002C2FB2" w:rsidRDefault="002C2FB2" w:rsidP="002C2FB2">
      <w:pPr>
        <w:spacing w:line="240" w:lineRule="auto"/>
        <w:jc w:val="center"/>
        <w:rPr>
          <w:rFonts w:cs="Arial"/>
          <w:b/>
          <w:sz w:val="32"/>
          <w:szCs w:val="32"/>
        </w:rPr>
      </w:pPr>
    </w:p>
    <w:p w:rsidR="00F2624F" w:rsidRPr="002C2FB2" w:rsidRDefault="00F2624F" w:rsidP="002C2FB2">
      <w:pPr>
        <w:spacing w:line="240" w:lineRule="auto"/>
        <w:jc w:val="center"/>
        <w:rPr>
          <w:rFonts w:cs="Arial"/>
          <w:b/>
          <w:sz w:val="32"/>
          <w:szCs w:val="32"/>
        </w:rPr>
      </w:pPr>
    </w:p>
    <w:p w:rsidR="002C2FB2" w:rsidRPr="002C2FB2" w:rsidRDefault="004343A5" w:rsidP="002C2FB2">
      <w:pPr>
        <w:spacing w:line="240" w:lineRule="auto"/>
        <w:jc w:val="center"/>
        <w:rPr>
          <w:rStyle w:val="BookTitle"/>
          <w:b/>
        </w:rPr>
      </w:pPr>
      <w:r>
        <w:rPr>
          <w:rStyle w:val="BookTitle"/>
          <w:b/>
        </w:rPr>
        <w:t xml:space="preserve">Interoperability </w:t>
      </w:r>
      <w:r w:rsidR="00C21B50">
        <w:rPr>
          <w:rStyle w:val="BookTitle"/>
          <w:b/>
        </w:rPr>
        <w:t>Policy</w:t>
      </w:r>
    </w:p>
    <w:p w:rsidR="002C2FB2" w:rsidRPr="002C2FB2" w:rsidRDefault="00C55099" w:rsidP="002C2FB2">
      <w:pPr>
        <w:spacing w:line="240" w:lineRule="auto"/>
        <w:jc w:val="center"/>
        <w:rPr>
          <w:rFonts w:cs="Arial"/>
          <w:b/>
        </w:rPr>
      </w:pPr>
      <w:r>
        <w:rPr>
          <w:rFonts w:cs="Arial"/>
          <w:b/>
          <w:noProof/>
          <w:lang w:eastAsia="en-AU"/>
        </w:rPr>
        <w:drawing>
          <wp:anchor distT="0" distB="0" distL="114300" distR="114300" simplePos="0" relativeHeight="251658240" behindDoc="1" locked="0" layoutInCell="1" allowOverlap="1">
            <wp:simplePos x="0" y="0"/>
            <wp:positionH relativeFrom="column">
              <wp:posOffset>-704850</wp:posOffset>
            </wp:positionH>
            <wp:positionV relativeFrom="paragraph">
              <wp:posOffset>960120</wp:posOffset>
            </wp:positionV>
            <wp:extent cx="7194550" cy="5016500"/>
            <wp:effectExtent l="0" t="0" r="0" b="0"/>
            <wp:wrapTight wrapText="bothSides">
              <wp:wrapPolygon edited="0">
                <wp:start x="0" y="0"/>
                <wp:lineTo x="0" y="21491"/>
                <wp:lineTo x="21562" y="21491"/>
                <wp:lineTo x="21562" y="0"/>
                <wp:lineTo x="0" y="0"/>
              </wp:wrapPolygon>
            </wp:wrapTight>
            <wp:docPr id="2" name="Picture 1" descr="Null" title="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70540669_Full.jpg"/>
                    <pic:cNvPicPr/>
                  </pic:nvPicPr>
                  <pic:blipFill>
                    <a:blip r:embed="rId9" cstate="print"/>
                    <a:stretch>
                      <a:fillRect/>
                    </a:stretch>
                  </pic:blipFill>
                  <pic:spPr>
                    <a:xfrm>
                      <a:off x="0" y="0"/>
                      <a:ext cx="7194550" cy="5016500"/>
                    </a:xfrm>
                    <a:prstGeom prst="rect">
                      <a:avLst/>
                    </a:prstGeom>
                  </pic:spPr>
                </pic:pic>
              </a:graphicData>
            </a:graphic>
          </wp:anchor>
        </w:drawing>
      </w:r>
      <w:r w:rsidR="002C2FB2" w:rsidRPr="002C2FB2">
        <w:rPr>
          <w:rFonts w:cs="Arial"/>
          <w:b/>
        </w:rPr>
        <w:br w:type="page"/>
      </w:r>
    </w:p>
    <w:p w:rsidR="00FB090C" w:rsidRDefault="00FB090C" w:rsidP="00FB090C">
      <w:pPr>
        <w:pStyle w:val="Heading1"/>
      </w:pPr>
      <w:r>
        <w:lastRenderedPageBreak/>
        <w:t>Document Control</w:t>
      </w:r>
    </w:p>
    <w:p w:rsidR="003937B8" w:rsidRPr="002C2FB2" w:rsidRDefault="003937B8" w:rsidP="00FB090C">
      <w:pPr>
        <w:pStyle w:val="Default"/>
      </w:pPr>
      <w:r w:rsidRPr="000769FA">
        <w:rPr>
          <w:b/>
        </w:rPr>
        <w:t xml:space="preserve">The Western Australian Whole of Government </w:t>
      </w:r>
      <w:r w:rsidR="004343A5">
        <w:rPr>
          <w:b/>
        </w:rPr>
        <w:t xml:space="preserve">Interoperability </w:t>
      </w:r>
      <w:r w:rsidR="002C2FB2" w:rsidRPr="000769FA">
        <w:rPr>
          <w:b/>
        </w:rPr>
        <w:t>Policy</w:t>
      </w:r>
      <w:r w:rsidR="000769FA">
        <w:rPr>
          <w:b/>
        </w:rPr>
        <w:t>:</w:t>
      </w:r>
      <w:r w:rsidR="000769FA">
        <w:t xml:space="preserve"> v</w:t>
      </w:r>
      <w:r w:rsidRPr="002C2FB2">
        <w:t xml:space="preserve">ersion 1 </w:t>
      </w:r>
      <w:r w:rsidR="00A20B28">
        <w:t xml:space="preserve">- </w:t>
      </w:r>
      <w:r w:rsidR="002C2FB2">
        <w:t xml:space="preserve">May </w:t>
      </w:r>
      <w:r w:rsidRPr="002C2FB2">
        <w:t>201</w:t>
      </w:r>
      <w:r w:rsidR="002C2FB2">
        <w:t>6</w:t>
      </w:r>
      <w:r w:rsidRPr="002C2FB2">
        <w:t xml:space="preserve"> </w:t>
      </w:r>
    </w:p>
    <w:p w:rsidR="003937B8" w:rsidRPr="002C2FB2" w:rsidRDefault="003937B8" w:rsidP="00FB090C">
      <w:pPr>
        <w:pStyle w:val="Default"/>
      </w:pPr>
      <w:r w:rsidRPr="000769FA">
        <w:rPr>
          <w:b/>
        </w:rPr>
        <w:t>Produced and published by</w:t>
      </w:r>
      <w:r w:rsidR="000769FA">
        <w:t xml:space="preserve">: </w:t>
      </w:r>
      <w:r w:rsidR="002C2FB2">
        <w:t>Office of the Government Chief Information Officer</w:t>
      </w:r>
    </w:p>
    <w:p w:rsidR="00C44D62" w:rsidRDefault="003937B8" w:rsidP="00FB090C">
      <w:pPr>
        <w:pStyle w:val="Default"/>
      </w:pPr>
      <w:r w:rsidRPr="000769FA">
        <w:rPr>
          <w:b/>
        </w:rPr>
        <w:t>Acknowledgements</w:t>
      </w:r>
      <w:r w:rsidR="000769FA">
        <w:t xml:space="preserve"> </w:t>
      </w:r>
      <w:r w:rsidRPr="002C2FB2">
        <w:t xml:space="preserve">The Policy was developed in collaboration with </w:t>
      </w:r>
      <w:r w:rsidR="00D14CAF">
        <w:t xml:space="preserve">the </w:t>
      </w:r>
      <w:r w:rsidR="00D14CAF" w:rsidRPr="005D0347">
        <w:t xml:space="preserve">Western Australian </w:t>
      </w:r>
      <w:r w:rsidR="002C2FB2">
        <w:t>public sector agencies</w:t>
      </w:r>
      <w:r w:rsidRPr="002C2FB2">
        <w:t xml:space="preserve">. </w:t>
      </w:r>
    </w:p>
    <w:p w:rsidR="00C44D62" w:rsidRPr="000769FA" w:rsidRDefault="00C44D62" w:rsidP="00FB090C">
      <w:pPr>
        <w:pStyle w:val="Default"/>
        <w:rPr>
          <w:b/>
        </w:rPr>
      </w:pPr>
      <w:r w:rsidRPr="000769FA">
        <w:rPr>
          <w:b/>
        </w:rPr>
        <w:t>Contact</w:t>
      </w:r>
      <w:r w:rsidR="000769FA">
        <w:rPr>
          <w:b/>
        </w:rPr>
        <w:t>:</w:t>
      </w:r>
    </w:p>
    <w:p w:rsidR="00C44D62" w:rsidRDefault="00C44D62" w:rsidP="00FB090C">
      <w:pPr>
        <w:pStyle w:val="Default"/>
      </w:pPr>
      <w:r>
        <w:t>Office of the Government Chief Information Officer</w:t>
      </w:r>
    </w:p>
    <w:p w:rsidR="00C44D62" w:rsidRDefault="00C44D62" w:rsidP="00FB090C">
      <w:pPr>
        <w:pStyle w:val="Default"/>
      </w:pPr>
      <w:r w:rsidRPr="002C2FB2">
        <w:t>2 Havelock Street</w:t>
      </w:r>
    </w:p>
    <w:p w:rsidR="00C44D62" w:rsidRDefault="00C44D62" w:rsidP="00FB090C">
      <w:pPr>
        <w:pStyle w:val="Default"/>
      </w:pPr>
      <w:r w:rsidRPr="002C2FB2">
        <w:t xml:space="preserve">WEST </w:t>
      </w:r>
      <w:proofErr w:type="gramStart"/>
      <w:r w:rsidRPr="002C2FB2">
        <w:t>PERTH  WA</w:t>
      </w:r>
      <w:proofErr w:type="gramEnd"/>
      <w:r w:rsidRPr="002C2FB2">
        <w:t xml:space="preserve">  6005</w:t>
      </w:r>
    </w:p>
    <w:p w:rsidR="00C44D62" w:rsidRDefault="00C44D62" w:rsidP="00FB090C">
      <w:pPr>
        <w:pStyle w:val="Default"/>
      </w:pPr>
      <w:r>
        <w:t>Telephone:</w:t>
      </w:r>
      <w:r w:rsidR="000769FA">
        <w:t xml:space="preserve"> </w:t>
      </w:r>
      <w:r w:rsidRPr="002C2FB2">
        <w:t>(08) 6552 5444</w:t>
      </w:r>
    </w:p>
    <w:p w:rsidR="003937B8" w:rsidRDefault="00C44D62" w:rsidP="00FB090C">
      <w:pPr>
        <w:pStyle w:val="Default"/>
      </w:pPr>
      <w:r>
        <w:t>Email:</w:t>
      </w:r>
      <w:r w:rsidR="000769FA">
        <w:t xml:space="preserve"> </w:t>
      </w:r>
      <w:hyperlink r:id="rId10" w:history="1">
        <w:r w:rsidR="00AD6649" w:rsidRPr="00C13864">
          <w:rPr>
            <w:rStyle w:val="Hyperlink"/>
          </w:rPr>
          <w:t>enquiries@gcio.wa.gov.au</w:t>
        </w:r>
      </w:hyperlink>
      <w:r>
        <w:t xml:space="preserve"> </w:t>
      </w:r>
      <w:r w:rsidR="003937B8" w:rsidRPr="002C2FB2">
        <w:br/>
      </w:r>
    </w:p>
    <w:p w:rsidR="00FB090C" w:rsidRPr="000769FA" w:rsidRDefault="00FB090C" w:rsidP="00FB090C">
      <w:pPr>
        <w:pStyle w:val="Default"/>
        <w:rPr>
          <w:b/>
        </w:rPr>
      </w:pPr>
      <w:r w:rsidRPr="000769FA">
        <w:rPr>
          <w:b/>
        </w:rPr>
        <w:t>Document version history</w:t>
      </w:r>
    </w:p>
    <w:tbl>
      <w:tblPr>
        <w:tblStyle w:val="TableGrid"/>
        <w:tblW w:w="0" w:type="auto"/>
        <w:tblLook w:val="04A0" w:firstRow="1" w:lastRow="0" w:firstColumn="1" w:lastColumn="0" w:noHBand="0" w:noVBand="1"/>
        <w:tblCaption w:val="Version control"/>
        <w:tblDescription w:val="Date - May 2016, author OGCIO, Version 1, Revision notes - release."/>
      </w:tblPr>
      <w:tblGrid>
        <w:gridCol w:w="1766"/>
        <w:gridCol w:w="2080"/>
        <w:gridCol w:w="1809"/>
        <w:gridCol w:w="3610"/>
      </w:tblGrid>
      <w:tr w:rsidR="00FB090C" w:rsidTr="00BE636D">
        <w:trPr>
          <w:tblHeader/>
        </w:trPr>
        <w:tc>
          <w:tcPr>
            <w:tcW w:w="1809" w:type="dxa"/>
          </w:tcPr>
          <w:p w:rsidR="00FB090C" w:rsidRPr="000769FA" w:rsidRDefault="00FB090C" w:rsidP="000769FA">
            <w:pPr>
              <w:pStyle w:val="Default"/>
              <w:spacing w:before="60" w:after="60"/>
              <w:rPr>
                <w:b/>
              </w:rPr>
            </w:pPr>
            <w:r w:rsidRPr="000769FA">
              <w:rPr>
                <w:b/>
              </w:rPr>
              <w:t>Date</w:t>
            </w:r>
          </w:p>
        </w:tc>
        <w:tc>
          <w:tcPr>
            <w:tcW w:w="2127" w:type="dxa"/>
          </w:tcPr>
          <w:p w:rsidR="00FB090C" w:rsidRPr="000769FA" w:rsidRDefault="00FB090C" w:rsidP="000769FA">
            <w:pPr>
              <w:pStyle w:val="Default"/>
              <w:spacing w:before="60" w:after="60"/>
              <w:rPr>
                <w:b/>
              </w:rPr>
            </w:pPr>
            <w:r w:rsidRPr="000769FA">
              <w:rPr>
                <w:b/>
              </w:rPr>
              <w:t>Author</w:t>
            </w:r>
          </w:p>
        </w:tc>
        <w:tc>
          <w:tcPr>
            <w:tcW w:w="1842" w:type="dxa"/>
          </w:tcPr>
          <w:p w:rsidR="00FB090C" w:rsidRPr="000769FA" w:rsidRDefault="00FB090C" w:rsidP="000769FA">
            <w:pPr>
              <w:pStyle w:val="Default"/>
              <w:spacing w:before="60" w:after="60"/>
              <w:rPr>
                <w:b/>
              </w:rPr>
            </w:pPr>
            <w:r w:rsidRPr="000769FA">
              <w:rPr>
                <w:b/>
              </w:rPr>
              <w:t>Version</w:t>
            </w:r>
          </w:p>
        </w:tc>
        <w:tc>
          <w:tcPr>
            <w:tcW w:w="3713" w:type="dxa"/>
          </w:tcPr>
          <w:p w:rsidR="00FB090C" w:rsidRPr="000769FA" w:rsidRDefault="00FB090C" w:rsidP="000769FA">
            <w:pPr>
              <w:pStyle w:val="Default"/>
              <w:spacing w:before="60" w:after="60"/>
              <w:rPr>
                <w:b/>
              </w:rPr>
            </w:pPr>
            <w:r w:rsidRPr="000769FA">
              <w:rPr>
                <w:b/>
              </w:rPr>
              <w:t>Revision Notes</w:t>
            </w:r>
          </w:p>
        </w:tc>
      </w:tr>
      <w:tr w:rsidR="00FB090C" w:rsidTr="000769FA">
        <w:tc>
          <w:tcPr>
            <w:tcW w:w="1809" w:type="dxa"/>
          </w:tcPr>
          <w:p w:rsidR="00FB090C" w:rsidRDefault="00FB090C" w:rsidP="000769FA">
            <w:pPr>
              <w:pStyle w:val="Default"/>
              <w:spacing w:before="60" w:after="60"/>
            </w:pPr>
            <w:r>
              <w:t>Ma</w:t>
            </w:r>
            <w:r w:rsidR="000769FA">
              <w:t>y</w:t>
            </w:r>
            <w:r>
              <w:t xml:space="preserve"> 2016</w:t>
            </w:r>
          </w:p>
        </w:tc>
        <w:tc>
          <w:tcPr>
            <w:tcW w:w="2127" w:type="dxa"/>
          </w:tcPr>
          <w:p w:rsidR="00FB090C" w:rsidRDefault="00FB090C" w:rsidP="000769FA">
            <w:pPr>
              <w:pStyle w:val="Default"/>
              <w:spacing w:before="60" w:after="60"/>
            </w:pPr>
            <w:r>
              <w:t>OGCIO</w:t>
            </w:r>
          </w:p>
        </w:tc>
        <w:tc>
          <w:tcPr>
            <w:tcW w:w="1842" w:type="dxa"/>
          </w:tcPr>
          <w:p w:rsidR="00FB090C" w:rsidRDefault="00FB090C" w:rsidP="000769FA">
            <w:pPr>
              <w:pStyle w:val="Default"/>
              <w:spacing w:before="60" w:after="60"/>
            </w:pPr>
            <w:r>
              <w:t>1</w:t>
            </w:r>
          </w:p>
        </w:tc>
        <w:tc>
          <w:tcPr>
            <w:tcW w:w="3713" w:type="dxa"/>
          </w:tcPr>
          <w:p w:rsidR="00FB090C" w:rsidRDefault="000769FA" w:rsidP="000769FA">
            <w:pPr>
              <w:pStyle w:val="Default"/>
              <w:spacing w:before="60" w:after="60"/>
            </w:pPr>
            <w:r>
              <w:t>Release</w:t>
            </w:r>
          </w:p>
        </w:tc>
      </w:tr>
    </w:tbl>
    <w:p w:rsidR="00FB090C" w:rsidRDefault="00FB090C" w:rsidP="00FB090C">
      <w:pPr>
        <w:pStyle w:val="Default"/>
      </w:pPr>
    </w:p>
    <w:p w:rsidR="00FB090C" w:rsidRPr="002C2FB2" w:rsidRDefault="00FB090C" w:rsidP="003937B8">
      <w:pPr>
        <w:rPr>
          <w:rFonts w:cs="Arial"/>
        </w:rPr>
      </w:pPr>
    </w:p>
    <w:p w:rsidR="003937B8" w:rsidRPr="002C2FB2" w:rsidRDefault="003937B8" w:rsidP="003937B8">
      <w:pPr>
        <w:rPr>
          <w:rFonts w:cs="Arial"/>
        </w:rPr>
      </w:pPr>
      <w:r w:rsidRPr="002C2FB2">
        <w:rPr>
          <w:rFonts w:cs="Arial"/>
          <w:noProof/>
          <w:lang w:eastAsia="en-AU"/>
        </w:rPr>
        <w:drawing>
          <wp:inline distT="0" distB="0" distL="0" distR="0">
            <wp:extent cx="828675" cy="295275"/>
            <wp:effectExtent l="0" t="0" r="9525" b="9525"/>
            <wp:docPr id="1" name="Picture 1" descr="cid:image001.png@01D08C07.2BC9F5A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C07.2BC9F5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rsidR="003937B8" w:rsidRPr="002C2FB2" w:rsidRDefault="003937B8" w:rsidP="00FB090C">
      <w:pPr>
        <w:pStyle w:val="Default"/>
      </w:pPr>
      <w:r w:rsidRPr="002C2FB2">
        <w:t xml:space="preserve">This document, the </w:t>
      </w:r>
      <w:r w:rsidRPr="002C2FB2">
        <w:rPr>
          <w:b/>
          <w:color w:val="222222"/>
          <w:shd w:val="clear" w:color="auto" w:fill="FFFFFF"/>
        </w:rPr>
        <w:t xml:space="preserve">Western Australian Whole of Government </w:t>
      </w:r>
      <w:r w:rsidR="00E128C5">
        <w:rPr>
          <w:b/>
        </w:rPr>
        <w:t xml:space="preserve">Interoperability </w:t>
      </w:r>
      <w:r w:rsidR="00C44D62">
        <w:rPr>
          <w:b/>
        </w:rPr>
        <w:t>Policy</w:t>
      </w:r>
      <w:r w:rsidRPr="002C2FB2">
        <w:rPr>
          <w:b/>
          <w:color w:val="222222"/>
          <w:shd w:val="clear" w:color="auto" w:fill="FFFFFF"/>
        </w:rPr>
        <w:t>, Version 1</w:t>
      </w:r>
      <w:r w:rsidRPr="002C2FB2">
        <w:rPr>
          <w:rStyle w:val="apple-converted-space"/>
          <w:rFonts w:eastAsiaTheme="majorEastAsia"/>
          <w:color w:val="222222"/>
          <w:shd w:val="clear" w:color="auto" w:fill="FFFFFF"/>
        </w:rPr>
        <w:t> </w:t>
      </w:r>
      <w:r w:rsidRPr="002C2FB2">
        <w:t xml:space="preserve">is licensed under a </w:t>
      </w:r>
      <w:r w:rsidRPr="002C2FB2">
        <w:rPr>
          <w:b/>
        </w:rPr>
        <w:t>Creative Commons Attribution 4.0 International Licence</w:t>
      </w:r>
      <w:r w:rsidRPr="002C2FB2">
        <w:t>. You are free to re-use the work under that licence, on the condition that you attribute the Government of Western Australia (</w:t>
      </w:r>
      <w:r w:rsidR="00C44D62">
        <w:t>Office of the Government Chief Information Officer</w:t>
      </w:r>
      <w:r w:rsidRPr="002C2FB2">
        <w:t>) as author, indicate if changes were made, and comply with the other licence terms. The licence does not apply to any branding or images.</w:t>
      </w:r>
    </w:p>
    <w:p w:rsidR="003937B8" w:rsidRPr="002C2FB2" w:rsidRDefault="003937B8" w:rsidP="00FB090C">
      <w:pPr>
        <w:pStyle w:val="Default"/>
      </w:pPr>
      <w:r w:rsidRPr="002C2FB2">
        <w:rPr>
          <w:b/>
        </w:rPr>
        <w:t xml:space="preserve">License URL: </w:t>
      </w:r>
      <w:hyperlink r:id="rId14" w:history="1">
        <w:r w:rsidR="00FB090C" w:rsidRPr="009E0181">
          <w:rPr>
            <w:rStyle w:val="Hyperlink"/>
            <w:rFonts w:eastAsiaTheme="majorEastAsia"/>
          </w:rPr>
          <w:t>https://creativecommons.org/licenses/by/4.0/legalcode</w:t>
        </w:r>
      </w:hyperlink>
    </w:p>
    <w:p w:rsidR="003937B8" w:rsidRPr="002C2FB2" w:rsidRDefault="003937B8" w:rsidP="00FB090C">
      <w:pPr>
        <w:pStyle w:val="Default"/>
      </w:pPr>
      <w:r w:rsidRPr="002C2FB2">
        <w:rPr>
          <w:b/>
        </w:rPr>
        <w:t xml:space="preserve">Attribution: </w:t>
      </w:r>
      <w:r w:rsidRPr="002C2FB2">
        <w:t>© Government of Western Australia (</w:t>
      </w:r>
      <w:hyperlink r:id="rId15" w:history="1">
        <w:r w:rsidR="00C44D62" w:rsidRPr="00C44D62">
          <w:rPr>
            <w:rStyle w:val="Hyperlink"/>
          </w:rPr>
          <w:t>Office of the Government Chief Information Officer</w:t>
        </w:r>
      </w:hyperlink>
      <w:r w:rsidRPr="002C2FB2">
        <w:t>) 201</w:t>
      </w:r>
      <w:r w:rsidR="00C44D62">
        <w:t>6</w:t>
      </w:r>
    </w:p>
    <w:p w:rsidR="003937B8" w:rsidRPr="002C2FB2" w:rsidRDefault="003937B8" w:rsidP="00FB090C">
      <w:pPr>
        <w:pStyle w:val="Default"/>
        <w:rPr>
          <w:b/>
        </w:rPr>
      </w:pPr>
      <w:r w:rsidRPr="002C2FB2">
        <w:rPr>
          <w:b/>
        </w:rPr>
        <w:t>Notice Identifying Other Material and/or Rights in this Publication:</w:t>
      </w:r>
    </w:p>
    <w:p w:rsidR="003937B8" w:rsidRPr="002C2FB2" w:rsidRDefault="003937B8" w:rsidP="00FB090C">
      <w:pPr>
        <w:pStyle w:val="Default"/>
      </w:pPr>
      <w:r w:rsidRPr="002C2FB2">
        <w:t xml:space="preserve">The Creative Commons licence does not apply to the Government of Western Australia Coat of Arms.  Permission to reuse the Coat of Arms can be obtained from the </w:t>
      </w:r>
      <w:hyperlink r:id="rId16" w:history="1">
        <w:r w:rsidRPr="002C2FB2">
          <w:rPr>
            <w:rStyle w:val="Hyperlink"/>
          </w:rPr>
          <w:t>Department of Premier and Cabinet</w:t>
        </w:r>
      </w:hyperlink>
      <w:r w:rsidRPr="002C2FB2">
        <w:t xml:space="preserve">.  </w:t>
      </w:r>
    </w:p>
    <w:p w:rsidR="003937B8" w:rsidRPr="002C2FB2" w:rsidRDefault="003937B8" w:rsidP="00FB090C">
      <w:pPr>
        <w:pStyle w:val="Default"/>
      </w:pPr>
      <w:r w:rsidRPr="002C2FB2">
        <w:t>The cover image</w:t>
      </w:r>
      <w:r w:rsidR="00C039E5">
        <w:t xml:space="preserve"> by</w:t>
      </w:r>
      <w:r w:rsidR="00FB090C">
        <w:t xml:space="preserve"> </w:t>
      </w:r>
      <w:hyperlink r:id="rId17" w:history="1">
        <w:proofErr w:type="spellStart"/>
        <w:r w:rsidR="00FB090C">
          <w:rPr>
            <w:rStyle w:val="Hyperlink"/>
          </w:rPr>
          <w:t>Maxiphoto</w:t>
        </w:r>
        <w:proofErr w:type="spellEnd"/>
      </w:hyperlink>
      <w:r w:rsidR="00FB090C">
        <w:t xml:space="preserve"> </w:t>
      </w:r>
      <w:r w:rsidRPr="002C2FB2">
        <w:t xml:space="preserve">is reproduced with the permission of </w:t>
      </w:r>
      <w:hyperlink r:id="rId18" w:history="1">
        <w:proofErr w:type="spellStart"/>
        <w:r w:rsidRPr="002C2FB2">
          <w:rPr>
            <w:rStyle w:val="Hyperlink"/>
          </w:rPr>
          <w:t>istock</w:t>
        </w:r>
        <w:proofErr w:type="spellEnd"/>
      </w:hyperlink>
      <w:r w:rsidRPr="002C2FB2">
        <w:t>.</w:t>
      </w:r>
    </w:p>
    <w:p w:rsidR="003937B8" w:rsidRPr="002C2FB2" w:rsidRDefault="003937B8" w:rsidP="00FB090C">
      <w:pPr>
        <w:pStyle w:val="Default"/>
        <w:rPr>
          <w:b/>
        </w:rPr>
      </w:pPr>
    </w:p>
    <w:p w:rsidR="00D14CAF" w:rsidRDefault="00D14CAF" w:rsidP="003C0273">
      <w:pPr>
        <w:rPr>
          <w:rFonts w:cs="Arial"/>
        </w:rPr>
        <w:sectPr w:rsidR="00D14CAF" w:rsidSect="002074AD">
          <w:footerReference w:type="default" r:id="rId19"/>
          <w:pgSz w:w="11906" w:h="16838"/>
          <w:pgMar w:top="1440" w:right="1191" w:bottom="1440" w:left="1440" w:header="709" w:footer="624" w:gutter="0"/>
          <w:cols w:space="708"/>
          <w:docGrid w:linePitch="360"/>
        </w:sectPr>
      </w:pPr>
    </w:p>
    <w:p w:rsidR="004343A5" w:rsidRPr="004343A5" w:rsidRDefault="004343A5" w:rsidP="004343A5">
      <w:pPr>
        <w:autoSpaceDE w:val="0"/>
        <w:autoSpaceDN w:val="0"/>
        <w:adjustRightInd w:val="0"/>
        <w:spacing w:line="240" w:lineRule="auto"/>
        <w:rPr>
          <w:rFonts w:cs="Arial"/>
          <w:color w:val="000000"/>
        </w:rPr>
      </w:pPr>
    </w:p>
    <w:p w:rsidR="004343A5" w:rsidRPr="004343A5" w:rsidRDefault="004343A5" w:rsidP="004343A5">
      <w:pPr>
        <w:pStyle w:val="Heading1"/>
      </w:pPr>
      <w:r w:rsidRPr="004343A5">
        <w:t xml:space="preserve">Interoperability Policy </w:t>
      </w:r>
    </w:p>
    <w:p w:rsidR="004343A5" w:rsidRPr="004343A5" w:rsidRDefault="004343A5" w:rsidP="004343A5">
      <w:pPr>
        <w:pStyle w:val="Default"/>
        <w:jc w:val="both"/>
        <w:rPr>
          <w:szCs w:val="22"/>
        </w:rPr>
      </w:pPr>
      <w:r w:rsidRPr="004343A5">
        <w:rPr>
          <w:szCs w:val="22"/>
        </w:rPr>
        <w:t xml:space="preserve">The Western Australian (WA) public service operates within a complex and shifting environment as a result of rapidly changing demographics and business needs, fiscal constraints, rising public expectation for unified services, and multi-faceted policy problems requiring joined up solutions. Interoperability ensures that those challenges, and future challenges can be met. </w:t>
      </w:r>
    </w:p>
    <w:p w:rsidR="004343A5" w:rsidRPr="004343A5" w:rsidRDefault="004343A5" w:rsidP="004343A5">
      <w:pPr>
        <w:pStyle w:val="Default"/>
        <w:jc w:val="both"/>
        <w:rPr>
          <w:szCs w:val="22"/>
        </w:rPr>
      </w:pPr>
      <w:r w:rsidRPr="004343A5">
        <w:rPr>
          <w:szCs w:val="22"/>
        </w:rPr>
        <w:t xml:space="preserve">Increasing interoperability between agencies is a key enabler for government-wide collaboration and service delivery. </w:t>
      </w:r>
    </w:p>
    <w:p w:rsidR="004343A5" w:rsidRPr="004343A5" w:rsidRDefault="004343A5" w:rsidP="004343A5">
      <w:pPr>
        <w:pStyle w:val="Default"/>
        <w:jc w:val="both"/>
        <w:rPr>
          <w:szCs w:val="22"/>
        </w:rPr>
      </w:pPr>
      <w:r w:rsidRPr="004343A5">
        <w:rPr>
          <w:szCs w:val="22"/>
        </w:rPr>
        <w:t xml:space="preserve">It can be applied at three distinct levels; the ongoing exchange of information between agencies, coordination of business processes, and harmonisation of technical operation systems to facilitate connected government. It does not comprise a one-off exchange between agencies, but rather continuing and mutually beneficial connectivity. </w:t>
      </w:r>
    </w:p>
    <w:p w:rsidR="004343A5" w:rsidRPr="004343A5" w:rsidRDefault="004343A5" w:rsidP="004343A5">
      <w:pPr>
        <w:pStyle w:val="Heading1"/>
      </w:pPr>
      <w:r w:rsidRPr="004343A5">
        <w:t xml:space="preserve">Policy Statement </w:t>
      </w:r>
    </w:p>
    <w:p w:rsidR="004343A5" w:rsidRPr="004343A5" w:rsidRDefault="004343A5" w:rsidP="004343A5">
      <w:pPr>
        <w:pStyle w:val="Default"/>
        <w:jc w:val="both"/>
        <w:rPr>
          <w:szCs w:val="22"/>
        </w:rPr>
      </w:pPr>
      <w:r w:rsidRPr="004343A5">
        <w:rPr>
          <w:szCs w:val="22"/>
        </w:rPr>
        <w:t xml:space="preserve">Western Australian Government agencies should view interoperability as a core business process and planning for which agencies are required to allocate resources from within existing budgets. </w:t>
      </w:r>
    </w:p>
    <w:p w:rsidR="004343A5" w:rsidRPr="004343A5" w:rsidRDefault="004343A5" w:rsidP="004343A5">
      <w:pPr>
        <w:pStyle w:val="Default"/>
        <w:jc w:val="both"/>
        <w:rPr>
          <w:szCs w:val="22"/>
        </w:rPr>
      </w:pPr>
      <w:r w:rsidRPr="004343A5">
        <w:rPr>
          <w:szCs w:val="22"/>
        </w:rPr>
        <w:t xml:space="preserve">All new information, communication and technology (ICT) systems in development by agencies must comply with existing interoperability standards, and all existing systems should be transitioned towards compliance as soon as possible. </w:t>
      </w:r>
    </w:p>
    <w:p w:rsidR="004343A5" w:rsidRPr="004343A5" w:rsidRDefault="004343A5" w:rsidP="004343A5">
      <w:pPr>
        <w:pStyle w:val="Default"/>
        <w:jc w:val="both"/>
        <w:rPr>
          <w:szCs w:val="22"/>
        </w:rPr>
      </w:pPr>
      <w:r w:rsidRPr="004343A5">
        <w:rPr>
          <w:szCs w:val="22"/>
        </w:rPr>
        <w:t xml:space="preserve">This policy should be referred to during the design, planning and implementation of any procurement or redevelopment project. </w:t>
      </w:r>
    </w:p>
    <w:p w:rsidR="004343A5" w:rsidRPr="004343A5" w:rsidRDefault="004343A5" w:rsidP="004343A5">
      <w:pPr>
        <w:pStyle w:val="Heading1"/>
      </w:pPr>
      <w:r w:rsidRPr="004343A5">
        <w:t xml:space="preserve">Purpose </w:t>
      </w:r>
    </w:p>
    <w:p w:rsidR="004343A5" w:rsidRPr="004343A5" w:rsidRDefault="004343A5" w:rsidP="004343A5">
      <w:pPr>
        <w:pStyle w:val="Default"/>
        <w:jc w:val="both"/>
        <w:rPr>
          <w:szCs w:val="22"/>
        </w:rPr>
      </w:pPr>
      <w:r w:rsidRPr="004343A5">
        <w:rPr>
          <w:szCs w:val="22"/>
        </w:rPr>
        <w:t xml:space="preserve">The purpose of the WA Interoperability Policy is to ensure that systems across the public sector can seamlessly interact, exchange data and, if necessary, share functions and resources through the identification and adoption of appropriate frameworks and standards. </w:t>
      </w:r>
    </w:p>
    <w:p w:rsidR="004343A5" w:rsidRPr="004343A5" w:rsidRDefault="004343A5" w:rsidP="004343A5">
      <w:pPr>
        <w:pStyle w:val="Heading1"/>
      </w:pPr>
      <w:r w:rsidRPr="004343A5">
        <w:t xml:space="preserve">Objectives </w:t>
      </w:r>
    </w:p>
    <w:p w:rsidR="004343A5" w:rsidRPr="004343A5" w:rsidRDefault="004343A5" w:rsidP="004343A5">
      <w:pPr>
        <w:pStyle w:val="Default"/>
        <w:jc w:val="both"/>
        <w:rPr>
          <w:szCs w:val="22"/>
        </w:rPr>
      </w:pPr>
      <w:r w:rsidRPr="004343A5">
        <w:rPr>
          <w:szCs w:val="22"/>
        </w:rPr>
        <w:t xml:space="preserve">The objectives of the Policy are to: </w:t>
      </w:r>
    </w:p>
    <w:p w:rsidR="004343A5" w:rsidRPr="004343A5" w:rsidRDefault="004343A5" w:rsidP="004343A5">
      <w:pPr>
        <w:pStyle w:val="Default"/>
        <w:numPr>
          <w:ilvl w:val="0"/>
          <w:numId w:val="48"/>
        </w:numPr>
        <w:jc w:val="both"/>
        <w:rPr>
          <w:szCs w:val="22"/>
        </w:rPr>
      </w:pPr>
      <w:r w:rsidRPr="004343A5">
        <w:rPr>
          <w:szCs w:val="22"/>
        </w:rPr>
        <w:t xml:space="preserve">Increase the efficiency and effectiveness of public policies, processes, programs and functions through system integration, information sharing, and cross-boundary collaboration. </w:t>
      </w:r>
    </w:p>
    <w:p w:rsidR="004343A5" w:rsidRPr="004343A5" w:rsidRDefault="004343A5" w:rsidP="004343A5">
      <w:pPr>
        <w:pStyle w:val="Default"/>
        <w:numPr>
          <w:ilvl w:val="0"/>
          <w:numId w:val="48"/>
        </w:numPr>
        <w:jc w:val="both"/>
        <w:rPr>
          <w:szCs w:val="22"/>
        </w:rPr>
      </w:pPr>
      <w:r w:rsidRPr="004343A5">
        <w:rPr>
          <w:szCs w:val="22"/>
        </w:rPr>
        <w:t xml:space="preserve">Improve service automation and interoperability. </w:t>
      </w:r>
    </w:p>
    <w:p w:rsidR="004343A5" w:rsidRPr="004343A5" w:rsidRDefault="004343A5" w:rsidP="004343A5">
      <w:pPr>
        <w:pStyle w:val="Default"/>
        <w:numPr>
          <w:ilvl w:val="0"/>
          <w:numId w:val="48"/>
        </w:numPr>
        <w:jc w:val="both"/>
        <w:rPr>
          <w:szCs w:val="22"/>
        </w:rPr>
      </w:pPr>
      <w:r w:rsidRPr="004343A5">
        <w:rPr>
          <w:szCs w:val="22"/>
        </w:rPr>
        <w:t xml:space="preserve">Foster open standards. </w:t>
      </w:r>
    </w:p>
    <w:p w:rsidR="004343A5" w:rsidRPr="004343A5" w:rsidRDefault="004343A5" w:rsidP="004343A5">
      <w:pPr>
        <w:pStyle w:val="Default"/>
        <w:numPr>
          <w:ilvl w:val="0"/>
          <w:numId w:val="48"/>
        </w:numPr>
        <w:jc w:val="both"/>
        <w:rPr>
          <w:szCs w:val="22"/>
        </w:rPr>
      </w:pPr>
      <w:r w:rsidRPr="004343A5">
        <w:rPr>
          <w:szCs w:val="22"/>
        </w:rPr>
        <w:t xml:space="preserve">Enhance timeliness, consistency and quality of government responses across multiple agencies. </w:t>
      </w:r>
    </w:p>
    <w:p w:rsidR="004343A5" w:rsidRPr="004343A5" w:rsidRDefault="004343A5" w:rsidP="004343A5">
      <w:pPr>
        <w:pStyle w:val="Default"/>
        <w:numPr>
          <w:ilvl w:val="0"/>
          <w:numId w:val="48"/>
        </w:numPr>
        <w:jc w:val="both"/>
        <w:rPr>
          <w:szCs w:val="22"/>
        </w:rPr>
      </w:pPr>
      <w:r w:rsidRPr="004343A5">
        <w:rPr>
          <w:szCs w:val="22"/>
        </w:rPr>
        <w:t xml:space="preserve">Create opportunities for data analytics and business intelligence, encouraging innovation and competition across the public and private sectors. </w:t>
      </w:r>
    </w:p>
    <w:p w:rsidR="004343A5" w:rsidRPr="004343A5" w:rsidRDefault="004343A5" w:rsidP="004343A5">
      <w:pPr>
        <w:pStyle w:val="Default"/>
        <w:numPr>
          <w:ilvl w:val="0"/>
          <w:numId w:val="48"/>
        </w:numPr>
        <w:jc w:val="both"/>
        <w:rPr>
          <w:szCs w:val="22"/>
        </w:rPr>
      </w:pPr>
      <w:r w:rsidRPr="004343A5">
        <w:rPr>
          <w:szCs w:val="22"/>
        </w:rPr>
        <w:t xml:space="preserve">Improve accountability and transparency for the community. </w:t>
      </w:r>
    </w:p>
    <w:p w:rsidR="004343A5" w:rsidRPr="004343A5" w:rsidRDefault="004343A5" w:rsidP="004343A5">
      <w:pPr>
        <w:pStyle w:val="Default"/>
        <w:numPr>
          <w:ilvl w:val="0"/>
          <w:numId w:val="48"/>
        </w:numPr>
        <w:jc w:val="both"/>
        <w:rPr>
          <w:szCs w:val="22"/>
        </w:rPr>
      </w:pPr>
      <w:r w:rsidRPr="004343A5">
        <w:rPr>
          <w:szCs w:val="22"/>
        </w:rPr>
        <w:t xml:space="preserve">Reduce unnecessary duplication and replication of information storage and handling. </w:t>
      </w:r>
    </w:p>
    <w:p w:rsidR="004343A5" w:rsidRPr="004343A5" w:rsidRDefault="004343A5" w:rsidP="004343A5">
      <w:pPr>
        <w:pStyle w:val="Heading1"/>
      </w:pPr>
      <w:r w:rsidRPr="004343A5">
        <w:t xml:space="preserve">Principles </w:t>
      </w:r>
    </w:p>
    <w:p w:rsidR="004343A5" w:rsidRPr="004343A5" w:rsidRDefault="004343A5" w:rsidP="004343A5">
      <w:pPr>
        <w:pStyle w:val="Default"/>
        <w:jc w:val="both"/>
        <w:rPr>
          <w:szCs w:val="22"/>
        </w:rPr>
      </w:pPr>
      <w:r w:rsidRPr="004343A5">
        <w:rPr>
          <w:szCs w:val="22"/>
        </w:rPr>
        <w:t xml:space="preserve">Developing interoperability is a multi-faceted undertaking – it’s about systems connecting and sharing information, but also facilitating the ongoing harmonisation of work practices and service delivery. The following principles describe best-practice requirements for interoperability. </w:t>
      </w:r>
    </w:p>
    <w:p w:rsidR="004343A5" w:rsidRPr="004343A5" w:rsidRDefault="004343A5" w:rsidP="004343A5">
      <w:pPr>
        <w:pStyle w:val="Heading2"/>
      </w:pPr>
      <w:r w:rsidRPr="004343A5">
        <w:t xml:space="preserve">User focussed </w:t>
      </w:r>
    </w:p>
    <w:p w:rsidR="004343A5" w:rsidRPr="004343A5" w:rsidRDefault="004343A5" w:rsidP="004343A5">
      <w:pPr>
        <w:pStyle w:val="Default"/>
        <w:jc w:val="both"/>
        <w:rPr>
          <w:szCs w:val="22"/>
        </w:rPr>
      </w:pPr>
      <w:r w:rsidRPr="004343A5">
        <w:rPr>
          <w:szCs w:val="22"/>
        </w:rPr>
        <w:t xml:space="preserve">Internal and external agency systems and services give priority to the needs and requirements of those who are receiving services. As much as possible, services are inclusive, accessible and transparent. Members of the community and businesses are able to access and engage with administrative processes and decisions that affect them. </w:t>
      </w:r>
    </w:p>
    <w:p w:rsidR="004343A5" w:rsidRPr="004343A5" w:rsidRDefault="004343A5" w:rsidP="004343A5">
      <w:pPr>
        <w:pStyle w:val="Heading2"/>
      </w:pPr>
      <w:r w:rsidRPr="004343A5">
        <w:t xml:space="preserve">Effective and efficient </w:t>
      </w:r>
    </w:p>
    <w:p w:rsidR="004343A5" w:rsidRPr="004343A5" w:rsidRDefault="004343A5" w:rsidP="004343A5">
      <w:pPr>
        <w:pStyle w:val="Default"/>
        <w:jc w:val="both"/>
        <w:rPr>
          <w:szCs w:val="22"/>
        </w:rPr>
      </w:pPr>
      <w:r w:rsidRPr="004343A5">
        <w:rPr>
          <w:szCs w:val="22"/>
        </w:rPr>
        <w:t xml:space="preserve">Government agencies identify internal information, functions and technologies that may be of benefit to other agencies and seek to share these resources on an ongoing basis. Duplication and replication is avoided. Agencies collaborate on the delivery of programs and services in ways that are focussed on whole-of-government objectives and directed towards the most effective and efficient solutions, providing the best value for taxpayers’ money. </w:t>
      </w:r>
    </w:p>
    <w:p w:rsidR="004343A5" w:rsidRPr="004343A5" w:rsidRDefault="004343A5" w:rsidP="004343A5">
      <w:pPr>
        <w:pStyle w:val="Heading2"/>
      </w:pPr>
      <w:r w:rsidRPr="004343A5">
        <w:t xml:space="preserve">Openness and reusability </w:t>
      </w:r>
    </w:p>
    <w:p w:rsidR="004343A5" w:rsidRPr="004343A5" w:rsidRDefault="004343A5" w:rsidP="004343A5">
      <w:pPr>
        <w:pStyle w:val="Default"/>
        <w:jc w:val="both"/>
        <w:rPr>
          <w:szCs w:val="22"/>
        </w:rPr>
      </w:pPr>
      <w:r w:rsidRPr="004343A5">
        <w:rPr>
          <w:szCs w:val="22"/>
        </w:rPr>
        <w:t xml:space="preserve">Government processes and solutions are developed and implemented to maximise their openness and reusability, using industry and open interoperability standards including government standards when developed (see related guidance on standards TBD). </w:t>
      </w:r>
    </w:p>
    <w:p w:rsidR="004343A5" w:rsidRPr="004343A5" w:rsidRDefault="004343A5" w:rsidP="004343A5">
      <w:pPr>
        <w:pStyle w:val="Heading2"/>
      </w:pPr>
      <w:r w:rsidRPr="004343A5">
        <w:t xml:space="preserve">Security and privacy </w:t>
      </w:r>
    </w:p>
    <w:p w:rsidR="004343A5" w:rsidRPr="004343A5" w:rsidRDefault="004343A5" w:rsidP="004343A5">
      <w:pPr>
        <w:pStyle w:val="Default"/>
        <w:jc w:val="both"/>
        <w:rPr>
          <w:szCs w:val="22"/>
        </w:rPr>
      </w:pPr>
      <w:r w:rsidRPr="004343A5">
        <w:rPr>
          <w:szCs w:val="22"/>
        </w:rPr>
        <w:t xml:space="preserve">Interoperability is pursued within the context of relevant legislation and regulation to ensure the security and privacy of citizens, businesses and Government. </w:t>
      </w:r>
    </w:p>
    <w:p w:rsidR="004343A5" w:rsidRPr="004343A5" w:rsidRDefault="004343A5" w:rsidP="004343A5">
      <w:pPr>
        <w:pStyle w:val="Heading1"/>
      </w:pPr>
      <w:r w:rsidRPr="004343A5">
        <w:t xml:space="preserve">Related Guidance </w:t>
      </w:r>
    </w:p>
    <w:p w:rsidR="004343A5" w:rsidRPr="004343A5" w:rsidRDefault="004343A5" w:rsidP="004343A5">
      <w:pPr>
        <w:pStyle w:val="Default"/>
        <w:jc w:val="both"/>
        <w:rPr>
          <w:szCs w:val="22"/>
        </w:rPr>
      </w:pPr>
      <w:r w:rsidRPr="004343A5">
        <w:rPr>
          <w:szCs w:val="22"/>
        </w:rPr>
        <w:t xml:space="preserve">Information and guidance on interoperability is available from the Office of the Government Chief Information Officer (GCIO) website at www.gcio.wa.gov.au. </w:t>
      </w:r>
    </w:p>
    <w:p w:rsidR="004343A5" w:rsidRPr="004343A5" w:rsidRDefault="004343A5" w:rsidP="004343A5">
      <w:pPr>
        <w:pStyle w:val="Default"/>
        <w:jc w:val="both"/>
        <w:rPr>
          <w:szCs w:val="22"/>
        </w:rPr>
      </w:pPr>
      <w:r w:rsidRPr="004343A5">
        <w:rPr>
          <w:szCs w:val="22"/>
        </w:rPr>
        <w:t xml:space="preserve">Agencies will need to ensure implementation of this Policy is consistent with, and operating within any applicable legislative, policy and strategic frameworks. </w:t>
      </w:r>
    </w:p>
    <w:p w:rsidR="004343A5" w:rsidRPr="004343A5" w:rsidRDefault="004343A5" w:rsidP="004343A5">
      <w:pPr>
        <w:pStyle w:val="Heading1"/>
      </w:pPr>
      <w:r w:rsidRPr="004343A5">
        <w:t xml:space="preserve">Definition of Terms </w:t>
      </w:r>
    </w:p>
    <w:p w:rsidR="004343A5" w:rsidRPr="004343A5" w:rsidRDefault="004343A5" w:rsidP="004343A5">
      <w:pPr>
        <w:pStyle w:val="Default"/>
        <w:jc w:val="both"/>
        <w:rPr>
          <w:szCs w:val="22"/>
        </w:rPr>
      </w:pPr>
      <w:r w:rsidRPr="004343A5">
        <w:rPr>
          <w:b/>
          <w:szCs w:val="22"/>
        </w:rPr>
        <w:t>Interoperability</w:t>
      </w:r>
      <w:r w:rsidRPr="004343A5">
        <w:rPr>
          <w:szCs w:val="22"/>
        </w:rPr>
        <w:t xml:space="preserve"> is defined in accordance with the: </w:t>
      </w:r>
    </w:p>
    <w:p w:rsidR="004343A5" w:rsidRPr="004343A5" w:rsidRDefault="004343A5" w:rsidP="004343A5">
      <w:pPr>
        <w:pStyle w:val="Default"/>
        <w:jc w:val="both"/>
        <w:rPr>
          <w:szCs w:val="22"/>
        </w:rPr>
      </w:pPr>
      <w:r w:rsidRPr="004343A5">
        <w:rPr>
          <w:szCs w:val="22"/>
        </w:rPr>
        <w:t xml:space="preserve">Australian Government Information Management Office. (2007). </w:t>
      </w:r>
      <w:r w:rsidRPr="004343A5">
        <w:rPr>
          <w:i/>
          <w:iCs/>
          <w:szCs w:val="22"/>
        </w:rPr>
        <w:t>The Australian Government Business Process Interoperability Framework - Enabling Seamless Service Delivery</w:t>
      </w:r>
      <w:r w:rsidRPr="004343A5">
        <w:rPr>
          <w:szCs w:val="22"/>
        </w:rPr>
        <w:t xml:space="preserve">, pp. 7-9: </w:t>
      </w:r>
    </w:p>
    <w:p w:rsidR="004343A5" w:rsidRPr="004343A5" w:rsidRDefault="004343A5" w:rsidP="004343A5">
      <w:pPr>
        <w:pStyle w:val="Default"/>
        <w:jc w:val="both"/>
        <w:rPr>
          <w:szCs w:val="22"/>
        </w:rPr>
      </w:pPr>
      <w:r>
        <w:rPr>
          <w:b/>
          <w:szCs w:val="22"/>
        </w:rPr>
        <w:t>V</w:t>
      </w:r>
      <w:r w:rsidRPr="004343A5">
        <w:rPr>
          <w:b/>
          <w:szCs w:val="22"/>
        </w:rPr>
        <w:t>alue for money</w:t>
      </w:r>
      <w:r w:rsidRPr="004343A5">
        <w:rPr>
          <w:szCs w:val="22"/>
        </w:rPr>
        <w:t xml:space="preserve"> is defined in accordance with the State Supply Commission supply policies, available from: </w:t>
      </w:r>
    </w:p>
    <w:p w:rsidR="004343A5" w:rsidRPr="004343A5" w:rsidRDefault="003F0EF3" w:rsidP="004343A5">
      <w:pPr>
        <w:pStyle w:val="Default"/>
        <w:jc w:val="both"/>
        <w:rPr>
          <w:szCs w:val="22"/>
        </w:rPr>
      </w:pPr>
      <w:hyperlink r:id="rId20" w:history="1">
        <w:r w:rsidR="004343A5" w:rsidRPr="00496240">
          <w:rPr>
            <w:rStyle w:val="Hyperlink"/>
            <w:szCs w:val="22"/>
          </w:rPr>
          <w:t>http://www.finance.wa.gov.au/cms/State_Supply_Commission/Procurement_Policy/Value_for_Money.aspx</w:t>
        </w:r>
      </w:hyperlink>
      <w:r w:rsidR="004343A5">
        <w:rPr>
          <w:szCs w:val="22"/>
        </w:rPr>
        <w:t xml:space="preserve"> </w:t>
      </w:r>
      <w:r w:rsidR="004343A5" w:rsidRPr="004343A5">
        <w:rPr>
          <w:szCs w:val="22"/>
        </w:rPr>
        <w:t xml:space="preserve"> </w:t>
      </w:r>
    </w:p>
    <w:sectPr w:rsidR="004343A5" w:rsidRPr="004343A5" w:rsidSect="00B74BE4">
      <w:pgSz w:w="11906" w:h="17338"/>
      <w:pgMar w:top="1167" w:right="672" w:bottom="1285" w:left="9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3F9" w:rsidRDefault="00BD13F9" w:rsidP="00762007">
      <w:pPr>
        <w:spacing w:line="240" w:lineRule="auto"/>
      </w:pPr>
      <w:r>
        <w:separator/>
      </w:r>
    </w:p>
  </w:endnote>
  <w:endnote w:type="continuationSeparator" w:id="0">
    <w:p w:rsidR="00BD13F9" w:rsidRDefault="00BD13F9" w:rsidP="00762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007" w:rsidRPr="004365F0" w:rsidRDefault="00762007" w:rsidP="003477BB">
    <w:pPr>
      <w:pStyle w:val="Footer"/>
      <w:tabs>
        <w:tab w:val="clear" w:pos="9026"/>
        <w:tab w:val="right" w:pos="935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3F9" w:rsidRDefault="00BD13F9" w:rsidP="00762007">
      <w:pPr>
        <w:spacing w:line="240" w:lineRule="auto"/>
      </w:pPr>
      <w:r>
        <w:separator/>
      </w:r>
    </w:p>
  </w:footnote>
  <w:footnote w:type="continuationSeparator" w:id="0">
    <w:p w:rsidR="00BD13F9" w:rsidRDefault="00BD13F9" w:rsidP="007620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095F"/>
    <w:multiLevelType w:val="hybridMultilevel"/>
    <w:tmpl w:val="F17CB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EF13F7"/>
    <w:multiLevelType w:val="hybridMultilevel"/>
    <w:tmpl w:val="0220E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6772D"/>
    <w:multiLevelType w:val="hybridMultilevel"/>
    <w:tmpl w:val="85F6D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C6D2A"/>
    <w:multiLevelType w:val="hybridMultilevel"/>
    <w:tmpl w:val="41888AF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0EB43885"/>
    <w:multiLevelType w:val="hybridMultilevel"/>
    <w:tmpl w:val="2F1C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82BC5"/>
    <w:multiLevelType w:val="hybridMultilevel"/>
    <w:tmpl w:val="C6149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C80128"/>
    <w:multiLevelType w:val="hybridMultilevel"/>
    <w:tmpl w:val="1C949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F1911"/>
    <w:multiLevelType w:val="hybridMultilevel"/>
    <w:tmpl w:val="BC8CF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F534EF"/>
    <w:multiLevelType w:val="hybridMultilevel"/>
    <w:tmpl w:val="F32A1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696EF2"/>
    <w:multiLevelType w:val="hybridMultilevel"/>
    <w:tmpl w:val="F754D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B06F3B"/>
    <w:multiLevelType w:val="hybridMultilevel"/>
    <w:tmpl w:val="F1284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AA48C6"/>
    <w:multiLevelType w:val="hybridMultilevel"/>
    <w:tmpl w:val="4B14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096EE9"/>
    <w:multiLevelType w:val="hybridMultilevel"/>
    <w:tmpl w:val="718A5AF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27EC3E0A"/>
    <w:multiLevelType w:val="hybridMultilevel"/>
    <w:tmpl w:val="9F5C0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76643F"/>
    <w:multiLevelType w:val="hybridMultilevel"/>
    <w:tmpl w:val="B2029D86"/>
    <w:lvl w:ilvl="0" w:tplc="A942DBB6">
      <w:start w:val="1"/>
      <w:numFmt w:val="bullet"/>
      <w:pStyle w:val="ListParagraph"/>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9F0793"/>
    <w:multiLevelType w:val="hybridMultilevel"/>
    <w:tmpl w:val="90B2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311424"/>
    <w:multiLevelType w:val="hybridMultilevel"/>
    <w:tmpl w:val="B404A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9954201"/>
    <w:multiLevelType w:val="hybridMultilevel"/>
    <w:tmpl w:val="A782A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577DC4"/>
    <w:multiLevelType w:val="hybridMultilevel"/>
    <w:tmpl w:val="2D26764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43FA01C8"/>
    <w:multiLevelType w:val="hybridMultilevel"/>
    <w:tmpl w:val="0694D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382174"/>
    <w:multiLevelType w:val="hybridMultilevel"/>
    <w:tmpl w:val="0E9849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D85201D"/>
    <w:multiLevelType w:val="hybridMultilevel"/>
    <w:tmpl w:val="6C94F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703A82"/>
    <w:multiLevelType w:val="hybridMultilevel"/>
    <w:tmpl w:val="36826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C40070"/>
    <w:multiLevelType w:val="hybridMultilevel"/>
    <w:tmpl w:val="E12A8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C4116A"/>
    <w:multiLevelType w:val="hybridMultilevel"/>
    <w:tmpl w:val="A8567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540449"/>
    <w:multiLevelType w:val="hybridMultilevel"/>
    <w:tmpl w:val="9DB6B8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4D127D5"/>
    <w:multiLevelType w:val="hybridMultilevel"/>
    <w:tmpl w:val="EF5AE4C4"/>
    <w:lvl w:ilvl="0" w:tplc="4B289DC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5956F9"/>
    <w:multiLevelType w:val="hybridMultilevel"/>
    <w:tmpl w:val="910A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E844E2"/>
    <w:multiLevelType w:val="hybridMultilevel"/>
    <w:tmpl w:val="D036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610205"/>
    <w:multiLevelType w:val="hybridMultilevel"/>
    <w:tmpl w:val="CF80E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E50B72"/>
    <w:multiLevelType w:val="hybridMultilevel"/>
    <w:tmpl w:val="6860C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F36A83"/>
    <w:multiLevelType w:val="hybridMultilevel"/>
    <w:tmpl w:val="CFB63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7A0B55"/>
    <w:multiLevelType w:val="hybridMultilevel"/>
    <w:tmpl w:val="BE9AA5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6A6C79C7"/>
    <w:multiLevelType w:val="hybridMultilevel"/>
    <w:tmpl w:val="1FC424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1BB553A"/>
    <w:multiLevelType w:val="hybridMultilevel"/>
    <w:tmpl w:val="92AEB2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5313A14"/>
    <w:multiLevelType w:val="hybridMultilevel"/>
    <w:tmpl w:val="8662E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0522EF"/>
    <w:multiLevelType w:val="hybridMultilevel"/>
    <w:tmpl w:val="D6668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63319A"/>
    <w:multiLevelType w:val="multilevel"/>
    <w:tmpl w:val="991647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98B2DBE"/>
    <w:multiLevelType w:val="hybridMultilevel"/>
    <w:tmpl w:val="F8880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14"/>
  </w:num>
  <w:num w:numId="3">
    <w:abstractNumId w:val="29"/>
  </w:num>
  <w:num w:numId="4">
    <w:abstractNumId w:val="26"/>
  </w:num>
  <w:num w:numId="5">
    <w:abstractNumId w:val="13"/>
  </w:num>
  <w:num w:numId="6">
    <w:abstractNumId w:val="19"/>
  </w:num>
  <w:num w:numId="7">
    <w:abstractNumId w:val="28"/>
  </w:num>
  <w:num w:numId="8">
    <w:abstractNumId w:val="7"/>
  </w:num>
  <w:num w:numId="9">
    <w:abstractNumId w:val="33"/>
  </w:num>
  <w:num w:numId="10">
    <w:abstractNumId w:val="4"/>
  </w:num>
  <w:num w:numId="11">
    <w:abstractNumId w:val="32"/>
  </w:num>
  <w:num w:numId="12">
    <w:abstractNumId w:val="2"/>
  </w:num>
  <w:num w:numId="13">
    <w:abstractNumId w:val="37"/>
  </w:num>
  <w:num w:numId="14">
    <w:abstractNumId w:val="37"/>
  </w:num>
  <w:num w:numId="15">
    <w:abstractNumId w:val="11"/>
  </w:num>
  <w:num w:numId="16">
    <w:abstractNumId w:val="6"/>
  </w:num>
  <w:num w:numId="17">
    <w:abstractNumId w:val="10"/>
  </w:num>
  <w:num w:numId="18">
    <w:abstractNumId w:val="22"/>
  </w:num>
  <w:num w:numId="19">
    <w:abstractNumId w:val="14"/>
  </w:num>
  <w:num w:numId="20">
    <w:abstractNumId w:val="31"/>
  </w:num>
  <w:num w:numId="21">
    <w:abstractNumId w:val="15"/>
  </w:num>
  <w:num w:numId="22">
    <w:abstractNumId w:val="1"/>
  </w:num>
  <w:num w:numId="23">
    <w:abstractNumId w:val="17"/>
  </w:num>
  <w:num w:numId="24">
    <w:abstractNumId w:val="21"/>
  </w:num>
  <w:num w:numId="25">
    <w:abstractNumId w:val="8"/>
  </w:num>
  <w:num w:numId="26">
    <w:abstractNumId w:val="37"/>
  </w:num>
  <w:num w:numId="27">
    <w:abstractNumId w:val="18"/>
  </w:num>
  <w:num w:numId="28">
    <w:abstractNumId w:val="12"/>
  </w:num>
  <w:num w:numId="29">
    <w:abstractNumId w:val="24"/>
  </w:num>
  <w:num w:numId="30">
    <w:abstractNumId w:val="14"/>
  </w:num>
  <w:num w:numId="31">
    <w:abstractNumId w:val="27"/>
  </w:num>
  <w:num w:numId="32">
    <w:abstractNumId w:val="14"/>
  </w:num>
  <w:num w:numId="33">
    <w:abstractNumId w:val="14"/>
  </w:num>
  <w:num w:numId="34">
    <w:abstractNumId w:val="5"/>
  </w:num>
  <w:num w:numId="35">
    <w:abstractNumId w:val="9"/>
  </w:num>
  <w:num w:numId="36">
    <w:abstractNumId w:val="35"/>
  </w:num>
  <w:num w:numId="37">
    <w:abstractNumId w:val="3"/>
  </w:num>
  <w:num w:numId="38">
    <w:abstractNumId w:val="38"/>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34"/>
  </w:num>
  <w:num w:numId="44">
    <w:abstractNumId w:val="23"/>
  </w:num>
  <w:num w:numId="45">
    <w:abstractNumId w:val="36"/>
  </w:num>
  <w:num w:numId="46">
    <w:abstractNumId w:val="0"/>
  </w:num>
  <w:num w:numId="47">
    <w:abstractNumId w:val="30"/>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FA"/>
    <w:rsid w:val="00000045"/>
    <w:rsid w:val="00001577"/>
    <w:rsid w:val="000023D5"/>
    <w:rsid w:val="00002A26"/>
    <w:rsid w:val="000049FE"/>
    <w:rsid w:val="000051A4"/>
    <w:rsid w:val="00011B9F"/>
    <w:rsid w:val="00013F8F"/>
    <w:rsid w:val="000218A6"/>
    <w:rsid w:val="00021E56"/>
    <w:rsid w:val="00022683"/>
    <w:rsid w:val="00027727"/>
    <w:rsid w:val="00027A91"/>
    <w:rsid w:val="00027D75"/>
    <w:rsid w:val="00032B55"/>
    <w:rsid w:val="000355EA"/>
    <w:rsid w:val="00036CDE"/>
    <w:rsid w:val="0004034F"/>
    <w:rsid w:val="00050ECC"/>
    <w:rsid w:val="000520C0"/>
    <w:rsid w:val="00057AA3"/>
    <w:rsid w:val="00060179"/>
    <w:rsid w:val="000601F7"/>
    <w:rsid w:val="00066F1C"/>
    <w:rsid w:val="00070BE6"/>
    <w:rsid w:val="00073AF4"/>
    <w:rsid w:val="000769FA"/>
    <w:rsid w:val="00083349"/>
    <w:rsid w:val="00087BD4"/>
    <w:rsid w:val="000A2545"/>
    <w:rsid w:val="000B40E0"/>
    <w:rsid w:val="000C25A0"/>
    <w:rsid w:val="000C2688"/>
    <w:rsid w:val="000C27C9"/>
    <w:rsid w:val="000C2CB8"/>
    <w:rsid w:val="000C542B"/>
    <w:rsid w:val="000C5C9C"/>
    <w:rsid w:val="000C62CD"/>
    <w:rsid w:val="000C75FF"/>
    <w:rsid w:val="000D047F"/>
    <w:rsid w:val="000D5D16"/>
    <w:rsid w:val="000D7B92"/>
    <w:rsid w:val="000E16D5"/>
    <w:rsid w:val="000E5C6A"/>
    <w:rsid w:val="000E6120"/>
    <w:rsid w:val="000E6F06"/>
    <w:rsid w:val="000F1DEB"/>
    <w:rsid w:val="000F4C03"/>
    <w:rsid w:val="000F68EB"/>
    <w:rsid w:val="000F6D2D"/>
    <w:rsid w:val="0010005C"/>
    <w:rsid w:val="0010325F"/>
    <w:rsid w:val="00107268"/>
    <w:rsid w:val="00107574"/>
    <w:rsid w:val="00110020"/>
    <w:rsid w:val="00114B9D"/>
    <w:rsid w:val="001151F7"/>
    <w:rsid w:val="00121DA9"/>
    <w:rsid w:val="001235E1"/>
    <w:rsid w:val="00123617"/>
    <w:rsid w:val="0012656B"/>
    <w:rsid w:val="00127E75"/>
    <w:rsid w:val="0013040F"/>
    <w:rsid w:val="00131FF9"/>
    <w:rsid w:val="00132F85"/>
    <w:rsid w:val="0013327D"/>
    <w:rsid w:val="00136925"/>
    <w:rsid w:val="00136F0C"/>
    <w:rsid w:val="00141622"/>
    <w:rsid w:val="00141D0D"/>
    <w:rsid w:val="00141F8C"/>
    <w:rsid w:val="00147D1E"/>
    <w:rsid w:val="00153532"/>
    <w:rsid w:val="00153DFA"/>
    <w:rsid w:val="00164118"/>
    <w:rsid w:val="0017097E"/>
    <w:rsid w:val="00173E8B"/>
    <w:rsid w:val="001748FD"/>
    <w:rsid w:val="00177144"/>
    <w:rsid w:val="00181496"/>
    <w:rsid w:val="0018468B"/>
    <w:rsid w:val="001920B2"/>
    <w:rsid w:val="00193A44"/>
    <w:rsid w:val="00194350"/>
    <w:rsid w:val="001A0C84"/>
    <w:rsid w:val="001A12A4"/>
    <w:rsid w:val="001A15A6"/>
    <w:rsid w:val="001A35A8"/>
    <w:rsid w:val="001A39CC"/>
    <w:rsid w:val="001B309D"/>
    <w:rsid w:val="001C4C33"/>
    <w:rsid w:val="001C6755"/>
    <w:rsid w:val="001E0A29"/>
    <w:rsid w:val="001E1BBF"/>
    <w:rsid w:val="001E23E3"/>
    <w:rsid w:val="001E2EB5"/>
    <w:rsid w:val="001E376D"/>
    <w:rsid w:val="001E3A9A"/>
    <w:rsid w:val="001E3DCA"/>
    <w:rsid w:val="001E799E"/>
    <w:rsid w:val="00201F5D"/>
    <w:rsid w:val="00205E2A"/>
    <w:rsid w:val="002074AD"/>
    <w:rsid w:val="002163F4"/>
    <w:rsid w:val="00220635"/>
    <w:rsid w:val="00221961"/>
    <w:rsid w:val="0022523C"/>
    <w:rsid w:val="0023076D"/>
    <w:rsid w:val="002325A3"/>
    <w:rsid w:val="00232A6C"/>
    <w:rsid w:val="00235093"/>
    <w:rsid w:val="00236112"/>
    <w:rsid w:val="00243880"/>
    <w:rsid w:val="002447D6"/>
    <w:rsid w:val="00252D65"/>
    <w:rsid w:val="00253A8F"/>
    <w:rsid w:val="0025430C"/>
    <w:rsid w:val="00257663"/>
    <w:rsid w:val="0026026A"/>
    <w:rsid w:val="00260401"/>
    <w:rsid w:val="00260974"/>
    <w:rsid w:val="0026354D"/>
    <w:rsid w:val="00264994"/>
    <w:rsid w:val="00264E6E"/>
    <w:rsid w:val="00275D9F"/>
    <w:rsid w:val="00283F37"/>
    <w:rsid w:val="002876A3"/>
    <w:rsid w:val="00287C3D"/>
    <w:rsid w:val="002904A6"/>
    <w:rsid w:val="00290EB2"/>
    <w:rsid w:val="002916E9"/>
    <w:rsid w:val="00293022"/>
    <w:rsid w:val="002A23DA"/>
    <w:rsid w:val="002A35B4"/>
    <w:rsid w:val="002B0737"/>
    <w:rsid w:val="002B1F22"/>
    <w:rsid w:val="002B30CC"/>
    <w:rsid w:val="002B4032"/>
    <w:rsid w:val="002B53D4"/>
    <w:rsid w:val="002B68DA"/>
    <w:rsid w:val="002B6C1C"/>
    <w:rsid w:val="002B7390"/>
    <w:rsid w:val="002C22EC"/>
    <w:rsid w:val="002C2FB2"/>
    <w:rsid w:val="002D1CE4"/>
    <w:rsid w:val="002D6A96"/>
    <w:rsid w:val="002E0AA9"/>
    <w:rsid w:val="002E5FC8"/>
    <w:rsid w:val="002F03D4"/>
    <w:rsid w:val="002F152F"/>
    <w:rsid w:val="002F3A2A"/>
    <w:rsid w:val="002F5738"/>
    <w:rsid w:val="0030051A"/>
    <w:rsid w:val="00300E7B"/>
    <w:rsid w:val="0030496F"/>
    <w:rsid w:val="00305D9D"/>
    <w:rsid w:val="00311321"/>
    <w:rsid w:val="003113A3"/>
    <w:rsid w:val="003168CB"/>
    <w:rsid w:val="00331455"/>
    <w:rsid w:val="00332F79"/>
    <w:rsid w:val="003330A3"/>
    <w:rsid w:val="00341474"/>
    <w:rsid w:val="00341AB0"/>
    <w:rsid w:val="00343151"/>
    <w:rsid w:val="00344B24"/>
    <w:rsid w:val="00344E0A"/>
    <w:rsid w:val="0034610C"/>
    <w:rsid w:val="003466AA"/>
    <w:rsid w:val="003477BB"/>
    <w:rsid w:val="00351ECB"/>
    <w:rsid w:val="00351FA9"/>
    <w:rsid w:val="00352894"/>
    <w:rsid w:val="00354E3A"/>
    <w:rsid w:val="00355E8B"/>
    <w:rsid w:val="00356E74"/>
    <w:rsid w:val="00361E77"/>
    <w:rsid w:val="0036215E"/>
    <w:rsid w:val="00365BCA"/>
    <w:rsid w:val="00370A2D"/>
    <w:rsid w:val="00370A47"/>
    <w:rsid w:val="00370B4A"/>
    <w:rsid w:val="003773F6"/>
    <w:rsid w:val="00383BE1"/>
    <w:rsid w:val="00384960"/>
    <w:rsid w:val="00387381"/>
    <w:rsid w:val="00387646"/>
    <w:rsid w:val="00390A0E"/>
    <w:rsid w:val="003937B8"/>
    <w:rsid w:val="00397AFA"/>
    <w:rsid w:val="00397B68"/>
    <w:rsid w:val="003A00DF"/>
    <w:rsid w:val="003A2DF9"/>
    <w:rsid w:val="003B6084"/>
    <w:rsid w:val="003C0273"/>
    <w:rsid w:val="003C02F6"/>
    <w:rsid w:val="003C17E0"/>
    <w:rsid w:val="003C33F7"/>
    <w:rsid w:val="003D1383"/>
    <w:rsid w:val="003D247F"/>
    <w:rsid w:val="003D2F0E"/>
    <w:rsid w:val="003D304D"/>
    <w:rsid w:val="003D37FC"/>
    <w:rsid w:val="003D6631"/>
    <w:rsid w:val="003F0B86"/>
    <w:rsid w:val="003F0EF3"/>
    <w:rsid w:val="003F1547"/>
    <w:rsid w:val="003F6E6C"/>
    <w:rsid w:val="00400CA1"/>
    <w:rsid w:val="004050FA"/>
    <w:rsid w:val="004058DC"/>
    <w:rsid w:val="00406F48"/>
    <w:rsid w:val="00421161"/>
    <w:rsid w:val="00422FBD"/>
    <w:rsid w:val="00425729"/>
    <w:rsid w:val="004343A5"/>
    <w:rsid w:val="004365F0"/>
    <w:rsid w:val="00437333"/>
    <w:rsid w:val="00437A70"/>
    <w:rsid w:val="00447841"/>
    <w:rsid w:val="00456846"/>
    <w:rsid w:val="0046267D"/>
    <w:rsid w:val="00464A95"/>
    <w:rsid w:val="0046551B"/>
    <w:rsid w:val="00470381"/>
    <w:rsid w:val="00473191"/>
    <w:rsid w:val="00473B52"/>
    <w:rsid w:val="00475835"/>
    <w:rsid w:val="0047692E"/>
    <w:rsid w:val="0047774A"/>
    <w:rsid w:val="004812BC"/>
    <w:rsid w:val="004816A1"/>
    <w:rsid w:val="00481D64"/>
    <w:rsid w:val="00481F59"/>
    <w:rsid w:val="00484F94"/>
    <w:rsid w:val="004859A6"/>
    <w:rsid w:val="0049258A"/>
    <w:rsid w:val="00492E90"/>
    <w:rsid w:val="004A1EE9"/>
    <w:rsid w:val="004A2D96"/>
    <w:rsid w:val="004B0747"/>
    <w:rsid w:val="004B0F7F"/>
    <w:rsid w:val="004B4687"/>
    <w:rsid w:val="004B625E"/>
    <w:rsid w:val="004C7A09"/>
    <w:rsid w:val="004D1EE2"/>
    <w:rsid w:val="004D3299"/>
    <w:rsid w:val="004D4185"/>
    <w:rsid w:val="004E0C82"/>
    <w:rsid w:val="004E0CF4"/>
    <w:rsid w:val="004E2233"/>
    <w:rsid w:val="004E49CF"/>
    <w:rsid w:val="004E61A4"/>
    <w:rsid w:val="004F3BAB"/>
    <w:rsid w:val="004F629A"/>
    <w:rsid w:val="004F7380"/>
    <w:rsid w:val="005054AD"/>
    <w:rsid w:val="00511236"/>
    <w:rsid w:val="00516963"/>
    <w:rsid w:val="005201F3"/>
    <w:rsid w:val="00521254"/>
    <w:rsid w:val="00526576"/>
    <w:rsid w:val="00527AE2"/>
    <w:rsid w:val="005309B3"/>
    <w:rsid w:val="0053111D"/>
    <w:rsid w:val="005336E9"/>
    <w:rsid w:val="00536BC6"/>
    <w:rsid w:val="00537B08"/>
    <w:rsid w:val="005404E4"/>
    <w:rsid w:val="00542829"/>
    <w:rsid w:val="0054732A"/>
    <w:rsid w:val="00550E90"/>
    <w:rsid w:val="00552C82"/>
    <w:rsid w:val="005558C8"/>
    <w:rsid w:val="005636E9"/>
    <w:rsid w:val="00571681"/>
    <w:rsid w:val="00576042"/>
    <w:rsid w:val="005808A2"/>
    <w:rsid w:val="00583511"/>
    <w:rsid w:val="00583FB3"/>
    <w:rsid w:val="00584FD1"/>
    <w:rsid w:val="005869A4"/>
    <w:rsid w:val="00587C82"/>
    <w:rsid w:val="00587FEE"/>
    <w:rsid w:val="00590298"/>
    <w:rsid w:val="005908FF"/>
    <w:rsid w:val="00591B93"/>
    <w:rsid w:val="0059507D"/>
    <w:rsid w:val="00597C33"/>
    <w:rsid w:val="005A1D9B"/>
    <w:rsid w:val="005A3BB0"/>
    <w:rsid w:val="005A5F7B"/>
    <w:rsid w:val="005B22F6"/>
    <w:rsid w:val="005B31D0"/>
    <w:rsid w:val="005B5B41"/>
    <w:rsid w:val="005B730C"/>
    <w:rsid w:val="005C052F"/>
    <w:rsid w:val="005C0CAD"/>
    <w:rsid w:val="005C16E8"/>
    <w:rsid w:val="005C3685"/>
    <w:rsid w:val="005C5D23"/>
    <w:rsid w:val="005C5E4B"/>
    <w:rsid w:val="005D0347"/>
    <w:rsid w:val="005D23EE"/>
    <w:rsid w:val="005D25C2"/>
    <w:rsid w:val="005E113F"/>
    <w:rsid w:val="005F6861"/>
    <w:rsid w:val="005F792C"/>
    <w:rsid w:val="0060082F"/>
    <w:rsid w:val="00601A2E"/>
    <w:rsid w:val="00603A49"/>
    <w:rsid w:val="00614FD4"/>
    <w:rsid w:val="006163D4"/>
    <w:rsid w:val="006202DA"/>
    <w:rsid w:val="006206F7"/>
    <w:rsid w:val="00622B8E"/>
    <w:rsid w:val="00623258"/>
    <w:rsid w:val="00623B23"/>
    <w:rsid w:val="00625CF6"/>
    <w:rsid w:val="00627C4C"/>
    <w:rsid w:val="00634375"/>
    <w:rsid w:val="00634688"/>
    <w:rsid w:val="00640B53"/>
    <w:rsid w:val="00652014"/>
    <w:rsid w:val="00653757"/>
    <w:rsid w:val="006604B2"/>
    <w:rsid w:val="00661A3E"/>
    <w:rsid w:val="006637B4"/>
    <w:rsid w:val="006640D1"/>
    <w:rsid w:val="006645FD"/>
    <w:rsid w:val="00664DF1"/>
    <w:rsid w:val="006654F8"/>
    <w:rsid w:val="00666C38"/>
    <w:rsid w:val="006816FC"/>
    <w:rsid w:val="006846EB"/>
    <w:rsid w:val="006859D9"/>
    <w:rsid w:val="00691B8F"/>
    <w:rsid w:val="0069520D"/>
    <w:rsid w:val="00696691"/>
    <w:rsid w:val="006967CC"/>
    <w:rsid w:val="006A2D87"/>
    <w:rsid w:val="006A31DA"/>
    <w:rsid w:val="006A3FE0"/>
    <w:rsid w:val="006B132E"/>
    <w:rsid w:val="006B4DB1"/>
    <w:rsid w:val="006B56B6"/>
    <w:rsid w:val="006B79F2"/>
    <w:rsid w:val="006C4345"/>
    <w:rsid w:val="006C53AD"/>
    <w:rsid w:val="006C556C"/>
    <w:rsid w:val="006C58AA"/>
    <w:rsid w:val="006C6B79"/>
    <w:rsid w:val="006D0510"/>
    <w:rsid w:val="006D0EB8"/>
    <w:rsid w:val="006D1A52"/>
    <w:rsid w:val="006D4A7B"/>
    <w:rsid w:val="006F25DF"/>
    <w:rsid w:val="006F29FB"/>
    <w:rsid w:val="006F3454"/>
    <w:rsid w:val="006F34C3"/>
    <w:rsid w:val="006F4316"/>
    <w:rsid w:val="006F6B8D"/>
    <w:rsid w:val="006F7202"/>
    <w:rsid w:val="00703050"/>
    <w:rsid w:val="00703C09"/>
    <w:rsid w:val="007043F5"/>
    <w:rsid w:val="00706E1B"/>
    <w:rsid w:val="00710678"/>
    <w:rsid w:val="00710C33"/>
    <w:rsid w:val="00716281"/>
    <w:rsid w:val="007164C1"/>
    <w:rsid w:val="00722CE9"/>
    <w:rsid w:val="0072368D"/>
    <w:rsid w:val="007239F0"/>
    <w:rsid w:val="00725F70"/>
    <w:rsid w:val="00727CA8"/>
    <w:rsid w:val="007308DF"/>
    <w:rsid w:val="00734C01"/>
    <w:rsid w:val="00736000"/>
    <w:rsid w:val="00737BFA"/>
    <w:rsid w:val="0074093F"/>
    <w:rsid w:val="007432D6"/>
    <w:rsid w:val="007440DD"/>
    <w:rsid w:val="00752CEF"/>
    <w:rsid w:val="0075359B"/>
    <w:rsid w:val="0075470A"/>
    <w:rsid w:val="00762007"/>
    <w:rsid w:val="007653C1"/>
    <w:rsid w:val="00766E6B"/>
    <w:rsid w:val="0077137E"/>
    <w:rsid w:val="00776531"/>
    <w:rsid w:val="00787574"/>
    <w:rsid w:val="00794649"/>
    <w:rsid w:val="0079542F"/>
    <w:rsid w:val="00795CE0"/>
    <w:rsid w:val="007960C5"/>
    <w:rsid w:val="007A469E"/>
    <w:rsid w:val="007A5656"/>
    <w:rsid w:val="007A7963"/>
    <w:rsid w:val="007B5BDD"/>
    <w:rsid w:val="007B63A6"/>
    <w:rsid w:val="007B7EB1"/>
    <w:rsid w:val="007C03BE"/>
    <w:rsid w:val="007C6088"/>
    <w:rsid w:val="007C66BA"/>
    <w:rsid w:val="007C6BF9"/>
    <w:rsid w:val="007C71B0"/>
    <w:rsid w:val="007D5DD1"/>
    <w:rsid w:val="007D6566"/>
    <w:rsid w:val="007E558A"/>
    <w:rsid w:val="007F024D"/>
    <w:rsid w:val="007F1F9C"/>
    <w:rsid w:val="007F5C3C"/>
    <w:rsid w:val="007F6C1E"/>
    <w:rsid w:val="007F7AF7"/>
    <w:rsid w:val="008062EF"/>
    <w:rsid w:val="0080764E"/>
    <w:rsid w:val="008129E9"/>
    <w:rsid w:val="00816417"/>
    <w:rsid w:val="0081667C"/>
    <w:rsid w:val="008210EC"/>
    <w:rsid w:val="00822756"/>
    <w:rsid w:val="0082490D"/>
    <w:rsid w:val="00824E3C"/>
    <w:rsid w:val="00826A67"/>
    <w:rsid w:val="00827340"/>
    <w:rsid w:val="00830317"/>
    <w:rsid w:val="00835134"/>
    <w:rsid w:val="00835C72"/>
    <w:rsid w:val="00837AEC"/>
    <w:rsid w:val="0084220D"/>
    <w:rsid w:val="00845537"/>
    <w:rsid w:val="00852150"/>
    <w:rsid w:val="00853D1E"/>
    <w:rsid w:val="00854349"/>
    <w:rsid w:val="008558AA"/>
    <w:rsid w:val="00857259"/>
    <w:rsid w:val="00860F72"/>
    <w:rsid w:val="00863638"/>
    <w:rsid w:val="00864CB4"/>
    <w:rsid w:val="008654E0"/>
    <w:rsid w:val="00867F9E"/>
    <w:rsid w:val="00870E66"/>
    <w:rsid w:val="00872B34"/>
    <w:rsid w:val="00872E36"/>
    <w:rsid w:val="0087462D"/>
    <w:rsid w:val="008754BE"/>
    <w:rsid w:val="0087649F"/>
    <w:rsid w:val="008776A7"/>
    <w:rsid w:val="008827B9"/>
    <w:rsid w:val="00884DF6"/>
    <w:rsid w:val="00890DE9"/>
    <w:rsid w:val="00893E9C"/>
    <w:rsid w:val="008A0FC8"/>
    <w:rsid w:val="008A134A"/>
    <w:rsid w:val="008A3E7C"/>
    <w:rsid w:val="008A594D"/>
    <w:rsid w:val="008B17F0"/>
    <w:rsid w:val="008B21A6"/>
    <w:rsid w:val="008B7262"/>
    <w:rsid w:val="008C2835"/>
    <w:rsid w:val="008C32F2"/>
    <w:rsid w:val="008C37E2"/>
    <w:rsid w:val="008C5A3E"/>
    <w:rsid w:val="008D116A"/>
    <w:rsid w:val="008D3D1E"/>
    <w:rsid w:val="008E067A"/>
    <w:rsid w:val="008F2241"/>
    <w:rsid w:val="008F276E"/>
    <w:rsid w:val="008F7D7F"/>
    <w:rsid w:val="009030C7"/>
    <w:rsid w:val="0090336C"/>
    <w:rsid w:val="00905EF8"/>
    <w:rsid w:val="00911E0F"/>
    <w:rsid w:val="00912D61"/>
    <w:rsid w:val="00921847"/>
    <w:rsid w:val="00924F6F"/>
    <w:rsid w:val="00925559"/>
    <w:rsid w:val="00926C84"/>
    <w:rsid w:val="0093032A"/>
    <w:rsid w:val="00931FB0"/>
    <w:rsid w:val="00933D57"/>
    <w:rsid w:val="00947037"/>
    <w:rsid w:val="00952009"/>
    <w:rsid w:val="00956745"/>
    <w:rsid w:val="00956D08"/>
    <w:rsid w:val="009600CF"/>
    <w:rsid w:val="0096335A"/>
    <w:rsid w:val="0097018D"/>
    <w:rsid w:val="009704CC"/>
    <w:rsid w:val="00971B30"/>
    <w:rsid w:val="00974F78"/>
    <w:rsid w:val="00977DE2"/>
    <w:rsid w:val="009806C6"/>
    <w:rsid w:val="0098076C"/>
    <w:rsid w:val="009816B1"/>
    <w:rsid w:val="00986C53"/>
    <w:rsid w:val="0099278D"/>
    <w:rsid w:val="00996D23"/>
    <w:rsid w:val="009978BC"/>
    <w:rsid w:val="009A042D"/>
    <w:rsid w:val="009A3C4F"/>
    <w:rsid w:val="009A493D"/>
    <w:rsid w:val="009A598E"/>
    <w:rsid w:val="009A7868"/>
    <w:rsid w:val="009B2D79"/>
    <w:rsid w:val="009C13DD"/>
    <w:rsid w:val="009C205D"/>
    <w:rsid w:val="009C2A8E"/>
    <w:rsid w:val="009D07B8"/>
    <w:rsid w:val="009D1F99"/>
    <w:rsid w:val="009D770E"/>
    <w:rsid w:val="009E2690"/>
    <w:rsid w:val="009E4224"/>
    <w:rsid w:val="009E502E"/>
    <w:rsid w:val="009F16A8"/>
    <w:rsid w:val="00A00684"/>
    <w:rsid w:val="00A04570"/>
    <w:rsid w:val="00A053B0"/>
    <w:rsid w:val="00A07416"/>
    <w:rsid w:val="00A07C98"/>
    <w:rsid w:val="00A115C0"/>
    <w:rsid w:val="00A12983"/>
    <w:rsid w:val="00A14F3B"/>
    <w:rsid w:val="00A170A0"/>
    <w:rsid w:val="00A20B28"/>
    <w:rsid w:val="00A218F6"/>
    <w:rsid w:val="00A22C12"/>
    <w:rsid w:val="00A24E14"/>
    <w:rsid w:val="00A30E76"/>
    <w:rsid w:val="00A33074"/>
    <w:rsid w:val="00A33C1A"/>
    <w:rsid w:val="00A33D7B"/>
    <w:rsid w:val="00A37DFB"/>
    <w:rsid w:val="00A41112"/>
    <w:rsid w:val="00A433D2"/>
    <w:rsid w:val="00A452C0"/>
    <w:rsid w:val="00A50E28"/>
    <w:rsid w:val="00A5138F"/>
    <w:rsid w:val="00A527CE"/>
    <w:rsid w:val="00A52809"/>
    <w:rsid w:val="00A53567"/>
    <w:rsid w:val="00A53C9C"/>
    <w:rsid w:val="00A55E5E"/>
    <w:rsid w:val="00A5716E"/>
    <w:rsid w:val="00A619BD"/>
    <w:rsid w:val="00A631DE"/>
    <w:rsid w:val="00A70D04"/>
    <w:rsid w:val="00A7424B"/>
    <w:rsid w:val="00A749CC"/>
    <w:rsid w:val="00A95BD2"/>
    <w:rsid w:val="00AA2CD4"/>
    <w:rsid w:val="00AA3FCB"/>
    <w:rsid w:val="00AB31E3"/>
    <w:rsid w:val="00AB6FFA"/>
    <w:rsid w:val="00AC0684"/>
    <w:rsid w:val="00AC09CE"/>
    <w:rsid w:val="00AC3BC6"/>
    <w:rsid w:val="00AD3096"/>
    <w:rsid w:val="00AD3395"/>
    <w:rsid w:val="00AD4D2A"/>
    <w:rsid w:val="00AD6649"/>
    <w:rsid w:val="00AE5D22"/>
    <w:rsid w:val="00AE7350"/>
    <w:rsid w:val="00AF0502"/>
    <w:rsid w:val="00AF7A68"/>
    <w:rsid w:val="00B020BF"/>
    <w:rsid w:val="00B13A1C"/>
    <w:rsid w:val="00B15F33"/>
    <w:rsid w:val="00B16420"/>
    <w:rsid w:val="00B25696"/>
    <w:rsid w:val="00B25CA4"/>
    <w:rsid w:val="00B301BD"/>
    <w:rsid w:val="00B3110B"/>
    <w:rsid w:val="00B35469"/>
    <w:rsid w:val="00B40040"/>
    <w:rsid w:val="00B44398"/>
    <w:rsid w:val="00B46555"/>
    <w:rsid w:val="00B520C7"/>
    <w:rsid w:val="00B640A6"/>
    <w:rsid w:val="00B67BB9"/>
    <w:rsid w:val="00B77126"/>
    <w:rsid w:val="00B77BEE"/>
    <w:rsid w:val="00B80AB7"/>
    <w:rsid w:val="00B80F2A"/>
    <w:rsid w:val="00B82536"/>
    <w:rsid w:val="00B874FA"/>
    <w:rsid w:val="00B919F5"/>
    <w:rsid w:val="00B926BA"/>
    <w:rsid w:val="00BA5CEA"/>
    <w:rsid w:val="00BA6D16"/>
    <w:rsid w:val="00BA7962"/>
    <w:rsid w:val="00BB43EB"/>
    <w:rsid w:val="00BB7565"/>
    <w:rsid w:val="00BC0359"/>
    <w:rsid w:val="00BC3F56"/>
    <w:rsid w:val="00BD13F9"/>
    <w:rsid w:val="00BD5A21"/>
    <w:rsid w:val="00BD6A33"/>
    <w:rsid w:val="00BD7F0B"/>
    <w:rsid w:val="00BE29DD"/>
    <w:rsid w:val="00BE636D"/>
    <w:rsid w:val="00BE6720"/>
    <w:rsid w:val="00BF1E9E"/>
    <w:rsid w:val="00BF3B3D"/>
    <w:rsid w:val="00C039E5"/>
    <w:rsid w:val="00C04856"/>
    <w:rsid w:val="00C068E6"/>
    <w:rsid w:val="00C102CC"/>
    <w:rsid w:val="00C11826"/>
    <w:rsid w:val="00C13D1B"/>
    <w:rsid w:val="00C1697D"/>
    <w:rsid w:val="00C205E5"/>
    <w:rsid w:val="00C21B50"/>
    <w:rsid w:val="00C22FB5"/>
    <w:rsid w:val="00C24C06"/>
    <w:rsid w:val="00C26E5B"/>
    <w:rsid w:val="00C31B54"/>
    <w:rsid w:val="00C31EA9"/>
    <w:rsid w:val="00C327B9"/>
    <w:rsid w:val="00C357D2"/>
    <w:rsid w:val="00C35A37"/>
    <w:rsid w:val="00C41CCC"/>
    <w:rsid w:val="00C4223A"/>
    <w:rsid w:val="00C42374"/>
    <w:rsid w:val="00C444CD"/>
    <w:rsid w:val="00C44D62"/>
    <w:rsid w:val="00C452F7"/>
    <w:rsid w:val="00C5037E"/>
    <w:rsid w:val="00C55099"/>
    <w:rsid w:val="00C55FFC"/>
    <w:rsid w:val="00C57C2D"/>
    <w:rsid w:val="00C57FF8"/>
    <w:rsid w:val="00C63B3B"/>
    <w:rsid w:val="00C6502F"/>
    <w:rsid w:val="00C72576"/>
    <w:rsid w:val="00C842E2"/>
    <w:rsid w:val="00C96B09"/>
    <w:rsid w:val="00CA4AD5"/>
    <w:rsid w:val="00CA6936"/>
    <w:rsid w:val="00CB00F0"/>
    <w:rsid w:val="00CB0C90"/>
    <w:rsid w:val="00CB6592"/>
    <w:rsid w:val="00CC0FDE"/>
    <w:rsid w:val="00CC1554"/>
    <w:rsid w:val="00CC340C"/>
    <w:rsid w:val="00CD0A71"/>
    <w:rsid w:val="00CD4138"/>
    <w:rsid w:val="00CD440D"/>
    <w:rsid w:val="00CD52FD"/>
    <w:rsid w:val="00CD5759"/>
    <w:rsid w:val="00CE1007"/>
    <w:rsid w:val="00CE163B"/>
    <w:rsid w:val="00CE6C45"/>
    <w:rsid w:val="00CF1BF6"/>
    <w:rsid w:val="00CF30C0"/>
    <w:rsid w:val="00CF4193"/>
    <w:rsid w:val="00CF62F0"/>
    <w:rsid w:val="00D02676"/>
    <w:rsid w:val="00D032D6"/>
    <w:rsid w:val="00D04935"/>
    <w:rsid w:val="00D05747"/>
    <w:rsid w:val="00D06841"/>
    <w:rsid w:val="00D07697"/>
    <w:rsid w:val="00D10485"/>
    <w:rsid w:val="00D1162F"/>
    <w:rsid w:val="00D12209"/>
    <w:rsid w:val="00D13DB1"/>
    <w:rsid w:val="00D14B15"/>
    <w:rsid w:val="00D14CAF"/>
    <w:rsid w:val="00D16215"/>
    <w:rsid w:val="00D1674C"/>
    <w:rsid w:val="00D16A41"/>
    <w:rsid w:val="00D174F8"/>
    <w:rsid w:val="00D20616"/>
    <w:rsid w:val="00D210B6"/>
    <w:rsid w:val="00D218EE"/>
    <w:rsid w:val="00D21E70"/>
    <w:rsid w:val="00D242F8"/>
    <w:rsid w:val="00D25645"/>
    <w:rsid w:val="00D41D33"/>
    <w:rsid w:val="00D423A0"/>
    <w:rsid w:val="00D426AD"/>
    <w:rsid w:val="00D42956"/>
    <w:rsid w:val="00D45AF0"/>
    <w:rsid w:val="00D50CD1"/>
    <w:rsid w:val="00D529DF"/>
    <w:rsid w:val="00D53E4C"/>
    <w:rsid w:val="00D57951"/>
    <w:rsid w:val="00D63E99"/>
    <w:rsid w:val="00D6645E"/>
    <w:rsid w:val="00D67068"/>
    <w:rsid w:val="00D7344E"/>
    <w:rsid w:val="00D816FE"/>
    <w:rsid w:val="00D82ADB"/>
    <w:rsid w:val="00D8338A"/>
    <w:rsid w:val="00D8483C"/>
    <w:rsid w:val="00D8685E"/>
    <w:rsid w:val="00D86F5D"/>
    <w:rsid w:val="00D9314D"/>
    <w:rsid w:val="00D96222"/>
    <w:rsid w:val="00D96C2B"/>
    <w:rsid w:val="00DA1E7E"/>
    <w:rsid w:val="00DA2346"/>
    <w:rsid w:val="00DA4010"/>
    <w:rsid w:val="00DB3132"/>
    <w:rsid w:val="00DB7311"/>
    <w:rsid w:val="00DC03B5"/>
    <w:rsid w:val="00DC283F"/>
    <w:rsid w:val="00DC3A3D"/>
    <w:rsid w:val="00DC44AC"/>
    <w:rsid w:val="00DC4B89"/>
    <w:rsid w:val="00DC7D21"/>
    <w:rsid w:val="00DC7D88"/>
    <w:rsid w:val="00DD17B2"/>
    <w:rsid w:val="00DD1D37"/>
    <w:rsid w:val="00DD2FA1"/>
    <w:rsid w:val="00DD6B76"/>
    <w:rsid w:val="00DE3383"/>
    <w:rsid w:val="00DE4F3F"/>
    <w:rsid w:val="00DE5508"/>
    <w:rsid w:val="00DE56C4"/>
    <w:rsid w:val="00DE7B1A"/>
    <w:rsid w:val="00DF47A7"/>
    <w:rsid w:val="00E0288A"/>
    <w:rsid w:val="00E038C4"/>
    <w:rsid w:val="00E0665A"/>
    <w:rsid w:val="00E120FB"/>
    <w:rsid w:val="00E12680"/>
    <w:rsid w:val="00E128C5"/>
    <w:rsid w:val="00E148EB"/>
    <w:rsid w:val="00E17597"/>
    <w:rsid w:val="00E244CD"/>
    <w:rsid w:val="00E316B6"/>
    <w:rsid w:val="00E31856"/>
    <w:rsid w:val="00E32F34"/>
    <w:rsid w:val="00E33196"/>
    <w:rsid w:val="00E365D6"/>
    <w:rsid w:val="00E41E69"/>
    <w:rsid w:val="00E45589"/>
    <w:rsid w:val="00E55154"/>
    <w:rsid w:val="00E57924"/>
    <w:rsid w:val="00E60291"/>
    <w:rsid w:val="00E71123"/>
    <w:rsid w:val="00E757A8"/>
    <w:rsid w:val="00E75E7E"/>
    <w:rsid w:val="00E769A6"/>
    <w:rsid w:val="00E769E4"/>
    <w:rsid w:val="00E76E61"/>
    <w:rsid w:val="00E778EA"/>
    <w:rsid w:val="00E93C50"/>
    <w:rsid w:val="00E95994"/>
    <w:rsid w:val="00EA1C37"/>
    <w:rsid w:val="00EA2049"/>
    <w:rsid w:val="00EA6274"/>
    <w:rsid w:val="00EA7924"/>
    <w:rsid w:val="00EB29E0"/>
    <w:rsid w:val="00EB7407"/>
    <w:rsid w:val="00EC0138"/>
    <w:rsid w:val="00EC5D64"/>
    <w:rsid w:val="00ED03C2"/>
    <w:rsid w:val="00ED2E58"/>
    <w:rsid w:val="00ED4DA1"/>
    <w:rsid w:val="00ED5712"/>
    <w:rsid w:val="00ED6125"/>
    <w:rsid w:val="00ED73A9"/>
    <w:rsid w:val="00EE008A"/>
    <w:rsid w:val="00EE2DED"/>
    <w:rsid w:val="00EE62BC"/>
    <w:rsid w:val="00EF5B68"/>
    <w:rsid w:val="00F00768"/>
    <w:rsid w:val="00F014A2"/>
    <w:rsid w:val="00F016A8"/>
    <w:rsid w:val="00F016F5"/>
    <w:rsid w:val="00F0242B"/>
    <w:rsid w:val="00F042D1"/>
    <w:rsid w:val="00F13C94"/>
    <w:rsid w:val="00F17156"/>
    <w:rsid w:val="00F204AB"/>
    <w:rsid w:val="00F22708"/>
    <w:rsid w:val="00F22FFA"/>
    <w:rsid w:val="00F25EE1"/>
    <w:rsid w:val="00F2624F"/>
    <w:rsid w:val="00F27E42"/>
    <w:rsid w:val="00F313CE"/>
    <w:rsid w:val="00F31E41"/>
    <w:rsid w:val="00F338F3"/>
    <w:rsid w:val="00F35015"/>
    <w:rsid w:val="00F35DE3"/>
    <w:rsid w:val="00F36453"/>
    <w:rsid w:val="00F404D4"/>
    <w:rsid w:val="00F40DF8"/>
    <w:rsid w:val="00F40EC7"/>
    <w:rsid w:val="00F41F39"/>
    <w:rsid w:val="00F42FA3"/>
    <w:rsid w:val="00F436D1"/>
    <w:rsid w:val="00F45FAF"/>
    <w:rsid w:val="00F462E3"/>
    <w:rsid w:val="00F51B9B"/>
    <w:rsid w:val="00F53D90"/>
    <w:rsid w:val="00F6063E"/>
    <w:rsid w:val="00F627F1"/>
    <w:rsid w:val="00F66A8C"/>
    <w:rsid w:val="00F70FF3"/>
    <w:rsid w:val="00F7184F"/>
    <w:rsid w:val="00F73C4E"/>
    <w:rsid w:val="00F75C18"/>
    <w:rsid w:val="00F777C2"/>
    <w:rsid w:val="00F81DBE"/>
    <w:rsid w:val="00F81E00"/>
    <w:rsid w:val="00F84B40"/>
    <w:rsid w:val="00F875FF"/>
    <w:rsid w:val="00F87C45"/>
    <w:rsid w:val="00FA159A"/>
    <w:rsid w:val="00FA417E"/>
    <w:rsid w:val="00FA5C6F"/>
    <w:rsid w:val="00FB090C"/>
    <w:rsid w:val="00FB2F01"/>
    <w:rsid w:val="00FB7EE1"/>
    <w:rsid w:val="00FC7AB9"/>
    <w:rsid w:val="00FD05E5"/>
    <w:rsid w:val="00FD0BB2"/>
    <w:rsid w:val="00FD444B"/>
    <w:rsid w:val="00FD5DC3"/>
    <w:rsid w:val="00FD6BF2"/>
    <w:rsid w:val="00FE0FED"/>
    <w:rsid w:val="00FE373F"/>
    <w:rsid w:val="00FE3F9F"/>
    <w:rsid w:val="00FE48C3"/>
    <w:rsid w:val="00FE5A94"/>
    <w:rsid w:val="00FE68FB"/>
    <w:rsid w:val="00FE724E"/>
    <w:rsid w:val="00FE7CE5"/>
    <w:rsid w:val="00FF0F2C"/>
    <w:rsid w:val="00FF2E1D"/>
    <w:rsid w:val="00FF74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50D42A2"/>
  <w15:docId w15:val="{1D01BF14-BEC7-4914-AF80-BA494CC2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28"/>
    <w:pPr>
      <w:spacing w:line="276" w:lineRule="auto"/>
      <w:jc w:val="both"/>
    </w:pPr>
    <w:rPr>
      <w:rFonts w:ascii="Arial" w:hAnsi="Arial"/>
      <w:sz w:val="24"/>
      <w:szCs w:val="24"/>
    </w:rPr>
  </w:style>
  <w:style w:type="paragraph" w:styleId="Heading1">
    <w:name w:val="heading 1"/>
    <w:basedOn w:val="Normal"/>
    <w:next w:val="Normal"/>
    <w:link w:val="Heading1Char"/>
    <w:qFormat/>
    <w:rsid w:val="005D0347"/>
    <w:pPr>
      <w:keepNext/>
      <w:keepLines/>
      <w:spacing w:before="200" w:after="120"/>
      <w:outlineLvl w:val="0"/>
    </w:pPr>
    <w:rPr>
      <w:rFonts w:eastAsiaTheme="majorEastAsia" w:cs="Arial"/>
      <w:b/>
      <w:bCs/>
      <w:color w:val="365F91" w:themeColor="accent1" w:themeShade="BF"/>
      <w:sz w:val="28"/>
      <w:szCs w:val="28"/>
    </w:rPr>
  </w:style>
  <w:style w:type="paragraph" w:styleId="Heading2">
    <w:name w:val="heading 2"/>
    <w:basedOn w:val="Normal"/>
    <w:next w:val="Normal"/>
    <w:link w:val="Heading2Char"/>
    <w:unhideWhenUsed/>
    <w:qFormat/>
    <w:rsid w:val="007B7EB1"/>
    <w:pPr>
      <w:keepNext/>
      <w:keepLines/>
      <w:spacing w:before="200" w:after="6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347"/>
    <w:rPr>
      <w:rFonts w:ascii="Arial" w:eastAsiaTheme="majorEastAsia" w:hAnsi="Arial" w:cs="Arial"/>
      <w:b/>
      <w:bCs/>
      <w:color w:val="365F91" w:themeColor="accent1" w:themeShade="BF"/>
      <w:sz w:val="28"/>
      <w:szCs w:val="28"/>
    </w:rPr>
  </w:style>
  <w:style w:type="paragraph" w:styleId="Subtitle">
    <w:name w:val="Subtitle"/>
    <w:basedOn w:val="Normal"/>
    <w:next w:val="Normal"/>
    <w:link w:val="SubtitleChar"/>
    <w:qFormat/>
    <w:rsid w:val="00B874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874F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B874FA"/>
    <w:rPr>
      <w:b/>
      <w:bCs/>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0A2545"/>
    <w:pPr>
      <w:numPr>
        <w:numId w:val="2"/>
      </w:numPr>
      <w:spacing w:before="80"/>
    </w:pPr>
    <w:rPr>
      <w:rFonts w:eastAsiaTheme="minorHAnsi" w:cs="Arial"/>
    </w:r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qFormat/>
    <w:locked/>
    <w:rsid w:val="000A2545"/>
    <w:rPr>
      <w:rFonts w:asciiTheme="minorHAnsi" w:eastAsiaTheme="minorHAnsi" w:hAnsiTheme="minorHAnsi" w:cs="Arial"/>
      <w:sz w:val="24"/>
      <w:szCs w:val="24"/>
    </w:rPr>
  </w:style>
  <w:style w:type="character" w:styleId="IntenseEmphasis">
    <w:name w:val="Intense Emphasis"/>
    <w:basedOn w:val="DefaultParagraphFont"/>
    <w:uiPriority w:val="21"/>
    <w:qFormat/>
    <w:rsid w:val="006846EB"/>
    <w:rPr>
      <w:b/>
      <w:bCs/>
      <w:i/>
      <w:iCs/>
      <w:color w:val="4F81BD" w:themeColor="accent1"/>
    </w:rPr>
  </w:style>
  <w:style w:type="character" w:customStyle="1" w:styleId="Heading2Char">
    <w:name w:val="Heading 2 Char"/>
    <w:basedOn w:val="DefaultParagraphFont"/>
    <w:link w:val="Heading2"/>
    <w:rsid w:val="007B7EB1"/>
    <w:rPr>
      <w:rFonts w:ascii="Arial" w:eastAsiaTheme="majorEastAsia" w:hAnsi="Arial" w:cstheme="majorBidi"/>
      <w:b/>
      <w:bCs/>
      <w:color w:val="4F81BD" w:themeColor="accent1"/>
      <w:sz w:val="24"/>
      <w:szCs w:val="26"/>
    </w:rPr>
  </w:style>
  <w:style w:type="character" w:styleId="CommentReference">
    <w:name w:val="annotation reference"/>
    <w:basedOn w:val="DefaultParagraphFont"/>
    <w:uiPriority w:val="99"/>
    <w:semiHidden/>
    <w:unhideWhenUsed/>
    <w:rsid w:val="00857259"/>
    <w:rPr>
      <w:sz w:val="16"/>
      <w:szCs w:val="16"/>
    </w:rPr>
  </w:style>
  <w:style w:type="paragraph" w:styleId="CommentText">
    <w:name w:val="annotation text"/>
    <w:basedOn w:val="Normal"/>
    <w:link w:val="CommentTextChar"/>
    <w:uiPriority w:val="99"/>
    <w:semiHidden/>
    <w:unhideWhenUsed/>
    <w:rsid w:val="00857259"/>
    <w:pPr>
      <w:spacing w:line="240" w:lineRule="auto"/>
    </w:pPr>
    <w:rPr>
      <w:sz w:val="20"/>
      <w:szCs w:val="20"/>
    </w:rPr>
  </w:style>
  <w:style w:type="character" w:customStyle="1" w:styleId="CommentTextChar">
    <w:name w:val="Comment Text Char"/>
    <w:basedOn w:val="DefaultParagraphFont"/>
    <w:link w:val="CommentText"/>
    <w:uiPriority w:val="99"/>
    <w:semiHidden/>
    <w:rsid w:val="0085725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57259"/>
    <w:rPr>
      <w:b/>
      <w:bCs/>
    </w:rPr>
  </w:style>
  <w:style w:type="character" w:customStyle="1" w:styleId="CommentSubjectChar">
    <w:name w:val="Comment Subject Char"/>
    <w:basedOn w:val="CommentTextChar"/>
    <w:link w:val="CommentSubject"/>
    <w:uiPriority w:val="99"/>
    <w:semiHidden/>
    <w:rsid w:val="00857259"/>
    <w:rPr>
      <w:rFonts w:asciiTheme="minorHAnsi" w:hAnsiTheme="minorHAnsi"/>
      <w:b/>
      <w:bCs/>
    </w:rPr>
  </w:style>
  <w:style w:type="paragraph" w:styleId="BalloonText">
    <w:name w:val="Balloon Text"/>
    <w:basedOn w:val="Normal"/>
    <w:link w:val="BalloonTextChar"/>
    <w:uiPriority w:val="99"/>
    <w:semiHidden/>
    <w:unhideWhenUsed/>
    <w:rsid w:val="008572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59"/>
    <w:rPr>
      <w:rFonts w:ascii="Tahoma" w:hAnsi="Tahoma" w:cs="Tahoma"/>
      <w:sz w:val="16"/>
      <w:szCs w:val="16"/>
    </w:rPr>
  </w:style>
  <w:style w:type="character" w:styleId="Hyperlink">
    <w:name w:val="Hyperlink"/>
    <w:basedOn w:val="DefaultParagraphFont"/>
    <w:uiPriority w:val="99"/>
    <w:unhideWhenUsed/>
    <w:rsid w:val="00356E74"/>
    <w:rPr>
      <w:color w:val="0000FF" w:themeColor="hyperlink"/>
      <w:u w:val="single"/>
    </w:rPr>
  </w:style>
  <w:style w:type="paragraph" w:styleId="Header">
    <w:name w:val="header"/>
    <w:basedOn w:val="Normal"/>
    <w:link w:val="HeaderChar"/>
    <w:uiPriority w:val="99"/>
    <w:unhideWhenUsed/>
    <w:rsid w:val="00762007"/>
    <w:pPr>
      <w:tabs>
        <w:tab w:val="center" w:pos="4513"/>
        <w:tab w:val="right" w:pos="9026"/>
      </w:tabs>
      <w:spacing w:line="240" w:lineRule="auto"/>
    </w:pPr>
  </w:style>
  <w:style w:type="character" w:customStyle="1" w:styleId="HeaderChar">
    <w:name w:val="Header Char"/>
    <w:basedOn w:val="DefaultParagraphFont"/>
    <w:link w:val="Header"/>
    <w:uiPriority w:val="99"/>
    <w:rsid w:val="00762007"/>
    <w:rPr>
      <w:rFonts w:asciiTheme="minorHAnsi" w:hAnsiTheme="minorHAnsi"/>
      <w:sz w:val="24"/>
      <w:szCs w:val="24"/>
    </w:rPr>
  </w:style>
  <w:style w:type="paragraph" w:styleId="Footer">
    <w:name w:val="footer"/>
    <w:basedOn w:val="Normal"/>
    <w:link w:val="FooterChar"/>
    <w:uiPriority w:val="99"/>
    <w:unhideWhenUsed/>
    <w:rsid w:val="00762007"/>
    <w:pPr>
      <w:tabs>
        <w:tab w:val="center" w:pos="4513"/>
        <w:tab w:val="right" w:pos="9026"/>
      </w:tabs>
      <w:spacing w:line="240" w:lineRule="auto"/>
    </w:pPr>
  </w:style>
  <w:style w:type="character" w:customStyle="1" w:styleId="FooterChar">
    <w:name w:val="Footer Char"/>
    <w:basedOn w:val="DefaultParagraphFont"/>
    <w:link w:val="Footer"/>
    <w:uiPriority w:val="99"/>
    <w:rsid w:val="00762007"/>
    <w:rPr>
      <w:rFonts w:asciiTheme="minorHAnsi" w:hAnsiTheme="minorHAnsi"/>
      <w:sz w:val="24"/>
      <w:szCs w:val="24"/>
    </w:rPr>
  </w:style>
  <w:style w:type="paragraph" w:styleId="FootnoteText">
    <w:name w:val="footnote text"/>
    <w:basedOn w:val="Normal"/>
    <w:link w:val="FootnoteTextChar"/>
    <w:uiPriority w:val="99"/>
    <w:semiHidden/>
    <w:unhideWhenUsed/>
    <w:rsid w:val="00E33196"/>
    <w:pPr>
      <w:spacing w:line="240" w:lineRule="auto"/>
    </w:pPr>
    <w:rPr>
      <w:sz w:val="20"/>
      <w:szCs w:val="20"/>
    </w:rPr>
  </w:style>
  <w:style w:type="character" w:customStyle="1" w:styleId="FootnoteTextChar">
    <w:name w:val="Footnote Text Char"/>
    <w:basedOn w:val="DefaultParagraphFont"/>
    <w:link w:val="FootnoteText"/>
    <w:uiPriority w:val="99"/>
    <w:semiHidden/>
    <w:rsid w:val="00E33196"/>
    <w:rPr>
      <w:rFonts w:asciiTheme="minorHAnsi" w:hAnsiTheme="minorHAnsi"/>
    </w:rPr>
  </w:style>
  <w:style w:type="character" w:styleId="FootnoteReference">
    <w:name w:val="footnote reference"/>
    <w:basedOn w:val="DefaultParagraphFont"/>
    <w:uiPriority w:val="99"/>
    <w:semiHidden/>
    <w:unhideWhenUsed/>
    <w:rsid w:val="00E33196"/>
    <w:rPr>
      <w:vertAlign w:val="superscript"/>
    </w:rPr>
  </w:style>
  <w:style w:type="paragraph" w:styleId="EndnoteText">
    <w:name w:val="endnote text"/>
    <w:basedOn w:val="Normal"/>
    <w:link w:val="EndnoteTextChar"/>
    <w:uiPriority w:val="99"/>
    <w:semiHidden/>
    <w:unhideWhenUsed/>
    <w:rsid w:val="00C31B54"/>
    <w:pPr>
      <w:spacing w:line="240" w:lineRule="auto"/>
    </w:pPr>
    <w:rPr>
      <w:sz w:val="20"/>
      <w:szCs w:val="20"/>
    </w:rPr>
  </w:style>
  <w:style w:type="character" w:customStyle="1" w:styleId="EndnoteTextChar">
    <w:name w:val="Endnote Text Char"/>
    <w:basedOn w:val="DefaultParagraphFont"/>
    <w:link w:val="EndnoteText"/>
    <w:uiPriority w:val="99"/>
    <w:semiHidden/>
    <w:rsid w:val="00C31B54"/>
    <w:rPr>
      <w:rFonts w:asciiTheme="minorHAnsi" w:hAnsiTheme="minorHAnsi"/>
    </w:rPr>
  </w:style>
  <w:style w:type="character" w:styleId="EndnoteReference">
    <w:name w:val="endnote reference"/>
    <w:basedOn w:val="DefaultParagraphFont"/>
    <w:uiPriority w:val="99"/>
    <w:semiHidden/>
    <w:unhideWhenUsed/>
    <w:rsid w:val="00C31B54"/>
    <w:rPr>
      <w:vertAlign w:val="superscript"/>
    </w:rPr>
  </w:style>
  <w:style w:type="character" w:styleId="PlaceholderText">
    <w:name w:val="Placeholder Text"/>
    <w:basedOn w:val="DefaultParagraphFont"/>
    <w:uiPriority w:val="99"/>
    <w:semiHidden/>
    <w:rsid w:val="00947037"/>
    <w:rPr>
      <w:color w:val="808080"/>
    </w:rPr>
  </w:style>
  <w:style w:type="character" w:styleId="FollowedHyperlink">
    <w:name w:val="FollowedHyperlink"/>
    <w:basedOn w:val="DefaultParagraphFont"/>
    <w:uiPriority w:val="99"/>
    <w:semiHidden/>
    <w:unhideWhenUsed/>
    <w:rsid w:val="003D247F"/>
    <w:rPr>
      <w:color w:val="800080" w:themeColor="followedHyperlink"/>
      <w:u w:val="single"/>
    </w:rPr>
  </w:style>
  <w:style w:type="paragraph" w:styleId="Revision">
    <w:name w:val="Revision"/>
    <w:hidden/>
    <w:uiPriority w:val="99"/>
    <w:semiHidden/>
    <w:rsid w:val="006F7202"/>
    <w:rPr>
      <w:rFonts w:asciiTheme="minorHAnsi" w:hAnsiTheme="minorHAnsi"/>
      <w:sz w:val="24"/>
      <w:szCs w:val="24"/>
    </w:rPr>
  </w:style>
  <w:style w:type="table" w:styleId="TableGrid">
    <w:name w:val="Table Grid"/>
    <w:basedOn w:val="TableNormal"/>
    <w:uiPriority w:val="59"/>
    <w:rsid w:val="003C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937B8"/>
  </w:style>
  <w:style w:type="character" w:styleId="BookTitle">
    <w:name w:val="Book Title"/>
    <w:aliases w:val="cover page title"/>
    <w:basedOn w:val="DefaultParagraphFont"/>
    <w:uiPriority w:val="33"/>
    <w:qFormat/>
    <w:rsid w:val="002C2FB2"/>
    <w:rPr>
      <w:rFonts w:ascii="Arial" w:hAnsi="Arial"/>
      <w:bCs/>
      <w:spacing w:val="5"/>
      <w:sz w:val="52"/>
    </w:rPr>
  </w:style>
  <w:style w:type="paragraph" w:customStyle="1" w:styleId="Default">
    <w:name w:val="Default"/>
    <w:rsid w:val="007B7EB1"/>
    <w:pPr>
      <w:autoSpaceDE w:val="0"/>
      <w:autoSpaceDN w:val="0"/>
      <w:adjustRightInd w:val="0"/>
      <w:spacing w:after="200"/>
    </w:pPr>
    <w:rPr>
      <w:rFonts w:ascii="Arial" w:hAnsi="Arial"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070195">
      <w:bodyDiv w:val="1"/>
      <w:marLeft w:val="0"/>
      <w:marRight w:val="0"/>
      <w:marTop w:val="0"/>
      <w:marBottom w:val="0"/>
      <w:divBdr>
        <w:top w:val="none" w:sz="0" w:space="0" w:color="auto"/>
        <w:left w:val="none" w:sz="0" w:space="0" w:color="auto"/>
        <w:bottom w:val="none" w:sz="0" w:space="0" w:color="auto"/>
        <w:right w:val="none" w:sz="0" w:space="0" w:color="auto"/>
      </w:divBdr>
    </w:div>
    <w:div w:id="1135022913">
      <w:bodyDiv w:val="1"/>
      <w:marLeft w:val="0"/>
      <w:marRight w:val="0"/>
      <w:marTop w:val="0"/>
      <w:marBottom w:val="0"/>
      <w:divBdr>
        <w:top w:val="none" w:sz="0" w:space="0" w:color="auto"/>
        <w:left w:val="none" w:sz="0" w:space="0" w:color="auto"/>
        <w:bottom w:val="none" w:sz="0" w:space="0" w:color="auto"/>
        <w:right w:val="none" w:sz="0" w:space="0" w:color="auto"/>
      </w:divBdr>
    </w:div>
    <w:div w:id="141146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png@01D08C07.2BC9F5A0" TargetMode="External"/><Relationship Id="rId18" Type="http://schemas.openxmlformats.org/officeDocument/2006/relationships/hyperlink" Target="http://www.istockphoto.com/vector/global-cloud-computing-4440300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istockphoto.com/portfolio/Maxiphoto" TargetMode="External"/><Relationship Id="rId2" Type="http://schemas.openxmlformats.org/officeDocument/2006/relationships/numbering" Target="numbering.xml"/><Relationship Id="rId16" Type="http://schemas.openxmlformats.org/officeDocument/2006/relationships/hyperlink" Target="http://www.dpc.wa.gov.au/GuidelinesAndPolicies/SymbolsOfWA/Pages/CoatofArms.aspx" TargetMode="External"/><Relationship Id="rId20" Type="http://schemas.openxmlformats.org/officeDocument/2006/relationships/hyperlink" Target="http://www.finance.wa.gov.au/cms/State_Supply_Commission/Procurement_Policy/Value_for_Mone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deed.us" TargetMode="External"/><Relationship Id="rId5" Type="http://schemas.openxmlformats.org/officeDocument/2006/relationships/webSettings" Target="webSettings.xml"/><Relationship Id="rId15" Type="http://schemas.openxmlformats.org/officeDocument/2006/relationships/hyperlink" Target="http://www.gcio.wa.gov.au/" TargetMode="External"/><Relationship Id="rId10" Type="http://schemas.openxmlformats.org/officeDocument/2006/relationships/hyperlink" Target="mailto:enquiries@gcio.wa.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reativecommons.org/licenses/by/4.0/legalco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D8379-2317-41CC-BADF-22B1D449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the Government Chief Information Officer</Company>
  <LinksUpToDate>false</LinksUpToDate>
  <CharactersWithSpaces>6880</CharactersWithSpaces>
  <SharedDoc>false</SharedDoc>
  <HyperlinkBase>https://www.wa.gov.au/government/publications/interoperability-policy</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Interoperability Policy</dc:title>
  <dc:subject>Interoperability Policy</dc:subject>
  <dc:creator>Office of the Government Chief Inforamtion Officer</dc:creator>
  <cp:keywords>Interoperability Policy</cp:keywords>
  <cp:lastModifiedBy>Kelly, Alison</cp:lastModifiedBy>
  <cp:revision>5</cp:revision>
  <cp:lastPrinted>2015-04-13T01:45:00Z</cp:lastPrinted>
  <dcterms:created xsi:type="dcterms:W3CDTF">2018-06-13T05:18:00Z</dcterms:created>
  <dcterms:modified xsi:type="dcterms:W3CDTF">2018-06-13T05:22:00Z</dcterms:modified>
  <cp:category>Interoperability Policy</cp:category>
  <cp:contentStatus>Released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ies>
</file>