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6DD6F" w14:textId="1235A8C1" w:rsidR="002C2FB2" w:rsidRPr="002C2FB2" w:rsidRDefault="00AF78D5" w:rsidP="00B82A1C">
      <w:pPr>
        <w:spacing w:after="1440" w:afterAutospacing="0"/>
        <w:jc w:val="center"/>
        <w:rPr>
          <w:rFonts w:cs="Arial"/>
          <w:b/>
        </w:rPr>
      </w:pPr>
      <w:r>
        <w:rPr>
          <w:noProof/>
          <w:lang w:eastAsia="en-AU"/>
        </w:rPr>
        <w:drawing>
          <wp:inline distT="0" distB="0" distL="0" distR="0" wp14:anchorId="77E70D0E" wp14:editId="1236BC89">
            <wp:extent cx="1162373" cy="1118653"/>
            <wp:effectExtent l="0" t="0" r="0" b="5715"/>
            <wp:docPr id="2" name="Picture 2" descr="Government of Western Australia Crest" title="Government of Western Australi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pc.wa.gov.au/GuidelinesAndPolicies/CommonBadging/PublishingImages/downloads/govOfWA+Text/govOfWA+TextBlack_562x5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0175" cy="1135785"/>
                    </a:xfrm>
                    <a:prstGeom prst="rect">
                      <a:avLst/>
                    </a:prstGeom>
                    <a:noFill/>
                    <a:ln>
                      <a:noFill/>
                    </a:ln>
                  </pic:spPr>
                </pic:pic>
              </a:graphicData>
            </a:graphic>
          </wp:inline>
        </w:drawing>
      </w:r>
    </w:p>
    <w:p w14:paraId="7109B4D4" w14:textId="77777777" w:rsidR="002C2FB2" w:rsidRPr="00103F34" w:rsidRDefault="002C2FB2" w:rsidP="002C2FB2">
      <w:pPr>
        <w:jc w:val="center"/>
        <w:rPr>
          <w:rFonts w:cs="Arial"/>
          <w:b/>
          <w:sz w:val="32"/>
          <w:szCs w:val="32"/>
        </w:rPr>
      </w:pPr>
    </w:p>
    <w:p w14:paraId="1C6B234D" w14:textId="77777777" w:rsidR="002C2FB2" w:rsidRPr="002C2FB2" w:rsidRDefault="681C06F2" w:rsidP="681C06F2">
      <w:pPr>
        <w:jc w:val="center"/>
        <w:rPr>
          <w:rStyle w:val="BookTitle"/>
        </w:rPr>
      </w:pPr>
      <w:r w:rsidRPr="681C06F2">
        <w:rPr>
          <w:rStyle w:val="BookTitle"/>
        </w:rPr>
        <w:t>Whole of Government</w:t>
      </w:r>
    </w:p>
    <w:p w14:paraId="05ABA220" w14:textId="7241197D" w:rsidR="0034537C" w:rsidRDefault="681C06F2" w:rsidP="681C06F2">
      <w:pPr>
        <w:jc w:val="center"/>
        <w:rPr>
          <w:rStyle w:val="BookTitle"/>
          <w:b/>
        </w:rPr>
      </w:pPr>
      <w:r w:rsidRPr="681C06F2">
        <w:rPr>
          <w:rStyle w:val="BookTitle"/>
          <w:b/>
        </w:rPr>
        <w:t>ICT Disaster Recovery</w:t>
      </w:r>
      <w:r w:rsidR="7C7560D0">
        <w:br/>
      </w:r>
      <w:r w:rsidRPr="681C06F2">
        <w:rPr>
          <w:rStyle w:val="BookTitle"/>
          <w:b/>
        </w:rPr>
        <w:t>for Business Continuity Policy</w:t>
      </w:r>
    </w:p>
    <w:p w14:paraId="4357983D" w14:textId="23586414" w:rsidR="002C2FB2" w:rsidRPr="002C2FB2" w:rsidRDefault="002C2FB2" w:rsidP="005A010E">
      <w:pPr>
        <w:jc w:val="center"/>
        <w:rPr>
          <w:rFonts w:cs="Arial"/>
          <w:b/>
        </w:rPr>
      </w:pPr>
      <w:r w:rsidRPr="002C2FB2">
        <w:rPr>
          <w:rFonts w:cs="Arial"/>
          <w:b/>
        </w:rPr>
        <w:br w:type="page"/>
      </w:r>
    </w:p>
    <w:p w14:paraId="12784284" w14:textId="77777777" w:rsidR="00FB090C" w:rsidRDefault="681C06F2" w:rsidP="00D50B3D">
      <w:pPr>
        <w:pStyle w:val="Heading1"/>
        <w:numPr>
          <w:ilvl w:val="0"/>
          <w:numId w:val="0"/>
        </w:numPr>
        <w:ind w:left="709" w:hanging="709"/>
      </w:pPr>
      <w:r>
        <w:lastRenderedPageBreak/>
        <w:t>Document Control</w:t>
      </w:r>
    </w:p>
    <w:p w14:paraId="2A9C7A13" w14:textId="4A04A70C" w:rsidR="003937B8" w:rsidRPr="002C2FB2" w:rsidRDefault="681C06F2" w:rsidP="00FB090C">
      <w:pPr>
        <w:pStyle w:val="Default"/>
      </w:pPr>
      <w:r w:rsidRPr="681C06F2">
        <w:rPr>
          <w:b/>
          <w:bCs/>
        </w:rPr>
        <w:t>The Western Australian Whole of Government</w:t>
      </w:r>
      <w:r w:rsidR="7C7560D0">
        <w:br/>
      </w:r>
      <w:r w:rsidRPr="681C06F2">
        <w:rPr>
          <w:b/>
          <w:bCs/>
        </w:rPr>
        <w:t>ICT Disaster Recovery for Business Continuity Policy:</w:t>
      </w:r>
      <w:r>
        <w:t xml:space="preserve"> Version 2 – </w:t>
      </w:r>
      <w:r w:rsidR="00FD74DB">
        <w:t xml:space="preserve">April </w:t>
      </w:r>
      <w:r>
        <w:t>2017</w:t>
      </w:r>
      <w:r w:rsidR="00225CDF">
        <w:t>.</w:t>
      </w:r>
    </w:p>
    <w:p w14:paraId="5004069D" w14:textId="3DA33D45" w:rsidR="003937B8" w:rsidRPr="002C2FB2" w:rsidRDefault="681C06F2" w:rsidP="00FB090C">
      <w:pPr>
        <w:pStyle w:val="Default"/>
      </w:pPr>
      <w:r w:rsidRPr="681C06F2">
        <w:rPr>
          <w:b/>
          <w:bCs/>
        </w:rPr>
        <w:t>Produced and published by</w:t>
      </w:r>
      <w:r w:rsidRPr="0032770F">
        <w:rPr>
          <w:b/>
        </w:rPr>
        <w:t>:</w:t>
      </w:r>
      <w:r>
        <w:t xml:space="preserve"> Office of the Government Chief Information Officer</w:t>
      </w:r>
      <w:r w:rsidR="00225CDF">
        <w:t>.</w:t>
      </w:r>
    </w:p>
    <w:p w14:paraId="457E9B76" w14:textId="24619DF4" w:rsidR="00C44D62" w:rsidRDefault="681C06F2" w:rsidP="00FB090C">
      <w:pPr>
        <w:pStyle w:val="Default"/>
      </w:pPr>
      <w:r w:rsidRPr="681C06F2">
        <w:rPr>
          <w:b/>
          <w:bCs/>
        </w:rPr>
        <w:t>Acknowledgements</w:t>
      </w:r>
      <w:r w:rsidR="00225CDF">
        <w:rPr>
          <w:b/>
          <w:bCs/>
        </w:rPr>
        <w:t>:</w:t>
      </w:r>
      <w:r>
        <w:t xml:space="preserve"> The Policy </w:t>
      </w:r>
      <w:proofErr w:type="gramStart"/>
      <w:r>
        <w:t>was developed</w:t>
      </w:r>
      <w:proofErr w:type="gramEnd"/>
      <w:r>
        <w:t xml:space="preserve"> in collaboration with Western Australian public sector agencies.</w:t>
      </w:r>
    </w:p>
    <w:p w14:paraId="251EE352" w14:textId="77777777" w:rsidR="00C44D62" w:rsidRPr="004908D2" w:rsidRDefault="681C06F2" w:rsidP="681C06F2">
      <w:pPr>
        <w:pStyle w:val="Default"/>
        <w:rPr>
          <w:b/>
          <w:bCs/>
        </w:rPr>
      </w:pPr>
      <w:r w:rsidRPr="681C06F2">
        <w:rPr>
          <w:b/>
          <w:bCs/>
        </w:rPr>
        <w:t>Contact:</w:t>
      </w:r>
    </w:p>
    <w:p w14:paraId="2D039862" w14:textId="77777777" w:rsidR="00C44D62" w:rsidRDefault="681C06F2" w:rsidP="00FB090C">
      <w:pPr>
        <w:pStyle w:val="Default"/>
      </w:pPr>
      <w:r>
        <w:t>Office of the Government Chief Information Officer</w:t>
      </w:r>
    </w:p>
    <w:p w14:paraId="7DF9A809" w14:textId="77777777" w:rsidR="00C44D62" w:rsidRDefault="681C06F2" w:rsidP="00FB090C">
      <w:pPr>
        <w:pStyle w:val="Default"/>
      </w:pPr>
      <w:r>
        <w:t>2 Havelock Street</w:t>
      </w:r>
    </w:p>
    <w:p w14:paraId="6DB06990" w14:textId="77777777" w:rsidR="00C44D62" w:rsidRDefault="681C06F2" w:rsidP="00FB090C">
      <w:pPr>
        <w:pStyle w:val="Default"/>
      </w:pPr>
      <w:r>
        <w:t xml:space="preserve">WEST </w:t>
      </w:r>
      <w:proofErr w:type="gramStart"/>
      <w:r>
        <w:t>PERTH  WA</w:t>
      </w:r>
      <w:proofErr w:type="gramEnd"/>
      <w:r>
        <w:t xml:space="preserve">  6005</w:t>
      </w:r>
    </w:p>
    <w:p w14:paraId="23CEA2BD" w14:textId="5782D742" w:rsidR="00C44D62" w:rsidRDefault="681C06F2" w:rsidP="00FB090C">
      <w:pPr>
        <w:pStyle w:val="Default"/>
      </w:pPr>
      <w:r>
        <w:t>Telephone: (08) 655</w:t>
      </w:r>
      <w:r w:rsidR="003956DF">
        <w:t>1</w:t>
      </w:r>
      <w:r>
        <w:t xml:space="preserve"> </w:t>
      </w:r>
      <w:r w:rsidR="003956DF">
        <w:t>3927</w:t>
      </w:r>
    </w:p>
    <w:p w14:paraId="4945F604" w14:textId="5188EEC5" w:rsidR="003937B8" w:rsidRDefault="681C06F2" w:rsidP="00FB090C">
      <w:pPr>
        <w:pStyle w:val="Default"/>
      </w:pPr>
      <w:r>
        <w:t xml:space="preserve">Email: </w:t>
      </w:r>
      <w:hyperlink r:id="rId9">
        <w:r w:rsidRPr="681C06F2">
          <w:rPr>
            <w:rStyle w:val="Hyperlink"/>
          </w:rPr>
          <w:t>policy@gcio.wa.gov.au</w:t>
        </w:r>
      </w:hyperlink>
      <w:r>
        <w:t xml:space="preserve"> </w:t>
      </w:r>
    </w:p>
    <w:p w14:paraId="1BFBCAA0" w14:textId="77777777" w:rsidR="00FB090C" w:rsidRPr="004908D2" w:rsidRDefault="681C06F2" w:rsidP="681C06F2">
      <w:pPr>
        <w:pStyle w:val="Default"/>
        <w:rPr>
          <w:b/>
          <w:bCs/>
        </w:rPr>
      </w:pPr>
      <w:r w:rsidRPr="681C06F2">
        <w:rPr>
          <w:b/>
          <w:bCs/>
        </w:rPr>
        <w:t>Document version history</w:t>
      </w:r>
    </w:p>
    <w:tbl>
      <w:tblPr>
        <w:tblStyle w:val="TableGrid"/>
        <w:tblW w:w="0" w:type="auto"/>
        <w:tblLook w:val="04A0" w:firstRow="1" w:lastRow="0" w:firstColumn="1" w:lastColumn="0" w:noHBand="0" w:noVBand="1"/>
        <w:tblCaption w:val="Document version history"/>
        <w:tblDescription w:val="Latest release: April 2017&#10;Author: Office of the GCIO&#10;Version: 2&#10;Revision notes: Reviewed and aligned with supplementary guide.&#10;&#10;Original version: May 2016."/>
      </w:tblPr>
      <w:tblGrid>
        <w:gridCol w:w="1770"/>
        <w:gridCol w:w="2194"/>
        <w:gridCol w:w="1685"/>
        <w:gridCol w:w="3616"/>
      </w:tblGrid>
      <w:tr w:rsidR="00FB090C" w14:paraId="539F68B6" w14:textId="77777777" w:rsidTr="00B82A1C">
        <w:trPr>
          <w:tblHeader/>
        </w:trPr>
        <w:tc>
          <w:tcPr>
            <w:tcW w:w="1770" w:type="dxa"/>
          </w:tcPr>
          <w:p w14:paraId="2599276E" w14:textId="298BB3EB" w:rsidR="00FB090C" w:rsidRPr="004908D2" w:rsidRDefault="00B82A1C" w:rsidP="681C06F2">
            <w:pPr>
              <w:pStyle w:val="Default"/>
              <w:spacing w:before="60" w:after="60"/>
              <w:rPr>
                <w:b/>
                <w:bCs/>
              </w:rPr>
            </w:pPr>
            <w:r>
              <w:rPr>
                <w:b/>
                <w:bCs/>
              </w:rPr>
              <w:t>Version</w:t>
            </w:r>
          </w:p>
        </w:tc>
        <w:tc>
          <w:tcPr>
            <w:tcW w:w="2194" w:type="dxa"/>
          </w:tcPr>
          <w:p w14:paraId="7F8A6F7D" w14:textId="77777777" w:rsidR="00FB090C" w:rsidRPr="004908D2" w:rsidRDefault="681C06F2" w:rsidP="681C06F2">
            <w:pPr>
              <w:pStyle w:val="Default"/>
              <w:spacing w:before="60" w:after="60"/>
              <w:rPr>
                <w:b/>
                <w:bCs/>
              </w:rPr>
            </w:pPr>
            <w:r w:rsidRPr="681C06F2">
              <w:rPr>
                <w:b/>
                <w:bCs/>
              </w:rPr>
              <w:t>Author</w:t>
            </w:r>
          </w:p>
        </w:tc>
        <w:tc>
          <w:tcPr>
            <w:tcW w:w="1685" w:type="dxa"/>
          </w:tcPr>
          <w:p w14:paraId="7CE40804" w14:textId="77777777" w:rsidR="00FB090C" w:rsidRPr="004908D2" w:rsidRDefault="681C06F2" w:rsidP="681C06F2">
            <w:pPr>
              <w:pStyle w:val="Default"/>
              <w:spacing w:before="60" w:after="60"/>
              <w:rPr>
                <w:b/>
                <w:bCs/>
              </w:rPr>
            </w:pPr>
            <w:r w:rsidRPr="681C06F2">
              <w:rPr>
                <w:b/>
                <w:bCs/>
              </w:rPr>
              <w:t>Version</w:t>
            </w:r>
          </w:p>
        </w:tc>
        <w:tc>
          <w:tcPr>
            <w:tcW w:w="3616" w:type="dxa"/>
          </w:tcPr>
          <w:p w14:paraId="53147A29" w14:textId="77777777" w:rsidR="00FB090C" w:rsidRPr="004908D2" w:rsidRDefault="681C06F2" w:rsidP="681C06F2">
            <w:pPr>
              <w:pStyle w:val="Default"/>
              <w:spacing w:before="60" w:after="60"/>
              <w:rPr>
                <w:b/>
                <w:bCs/>
              </w:rPr>
            </w:pPr>
            <w:r w:rsidRPr="681C06F2">
              <w:rPr>
                <w:b/>
                <w:bCs/>
              </w:rPr>
              <w:t>Revision Notes</w:t>
            </w:r>
          </w:p>
        </w:tc>
      </w:tr>
      <w:tr w:rsidR="00FB090C" w14:paraId="62BF651C" w14:textId="77777777" w:rsidTr="00E67745">
        <w:tc>
          <w:tcPr>
            <w:tcW w:w="1770" w:type="dxa"/>
          </w:tcPr>
          <w:p w14:paraId="2580E496" w14:textId="77777777" w:rsidR="00FB090C" w:rsidRDefault="681C06F2" w:rsidP="002F1604">
            <w:pPr>
              <w:pStyle w:val="Default"/>
              <w:spacing w:before="60" w:after="60"/>
            </w:pPr>
            <w:r>
              <w:t>May 2016</w:t>
            </w:r>
          </w:p>
        </w:tc>
        <w:tc>
          <w:tcPr>
            <w:tcW w:w="2194" w:type="dxa"/>
          </w:tcPr>
          <w:p w14:paraId="5CCE197E" w14:textId="275957F2" w:rsidR="00FB090C" w:rsidRDefault="681C06F2" w:rsidP="000769FA">
            <w:pPr>
              <w:pStyle w:val="Default"/>
              <w:spacing w:before="60" w:after="60"/>
            </w:pPr>
            <w:r>
              <w:t>O</w:t>
            </w:r>
            <w:r w:rsidR="00E67745">
              <w:t xml:space="preserve">ffice of the </w:t>
            </w:r>
            <w:r>
              <w:t>GCIO</w:t>
            </w:r>
          </w:p>
        </w:tc>
        <w:tc>
          <w:tcPr>
            <w:tcW w:w="1685" w:type="dxa"/>
          </w:tcPr>
          <w:p w14:paraId="69B4F028" w14:textId="77777777" w:rsidR="00FB090C" w:rsidRDefault="681C06F2" w:rsidP="000769FA">
            <w:pPr>
              <w:pStyle w:val="Default"/>
              <w:spacing w:before="60" w:after="60"/>
            </w:pPr>
            <w:r>
              <w:t>1</w:t>
            </w:r>
          </w:p>
        </w:tc>
        <w:tc>
          <w:tcPr>
            <w:tcW w:w="3616" w:type="dxa"/>
          </w:tcPr>
          <w:p w14:paraId="5D6E1242" w14:textId="5F99FBF2" w:rsidR="00FB090C" w:rsidRDefault="681C06F2" w:rsidP="003D2B7D">
            <w:pPr>
              <w:pStyle w:val="Default"/>
              <w:spacing w:before="60" w:after="60"/>
            </w:pPr>
            <w:r>
              <w:t>Initial release.  Titled “ICT Business Continuity and ICT Disaster Recovery Policy.”</w:t>
            </w:r>
          </w:p>
        </w:tc>
      </w:tr>
      <w:tr w:rsidR="00B44F21" w14:paraId="366D1DEA" w14:textId="77777777" w:rsidTr="00E67745">
        <w:tc>
          <w:tcPr>
            <w:tcW w:w="1770" w:type="dxa"/>
          </w:tcPr>
          <w:p w14:paraId="6396DC08" w14:textId="2F8964AE" w:rsidR="00B44F21" w:rsidRPr="00736726" w:rsidRDefault="00FD74DB" w:rsidP="7C7560D0">
            <w:pPr>
              <w:pStyle w:val="Default"/>
              <w:spacing w:before="60" w:after="60"/>
            </w:pPr>
            <w:r>
              <w:t xml:space="preserve">April </w:t>
            </w:r>
            <w:r w:rsidR="681C06F2">
              <w:t>2017</w:t>
            </w:r>
          </w:p>
        </w:tc>
        <w:tc>
          <w:tcPr>
            <w:tcW w:w="2194" w:type="dxa"/>
          </w:tcPr>
          <w:p w14:paraId="2D83F839" w14:textId="2F76F7B1" w:rsidR="00B44F21" w:rsidRPr="00736726" w:rsidRDefault="00E67745" w:rsidP="00E67745">
            <w:pPr>
              <w:pStyle w:val="Default"/>
              <w:spacing w:before="60" w:after="60"/>
            </w:pPr>
            <w:r>
              <w:t xml:space="preserve">Office of the </w:t>
            </w:r>
            <w:r w:rsidR="681C06F2">
              <w:t>GCIO</w:t>
            </w:r>
          </w:p>
        </w:tc>
        <w:tc>
          <w:tcPr>
            <w:tcW w:w="1685" w:type="dxa"/>
          </w:tcPr>
          <w:p w14:paraId="3AD669F7" w14:textId="457B93D2" w:rsidR="00B44F21" w:rsidRPr="00736726" w:rsidRDefault="681C06F2" w:rsidP="7C7560D0">
            <w:pPr>
              <w:pStyle w:val="Default"/>
              <w:spacing w:before="60" w:after="60"/>
            </w:pPr>
            <w:r>
              <w:t>2</w:t>
            </w:r>
          </w:p>
        </w:tc>
        <w:tc>
          <w:tcPr>
            <w:tcW w:w="3616" w:type="dxa"/>
          </w:tcPr>
          <w:p w14:paraId="4EABF89A" w14:textId="62A388E4" w:rsidR="00B44F21" w:rsidRPr="00736726" w:rsidRDefault="0032770F" w:rsidP="00FD74DB">
            <w:pPr>
              <w:pStyle w:val="Default"/>
              <w:spacing w:before="60" w:after="60"/>
            </w:pPr>
            <w:r>
              <w:t>Reviewed and aligned with</w:t>
            </w:r>
            <w:r w:rsidR="003956DF">
              <w:t xml:space="preserve"> </w:t>
            </w:r>
            <w:r w:rsidR="00FD74DB">
              <w:t>supplementary guide</w:t>
            </w:r>
            <w:r w:rsidR="681C06F2">
              <w:t>.</w:t>
            </w:r>
          </w:p>
        </w:tc>
      </w:tr>
    </w:tbl>
    <w:p w14:paraId="1321580D" w14:textId="77777777" w:rsidR="00FB090C" w:rsidRDefault="00FB090C" w:rsidP="00FB090C">
      <w:pPr>
        <w:pStyle w:val="Default"/>
      </w:pPr>
    </w:p>
    <w:p w14:paraId="013BAD7D" w14:textId="77777777" w:rsidR="00FB090C" w:rsidRPr="002C2FB2" w:rsidRDefault="00FB090C" w:rsidP="003937B8">
      <w:pPr>
        <w:rPr>
          <w:rFonts w:cs="Arial"/>
        </w:rPr>
      </w:pPr>
    </w:p>
    <w:p w14:paraId="697B41D1" w14:textId="77777777" w:rsidR="003937B8" w:rsidRPr="002C2FB2" w:rsidRDefault="003937B8" w:rsidP="003937B8">
      <w:pPr>
        <w:rPr>
          <w:rFonts w:cs="Arial"/>
        </w:rPr>
      </w:pPr>
      <w:r w:rsidRPr="002C2FB2">
        <w:rPr>
          <w:rFonts w:cs="Arial"/>
          <w:noProof/>
          <w:lang w:eastAsia="en-AU"/>
        </w:rPr>
        <w:drawing>
          <wp:inline distT="0" distB="0" distL="0" distR="0" wp14:anchorId="63167F49" wp14:editId="711E0EC6">
            <wp:extent cx="828675" cy="295275"/>
            <wp:effectExtent l="0" t="0" r="9525" b="9525"/>
            <wp:docPr id="1" name="Picture 1" descr="cid:image001.png@01D08C07.2BC9F5A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8C07.2BC9F5A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p w14:paraId="3898CB9D" w14:textId="64542A0C" w:rsidR="003937B8" w:rsidRPr="002C2FB2" w:rsidRDefault="003937B8" w:rsidP="00FB090C">
      <w:pPr>
        <w:pStyle w:val="Default"/>
      </w:pPr>
      <w:r w:rsidRPr="00736726">
        <w:t xml:space="preserve">This document, the </w:t>
      </w:r>
      <w:r w:rsidRPr="00736726">
        <w:rPr>
          <w:b/>
          <w:bCs/>
          <w:color w:val="222222"/>
          <w:shd w:val="clear" w:color="auto" w:fill="FFFFFF"/>
        </w:rPr>
        <w:t xml:space="preserve">Western Australian Whole of Government </w:t>
      </w:r>
      <w:r w:rsidR="00B7000D" w:rsidRPr="00736726">
        <w:rPr>
          <w:b/>
          <w:bCs/>
        </w:rPr>
        <w:t>ICT Disaster Recovery for Business Continuity Policy</w:t>
      </w:r>
      <w:r w:rsidRPr="00736726">
        <w:rPr>
          <w:b/>
          <w:bCs/>
          <w:color w:val="222222"/>
          <w:shd w:val="clear" w:color="auto" w:fill="FFFFFF"/>
        </w:rPr>
        <w:t xml:space="preserve">, Version </w:t>
      </w:r>
      <w:r w:rsidR="00B44F21" w:rsidRPr="00736726">
        <w:rPr>
          <w:b/>
          <w:bCs/>
          <w:color w:val="222222"/>
          <w:shd w:val="clear" w:color="auto" w:fill="FFFFFF"/>
        </w:rPr>
        <w:t>2</w:t>
      </w:r>
      <w:r w:rsidR="00736726">
        <w:rPr>
          <w:rStyle w:val="apple-converted-space"/>
          <w:rFonts w:asciiTheme="majorEastAsia" w:eastAsiaTheme="majorEastAsia" w:hAnsiTheme="majorEastAsia" w:cstheme="majorEastAsia"/>
          <w:color w:val="222222"/>
          <w:shd w:val="clear" w:color="auto" w:fill="FFFFFF"/>
        </w:rPr>
        <w:t xml:space="preserve"> </w:t>
      </w:r>
      <w:proofErr w:type="gramStart"/>
      <w:r w:rsidRPr="00736726">
        <w:t>is licensed</w:t>
      </w:r>
      <w:proofErr w:type="gramEnd"/>
      <w:r w:rsidRPr="00736726">
        <w:t xml:space="preserve"> under a </w:t>
      </w:r>
      <w:r w:rsidRPr="00736726">
        <w:rPr>
          <w:b/>
          <w:bCs/>
        </w:rPr>
        <w:t>Creative Commons Attribution 4.0 International Licence</w:t>
      </w:r>
      <w:r w:rsidRPr="00736726">
        <w:t>. You are free to re-use the work under that licence, on the condition that you attribute the Government of Western Australia (</w:t>
      </w:r>
      <w:r w:rsidR="00C44D62" w:rsidRPr="00736726">
        <w:t>Office of the Government Chief Information Officer</w:t>
      </w:r>
      <w:r w:rsidRPr="00736726">
        <w:t xml:space="preserve">) as author, indicate if changes </w:t>
      </w:r>
      <w:proofErr w:type="gramStart"/>
      <w:r w:rsidRPr="00736726">
        <w:t>were</w:t>
      </w:r>
      <w:r w:rsidRPr="002C2FB2">
        <w:t xml:space="preserve"> made</w:t>
      </w:r>
      <w:proofErr w:type="gramEnd"/>
      <w:r w:rsidRPr="002C2FB2">
        <w:t>, and comply with the other licence terms. The licence does not apply to any branding or images.</w:t>
      </w:r>
    </w:p>
    <w:p w14:paraId="58C81F6C" w14:textId="77777777" w:rsidR="003937B8" w:rsidRPr="002C2FB2" w:rsidRDefault="681C06F2" w:rsidP="00FB090C">
      <w:pPr>
        <w:pStyle w:val="Default"/>
      </w:pPr>
      <w:r w:rsidRPr="681C06F2">
        <w:rPr>
          <w:rFonts w:eastAsia="Arial"/>
          <w:b/>
          <w:bCs/>
        </w:rPr>
        <w:t xml:space="preserve">License URL: </w:t>
      </w:r>
      <w:hyperlink r:id="rId13">
        <w:r w:rsidRPr="681C06F2">
          <w:rPr>
            <w:rStyle w:val="Hyperlink"/>
            <w:rFonts w:eastAsia="Arial"/>
          </w:rPr>
          <w:t>https://creativecommons.org/licenses/by/4.0/legalcode</w:t>
        </w:r>
      </w:hyperlink>
    </w:p>
    <w:p w14:paraId="106A66D3" w14:textId="77777777" w:rsidR="003937B8" w:rsidRPr="002C2FB2" w:rsidRDefault="681C06F2" w:rsidP="00FB090C">
      <w:pPr>
        <w:pStyle w:val="Default"/>
      </w:pPr>
      <w:r w:rsidRPr="681C06F2">
        <w:rPr>
          <w:b/>
          <w:bCs/>
        </w:rPr>
        <w:t>Attribution:</w:t>
      </w:r>
      <w:r>
        <w:t xml:space="preserve"> © Government of Western Australia (</w:t>
      </w:r>
      <w:hyperlink r:id="rId14">
        <w:r w:rsidRPr="681C06F2">
          <w:rPr>
            <w:rStyle w:val="Hyperlink"/>
          </w:rPr>
          <w:t>Office of the Government Chief Information Officer</w:t>
        </w:r>
      </w:hyperlink>
      <w:r>
        <w:t>) 2016</w:t>
      </w:r>
    </w:p>
    <w:p w14:paraId="5CF77867" w14:textId="77777777" w:rsidR="003937B8" w:rsidRPr="004908D2" w:rsidRDefault="681C06F2" w:rsidP="681C06F2">
      <w:pPr>
        <w:pStyle w:val="Default"/>
        <w:rPr>
          <w:b/>
          <w:bCs/>
        </w:rPr>
      </w:pPr>
      <w:r w:rsidRPr="681C06F2">
        <w:rPr>
          <w:b/>
          <w:bCs/>
        </w:rPr>
        <w:t>Notice Identifying Other Material and/or Rights in this Publication:</w:t>
      </w:r>
    </w:p>
    <w:p w14:paraId="5DE465F1" w14:textId="094FD09B" w:rsidR="003937B8" w:rsidRPr="004908D2" w:rsidRDefault="681C06F2" w:rsidP="681C06F2">
      <w:pPr>
        <w:pStyle w:val="Default"/>
        <w:rPr>
          <w:b/>
          <w:bCs/>
        </w:rPr>
      </w:pPr>
      <w:r>
        <w:t xml:space="preserve">The Creative Commons licence does not apply to the Government of Western Australia Coat of Arms.  Permission to reuse the Coat of Arms </w:t>
      </w:r>
      <w:proofErr w:type="gramStart"/>
      <w:r>
        <w:t>can be obtained</w:t>
      </w:r>
      <w:proofErr w:type="gramEnd"/>
      <w:r>
        <w:t xml:space="preserve"> from the </w:t>
      </w:r>
      <w:hyperlink r:id="rId15">
        <w:r w:rsidRPr="681C06F2">
          <w:rPr>
            <w:rStyle w:val="Hyperlink"/>
          </w:rPr>
          <w:t>Department of Premier and Cabinet</w:t>
        </w:r>
      </w:hyperlink>
      <w:r>
        <w:t>.</w:t>
      </w:r>
    </w:p>
    <w:p w14:paraId="1E27A432" w14:textId="77777777" w:rsidR="00D14CAF" w:rsidRDefault="00D14CAF" w:rsidP="003C0273">
      <w:pPr>
        <w:rPr>
          <w:rFonts w:cs="Arial"/>
        </w:rPr>
        <w:sectPr w:rsidR="00D14CAF" w:rsidSect="002074AD">
          <w:footerReference w:type="default" r:id="rId16"/>
          <w:pgSz w:w="11906" w:h="16838"/>
          <w:pgMar w:top="1440" w:right="1191" w:bottom="1440" w:left="1440" w:header="709" w:footer="624" w:gutter="0"/>
          <w:cols w:space="708"/>
          <w:docGrid w:linePitch="360"/>
        </w:sectPr>
      </w:pPr>
    </w:p>
    <w:p w14:paraId="6C748080" w14:textId="77777777" w:rsidR="005E0AA6" w:rsidRDefault="681C06F2" w:rsidP="005E0AA6">
      <w:pPr>
        <w:pStyle w:val="Heading1"/>
      </w:pPr>
      <w:r>
        <w:t>Purpose</w:t>
      </w:r>
    </w:p>
    <w:p w14:paraId="40E8C370" w14:textId="27C82FB0" w:rsidR="00803AE6" w:rsidRDefault="681C06F2" w:rsidP="51E01F54">
      <w:r>
        <w:t>Citizens expect Government to continue delivering services and products despite disruptive events, and meeting this expectation is an essential capability of Government.  Information and Communications Technology (ICT) is now central to almost all Government activities, and agencies must effectively manage risks related to the unavailability of ICT systems.</w:t>
      </w:r>
    </w:p>
    <w:p w14:paraId="4C729454" w14:textId="2B21221C" w:rsidR="005E0AA6" w:rsidRDefault="681C06F2" w:rsidP="005E0AA6">
      <w:r>
        <w:t>The purpose of the ICT Disaster Recovery for Business Continuity Policy</w:t>
      </w:r>
      <w:r w:rsidRPr="681C06F2">
        <w:rPr>
          <w:b/>
          <w:bCs/>
        </w:rPr>
        <w:t xml:space="preserve"> </w:t>
      </w:r>
      <w:r>
        <w:t>(the Policy) is to:</w:t>
      </w:r>
    </w:p>
    <w:p w14:paraId="2AB309F1" w14:textId="31265920" w:rsidR="00F74439" w:rsidRPr="00FD7F52" w:rsidRDefault="681C06F2" w:rsidP="00DE0A84">
      <w:pPr>
        <w:pStyle w:val="ListParagraph"/>
        <w:numPr>
          <w:ilvl w:val="0"/>
          <w:numId w:val="38"/>
        </w:numPr>
      </w:pPr>
      <w:r>
        <w:t>support agencies in ensuring services are available:</w:t>
      </w:r>
    </w:p>
    <w:p w14:paraId="3092E3DE" w14:textId="57FA2600" w:rsidR="00F74439" w:rsidRPr="00FD7F52" w:rsidRDefault="681C06F2" w:rsidP="00DE0A84">
      <w:pPr>
        <w:pStyle w:val="ListParagraph"/>
        <w:numPr>
          <w:ilvl w:val="1"/>
          <w:numId w:val="38"/>
        </w:numPr>
      </w:pPr>
      <w:r>
        <w:t>at a level which enables them to meet their objectives and obligations, and</w:t>
      </w:r>
    </w:p>
    <w:p w14:paraId="08837EE7" w14:textId="535453E8" w:rsidR="00D859F6" w:rsidRPr="00FD7F52" w:rsidRDefault="681C06F2" w:rsidP="00DE0A84">
      <w:pPr>
        <w:pStyle w:val="ListParagraph"/>
        <w:numPr>
          <w:ilvl w:val="1"/>
          <w:numId w:val="38"/>
        </w:numPr>
      </w:pPr>
      <w:r>
        <w:t>within reasonable community expectations;</w:t>
      </w:r>
    </w:p>
    <w:p w14:paraId="48BC7D8D" w14:textId="2735E902" w:rsidR="00803AE6" w:rsidRPr="00FD7F52" w:rsidRDefault="681C06F2" w:rsidP="00DE0A84">
      <w:pPr>
        <w:pStyle w:val="ListParagraph"/>
        <w:numPr>
          <w:ilvl w:val="0"/>
          <w:numId w:val="38"/>
        </w:numPr>
      </w:pPr>
      <w:r>
        <w:t>ensure that ICT disaster recovery is integrated within agencies’ risk management and business continuity frameworks; and</w:t>
      </w:r>
    </w:p>
    <w:p w14:paraId="283F4D74" w14:textId="5A38B709" w:rsidR="46594007" w:rsidRPr="00FD7F52" w:rsidRDefault="681C06F2" w:rsidP="00DE0A84">
      <w:pPr>
        <w:pStyle w:val="ListParagraph"/>
        <w:numPr>
          <w:ilvl w:val="0"/>
          <w:numId w:val="38"/>
        </w:numPr>
      </w:pPr>
      <w:proofErr w:type="gramStart"/>
      <w:r>
        <w:t>support</w:t>
      </w:r>
      <w:proofErr w:type="gramEnd"/>
      <w:r>
        <w:t xml:space="preserve"> agencies in improving their ICT disaster recovery skills and capabilities.</w:t>
      </w:r>
    </w:p>
    <w:p w14:paraId="46397116" w14:textId="5407D326" w:rsidR="004558D0" w:rsidRDefault="681C06F2" w:rsidP="004558D0">
      <w:pPr>
        <w:pStyle w:val="Heading1"/>
      </w:pPr>
      <w:r>
        <w:t>Definition of Terms</w:t>
      </w:r>
    </w:p>
    <w:p w14:paraId="12AD6757" w14:textId="37625024" w:rsidR="008E31D4" w:rsidRDefault="681C06F2" w:rsidP="008E31D4">
      <w:r w:rsidRPr="681C06F2">
        <w:rPr>
          <w:b/>
          <w:bCs/>
        </w:rPr>
        <w:t xml:space="preserve">Business Continuity </w:t>
      </w:r>
      <w:r>
        <w:t xml:space="preserve">is the holistic management process that identifies potential threats to an organisation and the impacts to business operations those threats, if realized, might cause. </w:t>
      </w:r>
      <w:r w:rsidR="006D2596">
        <w:t xml:space="preserve"> </w:t>
      </w:r>
      <w:r>
        <w:t>It also provides a framework for building organisational resilience, wherein the organisation can respond effectively to safeguard the interests of its key stakeholders. Business continuity is a subset of risk management.</w:t>
      </w:r>
    </w:p>
    <w:p w14:paraId="24B420DA" w14:textId="48503653" w:rsidR="004558D0" w:rsidRDefault="681C06F2" w:rsidP="004558D0">
      <w:r w:rsidRPr="681C06F2">
        <w:rPr>
          <w:b/>
          <w:bCs/>
        </w:rPr>
        <w:t>Business Function</w:t>
      </w:r>
      <w:r>
        <w:t xml:space="preserve"> is the process or operation of work performed to accomplish an agency’s government service responsibilities.</w:t>
      </w:r>
    </w:p>
    <w:p w14:paraId="2F5954D4" w14:textId="6719F933" w:rsidR="00C718EB" w:rsidRPr="002D5D18" w:rsidRDefault="681C06F2" w:rsidP="797E800A">
      <w:pPr>
        <w:rPr>
          <w:bCs/>
        </w:rPr>
      </w:pPr>
      <w:r w:rsidRPr="681C06F2">
        <w:rPr>
          <w:b/>
          <w:bCs/>
        </w:rPr>
        <w:t>Business Function Owner</w:t>
      </w:r>
      <w:r>
        <w:t xml:space="preserve"> is an individual with the responsibility for delivering a business function.</w:t>
      </w:r>
    </w:p>
    <w:p w14:paraId="1A668235" w14:textId="37A7F8F4" w:rsidR="008E31D4" w:rsidRDefault="681C06F2" w:rsidP="008E31D4">
      <w:r w:rsidRPr="681C06F2">
        <w:rPr>
          <w:b/>
          <w:bCs/>
        </w:rPr>
        <w:t xml:space="preserve">Disruption, </w:t>
      </w:r>
      <w:r>
        <w:t>or disruptive event,</w:t>
      </w:r>
      <w:r w:rsidRPr="681C06F2">
        <w:rPr>
          <w:b/>
          <w:bCs/>
        </w:rPr>
        <w:t xml:space="preserve"> </w:t>
      </w:r>
      <w:r>
        <w:t xml:space="preserve">is a significant </w:t>
      </w:r>
      <w:proofErr w:type="gramStart"/>
      <w:r>
        <w:t>incident which</w:t>
      </w:r>
      <w:proofErr w:type="gramEnd"/>
      <w:r>
        <w:t xml:space="preserve"> cannot be controlled within a predetermined timeframe that is acceptable to the agency.  This may be anticipated (e.g. hurricane) or unanticipated (e.g. power failure/outage, earthquake, or attack on ICT systems/infrastructure) which disrupts the normal course of operations at an agency location.  A disruption causes a loss of, key business activities, which has a significant impact on the organisation. </w:t>
      </w:r>
      <w:r w:rsidR="003B1AC1">
        <w:t xml:space="preserve"> </w:t>
      </w:r>
      <w:r>
        <w:t>A disruption is distinct from minor interruption of services such as system glitches, processing errors and brief loss of communication links that may occur as a part of normal operations where it does not have any significant impact on the agency.</w:t>
      </w:r>
    </w:p>
    <w:p w14:paraId="5D6F73AC" w14:textId="7473D2AF" w:rsidR="008106D1" w:rsidRDefault="681C06F2" w:rsidP="004558D0">
      <w:r w:rsidRPr="681C06F2">
        <w:rPr>
          <w:b/>
          <w:bCs/>
        </w:rPr>
        <w:t>ICT Disaster Recovery</w:t>
      </w:r>
      <w:r>
        <w:t xml:space="preserve">, or DR, is the ability to restore the ICT elements (people, process information and technology) of an organization to support the continuity of its critical business functions within a predetermined </w:t>
      </w:r>
      <w:proofErr w:type="gramStart"/>
      <w:r>
        <w:t>period of time</w:t>
      </w:r>
      <w:proofErr w:type="gramEnd"/>
      <w:r>
        <w:t xml:space="preserve">.  Disaster recovery includes the prevention, preparedness, response and recovery from a disruption.  Disaster recovery </w:t>
      </w:r>
      <w:proofErr w:type="gramStart"/>
      <w:r>
        <w:t>is supported</w:t>
      </w:r>
      <w:proofErr w:type="gramEnd"/>
      <w:r>
        <w:t xml:space="preserve"> by policies and procedures.</w:t>
      </w:r>
    </w:p>
    <w:p w14:paraId="64BF715A" w14:textId="415D5DC9" w:rsidR="004558D0" w:rsidRDefault="681C06F2" w:rsidP="004558D0">
      <w:r w:rsidRPr="681C06F2">
        <w:rPr>
          <w:b/>
          <w:bCs/>
        </w:rPr>
        <w:t xml:space="preserve">ICT Disaster Recovery Plan </w:t>
      </w:r>
      <w:r>
        <w:t xml:space="preserve">is a defined and documented plan that details how ICT capabilities </w:t>
      </w:r>
      <w:proofErr w:type="gramStart"/>
      <w:r>
        <w:t>will be restored</w:t>
      </w:r>
      <w:proofErr w:type="gramEnd"/>
      <w:r>
        <w:t xml:space="preserve"> following a disruptive event.</w:t>
      </w:r>
    </w:p>
    <w:p w14:paraId="7C10FE67" w14:textId="77777777" w:rsidR="008E31D4" w:rsidRDefault="008E31D4" w:rsidP="004558D0">
      <w:pPr>
        <w:rPr>
          <w:b/>
          <w:bCs/>
        </w:rPr>
      </w:pPr>
    </w:p>
    <w:p w14:paraId="6F3AE98E" w14:textId="73A66070" w:rsidR="008E31D4" w:rsidRPr="00C80B2A" w:rsidRDefault="681C06F2" w:rsidP="008E31D4">
      <w:pPr>
        <w:rPr>
          <w:szCs w:val="22"/>
        </w:rPr>
      </w:pPr>
      <w:r w:rsidRPr="681C06F2">
        <w:rPr>
          <w:b/>
          <w:bCs/>
        </w:rPr>
        <w:t>Incident Management</w:t>
      </w:r>
      <w:r>
        <w:t xml:space="preserve"> is the process of identifying, analysing, and correcting incidents.  It includes classifying and escalating </w:t>
      </w:r>
      <w:proofErr w:type="gramStart"/>
      <w:r>
        <w:t>incidents which</w:t>
      </w:r>
      <w:proofErr w:type="gramEnd"/>
      <w:r>
        <w:t xml:space="preserve"> cannot be resolved and are thus classified as a disruption, triggering </w:t>
      </w:r>
      <w:r w:rsidR="00FD74DB">
        <w:t xml:space="preserve">ICT </w:t>
      </w:r>
      <w:r>
        <w:t>disaster recovery activities.</w:t>
      </w:r>
    </w:p>
    <w:p w14:paraId="6CD1EAD1" w14:textId="066B11F2" w:rsidR="008E31D4" w:rsidRPr="008E31D4" w:rsidRDefault="008E31D4" w:rsidP="00DE0A84">
      <w:pPr>
        <w:rPr>
          <w:bCs/>
        </w:rPr>
      </w:pPr>
      <w:r>
        <w:rPr>
          <w:b/>
          <w:bCs/>
        </w:rPr>
        <w:t>Recovery Point Objective</w:t>
      </w:r>
      <w:r w:rsidRPr="681C06F2">
        <w:t xml:space="preserve"> is </w:t>
      </w:r>
      <w:r w:rsidRPr="681C06F2">
        <w:rPr>
          <w:rFonts w:eastAsia="Arial" w:cs="Arial"/>
          <w:color w:val="222222"/>
          <w:shd w:val="clear" w:color="auto" w:fill="FFFFFF"/>
        </w:rPr>
        <w:t>the longest agreed period in which data loss from an ICT system is acceptable.</w:t>
      </w:r>
    </w:p>
    <w:p w14:paraId="37669686" w14:textId="4671CC5B" w:rsidR="008E31D4" w:rsidRDefault="681C06F2" w:rsidP="681C06F2">
      <w:pPr>
        <w:rPr>
          <w:b/>
          <w:bCs/>
        </w:rPr>
      </w:pPr>
      <w:r w:rsidRPr="681C06F2">
        <w:rPr>
          <w:b/>
          <w:bCs/>
        </w:rPr>
        <w:t>Recovery Time Objective</w:t>
      </w:r>
      <w:r>
        <w:t xml:space="preserve"> is the longest agreed period in which an ICT system can be unavailable.  This time is essentially the time ICT practitioners have available to restore an ICT system following a disruption.</w:t>
      </w:r>
    </w:p>
    <w:p w14:paraId="1E3B9909" w14:textId="77777777" w:rsidR="004558D0" w:rsidRDefault="681C06F2" w:rsidP="00DE0A84">
      <w:r w:rsidRPr="681C06F2">
        <w:rPr>
          <w:b/>
          <w:bCs/>
        </w:rPr>
        <w:t xml:space="preserve">Risk Management </w:t>
      </w:r>
      <w:r>
        <w:t>is the practice of systematically identifying, understanding, and managing the risks encountered by an organisation.  This includes the process of implementing, maintaining and embedding risk management in an organisation.</w:t>
      </w:r>
    </w:p>
    <w:p w14:paraId="70416135" w14:textId="77777777" w:rsidR="000C3E0B" w:rsidRPr="00D50B3D" w:rsidRDefault="681C06F2" w:rsidP="51E01F54">
      <w:pPr>
        <w:pStyle w:val="Heading1"/>
      </w:pPr>
      <w:r>
        <w:t>Background</w:t>
      </w:r>
    </w:p>
    <w:p w14:paraId="7E0E2C77" w14:textId="34918B09" w:rsidR="63996F39" w:rsidRDefault="00B80D0A">
      <w:r>
        <w:t xml:space="preserve">In 2016, the Auditor General found that 64% of audited agencies </w:t>
      </w:r>
      <w:r w:rsidR="227566F5">
        <w:t>in</w:t>
      </w:r>
      <w:r w:rsidR="227566F5" w:rsidRPr="5DCA36DE">
        <w:t xml:space="preserve"> </w:t>
      </w:r>
      <w:r w:rsidR="227566F5">
        <w:t>the</w:t>
      </w:r>
      <w:r w:rsidR="227566F5" w:rsidRPr="5DCA36DE">
        <w:t xml:space="preserve"> </w:t>
      </w:r>
      <w:r w:rsidR="227566F5">
        <w:t>Western</w:t>
      </w:r>
      <w:r w:rsidR="227566F5" w:rsidRPr="5DCA36DE">
        <w:t xml:space="preserve"> </w:t>
      </w:r>
      <w:r w:rsidR="227566F5">
        <w:t>Australian public sector</w:t>
      </w:r>
      <w:r w:rsidR="28D2A3B5" w:rsidRPr="5DCA36DE">
        <w:t xml:space="preserve"> </w:t>
      </w:r>
      <w:r>
        <w:t xml:space="preserve">did not have </w:t>
      </w:r>
      <w:r w:rsidRPr="00032014">
        <w:t xml:space="preserve">adequate disaster recovery </w:t>
      </w:r>
      <w:r w:rsidR="008D1BBE">
        <w:t xml:space="preserve">and </w:t>
      </w:r>
      <w:r w:rsidR="008D1BBE" w:rsidRPr="00032014">
        <w:t xml:space="preserve">business continuity </w:t>
      </w:r>
      <w:r w:rsidRPr="00032014">
        <w:t>arrangements in place</w:t>
      </w:r>
      <w:r w:rsidRPr="5DCA36DE">
        <w:t>.</w:t>
      </w:r>
      <w:r>
        <w:rPr>
          <w:rStyle w:val="FootnoteReference"/>
        </w:rPr>
        <w:footnoteReference w:id="2"/>
      </w:r>
      <w:r w:rsidRPr="5DCA36DE">
        <w:t xml:space="preserve"> </w:t>
      </w:r>
      <w:r w:rsidR="001C4BC9">
        <w:t xml:space="preserve"> T</w:t>
      </w:r>
      <w:r>
        <w:t>he community serve</w:t>
      </w:r>
      <w:r w:rsidR="001C4BC9">
        <w:t xml:space="preserve">d by these agencies </w:t>
      </w:r>
      <w:proofErr w:type="gramStart"/>
      <w:r>
        <w:t>are potentially exposed</w:t>
      </w:r>
      <w:proofErr w:type="gramEnd"/>
      <w:r>
        <w:t xml:space="preserve"> to </w:t>
      </w:r>
      <w:r w:rsidR="00D33531">
        <w:t>unacceptable</w:t>
      </w:r>
      <w:r>
        <w:t xml:space="preserve"> levels of risk relating to the </w:t>
      </w:r>
      <w:r w:rsidR="005E4729">
        <w:t xml:space="preserve">unavailability </w:t>
      </w:r>
      <w:r>
        <w:t xml:space="preserve">of </w:t>
      </w:r>
      <w:r w:rsidR="005E4729">
        <w:t>ICT systems</w:t>
      </w:r>
      <w:r>
        <w:t xml:space="preserve">.  With proper </w:t>
      </w:r>
      <w:r w:rsidR="005E4729">
        <w:t xml:space="preserve">ICT disaster recovery </w:t>
      </w:r>
      <w:r w:rsidR="00EB2F72">
        <w:t xml:space="preserve">planning, undertaken </w:t>
      </w:r>
      <w:r w:rsidR="005E4729">
        <w:t xml:space="preserve">within </w:t>
      </w:r>
      <w:r w:rsidR="00EB2F72">
        <w:t>the oversight of a risk management framework</w:t>
      </w:r>
      <w:r>
        <w:t xml:space="preserve">, agencies are able to </w:t>
      </w:r>
      <w:r w:rsidR="00EB2F72">
        <w:t xml:space="preserve">properly </w:t>
      </w:r>
      <w:r>
        <w:t xml:space="preserve">identify and </w:t>
      </w:r>
      <w:r w:rsidR="005E4729">
        <w:t>manage these</w:t>
      </w:r>
      <w:r>
        <w:t xml:space="preserve"> risks.</w:t>
      </w:r>
    </w:p>
    <w:p w14:paraId="2C53A011" w14:textId="1C7E8E1D" w:rsidR="5508D111" w:rsidRDefault="681C06F2">
      <w:r>
        <w:t xml:space="preserve">The whole-of-government ICT Strategy, </w:t>
      </w:r>
      <w:r w:rsidRPr="681C06F2">
        <w:rPr>
          <w:i/>
          <w:iCs/>
        </w:rPr>
        <w:t>Digital WA</w:t>
      </w:r>
      <w:r>
        <w:t xml:space="preserve">, </w:t>
      </w:r>
      <w:proofErr w:type="gramStart"/>
      <w:r>
        <w:t>is driven</w:t>
      </w:r>
      <w:proofErr w:type="gramEnd"/>
      <w:r>
        <w:t xml:space="preserve"> by a vision of better services, supported by technology, via a public sector that is mature in its digital capabilities.  ICT is increasingly crucial to agencies’ service delivery operations.  Ensuring that &gt;90% of government digital services meet or exceed agreed and published service levels is a key performance indicator target within the </w:t>
      </w:r>
      <w:r w:rsidRPr="681C06F2">
        <w:rPr>
          <w:i/>
          <w:iCs/>
        </w:rPr>
        <w:t xml:space="preserve">Digital WA </w:t>
      </w:r>
      <w:r>
        <w:t>strategy.</w:t>
      </w:r>
    </w:p>
    <w:p w14:paraId="1D06DB57" w14:textId="3D1C8681" w:rsidR="6D79FB3D" w:rsidRDefault="681C06F2">
      <w:r>
        <w:t>Within this context, the Office of the Government Chief Information Officer (GCIO) seeks to support agencies in building their ICT-specific disaster recovery capabilities to ensure better business continuity outcomes.</w:t>
      </w:r>
    </w:p>
    <w:p w14:paraId="47E1728D" w14:textId="24EB026C" w:rsidR="007573CE" w:rsidRDefault="681C06F2" w:rsidP="00D50B3D">
      <w:pPr>
        <w:pStyle w:val="Heading1"/>
      </w:pPr>
      <w:r>
        <w:t>The Risk Management Context</w:t>
      </w:r>
    </w:p>
    <w:p w14:paraId="45F3DB07" w14:textId="626E75B1" w:rsidR="00027719" w:rsidRDefault="681C06F2">
      <w:r>
        <w:t xml:space="preserve">ICT disaster recovery supports business continuity, and both are activities under the broad umbrella of risk management.  Western Australian government agencies have risk management obligations (see </w:t>
      </w:r>
      <w:r w:rsidRPr="681C06F2">
        <w:rPr>
          <w:i/>
          <w:iCs/>
        </w:rPr>
        <w:t>Section 6: Relevant Policy Obligations</w:t>
      </w:r>
      <w:r>
        <w:t>), and generally have some form of corporate risk governance to enable them to meet these obligations.</w:t>
      </w:r>
    </w:p>
    <w:p w14:paraId="2322464B" w14:textId="514EDD45" w:rsidR="00FD7F52" w:rsidRDefault="681C06F2" w:rsidP="00FD7F52">
      <w:r>
        <w:t>In a modern ICT-enabled organisation, ICT disaster recovery, linked to business continuity management, is an integral component of that organisation’s ability to ensure continuous business function and meet its risk management obligations.</w:t>
      </w:r>
    </w:p>
    <w:p w14:paraId="150FB3D5" w14:textId="4D41B0A6" w:rsidR="00AE39D6" w:rsidRDefault="681C06F2" w:rsidP="00FD7F52">
      <w:r>
        <w:t xml:space="preserve">Agencies can only make informed decisions regarding risk once they are aware of them.  Adopting a risk management perspective to ICT disaster recovery within the oversight of the peak corporate risk management body enables agencies to ensure that ICT disaster recovery </w:t>
      </w:r>
      <w:proofErr w:type="gramStart"/>
      <w:r>
        <w:t>is appropriately planned, implemented and resourced within business needs</w:t>
      </w:r>
      <w:proofErr w:type="gramEnd"/>
      <w:r>
        <w:t xml:space="preserve"> and risk appetite.</w:t>
      </w:r>
    </w:p>
    <w:p w14:paraId="6460813D" w14:textId="2AC66B7C" w:rsidR="000C3E0B" w:rsidRDefault="681C06F2" w:rsidP="00DE0A84">
      <w:pPr>
        <w:pStyle w:val="Heading1"/>
      </w:pPr>
      <w:r>
        <w:t>Policy Requirements</w:t>
      </w:r>
    </w:p>
    <w:p w14:paraId="654AF55F" w14:textId="005CDF93" w:rsidR="000C3E0B" w:rsidRDefault="681C06F2" w:rsidP="00DE0A84">
      <w:pPr>
        <w:keepNext/>
        <w:keepLines/>
      </w:pPr>
      <w:r>
        <w:t>The requirements of the Policy are as below.</w:t>
      </w:r>
    </w:p>
    <w:p w14:paraId="07B43327" w14:textId="6F98E0CB" w:rsidR="000C3E0B" w:rsidRPr="008E31D4" w:rsidRDefault="681C06F2" w:rsidP="00B82A1C">
      <w:pPr>
        <w:pStyle w:val="Heading2"/>
        <w:numPr>
          <w:ilvl w:val="0"/>
          <w:numId w:val="41"/>
        </w:numPr>
      </w:pPr>
      <w:r w:rsidRPr="681C06F2">
        <w:t>Establish Governance and Accountability</w:t>
      </w:r>
    </w:p>
    <w:p w14:paraId="18440D81" w14:textId="05F9B1AB" w:rsidR="00FA4490" w:rsidRPr="00DE0A84" w:rsidRDefault="681C06F2" w:rsidP="681C06F2">
      <w:pPr>
        <w:ind w:left="720"/>
        <w:rPr>
          <w:rStyle w:val="IntenseEmphasis"/>
        </w:rPr>
      </w:pPr>
      <w:r w:rsidRPr="681C06F2">
        <w:rPr>
          <w:rStyle w:val="IntenseEmphasis"/>
        </w:rPr>
        <w:t>Agencies must:</w:t>
      </w:r>
    </w:p>
    <w:p w14:paraId="56321259" w14:textId="51E77D46" w:rsidR="00684EEC" w:rsidRPr="0014555E" w:rsidRDefault="681C06F2" w:rsidP="681C06F2">
      <w:pPr>
        <w:pStyle w:val="ListParagraph"/>
        <w:numPr>
          <w:ilvl w:val="0"/>
          <w:numId w:val="34"/>
        </w:numPr>
        <w:rPr>
          <w:rStyle w:val="IntenseEmphasis"/>
        </w:rPr>
      </w:pPr>
      <w:r w:rsidRPr="681C06F2">
        <w:rPr>
          <w:rStyle w:val="IntenseEmphasis"/>
        </w:rPr>
        <w:t xml:space="preserve">establish roles and responsibilities for </w:t>
      </w:r>
      <w:r w:rsidR="00346C8B">
        <w:rPr>
          <w:rStyle w:val="IntenseEmphasis"/>
        </w:rPr>
        <w:t xml:space="preserve">ICT </w:t>
      </w:r>
      <w:r w:rsidRPr="681C06F2">
        <w:rPr>
          <w:rStyle w:val="IntenseEmphasis"/>
        </w:rPr>
        <w:t>disaster recovery within the corporate risk management framework; and</w:t>
      </w:r>
    </w:p>
    <w:p w14:paraId="306322A3" w14:textId="4F8CACC8" w:rsidR="000247FA" w:rsidRPr="00DE0A84" w:rsidRDefault="681C06F2" w:rsidP="681C06F2">
      <w:pPr>
        <w:pStyle w:val="ListParagraph"/>
        <w:numPr>
          <w:ilvl w:val="0"/>
          <w:numId w:val="34"/>
        </w:numPr>
        <w:rPr>
          <w:rStyle w:val="IntenseEmphasis"/>
          <w:color w:val="003B60"/>
        </w:rPr>
      </w:pPr>
      <w:proofErr w:type="gramStart"/>
      <w:r w:rsidRPr="681C06F2">
        <w:rPr>
          <w:rStyle w:val="IntenseEmphasis"/>
        </w:rPr>
        <w:t>ensure</w:t>
      </w:r>
      <w:proofErr w:type="gramEnd"/>
      <w:r w:rsidRPr="681C06F2">
        <w:rPr>
          <w:rStyle w:val="IntenseEmphasis"/>
        </w:rPr>
        <w:t xml:space="preserve"> ICT disaster recovery management is undertaken within an ICT incident management framework.</w:t>
      </w:r>
    </w:p>
    <w:p w14:paraId="5A82ACBB" w14:textId="327F4947" w:rsidR="00DE287C" w:rsidRDefault="681C06F2" w:rsidP="00DE0A84">
      <w:pPr>
        <w:ind w:left="720"/>
      </w:pPr>
      <w:r>
        <w:t xml:space="preserve">ICT disaster recovery </w:t>
      </w:r>
      <w:proofErr w:type="gramStart"/>
      <w:r>
        <w:t>should be linked</w:t>
      </w:r>
      <w:proofErr w:type="gramEnd"/>
      <w:r>
        <w:t xml:space="preserve"> to an agency’s risk and ICT governance frameworks to ensure a unified approach to disaster recovery and the highest level of executive support.</w:t>
      </w:r>
    </w:p>
    <w:p w14:paraId="19E8CF78" w14:textId="224E577E" w:rsidR="00503E55" w:rsidRDefault="681C06F2" w:rsidP="00DE0A84">
      <w:pPr>
        <w:ind w:left="720"/>
      </w:pPr>
      <w:r>
        <w:t xml:space="preserve">Agencies should ensure that a process and capability exists for identifying and analysing incidents </w:t>
      </w:r>
      <w:r w:rsidR="00144043">
        <w:t xml:space="preserve">that </w:t>
      </w:r>
      <w:r>
        <w:t>escalate into disruptions</w:t>
      </w:r>
      <w:r w:rsidR="00144043">
        <w:t>,</w:t>
      </w:r>
      <w:r>
        <w:t xml:space="preserve"> and thus require a disaster recovery response.</w:t>
      </w:r>
    </w:p>
    <w:p w14:paraId="6DB63B95" w14:textId="020C5103" w:rsidR="000C3E0B" w:rsidRPr="00B82A1C" w:rsidRDefault="681C06F2" w:rsidP="00B82A1C">
      <w:pPr>
        <w:pStyle w:val="Heading2"/>
        <w:numPr>
          <w:ilvl w:val="0"/>
          <w:numId w:val="41"/>
        </w:numPr>
      </w:pPr>
      <w:r w:rsidRPr="00B82A1C">
        <w:t>Formalise ICT Disaster Recovery Arrangements</w:t>
      </w:r>
    </w:p>
    <w:p w14:paraId="3054454B" w14:textId="3357A3C9" w:rsidR="00BA09BC" w:rsidRPr="008E31D4" w:rsidRDefault="00DE287C" w:rsidP="681C06F2">
      <w:pPr>
        <w:pStyle w:val="ListParagraph"/>
        <w:numPr>
          <w:ilvl w:val="0"/>
          <w:numId w:val="0"/>
        </w:numPr>
        <w:ind w:left="720"/>
        <w:rPr>
          <w:rStyle w:val="IntenseEmphasis"/>
          <w:rFonts w:ascii="Times New Roman" w:eastAsia="Times New Roman" w:hAnsi="Times New Roman" w:cs="Times New Roman"/>
          <w:color w:val="003B60"/>
        </w:rPr>
      </w:pPr>
      <w:r w:rsidRPr="00FD7F52">
        <w:rPr>
          <w:rStyle w:val="IntenseEmphasis"/>
        </w:rPr>
        <w:t>Agencies must</w:t>
      </w:r>
      <w:r w:rsidR="00092DEA">
        <w:rPr>
          <w:rStyle w:val="IntenseEmphasis"/>
        </w:rPr>
        <w:t xml:space="preserve"> p</w:t>
      </w:r>
      <w:r w:rsidR="00D430E9">
        <w:rPr>
          <w:rStyle w:val="IntenseEmphasis"/>
        </w:rPr>
        <w:t>lan</w:t>
      </w:r>
      <w:r w:rsidR="797E800A">
        <w:rPr>
          <w:rStyle w:val="IntenseEmphasis"/>
        </w:rPr>
        <w:t xml:space="preserve">, document </w:t>
      </w:r>
      <w:r w:rsidR="2F449C03">
        <w:rPr>
          <w:rStyle w:val="IntenseEmphasis"/>
        </w:rPr>
        <w:t xml:space="preserve">and </w:t>
      </w:r>
      <w:r w:rsidRPr="00FD7F52">
        <w:rPr>
          <w:rStyle w:val="IntenseEmphasis"/>
        </w:rPr>
        <w:t xml:space="preserve">implement </w:t>
      </w:r>
      <w:r w:rsidR="00092DEA">
        <w:rPr>
          <w:rStyle w:val="IntenseEmphasis"/>
        </w:rPr>
        <w:t>formal</w:t>
      </w:r>
      <w:r w:rsidR="00D430E9">
        <w:rPr>
          <w:rStyle w:val="IntenseEmphasis"/>
        </w:rPr>
        <w:t xml:space="preserve"> procedures </w:t>
      </w:r>
      <w:r w:rsidR="004F1F9B">
        <w:rPr>
          <w:rStyle w:val="IntenseEmphasis"/>
        </w:rPr>
        <w:t>for</w:t>
      </w:r>
      <w:r w:rsidR="00092DEA">
        <w:rPr>
          <w:rStyle w:val="IntenseEmphasis"/>
        </w:rPr>
        <w:t xml:space="preserve"> </w:t>
      </w:r>
      <w:r w:rsidRPr="00FD7F52">
        <w:rPr>
          <w:rStyle w:val="IntenseEmphasis"/>
        </w:rPr>
        <w:t xml:space="preserve">ICT </w:t>
      </w:r>
      <w:r w:rsidR="00D04F7D">
        <w:rPr>
          <w:rStyle w:val="IntenseEmphasis"/>
        </w:rPr>
        <w:t>d</w:t>
      </w:r>
      <w:r w:rsidRPr="00FD7F52">
        <w:rPr>
          <w:rStyle w:val="IntenseEmphasis"/>
        </w:rPr>
        <w:t xml:space="preserve">isaster </w:t>
      </w:r>
      <w:r w:rsidR="00D04F7D">
        <w:rPr>
          <w:rStyle w:val="IntenseEmphasis"/>
        </w:rPr>
        <w:t>r</w:t>
      </w:r>
      <w:r w:rsidRPr="00FD7F52">
        <w:rPr>
          <w:rStyle w:val="IntenseEmphasis"/>
        </w:rPr>
        <w:t>ecovery</w:t>
      </w:r>
      <w:r w:rsidR="00092DEA">
        <w:rPr>
          <w:rStyle w:val="IntenseEmphasis"/>
          <w:color w:val="003B60"/>
          <w14:textFill>
            <w14:solidFill>
              <w14:srgbClr w14:val="003B60">
                <w14:lumMod w14:val="50000"/>
              </w14:srgbClr>
            </w14:solidFill>
          </w14:textFill>
        </w:rPr>
        <w:t>.</w:t>
      </w:r>
    </w:p>
    <w:p w14:paraId="6866FE3A" w14:textId="16070D0B" w:rsidR="00BA09BC" w:rsidRDefault="681C06F2" w:rsidP="681C06F2">
      <w:pPr>
        <w:ind w:left="720"/>
        <w:rPr>
          <w:color w:val="000000"/>
        </w:rPr>
      </w:pPr>
      <w:r>
        <w:t>These procedures must ensure that c</w:t>
      </w:r>
      <w:r w:rsidRPr="681C06F2">
        <w:rPr>
          <w:rFonts w:asciiTheme="minorHAnsi" w:eastAsiaTheme="minorEastAsia" w:hAnsiTheme="minorHAnsi" w:cstheme="minorBidi"/>
        </w:rPr>
        <w:t>ritical business functions dependent on ICT have appropriate mechanisms in place to manage the relevant corporate risks.</w:t>
      </w:r>
      <w:r w:rsidRPr="681C06F2">
        <w:rPr>
          <w:color w:val="000000"/>
        </w:rPr>
        <w:t xml:space="preserve">  Agencies should have appropriate arrangements in place to:</w:t>
      </w:r>
    </w:p>
    <w:p w14:paraId="073DF531" w14:textId="278C2B80" w:rsidR="00BA09BC" w:rsidRDefault="681C06F2" w:rsidP="00DE0A84">
      <w:pPr>
        <w:pStyle w:val="ListParagraph"/>
        <w:numPr>
          <w:ilvl w:val="0"/>
          <w:numId w:val="40"/>
        </w:numPr>
      </w:pPr>
      <w:r w:rsidRPr="681C06F2">
        <w:rPr>
          <w:color w:val="000000"/>
        </w:rPr>
        <w:t>reduce the risk of disruption</w:t>
      </w:r>
      <w:r>
        <w:t xml:space="preserve"> to ICT services (</w:t>
      </w:r>
      <w:r w:rsidRPr="681C06F2">
        <w:rPr>
          <w:i/>
          <w:iCs/>
        </w:rPr>
        <w:t>prevention</w:t>
      </w:r>
      <w:r>
        <w:t>);</w:t>
      </w:r>
    </w:p>
    <w:p w14:paraId="6205B544" w14:textId="51978A5C" w:rsidR="00BA09BC" w:rsidRDefault="681C06F2" w:rsidP="00DE0A84">
      <w:pPr>
        <w:pStyle w:val="ListParagraph"/>
        <w:numPr>
          <w:ilvl w:val="0"/>
          <w:numId w:val="40"/>
        </w:numPr>
      </w:pPr>
      <w:r>
        <w:t>mitigate the consequences of disruptive events (</w:t>
      </w:r>
      <w:r w:rsidRPr="681C06F2">
        <w:rPr>
          <w:i/>
          <w:iCs/>
        </w:rPr>
        <w:t>prepare</w:t>
      </w:r>
      <w:r>
        <w:t>);</w:t>
      </w:r>
    </w:p>
    <w:p w14:paraId="0E784C9A" w14:textId="4E970FBA" w:rsidR="00BA09BC" w:rsidRDefault="681C06F2" w:rsidP="00DE0A84">
      <w:pPr>
        <w:pStyle w:val="ListParagraph"/>
        <w:numPr>
          <w:ilvl w:val="0"/>
          <w:numId w:val="40"/>
        </w:numPr>
      </w:pPr>
      <w:r>
        <w:t>respond to disruptive events (</w:t>
      </w:r>
      <w:r w:rsidRPr="681C06F2">
        <w:rPr>
          <w:i/>
          <w:iCs/>
        </w:rPr>
        <w:t>response</w:t>
      </w:r>
      <w:r>
        <w:t xml:space="preserve">); and </w:t>
      </w:r>
    </w:p>
    <w:p w14:paraId="33D82834" w14:textId="4E8F9BA1" w:rsidR="00C10247" w:rsidRPr="00633CB3" w:rsidRDefault="681C06F2" w:rsidP="00DE0A84">
      <w:pPr>
        <w:pStyle w:val="ListParagraph"/>
        <w:numPr>
          <w:ilvl w:val="0"/>
          <w:numId w:val="40"/>
        </w:numPr>
      </w:pPr>
      <w:proofErr w:type="gramStart"/>
      <w:r>
        <w:t>recover</w:t>
      </w:r>
      <w:proofErr w:type="gramEnd"/>
      <w:r>
        <w:t xml:space="preserve"> from  disruptive event</w:t>
      </w:r>
      <w:r w:rsidR="00FD74DB">
        <w:t>s</w:t>
      </w:r>
      <w:r>
        <w:t xml:space="preserve"> (</w:t>
      </w:r>
      <w:r w:rsidRPr="681C06F2">
        <w:rPr>
          <w:i/>
          <w:iCs/>
        </w:rPr>
        <w:t>recovery</w:t>
      </w:r>
      <w:r>
        <w:t>).</w:t>
      </w:r>
    </w:p>
    <w:p w14:paraId="56CA2F96" w14:textId="0302AD4D" w:rsidR="00B51311" w:rsidRPr="00214D27" w:rsidRDefault="681C06F2" w:rsidP="681C06F2">
      <w:pPr>
        <w:ind w:left="720"/>
        <w:rPr>
          <w:color w:val="000000"/>
        </w:rPr>
      </w:pPr>
      <w:r w:rsidRPr="681C06F2">
        <w:rPr>
          <w:color w:val="000000"/>
        </w:rPr>
        <w:t>These arrangements should:</w:t>
      </w:r>
    </w:p>
    <w:p w14:paraId="315C6E61" w14:textId="49E5E7FB" w:rsidR="00B51311" w:rsidRDefault="681C06F2" w:rsidP="681C06F2">
      <w:pPr>
        <w:pStyle w:val="ListParagraph"/>
        <w:numPr>
          <w:ilvl w:val="0"/>
          <w:numId w:val="33"/>
        </w:numPr>
        <w:rPr>
          <w:color w:val="000000"/>
        </w:rPr>
      </w:pPr>
      <w:r w:rsidRPr="681C06F2">
        <w:rPr>
          <w:color w:val="000000"/>
        </w:rPr>
        <w:t>include documented procedures (e.g. a disaster recovery plan) to restore ICT systems in the event of a disruption; and</w:t>
      </w:r>
    </w:p>
    <w:p w14:paraId="14B0B0D5" w14:textId="596EB1CA" w:rsidR="008339EA" w:rsidRDefault="681C06F2" w:rsidP="681C06F2">
      <w:pPr>
        <w:pStyle w:val="ListParagraph"/>
        <w:numPr>
          <w:ilvl w:val="0"/>
          <w:numId w:val="33"/>
        </w:numPr>
        <w:rPr>
          <w:color w:val="000000"/>
        </w:rPr>
      </w:pPr>
      <w:proofErr w:type="gramStart"/>
      <w:r w:rsidRPr="681C06F2">
        <w:rPr>
          <w:color w:val="000000"/>
        </w:rPr>
        <w:t>prioritise</w:t>
      </w:r>
      <w:proofErr w:type="gramEnd"/>
      <w:r w:rsidRPr="681C06F2">
        <w:rPr>
          <w:color w:val="000000"/>
        </w:rPr>
        <w:t xml:space="preserve"> system recovery on the basis of their importance to the business, as determined via consultation with business service owners.</w:t>
      </w:r>
    </w:p>
    <w:p w14:paraId="659AA1C3" w14:textId="4E0662B3" w:rsidR="000C3E0B" w:rsidRPr="00B82A1C" w:rsidRDefault="681C06F2" w:rsidP="00B82A1C">
      <w:pPr>
        <w:pStyle w:val="Heading2"/>
        <w:numPr>
          <w:ilvl w:val="0"/>
          <w:numId w:val="41"/>
        </w:numPr>
      </w:pPr>
      <w:r w:rsidRPr="00B82A1C">
        <w:t>Continuous Improvement</w:t>
      </w:r>
    </w:p>
    <w:p w14:paraId="7EF0FA97" w14:textId="30153DE6" w:rsidR="00B61ACC" w:rsidRDefault="00FB4B61" w:rsidP="681C06F2">
      <w:pPr>
        <w:keepNext/>
        <w:keepLines/>
        <w:ind w:left="720"/>
        <w:rPr>
          <w:rStyle w:val="IntenseEmphasis"/>
        </w:rPr>
      </w:pPr>
      <w:r w:rsidRPr="00DE0A84">
        <w:rPr>
          <w:rStyle w:val="IntenseEmphasis"/>
        </w:rPr>
        <w:t xml:space="preserve">Agencies </w:t>
      </w:r>
      <w:bookmarkStart w:id="0" w:name="_Ref468449531"/>
      <w:r w:rsidR="00B2557A" w:rsidRPr="00DE0A84">
        <w:rPr>
          <w:rStyle w:val="IntenseEmphasis"/>
        </w:rPr>
        <w:t xml:space="preserve">must </w:t>
      </w:r>
      <w:r w:rsidR="00D7002F" w:rsidRPr="00DE0A84">
        <w:rPr>
          <w:rStyle w:val="IntenseEmphasis"/>
        </w:rPr>
        <w:t xml:space="preserve">ensure </w:t>
      </w:r>
      <w:r w:rsidR="003761B1">
        <w:rPr>
          <w:rStyle w:val="IntenseEmphasis"/>
        </w:rPr>
        <w:t xml:space="preserve">that </w:t>
      </w:r>
      <w:r w:rsidR="00D04F7D">
        <w:rPr>
          <w:rStyle w:val="IntenseEmphasis"/>
        </w:rPr>
        <w:t xml:space="preserve">ICT </w:t>
      </w:r>
      <w:r w:rsidR="003761B1">
        <w:rPr>
          <w:rStyle w:val="IntenseEmphasis"/>
        </w:rPr>
        <w:t>disaster recovery arrangements include forma</w:t>
      </w:r>
      <w:r w:rsidR="00D04F7D">
        <w:rPr>
          <w:rStyle w:val="IntenseEmphasis"/>
        </w:rPr>
        <w:t>l</w:t>
      </w:r>
      <w:r w:rsidR="003761B1">
        <w:rPr>
          <w:rStyle w:val="IntenseEmphasis"/>
        </w:rPr>
        <w:t xml:space="preserve"> mechanisms</w:t>
      </w:r>
      <w:r w:rsidR="00D04F7D">
        <w:rPr>
          <w:rStyle w:val="IntenseEmphasis"/>
        </w:rPr>
        <w:t xml:space="preserve"> for continuous improvement.</w:t>
      </w:r>
    </w:p>
    <w:p w14:paraId="44669D54" w14:textId="76A43FFA" w:rsidR="00C433FA" w:rsidRPr="00DE0A84" w:rsidRDefault="681C06F2" w:rsidP="681C06F2">
      <w:pPr>
        <w:keepNext/>
        <w:keepLines/>
        <w:ind w:left="720"/>
        <w:rPr>
          <w:rStyle w:val="IntenseEmphasis"/>
        </w:rPr>
      </w:pPr>
      <w:r w:rsidRPr="681C06F2">
        <w:rPr>
          <w:rStyle w:val="IntenseEmphasis"/>
        </w:rPr>
        <w:t xml:space="preserve">ICT disaster recovery arrangements </w:t>
      </w:r>
      <w:proofErr w:type="gramStart"/>
      <w:r w:rsidRPr="681C06F2">
        <w:rPr>
          <w:rStyle w:val="IntenseEmphasis"/>
        </w:rPr>
        <w:t>must be routinely monitored, reviewed and tested</w:t>
      </w:r>
      <w:proofErr w:type="gramEnd"/>
      <w:r w:rsidRPr="681C06F2">
        <w:rPr>
          <w:rStyle w:val="IntenseEmphasis"/>
        </w:rPr>
        <w:t>.</w:t>
      </w:r>
    </w:p>
    <w:p w14:paraId="428A6A67" w14:textId="16375275" w:rsidR="00D7002F" w:rsidRDefault="681C06F2" w:rsidP="3BBD8CA1">
      <w:pPr>
        <w:keepNext/>
        <w:keepLines/>
        <w:ind w:left="720"/>
      </w:pPr>
      <w:r>
        <w:t xml:space="preserve">Disaster recovery arrangements </w:t>
      </w:r>
      <w:proofErr w:type="gramStart"/>
      <w:r>
        <w:t>should be updated</w:t>
      </w:r>
      <w:proofErr w:type="gramEnd"/>
      <w:r>
        <w:t xml:space="preserve"> in response to the findings of tests, changing organisational needs and evolving business processes.</w:t>
      </w:r>
    </w:p>
    <w:p w14:paraId="4ACBEAD3" w14:textId="415478BB" w:rsidR="00C433FA" w:rsidRPr="00633CB3" w:rsidRDefault="00FA256C" w:rsidP="00D77B63">
      <w:pPr>
        <w:keepNext/>
        <w:keepLines/>
        <w:ind w:left="720"/>
      </w:pPr>
      <w:r>
        <w:t>Agenc</w:t>
      </w:r>
      <w:r w:rsidR="001B24A9">
        <w:t>ies</w:t>
      </w:r>
      <w:r>
        <w:t xml:space="preserve"> </w:t>
      </w:r>
      <w:r w:rsidR="001B24A9">
        <w:t xml:space="preserve">should adopt a risk-based approach to their </w:t>
      </w:r>
      <w:r w:rsidRPr="0028762C">
        <w:t xml:space="preserve">ICT disaster recovery </w:t>
      </w:r>
      <w:r>
        <w:t>arrangements</w:t>
      </w:r>
      <w:r w:rsidR="008B55B2">
        <w:t>,</w:t>
      </w:r>
      <w:r>
        <w:t xml:space="preserve"> </w:t>
      </w:r>
      <w:r w:rsidR="001B24A9">
        <w:t xml:space="preserve">which </w:t>
      </w:r>
      <w:r>
        <w:t>should reviewed and approved by the corporate risk management body</w:t>
      </w:r>
      <w:r w:rsidR="001B24A9" w:rsidDel="00A258CB">
        <w:t xml:space="preserve"> </w:t>
      </w:r>
      <w:r w:rsidR="001B24A9">
        <w:t>annually</w:t>
      </w:r>
      <w:r>
        <w:t>.</w:t>
      </w:r>
    </w:p>
    <w:p w14:paraId="0B69BBF8" w14:textId="77777777" w:rsidR="00F87E2C" w:rsidRPr="000F5FA4" w:rsidRDefault="681C06F2" w:rsidP="00F87E2C">
      <w:pPr>
        <w:pStyle w:val="Heading1"/>
        <w:ind w:left="709" w:hanging="709"/>
      </w:pPr>
      <w:r>
        <w:t>Relevant Policy Obligations</w:t>
      </w:r>
    </w:p>
    <w:p w14:paraId="725CCDB1" w14:textId="77777777" w:rsidR="00F87E2C" w:rsidRDefault="681C06F2" w:rsidP="00F87E2C">
      <w:r>
        <w:t xml:space="preserve">Agencies are required to comply with this Policy as per </w:t>
      </w:r>
      <w:hyperlink r:id="rId17">
        <w:r w:rsidRPr="681C06F2">
          <w:rPr>
            <w:rStyle w:val="Hyperlink"/>
            <w:i/>
            <w:iCs/>
          </w:rPr>
          <w:t>Premier’s Circular 2016/03: Mandatory Implementation of Whole of Government Information and Communications Technology (ICT) Strategy and Associated Policies</w:t>
        </w:r>
      </w:hyperlink>
      <w:r>
        <w:t xml:space="preserve">. </w:t>
      </w:r>
    </w:p>
    <w:p w14:paraId="6D4BECC5" w14:textId="77777777" w:rsidR="00F87E2C" w:rsidRPr="009D2DD8" w:rsidRDefault="681C06F2" w:rsidP="681C06F2">
      <w:pPr>
        <w:ind w:left="720"/>
        <w:rPr>
          <w:i/>
          <w:iCs/>
        </w:rPr>
      </w:pPr>
      <w:r w:rsidRPr="681C06F2">
        <w:rPr>
          <w:i/>
          <w:iCs/>
        </w:rPr>
        <w:t xml:space="preserve">All Western Australian state government agencies </w:t>
      </w:r>
      <w:proofErr w:type="gramStart"/>
      <w:r w:rsidRPr="681C06F2">
        <w:rPr>
          <w:i/>
          <w:iCs/>
        </w:rPr>
        <w:t>are expected</w:t>
      </w:r>
      <w:proofErr w:type="gramEnd"/>
      <w:r w:rsidRPr="681C06F2">
        <w:rPr>
          <w:i/>
          <w:iCs/>
        </w:rPr>
        <w:t xml:space="preserve"> to apply the principles and requirements contained within the strategy and policies into all current and future projects as well as normal operational procedures and practices.</w:t>
      </w:r>
    </w:p>
    <w:p w14:paraId="14C729F2" w14:textId="77777777" w:rsidR="00F87E2C" w:rsidRDefault="681C06F2" w:rsidP="00F87E2C">
      <w:r>
        <w:t>The Public Sector Commission and the Department of Treasury mandate the following generalised business continuity and risk management obligations for the public sector.</w:t>
      </w:r>
    </w:p>
    <w:p w14:paraId="37A0DD71" w14:textId="77777777" w:rsidR="00F87E2C" w:rsidRDefault="00B82A1C" w:rsidP="00F87E2C">
      <w:hyperlink r:id="rId18">
        <w:r w:rsidR="681C06F2" w:rsidRPr="681C06F2">
          <w:rPr>
            <w:rStyle w:val="Hyperlink"/>
            <w:i/>
            <w:iCs/>
          </w:rPr>
          <w:t>Public Sector Commissioner's Circular: 2015-03 Risk Management and Business Continuity Planning</w:t>
        </w:r>
      </w:hyperlink>
      <w:r w:rsidR="681C06F2">
        <w:t xml:space="preserve"> stipulates that:</w:t>
      </w:r>
    </w:p>
    <w:p w14:paraId="315BF831" w14:textId="77777777" w:rsidR="00F87E2C" w:rsidRPr="004908D2" w:rsidRDefault="681C06F2" w:rsidP="681C06F2">
      <w:pPr>
        <w:ind w:left="720"/>
        <w:rPr>
          <w:i/>
          <w:iCs/>
        </w:rPr>
      </w:pPr>
      <w:r w:rsidRPr="681C06F2">
        <w:rPr>
          <w:i/>
          <w:iCs/>
        </w:rPr>
        <w:t>All public sector bodies should manage the risks associated with the activities performed by their organisation. This involves prudently conducting risk assessment processes to identify the risks facing organisations, being able to demonstrate the management of risks and having continuity plans to ensure they can respond to and recover from any business disruption.</w:t>
      </w:r>
    </w:p>
    <w:p w14:paraId="304D35DC" w14:textId="77777777" w:rsidR="00F87E2C" w:rsidRPr="004908D2" w:rsidRDefault="681C06F2" w:rsidP="681C06F2">
      <w:pPr>
        <w:ind w:left="720"/>
        <w:rPr>
          <w:i/>
          <w:iCs/>
        </w:rPr>
      </w:pPr>
      <w:r w:rsidRPr="681C06F2">
        <w:rPr>
          <w:i/>
          <w:iCs/>
        </w:rPr>
        <w:t xml:space="preserve">Public sector bodies should ensure policies and continuity plans </w:t>
      </w:r>
      <w:proofErr w:type="gramStart"/>
      <w:r w:rsidRPr="681C06F2">
        <w:rPr>
          <w:i/>
          <w:iCs/>
        </w:rPr>
        <w:t>are maintained</w:t>
      </w:r>
      <w:proofErr w:type="gramEnd"/>
      <w:r w:rsidRPr="681C06F2">
        <w:rPr>
          <w:i/>
          <w:iCs/>
        </w:rPr>
        <w:t xml:space="preserve"> to ensure they are up to date with the activities performed by their organisation.</w:t>
      </w:r>
    </w:p>
    <w:p w14:paraId="1D180C65" w14:textId="77777777" w:rsidR="00F87E2C" w:rsidRDefault="00B82A1C" w:rsidP="681C06F2">
      <w:pPr>
        <w:spacing w:after="0" w:afterAutospacing="0"/>
        <w:jc w:val="left"/>
      </w:pPr>
      <w:hyperlink r:id="rId19">
        <w:r w:rsidR="681C06F2" w:rsidRPr="681C06F2">
          <w:rPr>
            <w:rStyle w:val="Hyperlink"/>
            <w:i/>
            <w:iCs/>
          </w:rPr>
          <w:t>Treasurer’s Instruction 825: Risk management and Security</w:t>
        </w:r>
      </w:hyperlink>
      <w:r w:rsidR="681C06F2">
        <w:t xml:space="preserve"> stipulates that the </w:t>
      </w:r>
    </w:p>
    <w:p w14:paraId="3EA03F81" w14:textId="77777777" w:rsidR="00F87E2C" w:rsidRPr="004908D2" w:rsidRDefault="681C06F2" w:rsidP="681C06F2">
      <w:pPr>
        <w:ind w:left="720"/>
        <w:rPr>
          <w:i/>
          <w:iCs/>
        </w:rPr>
      </w:pPr>
      <w:r w:rsidRPr="681C06F2">
        <w:rPr>
          <w:i/>
          <w:iCs/>
        </w:rPr>
        <w:t>Accountable authority shall ensure that:</w:t>
      </w:r>
    </w:p>
    <w:p w14:paraId="24B11646" w14:textId="77777777" w:rsidR="00F87E2C" w:rsidRPr="003309B5" w:rsidRDefault="681C06F2" w:rsidP="681C06F2">
      <w:pPr>
        <w:pStyle w:val="ListParagraph"/>
        <w:numPr>
          <w:ilvl w:val="0"/>
          <w:numId w:val="11"/>
        </w:numPr>
        <w:spacing w:before="100"/>
        <w:jc w:val="left"/>
        <w:rPr>
          <w:i/>
          <w:iCs/>
        </w:rPr>
      </w:pPr>
      <w:r w:rsidRPr="681C06F2">
        <w:rPr>
          <w:i/>
          <w:iCs/>
        </w:rPr>
        <w:t>there are procedures in place for the periodic assessment, identification, and treatment of risks inherent in the operations of the agency; and</w:t>
      </w:r>
    </w:p>
    <w:p w14:paraId="38B0502D" w14:textId="77777777" w:rsidR="00F87E2C" w:rsidRPr="003309B5" w:rsidRDefault="681C06F2" w:rsidP="681C06F2">
      <w:pPr>
        <w:pStyle w:val="ListParagraph"/>
        <w:numPr>
          <w:ilvl w:val="0"/>
          <w:numId w:val="11"/>
        </w:numPr>
        <w:spacing w:before="100"/>
        <w:jc w:val="left"/>
        <w:rPr>
          <w:i/>
          <w:iCs/>
        </w:rPr>
      </w:pPr>
      <w:proofErr w:type="gramStart"/>
      <w:r w:rsidRPr="681C06F2">
        <w:rPr>
          <w:i/>
          <w:iCs/>
        </w:rPr>
        <w:t>suitable</w:t>
      </w:r>
      <w:proofErr w:type="gramEnd"/>
      <w:r w:rsidRPr="681C06F2">
        <w:rPr>
          <w:i/>
          <w:iCs/>
        </w:rPr>
        <w:t xml:space="preserve"> risk management policies and practices are developed.</w:t>
      </w:r>
    </w:p>
    <w:p w14:paraId="5F009288" w14:textId="4F67AE8E" w:rsidR="00F87E2C" w:rsidRPr="0032770F" w:rsidRDefault="681C06F2" w:rsidP="681C06F2">
      <w:pPr>
        <w:rPr>
          <w:rFonts w:eastAsia="Arial,"/>
        </w:rPr>
      </w:pPr>
      <w:r>
        <w:t xml:space="preserve">The </w:t>
      </w:r>
      <w:r w:rsidRPr="006874F3">
        <w:t>Policy is an ICT disaster recovery specific supplement to these existing policy obligations.</w:t>
      </w:r>
    </w:p>
    <w:p w14:paraId="0F279AAE" w14:textId="63631710" w:rsidR="004618D9" w:rsidRDefault="681C06F2" w:rsidP="00DE0A84">
      <w:pPr>
        <w:pStyle w:val="Heading1"/>
      </w:pPr>
      <w:r>
        <w:t>Standards</w:t>
      </w:r>
    </w:p>
    <w:p w14:paraId="05DFD25A" w14:textId="5E27DD48" w:rsidR="00F87E2C" w:rsidRDefault="681C06F2" w:rsidP="00DE0A84">
      <w:pPr>
        <w:keepNext/>
        <w:keepLines/>
      </w:pPr>
      <w:r>
        <w:t xml:space="preserve">The Policy </w:t>
      </w:r>
      <w:proofErr w:type="gramStart"/>
      <w:r>
        <w:t>is designed</w:t>
      </w:r>
      <w:proofErr w:type="gramEnd"/>
      <w:r>
        <w:t xml:space="preserve"> to be applied in conjunction with agencies’ existing policy obligations and be compatible with a broad range of business continuity and</w:t>
      </w:r>
      <w:r w:rsidR="00FD74DB">
        <w:t xml:space="preserve"> ICT</w:t>
      </w:r>
      <w:r>
        <w:t xml:space="preserve"> disaster recovery standards.  In acknowledgement of the variety</w:t>
      </w:r>
      <w:bookmarkStart w:id="1" w:name="_GoBack"/>
      <w:bookmarkEnd w:id="1"/>
      <w:r>
        <w:t xml:space="preserve"> and diversity of agency requirements, no standards </w:t>
      </w:r>
      <w:proofErr w:type="gramStart"/>
      <w:r>
        <w:t>are mandated</w:t>
      </w:r>
      <w:proofErr w:type="gramEnd"/>
      <w:r>
        <w:t xml:space="preserve"> by this Policy.  Notwithstanding, agencies should adopt and implement disaster recovery and business continuity standards that are:</w:t>
      </w:r>
    </w:p>
    <w:p w14:paraId="6228DCE0" w14:textId="77777777" w:rsidR="00F87E2C" w:rsidRDefault="681C06F2" w:rsidP="00DE0A84">
      <w:pPr>
        <w:pStyle w:val="ListParagraph"/>
        <w:keepNext/>
        <w:numPr>
          <w:ilvl w:val="0"/>
          <w:numId w:val="36"/>
        </w:numPr>
      </w:pPr>
      <w:r>
        <w:t>appropriate to their unique circumstances;</w:t>
      </w:r>
    </w:p>
    <w:p w14:paraId="70709378" w14:textId="46A875DC" w:rsidR="00F87E2C" w:rsidRDefault="681C06F2" w:rsidP="00DE0A84">
      <w:pPr>
        <w:pStyle w:val="ListParagraph"/>
        <w:keepNext/>
        <w:numPr>
          <w:ilvl w:val="0"/>
          <w:numId w:val="36"/>
        </w:numPr>
      </w:pPr>
      <w:r>
        <w:t>aligned to industry best practices; and</w:t>
      </w:r>
    </w:p>
    <w:p w14:paraId="3B32E35C" w14:textId="0CE524C9" w:rsidR="004618D9" w:rsidRDefault="681C06F2" w:rsidP="00DE0A84">
      <w:pPr>
        <w:pStyle w:val="ListParagraph"/>
        <w:keepNext/>
        <w:numPr>
          <w:ilvl w:val="0"/>
          <w:numId w:val="36"/>
        </w:numPr>
      </w:pPr>
      <w:proofErr w:type="gramStart"/>
      <w:r>
        <w:t>aligned</w:t>
      </w:r>
      <w:proofErr w:type="gramEnd"/>
      <w:r>
        <w:t xml:space="preserve"> with the requirements of this policy.</w:t>
      </w:r>
    </w:p>
    <w:bookmarkEnd w:id="0"/>
    <w:p w14:paraId="1DADCAD2" w14:textId="2F4A93D6" w:rsidR="001C23C8" w:rsidRDefault="681C06F2" w:rsidP="004618D9">
      <w:pPr>
        <w:pStyle w:val="Heading1"/>
      </w:pPr>
      <w:r>
        <w:t>Reporting</w:t>
      </w:r>
    </w:p>
    <w:p w14:paraId="039FE1D7" w14:textId="461DAB5D" w:rsidR="004558D0" w:rsidRDefault="681C06F2" w:rsidP="008A04EE">
      <w:r>
        <w:t>Self-assessment of compliance with this Policy will be included within agencies’ annual reporting requirements to the Office of the GCIO.</w:t>
      </w:r>
    </w:p>
    <w:p w14:paraId="5B163F66" w14:textId="27A7A1C4" w:rsidR="001C23C8" w:rsidRPr="008A04EE" w:rsidRDefault="681C06F2" w:rsidP="008A04EE">
      <w:r>
        <w:t xml:space="preserve">Agencies </w:t>
      </w:r>
      <w:proofErr w:type="gramStart"/>
      <w:r>
        <w:t>may also be assessed</w:t>
      </w:r>
      <w:proofErr w:type="gramEnd"/>
      <w:r>
        <w:t xml:space="preserve"> as part of the Auditor General’s annual Systems Audit Report.</w:t>
      </w:r>
    </w:p>
    <w:p w14:paraId="764CE89E" w14:textId="77777777" w:rsidR="00564FCA" w:rsidRPr="00E2223F" w:rsidRDefault="681C06F2" w:rsidP="004618D9">
      <w:pPr>
        <w:pStyle w:val="Heading1"/>
      </w:pPr>
      <w:r>
        <w:t>Supporting Material</w:t>
      </w:r>
    </w:p>
    <w:p w14:paraId="7F84E5CA" w14:textId="77777777" w:rsidR="00564FCA" w:rsidRDefault="681C06F2" w:rsidP="00E2223F">
      <w:proofErr w:type="spellStart"/>
      <w:r>
        <w:t>RiskCover</w:t>
      </w:r>
      <w:proofErr w:type="spellEnd"/>
      <w:r>
        <w:t xml:space="preserve"> publishes both Risk Management Guidelines and Business Continuity Management Guidelines for the public sector.</w:t>
      </w:r>
    </w:p>
    <w:p w14:paraId="4565FCD7" w14:textId="202081A7" w:rsidR="008A04EE" w:rsidRDefault="681C06F2" w:rsidP="00E2223F">
      <w:r>
        <w:t xml:space="preserve">These are available at </w:t>
      </w:r>
      <w:hyperlink r:id="rId20">
        <w:r w:rsidRPr="681C06F2">
          <w:rPr>
            <w:rStyle w:val="Hyperlink"/>
          </w:rPr>
          <w:t>https://www.icwa.wa.gov.au/riskcover/risk-management</w:t>
        </w:r>
      </w:hyperlink>
      <w:r>
        <w:t>.</w:t>
      </w:r>
    </w:p>
    <w:p w14:paraId="67C02305" w14:textId="2CC84A0D" w:rsidR="009F436C" w:rsidRPr="00C80B2A" w:rsidRDefault="681C06F2" w:rsidP="2C78F1D4">
      <w:pPr>
        <w:rPr>
          <w:szCs w:val="22"/>
        </w:rPr>
      </w:pPr>
      <w:r>
        <w:t>A supplementary guide, that assist</w:t>
      </w:r>
      <w:r w:rsidR="00DB4A58">
        <w:t>s</w:t>
      </w:r>
      <w:r>
        <w:t xml:space="preserve"> agencies in understanding and meeting the Policy requirements, is available from the Office of the GCIO website at </w:t>
      </w:r>
      <w:hyperlink r:id="rId21">
        <w:r w:rsidRPr="681C06F2">
          <w:rPr>
            <w:rStyle w:val="Hyperlink"/>
          </w:rPr>
          <w:t>www.gcio.wa.gov.au</w:t>
        </w:r>
      </w:hyperlink>
      <w:r>
        <w:t>.</w:t>
      </w:r>
    </w:p>
    <w:sectPr w:rsidR="009F436C" w:rsidRPr="00C80B2A" w:rsidSect="008E31D4">
      <w:footerReference w:type="default" r:id="rId22"/>
      <w:pgSz w:w="11907" w:h="16839" w:code="9"/>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C25E7" w14:textId="77777777" w:rsidR="000F5C9B" w:rsidRDefault="000F5C9B" w:rsidP="00762007">
      <w:r>
        <w:separator/>
      </w:r>
    </w:p>
  </w:endnote>
  <w:endnote w:type="continuationSeparator" w:id="0">
    <w:p w14:paraId="66BB4E58" w14:textId="77777777" w:rsidR="000F5C9B" w:rsidRDefault="000F5C9B" w:rsidP="00762007">
      <w:r>
        <w:continuationSeparator/>
      </w:r>
    </w:p>
  </w:endnote>
  <w:endnote w:type="continuationNotice" w:id="1">
    <w:p w14:paraId="794C0F67" w14:textId="77777777" w:rsidR="000F5C9B" w:rsidRDefault="000F5C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E96A5" w14:textId="77777777" w:rsidR="008705AD" w:rsidRPr="004365F0" w:rsidRDefault="008705AD" w:rsidP="003477BB">
    <w:pPr>
      <w:pStyle w:val="Footer"/>
      <w:tabs>
        <w:tab w:val="clear" w:pos="9026"/>
        <w:tab w:val="right" w:pos="9356"/>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07378068"/>
      <w:docPartObj>
        <w:docPartGallery w:val="Page Numbers (Bottom of Page)"/>
        <w:docPartUnique/>
      </w:docPartObj>
    </w:sdtPr>
    <w:sdtEndPr/>
    <w:sdtContent>
      <w:p w14:paraId="1D028E19" w14:textId="6F968075" w:rsidR="008705AD" w:rsidRPr="000C3E0B" w:rsidRDefault="681C06F2" w:rsidP="681C06F2">
        <w:pPr>
          <w:pStyle w:val="Footer"/>
          <w:jc w:val="right"/>
          <w:rPr>
            <w:sz w:val="18"/>
            <w:szCs w:val="18"/>
          </w:rPr>
        </w:pPr>
        <w:r w:rsidRPr="681C06F2">
          <w:rPr>
            <w:sz w:val="18"/>
            <w:szCs w:val="18"/>
          </w:rPr>
          <w:t xml:space="preserve">Page </w:t>
        </w:r>
        <w:r w:rsidR="008705AD" w:rsidRPr="681C06F2">
          <w:rPr>
            <w:noProof/>
            <w:sz w:val="18"/>
            <w:szCs w:val="18"/>
          </w:rPr>
          <w:fldChar w:fldCharType="begin"/>
        </w:r>
        <w:r w:rsidR="008705AD" w:rsidRPr="681C06F2">
          <w:rPr>
            <w:noProof/>
            <w:sz w:val="18"/>
            <w:szCs w:val="18"/>
          </w:rPr>
          <w:instrText xml:space="preserve"> PAGE   \* MERGEFORMAT </w:instrText>
        </w:r>
        <w:r w:rsidR="008705AD" w:rsidRPr="681C06F2">
          <w:rPr>
            <w:noProof/>
            <w:sz w:val="18"/>
            <w:szCs w:val="18"/>
          </w:rPr>
          <w:fldChar w:fldCharType="separate"/>
        </w:r>
        <w:r w:rsidR="00B82A1C">
          <w:rPr>
            <w:noProof/>
            <w:sz w:val="18"/>
            <w:szCs w:val="18"/>
          </w:rPr>
          <w:t>5</w:t>
        </w:r>
        <w:r w:rsidR="008705AD" w:rsidRPr="681C06F2">
          <w:rPr>
            <w:noProof/>
            <w:sz w:val="18"/>
            <w:szCs w:val="18"/>
          </w:rPr>
          <w:fldChar w:fldCharType="end"/>
        </w:r>
        <w:r w:rsidRPr="681C06F2">
          <w:rPr>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958D2" w14:textId="77777777" w:rsidR="000F5C9B" w:rsidRDefault="000F5C9B" w:rsidP="00762007">
      <w:r>
        <w:separator/>
      </w:r>
    </w:p>
  </w:footnote>
  <w:footnote w:type="continuationSeparator" w:id="0">
    <w:p w14:paraId="4F38BB98" w14:textId="77777777" w:rsidR="000F5C9B" w:rsidRDefault="000F5C9B" w:rsidP="00762007">
      <w:r>
        <w:continuationSeparator/>
      </w:r>
    </w:p>
  </w:footnote>
  <w:footnote w:type="continuationNotice" w:id="1">
    <w:p w14:paraId="5ABA0A0B" w14:textId="77777777" w:rsidR="000F5C9B" w:rsidRDefault="000F5C9B">
      <w:pPr>
        <w:spacing w:after="0"/>
      </w:pPr>
    </w:p>
  </w:footnote>
  <w:footnote w:id="2">
    <w:p w14:paraId="3C3A1449" w14:textId="77777777" w:rsidR="008705AD" w:rsidRDefault="008705AD" w:rsidP="3BBD8CA1">
      <w:pPr>
        <w:pStyle w:val="FootnoteText"/>
      </w:pPr>
      <w:r>
        <w:rPr>
          <w:rStyle w:val="FootnoteReference"/>
        </w:rPr>
        <w:footnoteRef/>
      </w:r>
      <w:r w:rsidRPr="3BBD8CA1">
        <w:t xml:space="preserve"> </w:t>
      </w:r>
      <w:r w:rsidRPr="681C06F2">
        <w:rPr>
          <w:i/>
          <w:iCs/>
        </w:rPr>
        <w:t>Systems Audit Report</w:t>
      </w:r>
      <w:r w:rsidRPr="00032014">
        <w:t>, Office of the Auditor General, June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B59"/>
    <w:multiLevelType w:val="hybridMultilevel"/>
    <w:tmpl w:val="CD748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0F6725"/>
    <w:multiLevelType w:val="hybridMultilevel"/>
    <w:tmpl w:val="80D27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87515B"/>
    <w:multiLevelType w:val="hybridMultilevel"/>
    <w:tmpl w:val="C7B6062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9106871"/>
    <w:multiLevelType w:val="hybridMultilevel"/>
    <w:tmpl w:val="22300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FA000B"/>
    <w:multiLevelType w:val="hybridMultilevel"/>
    <w:tmpl w:val="AA7CD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4871E2"/>
    <w:multiLevelType w:val="hybridMultilevel"/>
    <w:tmpl w:val="94D05C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FF5D45"/>
    <w:multiLevelType w:val="hybridMultilevel"/>
    <w:tmpl w:val="D0F845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06F0A00"/>
    <w:multiLevelType w:val="hybridMultilevel"/>
    <w:tmpl w:val="B0786DF8"/>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8" w15:restartNumberingAfterBreak="0">
    <w:nsid w:val="24ED4D06"/>
    <w:multiLevelType w:val="hybridMultilevel"/>
    <w:tmpl w:val="43B4D0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76058AE"/>
    <w:multiLevelType w:val="hybridMultilevel"/>
    <w:tmpl w:val="C58049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76643F"/>
    <w:multiLevelType w:val="hybridMultilevel"/>
    <w:tmpl w:val="B2029D86"/>
    <w:lvl w:ilvl="0" w:tplc="A942DBB6">
      <w:start w:val="1"/>
      <w:numFmt w:val="bullet"/>
      <w:pStyle w:val="ListParagraph"/>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CD0C1A"/>
    <w:multiLevelType w:val="hybridMultilevel"/>
    <w:tmpl w:val="C3E47552"/>
    <w:lvl w:ilvl="0" w:tplc="0C090001">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12" w15:restartNumberingAfterBreak="0">
    <w:nsid w:val="2D58528A"/>
    <w:multiLevelType w:val="hybridMultilevel"/>
    <w:tmpl w:val="6BB698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B33278"/>
    <w:multiLevelType w:val="multilevel"/>
    <w:tmpl w:val="A934D78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99467B"/>
    <w:multiLevelType w:val="hybridMultilevel"/>
    <w:tmpl w:val="30FEF78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AB90A4F"/>
    <w:multiLevelType w:val="hybridMultilevel"/>
    <w:tmpl w:val="57F0E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3F2ACA"/>
    <w:multiLevelType w:val="hybridMultilevel"/>
    <w:tmpl w:val="9852F4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2A45A50"/>
    <w:multiLevelType w:val="hybridMultilevel"/>
    <w:tmpl w:val="41A6031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171D2C"/>
    <w:multiLevelType w:val="hybridMultilevel"/>
    <w:tmpl w:val="8C22747A"/>
    <w:lvl w:ilvl="0" w:tplc="44469FD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2F44FB"/>
    <w:multiLevelType w:val="hybridMultilevel"/>
    <w:tmpl w:val="393C122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7135B05"/>
    <w:multiLevelType w:val="hybridMultilevel"/>
    <w:tmpl w:val="1B04A6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5DC1B58"/>
    <w:multiLevelType w:val="hybridMultilevel"/>
    <w:tmpl w:val="52D667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682764C"/>
    <w:multiLevelType w:val="hybridMultilevel"/>
    <w:tmpl w:val="AD7A9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B63723"/>
    <w:multiLevelType w:val="hybridMultilevel"/>
    <w:tmpl w:val="487E82C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88122BA"/>
    <w:multiLevelType w:val="multilevel"/>
    <w:tmpl w:val="D2C8C844"/>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EB0CB8"/>
    <w:multiLevelType w:val="hybridMultilevel"/>
    <w:tmpl w:val="36C8F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65020C"/>
    <w:multiLevelType w:val="multilevel"/>
    <w:tmpl w:val="46F6B9AE"/>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6D063AF1"/>
    <w:multiLevelType w:val="multilevel"/>
    <w:tmpl w:val="BBE0FA42"/>
    <w:styleLink w:val="WWNum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6F2D67EA"/>
    <w:multiLevelType w:val="hybridMultilevel"/>
    <w:tmpl w:val="8BE8CE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20"/>
  </w:num>
  <w:num w:numId="3">
    <w:abstractNumId w:val="28"/>
  </w:num>
  <w:num w:numId="4">
    <w:abstractNumId w:val="4"/>
  </w:num>
  <w:num w:numId="5">
    <w:abstractNumId w:val="23"/>
  </w:num>
  <w:num w:numId="6">
    <w:abstractNumId w:val="3"/>
  </w:num>
  <w:num w:numId="7">
    <w:abstractNumId w:val="25"/>
  </w:num>
  <w:num w:numId="8">
    <w:abstractNumId w:val="13"/>
  </w:num>
  <w:num w:numId="9">
    <w:abstractNumId w:val="26"/>
  </w:num>
  <w:num w:numId="10">
    <w:abstractNumId w:val="27"/>
  </w:num>
  <w:num w:numId="11">
    <w:abstractNumId w:val="14"/>
  </w:num>
  <w:num w:numId="12">
    <w:abstractNumId w:val="5"/>
  </w:num>
  <w:num w:numId="13">
    <w:abstractNumId w:val="17"/>
  </w:num>
  <w:num w:numId="14">
    <w:abstractNumId w:val="19"/>
  </w:num>
  <w:num w:numId="15">
    <w:abstractNumId w:val="24"/>
  </w:num>
  <w:num w:numId="16">
    <w:abstractNumId w:val="24"/>
  </w:num>
  <w:num w:numId="17">
    <w:abstractNumId w:val="18"/>
  </w:num>
  <w:num w:numId="18">
    <w:abstractNumId w:val="9"/>
  </w:num>
  <w:num w:numId="19">
    <w:abstractNumId w:val="24"/>
  </w:num>
  <w:num w:numId="20">
    <w:abstractNumId w:val="2"/>
  </w:num>
  <w:num w:numId="21">
    <w:abstractNumId w:val="0"/>
  </w:num>
  <w:num w:numId="22">
    <w:abstractNumId w:val="16"/>
  </w:num>
  <w:num w:numId="23">
    <w:abstractNumId w:val="24"/>
  </w:num>
  <w:num w:numId="24">
    <w:abstractNumId w:val="24"/>
  </w:num>
  <w:num w:numId="25">
    <w:abstractNumId w:val="24"/>
  </w:num>
  <w:num w:numId="26">
    <w:abstractNumId w:val="10"/>
  </w:num>
  <w:num w:numId="27">
    <w:abstractNumId w:val="10"/>
  </w:num>
  <w:num w:numId="28">
    <w:abstractNumId w:val="1"/>
  </w:num>
  <w:num w:numId="29">
    <w:abstractNumId w:val="22"/>
  </w:num>
  <w:num w:numId="30">
    <w:abstractNumId w:val="10"/>
  </w:num>
  <w:num w:numId="31">
    <w:abstractNumId w:val="10"/>
  </w:num>
  <w:num w:numId="32">
    <w:abstractNumId w:val="10"/>
  </w:num>
  <w:num w:numId="33">
    <w:abstractNumId w:val="8"/>
  </w:num>
  <w:num w:numId="34">
    <w:abstractNumId w:val="6"/>
  </w:num>
  <w:num w:numId="35">
    <w:abstractNumId w:val="10"/>
  </w:num>
  <w:num w:numId="36">
    <w:abstractNumId w:val="15"/>
  </w:num>
  <w:num w:numId="37">
    <w:abstractNumId w:val="24"/>
  </w:num>
  <w:num w:numId="38">
    <w:abstractNumId w:val="12"/>
  </w:num>
  <w:num w:numId="39">
    <w:abstractNumId w:val="7"/>
  </w:num>
  <w:num w:numId="40">
    <w:abstractNumId w:val="11"/>
  </w:num>
  <w:num w:numId="41">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FA"/>
    <w:rsid w:val="00000045"/>
    <w:rsid w:val="00000D95"/>
    <w:rsid w:val="000010D6"/>
    <w:rsid w:val="00001577"/>
    <w:rsid w:val="000023D5"/>
    <w:rsid w:val="00002A26"/>
    <w:rsid w:val="000049FE"/>
    <w:rsid w:val="000051A4"/>
    <w:rsid w:val="00011B9F"/>
    <w:rsid w:val="000125E7"/>
    <w:rsid w:val="00013F8F"/>
    <w:rsid w:val="000218A6"/>
    <w:rsid w:val="00021E56"/>
    <w:rsid w:val="00022683"/>
    <w:rsid w:val="00022949"/>
    <w:rsid w:val="000247FA"/>
    <w:rsid w:val="00027719"/>
    <w:rsid w:val="00027727"/>
    <w:rsid w:val="00027A91"/>
    <w:rsid w:val="00027D75"/>
    <w:rsid w:val="00030219"/>
    <w:rsid w:val="00032014"/>
    <w:rsid w:val="00032B55"/>
    <w:rsid w:val="000355EA"/>
    <w:rsid w:val="00036CDE"/>
    <w:rsid w:val="0004034F"/>
    <w:rsid w:val="0004145F"/>
    <w:rsid w:val="00042EBA"/>
    <w:rsid w:val="00050ECC"/>
    <w:rsid w:val="000520C0"/>
    <w:rsid w:val="00057AA3"/>
    <w:rsid w:val="00057AA8"/>
    <w:rsid w:val="00060179"/>
    <w:rsid w:val="000601F7"/>
    <w:rsid w:val="000644C0"/>
    <w:rsid w:val="00066F1C"/>
    <w:rsid w:val="00070BE6"/>
    <w:rsid w:val="00073AF4"/>
    <w:rsid w:val="000769FA"/>
    <w:rsid w:val="00081453"/>
    <w:rsid w:val="00083349"/>
    <w:rsid w:val="000875EB"/>
    <w:rsid w:val="00087BD4"/>
    <w:rsid w:val="00092DEA"/>
    <w:rsid w:val="00093ADE"/>
    <w:rsid w:val="000A2545"/>
    <w:rsid w:val="000A447F"/>
    <w:rsid w:val="000B2231"/>
    <w:rsid w:val="000B40E0"/>
    <w:rsid w:val="000C25A0"/>
    <w:rsid w:val="000C2688"/>
    <w:rsid w:val="000C27C9"/>
    <w:rsid w:val="000C292E"/>
    <w:rsid w:val="000C2CB8"/>
    <w:rsid w:val="000C3E0B"/>
    <w:rsid w:val="000C542B"/>
    <w:rsid w:val="000C5C9C"/>
    <w:rsid w:val="000C62CD"/>
    <w:rsid w:val="000C75FF"/>
    <w:rsid w:val="000D047F"/>
    <w:rsid w:val="000D26A4"/>
    <w:rsid w:val="000D5D16"/>
    <w:rsid w:val="000D7B92"/>
    <w:rsid w:val="000D7E91"/>
    <w:rsid w:val="000E16D5"/>
    <w:rsid w:val="000E5C6A"/>
    <w:rsid w:val="000E6120"/>
    <w:rsid w:val="000E6F06"/>
    <w:rsid w:val="000E7729"/>
    <w:rsid w:val="000F1DEB"/>
    <w:rsid w:val="000F4C03"/>
    <w:rsid w:val="000F5C9B"/>
    <w:rsid w:val="000F5FA4"/>
    <w:rsid w:val="000F68EB"/>
    <w:rsid w:val="000F6D2D"/>
    <w:rsid w:val="0010005C"/>
    <w:rsid w:val="0010325F"/>
    <w:rsid w:val="00103F34"/>
    <w:rsid w:val="0010548B"/>
    <w:rsid w:val="00107268"/>
    <w:rsid w:val="00107574"/>
    <w:rsid w:val="00110020"/>
    <w:rsid w:val="00114B9D"/>
    <w:rsid w:val="001151F7"/>
    <w:rsid w:val="00121DA9"/>
    <w:rsid w:val="001235E1"/>
    <w:rsid w:val="00123617"/>
    <w:rsid w:val="0012656B"/>
    <w:rsid w:val="00127E75"/>
    <w:rsid w:val="0013040F"/>
    <w:rsid w:val="0013167A"/>
    <w:rsid w:val="00131FF9"/>
    <w:rsid w:val="00132D69"/>
    <w:rsid w:val="00132F85"/>
    <w:rsid w:val="0013327D"/>
    <w:rsid w:val="00136005"/>
    <w:rsid w:val="001362D1"/>
    <w:rsid w:val="00136925"/>
    <w:rsid w:val="00136F0C"/>
    <w:rsid w:val="00141622"/>
    <w:rsid w:val="00141D0D"/>
    <w:rsid w:val="00141F8C"/>
    <w:rsid w:val="00144043"/>
    <w:rsid w:val="00144711"/>
    <w:rsid w:val="0014555E"/>
    <w:rsid w:val="00147D1E"/>
    <w:rsid w:val="00153532"/>
    <w:rsid w:val="00153DFA"/>
    <w:rsid w:val="00156281"/>
    <w:rsid w:val="001618F3"/>
    <w:rsid w:val="00164118"/>
    <w:rsid w:val="0016493C"/>
    <w:rsid w:val="00165C0D"/>
    <w:rsid w:val="0017097E"/>
    <w:rsid w:val="00173E8B"/>
    <w:rsid w:val="001748FD"/>
    <w:rsid w:val="00177144"/>
    <w:rsid w:val="00181496"/>
    <w:rsid w:val="001817D5"/>
    <w:rsid w:val="0018468B"/>
    <w:rsid w:val="00185565"/>
    <w:rsid w:val="00186EF9"/>
    <w:rsid w:val="001920B2"/>
    <w:rsid w:val="00193A44"/>
    <w:rsid w:val="00194350"/>
    <w:rsid w:val="001A0C84"/>
    <w:rsid w:val="001A12A4"/>
    <w:rsid w:val="001A15A6"/>
    <w:rsid w:val="001A35A8"/>
    <w:rsid w:val="001A39CC"/>
    <w:rsid w:val="001A50CA"/>
    <w:rsid w:val="001B24A9"/>
    <w:rsid w:val="001B309D"/>
    <w:rsid w:val="001C23C8"/>
    <w:rsid w:val="001C4BC9"/>
    <w:rsid w:val="001C4C33"/>
    <w:rsid w:val="001C6755"/>
    <w:rsid w:val="001C6A87"/>
    <w:rsid w:val="001E0A29"/>
    <w:rsid w:val="001E1BBF"/>
    <w:rsid w:val="001E23E3"/>
    <w:rsid w:val="001E2EB5"/>
    <w:rsid w:val="001E376D"/>
    <w:rsid w:val="001E3A9A"/>
    <w:rsid w:val="001E3DCA"/>
    <w:rsid w:val="001E799E"/>
    <w:rsid w:val="001F0917"/>
    <w:rsid w:val="00201F5D"/>
    <w:rsid w:val="00205E2A"/>
    <w:rsid w:val="002074AD"/>
    <w:rsid w:val="002127BF"/>
    <w:rsid w:val="00214D27"/>
    <w:rsid w:val="002163F4"/>
    <w:rsid w:val="00217FE5"/>
    <w:rsid w:val="00220635"/>
    <w:rsid w:val="00221961"/>
    <w:rsid w:val="0022523C"/>
    <w:rsid w:val="00225CDF"/>
    <w:rsid w:val="00227E6C"/>
    <w:rsid w:val="0023076D"/>
    <w:rsid w:val="002325A3"/>
    <w:rsid w:val="00232A6C"/>
    <w:rsid w:val="00234E9D"/>
    <w:rsid w:val="00235093"/>
    <w:rsid w:val="00236112"/>
    <w:rsid w:val="00236BAB"/>
    <w:rsid w:val="0024273D"/>
    <w:rsid w:val="00243880"/>
    <w:rsid w:val="002440E6"/>
    <w:rsid w:val="002447D6"/>
    <w:rsid w:val="00246570"/>
    <w:rsid w:val="00250CE1"/>
    <w:rsid w:val="00252D65"/>
    <w:rsid w:val="00253A8F"/>
    <w:rsid w:val="00254AEA"/>
    <w:rsid w:val="00257663"/>
    <w:rsid w:val="0026026A"/>
    <w:rsid w:val="00260401"/>
    <w:rsid w:val="00260974"/>
    <w:rsid w:val="0026354D"/>
    <w:rsid w:val="00264994"/>
    <w:rsid w:val="00264E6E"/>
    <w:rsid w:val="00265416"/>
    <w:rsid w:val="00275D9F"/>
    <w:rsid w:val="00280BAD"/>
    <w:rsid w:val="00281E71"/>
    <w:rsid w:val="00281F89"/>
    <w:rsid w:val="0028234D"/>
    <w:rsid w:val="00283F37"/>
    <w:rsid w:val="0028762C"/>
    <w:rsid w:val="002876A3"/>
    <w:rsid w:val="00287C3D"/>
    <w:rsid w:val="002904A6"/>
    <w:rsid w:val="00290EB2"/>
    <w:rsid w:val="002916E9"/>
    <w:rsid w:val="00291AFD"/>
    <w:rsid w:val="00293022"/>
    <w:rsid w:val="0029428F"/>
    <w:rsid w:val="002A23DA"/>
    <w:rsid w:val="002A2A8D"/>
    <w:rsid w:val="002A35B4"/>
    <w:rsid w:val="002B0476"/>
    <w:rsid w:val="002B0737"/>
    <w:rsid w:val="002B1F22"/>
    <w:rsid w:val="002B30CC"/>
    <w:rsid w:val="002B4032"/>
    <w:rsid w:val="002B53D4"/>
    <w:rsid w:val="002B68DA"/>
    <w:rsid w:val="002B6AFA"/>
    <w:rsid w:val="002B6C1C"/>
    <w:rsid w:val="002B7390"/>
    <w:rsid w:val="002C22EC"/>
    <w:rsid w:val="002C2FB2"/>
    <w:rsid w:val="002D1A60"/>
    <w:rsid w:val="002D1CE4"/>
    <w:rsid w:val="002D6A96"/>
    <w:rsid w:val="002E0AA9"/>
    <w:rsid w:val="002E5FC8"/>
    <w:rsid w:val="002E7B94"/>
    <w:rsid w:val="002F03D4"/>
    <w:rsid w:val="002F152F"/>
    <w:rsid w:val="002F1604"/>
    <w:rsid w:val="002F3A2A"/>
    <w:rsid w:val="002F564E"/>
    <w:rsid w:val="002F5738"/>
    <w:rsid w:val="0030051A"/>
    <w:rsid w:val="00300E7B"/>
    <w:rsid w:val="0030496F"/>
    <w:rsid w:val="00305D9D"/>
    <w:rsid w:val="00311321"/>
    <w:rsid w:val="003113A3"/>
    <w:rsid w:val="00311FA6"/>
    <w:rsid w:val="003168CB"/>
    <w:rsid w:val="0031791E"/>
    <w:rsid w:val="003238E3"/>
    <w:rsid w:val="003246A2"/>
    <w:rsid w:val="0032770F"/>
    <w:rsid w:val="00331455"/>
    <w:rsid w:val="00332F79"/>
    <w:rsid w:val="003330A3"/>
    <w:rsid w:val="003360DC"/>
    <w:rsid w:val="00341474"/>
    <w:rsid w:val="00341AB0"/>
    <w:rsid w:val="00343151"/>
    <w:rsid w:val="00344738"/>
    <w:rsid w:val="00344B24"/>
    <w:rsid w:val="00344E0A"/>
    <w:rsid w:val="0034537C"/>
    <w:rsid w:val="0034610C"/>
    <w:rsid w:val="003466AA"/>
    <w:rsid w:val="00346C8B"/>
    <w:rsid w:val="003477BB"/>
    <w:rsid w:val="00350ADD"/>
    <w:rsid w:val="00351ECB"/>
    <w:rsid w:val="00351FA9"/>
    <w:rsid w:val="00352894"/>
    <w:rsid w:val="00353BFA"/>
    <w:rsid w:val="00354E3A"/>
    <w:rsid w:val="00355E8B"/>
    <w:rsid w:val="00356E74"/>
    <w:rsid w:val="0036195E"/>
    <w:rsid w:val="00361E77"/>
    <w:rsid w:val="0036215E"/>
    <w:rsid w:val="00365BCA"/>
    <w:rsid w:val="00366CF5"/>
    <w:rsid w:val="00370A2D"/>
    <w:rsid w:val="00370A47"/>
    <w:rsid w:val="00370B4A"/>
    <w:rsid w:val="003761B1"/>
    <w:rsid w:val="00376AB3"/>
    <w:rsid w:val="003773F6"/>
    <w:rsid w:val="00383BE1"/>
    <w:rsid w:val="00384960"/>
    <w:rsid w:val="00384BCD"/>
    <w:rsid w:val="00387381"/>
    <w:rsid w:val="00387646"/>
    <w:rsid w:val="00390A0E"/>
    <w:rsid w:val="003937B8"/>
    <w:rsid w:val="003956DF"/>
    <w:rsid w:val="00397AFA"/>
    <w:rsid w:val="00397B68"/>
    <w:rsid w:val="003A00DF"/>
    <w:rsid w:val="003A2DF9"/>
    <w:rsid w:val="003A5586"/>
    <w:rsid w:val="003B1AC1"/>
    <w:rsid w:val="003B6084"/>
    <w:rsid w:val="003C0273"/>
    <w:rsid w:val="003C02F6"/>
    <w:rsid w:val="003C17E0"/>
    <w:rsid w:val="003C24CF"/>
    <w:rsid w:val="003C33F7"/>
    <w:rsid w:val="003C3DA3"/>
    <w:rsid w:val="003D0C56"/>
    <w:rsid w:val="003D11CB"/>
    <w:rsid w:val="003D1383"/>
    <w:rsid w:val="003D247F"/>
    <w:rsid w:val="003D2B7D"/>
    <w:rsid w:val="003D2F0E"/>
    <w:rsid w:val="003D304D"/>
    <w:rsid w:val="003D37FC"/>
    <w:rsid w:val="003D3FAD"/>
    <w:rsid w:val="003D6631"/>
    <w:rsid w:val="003E0FC2"/>
    <w:rsid w:val="003E11C9"/>
    <w:rsid w:val="003E3002"/>
    <w:rsid w:val="003F0B86"/>
    <w:rsid w:val="003F1547"/>
    <w:rsid w:val="003F6E6C"/>
    <w:rsid w:val="00400CA1"/>
    <w:rsid w:val="004029D7"/>
    <w:rsid w:val="004050FA"/>
    <w:rsid w:val="004058DC"/>
    <w:rsid w:val="00406F48"/>
    <w:rsid w:val="004123AC"/>
    <w:rsid w:val="004129A8"/>
    <w:rsid w:val="00413289"/>
    <w:rsid w:val="00421161"/>
    <w:rsid w:val="00421F83"/>
    <w:rsid w:val="00422FBD"/>
    <w:rsid w:val="00423352"/>
    <w:rsid w:val="00425729"/>
    <w:rsid w:val="004343A5"/>
    <w:rsid w:val="0043633B"/>
    <w:rsid w:val="004365F0"/>
    <w:rsid w:val="00437333"/>
    <w:rsid w:val="00437A70"/>
    <w:rsid w:val="004440F7"/>
    <w:rsid w:val="00447841"/>
    <w:rsid w:val="004558D0"/>
    <w:rsid w:val="00456846"/>
    <w:rsid w:val="004618D9"/>
    <w:rsid w:val="0046267D"/>
    <w:rsid w:val="00464A95"/>
    <w:rsid w:val="0046551B"/>
    <w:rsid w:val="00465D99"/>
    <w:rsid w:val="00470381"/>
    <w:rsid w:val="00473191"/>
    <w:rsid w:val="00473B52"/>
    <w:rsid w:val="00475835"/>
    <w:rsid w:val="0047692E"/>
    <w:rsid w:val="0047774A"/>
    <w:rsid w:val="004779AF"/>
    <w:rsid w:val="004812BC"/>
    <w:rsid w:val="004816A1"/>
    <w:rsid w:val="00481D64"/>
    <w:rsid w:val="00481F59"/>
    <w:rsid w:val="0048330F"/>
    <w:rsid w:val="00484F94"/>
    <w:rsid w:val="004859A6"/>
    <w:rsid w:val="004908D2"/>
    <w:rsid w:val="0049258A"/>
    <w:rsid w:val="0049278C"/>
    <w:rsid w:val="00492E90"/>
    <w:rsid w:val="004A1EE9"/>
    <w:rsid w:val="004A2D96"/>
    <w:rsid w:val="004B0747"/>
    <w:rsid w:val="004B0F7F"/>
    <w:rsid w:val="004B4687"/>
    <w:rsid w:val="004B617A"/>
    <w:rsid w:val="004B625E"/>
    <w:rsid w:val="004C5299"/>
    <w:rsid w:val="004C7A09"/>
    <w:rsid w:val="004D1EE2"/>
    <w:rsid w:val="004D3299"/>
    <w:rsid w:val="004D4185"/>
    <w:rsid w:val="004E0C82"/>
    <w:rsid w:val="004E0CF4"/>
    <w:rsid w:val="004E1E74"/>
    <w:rsid w:val="004E2233"/>
    <w:rsid w:val="004E49CF"/>
    <w:rsid w:val="004E5CFD"/>
    <w:rsid w:val="004E61A4"/>
    <w:rsid w:val="004F0282"/>
    <w:rsid w:val="004F1F9B"/>
    <w:rsid w:val="004F3BAB"/>
    <w:rsid w:val="004F629A"/>
    <w:rsid w:val="004F6FD2"/>
    <w:rsid w:val="004F7380"/>
    <w:rsid w:val="00500405"/>
    <w:rsid w:val="00503E55"/>
    <w:rsid w:val="005054AD"/>
    <w:rsid w:val="005068B5"/>
    <w:rsid w:val="00510AE3"/>
    <w:rsid w:val="00511236"/>
    <w:rsid w:val="0051254E"/>
    <w:rsid w:val="00513111"/>
    <w:rsid w:val="0051646E"/>
    <w:rsid w:val="00516963"/>
    <w:rsid w:val="005201F3"/>
    <w:rsid w:val="00521254"/>
    <w:rsid w:val="00521685"/>
    <w:rsid w:val="005261B2"/>
    <w:rsid w:val="00526576"/>
    <w:rsid w:val="00527AE2"/>
    <w:rsid w:val="005309B3"/>
    <w:rsid w:val="0053111D"/>
    <w:rsid w:val="005326B6"/>
    <w:rsid w:val="005336E9"/>
    <w:rsid w:val="00536BC6"/>
    <w:rsid w:val="00537B08"/>
    <w:rsid w:val="005404E4"/>
    <w:rsid w:val="00542829"/>
    <w:rsid w:val="00544D15"/>
    <w:rsid w:val="005456FD"/>
    <w:rsid w:val="0054732A"/>
    <w:rsid w:val="00547DB2"/>
    <w:rsid w:val="00550E90"/>
    <w:rsid w:val="00552C82"/>
    <w:rsid w:val="005558C8"/>
    <w:rsid w:val="005636E9"/>
    <w:rsid w:val="00564FCA"/>
    <w:rsid w:val="005650F1"/>
    <w:rsid w:val="00571681"/>
    <w:rsid w:val="00576042"/>
    <w:rsid w:val="005808A2"/>
    <w:rsid w:val="00583511"/>
    <w:rsid w:val="00583FB3"/>
    <w:rsid w:val="00584FD1"/>
    <w:rsid w:val="005869A4"/>
    <w:rsid w:val="00587216"/>
    <w:rsid w:val="00587C82"/>
    <w:rsid w:val="00587FEE"/>
    <w:rsid w:val="00590298"/>
    <w:rsid w:val="00590569"/>
    <w:rsid w:val="005908FF"/>
    <w:rsid w:val="00591B93"/>
    <w:rsid w:val="0059507D"/>
    <w:rsid w:val="00597C33"/>
    <w:rsid w:val="005A010E"/>
    <w:rsid w:val="005A1D9B"/>
    <w:rsid w:val="005A37E3"/>
    <w:rsid w:val="005A3BB0"/>
    <w:rsid w:val="005A3DBE"/>
    <w:rsid w:val="005A4FFF"/>
    <w:rsid w:val="005A5F7B"/>
    <w:rsid w:val="005B22F6"/>
    <w:rsid w:val="005B31D0"/>
    <w:rsid w:val="005B5B41"/>
    <w:rsid w:val="005B64C2"/>
    <w:rsid w:val="005B730C"/>
    <w:rsid w:val="005C052F"/>
    <w:rsid w:val="005C0CAD"/>
    <w:rsid w:val="005C16E8"/>
    <w:rsid w:val="005C1E6D"/>
    <w:rsid w:val="005C3685"/>
    <w:rsid w:val="005C52EB"/>
    <w:rsid w:val="005C52FC"/>
    <w:rsid w:val="005C5D23"/>
    <w:rsid w:val="005C5E4B"/>
    <w:rsid w:val="005D0347"/>
    <w:rsid w:val="005D16AC"/>
    <w:rsid w:val="005D23EE"/>
    <w:rsid w:val="005D25C2"/>
    <w:rsid w:val="005E0AA6"/>
    <w:rsid w:val="005E113F"/>
    <w:rsid w:val="005E3767"/>
    <w:rsid w:val="005E4729"/>
    <w:rsid w:val="005F2C5A"/>
    <w:rsid w:val="005F62C8"/>
    <w:rsid w:val="005F6861"/>
    <w:rsid w:val="005F792C"/>
    <w:rsid w:val="0060082F"/>
    <w:rsid w:val="00600920"/>
    <w:rsid w:val="00601A2E"/>
    <w:rsid w:val="006027C0"/>
    <w:rsid w:val="00603A49"/>
    <w:rsid w:val="00614FD4"/>
    <w:rsid w:val="006163D4"/>
    <w:rsid w:val="006202DA"/>
    <w:rsid w:val="006206F7"/>
    <w:rsid w:val="00622B8E"/>
    <w:rsid w:val="00623258"/>
    <w:rsid w:val="00623B23"/>
    <w:rsid w:val="00625CF6"/>
    <w:rsid w:val="00627C4C"/>
    <w:rsid w:val="00627C9A"/>
    <w:rsid w:val="0063056D"/>
    <w:rsid w:val="00633CB3"/>
    <w:rsid w:val="00634375"/>
    <w:rsid w:val="00634688"/>
    <w:rsid w:val="00634750"/>
    <w:rsid w:val="00640AF5"/>
    <w:rsid w:val="00640B53"/>
    <w:rsid w:val="006424A0"/>
    <w:rsid w:val="00652014"/>
    <w:rsid w:val="00653757"/>
    <w:rsid w:val="006549D5"/>
    <w:rsid w:val="00657FD9"/>
    <w:rsid w:val="006604B2"/>
    <w:rsid w:val="00661A3E"/>
    <w:rsid w:val="006637B4"/>
    <w:rsid w:val="006640D1"/>
    <w:rsid w:val="006645FD"/>
    <w:rsid w:val="00664DF1"/>
    <w:rsid w:val="006654F8"/>
    <w:rsid w:val="00666C38"/>
    <w:rsid w:val="006816FC"/>
    <w:rsid w:val="006846EB"/>
    <w:rsid w:val="00684EEC"/>
    <w:rsid w:val="006855A8"/>
    <w:rsid w:val="006859D9"/>
    <w:rsid w:val="006874F3"/>
    <w:rsid w:val="00691B8F"/>
    <w:rsid w:val="0069520D"/>
    <w:rsid w:val="00696691"/>
    <w:rsid w:val="006967CC"/>
    <w:rsid w:val="0069774B"/>
    <w:rsid w:val="006A2D87"/>
    <w:rsid w:val="006A31DA"/>
    <w:rsid w:val="006A3FE0"/>
    <w:rsid w:val="006B132E"/>
    <w:rsid w:val="006B2F82"/>
    <w:rsid w:val="006B4DB1"/>
    <w:rsid w:val="006B56B6"/>
    <w:rsid w:val="006B79F2"/>
    <w:rsid w:val="006C4345"/>
    <w:rsid w:val="006C53AD"/>
    <w:rsid w:val="006C556C"/>
    <w:rsid w:val="006C58AA"/>
    <w:rsid w:val="006C6B79"/>
    <w:rsid w:val="006D0510"/>
    <w:rsid w:val="006D0EB8"/>
    <w:rsid w:val="006D1A52"/>
    <w:rsid w:val="006D2596"/>
    <w:rsid w:val="006D28CF"/>
    <w:rsid w:val="006D4A7B"/>
    <w:rsid w:val="006E1818"/>
    <w:rsid w:val="006E7841"/>
    <w:rsid w:val="006F25DF"/>
    <w:rsid w:val="006F29FB"/>
    <w:rsid w:val="006F3454"/>
    <w:rsid w:val="006F34C3"/>
    <w:rsid w:val="006F4316"/>
    <w:rsid w:val="006F6B8D"/>
    <w:rsid w:val="006F7202"/>
    <w:rsid w:val="00700455"/>
    <w:rsid w:val="00703050"/>
    <w:rsid w:val="007032AA"/>
    <w:rsid w:val="00703C09"/>
    <w:rsid w:val="007043F5"/>
    <w:rsid w:val="00706E1B"/>
    <w:rsid w:val="00710678"/>
    <w:rsid w:val="00710C33"/>
    <w:rsid w:val="00716281"/>
    <w:rsid w:val="007164C1"/>
    <w:rsid w:val="00720BAA"/>
    <w:rsid w:val="00722CE9"/>
    <w:rsid w:val="0072368D"/>
    <w:rsid w:val="007239F0"/>
    <w:rsid w:val="00725F70"/>
    <w:rsid w:val="00726BCB"/>
    <w:rsid w:val="00727CA8"/>
    <w:rsid w:val="007308DF"/>
    <w:rsid w:val="00733106"/>
    <w:rsid w:val="00734C01"/>
    <w:rsid w:val="00736000"/>
    <w:rsid w:val="00736726"/>
    <w:rsid w:val="007369B4"/>
    <w:rsid w:val="00737BFA"/>
    <w:rsid w:val="0074093F"/>
    <w:rsid w:val="0074188B"/>
    <w:rsid w:val="007432D6"/>
    <w:rsid w:val="007440DD"/>
    <w:rsid w:val="007449D2"/>
    <w:rsid w:val="007454F4"/>
    <w:rsid w:val="00745E98"/>
    <w:rsid w:val="00752CEF"/>
    <w:rsid w:val="0075359B"/>
    <w:rsid w:val="0075470A"/>
    <w:rsid w:val="007573CE"/>
    <w:rsid w:val="00761E09"/>
    <w:rsid w:val="00762007"/>
    <w:rsid w:val="007653C1"/>
    <w:rsid w:val="00766E6B"/>
    <w:rsid w:val="0077137E"/>
    <w:rsid w:val="007756B5"/>
    <w:rsid w:val="00776531"/>
    <w:rsid w:val="007816E1"/>
    <w:rsid w:val="00781DC3"/>
    <w:rsid w:val="00787574"/>
    <w:rsid w:val="0079122C"/>
    <w:rsid w:val="00791E69"/>
    <w:rsid w:val="00794649"/>
    <w:rsid w:val="0079542F"/>
    <w:rsid w:val="00795CE0"/>
    <w:rsid w:val="007960C5"/>
    <w:rsid w:val="007A469E"/>
    <w:rsid w:val="007A5656"/>
    <w:rsid w:val="007A6BB4"/>
    <w:rsid w:val="007A7963"/>
    <w:rsid w:val="007B0767"/>
    <w:rsid w:val="007B5BDD"/>
    <w:rsid w:val="007B63A6"/>
    <w:rsid w:val="007B7EB1"/>
    <w:rsid w:val="007C03BE"/>
    <w:rsid w:val="007C5CFB"/>
    <w:rsid w:val="007C6088"/>
    <w:rsid w:val="007C66BA"/>
    <w:rsid w:val="007C6BF9"/>
    <w:rsid w:val="007C71B0"/>
    <w:rsid w:val="007D5DD1"/>
    <w:rsid w:val="007D6566"/>
    <w:rsid w:val="007E558A"/>
    <w:rsid w:val="007F024D"/>
    <w:rsid w:val="007F1F9C"/>
    <w:rsid w:val="007F5C3C"/>
    <w:rsid w:val="007F6C1E"/>
    <w:rsid w:val="007F7AF7"/>
    <w:rsid w:val="00803AE6"/>
    <w:rsid w:val="008062EF"/>
    <w:rsid w:val="0080764E"/>
    <w:rsid w:val="008106D1"/>
    <w:rsid w:val="00811972"/>
    <w:rsid w:val="008129E9"/>
    <w:rsid w:val="008137F1"/>
    <w:rsid w:val="00815831"/>
    <w:rsid w:val="008163E7"/>
    <w:rsid w:val="00816417"/>
    <w:rsid w:val="0081667C"/>
    <w:rsid w:val="008210EC"/>
    <w:rsid w:val="0082184C"/>
    <w:rsid w:val="00822756"/>
    <w:rsid w:val="0082490D"/>
    <w:rsid w:val="00824E3C"/>
    <w:rsid w:val="00826A67"/>
    <w:rsid w:val="00827160"/>
    <w:rsid w:val="00827340"/>
    <w:rsid w:val="00830317"/>
    <w:rsid w:val="00830F6C"/>
    <w:rsid w:val="008339EA"/>
    <w:rsid w:val="00835134"/>
    <w:rsid w:val="00835C72"/>
    <w:rsid w:val="00837AEC"/>
    <w:rsid w:val="00841BF3"/>
    <w:rsid w:val="0084220D"/>
    <w:rsid w:val="00845537"/>
    <w:rsid w:val="00846B92"/>
    <w:rsid w:val="00852150"/>
    <w:rsid w:val="00853D1E"/>
    <w:rsid w:val="00854349"/>
    <w:rsid w:val="00854862"/>
    <w:rsid w:val="00854D84"/>
    <w:rsid w:val="008558AA"/>
    <w:rsid w:val="00857259"/>
    <w:rsid w:val="00857BB1"/>
    <w:rsid w:val="00857CF6"/>
    <w:rsid w:val="00860F72"/>
    <w:rsid w:val="00863638"/>
    <w:rsid w:val="0086451C"/>
    <w:rsid w:val="00864CB4"/>
    <w:rsid w:val="008654E0"/>
    <w:rsid w:val="00867F9E"/>
    <w:rsid w:val="008705AD"/>
    <w:rsid w:val="00870E66"/>
    <w:rsid w:val="00872B34"/>
    <w:rsid w:val="00872E36"/>
    <w:rsid w:val="00873B85"/>
    <w:rsid w:val="0087462D"/>
    <w:rsid w:val="008754BE"/>
    <w:rsid w:val="0087649F"/>
    <w:rsid w:val="008776A7"/>
    <w:rsid w:val="008827B9"/>
    <w:rsid w:val="00884DF6"/>
    <w:rsid w:val="0089072A"/>
    <w:rsid w:val="00890DE9"/>
    <w:rsid w:val="00893E9C"/>
    <w:rsid w:val="0089607A"/>
    <w:rsid w:val="00896B0C"/>
    <w:rsid w:val="008A04EE"/>
    <w:rsid w:val="008A0FC8"/>
    <w:rsid w:val="008A1209"/>
    <w:rsid w:val="008A134A"/>
    <w:rsid w:val="008A3E22"/>
    <w:rsid w:val="008A3E7C"/>
    <w:rsid w:val="008A594D"/>
    <w:rsid w:val="008A7377"/>
    <w:rsid w:val="008B17F0"/>
    <w:rsid w:val="008B21A6"/>
    <w:rsid w:val="008B3B8A"/>
    <w:rsid w:val="008B55B2"/>
    <w:rsid w:val="008B582E"/>
    <w:rsid w:val="008B7262"/>
    <w:rsid w:val="008C2835"/>
    <w:rsid w:val="008C32F2"/>
    <w:rsid w:val="008C3697"/>
    <w:rsid w:val="008C37E2"/>
    <w:rsid w:val="008C5A3E"/>
    <w:rsid w:val="008C6B5C"/>
    <w:rsid w:val="008D116A"/>
    <w:rsid w:val="008D1BBE"/>
    <w:rsid w:val="008D3D1E"/>
    <w:rsid w:val="008D42D9"/>
    <w:rsid w:val="008E067A"/>
    <w:rsid w:val="008E31D4"/>
    <w:rsid w:val="008F2241"/>
    <w:rsid w:val="008F276E"/>
    <w:rsid w:val="008F2F72"/>
    <w:rsid w:val="008F49AD"/>
    <w:rsid w:val="008F7D7F"/>
    <w:rsid w:val="009005CD"/>
    <w:rsid w:val="009030C7"/>
    <w:rsid w:val="0090336C"/>
    <w:rsid w:val="00905EF8"/>
    <w:rsid w:val="009072AC"/>
    <w:rsid w:val="00910036"/>
    <w:rsid w:val="00911E0F"/>
    <w:rsid w:val="00912D61"/>
    <w:rsid w:val="00917CB7"/>
    <w:rsid w:val="00921847"/>
    <w:rsid w:val="0092361E"/>
    <w:rsid w:val="00924F6F"/>
    <w:rsid w:val="00925559"/>
    <w:rsid w:val="00926C84"/>
    <w:rsid w:val="00927BCF"/>
    <w:rsid w:val="0093032A"/>
    <w:rsid w:val="00931FB0"/>
    <w:rsid w:val="00933D57"/>
    <w:rsid w:val="00935288"/>
    <w:rsid w:val="00935CC7"/>
    <w:rsid w:val="009465A2"/>
    <w:rsid w:val="00947037"/>
    <w:rsid w:val="009510D7"/>
    <w:rsid w:val="00952009"/>
    <w:rsid w:val="009533B9"/>
    <w:rsid w:val="00956745"/>
    <w:rsid w:val="00956D08"/>
    <w:rsid w:val="009600CF"/>
    <w:rsid w:val="0096335A"/>
    <w:rsid w:val="0097018D"/>
    <w:rsid w:val="009704CC"/>
    <w:rsid w:val="00971B30"/>
    <w:rsid w:val="00974F78"/>
    <w:rsid w:val="00977DE2"/>
    <w:rsid w:val="009806C6"/>
    <w:rsid w:val="0098076C"/>
    <w:rsid w:val="00981557"/>
    <w:rsid w:val="009816B1"/>
    <w:rsid w:val="00981A88"/>
    <w:rsid w:val="009853B1"/>
    <w:rsid w:val="00986C53"/>
    <w:rsid w:val="0099278D"/>
    <w:rsid w:val="00996D23"/>
    <w:rsid w:val="009978BC"/>
    <w:rsid w:val="009A042D"/>
    <w:rsid w:val="009A3C4F"/>
    <w:rsid w:val="009A493D"/>
    <w:rsid w:val="009A598E"/>
    <w:rsid w:val="009A5BC4"/>
    <w:rsid w:val="009A7868"/>
    <w:rsid w:val="009B2D79"/>
    <w:rsid w:val="009C13DD"/>
    <w:rsid w:val="009C205D"/>
    <w:rsid w:val="009C2A8E"/>
    <w:rsid w:val="009D07B8"/>
    <w:rsid w:val="009D1F99"/>
    <w:rsid w:val="009D31BF"/>
    <w:rsid w:val="009D770E"/>
    <w:rsid w:val="009E2690"/>
    <w:rsid w:val="009E4224"/>
    <w:rsid w:val="009E502E"/>
    <w:rsid w:val="009F16A8"/>
    <w:rsid w:val="009F36B8"/>
    <w:rsid w:val="009F436C"/>
    <w:rsid w:val="00A00684"/>
    <w:rsid w:val="00A04570"/>
    <w:rsid w:val="00A053B0"/>
    <w:rsid w:val="00A06B34"/>
    <w:rsid w:val="00A07416"/>
    <w:rsid w:val="00A07C98"/>
    <w:rsid w:val="00A10274"/>
    <w:rsid w:val="00A115C0"/>
    <w:rsid w:val="00A1165F"/>
    <w:rsid w:val="00A12983"/>
    <w:rsid w:val="00A14F3B"/>
    <w:rsid w:val="00A170A0"/>
    <w:rsid w:val="00A20B28"/>
    <w:rsid w:val="00A218F6"/>
    <w:rsid w:val="00A22C12"/>
    <w:rsid w:val="00A24E14"/>
    <w:rsid w:val="00A30E76"/>
    <w:rsid w:val="00A311C1"/>
    <w:rsid w:val="00A33074"/>
    <w:rsid w:val="00A33C1A"/>
    <w:rsid w:val="00A33D7B"/>
    <w:rsid w:val="00A37DFB"/>
    <w:rsid w:val="00A41112"/>
    <w:rsid w:val="00A4206C"/>
    <w:rsid w:val="00A433D2"/>
    <w:rsid w:val="00A44F66"/>
    <w:rsid w:val="00A452C0"/>
    <w:rsid w:val="00A50107"/>
    <w:rsid w:val="00A50E28"/>
    <w:rsid w:val="00A5138F"/>
    <w:rsid w:val="00A527CE"/>
    <w:rsid w:val="00A52809"/>
    <w:rsid w:val="00A53567"/>
    <w:rsid w:val="00A53C9C"/>
    <w:rsid w:val="00A55E5E"/>
    <w:rsid w:val="00A5716E"/>
    <w:rsid w:val="00A619BD"/>
    <w:rsid w:val="00A631DE"/>
    <w:rsid w:val="00A70D04"/>
    <w:rsid w:val="00A7424B"/>
    <w:rsid w:val="00A749CC"/>
    <w:rsid w:val="00A92D70"/>
    <w:rsid w:val="00A95BD2"/>
    <w:rsid w:val="00AA2CD4"/>
    <w:rsid w:val="00AA3FCB"/>
    <w:rsid w:val="00AA57E8"/>
    <w:rsid w:val="00AB31E3"/>
    <w:rsid w:val="00AB6FFA"/>
    <w:rsid w:val="00AC0684"/>
    <w:rsid w:val="00AC09CE"/>
    <w:rsid w:val="00AC392D"/>
    <w:rsid w:val="00AC3BC6"/>
    <w:rsid w:val="00AC4BFB"/>
    <w:rsid w:val="00AD1678"/>
    <w:rsid w:val="00AD3096"/>
    <w:rsid w:val="00AD3395"/>
    <w:rsid w:val="00AD4D2A"/>
    <w:rsid w:val="00AD6F3D"/>
    <w:rsid w:val="00AE39D6"/>
    <w:rsid w:val="00AE5D22"/>
    <w:rsid w:val="00AE7350"/>
    <w:rsid w:val="00AF0502"/>
    <w:rsid w:val="00AF0B11"/>
    <w:rsid w:val="00AF78D5"/>
    <w:rsid w:val="00AF7A68"/>
    <w:rsid w:val="00AF7B6C"/>
    <w:rsid w:val="00B020BF"/>
    <w:rsid w:val="00B0428A"/>
    <w:rsid w:val="00B0495E"/>
    <w:rsid w:val="00B06F14"/>
    <w:rsid w:val="00B07F9D"/>
    <w:rsid w:val="00B108FB"/>
    <w:rsid w:val="00B13A1C"/>
    <w:rsid w:val="00B15F33"/>
    <w:rsid w:val="00B16420"/>
    <w:rsid w:val="00B2557A"/>
    <w:rsid w:val="00B25696"/>
    <w:rsid w:val="00B25CA4"/>
    <w:rsid w:val="00B301BD"/>
    <w:rsid w:val="00B3110B"/>
    <w:rsid w:val="00B35469"/>
    <w:rsid w:val="00B40040"/>
    <w:rsid w:val="00B44398"/>
    <w:rsid w:val="00B44F21"/>
    <w:rsid w:val="00B46555"/>
    <w:rsid w:val="00B50E96"/>
    <w:rsid w:val="00B51311"/>
    <w:rsid w:val="00B520C7"/>
    <w:rsid w:val="00B542A1"/>
    <w:rsid w:val="00B61ACC"/>
    <w:rsid w:val="00B640A6"/>
    <w:rsid w:val="00B67BB9"/>
    <w:rsid w:val="00B7000D"/>
    <w:rsid w:val="00B71A67"/>
    <w:rsid w:val="00B7534E"/>
    <w:rsid w:val="00B77126"/>
    <w:rsid w:val="00B77B2D"/>
    <w:rsid w:val="00B77BEE"/>
    <w:rsid w:val="00B80AB7"/>
    <w:rsid w:val="00B80D0A"/>
    <w:rsid w:val="00B80F2A"/>
    <w:rsid w:val="00B81A51"/>
    <w:rsid w:val="00B82536"/>
    <w:rsid w:val="00B82A1C"/>
    <w:rsid w:val="00B874FA"/>
    <w:rsid w:val="00B919F5"/>
    <w:rsid w:val="00B926BA"/>
    <w:rsid w:val="00B93A3E"/>
    <w:rsid w:val="00B9656B"/>
    <w:rsid w:val="00B96E4A"/>
    <w:rsid w:val="00BA00A7"/>
    <w:rsid w:val="00BA09BC"/>
    <w:rsid w:val="00BA2041"/>
    <w:rsid w:val="00BA29C3"/>
    <w:rsid w:val="00BA3242"/>
    <w:rsid w:val="00BA4197"/>
    <w:rsid w:val="00BA5819"/>
    <w:rsid w:val="00BA5CEA"/>
    <w:rsid w:val="00BA6D16"/>
    <w:rsid w:val="00BA7962"/>
    <w:rsid w:val="00BB43EB"/>
    <w:rsid w:val="00BB48B4"/>
    <w:rsid w:val="00BB7565"/>
    <w:rsid w:val="00BC0359"/>
    <w:rsid w:val="00BC3F56"/>
    <w:rsid w:val="00BC7F5E"/>
    <w:rsid w:val="00BD0698"/>
    <w:rsid w:val="00BD5A21"/>
    <w:rsid w:val="00BD6A33"/>
    <w:rsid w:val="00BD7F0B"/>
    <w:rsid w:val="00BE29DD"/>
    <w:rsid w:val="00BE6720"/>
    <w:rsid w:val="00BF1E9E"/>
    <w:rsid w:val="00BF3B3D"/>
    <w:rsid w:val="00BF4F61"/>
    <w:rsid w:val="00BF6DBB"/>
    <w:rsid w:val="00C039E5"/>
    <w:rsid w:val="00C04856"/>
    <w:rsid w:val="00C05247"/>
    <w:rsid w:val="00C068E6"/>
    <w:rsid w:val="00C10247"/>
    <w:rsid w:val="00C102CC"/>
    <w:rsid w:val="00C11826"/>
    <w:rsid w:val="00C13D1B"/>
    <w:rsid w:val="00C1697D"/>
    <w:rsid w:val="00C205E5"/>
    <w:rsid w:val="00C21B50"/>
    <w:rsid w:val="00C2299B"/>
    <w:rsid w:val="00C22FB5"/>
    <w:rsid w:val="00C24C06"/>
    <w:rsid w:val="00C25759"/>
    <w:rsid w:val="00C26E5B"/>
    <w:rsid w:val="00C31B54"/>
    <w:rsid w:val="00C31EA9"/>
    <w:rsid w:val="00C327B9"/>
    <w:rsid w:val="00C34FFA"/>
    <w:rsid w:val="00C357D2"/>
    <w:rsid w:val="00C35A37"/>
    <w:rsid w:val="00C36474"/>
    <w:rsid w:val="00C37E76"/>
    <w:rsid w:val="00C408F7"/>
    <w:rsid w:val="00C41CCC"/>
    <w:rsid w:val="00C4223A"/>
    <w:rsid w:val="00C42374"/>
    <w:rsid w:val="00C42DFF"/>
    <w:rsid w:val="00C433FA"/>
    <w:rsid w:val="00C444CD"/>
    <w:rsid w:val="00C44D62"/>
    <w:rsid w:val="00C452F7"/>
    <w:rsid w:val="00C45CA7"/>
    <w:rsid w:val="00C50307"/>
    <w:rsid w:val="00C5037E"/>
    <w:rsid w:val="00C51777"/>
    <w:rsid w:val="00C54F64"/>
    <w:rsid w:val="00C55099"/>
    <w:rsid w:val="00C55FFC"/>
    <w:rsid w:val="00C57A72"/>
    <w:rsid w:val="00C57C2D"/>
    <w:rsid w:val="00C57FF8"/>
    <w:rsid w:val="00C63B3B"/>
    <w:rsid w:val="00C6502F"/>
    <w:rsid w:val="00C65B94"/>
    <w:rsid w:val="00C718EB"/>
    <w:rsid w:val="00C72576"/>
    <w:rsid w:val="00C77D1E"/>
    <w:rsid w:val="00C80B2A"/>
    <w:rsid w:val="00C8170B"/>
    <w:rsid w:val="00C82733"/>
    <w:rsid w:val="00C83860"/>
    <w:rsid w:val="00C842E2"/>
    <w:rsid w:val="00C96B09"/>
    <w:rsid w:val="00CA4AD5"/>
    <w:rsid w:val="00CA6936"/>
    <w:rsid w:val="00CB00F0"/>
    <w:rsid w:val="00CB0C90"/>
    <w:rsid w:val="00CB43AE"/>
    <w:rsid w:val="00CB6592"/>
    <w:rsid w:val="00CB7626"/>
    <w:rsid w:val="00CC0FDE"/>
    <w:rsid w:val="00CC1554"/>
    <w:rsid w:val="00CC340C"/>
    <w:rsid w:val="00CD0A71"/>
    <w:rsid w:val="00CD0B98"/>
    <w:rsid w:val="00CD4138"/>
    <w:rsid w:val="00CD440D"/>
    <w:rsid w:val="00CD52FD"/>
    <w:rsid w:val="00CD5759"/>
    <w:rsid w:val="00CE07D5"/>
    <w:rsid w:val="00CE1007"/>
    <w:rsid w:val="00CE163B"/>
    <w:rsid w:val="00CE186A"/>
    <w:rsid w:val="00CE5D79"/>
    <w:rsid w:val="00CE6C45"/>
    <w:rsid w:val="00CF1BF6"/>
    <w:rsid w:val="00CF2B1C"/>
    <w:rsid w:val="00CF30C0"/>
    <w:rsid w:val="00CF4193"/>
    <w:rsid w:val="00CF62F0"/>
    <w:rsid w:val="00D02676"/>
    <w:rsid w:val="00D032D6"/>
    <w:rsid w:val="00D04935"/>
    <w:rsid w:val="00D04F7D"/>
    <w:rsid w:val="00D05747"/>
    <w:rsid w:val="00D060B2"/>
    <w:rsid w:val="00D06841"/>
    <w:rsid w:val="00D06DF8"/>
    <w:rsid w:val="00D07697"/>
    <w:rsid w:val="00D10485"/>
    <w:rsid w:val="00D1162F"/>
    <w:rsid w:val="00D12209"/>
    <w:rsid w:val="00D131BC"/>
    <w:rsid w:val="00D13DB1"/>
    <w:rsid w:val="00D14B15"/>
    <w:rsid w:val="00D14CAF"/>
    <w:rsid w:val="00D16215"/>
    <w:rsid w:val="00D1674C"/>
    <w:rsid w:val="00D16A41"/>
    <w:rsid w:val="00D17143"/>
    <w:rsid w:val="00D171D2"/>
    <w:rsid w:val="00D174F8"/>
    <w:rsid w:val="00D20616"/>
    <w:rsid w:val="00D210B6"/>
    <w:rsid w:val="00D218EE"/>
    <w:rsid w:val="00D21E70"/>
    <w:rsid w:val="00D242F8"/>
    <w:rsid w:val="00D25645"/>
    <w:rsid w:val="00D262FE"/>
    <w:rsid w:val="00D27D7D"/>
    <w:rsid w:val="00D30D32"/>
    <w:rsid w:val="00D33531"/>
    <w:rsid w:val="00D33BD1"/>
    <w:rsid w:val="00D41D33"/>
    <w:rsid w:val="00D423A0"/>
    <w:rsid w:val="00D426AD"/>
    <w:rsid w:val="00D42956"/>
    <w:rsid w:val="00D430E9"/>
    <w:rsid w:val="00D43FE2"/>
    <w:rsid w:val="00D45AF0"/>
    <w:rsid w:val="00D47023"/>
    <w:rsid w:val="00D50B3D"/>
    <w:rsid w:val="00D50CD1"/>
    <w:rsid w:val="00D529DF"/>
    <w:rsid w:val="00D53E4C"/>
    <w:rsid w:val="00D55A5E"/>
    <w:rsid w:val="00D57951"/>
    <w:rsid w:val="00D61002"/>
    <w:rsid w:val="00D63E99"/>
    <w:rsid w:val="00D6645E"/>
    <w:rsid w:val="00D66BF5"/>
    <w:rsid w:val="00D67068"/>
    <w:rsid w:val="00D7002F"/>
    <w:rsid w:val="00D7344E"/>
    <w:rsid w:val="00D77B63"/>
    <w:rsid w:val="00D816FE"/>
    <w:rsid w:val="00D82ADB"/>
    <w:rsid w:val="00D8338A"/>
    <w:rsid w:val="00D8483C"/>
    <w:rsid w:val="00D859F6"/>
    <w:rsid w:val="00D8685E"/>
    <w:rsid w:val="00D86F5D"/>
    <w:rsid w:val="00D9314D"/>
    <w:rsid w:val="00D94D27"/>
    <w:rsid w:val="00D96222"/>
    <w:rsid w:val="00D96C2B"/>
    <w:rsid w:val="00DA0316"/>
    <w:rsid w:val="00DA1E7E"/>
    <w:rsid w:val="00DA2346"/>
    <w:rsid w:val="00DA4010"/>
    <w:rsid w:val="00DB3132"/>
    <w:rsid w:val="00DB4A58"/>
    <w:rsid w:val="00DB7311"/>
    <w:rsid w:val="00DC03B5"/>
    <w:rsid w:val="00DC084D"/>
    <w:rsid w:val="00DC283F"/>
    <w:rsid w:val="00DC3A3D"/>
    <w:rsid w:val="00DC3F52"/>
    <w:rsid w:val="00DC44AC"/>
    <w:rsid w:val="00DC4B89"/>
    <w:rsid w:val="00DC4D1D"/>
    <w:rsid w:val="00DC7D21"/>
    <w:rsid w:val="00DC7D88"/>
    <w:rsid w:val="00DD17B2"/>
    <w:rsid w:val="00DD1D37"/>
    <w:rsid w:val="00DD2FA1"/>
    <w:rsid w:val="00DD6B76"/>
    <w:rsid w:val="00DE0A84"/>
    <w:rsid w:val="00DE0F3C"/>
    <w:rsid w:val="00DE1A62"/>
    <w:rsid w:val="00DE287C"/>
    <w:rsid w:val="00DE3383"/>
    <w:rsid w:val="00DE4F3F"/>
    <w:rsid w:val="00DE5508"/>
    <w:rsid w:val="00DE56BE"/>
    <w:rsid w:val="00DE56C4"/>
    <w:rsid w:val="00DE7B1A"/>
    <w:rsid w:val="00DE7FE7"/>
    <w:rsid w:val="00DF47A7"/>
    <w:rsid w:val="00E0288A"/>
    <w:rsid w:val="00E038C4"/>
    <w:rsid w:val="00E03FF6"/>
    <w:rsid w:val="00E0665A"/>
    <w:rsid w:val="00E120FB"/>
    <w:rsid w:val="00E12680"/>
    <w:rsid w:val="00E1291D"/>
    <w:rsid w:val="00E148EB"/>
    <w:rsid w:val="00E17597"/>
    <w:rsid w:val="00E2223F"/>
    <w:rsid w:val="00E244CD"/>
    <w:rsid w:val="00E316B6"/>
    <w:rsid w:val="00E31856"/>
    <w:rsid w:val="00E32F34"/>
    <w:rsid w:val="00E33196"/>
    <w:rsid w:val="00E365D6"/>
    <w:rsid w:val="00E41E69"/>
    <w:rsid w:val="00E45589"/>
    <w:rsid w:val="00E51984"/>
    <w:rsid w:val="00E54DAD"/>
    <w:rsid w:val="00E55154"/>
    <w:rsid w:val="00E57924"/>
    <w:rsid w:val="00E60291"/>
    <w:rsid w:val="00E67745"/>
    <w:rsid w:val="00E71123"/>
    <w:rsid w:val="00E72C4B"/>
    <w:rsid w:val="00E757A8"/>
    <w:rsid w:val="00E75E7E"/>
    <w:rsid w:val="00E769A6"/>
    <w:rsid w:val="00E769E4"/>
    <w:rsid w:val="00E76E61"/>
    <w:rsid w:val="00E778EA"/>
    <w:rsid w:val="00E87B85"/>
    <w:rsid w:val="00E9212A"/>
    <w:rsid w:val="00E93C50"/>
    <w:rsid w:val="00E95994"/>
    <w:rsid w:val="00EA1C37"/>
    <w:rsid w:val="00EA2049"/>
    <w:rsid w:val="00EA4DFE"/>
    <w:rsid w:val="00EA6274"/>
    <w:rsid w:val="00EA7924"/>
    <w:rsid w:val="00EB29E0"/>
    <w:rsid w:val="00EB2F72"/>
    <w:rsid w:val="00EB394E"/>
    <w:rsid w:val="00EB4329"/>
    <w:rsid w:val="00EB7407"/>
    <w:rsid w:val="00EC0138"/>
    <w:rsid w:val="00EC456C"/>
    <w:rsid w:val="00EC5A8D"/>
    <w:rsid w:val="00EC5D64"/>
    <w:rsid w:val="00ED03C2"/>
    <w:rsid w:val="00ED2E58"/>
    <w:rsid w:val="00ED4DA1"/>
    <w:rsid w:val="00ED5712"/>
    <w:rsid w:val="00ED6125"/>
    <w:rsid w:val="00ED73A9"/>
    <w:rsid w:val="00EE008A"/>
    <w:rsid w:val="00EE1771"/>
    <w:rsid w:val="00EE2DED"/>
    <w:rsid w:val="00EE62BC"/>
    <w:rsid w:val="00EE76DD"/>
    <w:rsid w:val="00EF5B68"/>
    <w:rsid w:val="00F00768"/>
    <w:rsid w:val="00F014A2"/>
    <w:rsid w:val="00F016A8"/>
    <w:rsid w:val="00F016F5"/>
    <w:rsid w:val="00F0190D"/>
    <w:rsid w:val="00F0242B"/>
    <w:rsid w:val="00F042D1"/>
    <w:rsid w:val="00F1159C"/>
    <w:rsid w:val="00F11DE8"/>
    <w:rsid w:val="00F11ED7"/>
    <w:rsid w:val="00F13C94"/>
    <w:rsid w:val="00F15AC6"/>
    <w:rsid w:val="00F17156"/>
    <w:rsid w:val="00F204AB"/>
    <w:rsid w:val="00F22708"/>
    <w:rsid w:val="00F22FFA"/>
    <w:rsid w:val="00F25EE1"/>
    <w:rsid w:val="00F2624F"/>
    <w:rsid w:val="00F27E42"/>
    <w:rsid w:val="00F313CE"/>
    <w:rsid w:val="00F31BC1"/>
    <w:rsid w:val="00F31E41"/>
    <w:rsid w:val="00F338F3"/>
    <w:rsid w:val="00F35015"/>
    <w:rsid w:val="00F35D6F"/>
    <w:rsid w:val="00F35DE3"/>
    <w:rsid w:val="00F36453"/>
    <w:rsid w:val="00F36556"/>
    <w:rsid w:val="00F36E74"/>
    <w:rsid w:val="00F404D4"/>
    <w:rsid w:val="00F40DF8"/>
    <w:rsid w:val="00F40EC7"/>
    <w:rsid w:val="00F41F39"/>
    <w:rsid w:val="00F42FA3"/>
    <w:rsid w:val="00F436D1"/>
    <w:rsid w:val="00F45CD4"/>
    <w:rsid w:val="00F45FAF"/>
    <w:rsid w:val="00F462E3"/>
    <w:rsid w:val="00F51B9B"/>
    <w:rsid w:val="00F53D90"/>
    <w:rsid w:val="00F6063E"/>
    <w:rsid w:val="00F6210A"/>
    <w:rsid w:val="00F627F1"/>
    <w:rsid w:val="00F66A8C"/>
    <w:rsid w:val="00F70FF3"/>
    <w:rsid w:val="00F7184F"/>
    <w:rsid w:val="00F73690"/>
    <w:rsid w:val="00F73C4E"/>
    <w:rsid w:val="00F74439"/>
    <w:rsid w:val="00F75C18"/>
    <w:rsid w:val="00F76847"/>
    <w:rsid w:val="00F76A26"/>
    <w:rsid w:val="00F777C2"/>
    <w:rsid w:val="00F81DBE"/>
    <w:rsid w:val="00F81E00"/>
    <w:rsid w:val="00F83EA6"/>
    <w:rsid w:val="00F84B40"/>
    <w:rsid w:val="00F84CCE"/>
    <w:rsid w:val="00F875FF"/>
    <w:rsid w:val="00F87C45"/>
    <w:rsid w:val="00F87E2C"/>
    <w:rsid w:val="00F90DFD"/>
    <w:rsid w:val="00F9538A"/>
    <w:rsid w:val="00FA00F7"/>
    <w:rsid w:val="00FA159A"/>
    <w:rsid w:val="00FA256C"/>
    <w:rsid w:val="00FA319C"/>
    <w:rsid w:val="00FA417E"/>
    <w:rsid w:val="00FA4490"/>
    <w:rsid w:val="00FA4DF9"/>
    <w:rsid w:val="00FA5C6F"/>
    <w:rsid w:val="00FB090C"/>
    <w:rsid w:val="00FB2F01"/>
    <w:rsid w:val="00FB4B61"/>
    <w:rsid w:val="00FB7EA9"/>
    <w:rsid w:val="00FB7EE1"/>
    <w:rsid w:val="00FC2399"/>
    <w:rsid w:val="00FC2B28"/>
    <w:rsid w:val="00FC7AB9"/>
    <w:rsid w:val="00FD05E5"/>
    <w:rsid w:val="00FD0BB2"/>
    <w:rsid w:val="00FD444B"/>
    <w:rsid w:val="00FD5DC3"/>
    <w:rsid w:val="00FD6BF2"/>
    <w:rsid w:val="00FD74DB"/>
    <w:rsid w:val="00FD7F52"/>
    <w:rsid w:val="00FE0FED"/>
    <w:rsid w:val="00FE373F"/>
    <w:rsid w:val="00FE3F9F"/>
    <w:rsid w:val="00FE48C3"/>
    <w:rsid w:val="00FE5A94"/>
    <w:rsid w:val="00FE68FB"/>
    <w:rsid w:val="00FE724E"/>
    <w:rsid w:val="00FE7702"/>
    <w:rsid w:val="00FE7CE5"/>
    <w:rsid w:val="00FF0F2C"/>
    <w:rsid w:val="00FF2E1D"/>
    <w:rsid w:val="00FF745C"/>
    <w:rsid w:val="04100A92"/>
    <w:rsid w:val="09996AF6"/>
    <w:rsid w:val="0CF90096"/>
    <w:rsid w:val="11F652D7"/>
    <w:rsid w:val="13128571"/>
    <w:rsid w:val="150F7413"/>
    <w:rsid w:val="15782BEA"/>
    <w:rsid w:val="17D52A65"/>
    <w:rsid w:val="1A3BFF2F"/>
    <w:rsid w:val="20D1A091"/>
    <w:rsid w:val="219004F4"/>
    <w:rsid w:val="21F71051"/>
    <w:rsid w:val="227566F5"/>
    <w:rsid w:val="28D2A3B5"/>
    <w:rsid w:val="2C78F1D4"/>
    <w:rsid w:val="2F449C03"/>
    <w:rsid w:val="3BBD8CA1"/>
    <w:rsid w:val="3C289F87"/>
    <w:rsid w:val="42B22A0B"/>
    <w:rsid w:val="46594007"/>
    <w:rsid w:val="50EBDFA0"/>
    <w:rsid w:val="51E01F54"/>
    <w:rsid w:val="5508D111"/>
    <w:rsid w:val="5DCA36DE"/>
    <w:rsid w:val="5E1BB0A7"/>
    <w:rsid w:val="61A7ECD0"/>
    <w:rsid w:val="63996F39"/>
    <w:rsid w:val="681C06F2"/>
    <w:rsid w:val="6D79FB3D"/>
    <w:rsid w:val="6DC6244A"/>
    <w:rsid w:val="71EC0DFE"/>
    <w:rsid w:val="720097C7"/>
    <w:rsid w:val="7626E3EE"/>
    <w:rsid w:val="797E800A"/>
    <w:rsid w:val="7C7560D0"/>
    <w:rsid w:val="7EE57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53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23F"/>
    <w:pPr>
      <w:spacing w:after="100" w:afterAutospacing="1"/>
      <w:jc w:val="both"/>
    </w:pPr>
    <w:rPr>
      <w:rFonts w:ascii="Arial" w:hAnsi="Arial"/>
      <w:sz w:val="24"/>
      <w:szCs w:val="24"/>
    </w:rPr>
  </w:style>
  <w:style w:type="paragraph" w:styleId="Heading1">
    <w:name w:val="heading 1"/>
    <w:basedOn w:val="Normal"/>
    <w:next w:val="Normal"/>
    <w:link w:val="Heading1Char"/>
    <w:qFormat/>
    <w:rsid w:val="00D50B3D"/>
    <w:pPr>
      <w:keepNext/>
      <w:keepLines/>
      <w:numPr>
        <w:numId w:val="15"/>
      </w:numPr>
      <w:spacing w:before="100" w:beforeAutospacing="1" w:after="120" w:afterAutospacing="0"/>
      <w:outlineLvl w:val="0"/>
    </w:pPr>
    <w:rPr>
      <w:rFonts w:eastAsiaTheme="majorEastAsia" w:cs="Arial"/>
      <w:b/>
      <w:bCs/>
      <w:color w:val="0077C0" w:themeColor="accent1"/>
      <w:sz w:val="32"/>
      <w:szCs w:val="28"/>
    </w:rPr>
  </w:style>
  <w:style w:type="paragraph" w:styleId="Heading2">
    <w:name w:val="heading 2"/>
    <w:basedOn w:val="Normal"/>
    <w:next w:val="Normal"/>
    <w:link w:val="Heading2Char"/>
    <w:unhideWhenUsed/>
    <w:qFormat/>
    <w:rsid w:val="00E2223F"/>
    <w:pPr>
      <w:keepNext/>
      <w:keepLines/>
      <w:spacing w:before="100" w:beforeAutospacing="1" w:after="120" w:afterAutospacing="0"/>
      <w:outlineLvl w:val="1"/>
    </w:pPr>
    <w:rPr>
      <w:rFonts w:eastAsiaTheme="majorEastAsia" w:cstheme="majorBidi"/>
      <w:bCs/>
      <w:color w:val="0077C0" w:themeColor="accent1"/>
      <w:sz w:val="28"/>
      <w:szCs w:val="26"/>
    </w:rPr>
  </w:style>
  <w:style w:type="paragraph" w:styleId="Heading3">
    <w:name w:val="heading 3"/>
    <w:basedOn w:val="Normal"/>
    <w:next w:val="Normal"/>
    <w:link w:val="Heading3Char"/>
    <w:unhideWhenUsed/>
    <w:qFormat/>
    <w:rsid w:val="00D50B3D"/>
    <w:pPr>
      <w:keepNext/>
      <w:keepLines/>
      <w:spacing w:after="60" w:afterAutospacing="0"/>
      <w:outlineLvl w:val="2"/>
    </w:pPr>
    <w:rPr>
      <w:rFonts w:eastAsiaTheme="majorEastAsia" w:cstheme="majorBidi"/>
      <w:color w:val="0077C0" w:themeColor="accent1"/>
    </w:rPr>
  </w:style>
  <w:style w:type="paragraph" w:styleId="Heading4">
    <w:name w:val="heading 4"/>
    <w:basedOn w:val="Normal"/>
    <w:next w:val="Normal"/>
    <w:link w:val="Heading4Char"/>
    <w:semiHidden/>
    <w:unhideWhenUsed/>
    <w:qFormat/>
    <w:rsid w:val="000C3E0B"/>
    <w:pPr>
      <w:keepNext/>
      <w:keepLines/>
      <w:spacing w:before="40"/>
      <w:outlineLvl w:val="3"/>
    </w:pPr>
    <w:rPr>
      <w:rFonts w:asciiTheme="majorHAnsi" w:eastAsiaTheme="majorEastAsia" w:hAnsiTheme="majorHAnsi" w:cstheme="majorBidi"/>
      <w:i/>
      <w:iCs/>
      <w:color w:val="00598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0B3D"/>
    <w:rPr>
      <w:rFonts w:ascii="Arial" w:eastAsiaTheme="majorEastAsia" w:hAnsi="Arial" w:cs="Arial"/>
      <w:b/>
      <w:bCs/>
      <w:color w:val="0077C0" w:themeColor="accent1"/>
      <w:sz w:val="32"/>
      <w:szCs w:val="28"/>
    </w:rPr>
  </w:style>
  <w:style w:type="paragraph" w:styleId="Subtitle">
    <w:name w:val="Subtitle"/>
    <w:basedOn w:val="Normal"/>
    <w:next w:val="Normal"/>
    <w:link w:val="SubtitleChar"/>
    <w:qFormat/>
    <w:rsid w:val="00B874FA"/>
    <w:pPr>
      <w:numPr>
        <w:ilvl w:val="1"/>
      </w:numPr>
    </w:pPr>
    <w:rPr>
      <w:rFonts w:asciiTheme="majorHAnsi" w:eastAsiaTheme="majorEastAsia" w:hAnsiTheme="majorHAnsi" w:cstheme="majorBidi"/>
      <w:i/>
      <w:iCs/>
      <w:color w:val="0077C0" w:themeColor="accent1"/>
      <w:spacing w:val="15"/>
    </w:rPr>
  </w:style>
  <w:style w:type="character" w:customStyle="1" w:styleId="SubtitleChar">
    <w:name w:val="Subtitle Char"/>
    <w:basedOn w:val="DefaultParagraphFont"/>
    <w:link w:val="Subtitle"/>
    <w:rsid w:val="00B874FA"/>
    <w:rPr>
      <w:rFonts w:asciiTheme="majorHAnsi" w:eastAsiaTheme="majorEastAsia" w:hAnsiTheme="majorHAnsi" w:cstheme="majorBidi"/>
      <w:i/>
      <w:iCs/>
      <w:color w:val="0077C0" w:themeColor="accent1"/>
      <w:spacing w:val="15"/>
      <w:sz w:val="24"/>
      <w:szCs w:val="24"/>
    </w:rPr>
  </w:style>
  <w:style w:type="character" w:styleId="Strong">
    <w:name w:val="Strong"/>
    <w:basedOn w:val="DefaultParagraphFont"/>
    <w:qFormat/>
    <w:rsid w:val="00B874FA"/>
    <w:rPr>
      <w:b/>
      <w:bCs/>
    </w:rPr>
  </w:style>
  <w:style w:type="paragraph" w:styleId="ListParagraph">
    <w:name w:val="List Paragraph"/>
    <w:aliases w:val="Recommendation,List Paragraph1,List Paragraph11,L,CV text,Table text,F5 List Paragraph,Dot pt,Medium Grid 1 - Accent 21,Numbered Paragraph,List Paragraph111,List Paragraph2,Bulleted Para,NFP GP Bulleted List,FooterText,numbered,列出段落,列出段落1"/>
    <w:basedOn w:val="Normal"/>
    <w:link w:val="ListParagraphChar"/>
    <w:uiPriority w:val="34"/>
    <w:qFormat/>
    <w:rsid w:val="000A2545"/>
    <w:pPr>
      <w:numPr>
        <w:numId w:val="1"/>
      </w:numPr>
      <w:spacing w:before="80"/>
    </w:pPr>
    <w:rPr>
      <w:rFonts w:eastAsiaTheme="minorHAnsi" w:cs="Arial"/>
    </w:rPr>
  </w:style>
  <w:style w:type="character" w:customStyle="1" w:styleId="ListParagraphChar">
    <w:name w:val="List Paragraph Char"/>
    <w:aliases w:val="Recommendation Char,List Paragraph1 Char,List Paragraph11 Char,L Char,CV text Char,Table text Char,F5 List Paragraph Char,Dot pt Char,Medium Grid 1 - Accent 21 Char,Numbered Paragraph Char,List Paragraph111 Char,List Paragraph2 Char"/>
    <w:basedOn w:val="DefaultParagraphFont"/>
    <w:link w:val="ListParagraph"/>
    <w:uiPriority w:val="34"/>
    <w:qFormat/>
    <w:locked/>
    <w:rsid w:val="000A2545"/>
    <w:rPr>
      <w:rFonts w:ascii="Arial" w:eastAsiaTheme="minorHAnsi" w:hAnsi="Arial" w:cs="Arial"/>
      <w:sz w:val="24"/>
      <w:szCs w:val="24"/>
    </w:rPr>
  </w:style>
  <w:style w:type="character" w:styleId="IntenseEmphasis">
    <w:name w:val="Intense Emphasis"/>
    <w:basedOn w:val="DefaultParagraphFont"/>
    <w:uiPriority w:val="21"/>
    <w:qFormat/>
    <w:rsid w:val="00FD7F52"/>
    <w:rPr>
      <w:b w:val="0"/>
      <w:bCs/>
      <w:i/>
      <w:iCs/>
      <w:color w:val="003B60" w:themeColor="accent6" w:themeShade="80"/>
    </w:rPr>
  </w:style>
  <w:style w:type="character" w:customStyle="1" w:styleId="Heading2Char">
    <w:name w:val="Heading 2 Char"/>
    <w:basedOn w:val="DefaultParagraphFont"/>
    <w:link w:val="Heading2"/>
    <w:rsid w:val="00E2223F"/>
    <w:rPr>
      <w:rFonts w:ascii="Arial" w:eastAsiaTheme="majorEastAsia" w:hAnsi="Arial" w:cstheme="majorBidi"/>
      <w:bCs/>
      <w:color w:val="0077C0" w:themeColor="accent1"/>
      <w:sz w:val="28"/>
      <w:szCs w:val="26"/>
    </w:rPr>
  </w:style>
  <w:style w:type="character" w:styleId="CommentReference">
    <w:name w:val="annotation reference"/>
    <w:basedOn w:val="DefaultParagraphFont"/>
    <w:unhideWhenUsed/>
    <w:rsid w:val="00857259"/>
    <w:rPr>
      <w:sz w:val="16"/>
      <w:szCs w:val="16"/>
    </w:rPr>
  </w:style>
  <w:style w:type="paragraph" w:styleId="CommentText">
    <w:name w:val="annotation text"/>
    <w:basedOn w:val="Normal"/>
    <w:link w:val="CommentTextChar"/>
    <w:uiPriority w:val="99"/>
    <w:semiHidden/>
    <w:unhideWhenUsed/>
    <w:rsid w:val="00857259"/>
    <w:rPr>
      <w:sz w:val="20"/>
      <w:szCs w:val="20"/>
    </w:rPr>
  </w:style>
  <w:style w:type="character" w:customStyle="1" w:styleId="CommentTextChar">
    <w:name w:val="Comment Text Char"/>
    <w:basedOn w:val="DefaultParagraphFont"/>
    <w:link w:val="CommentText"/>
    <w:uiPriority w:val="99"/>
    <w:semiHidden/>
    <w:rsid w:val="00857259"/>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57259"/>
    <w:rPr>
      <w:b/>
      <w:bCs/>
    </w:rPr>
  </w:style>
  <w:style w:type="character" w:customStyle="1" w:styleId="CommentSubjectChar">
    <w:name w:val="Comment Subject Char"/>
    <w:basedOn w:val="CommentTextChar"/>
    <w:link w:val="CommentSubject"/>
    <w:uiPriority w:val="99"/>
    <w:semiHidden/>
    <w:rsid w:val="00857259"/>
    <w:rPr>
      <w:rFonts w:asciiTheme="minorHAnsi" w:hAnsiTheme="minorHAnsi"/>
      <w:b/>
      <w:bCs/>
    </w:rPr>
  </w:style>
  <w:style w:type="paragraph" w:styleId="BalloonText">
    <w:name w:val="Balloon Text"/>
    <w:basedOn w:val="Normal"/>
    <w:link w:val="BalloonTextChar"/>
    <w:uiPriority w:val="99"/>
    <w:semiHidden/>
    <w:unhideWhenUsed/>
    <w:rsid w:val="00857259"/>
    <w:rPr>
      <w:rFonts w:ascii="Tahoma" w:hAnsi="Tahoma" w:cs="Tahoma"/>
      <w:sz w:val="16"/>
      <w:szCs w:val="16"/>
    </w:rPr>
  </w:style>
  <w:style w:type="character" w:customStyle="1" w:styleId="BalloonTextChar">
    <w:name w:val="Balloon Text Char"/>
    <w:basedOn w:val="DefaultParagraphFont"/>
    <w:link w:val="BalloonText"/>
    <w:uiPriority w:val="99"/>
    <w:semiHidden/>
    <w:rsid w:val="00857259"/>
    <w:rPr>
      <w:rFonts w:ascii="Tahoma" w:hAnsi="Tahoma" w:cs="Tahoma"/>
      <w:sz w:val="16"/>
      <w:szCs w:val="16"/>
    </w:rPr>
  </w:style>
  <w:style w:type="character" w:styleId="Hyperlink">
    <w:name w:val="Hyperlink"/>
    <w:basedOn w:val="DefaultParagraphFont"/>
    <w:uiPriority w:val="99"/>
    <w:unhideWhenUsed/>
    <w:rsid w:val="00356E74"/>
    <w:rPr>
      <w:color w:val="0077C0" w:themeColor="hyperlink"/>
      <w:u w:val="single"/>
    </w:rPr>
  </w:style>
  <w:style w:type="paragraph" w:styleId="Header">
    <w:name w:val="header"/>
    <w:basedOn w:val="Normal"/>
    <w:link w:val="HeaderChar"/>
    <w:uiPriority w:val="99"/>
    <w:unhideWhenUsed/>
    <w:rsid w:val="00762007"/>
    <w:pPr>
      <w:tabs>
        <w:tab w:val="center" w:pos="4513"/>
        <w:tab w:val="right" w:pos="9026"/>
      </w:tabs>
    </w:pPr>
  </w:style>
  <w:style w:type="character" w:customStyle="1" w:styleId="HeaderChar">
    <w:name w:val="Header Char"/>
    <w:basedOn w:val="DefaultParagraphFont"/>
    <w:link w:val="Header"/>
    <w:uiPriority w:val="99"/>
    <w:rsid w:val="00762007"/>
    <w:rPr>
      <w:rFonts w:asciiTheme="minorHAnsi" w:hAnsiTheme="minorHAnsi"/>
      <w:sz w:val="24"/>
      <w:szCs w:val="24"/>
    </w:rPr>
  </w:style>
  <w:style w:type="paragraph" w:styleId="Footer">
    <w:name w:val="footer"/>
    <w:basedOn w:val="Normal"/>
    <w:link w:val="FooterChar"/>
    <w:uiPriority w:val="99"/>
    <w:unhideWhenUsed/>
    <w:rsid w:val="00762007"/>
    <w:pPr>
      <w:tabs>
        <w:tab w:val="center" w:pos="4513"/>
        <w:tab w:val="right" w:pos="9026"/>
      </w:tabs>
    </w:pPr>
  </w:style>
  <w:style w:type="character" w:customStyle="1" w:styleId="FooterChar">
    <w:name w:val="Footer Char"/>
    <w:basedOn w:val="DefaultParagraphFont"/>
    <w:link w:val="Footer"/>
    <w:uiPriority w:val="99"/>
    <w:rsid w:val="00762007"/>
    <w:rPr>
      <w:rFonts w:asciiTheme="minorHAnsi" w:hAnsiTheme="minorHAnsi"/>
      <w:sz w:val="24"/>
      <w:szCs w:val="24"/>
    </w:rPr>
  </w:style>
  <w:style w:type="paragraph" w:styleId="FootnoteText">
    <w:name w:val="footnote text"/>
    <w:basedOn w:val="Normal"/>
    <w:link w:val="FootnoteTextChar"/>
    <w:unhideWhenUsed/>
    <w:rsid w:val="00E33196"/>
    <w:rPr>
      <w:sz w:val="20"/>
      <w:szCs w:val="20"/>
    </w:rPr>
  </w:style>
  <w:style w:type="character" w:customStyle="1" w:styleId="FootnoteTextChar">
    <w:name w:val="Footnote Text Char"/>
    <w:basedOn w:val="DefaultParagraphFont"/>
    <w:link w:val="FootnoteText"/>
    <w:uiPriority w:val="99"/>
    <w:semiHidden/>
    <w:rsid w:val="00E33196"/>
    <w:rPr>
      <w:rFonts w:asciiTheme="minorHAnsi" w:hAnsiTheme="minorHAnsi"/>
    </w:rPr>
  </w:style>
  <w:style w:type="character" w:styleId="FootnoteReference">
    <w:name w:val="footnote reference"/>
    <w:basedOn w:val="DefaultParagraphFont"/>
    <w:unhideWhenUsed/>
    <w:rsid w:val="00E33196"/>
    <w:rPr>
      <w:vertAlign w:val="superscript"/>
    </w:rPr>
  </w:style>
  <w:style w:type="paragraph" w:styleId="EndnoteText">
    <w:name w:val="endnote text"/>
    <w:basedOn w:val="Normal"/>
    <w:link w:val="EndnoteTextChar"/>
    <w:uiPriority w:val="99"/>
    <w:semiHidden/>
    <w:unhideWhenUsed/>
    <w:rsid w:val="00C31B54"/>
    <w:rPr>
      <w:sz w:val="20"/>
      <w:szCs w:val="20"/>
    </w:rPr>
  </w:style>
  <w:style w:type="character" w:customStyle="1" w:styleId="EndnoteTextChar">
    <w:name w:val="Endnote Text Char"/>
    <w:basedOn w:val="DefaultParagraphFont"/>
    <w:link w:val="EndnoteText"/>
    <w:uiPriority w:val="99"/>
    <w:semiHidden/>
    <w:rsid w:val="00C31B54"/>
    <w:rPr>
      <w:rFonts w:asciiTheme="minorHAnsi" w:hAnsiTheme="minorHAnsi"/>
    </w:rPr>
  </w:style>
  <w:style w:type="character" w:styleId="EndnoteReference">
    <w:name w:val="endnote reference"/>
    <w:basedOn w:val="DefaultParagraphFont"/>
    <w:uiPriority w:val="99"/>
    <w:semiHidden/>
    <w:unhideWhenUsed/>
    <w:rsid w:val="00C31B54"/>
    <w:rPr>
      <w:vertAlign w:val="superscript"/>
    </w:rPr>
  </w:style>
  <w:style w:type="character" w:styleId="PlaceholderText">
    <w:name w:val="Placeholder Text"/>
    <w:basedOn w:val="DefaultParagraphFont"/>
    <w:uiPriority w:val="99"/>
    <w:semiHidden/>
    <w:rsid w:val="00947037"/>
    <w:rPr>
      <w:color w:val="808080"/>
    </w:rPr>
  </w:style>
  <w:style w:type="character" w:styleId="FollowedHyperlink">
    <w:name w:val="FollowedHyperlink"/>
    <w:basedOn w:val="DefaultParagraphFont"/>
    <w:uiPriority w:val="99"/>
    <w:semiHidden/>
    <w:unhideWhenUsed/>
    <w:rsid w:val="003D247F"/>
    <w:rPr>
      <w:color w:val="800080" w:themeColor="followedHyperlink"/>
      <w:u w:val="single"/>
    </w:rPr>
  </w:style>
  <w:style w:type="paragraph" w:styleId="Revision">
    <w:name w:val="Revision"/>
    <w:hidden/>
    <w:uiPriority w:val="99"/>
    <w:semiHidden/>
    <w:rsid w:val="006F7202"/>
    <w:rPr>
      <w:rFonts w:asciiTheme="minorHAnsi" w:hAnsiTheme="minorHAnsi"/>
      <w:sz w:val="24"/>
      <w:szCs w:val="24"/>
    </w:rPr>
  </w:style>
  <w:style w:type="table" w:styleId="TableGrid">
    <w:name w:val="Table Grid"/>
    <w:basedOn w:val="TableNormal"/>
    <w:uiPriority w:val="59"/>
    <w:rsid w:val="003C0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937B8"/>
  </w:style>
  <w:style w:type="character" w:styleId="BookTitle">
    <w:name w:val="Book Title"/>
    <w:aliases w:val="cover page title"/>
    <w:basedOn w:val="DefaultParagraphFont"/>
    <w:uiPriority w:val="33"/>
    <w:qFormat/>
    <w:rsid w:val="002C2FB2"/>
    <w:rPr>
      <w:rFonts w:ascii="Arial" w:hAnsi="Arial"/>
      <w:bCs/>
      <w:spacing w:val="5"/>
      <w:sz w:val="52"/>
    </w:rPr>
  </w:style>
  <w:style w:type="paragraph" w:customStyle="1" w:styleId="Default">
    <w:name w:val="Default"/>
    <w:rsid w:val="007B7EB1"/>
    <w:pPr>
      <w:autoSpaceDE w:val="0"/>
      <w:autoSpaceDN w:val="0"/>
      <w:adjustRightInd w:val="0"/>
      <w:spacing w:after="200"/>
    </w:pPr>
    <w:rPr>
      <w:rFonts w:ascii="Arial" w:hAnsi="Arial" w:cs="Arial"/>
      <w:color w:val="000000"/>
      <w:sz w:val="22"/>
      <w:szCs w:val="24"/>
    </w:rPr>
  </w:style>
  <w:style w:type="character" w:customStyle="1" w:styleId="Heading3Char">
    <w:name w:val="Heading 3 Char"/>
    <w:basedOn w:val="DefaultParagraphFont"/>
    <w:link w:val="Heading3"/>
    <w:rsid w:val="00D50B3D"/>
    <w:rPr>
      <w:rFonts w:ascii="Arial" w:eastAsiaTheme="majorEastAsia" w:hAnsi="Arial" w:cstheme="majorBidi"/>
      <w:color w:val="0077C0" w:themeColor="accent1"/>
      <w:sz w:val="24"/>
      <w:szCs w:val="24"/>
    </w:rPr>
  </w:style>
  <w:style w:type="character" w:customStyle="1" w:styleId="Heading4Char">
    <w:name w:val="Heading 4 Char"/>
    <w:basedOn w:val="DefaultParagraphFont"/>
    <w:link w:val="Heading4"/>
    <w:semiHidden/>
    <w:rsid w:val="000C3E0B"/>
    <w:rPr>
      <w:rFonts w:asciiTheme="majorHAnsi" w:eastAsiaTheme="majorEastAsia" w:hAnsiTheme="majorHAnsi" w:cstheme="majorBidi"/>
      <w:i/>
      <w:iCs/>
      <w:color w:val="00598F" w:themeColor="accent1" w:themeShade="BF"/>
      <w:sz w:val="24"/>
      <w:szCs w:val="24"/>
    </w:rPr>
  </w:style>
  <w:style w:type="paragraph" w:styleId="Caption">
    <w:name w:val="caption"/>
    <w:basedOn w:val="Normal"/>
    <w:next w:val="Normal"/>
    <w:uiPriority w:val="35"/>
    <w:unhideWhenUsed/>
    <w:qFormat/>
    <w:rsid w:val="000C3E0B"/>
    <w:pPr>
      <w:suppressAutoHyphens/>
      <w:spacing w:after="160"/>
    </w:pPr>
    <w:rPr>
      <w:rFonts w:asciiTheme="minorHAnsi" w:eastAsiaTheme="minorEastAsia" w:hAnsiTheme="minorHAnsi" w:cstheme="minorBidi"/>
      <w:b/>
      <w:bCs/>
      <w:color w:val="0077C0" w:themeColor="text2"/>
      <w:sz w:val="22"/>
      <w:szCs w:val="22"/>
    </w:rPr>
  </w:style>
  <w:style w:type="numbering" w:customStyle="1" w:styleId="NoList1">
    <w:name w:val="No List_1"/>
    <w:basedOn w:val="NoList"/>
    <w:rsid w:val="000C3E0B"/>
    <w:pPr>
      <w:numPr>
        <w:numId w:val="8"/>
      </w:numPr>
    </w:pPr>
  </w:style>
  <w:style w:type="numbering" w:customStyle="1" w:styleId="WWNum2">
    <w:name w:val="WWNum2"/>
    <w:basedOn w:val="NoList"/>
    <w:rsid w:val="000C3E0B"/>
    <w:pPr>
      <w:numPr>
        <w:numId w:val="9"/>
      </w:numPr>
    </w:pPr>
  </w:style>
  <w:style w:type="numbering" w:customStyle="1" w:styleId="WWNum3">
    <w:name w:val="WWNum3"/>
    <w:basedOn w:val="NoList"/>
    <w:rsid w:val="000C3E0B"/>
    <w:pPr>
      <w:numPr>
        <w:numId w:val="10"/>
      </w:numPr>
    </w:pPr>
  </w:style>
  <w:style w:type="paragraph" w:styleId="NormalWeb">
    <w:name w:val="Normal (Web)"/>
    <w:basedOn w:val="Normal"/>
    <w:uiPriority w:val="99"/>
    <w:semiHidden/>
    <w:unhideWhenUsed/>
    <w:rsid w:val="008A04EE"/>
    <w:pPr>
      <w:spacing w:before="100" w:beforeAutospacing="1"/>
      <w:jc w:val="left"/>
    </w:pPr>
    <w:rPr>
      <w:rFonts w:ascii="Times New Roman" w:hAnsi="Times New Roman"/>
      <w:lang w:eastAsia="en-AU"/>
    </w:rPr>
  </w:style>
  <w:style w:type="character" w:styleId="Emphasis">
    <w:name w:val="Emphasis"/>
    <w:basedOn w:val="DefaultParagraphFont"/>
    <w:uiPriority w:val="20"/>
    <w:qFormat/>
    <w:rsid w:val="008A04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1592">
      <w:bodyDiv w:val="1"/>
      <w:marLeft w:val="0"/>
      <w:marRight w:val="0"/>
      <w:marTop w:val="0"/>
      <w:marBottom w:val="0"/>
      <w:divBdr>
        <w:top w:val="none" w:sz="0" w:space="0" w:color="auto"/>
        <w:left w:val="none" w:sz="0" w:space="0" w:color="auto"/>
        <w:bottom w:val="none" w:sz="0" w:space="0" w:color="auto"/>
        <w:right w:val="none" w:sz="0" w:space="0" w:color="auto"/>
      </w:divBdr>
    </w:div>
    <w:div w:id="70084186">
      <w:bodyDiv w:val="1"/>
      <w:marLeft w:val="0"/>
      <w:marRight w:val="0"/>
      <w:marTop w:val="0"/>
      <w:marBottom w:val="0"/>
      <w:divBdr>
        <w:top w:val="none" w:sz="0" w:space="0" w:color="auto"/>
        <w:left w:val="none" w:sz="0" w:space="0" w:color="auto"/>
        <w:bottom w:val="none" w:sz="0" w:space="0" w:color="auto"/>
        <w:right w:val="none" w:sz="0" w:space="0" w:color="auto"/>
      </w:divBdr>
    </w:div>
    <w:div w:id="163251796">
      <w:bodyDiv w:val="1"/>
      <w:marLeft w:val="0"/>
      <w:marRight w:val="0"/>
      <w:marTop w:val="0"/>
      <w:marBottom w:val="0"/>
      <w:divBdr>
        <w:top w:val="none" w:sz="0" w:space="0" w:color="auto"/>
        <w:left w:val="none" w:sz="0" w:space="0" w:color="auto"/>
        <w:bottom w:val="none" w:sz="0" w:space="0" w:color="auto"/>
        <w:right w:val="none" w:sz="0" w:space="0" w:color="auto"/>
      </w:divBdr>
    </w:div>
    <w:div w:id="501706900">
      <w:bodyDiv w:val="1"/>
      <w:marLeft w:val="0"/>
      <w:marRight w:val="0"/>
      <w:marTop w:val="0"/>
      <w:marBottom w:val="0"/>
      <w:divBdr>
        <w:top w:val="none" w:sz="0" w:space="0" w:color="auto"/>
        <w:left w:val="none" w:sz="0" w:space="0" w:color="auto"/>
        <w:bottom w:val="none" w:sz="0" w:space="0" w:color="auto"/>
        <w:right w:val="none" w:sz="0" w:space="0" w:color="auto"/>
      </w:divBdr>
    </w:div>
    <w:div w:id="924070195">
      <w:bodyDiv w:val="1"/>
      <w:marLeft w:val="0"/>
      <w:marRight w:val="0"/>
      <w:marTop w:val="0"/>
      <w:marBottom w:val="0"/>
      <w:divBdr>
        <w:top w:val="none" w:sz="0" w:space="0" w:color="auto"/>
        <w:left w:val="none" w:sz="0" w:space="0" w:color="auto"/>
        <w:bottom w:val="none" w:sz="0" w:space="0" w:color="auto"/>
        <w:right w:val="none" w:sz="0" w:space="0" w:color="auto"/>
      </w:divBdr>
    </w:div>
    <w:div w:id="1135022913">
      <w:bodyDiv w:val="1"/>
      <w:marLeft w:val="0"/>
      <w:marRight w:val="0"/>
      <w:marTop w:val="0"/>
      <w:marBottom w:val="0"/>
      <w:divBdr>
        <w:top w:val="none" w:sz="0" w:space="0" w:color="auto"/>
        <w:left w:val="none" w:sz="0" w:space="0" w:color="auto"/>
        <w:bottom w:val="none" w:sz="0" w:space="0" w:color="auto"/>
        <w:right w:val="none" w:sz="0" w:space="0" w:color="auto"/>
      </w:divBdr>
    </w:div>
    <w:div w:id="1411468303">
      <w:bodyDiv w:val="1"/>
      <w:marLeft w:val="0"/>
      <w:marRight w:val="0"/>
      <w:marTop w:val="0"/>
      <w:marBottom w:val="0"/>
      <w:divBdr>
        <w:top w:val="none" w:sz="0" w:space="0" w:color="auto"/>
        <w:left w:val="none" w:sz="0" w:space="0" w:color="auto"/>
        <w:bottom w:val="none" w:sz="0" w:space="0" w:color="auto"/>
        <w:right w:val="none" w:sz="0" w:space="0" w:color="auto"/>
      </w:divBdr>
    </w:div>
    <w:div w:id="1565524307">
      <w:bodyDiv w:val="1"/>
      <w:marLeft w:val="0"/>
      <w:marRight w:val="0"/>
      <w:marTop w:val="0"/>
      <w:marBottom w:val="0"/>
      <w:divBdr>
        <w:top w:val="none" w:sz="0" w:space="0" w:color="auto"/>
        <w:left w:val="none" w:sz="0" w:space="0" w:color="auto"/>
        <w:bottom w:val="none" w:sz="0" w:space="0" w:color="auto"/>
        <w:right w:val="none" w:sz="0" w:space="0" w:color="auto"/>
      </w:divBdr>
    </w:div>
    <w:div w:id="182119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reativecommons.org/licenses/by/4.0/legalcode" TargetMode="External"/><Relationship Id="rId18" Type="http://schemas.openxmlformats.org/officeDocument/2006/relationships/hyperlink" Target="https://publicsector.wa.gov.au/document/public-sector-commissioners-circular-2015-03-risk-management-and-business-continuity-planning" TargetMode="External"/><Relationship Id="rId3" Type="http://schemas.openxmlformats.org/officeDocument/2006/relationships/styles" Target="styles.xml"/><Relationship Id="rId21" Type="http://schemas.openxmlformats.org/officeDocument/2006/relationships/hyperlink" Target="http://www.gcio.wa.gov.au" TargetMode="External"/><Relationship Id="rId7" Type="http://schemas.openxmlformats.org/officeDocument/2006/relationships/endnotes" Target="endnotes.xml"/><Relationship Id="rId12" Type="http://schemas.openxmlformats.org/officeDocument/2006/relationships/image" Target="cid:image001.png@01D08C07.2BC9F5A0" TargetMode="External"/><Relationship Id="rId17" Type="http://schemas.openxmlformats.org/officeDocument/2006/relationships/hyperlink" Target="https://www.dpc.wa.gov.au/GuidelinesAndPolicies/PremiersCirculars/Pages/2016-03-Mandatory-Implementation-of-Whole-of-Government-ICT-Strategy-and-Policies.aspx"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icwa.wa.gov.au/riskcover/risk-manag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pc.wa.gov.au/GuidelinesAndPolicies/SymbolsOfWA/Pages/CoatofArms.aspx" TargetMode="External"/><Relationship Id="rId23" Type="http://schemas.openxmlformats.org/officeDocument/2006/relationships/fontTable" Target="fontTable.xml"/><Relationship Id="rId10" Type="http://schemas.openxmlformats.org/officeDocument/2006/relationships/hyperlink" Target="https://creativecommons.org/licenses/by/4.0/deed.us" TargetMode="External"/><Relationship Id="rId19" Type="http://schemas.openxmlformats.org/officeDocument/2006/relationships/hyperlink" Target="http://www.treasury.wa.gov.au/Treasury/Legislation/Financial_Legislation/" TargetMode="External"/><Relationship Id="rId4" Type="http://schemas.openxmlformats.org/officeDocument/2006/relationships/settings" Target="settings.xml"/><Relationship Id="rId9" Type="http://schemas.openxmlformats.org/officeDocument/2006/relationships/hyperlink" Target="mailto:policy@gcio.wa.gov.au" TargetMode="External"/><Relationship Id="rId14" Type="http://schemas.openxmlformats.org/officeDocument/2006/relationships/hyperlink" Target="http://www.gcio.wa.gov.a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GovNext-ICT">
      <a:dk1>
        <a:srgbClr val="0077C0"/>
      </a:dk1>
      <a:lt1>
        <a:sysClr val="window" lastClr="FFFFFF"/>
      </a:lt1>
      <a:dk2>
        <a:srgbClr val="0077C0"/>
      </a:dk2>
      <a:lt2>
        <a:srgbClr val="FFFFFF"/>
      </a:lt2>
      <a:accent1>
        <a:srgbClr val="0077C0"/>
      </a:accent1>
      <a:accent2>
        <a:srgbClr val="0077C0"/>
      </a:accent2>
      <a:accent3>
        <a:srgbClr val="0077C0"/>
      </a:accent3>
      <a:accent4>
        <a:srgbClr val="0077C0"/>
      </a:accent4>
      <a:accent5>
        <a:srgbClr val="0077C0"/>
      </a:accent5>
      <a:accent6>
        <a:srgbClr val="0077C0"/>
      </a:accent6>
      <a:hlink>
        <a:srgbClr val="0077C0"/>
      </a:hlink>
      <a:folHlink>
        <a:srgbClr val="800080"/>
      </a:folHlink>
    </a:clrScheme>
    <a:fontScheme name="Governme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2B80B-9BDF-4ABF-91FD-759893466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1979</Words>
  <Characters>11283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ICT Disaster Recovery for Business Continuity Policy</vt:lpstr>
    </vt:vector>
  </TitlesOfParts>
  <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 Disaster Recovery for Business Continuity Policy</dc:title>
  <dc:subject>ICT Disaster Recovery for Business Continuity Policy</dc:subject>
  <dc:creator/>
  <cp:keywords>ICT Disaster Recovery for Business Continuity Policy</cp:keywords>
  <cp:lastModifiedBy/>
  <cp:revision>1</cp:revision>
  <dcterms:created xsi:type="dcterms:W3CDTF">2017-04-03T06:59:00Z</dcterms:created>
  <dcterms:modified xsi:type="dcterms:W3CDTF">2018-06-06T07:29:00Z</dcterms:modified>
</cp:coreProperties>
</file>